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51628" w14:textId="35126133" w:rsidR="00AC212B" w:rsidRPr="00930237" w:rsidRDefault="00AC212B" w:rsidP="001B1154">
      <w:pPr>
        <w:rPr>
          <w:b/>
          <w:szCs w:val="24"/>
        </w:rPr>
      </w:pPr>
      <w:r w:rsidRPr="00930237">
        <w:rPr>
          <w:b/>
          <w:noProof/>
          <w:szCs w:val="24"/>
          <w:lang w:val="en-GB" w:eastAsia="en-GB" w:bidi="ne-NP"/>
        </w:rPr>
        <w:drawing>
          <wp:anchor distT="0" distB="0" distL="114300" distR="114300" simplePos="0" relativeHeight="251659264" behindDoc="0" locked="0" layoutInCell="1" allowOverlap="1" wp14:anchorId="31A902B6" wp14:editId="3BD9CB32">
            <wp:simplePos x="0" y="0"/>
            <wp:positionH relativeFrom="column">
              <wp:posOffset>-476250</wp:posOffset>
            </wp:positionH>
            <wp:positionV relativeFrom="paragraph">
              <wp:posOffset>0</wp:posOffset>
            </wp:positionV>
            <wp:extent cx="6822000" cy="1036800"/>
            <wp:effectExtent l="0" t="0" r="0" b="0"/>
            <wp:wrapSquare wrapText="bothSides"/>
            <wp:docPr id="3" name="Picture 3" descr="C:\Users\kd-aldin\Desktop\fm_esskf-2020-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aldin\Desktop\fm_esskf-2020-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2000" cy="103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6FF2D9" w14:textId="77777777" w:rsidR="00AC212B" w:rsidRPr="00930237" w:rsidRDefault="00AC212B" w:rsidP="00AC212B"/>
    <w:p w14:paraId="78C41B09" w14:textId="77777777" w:rsidR="00AC212B" w:rsidRPr="00930237" w:rsidRDefault="00AC212B" w:rsidP="00AC212B"/>
    <w:p w14:paraId="164E2EEB" w14:textId="77777777" w:rsidR="00AC212B" w:rsidRPr="00930237" w:rsidRDefault="00AC212B" w:rsidP="00AC212B"/>
    <w:p w14:paraId="506AB095" w14:textId="77777777" w:rsidR="00AC212B" w:rsidRPr="00930237" w:rsidRDefault="00AC212B" w:rsidP="00AC212B">
      <w:pPr>
        <w:pStyle w:val="Nosaukums"/>
        <w:rPr>
          <w:rFonts w:ascii="Times New Roman" w:hAnsi="Times New Roman"/>
        </w:rPr>
      </w:pPr>
    </w:p>
    <w:p w14:paraId="28051B59" w14:textId="77777777" w:rsidR="00AC212B" w:rsidRPr="00930237" w:rsidRDefault="00AC212B" w:rsidP="00AC212B">
      <w:pPr>
        <w:pStyle w:val="Nosaukums"/>
        <w:rPr>
          <w:rFonts w:ascii="Times New Roman" w:hAnsi="Times New Roman"/>
        </w:rPr>
      </w:pPr>
    </w:p>
    <w:p w14:paraId="66F6E94A" w14:textId="77777777" w:rsidR="00AC212B" w:rsidRPr="00930237" w:rsidRDefault="00AC212B" w:rsidP="00AC212B">
      <w:pPr>
        <w:pStyle w:val="Nosaukums"/>
        <w:rPr>
          <w:rFonts w:ascii="Times New Roman" w:hAnsi="Times New Roman"/>
        </w:rPr>
      </w:pPr>
    </w:p>
    <w:p w14:paraId="2960B26C" w14:textId="77777777" w:rsidR="00AC212B" w:rsidRPr="00930237" w:rsidRDefault="00AC212B" w:rsidP="00AC212B">
      <w:pPr>
        <w:pStyle w:val="Nosaukums"/>
        <w:rPr>
          <w:rFonts w:ascii="Times New Roman" w:hAnsi="Times New Roman"/>
        </w:rPr>
      </w:pPr>
      <w:r w:rsidRPr="00930237">
        <w:rPr>
          <w:rFonts w:ascii="Times New Roman" w:hAnsi="Times New Roman"/>
        </w:rPr>
        <w:t xml:space="preserve">Darbības programma Latvijai </w:t>
      </w:r>
    </w:p>
    <w:p w14:paraId="7DA99A58" w14:textId="77777777" w:rsidR="00AC212B" w:rsidRPr="00930237" w:rsidRDefault="00AC212B" w:rsidP="00AC212B">
      <w:pPr>
        <w:pStyle w:val="Nosaukums"/>
        <w:rPr>
          <w:rFonts w:ascii="Times New Roman" w:hAnsi="Times New Roman"/>
        </w:rPr>
      </w:pPr>
      <w:r w:rsidRPr="00930237">
        <w:rPr>
          <w:rFonts w:ascii="Times New Roman" w:hAnsi="Times New Roman"/>
        </w:rPr>
        <w:t>2021.–2027.gadam</w:t>
      </w:r>
    </w:p>
    <w:p w14:paraId="6E931C40" w14:textId="77777777" w:rsidR="00AC212B" w:rsidRPr="00930237" w:rsidRDefault="00AC212B" w:rsidP="00AC212B">
      <w:pPr>
        <w:rPr>
          <w:smallCaps/>
          <w:sz w:val="18"/>
        </w:rPr>
      </w:pPr>
    </w:p>
    <w:p w14:paraId="1CAFADE0" w14:textId="77777777" w:rsidR="00AC212B" w:rsidRPr="00930237" w:rsidRDefault="00AC212B" w:rsidP="00AC212B"/>
    <w:p w14:paraId="1AAE3023" w14:textId="77777777" w:rsidR="00AC212B" w:rsidRPr="00930237" w:rsidRDefault="00AC212B" w:rsidP="00AC212B"/>
    <w:p w14:paraId="27796650" w14:textId="77777777" w:rsidR="00AC212B" w:rsidRPr="00930237" w:rsidRDefault="00AC212B" w:rsidP="00AC212B"/>
    <w:p w14:paraId="7756DC5B" w14:textId="77777777" w:rsidR="00AC212B" w:rsidRPr="00930237" w:rsidRDefault="00AC212B" w:rsidP="00AC212B"/>
    <w:p w14:paraId="5A509255" w14:textId="77777777" w:rsidR="00AC212B" w:rsidRPr="00930237" w:rsidRDefault="00AC212B" w:rsidP="00AC212B"/>
    <w:p w14:paraId="600AA9B5" w14:textId="77777777" w:rsidR="00AC212B" w:rsidRPr="00930237" w:rsidRDefault="00AC212B" w:rsidP="00AC212B"/>
    <w:p w14:paraId="141D7500" w14:textId="77777777" w:rsidR="00AC212B" w:rsidRPr="00930237" w:rsidRDefault="00AC212B" w:rsidP="00AC212B">
      <w:pPr>
        <w:jc w:val="center"/>
        <w:rPr>
          <w:b/>
          <w:sz w:val="32"/>
        </w:rPr>
      </w:pPr>
    </w:p>
    <w:p w14:paraId="491E3839" w14:textId="77777777" w:rsidR="00AC212B" w:rsidRPr="00930237" w:rsidRDefault="00AC212B" w:rsidP="00AC212B">
      <w:pPr>
        <w:jc w:val="center"/>
        <w:rPr>
          <w:b/>
          <w:sz w:val="32"/>
        </w:rPr>
      </w:pPr>
    </w:p>
    <w:p w14:paraId="275FB787" w14:textId="77777777" w:rsidR="00AC212B" w:rsidRPr="00930237" w:rsidRDefault="00AC212B" w:rsidP="00AC212B">
      <w:pPr>
        <w:jc w:val="center"/>
        <w:rPr>
          <w:b/>
          <w:sz w:val="32"/>
        </w:rPr>
      </w:pPr>
    </w:p>
    <w:p w14:paraId="1E108133" w14:textId="77777777" w:rsidR="00AC212B" w:rsidRPr="00930237" w:rsidRDefault="00AC212B" w:rsidP="00AC212B">
      <w:pPr>
        <w:jc w:val="center"/>
        <w:rPr>
          <w:b/>
          <w:sz w:val="32"/>
        </w:rPr>
      </w:pPr>
    </w:p>
    <w:p w14:paraId="7A393C1E" w14:textId="77777777" w:rsidR="00AC212B" w:rsidRPr="00930237" w:rsidRDefault="00AC212B" w:rsidP="00AC212B">
      <w:pPr>
        <w:jc w:val="center"/>
        <w:rPr>
          <w:b/>
          <w:sz w:val="32"/>
        </w:rPr>
      </w:pPr>
      <w:r w:rsidRPr="00930237">
        <w:rPr>
          <w:b/>
          <w:sz w:val="32"/>
        </w:rPr>
        <w:t>Latvijas Republikas Finanšu ministrija</w:t>
      </w:r>
    </w:p>
    <w:p w14:paraId="00C44CC1" w14:textId="6EC8A6FA" w:rsidR="00AC212B" w:rsidRPr="00930237" w:rsidRDefault="00AC212B" w:rsidP="00AC212B">
      <w:pPr>
        <w:jc w:val="center"/>
        <w:rPr>
          <w:b/>
          <w:sz w:val="32"/>
        </w:rPr>
      </w:pPr>
      <w:r w:rsidRPr="00930237">
        <w:rPr>
          <w:b/>
          <w:sz w:val="32"/>
        </w:rPr>
        <w:t>Rīga, 202</w:t>
      </w:r>
      <w:r w:rsidR="00E90987">
        <w:rPr>
          <w:b/>
          <w:sz w:val="32"/>
        </w:rPr>
        <w:t>1</w:t>
      </w:r>
    </w:p>
    <w:p w14:paraId="05C1335A" w14:textId="77777777" w:rsidR="00AC212B" w:rsidRPr="00930237" w:rsidRDefault="00AC212B" w:rsidP="00AC212B">
      <w:pPr>
        <w:spacing w:before="0" w:after="0"/>
        <w:jc w:val="left"/>
        <w:rPr>
          <w:b/>
          <w:noProof/>
          <w:sz w:val="20"/>
          <w:u w:val="single"/>
        </w:rPr>
      </w:pPr>
    </w:p>
    <w:p w14:paraId="5FDBAFC1" w14:textId="77777777" w:rsidR="00AC212B" w:rsidRPr="00930237" w:rsidRDefault="00AC212B" w:rsidP="00AC212B">
      <w:pPr>
        <w:spacing w:before="0" w:after="0"/>
        <w:jc w:val="center"/>
        <w:rPr>
          <w:b/>
          <w:i/>
          <w:noProof/>
          <w:color w:val="FF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103"/>
      </w:tblGrid>
      <w:tr w:rsidR="00AC212B" w:rsidRPr="00930237" w14:paraId="37A828F2" w14:textId="77777777" w:rsidTr="00710DDA">
        <w:trPr>
          <w:trHeight w:val="222"/>
          <w:jc w:val="center"/>
        </w:trPr>
        <w:tc>
          <w:tcPr>
            <w:tcW w:w="3315" w:type="dxa"/>
            <w:shd w:val="clear" w:color="auto" w:fill="auto"/>
          </w:tcPr>
          <w:p w14:paraId="09F25CF6" w14:textId="77777777" w:rsidR="00AC212B" w:rsidRPr="00930237" w:rsidRDefault="00AC212B" w:rsidP="00710DDA">
            <w:pPr>
              <w:spacing w:before="0" w:after="0"/>
              <w:rPr>
                <w:b/>
                <w:noProof/>
                <w:sz w:val="20"/>
              </w:rPr>
            </w:pPr>
            <w:r w:rsidRPr="00930237">
              <w:rPr>
                <w:b/>
                <w:i/>
                <w:noProof/>
                <w:sz w:val="20"/>
              </w:rPr>
              <w:lastRenderedPageBreak/>
              <w:t>CCI</w:t>
            </w:r>
          </w:p>
        </w:tc>
        <w:tc>
          <w:tcPr>
            <w:tcW w:w="5103" w:type="dxa"/>
            <w:shd w:val="clear" w:color="auto" w:fill="auto"/>
          </w:tcPr>
          <w:p w14:paraId="31E4F56D" w14:textId="77777777" w:rsidR="00AC212B" w:rsidRPr="00930237" w:rsidRDefault="00AC212B" w:rsidP="00710DDA">
            <w:pPr>
              <w:spacing w:before="0" w:after="0"/>
              <w:rPr>
                <w:i/>
                <w:noProof/>
                <w:sz w:val="20"/>
              </w:rPr>
            </w:pPr>
            <w:r w:rsidRPr="00930237">
              <w:rPr>
                <w:i/>
                <w:noProof/>
                <w:color w:val="FF0000"/>
                <w:sz w:val="20"/>
              </w:rPr>
              <w:t>Piešķirs SFC2021 sistēma</w:t>
            </w:r>
          </w:p>
        </w:tc>
      </w:tr>
      <w:tr w:rsidR="00AC212B" w:rsidRPr="00930237" w14:paraId="6B4CC93C" w14:textId="77777777" w:rsidTr="00710DDA">
        <w:trPr>
          <w:trHeight w:val="269"/>
          <w:jc w:val="center"/>
        </w:trPr>
        <w:tc>
          <w:tcPr>
            <w:tcW w:w="3315" w:type="dxa"/>
            <w:shd w:val="clear" w:color="auto" w:fill="auto"/>
          </w:tcPr>
          <w:p w14:paraId="4937974B" w14:textId="77777777" w:rsidR="00AC212B" w:rsidRPr="00930237" w:rsidRDefault="00AC212B" w:rsidP="00710DDA">
            <w:pPr>
              <w:spacing w:before="0" w:after="0"/>
              <w:rPr>
                <w:b/>
                <w:noProof/>
                <w:sz w:val="20"/>
              </w:rPr>
            </w:pPr>
            <w:r w:rsidRPr="00930237">
              <w:rPr>
                <w:b/>
                <w:noProof/>
                <w:sz w:val="20"/>
              </w:rPr>
              <w:t>Nosaukums angļu valodā</w:t>
            </w:r>
          </w:p>
        </w:tc>
        <w:tc>
          <w:tcPr>
            <w:tcW w:w="5103" w:type="dxa"/>
            <w:shd w:val="clear" w:color="auto" w:fill="auto"/>
          </w:tcPr>
          <w:p w14:paraId="74B3E7BE" w14:textId="77777777" w:rsidR="00AC212B" w:rsidRPr="00930237" w:rsidRDefault="00AC212B" w:rsidP="00710DDA">
            <w:pPr>
              <w:spacing w:before="0" w:after="0"/>
              <w:rPr>
                <w:noProof/>
                <w:sz w:val="20"/>
              </w:rPr>
            </w:pPr>
            <w:r w:rsidRPr="00930237">
              <w:rPr>
                <w:noProof/>
                <w:sz w:val="20"/>
              </w:rPr>
              <w:t>Operational Programme for Latvia 2021-2027</w:t>
            </w:r>
          </w:p>
          <w:p w14:paraId="34CE5983" w14:textId="77777777" w:rsidR="00AC212B" w:rsidRPr="00930237" w:rsidRDefault="00AC212B" w:rsidP="00710DDA">
            <w:pPr>
              <w:spacing w:before="0" w:after="0"/>
              <w:rPr>
                <w:noProof/>
                <w:sz w:val="20"/>
              </w:rPr>
            </w:pPr>
          </w:p>
        </w:tc>
      </w:tr>
      <w:tr w:rsidR="00AC212B" w:rsidRPr="00930237" w14:paraId="2794EA1A" w14:textId="77777777" w:rsidTr="00710DDA">
        <w:trPr>
          <w:trHeight w:val="138"/>
          <w:jc w:val="center"/>
        </w:trPr>
        <w:tc>
          <w:tcPr>
            <w:tcW w:w="3315" w:type="dxa"/>
            <w:shd w:val="clear" w:color="auto" w:fill="auto"/>
          </w:tcPr>
          <w:p w14:paraId="7BD0EA0B" w14:textId="77777777" w:rsidR="00AC212B" w:rsidRPr="00930237" w:rsidRDefault="00AC212B" w:rsidP="00710DDA">
            <w:pPr>
              <w:spacing w:before="0" w:after="0"/>
              <w:rPr>
                <w:b/>
                <w:noProof/>
                <w:sz w:val="20"/>
              </w:rPr>
            </w:pPr>
            <w:r w:rsidRPr="00930237">
              <w:rPr>
                <w:b/>
                <w:noProof/>
                <w:sz w:val="20"/>
              </w:rPr>
              <w:t>Nosaukums valsts valodā(-ās)</w:t>
            </w:r>
          </w:p>
        </w:tc>
        <w:tc>
          <w:tcPr>
            <w:tcW w:w="5103" w:type="dxa"/>
            <w:shd w:val="clear" w:color="auto" w:fill="auto"/>
          </w:tcPr>
          <w:p w14:paraId="18AFB3E4" w14:textId="29D5A074" w:rsidR="00AC212B" w:rsidRPr="00930237" w:rsidRDefault="00893AEB" w:rsidP="00710DDA">
            <w:pPr>
              <w:spacing w:before="0" w:after="0"/>
              <w:rPr>
                <w:noProof/>
                <w:sz w:val="20"/>
              </w:rPr>
            </w:pPr>
            <w:r>
              <w:rPr>
                <w:noProof/>
                <w:sz w:val="20"/>
              </w:rPr>
              <w:t>Darbības</w:t>
            </w:r>
            <w:r w:rsidRPr="00930237">
              <w:rPr>
                <w:noProof/>
                <w:sz w:val="20"/>
              </w:rPr>
              <w:t xml:space="preserve"> </w:t>
            </w:r>
            <w:r w:rsidR="00AC212B" w:rsidRPr="00930237">
              <w:rPr>
                <w:noProof/>
                <w:sz w:val="20"/>
              </w:rPr>
              <w:t>programma Latvijai 2021.–2027.gadam</w:t>
            </w:r>
          </w:p>
        </w:tc>
      </w:tr>
      <w:tr w:rsidR="00AC212B" w:rsidRPr="00930237" w14:paraId="6998B319" w14:textId="77777777" w:rsidTr="00710DDA">
        <w:trPr>
          <w:trHeight w:val="138"/>
          <w:jc w:val="center"/>
        </w:trPr>
        <w:tc>
          <w:tcPr>
            <w:tcW w:w="3315" w:type="dxa"/>
            <w:shd w:val="clear" w:color="auto" w:fill="auto"/>
          </w:tcPr>
          <w:p w14:paraId="16E5AABC" w14:textId="77777777" w:rsidR="00AC212B" w:rsidRPr="00930237" w:rsidRDefault="00AC212B" w:rsidP="00710DDA">
            <w:pPr>
              <w:spacing w:before="0" w:after="0"/>
              <w:rPr>
                <w:b/>
                <w:noProof/>
                <w:sz w:val="20"/>
              </w:rPr>
            </w:pPr>
            <w:r w:rsidRPr="00930237">
              <w:rPr>
                <w:b/>
                <w:noProof/>
                <w:sz w:val="20"/>
              </w:rPr>
              <w:t>Versija</w:t>
            </w:r>
          </w:p>
        </w:tc>
        <w:tc>
          <w:tcPr>
            <w:tcW w:w="5103" w:type="dxa"/>
            <w:shd w:val="clear" w:color="auto" w:fill="auto"/>
          </w:tcPr>
          <w:p w14:paraId="03D3A61F" w14:textId="77777777" w:rsidR="00AC212B" w:rsidRPr="00930237" w:rsidRDefault="00AC212B" w:rsidP="00710DDA">
            <w:pPr>
              <w:spacing w:before="0" w:after="0"/>
              <w:rPr>
                <w:noProof/>
                <w:sz w:val="20"/>
              </w:rPr>
            </w:pPr>
            <w:r w:rsidRPr="00930237">
              <w:rPr>
                <w:noProof/>
                <w:sz w:val="20"/>
              </w:rPr>
              <w:t>1.versija</w:t>
            </w:r>
          </w:p>
        </w:tc>
      </w:tr>
      <w:tr w:rsidR="00AC212B" w:rsidRPr="00930237" w14:paraId="1262D6C0" w14:textId="77777777" w:rsidTr="00710DDA">
        <w:trPr>
          <w:jc w:val="center"/>
        </w:trPr>
        <w:tc>
          <w:tcPr>
            <w:tcW w:w="3315" w:type="dxa"/>
            <w:shd w:val="clear" w:color="auto" w:fill="auto"/>
          </w:tcPr>
          <w:p w14:paraId="221BBCFF" w14:textId="77777777" w:rsidR="00AC212B" w:rsidRPr="00930237" w:rsidRDefault="00AC212B" w:rsidP="00710DDA">
            <w:pPr>
              <w:spacing w:before="0" w:after="0"/>
              <w:rPr>
                <w:b/>
                <w:noProof/>
                <w:sz w:val="20"/>
              </w:rPr>
            </w:pPr>
            <w:r w:rsidRPr="00930237">
              <w:rPr>
                <w:b/>
                <w:noProof/>
                <w:sz w:val="20"/>
              </w:rPr>
              <w:t>Pirmais gads</w:t>
            </w:r>
          </w:p>
        </w:tc>
        <w:tc>
          <w:tcPr>
            <w:tcW w:w="5103" w:type="dxa"/>
            <w:shd w:val="clear" w:color="auto" w:fill="auto"/>
          </w:tcPr>
          <w:p w14:paraId="1D2E403B" w14:textId="77777777" w:rsidR="00AC212B" w:rsidRPr="00930237" w:rsidRDefault="00AC212B" w:rsidP="00710DDA">
            <w:pPr>
              <w:spacing w:before="0" w:after="0"/>
              <w:rPr>
                <w:noProof/>
                <w:sz w:val="20"/>
              </w:rPr>
            </w:pPr>
            <w:r w:rsidRPr="00930237">
              <w:rPr>
                <w:noProof/>
                <w:sz w:val="20"/>
              </w:rPr>
              <w:t>2020</w:t>
            </w:r>
          </w:p>
        </w:tc>
      </w:tr>
      <w:tr w:rsidR="00AC212B" w:rsidRPr="00930237" w14:paraId="13C5BA44" w14:textId="77777777" w:rsidTr="00710DDA">
        <w:trPr>
          <w:jc w:val="center"/>
        </w:trPr>
        <w:tc>
          <w:tcPr>
            <w:tcW w:w="3315" w:type="dxa"/>
            <w:shd w:val="clear" w:color="auto" w:fill="auto"/>
          </w:tcPr>
          <w:p w14:paraId="74D549E1" w14:textId="77777777" w:rsidR="00AC212B" w:rsidRPr="00930237" w:rsidRDefault="00AC212B" w:rsidP="00710DDA">
            <w:pPr>
              <w:spacing w:before="0" w:after="0"/>
              <w:rPr>
                <w:b/>
                <w:noProof/>
                <w:sz w:val="20"/>
              </w:rPr>
            </w:pPr>
            <w:r w:rsidRPr="00930237">
              <w:rPr>
                <w:b/>
                <w:noProof/>
                <w:sz w:val="20"/>
              </w:rPr>
              <w:t>Pēdējais gads</w:t>
            </w:r>
          </w:p>
        </w:tc>
        <w:tc>
          <w:tcPr>
            <w:tcW w:w="5103" w:type="dxa"/>
            <w:shd w:val="clear" w:color="auto" w:fill="auto"/>
          </w:tcPr>
          <w:p w14:paraId="35803D8A" w14:textId="77777777" w:rsidR="00AC212B" w:rsidRPr="00930237" w:rsidRDefault="00AC212B" w:rsidP="00710DDA">
            <w:pPr>
              <w:spacing w:before="0" w:after="0"/>
              <w:rPr>
                <w:noProof/>
                <w:sz w:val="20"/>
              </w:rPr>
            </w:pPr>
            <w:r w:rsidRPr="00930237">
              <w:rPr>
                <w:noProof/>
                <w:sz w:val="20"/>
              </w:rPr>
              <w:t>2027</w:t>
            </w:r>
          </w:p>
        </w:tc>
      </w:tr>
      <w:tr w:rsidR="00AC212B" w:rsidRPr="00930237" w14:paraId="4D7E119B" w14:textId="77777777" w:rsidTr="00710DDA">
        <w:trPr>
          <w:jc w:val="center"/>
        </w:trPr>
        <w:tc>
          <w:tcPr>
            <w:tcW w:w="3315" w:type="dxa"/>
            <w:shd w:val="clear" w:color="auto" w:fill="auto"/>
          </w:tcPr>
          <w:p w14:paraId="23878218" w14:textId="77777777" w:rsidR="00AC212B" w:rsidRPr="00930237" w:rsidRDefault="00AC212B" w:rsidP="00710DDA">
            <w:pPr>
              <w:spacing w:before="0" w:after="0"/>
              <w:rPr>
                <w:b/>
                <w:noProof/>
                <w:sz w:val="20"/>
              </w:rPr>
            </w:pPr>
            <w:r w:rsidRPr="00930237">
              <w:rPr>
                <w:b/>
                <w:noProof/>
                <w:sz w:val="20"/>
              </w:rPr>
              <w:t>Atbalsttiesīgums no</w:t>
            </w:r>
          </w:p>
        </w:tc>
        <w:tc>
          <w:tcPr>
            <w:tcW w:w="5103" w:type="dxa"/>
            <w:shd w:val="clear" w:color="auto" w:fill="auto"/>
          </w:tcPr>
          <w:p w14:paraId="20969FD2" w14:textId="77777777" w:rsidR="00AC212B" w:rsidRPr="00930237" w:rsidRDefault="00AC212B" w:rsidP="00710DDA">
            <w:pPr>
              <w:spacing w:before="0" w:after="0"/>
              <w:rPr>
                <w:noProof/>
                <w:sz w:val="20"/>
              </w:rPr>
            </w:pPr>
            <w:r w:rsidRPr="00930237">
              <w:rPr>
                <w:noProof/>
                <w:sz w:val="20"/>
              </w:rPr>
              <w:t>01.01.2021.</w:t>
            </w:r>
          </w:p>
        </w:tc>
      </w:tr>
      <w:tr w:rsidR="00AC212B" w:rsidRPr="00930237" w14:paraId="3555B3DE" w14:textId="77777777" w:rsidTr="00710DDA">
        <w:trPr>
          <w:jc w:val="center"/>
        </w:trPr>
        <w:tc>
          <w:tcPr>
            <w:tcW w:w="3315" w:type="dxa"/>
            <w:shd w:val="clear" w:color="auto" w:fill="auto"/>
          </w:tcPr>
          <w:p w14:paraId="78764ABC" w14:textId="77777777" w:rsidR="00AC212B" w:rsidRPr="00930237" w:rsidRDefault="00AC212B" w:rsidP="00710DDA">
            <w:pPr>
              <w:spacing w:before="0" w:after="0"/>
              <w:rPr>
                <w:b/>
                <w:noProof/>
                <w:sz w:val="20"/>
              </w:rPr>
            </w:pPr>
            <w:r w:rsidRPr="00930237">
              <w:rPr>
                <w:b/>
                <w:noProof/>
                <w:sz w:val="20"/>
              </w:rPr>
              <w:t>Atbalsttiesīgums līdz</w:t>
            </w:r>
          </w:p>
        </w:tc>
        <w:tc>
          <w:tcPr>
            <w:tcW w:w="5103" w:type="dxa"/>
            <w:shd w:val="clear" w:color="auto" w:fill="auto"/>
          </w:tcPr>
          <w:p w14:paraId="6D1E0FEC" w14:textId="77777777" w:rsidR="00AC212B" w:rsidRPr="00930237" w:rsidRDefault="00AC212B" w:rsidP="00710DDA">
            <w:pPr>
              <w:spacing w:before="0" w:after="0"/>
              <w:rPr>
                <w:noProof/>
                <w:sz w:val="20"/>
              </w:rPr>
            </w:pPr>
            <w:r w:rsidRPr="00930237">
              <w:rPr>
                <w:noProof/>
                <w:sz w:val="20"/>
              </w:rPr>
              <w:t>31.12.2027.</w:t>
            </w:r>
          </w:p>
        </w:tc>
      </w:tr>
      <w:tr w:rsidR="00AC212B" w:rsidRPr="00930237" w14:paraId="5082AB81" w14:textId="77777777" w:rsidTr="00710DDA">
        <w:trPr>
          <w:jc w:val="center"/>
        </w:trPr>
        <w:tc>
          <w:tcPr>
            <w:tcW w:w="3315" w:type="dxa"/>
            <w:shd w:val="clear" w:color="auto" w:fill="auto"/>
          </w:tcPr>
          <w:p w14:paraId="33E20B1D" w14:textId="77777777" w:rsidR="00AC212B" w:rsidRPr="00930237" w:rsidRDefault="00AC212B" w:rsidP="00710DDA">
            <w:pPr>
              <w:spacing w:before="0" w:after="0"/>
              <w:rPr>
                <w:b/>
                <w:noProof/>
                <w:sz w:val="20"/>
              </w:rPr>
            </w:pPr>
            <w:r w:rsidRPr="00930237">
              <w:rPr>
                <w:b/>
                <w:noProof/>
                <w:sz w:val="20"/>
              </w:rPr>
              <w:t>Komisijas lēmuma numurs</w:t>
            </w:r>
          </w:p>
        </w:tc>
        <w:tc>
          <w:tcPr>
            <w:tcW w:w="5103" w:type="dxa"/>
            <w:shd w:val="clear" w:color="auto" w:fill="auto"/>
          </w:tcPr>
          <w:p w14:paraId="01D12B9C" w14:textId="77777777" w:rsidR="00AC212B" w:rsidRPr="00930237" w:rsidRDefault="00AC212B" w:rsidP="00710DDA">
            <w:pPr>
              <w:spacing w:before="0" w:after="0"/>
              <w:rPr>
                <w:noProof/>
                <w:sz w:val="20"/>
              </w:rPr>
            </w:pPr>
          </w:p>
        </w:tc>
      </w:tr>
      <w:tr w:rsidR="00AC212B" w:rsidRPr="00930237" w14:paraId="280CEEF5" w14:textId="77777777" w:rsidTr="00710DDA">
        <w:trPr>
          <w:jc w:val="center"/>
        </w:trPr>
        <w:tc>
          <w:tcPr>
            <w:tcW w:w="3315" w:type="dxa"/>
            <w:shd w:val="clear" w:color="auto" w:fill="auto"/>
          </w:tcPr>
          <w:p w14:paraId="3FFA57AC" w14:textId="77777777" w:rsidR="00AC212B" w:rsidRPr="00930237" w:rsidRDefault="00AC212B" w:rsidP="00710DDA">
            <w:pPr>
              <w:spacing w:before="0" w:after="0"/>
              <w:rPr>
                <w:b/>
                <w:noProof/>
                <w:sz w:val="20"/>
              </w:rPr>
            </w:pPr>
            <w:r w:rsidRPr="00930237">
              <w:rPr>
                <w:b/>
                <w:noProof/>
                <w:sz w:val="20"/>
              </w:rPr>
              <w:t>Komisijas lēmuma datums</w:t>
            </w:r>
          </w:p>
        </w:tc>
        <w:tc>
          <w:tcPr>
            <w:tcW w:w="5103" w:type="dxa"/>
            <w:shd w:val="clear" w:color="auto" w:fill="auto"/>
          </w:tcPr>
          <w:p w14:paraId="020229DF" w14:textId="77777777" w:rsidR="00AC212B" w:rsidRPr="00930237" w:rsidRDefault="00AC212B" w:rsidP="00710DDA">
            <w:pPr>
              <w:spacing w:before="0" w:after="0"/>
              <w:rPr>
                <w:noProof/>
                <w:sz w:val="20"/>
              </w:rPr>
            </w:pPr>
          </w:p>
        </w:tc>
      </w:tr>
      <w:tr w:rsidR="00AC212B" w:rsidRPr="00930237" w14:paraId="00F395C9" w14:textId="77777777" w:rsidTr="00710DDA">
        <w:trPr>
          <w:trHeight w:val="163"/>
          <w:jc w:val="center"/>
        </w:trPr>
        <w:tc>
          <w:tcPr>
            <w:tcW w:w="3315" w:type="dxa"/>
            <w:shd w:val="clear" w:color="auto" w:fill="auto"/>
          </w:tcPr>
          <w:p w14:paraId="13380786" w14:textId="77777777" w:rsidR="00AC212B" w:rsidRPr="00930237" w:rsidRDefault="00AC212B" w:rsidP="00710DDA">
            <w:pPr>
              <w:spacing w:before="0" w:after="0"/>
              <w:rPr>
                <w:b/>
                <w:noProof/>
                <w:sz w:val="20"/>
              </w:rPr>
            </w:pPr>
            <w:r w:rsidRPr="00930237">
              <w:rPr>
                <w:b/>
                <w:noProof/>
                <w:sz w:val="20"/>
              </w:rPr>
              <w:t>Dalībvalsts grozošā lēmuma numurs</w:t>
            </w:r>
          </w:p>
        </w:tc>
        <w:tc>
          <w:tcPr>
            <w:tcW w:w="5103" w:type="dxa"/>
            <w:shd w:val="clear" w:color="auto" w:fill="auto"/>
          </w:tcPr>
          <w:p w14:paraId="678553FA" w14:textId="77777777" w:rsidR="00AC212B" w:rsidRPr="00930237" w:rsidRDefault="00AC212B" w:rsidP="00710DDA">
            <w:pPr>
              <w:spacing w:before="0" w:after="0"/>
              <w:rPr>
                <w:noProof/>
                <w:sz w:val="20"/>
              </w:rPr>
            </w:pPr>
            <w:r w:rsidRPr="00930237">
              <w:rPr>
                <w:noProof/>
                <w:sz w:val="20"/>
              </w:rPr>
              <w:t>N/A</w:t>
            </w:r>
          </w:p>
        </w:tc>
      </w:tr>
      <w:tr w:rsidR="00AC212B" w:rsidRPr="00930237" w14:paraId="4A8B96EA" w14:textId="77777777" w:rsidTr="00710DDA">
        <w:trPr>
          <w:trHeight w:val="163"/>
          <w:jc w:val="center"/>
        </w:trPr>
        <w:tc>
          <w:tcPr>
            <w:tcW w:w="3315" w:type="dxa"/>
            <w:shd w:val="clear" w:color="auto" w:fill="auto"/>
          </w:tcPr>
          <w:p w14:paraId="1BC5EC14" w14:textId="77777777" w:rsidR="00AC212B" w:rsidRPr="00930237" w:rsidRDefault="00AC212B" w:rsidP="00710DDA">
            <w:pPr>
              <w:spacing w:before="0" w:after="0"/>
              <w:rPr>
                <w:b/>
                <w:noProof/>
                <w:sz w:val="20"/>
              </w:rPr>
            </w:pPr>
            <w:r w:rsidRPr="00930237">
              <w:rPr>
                <w:b/>
                <w:noProof/>
                <w:sz w:val="20"/>
              </w:rPr>
              <w:t>Dalībvalsts grozošā lēmuma spēkā stāšanās datums</w:t>
            </w:r>
          </w:p>
        </w:tc>
        <w:tc>
          <w:tcPr>
            <w:tcW w:w="5103" w:type="dxa"/>
            <w:shd w:val="clear" w:color="auto" w:fill="auto"/>
          </w:tcPr>
          <w:p w14:paraId="12FE8D9E" w14:textId="77777777" w:rsidR="00AC212B" w:rsidRPr="00930237" w:rsidRDefault="00AC212B" w:rsidP="00710DDA">
            <w:pPr>
              <w:spacing w:before="0" w:after="0"/>
              <w:rPr>
                <w:noProof/>
                <w:sz w:val="20"/>
              </w:rPr>
            </w:pPr>
            <w:r w:rsidRPr="00930237">
              <w:rPr>
                <w:noProof/>
                <w:sz w:val="20"/>
              </w:rPr>
              <w:t>N/A</w:t>
            </w:r>
          </w:p>
        </w:tc>
      </w:tr>
      <w:tr w:rsidR="00AC212B" w:rsidRPr="00930237" w14:paraId="6C794CE6" w14:textId="77777777" w:rsidTr="00710DDA">
        <w:trPr>
          <w:trHeight w:val="163"/>
          <w:jc w:val="center"/>
        </w:trPr>
        <w:tc>
          <w:tcPr>
            <w:tcW w:w="3315" w:type="dxa"/>
            <w:shd w:val="clear" w:color="auto" w:fill="auto"/>
          </w:tcPr>
          <w:p w14:paraId="68296D27" w14:textId="77777777" w:rsidR="00AC212B" w:rsidRPr="00930237" w:rsidRDefault="00AC212B" w:rsidP="00710DDA">
            <w:pPr>
              <w:spacing w:before="0" w:after="0"/>
              <w:rPr>
                <w:b/>
                <w:noProof/>
                <w:sz w:val="20"/>
              </w:rPr>
            </w:pPr>
            <w:r w:rsidRPr="00930237">
              <w:rPr>
                <w:b/>
                <w:noProof/>
                <w:sz w:val="20"/>
              </w:rPr>
              <w:t>Nebūtiski pārvietojumi (19. panta 5. punkts)</w:t>
            </w:r>
          </w:p>
        </w:tc>
        <w:tc>
          <w:tcPr>
            <w:tcW w:w="5103" w:type="dxa"/>
            <w:shd w:val="clear" w:color="auto" w:fill="auto"/>
          </w:tcPr>
          <w:p w14:paraId="184D671C" w14:textId="77777777" w:rsidR="00AC212B" w:rsidRPr="00930237" w:rsidRDefault="00AC212B" w:rsidP="00710DDA">
            <w:pPr>
              <w:spacing w:before="0" w:after="0"/>
              <w:rPr>
                <w:i/>
                <w:noProof/>
                <w:sz w:val="20"/>
              </w:rPr>
            </w:pPr>
            <w:r w:rsidRPr="00930237">
              <w:rPr>
                <w:noProof/>
                <w:sz w:val="20"/>
              </w:rPr>
              <w:t>Nē</w:t>
            </w:r>
          </w:p>
        </w:tc>
      </w:tr>
      <w:tr w:rsidR="00AC212B" w:rsidRPr="00930237" w14:paraId="5777D4B4" w14:textId="77777777" w:rsidTr="00710DDA">
        <w:trPr>
          <w:trHeight w:val="163"/>
          <w:jc w:val="center"/>
        </w:trPr>
        <w:tc>
          <w:tcPr>
            <w:tcW w:w="3315" w:type="dxa"/>
            <w:shd w:val="clear" w:color="auto" w:fill="auto"/>
          </w:tcPr>
          <w:p w14:paraId="04880872" w14:textId="77777777" w:rsidR="00AC212B" w:rsidRPr="00930237" w:rsidRDefault="00AC212B" w:rsidP="00710DDA">
            <w:pPr>
              <w:spacing w:before="0" w:after="0"/>
              <w:rPr>
                <w:b/>
                <w:noProof/>
                <w:sz w:val="20"/>
              </w:rPr>
            </w:pPr>
            <w:r w:rsidRPr="00930237">
              <w:rPr>
                <w:b/>
                <w:i/>
                <w:noProof/>
                <w:sz w:val="20"/>
              </w:rPr>
              <w:t>NUTS</w:t>
            </w:r>
            <w:r w:rsidRPr="00930237">
              <w:rPr>
                <w:b/>
                <w:noProof/>
                <w:sz w:val="20"/>
              </w:rPr>
              <w:t xml:space="preserve"> reģioni, uz kuriem attiecas programma</w:t>
            </w:r>
            <w:r w:rsidRPr="00930237">
              <w:rPr>
                <w:noProof/>
                <w:sz w:val="20"/>
              </w:rPr>
              <w:t xml:space="preserve"> (neattiecas uz EJZF)</w:t>
            </w:r>
          </w:p>
        </w:tc>
        <w:tc>
          <w:tcPr>
            <w:tcW w:w="5103" w:type="dxa"/>
            <w:shd w:val="clear" w:color="auto" w:fill="auto"/>
          </w:tcPr>
          <w:p w14:paraId="71B8BEAD" w14:textId="77777777" w:rsidR="00AC212B" w:rsidRPr="00930237" w:rsidRDefault="00AC212B" w:rsidP="00710DDA">
            <w:pPr>
              <w:spacing w:before="0" w:after="0"/>
              <w:rPr>
                <w:noProof/>
                <w:sz w:val="20"/>
              </w:rPr>
            </w:pPr>
            <w:r w:rsidRPr="00930237">
              <w:rPr>
                <w:noProof/>
                <w:sz w:val="20"/>
              </w:rPr>
              <w:t>LV</w:t>
            </w:r>
          </w:p>
        </w:tc>
      </w:tr>
      <w:tr w:rsidR="00AC212B" w:rsidRPr="00930237" w14:paraId="55F01484" w14:textId="77777777" w:rsidTr="00710DDA">
        <w:trPr>
          <w:trHeight w:val="163"/>
          <w:jc w:val="center"/>
        </w:trPr>
        <w:tc>
          <w:tcPr>
            <w:tcW w:w="3315" w:type="dxa"/>
            <w:vMerge w:val="restart"/>
            <w:shd w:val="clear" w:color="auto" w:fill="auto"/>
          </w:tcPr>
          <w:p w14:paraId="2B27DFEC" w14:textId="77777777" w:rsidR="00AC212B" w:rsidRPr="00930237" w:rsidRDefault="00AC212B" w:rsidP="00710DDA">
            <w:pPr>
              <w:spacing w:before="0" w:after="0"/>
              <w:rPr>
                <w:b/>
                <w:noProof/>
                <w:sz w:val="20"/>
              </w:rPr>
            </w:pPr>
            <w:r w:rsidRPr="00930237">
              <w:rPr>
                <w:b/>
                <w:noProof/>
                <w:sz w:val="20"/>
              </w:rPr>
              <w:t>Attiecīgais fonds</w:t>
            </w:r>
          </w:p>
        </w:tc>
        <w:tc>
          <w:tcPr>
            <w:tcW w:w="5103" w:type="dxa"/>
            <w:shd w:val="clear" w:color="auto" w:fill="auto"/>
          </w:tcPr>
          <w:p w14:paraId="33C6351B" w14:textId="1A49A6DE" w:rsidR="00AC212B" w:rsidRPr="00930237" w:rsidRDefault="00C92BEF" w:rsidP="00710DDA">
            <w:pPr>
              <w:spacing w:before="0" w:after="0"/>
              <w:rPr>
                <w:noProof/>
                <w:sz w:val="20"/>
              </w:rPr>
            </w:pPr>
            <w:r>
              <w:rPr>
                <w:noProof/>
                <w:sz w:val="20"/>
              </w:rPr>
              <w:t xml:space="preserve">■ </w:t>
            </w:r>
            <w:r w:rsidR="00AC212B" w:rsidRPr="00930237">
              <w:rPr>
                <w:noProof/>
                <w:sz w:val="20"/>
              </w:rPr>
              <w:t>ERAF</w:t>
            </w:r>
          </w:p>
        </w:tc>
      </w:tr>
      <w:tr w:rsidR="00AC212B" w:rsidRPr="00930237" w14:paraId="26BDDBDA" w14:textId="77777777" w:rsidTr="00710DDA">
        <w:trPr>
          <w:trHeight w:val="163"/>
          <w:jc w:val="center"/>
        </w:trPr>
        <w:tc>
          <w:tcPr>
            <w:tcW w:w="3315" w:type="dxa"/>
            <w:vMerge/>
            <w:shd w:val="clear" w:color="auto" w:fill="auto"/>
          </w:tcPr>
          <w:p w14:paraId="764FDF45" w14:textId="77777777" w:rsidR="00AC212B" w:rsidRPr="00930237" w:rsidRDefault="00AC212B" w:rsidP="00710DDA">
            <w:pPr>
              <w:spacing w:before="0" w:after="0"/>
              <w:rPr>
                <w:b/>
                <w:noProof/>
                <w:sz w:val="20"/>
              </w:rPr>
            </w:pPr>
          </w:p>
        </w:tc>
        <w:tc>
          <w:tcPr>
            <w:tcW w:w="5103" w:type="dxa"/>
            <w:shd w:val="clear" w:color="auto" w:fill="auto"/>
          </w:tcPr>
          <w:p w14:paraId="713559AB" w14:textId="0198D6C8" w:rsidR="00AC212B" w:rsidRPr="00930237" w:rsidRDefault="00C92BEF" w:rsidP="00710DDA">
            <w:pPr>
              <w:spacing w:before="0" w:after="0"/>
              <w:rPr>
                <w:noProof/>
                <w:sz w:val="20"/>
              </w:rPr>
            </w:pPr>
            <w:r>
              <w:rPr>
                <w:noProof/>
                <w:sz w:val="20"/>
              </w:rPr>
              <w:t>■</w:t>
            </w:r>
            <w:r w:rsidR="00AC212B" w:rsidRPr="00930237">
              <w:rPr>
                <w:noProof/>
                <w:sz w:val="20"/>
              </w:rPr>
              <w:t xml:space="preserve"> Kohēzijas fonds</w:t>
            </w:r>
          </w:p>
        </w:tc>
      </w:tr>
      <w:tr w:rsidR="00AC212B" w:rsidRPr="00930237" w14:paraId="23E0C32C" w14:textId="77777777" w:rsidTr="00710DDA">
        <w:trPr>
          <w:trHeight w:val="163"/>
          <w:jc w:val="center"/>
        </w:trPr>
        <w:tc>
          <w:tcPr>
            <w:tcW w:w="3315" w:type="dxa"/>
            <w:vMerge/>
            <w:shd w:val="clear" w:color="auto" w:fill="auto"/>
          </w:tcPr>
          <w:p w14:paraId="5CA7EEDE" w14:textId="77777777" w:rsidR="00AC212B" w:rsidRPr="00930237" w:rsidRDefault="00AC212B" w:rsidP="00710DDA">
            <w:pPr>
              <w:spacing w:before="0" w:after="0"/>
              <w:rPr>
                <w:b/>
                <w:noProof/>
                <w:sz w:val="20"/>
              </w:rPr>
            </w:pPr>
          </w:p>
        </w:tc>
        <w:tc>
          <w:tcPr>
            <w:tcW w:w="5103" w:type="dxa"/>
            <w:shd w:val="clear" w:color="auto" w:fill="auto"/>
          </w:tcPr>
          <w:p w14:paraId="3183AF17" w14:textId="07DBC0BC" w:rsidR="00AC212B" w:rsidRPr="00930237" w:rsidRDefault="00C92BEF" w:rsidP="00710DDA">
            <w:pPr>
              <w:spacing w:before="0" w:after="0"/>
              <w:rPr>
                <w:i/>
                <w:noProof/>
                <w:sz w:val="20"/>
              </w:rPr>
            </w:pPr>
            <w:r>
              <w:rPr>
                <w:noProof/>
                <w:sz w:val="20"/>
              </w:rPr>
              <w:t>■</w:t>
            </w:r>
            <w:r w:rsidR="00AC212B" w:rsidRPr="00930237">
              <w:rPr>
                <w:noProof/>
                <w:sz w:val="20"/>
              </w:rPr>
              <w:t xml:space="preserve"> ESF+</w:t>
            </w:r>
          </w:p>
        </w:tc>
      </w:tr>
      <w:tr w:rsidR="00AC212B" w:rsidRPr="00930237" w14:paraId="34A97BBF" w14:textId="77777777" w:rsidTr="00710DDA">
        <w:trPr>
          <w:trHeight w:val="203"/>
          <w:jc w:val="center"/>
        </w:trPr>
        <w:tc>
          <w:tcPr>
            <w:tcW w:w="3315" w:type="dxa"/>
            <w:vMerge/>
            <w:shd w:val="clear" w:color="auto" w:fill="auto"/>
          </w:tcPr>
          <w:p w14:paraId="00AC4335" w14:textId="77777777" w:rsidR="00AC212B" w:rsidRPr="00930237" w:rsidRDefault="00AC212B" w:rsidP="00710DDA">
            <w:pPr>
              <w:spacing w:before="0" w:after="0"/>
              <w:rPr>
                <w:b/>
                <w:noProof/>
                <w:sz w:val="20"/>
              </w:rPr>
            </w:pPr>
          </w:p>
        </w:tc>
        <w:tc>
          <w:tcPr>
            <w:tcW w:w="5103" w:type="dxa"/>
            <w:shd w:val="clear" w:color="auto" w:fill="auto"/>
          </w:tcPr>
          <w:p w14:paraId="6B9B0205" w14:textId="66B1A6EE" w:rsidR="00AC212B" w:rsidRPr="00930237" w:rsidRDefault="00C92BEF" w:rsidP="00710DDA">
            <w:pPr>
              <w:spacing w:before="0" w:after="0"/>
              <w:rPr>
                <w:noProof/>
                <w:sz w:val="20"/>
              </w:rPr>
            </w:pPr>
            <w:r>
              <w:rPr>
                <w:noProof/>
                <w:sz w:val="20"/>
              </w:rPr>
              <w:t>■</w:t>
            </w:r>
            <w:r w:rsidR="00AC212B" w:rsidRPr="00930237">
              <w:rPr>
                <w:noProof/>
                <w:sz w:val="20"/>
              </w:rPr>
              <w:t xml:space="preserve"> TPF</w:t>
            </w:r>
          </w:p>
        </w:tc>
      </w:tr>
    </w:tbl>
    <w:p w14:paraId="64FD0C0D" w14:textId="77777777" w:rsidR="00AC212B" w:rsidRPr="00930237" w:rsidRDefault="00AC212B" w:rsidP="00AC212B">
      <w:pPr>
        <w:spacing w:before="0" w:after="0"/>
        <w:rPr>
          <w:rFonts w:eastAsia="Times New Roman"/>
          <w:b/>
          <w:iCs/>
          <w:noProof/>
          <w:sz w:val="20"/>
        </w:rPr>
      </w:pPr>
    </w:p>
    <w:p w14:paraId="5AC43B5E" w14:textId="77777777" w:rsidR="00AC212B" w:rsidRPr="00930237" w:rsidRDefault="00AC212B" w:rsidP="00AC212B">
      <w:pPr>
        <w:spacing w:before="0" w:after="0"/>
        <w:jc w:val="left"/>
        <w:rPr>
          <w:rFonts w:eastAsia="Times New Roman"/>
          <w:b/>
          <w:iCs/>
          <w:noProof/>
          <w:sz w:val="20"/>
        </w:rPr>
      </w:pPr>
      <w:r w:rsidRPr="00930237">
        <w:rPr>
          <w:rFonts w:eastAsia="Times New Roman"/>
          <w:b/>
          <w:iCs/>
          <w:noProof/>
          <w:sz w:val="20"/>
        </w:rPr>
        <w:br w:type="page"/>
      </w:r>
    </w:p>
    <w:sdt>
      <w:sdtPr>
        <w:rPr>
          <w:b w:val="0"/>
          <w:sz w:val="24"/>
          <w:szCs w:val="24"/>
        </w:rPr>
        <w:id w:val="788393924"/>
        <w:docPartObj>
          <w:docPartGallery w:val="Table of Contents"/>
          <w:docPartUnique/>
        </w:docPartObj>
      </w:sdtPr>
      <w:sdtEndPr>
        <w:rPr>
          <w:noProof/>
        </w:rPr>
      </w:sdtEndPr>
      <w:sdtContent>
        <w:p w14:paraId="343850FB" w14:textId="77777777" w:rsidR="006624B3" w:rsidRPr="006624B3" w:rsidRDefault="00AC212B" w:rsidP="00F11E81">
          <w:pPr>
            <w:pStyle w:val="TOCHeading"/>
            <w:rPr>
              <w:b w:val="0"/>
              <w:noProof/>
              <w:sz w:val="24"/>
              <w:szCs w:val="24"/>
            </w:rPr>
          </w:pPr>
          <w:r w:rsidRPr="006624B3">
            <w:rPr>
              <w:b w:val="0"/>
              <w:sz w:val="24"/>
              <w:szCs w:val="24"/>
            </w:rPr>
            <w:t>Saturs</w:t>
          </w:r>
          <w:r w:rsidRPr="006624B3">
            <w:rPr>
              <w:b w:val="0"/>
              <w:sz w:val="24"/>
              <w:szCs w:val="24"/>
            </w:rPr>
            <w:fldChar w:fldCharType="begin"/>
          </w:r>
          <w:r w:rsidRPr="006624B3">
            <w:rPr>
              <w:b w:val="0"/>
              <w:sz w:val="24"/>
              <w:szCs w:val="24"/>
            </w:rPr>
            <w:instrText xml:space="preserve"> TOC \o "1-3" \h \z \u </w:instrText>
          </w:r>
          <w:r w:rsidRPr="006624B3">
            <w:rPr>
              <w:b w:val="0"/>
              <w:sz w:val="24"/>
              <w:szCs w:val="24"/>
            </w:rPr>
            <w:fldChar w:fldCharType="separate"/>
          </w:r>
        </w:p>
        <w:p w14:paraId="6F876D78" w14:textId="6EA747F4" w:rsidR="006624B3" w:rsidRPr="006624B3" w:rsidRDefault="009A507A">
          <w:pPr>
            <w:pStyle w:val="TOC1"/>
            <w:rPr>
              <w:rFonts w:asciiTheme="minorHAnsi" w:eastAsiaTheme="minorEastAsia" w:hAnsiTheme="minorHAnsi" w:cs="Mangal"/>
              <w:noProof/>
              <w:szCs w:val="24"/>
              <w:lang w:val="en-GB" w:eastAsia="en-GB" w:bidi="ne-NP"/>
            </w:rPr>
          </w:pPr>
          <w:hyperlink w:anchor="_Toc69125398" w:history="1">
            <w:r w:rsidR="006624B3" w:rsidRPr="006624B3">
              <w:rPr>
                <w:rStyle w:val="Hyperlink"/>
                <w:noProof/>
                <w:szCs w:val="24"/>
                <w:lang w:bidi="ar-SA"/>
              </w:rPr>
              <w:t>Izmantotie saīsinājumi un termini</w:t>
            </w:r>
            <w:r w:rsidR="006624B3" w:rsidRPr="006624B3">
              <w:rPr>
                <w:noProof/>
                <w:webHidden/>
                <w:szCs w:val="24"/>
              </w:rPr>
              <w:tab/>
            </w:r>
            <w:r w:rsidR="006624B3" w:rsidRPr="006624B3">
              <w:rPr>
                <w:noProof/>
                <w:webHidden/>
                <w:szCs w:val="24"/>
              </w:rPr>
              <w:fldChar w:fldCharType="begin"/>
            </w:r>
            <w:r w:rsidR="006624B3" w:rsidRPr="006624B3">
              <w:rPr>
                <w:noProof/>
                <w:webHidden/>
                <w:szCs w:val="24"/>
              </w:rPr>
              <w:instrText xml:space="preserve"> PAGEREF _Toc69125398 \h </w:instrText>
            </w:r>
            <w:r w:rsidR="006624B3" w:rsidRPr="006624B3">
              <w:rPr>
                <w:noProof/>
                <w:webHidden/>
                <w:szCs w:val="24"/>
              </w:rPr>
            </w:r>
            <w:r w:rsidR="006624B3" w:rsidRPr="006624B3">
              <w:rPr>
                <w:noProof/>
                <w:webHidden/>
                <w:szCs w:val="24"/>
              </w:rPr>
              <w:fldChar w:fldCharType="separate"/>
            </w:r>
            <w:r w:rsidR="006624B3" w:rsidRPr="006624B3">
              <w:rPr>
                <w:noProof/>
                <w:webHidden/>
                <w:szCs w:val="24"/>
              </w:rPr>
              <w:t>5</w:t>
            </w:r>
            <w:r w:rsidR="006624B3" w:rsidRPr="006624B3">
              <w:rPr>
                <w:noProof/>
                <w:webHidden/>
                <w:szCs w:val="24"/>
              </w:rPr>
              <w:fldChar w:fldCharType="end"/>
            </w:r>
          </w:hyperlink>
        </w:p>
        <w:p w14:paraId="397F8EF4" w14:textId="02A9CA8C" w:rsidR="006624B3" w:rsidRPr="006624B3" w:rsidRDefault="009A507A">
          <w:pPr>
            <w:pStyle w:val="TOC2"/>
            <w:rPr>
              <w:rFonts w:asciiTheme="minorHAnsi" w:eastAsiaTheme="minorEastAsia" w:hAnsiTheme="minorHAnsi" w:cs="Mangal"/>
              <w:noProof/>
              <w:szCs w:val="24"/>
              <w:lang w:val="en-GB" w:eastAsia="en-GB" w:bidi="ne-NP"/>
            </w:rPr>
          </w:pPr>
          <w:hyperlink w:anchor="_Toc69125399" w:history="1">
            <w:r w:rsidR="006624B3" w:rsidRPr="006624B3">
              <w:rPr>
                <w:rStyle w:val="Hyperlink"/>
                <w:noProof/>
                <w:szCs w:val="24"/>
              </w:rPr>
              <w:t>1.</w:t>
            </w:r>
            <w:r w:rsidR="006624B3" w:rsidRPr="006624B3">
              <w:rPr>
                <w:rFonts w:asciiTheme="minorHAnsi" w:eastAsiaTheme="minorEastAsia" w:hAnsiTheme="minorHAnsi" w:cs="Mangal"/>
                <w:noProof/>
                <w:szCs w:val="24"/>
                <w:lang w:val="en-GB" w:eastAsia="en-GB" w:bidi="ne-NP"/>
              </w:rPr>
              <w:tab/>
            </w:r>
            <w:r w:rsidR="006624B3" w:rsidRPr="006624B3">
              <w:rPr>
                <w:rStyle w:val="Hyperlink"/>
                <w:noProof/>
                <w:szCs w:val="24"/>
              </w:rPr>
              <w:t>Programmas stratēģija: galvenās problēmas un politikas risinājumi</w:t>
            </w:r>
            <w:r w:rsidR="006624B3" w:rsidRPr="006624B3">
              <w:rPr>
                <w:noProof/>
                <w:webHidden/>
                <w:szCs w:val="24"/>
              </w:rPr>
              <w:tab/>
            </w:r>
            <w:r w:rsidR="006624B3" w:rsidRPr="006624B3">
              <w:rPr>
                <w:noProof/>
                <w:webHidden/>
                <w:szCs w:val="24"/>
              </w:rPr>
              <w:fldChar w:fldCharType="begin"/>
            </w:r>
            <w:r w:rsidR="006624B3" w:rsidRPr="006624B3">
              <w:rPr>
                <w:noProof/>
                <w:webHidden/>
                <w:szCs w:val="24"/>
              </w:rPr>
              <w:instrText xml:space="preserve"> PAGEREF _Toc69125399 \h </w:instrText>
            </w:r>
            <w:r w:rsidR="006624B3" w:rsidRPr="006624B3">
              <w:rPr>
                <w:noProof/>
                <w:webHidden/>
                <w:szCs w:val="24"/>
              </w:rPr>
            </w:r>
            <w:r w:rsidR="006624B3" w:rsidRPr="006624B3">
              <w:rPr>
                <w:noProof/>
                <w:webHidden/>
                <w:szCs w:val="24"/>
              </w:rPr>
              <w:fldChar w:fldCharType="separate"/>
            </w:r>
            <w:r w:rsidR="006624B3" w:rsidRPr="006624B3">
              <w:rPr>
                <w:noProof/>
                <w:webHidden/>
                <w:szCs w:val="24"/>
              </w:rPr>
              <w:t>9</w:t>
            </w:r>
            <w:r w:rsidR="006624B3" w:rsidRPr="006624B3">
              <w:rPr>
                <w:noProof/>
                <w:webHidden/>
                <w:szCs w:val="24"/>
              </w:rPr>
              <w:fldChar w:fldCharType="end"/>
            </w:r>
          </w:hyperlink>
        </w:p>
        <w:p w14:paraId="6D9BF1F1" w14:textId="3EF4C8C3" w:rsidR="006624B3" w:rsidRPr="006624B3" w:rsidRDefault="009A507A">
          <w:pPr>
            <w:pStyle w:val="TOC3"/>
            <w:rPr>
              <w:rFonts w:asciiTheme="minorHAnsi" w:eastAsiaTheme="minorEastAsia" w:hAnsiTheme="minorHAnsi" w:cs="Mangal"/>
              <w:noProof/>
              <w:szCs w:val="24"/>
              <w:lang w:val="en-GB" w:eastAsia="en-GB" w:bidi="ne-NP"/>
            </w:rPr>
          </w:pPr>
          <w:hyperlink w:anchor="_Toc69125400" w:history="1">
            <w:r w:rsidR="006624B3" w:rsidRPr="006624B3">
              <w:rPr>
                <w:rStyle w:val="Hyperlink"/>
                <w:noProof/>
                <w:szCs w:val="24"/>
              </w:rPr>
              <w:t>1.1.</w:t>
            </w:r>
            <w:r w:rsidR="006624B3" w:rsidRPr="006624B3">
              <w:rPr>
                <w:rFonts w:asciiTheme="minorHAnsi" w:eastAsiaTheme="minorEastAsia" w:hAnsiTheme="minorHAnsi" w:cs="Mangal"/>
                <w:noProof/>
                <w:szCs w:val="24"/>
                <w:lang w:val="en-GB" w:eastAsia="en-GB" w:bidi="ne-NP"/>
              </w:rPr>
              <w:tab/>
            </w:r>
            <w:r w:rsidR="006624B3" w:rsidRPr="006624B3">
              <w:rPr>
                <w:rStyle w:val="Hyperlink"/>
                <w:noProof/>
                <w:szCs w:val="24"/>
              </w:rPr>
              <w:t>Ekonomiskās, sociālās un teritoriālās kohēzijas attīstība pēdējos gados</w:t>
            </w:r>
            <w:r w:rsidR="006624B3" w:rsidRPr="006624B3">
              <w:rPr>
                <w:noProof/>
                <w:webHidden/>
                <w:szCs w:val="24"/>
              </w:rPr>
              <w:tab/>
            </w:r>
            <w:r w:rsidR="006624B3" w:rsidRPr="006624B3">
              <w:rPr>
                <w:noProof/>
                <w:webHidden/>
                <w:szCs w:val="24"/>
              </w:rPr>
              <w:fldChar w:fldCharType="begin"/>
            </w:r>
            <w:r w:rsidR="006624B3" w:rsidRPr="006624B3">
              <w:rPr>
                <w:noProof/>
                <w:webHidden/>
                <w:szCs w:val="24"/>
              </w:rPr>
              <w:instrText xml:space="preserve"> PAGEREF _Toc69125400 \h </w:instrText>
            </w:r>
            <w:r w:rsidR="006624B3" w:rsidRPr="006624B3">
              <w:rPr>
                <w:noProof/>
                <w:webHidden/>
                <w:szCs w:val="24"/>
              </w:rPr>
            </w:r>
            <w:r w:rsidR="006624B3" w:rsidRPr="006624B3">
              <w:rPr>
                <w:noProof/>
                <w:webHidden/>
                <w:szCs w:val="24"/>
              </w:rPr>
              <w:fldChar w:fldCharType="separate"/>
            </w:r>
            <w:r w:rsidR="006624B3" w:rsidRPr="006624B3">
              <w:rPr>
                <w:noProof/>
                <w:webHidden/>
                <w:szCs w:val="24"/>
              </w:rPr>
              <w:t>9</w:t>
            </w:r>
            <w:r w:rsidR="006624B3" w:rsidRPr="006624B3">
              <w:rPr>
                <w:noProof/>
                <w:webHidden/>
                <w:szCs w:val="24"/>
              </w:rPr>
              <w:fldChar w:fldCharType="end"/>
            </w:r>
          </w:hyperlink>
        </w:p>
        <w:p w14:paraId="129D9973" w14:textId="6F871679" w:rsidR="006624B3" w:rsidRPr="006624B3" w:rsidRDefault="009A507A">
          <w:pPr>
            <w:pStyle w:val="TOC3"/>
            <w:rPr>
              <w:rFonts w:asciiTheme="minorHAnsi" w:eastAsiaTheme="minorEastAsia" w:hAnsiTheme="minorHAnsi" w:cs="Mangal"/>
              <w:noProof/>
              <w:szCs w:val="24"/>
              <w:lang w:val="en-GB" w:eastAsia="en-GB" w:bidi="ne-NP"/>
            </w:rPr>
          </w:pPr>
          <w:hyperlink w:anchor="_Toc69125401" w:history="1">
            <w:r w:rsidR="006624B3" w:rsidRPr="006624B3">
              <w:rPr>
                <w:rStyle w:val="Hyperlink"/>
                <w:noProof/>
                <w:szCs w:val="24"/>
              </w:rPr>
              <w:t>1.2.</w:t>
            </w:r>
            <w:r w:rsidR="006624B3" w:rsidRPr="006624B3">
              <w:rPr>
                <w:rFonts w:asciiTheme="minorHAnsi" w:eastAsiaTheme="minorEastAsia" w:hAnsiTheme="minorHAnsi" w:cs="Mangal"/>
                <w:noProof/>
                <w:szCs w:val="24"/>
                <w:lang w:val="en-GB" w:eastAsia="en-GB" w:bidi="ne-NP"/>
              </w:rPr>
              <w:tab/>
            </w:r>
            <w:r w:rsidR="006624B3" w:rsidRPr="006624B3">
              <w:rPr>
                <w:rStyle w:val="Hyperlink"/>
                <w:noProof/>
                <w:szCs w:val="24"/>
              </w:rPr>
              <w:t>Produktivitāte, inovācijas un prasmes</w:t>
            </w:r>
            <w:r w:rsidR="006624B3" w:rsidRPr="006624B3">
              <w:rPr>
                <w:noProof/>
                <w:webHidden/>
                <w:szCs w:val="24"/>
              </w:rPr>
              <w:tab/>
            </w:r>
            <w:r w:rsidR="006624B3" w:rsidRPr="006624B3">
              <w:rPr>
                <w:noProof/>
                <w:webHidden/>
                <w:szCs w:val="24"/>
              </w:rPr>
              <w:fldChar w:fldCharType="begin"/>
            </w:r>
            <w:r w:rsidR="006624B3" w:rsidRPr="006624B3">
              <w:rPr>
                <w:noProof/>
                <w:webHidden/>
                <w:szCs w:val="24"/>
              </w:rPr>
              <w:instrText xml:space="preserve"> PAGEREF _Toc69125401 \h </w:instrText>
            </w:r>
            <w:r w:rsidR="006624B3" w:rsidRPr="006624B3">
              <w:rPr>
                <w:noProof/>
                <w:webHidden/>
                <w:szCs w:val="24"/>
              </w:rPr>
            </w:r>
            <w:r w:rsidR="006624B3" w:rsidRPr="006624B3">
              <w:rPr>
                <w:noProof/>
                <w:webHidden/>
                <w:szCs w:val="24"/>
              </w:rPr>
              <w:fldChar w:fldCharType="separate"/>
            </w:r>
            <w:r w:rsidR="006624B3" w:rsidRPr="006624B3">
              <w:rPr>
                <w:noProof/>
                <w:webHidden/>
                <w:szCs w:val="24"/>
              </w:rPr>
              <w:t>10</w:t>
            </w:r>
            <w:r w:rsidR="006624B3" w:rsidRPr="006624B3">
              <w:rPr>
                <w:noProof/>
                <w:webHidden/>
                <w:szCs w:val="24"/>
              </w:rPr>
              <w:fldChar w:fldCharType="end"/>
            </w:r>
          </w:hyperlink>
        </w:p>
        <w:p w14:paraId="43147DA9" w14:textId="4CCB9FB1" w:rsidR="006624B3" w:rsidRPr="006624B3" w:rsidRDefault="009A507A">
          <w:pPr>
            <w:pStyle w:val="TOC3"/>
            <w:rPr>
              <w:rFonts w:asciiTheme="minorHAnsi" w:eastAsiaTheme="minorEastAsia" w:hAnsiTheme="minorHAnsi" w:cs="Mangal"/>
              <w:noProof/>
              <w:szCs w:val="24"/>
              <w:lang w:val="en-GB" w:eastAsia="en-GB" w:bidi="ne-NP"/>
            </w:rPr>
          </w:pPr>
          <w:hyperlink w:anchor="_Toc69125402" w:history="1">
            <w:r w:rsidR="006624B3" w:rsidRPr="006624B3">
              <w:rPr>
                <w:rStyle w:val="Hyperlink"/>
                <w:iCs/>
                <w:noProof/>
                <w:szCs w:val="24"/>
              </w:rPr>
              <w:t>1.3.</w:t>
            </w:r>
            <w:r w:rsidR="006624B3" w:rsidRPr="006624B3">
              <w:rPr>
                <w:rFonts w:asciiTheme="minorHAnsi" w:eastAsiaTheme="minorEastAsia" w:hAnsiTheme="minorHAnsi" w:cs="Mangal"/>
                <w:noProof/>
                <w:szCs w:val="24"/>
                <w:lang w:val="en-GB" w:eastAsia="en-GB" w:bidi="ne-NP"/>
              </w:rPr>
              <w:tab/>
            </w:r>
            <w:r w:rsidR="006624B3" w:rsidRPr="006624B3">
              <w:rPr>
                <w:rStyle w:val="Hyperlink"/>
                <w:iCs/>
                <w:noProof/>
                <w:szCs w:val="24"/>
              </w:rPr>
              <w:t>Klimatneitralitāte, pielāgošanās klimata pārmaiņām un vides aizsardzība</w:t>
            </w:r>
            <w:r w:rsidR="006624B3" w:rsidRPr="006624B3">
              <w:rPr>
                <w:noProof/>
                <w:webHidden/>
                <w:szCs w:val="24"/>
              </w:rPr>
              <w:tab/>
            </w:r>
            <w:r w:rsidR="006624B3" w:rsidRPr="006624B3">
              <w:rPr>
                <w:noProof/>
                <w:webHidden/>
                <w:szCs w:val="24"/>
              </w:rPr>
              <w:fldChar w:fldCharType="begin"/>
            </w:r>
            <w:r w:rsidR="006624B3" w:rsidRPr="006624B3">
              <w:rPr>
                <w:noProof/>
                <w:webHidden/>
                <w:szCs w:val="24"/>
              </w:rPr>
              <w:instrText xml:space="preserve"> PAGEREF _Toc69125402 \h </w:instrText>
            </w:r>
            <w:r w:rsidR="006624B3" w:rsidRPr="006624B3">
              <w:rPr>
                <w:noProof/>
                <w:webHidden/>
                <w:szCs w:val="24"/>
              </w:rPr>
            </w:r>
            <w:r w:rsidR="006624B3" w:rsidRPr="006624B3">
              <w:rPr>
                <w:noProof/>
                <w:webHidden/>
                <w:szCs w:val="24"/>
              </w:rPr>
              <w:fldChar w:fldCharType="separate"/>
            </w:r>
            <w:r w:rsidR="006624B3" w:rsidRPr="006624B3">
              <w:rPr>
                <w:noProof/>
                <w:webHidden/>
                <w:szCs w:val="24"/>
              </w:rPr>
              <w:t>15</w:t>
            </w:r>
            <w:r w:rsidR="006624B3" w:rsidRPr="006624B3">
              <w:rPr>
                <w:noProof/>
                <w:webHidden/>
                <w:szCs w:val="24"/>
              </w:rPr>
              <w:fldChar w:fldCharType="end"/>
            </w:r>
          </w:hyperlink>
        </w:p>
        <w:p w14:paraId="04258EAB" w14:textId="51F019DF" w:rsidR="006624B3" w:rsidRPr="006624B3" w:rsidRDefault="009A507A">
          <w:pPr>
            <w:pStyle w:val="TOC3"/>
            <w:rPr>
              <w:rFonts w:asciiTheme="minorHAnsi" w:eastAsiaTheme="minorEastAsia" w:hAnsiTheme="minorHAnsi" w:cs="Mangal"/>
              <w:noProof/>
              <w:szCs w:val="24"/>
              <w:lang w:val="en-GB" w:eastAsia="en-GB" w:bidi="ne-NP"/>
            </w:rPr>
          </w:pPr>
          <w:hyperlink w:anchor="_Toc69125403" w:history="1">
            <w:r w:rsidR="006624B3" w:rsidRPr="006624B3">
              <w:rPr>
                <w:rStyle w:val="Hyperlink"/>
                <w:noProof/>
                <w:szCs w:val="24"/>
              </w:rPr>
              <w:t>1.4.</w:t>
            </w:r>
            <w:r w:rsidR="006624B3" w:rsidRPr="006624B3">
              <w:rPr>
                <w:rFonts w:asciiTheme="minorHAnsi" w:eastAsiaTheme="minorEastAsia" w:hAnsiTheme="minorHAnsi" w:cs="Mangal"/>
                <w:noProof/>
                <w:szCs w:val="24"/>
                <w:lang w:val="en-GB" w:eastAsia="en-GB" w:bidi="ne-NP"/>
              </w:rPr>
              <w:tab/>
            </w:r>
            <w:r w:rsidR="006624B3" w:rsidRPr="006624B3">
              <w:rPr>
                <w:rStyle w:val="Hyperlink"/>
                <w:noProof/>
                <w:szCs w:val="24"/>
              </w:rPr>
              <w:t>Mobilitāte</w:t>
            </w:r>
            <w:r w:rsidR="006624B3" w:rsidRPr="006624B3">
              <w:rPr>
                <w:noProof/>
                <w:webHidden/>
                <w:szCs w:val="24"/>
              </w:rPr>
              <w:tab/>
            </w:r>
            <w:r w:rsidR="006624B3" w:rsidRPr="006624B3">
              <w:rPr>
                <w:noProof/>
                <w:webHidden/>
                <w:szCs w:val="24"/>
              </w:rPr>
              <w:fldChar w:fldCharType="begin"/>
            </w:r>
            <w:r w:rsidR="006624B3" w:rsidRPr="006624B3">
              <w:rPr>
                <w:noProof/>
                <w:webHidden/>
                <w:szCs w:val="24"/>
              </w:rPr>
              <w:instrText xml:space="preserve"> PAGEREF _Toc69125403 \h </w:instrText>
            </w:r>
            <w:r w:rsidR="006624B3" w:rsidRPr="006624B3">
              <w:rPr>
                <w:noProof/>
                <w:webHidden/>
                <w:szCs w:val="24"/>
              </w:rPr>
            </w:r>
            <w:r w:rsidR="006624B3" w:rsidRPr="006624B3">
              <w:rPr>
                <w:noProof/>
                <w:webHidden/>
                <w:szCs w:val="24"/>
              </w:rPr>
              <w:fldChar w:fldCharType="separate"/>
            </w:r>
            <w:r w:rsidR="006624B3" w:rsidRPr="006624B3">
              <w:rPr>
                <w:noProof/>
                <w:webHidden/>
                <w:szCs w:val="24"/>
              </w:rPr>
              <w:t>18</w:t>
            </w:r>
            <w:r w:rsidR="006624B3" w:rsidRPr="006624B3">
              <w:rPr>
                <w:noProof/>
                <w:webHidden/>
                <w:szCs w:val="24"/>
              </w:rPr>
              <w:fldChar w:fldCharType="end"/>
            </w:r>
          </w:hyperlink>
        </w:p>
        <w:p w14:paraId="2FDEFA88" w14:textId="31D5A2A2" w:rsidR="006624B3" w:rsidRPr="006624B3" w:rsidRDefault="009A507A">
          <w:pPr>
            <w:pStyle w:val="TOC3"/>
            <w:rPr>
              <w:rFonts w:asciiTheme="minorHAnsi" w:eastAsiaTheme="minorEastAsia" w:hAnsiTheme="minorHAnsi" w:cs="Mangal"/>
              <w:noProof/>
              <w:szCs w:val="24"/>
              <w:lang w:val="en-GB" w:eastAsia="en-GB" w:bidi="ne-NP"/>
            </w:rPr>
          </w:pPr>
          <w:hyperlink w:anchor="_Toc69125404" w:history="1">
            <w:r w:rsidR="006624B3" w:rsidRPr="006624B3">
              <w:rPr>
                <w:rStyle w:val="Hyperlink"/>
                <w:noProof/>
                <w:szCs w:val="24"/>
              </w:rPr>
              <w:t>1.5.</w:t>
            </w:r>
            <w:r w:rsidR="006624B3" w:rsidRPr="006624B3">
              <w:rPr>
                <w:rFonts w:asciiTheme="minorHAnsi" w:eastAsiaTheme="minorEastAsia" w:hAnsiTheme="minorHAnsi" w:cs="Mangal"/>
                <w:noProof/>
                <w:szCs w:val="24"/>
                <w:lang w:val="en-GB" w:eastAsia="en-GB" w:bidi="ne-NP"/>
              </w:rPr>
              <w:tab/>
            </w:r>
            <w:r w:rsidR="006624B3" w:rsidRPr="006624B3">
              <w:rPr>
                <w:rStyle w:val="Hyperlink"/>
                <w:noProof/>
                <w:szCs w:val="24"/>
              </w:rPr>
              <w:t>Iedzīvotāju potenciāla pilna izmantošana</w:t>
            </w:r>
            <w:r w:rsidR="006624B3" w:rsidRPr="006624B3">
              <w:rPr>
                <w:noProof/>
                <w:webHidden/>
                <w:szCs w:val="24"/>
              </w:rPr>
              <w:tab/>
            </w:r>
            <w:r w:rsidR="006624B3" w:rsidRPr="006624B3">
              <w:rPr>
                <w:noProof/>
                <w:webHidden/>
                <w:szCs w:val="24"/>
              </w:rPr>
              <w:fldChar w:fldCharType="begin"/>
            </w:r>
            <w:r w:rsidR="006624B3" w:rsidRPr="006624B3">
              <w:rPr>
                <w:noProof/>
                <w:webHidden/>
                <w:szCs w:val="24"/>
              </w:rPr>
              <w:instrText xml:space="preserve"> PAGEREF _Toc69125404 \h </w:instrText>
            </w:r>
            <w:r w:rsidR="006624B3" w:rsidRPr="006624B3">
              <w:rPr>
                <w:noProof/>
                <w:webHidden/>
                <w:szCs w:val="24"/>
              </w:rPr>
            </w:r>
            <w:r w:rsidR="006624B3" w:rsidRPr="006624B3">
              <w:rPr>
                <w:noProof/>
                <w:webHidden/>
                <w:szCs w:val="24"/>
              </w:rPr>
              <w:fldChar w:fldCharType="separate"/>
            </w:r>
            <w:r w:rsidR="006624B3" w:rsidRPr="006624B3">
              <w:rPr>
                <w:noProof/>
                <w:webHidden/>
                <w:szCs w:val="24"/>
              </w:rPr>
              <w:t>21</w:t>
            </w:r>
            <w:r w:rsidR="006624B3" w:rsidRPr="006624B3">
              <w:rPr>
                <w:noProof/>
                <w:webHidden/>
                <w:szCs w:val="24"/>
              </w:rPr>
              <w:fldChar w:fldCharType="end"/>
            </w:r>
          </w:hyperlink>
        </w:p>
        <w:p w14:paraId="183E0707" w14:textId="1959DB27" w:rsidR="006624B3" w:rsidRPr="006624B3" w:rsidRDefault="009A507A">
          <w:pPr>
            <w:pStyle w:val="TOC3"/>
            <w:rPr>
              <w:rFonts w:asciiTheme="minorHAnsi" w:eastAsiaTheme="minorEastAsia" w:hAnsiTheme="minorHAnsi" w:cs="Mangal"/>
              <w:noProof/>
              <w:szCs w:val="24"/>
              <w:lang w:val="en-GB" w:eastAsia="en-GB" w:bidi="ne-NP"/>
            </w:rPr>
          </w:pPr>
          <w:hyperlink w:anchor="_Toc69125405" w:history="1">
            <w:r w:rsidR="006624B3" w:rsidRPr="006624B3">
              <w:rPr>
                <w:rStyle w:val="Hyperlink"/>
                <w:noProof/>
                <w:szCs w:val="24"/>
              </w:rPr>
              <w:t>1.6.</w:t>
            </w:r>
            <w:r w:rsidR="006624B3" w:rsidRPr="006624B3">
              <w:rPr>
                <w:rFonts w:asciiTheme="minorHAnsi" w:eastAsiaTheme="minorEastAsia" w:hAnsiTheme="minorHAnsi" w:cs="Mangal"/>
                <w:noProof/>
                <w:szCs w:val="24"/>
                <w:lang w:val="en-GB" w:eastAsia="en-GB" w:bidi="ne-NP"/>
              </w:rPr>
              <w:tab/>
            </w:r>
            <w:r w:rsidR="006624B3" w:rsidRPr="006624B3">
              <w:rPr>
                <w:rStyle w:val="Hyperlink"/>
                <w:noProof/>
                <w:szCs w:val="24"/>
              </w:rPr>
              <w:t>Integrēti risinājumu demogrāfijas un reģionālo attīstības atšķirību izaicinājumiem</w:t>
            </w:r>
            <w:r w:rsidR="006624B3" w:rsidRPr="006624B3">
              <w:rPr>
                <w:noProof/>
                <w:webHidden/>
                <w:szCs w:val="24"/>
              </w:rPr>
              <w:tab/>
            </w:r>
            <w:r w:rsidR="006624B3" w:rsidRPr="006624B3">
              <w:rPr>
                <w:noProof/>
                <w:webHidden/>
                <w:szCs w:val="24"/>
              </w:rPr>
              <w:fldChar w:fldCharType="begin"/>
            </w:r>
            <w:r w:rsidR="006624B3" w:rsidRPr="006624B3">
              <w:rPr>
                <w:noProof/>
                <w:webHidden/>
                <w:szCs w:val="24"/>
              </w:rPr>
              <w:instrText xml:space="preserve"> PAGEREF _Toc69125405 \h </w:instrText>
            </w:r>
            <w:r w:rsidR="006624B3" w:rsidRPr="006624B3">
              <w:rPr>
                <w:noProof/>
                <w:webHidden/>
                <w:szCs w:val="24"/>
              </w:rPr>
            </w:r>
            <w:r w:rsidR="006624B3" w:rsidRPr="006624B3">
              <w:rPr>
                <w:noProof/>
                <w:webHidden/>
                <w:szCs w:val="24"/>
              </w:rPr>
              <w:fldChar w:fldCharType="separate"/>
            </w:r>
            <w:r w:rsidR="006624B3" w:rsidRPr="006624B3">
              <w:rPr>
                <w:noProof/>
                <w:webHidden/>
                <w:szCs w:val="24"/>
              </w:rPr>
              <w:t>24</w:t>
            </w:r>
            <w:r w:rsidR="006624B3" w:rsidRPr="006624B3">
              <w:rPr>
                <w:noProof/>
                <w:webHidden/>
                <w:szCs w:val="24"/>
              </w:rPr>
              <w:fldChar w:fldCharType="end"/>
            </w:r>
          </w:hyperlink>
        </w:p>
        <w:p w14:paraId="1EA0664C" w14:textId="0EEA4B42" w:rsidR="006624B3" w:rsidRPr="006624B3" w:rsidRDefault="009A507A">
          <w:pPr>
            <w:pStyle w:val="TOC3"/>
            <w:rPr>
              <w:rFonts w:asciiTheme="minorHAnsi" w:eastAsiaTheme="minorEastAsia" w:hAnsiTheme="minorHAnsi" w:cs="Mangal"/>
              <w:noProof/>
              <w:szCs w:val="24"/>
              <w:lang w:val="en-GB" w:eastAsia="en-GB" w:bidi="ne-NP"/>
            </w:rPr>
          </w:pPr>
          <w:hyperlink w:anchor="_Toc69125406" w:history="1">
            <w:r w:rsidR="006624B3" w:rsidRPr="006624B3">
              <w:rPr>
                <w:rStyle w:val="Hyperlink"/>
                <w:noProof/>
                <w:szCs w:val="24"/>
              </w:rPr>
              <w:t>1.7.</w:t>
            </w:r>
            <w:r w:rsidR="006624B3" w:rsidRPr="006624B3">
              <w:rPr>
                <w:rFonts w:asciiTheme="minorHAnsi" w:eastAsiaTheme="minorEastAsia" w:hAnsiTheme="minorHAnsi" w:cs="Mangal"/>
                <w:noProof/>
                <w:szCs w:val="24"/>
                <w:lang w:val="en-GB" w:eastAsia="en-GB" w:bidi="ne-NP"/>
              </w:rPr>
              <w:tab/>
            </w:r>
            <w:r w:rsidR="006624B3" w:rsidRPr="006624B3">
              <w:rPr>
                <w:rStyle w:val="Hyperlink"/>
                <w:noProof/>
                <w:szCs w:val="24"/>
              </w:rPr>
              <w:t>Izaicinājumi administratīvajai kapacitātei, labai pārvaldībai un vienkāršošanai</w:t>
            </w:r>
            <w:r w:rsidR="006624B3" w:rsidRPr="006624B3">
              <w:rPr>
                <w:noProof/>
                <w:webHidden/>
                <w:szCs w:val="24"/>
              </w:rPr>
              <w:tab/>
            </w:r>
            <w:r w:rsidR="006624B3" w:rsidRPr="006624B3">
              <w:rPr>
                <w:noProof/>
                <w:webHidden/>
                <w:szCs w:val="24"/>
              </w:rPr>
              <w:fldChar w:fldCharType="begin"/>
            </w:r>
            <w:r w:rsidR="006624B3" w:rsidRPr="006624B3">
              <w:rPr>
                <w:noProof/>
                <w:webHidden/>
                <w:szCs w:val="24"/>
              </w:rPr>
              <w:instrText xml:space="preserve"> PAGEREF _Toc69125406 \h </w:instrText>
            </w:r>
            <w:r w:rsidR="006624B3" w:rsidRPr="006624B3">
              <w:rPr>
                <w:noProof/>
                <w:webHidden/>
                <w:szCs w:val="24"/>
              </w:rPr>
            </w:r>
            <w:r w:rsidR="006624B3" w:rsidRPr="006624B3">
              <w:rPr>
                <w:noProof/>
                <w:webHidden/>
                <w:szCs w:val="24"/>
              </w:rPr>
              <w:fldChar w:fldCharType="separate"/>
            </w:r>
            <w:r w:rsidR="006624B3" w:rsidRPr="006624B3">
              <w:rPr>
                <w:noProof/>
                <w:webHidden/>
                <w:szCs w:val="24"/>
              </w:rPr>
              <w:t>24</w:t>
            </w:r>
            <w:r w:rsidR="006624B3" w:rsidRPr="006624B3">
              <w:rPr>
                <w:noProof/>
                <w:webHidden/>
                <w:szCs w:val="24"/>
              </w:rPr>
              <w:fldChar w:fldCharType="end"/>
            </w:r>
          </w:hyperlink>
        </w:p>
        <w:p w14:paraId="0A81216B" w14:textId="3113E74B" w:rsidR="006624B3" w:rsidRPr="006624B3" w:rsidRDefault="009A507A">
          <w:pPr>
            <w:pStyle w:val="TOC3"/>
            <w:rPr>
              <w:rFonts w:asciiTheme="minorHAnsi" w:eastAsiaTheme="minorEastAsia" w:hAnsiTheme="minorHAnsi" w:cs="Mangal"/>
              <w:noProof/>
              <w:szCs w:val="24"/>
              <w:lang w:val="en-GB" w:eastAsia="en-GB" w:bidi="ne-NP"/>
            </w:rPr>
          </w:pPr>
          <w:hyperlink w:anchor="_Toc69125407" w:history="1">
            <w:r w:rsidR="006624B3" w:rsidRPr="006624B3">
              <w:rPr>
                <w:rStyle w:val="Hyperlink"/>
                <w:noProof/>
                <w:szCs w:val="24"/>
              </w:rPr>
              <w:t>1.8.</w:t>
            </w:r>
            <w:r w:rsidR="006624B3" w:rsidRPr="006624B3">
              <w:rPr>
                <w:rFonts w:asciiTheme="minorHAnsi" w:eastAsiaTheme="minorEastAsia" w:hAnsiTheme="minorHAnsi" w:cs="Mangal"/>
                <w:noProof/>
                <w:szCs w:val="24"/>
                <w:lang w:val="en-GB" w:eastAsia="en-GB" w:bidi="ne-NP"/>
              </w:rPr>
              <w:tab/>
            </w:r>
            <w:r w:rsidR="006624B3" w:rsidRPr="006624B3">
              <w:rPr>
                <w:rStyle w:val="Hyperlink"/>
                <w:noProof/>
                <w:szCs w:val="24"/>
              </w:rPr>
              <w:t>Sasaiste ar Eiropas Savienības Stratēģiju Baltijas jūras reģionam</w:t>
            </w:r>
            <w:r w:rsidR="006624B3" w:rsidRPr="006624B3">
              <w:rPr>
                <w:noProof/>
                <w:webHidden/>
                <w:szCs w:val="24"/>
              </w:rPr>
              <w:tab/>
            </w:r>
            <w:r w:rsidR="006624B3" w:rsidRPr="006624B3">
              <w:rPr>
                <w:noProof/>
                <w:webHidden/>
                <w:szCs w:val="24"/>
              </w:rPr>
              <w:fldChar w:fldCharType="begin"/>
            </w:r>
            <w:r w:rsidR="006624B3" w:rsidRPr="006624B3">
              <w:rPr>
                <w:noProof/>
                <w:webHidden/>
                <w:szCs w:val="24"/>
              </w:rPr>
              <w:instrText xml:space="preserve"> PAGEREF _Toc69125407 \h </w:instrText>
            </w:r>
            <w:r w:rsidR="006624B3" w:rsidRPr="006624B3">
              <w:rPr>
                <w:noProof/>
                <w:webHidden/>
                <w:szCs w:val="24"/>
              </w:rPr>
            </w:r>
            <w:r w:rsidR="006624B3" w:rsidRPr="006624B3">
              <w:rPr>
                <w:noProof/>
                <w:webHidden/>
                <w:szCs w:val="24"/>
              </w:rPr>
              <w:fldChar w:fldCharType="separate"/>
            </w:r>
            <w:r w:rsidR="006624B3" w:rsidRPr="006624B3">
              <w:rPr>
                <w:noProof/>
                <w:webHidden/>
                <w:szCs w:val="24"/>
              </w:rPr>
              <w:t>25</w:t>
            </w:r>
            <w:r w:rsidR="006624B3" w:rsidRPr="006624B3">
              <w:rPr>
                <w:noProof/>
                <w:webHidden/>
                <w:szCs w:val="24"/>
              </w:rPr>
              <w:fldChar w:fldCharType="end"/>
            </w:r>
          </w:hyperlink>
        </w:p>
        <w:p w14:paraId="16EBB501" w14:textId="180E058A" w:rsidR="006624B3" w:rsidRPr="006624B3" w:rsidRDefault="009A507A">
          <w:pPr>
            <w:pStyle w:val="TOC3"/>
            <w:rPr>
              <w:rFonts w:asciiTheme="minorHAnsi" w:eastAsiaTheme="minorEastAsia" w:hAnsiTheme="minorHAnsi" w:cs="Mangal"/>
              <w:noProof/>
              <w:szCs w:val="24"/>
              <w:lang w:val="en-GB" w:eastAsia="en-GB" w:bidi="ne-NP"/>
            </w:rPr>
          </w:pPr>
          <w:hyperlink w:anchor="_Toc69125408" w:history="1">
            <w:r w:rsidR="006624B3" w:rsidRPr="006624B3">
              <w:rPr>
                <w:rStyle w:val="Hyperlink"/>
                <w:noProof/>
                <w:szCs w:val="24"/>
              </w:rPr>
              <w:t>1.politikas mērķis “Konkurentspējīgāka un viedāka Eiropa, veicinot inovatīvas un viedas ekonomiskās pārmaiņas un reģionālo IKT savienojamību”</w:t>
            </w:r>
            <w:r w:rsidR="006624B3" w:rsidRPr="006624B3">
              <w:rPr>
                <w:noProof/>
                <w:webHidden/>
                <w:szCs w:val="24"/>
              </w:rPr>
              <w:tab/>
            </w:r>
            <w:r w:rsidR="006624B3" w:rsidRPr="006624B3">
              <w:rPr>
                <w:noProof/>
                <w:webHidden/>
                <w:szCs w:val="24"/>
              </w:rPr>
              <w:fldChar w:fldCharType="begin"/>
            </w:r>
            <w:r w:rsidR="006624B3" w:rsidRPr="006624B3">
              <w:rPr>
                <w:noProof/>
                <w:webHidden/>
                <w:szCs w:val="24"/>
              </w:rPr>
              <w:instrText xml:space="preserve"> PAGEREF _Toc69125408 \h </w:instrText>
            </w:r>
            <w:r w:rsidR="006624B3" w:rsidRPr="006624B3">
              <w:rPr>
                <w:noProof/>
                <w:webHidden/>
                <w:szCs w:val="24"/>
              </w:rPr>
            </w:r>
            <w:r w:rsidR="006624B3" w:rsidRPr="006624B3">
              <w:rPr>
                <w:noProof/>
                <w:webHidden/>
                <w:szCs w:val="24"/>
              </w:rPr>
              <w:fldChar w:fldCharType="separate"/>
            </w:r>
            <w:r w:rsidR="006624B3" w:rsidRPr="006624B3">
              <w:rPr>
                <w:noProof/>
                <w:webHidden/>
                <w:szCs w:val="24"/>
              </w:rPr>
              <w:t>49</w:t>
            </w:r>
            <w:r w:rsidR="006624B3" w:rsidRPr="006624B3">
              <w:rPr>
                <w:noProof/>
                <w:webHidden/>
                <w:szCs w:val="24"/>
              </w:rPr>
              <w:fldChar w:fldCharType="end"/>
            </w:r>
          </w:hyperlink>
        </w:p>
        <w:p w14:paraId="6B8BA481" w14:textId="4E53C643" w:rsidR="006624B3" w:rsidRPr="006624B3" w:rsidRDefault="009A507A">
          <w:pPr>
            <w:pStyle w:val="TOC3"/>
            <w:rPr>
              <w:rFonts w:asciiTheme="minorHAnsi" w:eastAsiaTheme="minorEastAsia" w:hAnsiTheme="minorHAnsi" w:cs="Mangal"/>
              <w:noProof/>
              <w:szCs w:val="24"/>
              <w:lang w:val="en-GB" w:eastAsia="en-GB" w:bidi="ne-NP"/>
            </w:rPr>
          </w:pPr>
          <w:hyperlink w:anchor="_Toc69125409" w:history="1">
            <w:r w:rsidR="006624B3" w:rsidRPr="006624B3">
              <w:rPr>
                <w:rStyle w:val="Hyperlink"/>
                <w:noProof/>
                <w:szCs w:val="24"/>
              </w:rPr>
              <w:t>2.tabula (2) 1.Politiskā mērķa iznākuma rādītāji</w:t>
            </w:r>
            <w:r w:rsidR="006624B3" w:rsidRPr="006624B3">
              <w:rPr>
                <w:noProof/>
                <w:webHidden/>
                <w:szCs w:val="24"/>
              </w:rPr>
              <w:tab/>
            </w:r>
            <w:r w:rsidR="006624B3" w:rsidRPr="006624B3">
              <w:rPr>
                <w:noProof/>
                <w:webHidden/>
                <w:szCs w:val="24"/>
              </w:rPr>
              <w:fldChar w:fldCharType="begin"/>
            </w:r>
            <w:r w:rsidR="006624B3" w:rsidRPr="006624B3">
              <w:rPr>
                <w:noProof/>
                <w:webHidden/>
                <w:szCs w:val="24"/>
              </w:rPr>
              <w:instrText xml:space="preserve"> PAGEREF _Toc69125409 \h </w:instrText>
            </w:r>
            <w:r w:rsidR="006624B3" w:rsidRPr="006624B3">
              <w:rPr>
                <w:noProof/>
                <w:webHidden/>
                <w:szCs w:val="24"/>
              </w:rPr>
            </w:r>
            <w:r w:rsidR="006624B3" w:rsidRPr="006624B3">
              <w:rPr>
                <w:noProof/>
                <w:webHidden/>
                <w:szCs w:val="24"/>
              </w:rPr>
              <w:fldChar w:fldCharType="separate"/>
            </w:r>
            <w:r w:rsidR="006624B3" w:rsidRPr="006624B3">
              <w:rPr>
                <w:noProof/>
                <w:webHidden/>
                <w:szCs w:val="24"/>
              </w:rPr>
              <w:t>61</w:t>
            </w:r>
            <w:r w:rsidR="006624B3" w:rsidRPr="006624B3">
              <w:rPr>
                <w:noProof/>
                <w:webHidden/>
                <w:szCs w:val="24"/>
              </w:rPr>
              <w:fldChar w:fldCharType="end"/>
            </w:r>
          </w:hyperlink>
        </w:p>
        <w:p w14:paraId="6732CB18" w14:textId="5440EF54" w:rsidR="006624B3" w:rsidRPr="006624B3" w:rsidRDefault="009A507A">
          <w:pPr>
            <w:pStyle w:val="TOC3"/>
            <w:rPr>
              <w:rFonts w:asciiTheme="minorHAnsi" w:eastAsiaTheme="minorEastAsia" w:hAnsiTheme="minorHAnsi" w:cs="Mangal"/>
              <w:noProof/>
              <w:szCs w:val="24"/>
              <w:lang w:val="en-GB" w:eastAsia="en-GB" w:bidi="ne-NP"/>
            </w:rPr>
          </w:pPr>
          <w:hyperlink w:anchor="_Toc69125410" w:history="1">
            <w:r w:rsidR="006624B3" w:rsidRPr="006624B3">
              <w:rPr>
                <w:rStyle w:val="Hyperlink"/>
                <w:iCs/>
                <w:noProof/>
                <w:szCs w:val="24"/>
              </w:rPr>
              <w:t>3.tabula (3) 1.Politiskā mērķa rezultātu rādītāji</w:t>
            </w:r>
            <w:r w:rsidR="006624B3" w:rsidRPr="006624B3">
              <w:rPr>
                <w:noProof/>
                <w:webHidden/>
                <w:szCs w:val="24"/>
              </w:rPr>
              <w:tab/>
            </w:r>
            <w:r w:rsidR="006624B3" w:rsidRPr="006624B3">
              <w:rPr>
                <w:noProof/>
                <w:webHidden/>
                <w:szCs w:val="24"/>
              </w:rPr>
              <w:fldChar w:fldCharType="begin"/>
            </w:r>
            <w:r w:rsidR="006624B3" w:rsidRPr="006624B3">
              <w:rPr>
                <w:noProof/>
                <w:webHidden/>
                <w:szCs w:val="24"/>
              </w:rPr>
              <w:instrText xml:space="preserve"> PAGEREF _Toc69125410 \h </w:instrText>
            </w:r>
            <w:r w:rsidR="006624B3" w:rsidRPr="006624B3">
              <w:rPr>
                <w:noProof/>
                <w:webHidden/>
                <w:szCs w:val="24"/>
              </w:rPr>
            </w:r>
            <w:r w:rsidR="006624B3" w:rsidRPr="006624B3">
              <w:rPr>
                <w:noProof/>
                <w:webHidden/>
                <w:szCs w:val="24"/>
              </w:rPr>
              <w:fldChar w:fldCharType="separate"/>
            </w:r>
            <w:r w:rsidR="006624B3" w:rsidRPr="006624B3">
              <w:rPr>
                <w:noProof/>
                <w:webHidden/>
                <w:szCs w:val="24"/>
              </w:rPr>
              <w:t>63</w:t>
            </w:r>
            <w:r w:rsidR="006624B3" w:rsidRPr="006624B3">
              <w:rPr>
                <w:noProof/>
                <w:webHidden/>
                <w:szCs w:val="24"/>
              </w:rPr>
              <w:fldChar w:fldCharType="end"/>
            </w:r>
          </w:hyperlink>
        </w:p>
        <w:p w14:paraId="22A636A8" w14:textId="308CFA94" w:rsidR="006624B3" w:rsidRPr="006624B3" w:rsidRDefault="009A507A">
          <w:pPr>
            <w:pStyle w:val="TOC3"/>
            <w:rPr>
              <w:rFonts w:asciiTheme="minorHAnsi" w:eastAsiaTheme="minorEastAsia" w:hAnsiTheme="minorHAnsi" w:cs="Mangal"/>
              <w:noProof/>
              <w:szCs w:val="24"/>
              <w:lang w:val="en-GB" w:eastAsia="en-GB" w:bidi="ne-NP"/>
            </w:rPr>
          </w:pPr>
          <w:hyperlink w:anchor="_Toc69125411" w:history="1">
            <w:r w:rsidR="006624B3" w:rsidRPr="006624B3">
              <w:rPr>
                <w:rStyle w:val="Hyperlink"/>
                <w:noProof/>
                <w:szCs w:val="24"/>
              </w:rPr>
              <w:t>2.politikas mērķis “Zaļāka Eiropa ar zemām oglekļa emisijām ceļā uz  klimatneitralitāti, veicinot tīru un taisnīgu enerģētikas pārkārtošanu, “zaļas” un “zilas” investīcijas, aprites ekonomiku, klimata pārmaiņu mazināšanu un pielāgošanos klimata pārmaiņām un, risku novēršanu un pārvaldību un ilgtspējīgu pilsētas mobilitāti”</w:t>
            </w:r>
            <w:r w:rsidR="006624B3" w:rsidRPr="006624B3">
              <w:rPr>
                <w:noProof/>
                <w:webHidden/>
                <w:szCs w:val="24"/>
              </w:rPr>
              <w:tab/>
            </w:r>
            <w:r w:rsidR="006624B3" w:rsidRPr="006624B3">
              <w:rPr>
                <w:noProof/>
                <w:webHidden/>
                <w:szCs w:val="24"/>
              </w:rPr>
              <w:fldChar w:fldCharType="begin"/>
            </w:r>
            <w:r w:rsidR="006624B3" w:rsidRPr="006624B3">
              <w:rPr>
                <w:noProof/>
                <w:webHidden/>
                <w:szCs w:val="24"/>
              </w:rPr>
              <w:instrText xml:space="preserve"> PAGEREF _Toc69125411 \h </w:instrText>
            </w:r>
            <w:r w:rsidR="006624B3" w:rsidRPr="006624B3">
              <w:rPr>
                <w:noProof/>
                <w:webHidden/>
                <w:szCs w:val="24"/>
              </w:rPr>
            </w:r>
            <w:r w:rsidR="006624B3" w:rsidRPr="006624B3">
              <w:rPr>
                <w:noProof/>
                <w:webHidden/>
                <w:szCs w:val="24"/>
              </w:rPr>
              <w:fldChar w:fldCharType="separate"/>
            </w:r>
            <w:r w:rsidR="006624B3" w:rsidRPr="006624B3">
              <w:rPr>
                <w:noProof/>
                <w:webHidden/>
                <w:szCs w:val="24"/>
              </w:rPr>
              <w:t>66</w:t>
            </w:r>
            <w:r w:rsidR="006624B3" w:rsidRPr="006624B3">
              <w:rPr>
                <w:noProof/>
                <w:webHidden/>
                <w:szCs w:val="24"/>
              </w:rPr>
              <w:fldChar w:fldCharType="end"/>
            </w:r>
          </w:hyperlink>
        </w:p>
        <w:p w14:paraId="5D8B83D3" w14:textId="56FFFD7F" w:rsidR="006624B3" w:rsidRPr="006624B3" w:rsidRDefault="009A507A">
          <w:pPr>
            <w:pStyle w:val="TOC3"/>
            <w:rPr>
              <w:rFonts w:asciiTheme="minorHAnsi" w:eastAsiaTheme="minorEastAsia" w:hAnsiTheme="minorHAnsi" w:cs="Mangal"/>
              <w:noProof/>
              <w:szCs w:val="24"/>
              <w:lang w:val="en-GB" w:eastAsia="en-GB" w:bidi="ne-NP"/>
            </w:rPr>
          </w:pPr>
          <w:hyperlink w:anchor="_Toc69125412" w:history="1">
            <w:r w:rsidR="006624B3" w:rsidRPr="006624B3">
              <w:rPr>
                <w:rStyle w:val="Hyperlink"/>
                <w:noProof/>
                <w:szCs w:val="24"/>
              </w:rPr>
              <w:t>4.tabula (2) 2.Politiskā mērķa iznākuma rādītāji</w:t>
            </w:r>
            <w:r w:rsidR="006624B3" w:rsidRPr="006624B3">
              <w:rPr>
                <w:noProof/>
                <w:webHidden/>
                <w:szCs w:val="24"/>
              </w:rPr>
              <w:tab/>
            </w:r>
            <w:r w:rsidR="006624B3" w:rsidRPr="006624B3">
              <w:rPr>
                <w:noProof/>
                <w:webHidden/>
                <w:szCs w:val="24"/>
              </w:rPr>
              <w:fldChar w:fldCharType="begin"/>
            </w:r>
            <w:r w:rsidR="006624B3" w:rsidRPr="006624B3">
              <w:rPr>
                <w:noProof/>
                <w:webHidden/>
                <w:szCs w:val="24"/>
              </w:rPr>
              <w:instrText xml:space="preserve"> PAGEREF _Toc69125412 \h </w:instrText>
            </w:r>
            <w:r w:rsidR="006624B3" w:rsidRPr="006624B3">
              <w:rPr>
                <w:noProof/>
                <w:webHidden/>
                <w:szCs w:val="24"/>
              </w:rPr>
            </w:r>
            <w:r w:rsidR="006624B3" w:rsidRPr="006624B3">
              <w:rPr>
                <w:noProof/>
                <w:webHidden/>
                <w:szCs w:val="24"/>
              </w:rPr>
              <w:fldChar w:fldCharType="separate"/>
            </w:r>
            <w:r w:rsidR="006624B3" w:rsidRPr="006624B3">
              <w:rPr>
                <w:noProof/>
                <w:webHidden/>
                <w:szCs w:val="24"/>
              </w:rPr>
              <w:t>76</w:t>
            </w:r>
            <w:r w:rsidR="006624B3" w:rsidRPr="006624B3">
              <w:rPr>
                <w:noProof/>
                <w:webHidden/>
                <w:szCs w:val="24"/>
              </w:rPr>
              <w:fldChar w:fldCharType="end"/>
            </w:r>
          </w:hyperlink>
        </w:p>
        <w:p w14:paraId="4C4D29B7" w14:textId="3B9FBF71" w:rsidR="006624B3" w:rsidRPr="006624B3" w:rsidRDefault="009A507A">
          <w:pPr>
            <w:pStyle w:val="TOC3"/>
            <w:rPr>
              <w:rFonts w:asciiTheme="minorHAnsi" w:eastAsiaTheme="minorEastAsia" w:hAnsiTheme="minorHAnsi" w:cs="Mangal"/>
              <w:noProof/>
              <w:szCs w:val="24"/>
              <w:lang w:val="en-GB" w:eastAsia="en-GB" w:bidi="ne-NP"/>
            </w:rPr>
          </w:pPr>
          <w:hyperlink w:anchor="_Toc69125413" w:history="1">
            <w:r w:rsidR="006624B3" w:rsidRPr="006624B3">
              <w:rPr>
                <w:rStyle w:val="Hyperlink"/>
                <w:noProof/>
                <w:szCs w:val="24"/>
              </w:rPr>
              <w:t>5.tabula (3) 2.Politiskā mērķa rezultātu rādītāji</w:t>
            </w:r>
            <w:r w:rsidR="006624B3" w:rsidRPr="006624B3">
              <w:rPr>
                <w:noProof/>
                <w:webHidden/>
                <w:szCs w:val="24"/>
              </w:rPr>
              <w:tab/>
            </w:r>
            <w:r w:rsidR="006624B3" w:rsidRPr="006624B3">
              <w:rPr>
                <w:noProof/>
                <w:webHidden/>
                <w:szCs w:val="24"/>
              </w:rPr>
              <w:fldChar w:fldCharType="begin"/>
            </w:r>
            <w:r w:rsidR="006624B3" w:rsidRPr="006624B3">
              <w:rPr>
                <w:noProof/>
                <w:webHidden/>
                <w:szCs w:val="24"/>
              </w:rPr>
              <w:instrText xml:space="preserve"> PAGEREF _Toc69125413 \h </w:instrText>
            </w:r>
            <w:r w:rsidR="006624B3" w:rsidRPr="006624B3">
              <w:rPr>
                <w:noProof/>
                <w:webHidden/>
                <w:szCs w:val="24"/>
              </w:rPr>
            </w:r>
            <w:r w:rsidR="006624B3" w:rsidRPr="006624B3">
              <w:rPr>
                <w:noProof/>
                <w:webHidden/>
                <w:szCs w:val="24"/>
              </w:rPr>
              <w:fldChar w:fldCharType="separate"/>
            </w:r>
            <w:r w:rsidR="006624B3" w:rsidRPr="006624B3">
              <w:rPr>
                <w:noProof/>
                <w:webHidden/>
                <w:szCs w:val="24"/>
              </w:rPr>
              <w:t>77</w:t>
            </w:r>
            <w:r w:rsidR="006624B3" w:rsidRPr="006624B3">
              <w:rPr>
                <w:noProof/>
                <w:webHidden/>
                <w:szCs w:val="24"/>
              </w:rPr>
              <w:fldChar w:fldCharType="end"/>
            </w:r>
          </w:hyperlink>
        </w:p>
        <w:p w14:paraId="4746392E" w14:textId="0DFAAB33" w:rsidR="006624B3" w:rsidRPr="006624B3" w:rsidRDefault="009A507A">
          <w:pPr>
            <w:pStyle w:val="TOC3"/>
            <w:rPr>
              <w:rFonts w:asciiTheme="minorHAnsi" w:eastAsiaTheme="minorEastAsia" w:hAnsiTheme="minorHAnsi" w:cs="Mangal"/>
              <w:noProof/>
              <w:szCs w:val="24"/>
              <w:lang w:val="en-GB" w:eastAsia="en-GB" w:bidi="ne-NP"/>
            </w:rPr>
          </w:pPr>
          <w:hyperlink w:anchor="_Toc69125414" w:history="1">
            <w:r w:rsidR="006624B3" w:rsidRPr="006624B3">
              <w:rPr>
                <w:rStyle w:val="Hyperlink"/>
                <w:noProof/>
                <w:szCs w:val="24"/>
              </w:rPr>
              <w:t>3.politikas mērķis “Ciešāk savienota Eiropa, uzlabojot mobilitāti”</w:t>
            </w:r>
            <w:r w:rsidR="006624B3" w:rsidRPr="006624B3">
              <w:rPr>
                <w:noProof/>
                <w:webHidden/>
                <w:szCs w:val="24"/>
              </w:rPr>
              <w:tab/>
            </w:r>
            <w:r w:rsidR="006624B3" w:rsidRPr="006624B3">
              <w:rPr>
                <w:noProof/>
                <w:webHidden/>
                <w:szCs w:val="24"/>
              </w:rPr>
              <w:fldChar w:fldCharType="begin"/>
            </w:r>
            <w:r w:rsidR="006624B3" w:rsidRPr="006624B3">
              <w:rPr>
                <w:noProof/>
                <w:webHidden/>
                <w:szCs w:val="24"/>
              </w:rPr>
              <w:instrText xml:space="preserve"> PAGEREF _Toc69125414 \h </w:instrText>
            </w:r>
            <w:r w:rsidR="006624B3" w:rsidRPr="006624B3">
              <w:rPr>
                <w:noProof/>
                <w:webHidden/>
                <w:szCs w:val="24"/>
              </w:rPr>
            </w:r>
            <w:r w:rsidR="006624B3" w:rsidRPr="006624B3">
              <w:rPr>
                <w:noProof/>
                <w:webHidden/>
                <w:szCs w:val="24"/>
              </w:rPr>
              <w:fldChar w:fldCharType="separate"/>
            </w:r>
            <w:r w:rsidR="006624B3" w:rsidRPr="006624B3">
              <w:rPr>
                <w:noProof/>
                <w:webHidden/>
                <w:szCs w:val="24"/>
              </w:rPr>
              <w:t>81</w:t>
            </w:r>
            <w:r w:rsidR="006624B3" w:rsidRPr="006624B3">
              <w:rPr>
                <w:noProof/>
                <w:webHidden/>
                <w:szCs w:val="24"/>
              </w:rPr>
              <w:fldChar w:fldCharType="end"/>
            </w:r>
          </w:hyperlink>
        </w:p>
        <w:p w14:paraId="6C0C8289" w14:textId="5BBDD4CB" w:rsidR="006624B3" w:rsidRPr="006624B3" w:rsidRDefault="009A507A">
          <w:pPr>
            <w:pStyle w:val="TOC3"/>
            <w:rPr>
              <w:rFonts w:asciiTheme="minorHAnsi" w:eastAsiaTheme="minorEastAsia" w:hAnsiTheme="minorHAnsi" w:cs="Mangal"/>
              <w:noProof/>
              <w:szCs w:val="24"/>
              <w:lang w:val="en-GB" w:eastAsia="en-GB" w:bidi="ne-NP"/>
            </w:rPr>
          </w:pPr>
          <w:hyperlink w:anchor="_Toc69125415" w:history="1">
            <w:r w:rsidR="006624B3" w:rsidRPr="006624B3">
              <w:rPr>
                <w:rStyle w:val="Hyperlink"/>
                <w:noProof/>
                <w:szCs w:val="24"/>
              </w:rPr>
              <w:t>6.tabula (2) 3.Politiskā mērķa iznākuma rādītāji</w:t>
            </w:r>
            <w:r w:rsidR="006624B3" w:rsidRPr="006624B3">
              <w:rPr>
                <w:noProof/>
                <w:webHidden/>
                <w:szCs w:val="24"/>
              </w:rPr>
              <w:tab/>
            </w:r>
            <w:r w:rsidR="006624B3" w:rsidRPr="006624B3">
              <w:rPr>
                <w:noProof/>
                <w:webHidden/>
                <w:szCs w:val="24"/>
              </w:rPr>
              <w:fldChar w:fldCharType="begin"/>
            </w:r>
            <w:r w:rsidR="006624B3" w:rsidRPr="006624B3">
              <w:rPr>
                <w:noProof/>
                <w:webHidden/>
                <w:szCs w:val="24"/>
              </w:rPr>
              <w:instrText xml:space="preserve"> PAGEREF _Toc69125415 \h </w:instrText>
            </w:r>
            <w:r w:rsidR="006624B3" w:rsidRPr="006624B3">
              <w:rPr>
                <w:noProof/>
                <w:webHidden/>
                <w:szCs w:val="24"/>
              </w:rPr>
            </w:r>
            <w:r w:rsidR="006624B3" w:rsidRPr="006624B3">
              <w:rPr>
                <w:noProof/>
                <w:webHidden/>
                <w:szCs w:val="24"/>
              </w:rPr>
              <w:fldChar w:fldCharType="separate"/>
            </w:r>
            <w:r w:rsidR="006624B3" w:rsidRPr="006624B3">
              <w:rPr>
                <w:noProof/>
                <w:webHidden/>
                <w:szCs w:val="24"/>
              </w:rPr>
              <w:t>83</w:t>
            </w:r>
            <w:r w:rsidR="006624B3" w:rsidRPr="006624B3">
              <w:rPr>
                <w:noProof/>
                <w:webHidden/>
                <w:szCs w:val="24"/>
              </w:rPr>
              <w:fldChar w:fldCharType="end"/>
            </w:r>
          </w:hyperlink>
        </w:p>
        <w:p w14:paraId="36F8A008" w14:textId="0A946C61" w:rsidR="006624B3" w:rsidRPr="006624B3" w:rsidRDefault="009A507A">
          <w:pPr>
            <w:pStyle w:val="TOC3"/>
            <w:rPr>
              <w:rFonts w:asciiTheme="minorHAnsi" w:eastAsiaTheme="minorEastAsia" w:hAnsiTheme="minorHAnsi" w:cs="Mangal"/>
              <w:noProof/>
              <w:szCs w:val="24"/>
              <w:lang w:val="en-GB" w:eastAsia="en-GB" w:bidi="ne-NP"/>
            </w:rPr>
          </w:pPr>
          <w:hyperlink w:anchor="_Toc69125416" w:history="1">
            <w:r w:rsidR="006624B3" w:rsidRPr="006624B3">
              <w:rPr>
                <w:rStyle w:val="Hyperlink"/>
                <w:noProof/>
                <w:szCs w:val="24"/>
              </w:rPr>
              <w:t>7.tabula (3) 3.Politiskā mērķa rezultātu rādītāji</w:t>
            </w:r>
            <w:r w:rsidR="006624B3" w:rsidRPr="006624B3">
              <w:rPr>
                <w:noProof/>
                <w:webHidden/>
                <w:szCs w:val="24"/>
              </w:rPr>
              <w:tab/>
            </w:r>
            <w:r w:rsidR="006624B3" w:rsidRPr="006624B3">
              <w:rPr>
                <w:noProof/>
                <w:webHidden/>
                <w:szCs w:val="24"/>
              </w:rPr>
              <w:fldChar w:fldCharType="begin"/>
            </w:r>
            <w:r w:rsidR="006624B3" w:rsidRPr="006624B3">
              <w:rPr>
                <w:noProof/>
                <w:webHidden/>
                <w:szCs w:val="24"/>
              </w:rPr>
              <w:instrText xml:space="preserve"> PAGEREF _Toc69125416 \h </w:instrText>
            </w:r>
            <w:r w:rsidR="006624B3" w:rsidRPr="006624B3">
              <w:rPr>
                <w:noProof/>
                <w:webHidden/>
                <w:szCs w:val="24"/>
              </w:rPr>
            </w:r>
            <w:r w:rsidR="006624B3" w:rsidRPr="006624B3">
              <w:rPr>
                <w:noProof/>
                <w:webHidden/>
                <w:szCs w:val="24"/>
              </w:rPr>
              <w:fldChar w:fldCharType="separate"/>
            </w:r>
            <w:r w:rsidR="006624B3" w:rsidRPr="006624B3">
              <w:rPr>
                <w:noProof/>
                <w:webHidden/>
                <w:szCs w:val="24"/>
              </w:rPr>
              <w:t>83</w:t>
            </w:r>
            <w:r w:rsidR="006624B3" w:rsidRPr="006624B3">
              <w:rPr>
                <w:noProof/>
                <w:webHidden/>
                <w:szCs w:val="24"/>
              </w:rPr>
              <w:fldChar w:fldCharType="end"/>
            </w:r>
          </w:hyperlink>
        </w:p>
        <w:p w14:paraId="7B2019DC" w14:textId="11272157" w:rsidR="006624B3" w:rsidRPr="006624B3" w:rsidRDefault="009A507A">
          <w:pPr>
            <w:pStyle w:val="TOC3"/>
            <w:rPr>
              <w:rFonts w:asciiTheme="minorHAnsi" w:eastAsiaTheme="minorEastAsia" w:hAnsiTheme="minorHAnsi" w:cs="Mangal"/>
              <w:noProof/>
              <w:szCs w:val="24"/>
              <w:lang w:val="en-GB" w:eastAsia="en-GB" w:bidi="ne-NP"/>
            </w:rPr>
          </w:pPr>
          <w:hyperlink w:anchor="_Toc69125417" w:history="1">
            <w:r w:rsidR="006624B3" w:rsidRPr="006624B3">
              <w:rPr>
                <w:rStyle w:val="Hyperlink"/>
                <w:noProof/>
                <w:szCs w:val="24"/>
              </w:rPr>
              <w:t>4.politikas mērķis “Sociālāka un iekļaujošāka Eiropa, īstenojot Eiropas sociālo tiesību pīlāru”</w:t>
            </w:r>
            <w:r w:rsidR="006624B3" w:rsidRPr="006624B3">
              <w:rPr>
                <w:noProof/>
                <w:webHidden/>
                <w:szCs w:val="24"/>
              </w:rPr>
              <w:tab/>
            </w:r>
            <w:r w:rsidR="006624B3" w:rsidRPr="006624B3">
              <w:rPr>
                <w:noProof/>
                <w:webHidden/>
                <w:szCs w:val="24"/>
              </w:rPr>
              <w:fldChar w:fldCharType="begin"/>
            </w:r>
            <w:r w:rsidR="006624B3" w:rsidRPr="006624B3">
              <w:rPr>
                <w:noProof/>
                <w:webHidden/>
                <w:szCs w:val="24"/>
              </w:rPr>
              <w:instrText xml:space="preserve"> PAGEREF _Toc69125417 \h </w:instrText>
            </w:r>
            <w:r w:rsidR="006624B3" w:rsidRPr="006624B3">
              <w:rPr>
                <w:noProof/>
                <w:webHidden/>
                <w:szCs w:val="24"/>
              </w:rPr>
            </w:r>
            <w:r w:rsidR="006624B3" w:rsidRPr="006624B3">
              <w:rPr>
                <w:noProof/>
                <w:webHidden/>
                <w:szCs w:val="24"/>
              </w:rPr>
              <w:fldChar w:fldCharType="separate"/>
            </w:r>
            <w:r w:rsidR="006624B3" w:rsidRPr="006624B3">
              <w:rPr>
                <w:noProof/>
                <w:webHidden/>
                <w:szCs w:val="24"/>
              </w:rPr>
              <w:t>85</w:t>
            </w:r>
            <w:r w:rsidR="006624B3" w:rsidRPr="006624B3">
              <w:rPr>
                <w:noProof/>
                <w:webHidden/>
                <w:szCs w:val="24"/>
              </w:rPr>
              <w:fldChar w:fldCharType="end"/>
            </w:r>
          </w:hyperlink>
        </w:p>
        <w:p w14:paraId="198D0DA7" w14:textId="1F3A01D9" w:rsidR="006624B3" w:rsidRPr="006624B3" w:rsidRDefault="009A507A">
          <w:pPr>
            <w:pStyle w:val="TOC3"/>
            <w:rPr>
              <w:rFonts w:asciiTheme="minorHAnsi" w:eastAsiaTheme="minorEastAsia" w:hAnsiTheme="minorHAnsi" w:cs="Mangal"/>
              <w:noProof/>
              <w:szCs w:val="24"/>
              <w:lang w:val="en-GB" w:eastAsia="en-GB" w:bidi="ne-NP"/>
            </w:rPr>
          </w:pPr>
          <w:hyperlink w:anchor="_Toc69125418" w:history="1">
            <w:r w:rsidR="006624B3" w:rsidRPr="006624B3">
              <w:rPr>
                <w:rStyle w:val="Hyperlink"/>
                <w:noProof/>
                <w:szCs w:val="24"/>
              </w:rPr>
              <w:t>8.tabula (2) 4.Politiskā mērķa iznākuma rādītāji</w:t>
            </w:r>
            <w:r w:rsidR="006624B3" w:rsidRPr="006624B3">
              <w:rPr>
                <w:noProof/>
                <w:webHidden/>
                <w:szCs w:val="24"/>
              </w:rPr>
              <w:tab/>
            </w:r>
            <w:r w:rsidR="006624B3" w:rsidRPr="006624B3">
              <w:rPr>
                <w:noProof/>
                <w:webHidden/>
                <w:szCs w:val="24"/>
              </w:rPr>
              <w:fldChar w:fldCharType="begin"/>
            </w:r>
            <w:r w:rsidR="006624B3" w:rsidRPr="006624B3">
              <w:rPr>
                <w:noProof/>
                <w:webHidden/>
                <w:szCs w:val="24"/>
              </w:rPr>
              <w:instrText xml:space="preserve"> PAGEREF _Toc69125418 \h </w:instrText>
            </w:r>
            <w:r w:rsidR="006624B3" w:rsidRPr="006624B3">
              <w:rPr>
                <w:noProof/>
                <w:webHidden/>
                <w:szCs w:val="24"/>
              </w:rPr>
            </w:r>
            <w:r w:rsidR="006624B3" w:rsidRPr="006624B3">
              <w:rPr>
                <w:noProof/>
                <w:webHidden/>
                <w:szCs w:val="24"/>
              </w:rPr>
              <w:fldChar w:fldCharType="separate"/>
            </w:r>
            <w:r w:rsidR="006624B3" w:rsidRPr="006624B3">
              <w:rPr>
                <w:noProof/>
                <w:webHidden/>
                <w:szCs w:val="24"/>
              </w:rPr>
              <w:t>111</w:t>
            </w:r>
            <w:r w:rsidR="006624B3" w:rsidRPr="006624B3">
              <w:rPr>
                <w:noProof/>
                <w:webHidden/>
                <w:szCs w:val="24"/>
              </w:rPr>
              <w:fldChar w:fldCharType="end"/>
            </w:r>
          </w:hyperlink>
        </w:p>
        <w:p w14:paraId="5351758A" w14:textId="4FDB90FF" w:rsidR="006624B3" w:rsidRPr="006624B3" w:rsidRDefault="009A507A">
          <w:pPr>
            <w:pStyle w:val="TOC3"/>
            <w:rPr>
              <w:rFonts w:asciiTheme="minorHAnsi" w:eastAsiaTheme="minorEastAsia" w:hAnsiTheme="minorHAnsi" w:cs="Mangal"/>
              <w:noProof/>
              <w:szCs w:val="24"/>
              <w:lang w:val="en-GB" w:eastAsia="en-GB" w:bidi="ne-NP"/>
            </w:rPr>
          </w:pPr>
          <w:hyperlink w:anchor="_Toc69125419" w:history="1">
            <w:r w:rsidR="006624B3" w:rsidRPr="006624B3">
              <w:rPr>
                <w:rStyle w:val="Hyperlink"/>
                <w:noProof/>
                <w:szCs w:val="24"/>
              </w:rPr>
              <w:t>9.tabula (3) 4.Politiskā mērķa rezultātu rādītāji</w:t>
            </w:r>
            <w:r w:rsidR="006624B3" w:rsidRPr="006624B3">
              <w:rPr>
                <w:noProof/>
                <w:webHidden/>
                <w:szCs w:val="24"/>
              </w:rPr>
              <w:tab/>
            </w:r>
            <w:r w:rsidR="006624B3" w:rsidRPr="006624B3">
              <w:rPr>
                <w:noProof/>
                <w:webHidden/>
                <w:szCs w:val="24"/>
              </w:rPr>
              <w:fldChar w:fldCharType="begin"/>
            </w:r>
            <w:r w:rsidR="006624B3" w:rsidRPr="006624B3">
              <w:rPr>
                <w:noProof/>
                <w:webHidden/>
                <w:szCs w:val="24"/>
              </w:rPr>
              <w:instrText xml:space="preserve"> PAGEREF _Toc69125419 \h </w:instrText>
            </w:r>
            <w:r w:rsidR="006624B3" w:rsidRPr="006624B3">
              <w:rPr>
                <w:noProof/>
                <w:webHidden/>
                <w:szCs w:val="24"/>
              </w:rPr>
            </w:r>
            <w:r w:rsidR="006624B3" w:rsidRPr="006624B3">
              <w:rPr>
                <w:noProof/>
                <w:webHidden/>
                <w:szCs w:val="24"/>
              </w:rPr>
              <w:fldChar w:fldCharType="separate"/>
            </w:r>
            <w:r w:rsidR="006624B3" w:rsidRPr="006624B3">
              <w:rPr>
                <w:noProof/>
                <w:webHidden/>
                <w:szCs w:val="24"/>
              </w:rPr>
              <w:t>113</w:t>
            </w:r>
            <w:r w:rsidR="006624B3" w:rsidRPr="006624B3">
              <w:rPr>
                <w:noProof/>
                <w:webHidden/>
                <w:szCs w:val="24"/>
              </w:rPr>
              <w:fldChar w:fldCharType="end"/>
            </w:r>
          </w:hyperlink>
        </w:p>
        <w:p w14:paraId="77171FF9" w14:textId="354A403C" w:rsidR="006624B3" w:rsidRPr="006624B3" w:rsidRDefault="009A507A">
          <w:pPr>
            <w:pStyle w:val="TOC3"/>
            <w:rPr>
              <w:rFonts w:asciiTheme="minorHAnsi" w:eastAsiaTheme="minorEastAsia" w:hAnsiTheme="minorHAnsi" w:cs="Mangal"/>
              <w:noProof/>
              <w:szCs w:val="24"/>
              <w:lang w:val="en-GB" w:eastAsia="en-GB" w:bidi="ne-NP"/>
            </w:rPr>
          </w:pPr>
          <w:hyperlink w:anchor="_Toc69125420" w:history="1">
            <w:r w:rsidR="006624B3" w:rsidRPr="006624B3">
              <w:rPr>
                <w:rStyle w:val="Hyperlink"/>
                <w:noProof/>
                <w:szCs w:val="24"/>
              </w:rPr>
              <w:t>5.politikas mērķis “Pilsoņiem tuvāka Eiropa, veicinot ilgtspējīgu un integrētu visu teritoriju attīstību un vietējās iniciatīvas”</w:t>
            </w:r>
            <w:r w:rsidR="006624B3" w:rsidRPr="006624B3">
              <w:rPr>
                <w:noProof/>
                <w:webHidden/>
                <w:szCs w:val="24"/>
              </w:rPr>
              <w:tab/>
            </w:r>
            <w:r w:rsidR="006624B3" w:rsidRPr="006624B3">
              <w:rPr>
                <w:noProof/>
                <w:webHidden/>
                <w:szCs w:val="24"/>
              </w:rPr>
              <w:fldChar w:fldCharType="begin"/>
            </w:r>
            <w:r w:rsidR="006624B3" w:rsidRPr="006624B3">
              <w:rPr>
                <w:noProof/>
                <w:webHidden/>
                <w:szCs w:val="24"/>
              </w:rPr>
              <w:instrText xml:space="preserve"> PAGEREF _Toc69125420 \h </w:instrText>
            </w:r>
            <w:r w:rsidR="006624B3" w:rsidRPr="006624B3">
              <w:rPr>
                <w:noProof/>
                <w:webHidden/>
                <w:szCs w:val="24"/>
              </w:rPr>
            </w:r>
            <w:r w:rsidR="006624B3" w:rsidRPr="006624B3">
              <w:rPr>
                <w:noProof/>
                <w:webHidden/>
                <w:szCs w:val="24"/>
              </w:rPr>
              <w:fldChar w:fldCharType="separate"/>
            </w:r>
            <w:r w:rsidR="006624B3" w:rsidRPr="006624B3">
              <w:rPr>
                <w:noProof/>
                <w:webHidden/>
                <w:szCs w:val="24"/>
              </w:rPr>
              <w:t>119</w:t>
            </w:r>
            <w:r w:rsidR="006624B3" w:rsidRPr="006624B3">
              <w:rPr>
                <w:noProof/>
                <w:webHidden/>
                <w:szCs w:val="24"/>
              </w:rPr>
              <w:fldChar w:fldCharType="end"/>
            </w:r>
          </w:hyperlink>
        </w:p>
        <w:p w14:paraId="4D32826D" w14:textId="23B73BF1" w:rsidR="006624B3" w:rsidRPr="006624B3" w:rsidRDefault="009A507A">
          <w:pPr>
            <w:pStyle w:val="TOC3"/>
            <w:rPr>
              <w:rFonts w:asciiTheme="minorHAnsi" w:eastAsiaTheme="minorEastAsia" w:hAnsiTheme="minorHAnsi" w:cs="Mangal"/>
              <w:noProof/>
              <w:szCs w:val="24"/>
              <w:lang w:val="en-GB" w:eastAsia="en-GB" w:bidi="ne-NP"/>
            </w:rPr>
          </w:pPr>
          <w:hyperlink w:anchor="_Toc69125421" w:history="1">
            <w:r w:rsidR="006624B3" w:rsidRPr="006624B3">
              <w:rPr>
                <w:rStyle w:val="Hyperlink"/>
                <w:noProof/>
                <w:szCs w:val="24"/>
              </w:rPr>
              <w:t>10.tabula (2) 5.Politiskā mērķa iznākuma rādītāji</w:t>
            </w:r>
            <w:r w:rsidR="006624B3" w:rsidRPr="006624B3">
              <w:rPr>
                <w:noProof/>
                <w:webHidden/>
                <w:szCs w:val="24"/>
              </w:rPr>
              <w:tab/>
            </w:r>
            <w:r w:rsidR="006624B3" w:rsidRPr="006624B3">
              <w:rPr>
                <w:noProof/>
                <w:webHidden/>
                <w:szCs w:val="24"/>
              </w:rPr>
              <w:fldChar w:fldCharType="begin"/>
            </w:r>
            <w:r w:rsidR="006624B3" w:rsidRPr="006624B3">
              <w:rPr>
                <w:noProof/>
                <w:webHidden/>
                <w:szCs w:val="24"/>
              </w:rPr>
              <w:instrText xml:space="preserve"> PAGEREF _Toc69125421 \h </w:instrText>
            </w:r>
            <w:r w:rsidR="006624B3" w:rsidRPr="006624B3">
              <w:rPr>
                <w:noProof/>
                <w:webHidden/>
                <w:szCs w:val="24"/>
              </w:rPr>
            </w:r>
            <w:r w:rsidR="006624B3" w:rsidRPr="006624B3">
              <w:rPr>
                <w:noProof/>
                <w:webHidden/>
                <w:szCs w:val="24"/>
              </w:rPr>
              <w:fldChar w:fldCharType="separate"/>
            </w:r>
            <w:r w:rsidR="006624B3" w:rsidRPr="006624B3">
              <w:rPr>
                <w:noProof/>
                <w:webHidden/>
                <w:szCs w:val="24"/>
              </w:rPr>
              <w:t>124</w:t>
            </w:r>
            <w:r w:rsidR="006624B3" w:rsidRPr="006624B3">
              <w:rPr>
                <w:noProof/>
                <w:webHidden/>
                <w:szCs w:val="24"/>
              </w:rPr>
              <w:fldChar w:fldCharType="end"/>
            </w:r>
          </w:hyperlink>
        </w:p>
        <w:p w14:paraId="25C269E3" w14:textId="67CFD056" w:rsidR="006624B3" w:rsidRPr="006624B3" w:rsidRDefault="009A507A">
          <w:pPr>
            <w:pStyle w:val="TOC3"/>
            <w:rPr>
              <w:rFonts w:asciiTheme="minorHAnsi" w:eastAsiaTheme="minorEastAsia" w:hAnsiTheme="minorHAnsi" w:cs="Mangal"/>
              <w:noProof/>
              <w:szCs w:val="24"/>
              <w:lang w:val="en-GB" w:eastAsia="en-GB" w:bidi="ne-NP"/>
            </w:rPr>
          </w:pPr>
          <w:hyperlink w:anchor="_Toc69125422" w:history="1">
            <w:r w:rsidR="006624B3" w:rsidRPr="006624B3">
              <w:rPr>
                <w:rStyle w:val="Hyperlink"/>
                <w:noProof/>
                <w:szCs w:val="24"/>
              </w:rPr>
              <w:t>11.tabula (3) 5.Politiskā mērķa rezultātu rādītāji</w:t>
            </w:r>
            <w:r w:rsidR="006624B3" w:rsidRPr="006624B3">
              <w:rPr>
                <w:noProof/>
                <w:webHidden/>
                <w:szCs w:val="24"/>
              </w:rPr>
              <w:tab/>
            </w:r>
            <w:r w:rsidR="006624B3" w:rsidRPr="006624B3">
              <w:rPr>
                <w:noProof/>
                <w:webHidden/>
                <w:szCs w:val="24"/>
              </w:rPr>
              <w:fldChar w:fldCharType="begin"/>
            </w:r>
            <w:r w:rsidR="006624B3" w:rsidRPr="006624B3">
              <w:rPr>
                <w:noProof/>
                <w:webHidden/>
                <w:szCs w:val="24"/>
              </w:rPr>
              <w:instrText xml:space="preserve"> PAGEREF _Toc69125422 \h </w:instrText>
            </w:r>
            <w:r w:rsidR="006624B3" w:rsidRPr="006624B3">
              <w:rPr>
                <w:noProof/>
                <w:webHidden/>
                <w:szCs w:val="24"/>
              </w:rPr>
            </w:r>
            <w:r w:rsidR="006624B3" w:rsidRPr="006624B3">
              <w:rPr>
                <w:noProof/>
                <w:webHidden/>
                <w:szCs w:val="24"/>
              </w:rPr>
              <w:fldChar w:fldCharType="separate"/>
            </w:r>
            <w:r w:rsidR="006624B3" w:rsidRPr="006624B3">
              <w:rPr>
                <w:noProof/>
                <w:webHidden/>
                <w:szCs w:val="24"/>
              </w:rPr>
              <w:t>124</w:t>
            </w:r>
            <w:r w:rsidR="006624B3" w:rsidRPr="006624B3">
              <w:rPr>
                <w:noProof/>
                <w:webHidden/>
                <w:szCs w:val="24"/>
              </w:rPr>
              <w:fldChar w:fldCharType="end"/>
            </w:r>
          </w:hyperlink>
        </w:p>
        <w:p w14:paraId="2E64FE96" w14:textId="61D0569A" w:rsidR="006624B3" w:rsidRPr="006624B3" w:rsidRDefault="009A507A">
          <w:pPr>
            <w:pStyle w:val="TOC3"/>
            <w:rPr>
              <w:rFonts w:asciiTheme="minorHAnsi" w:eastAsiaTheme="minorEastAsia" w:hAnsiTheme="minorHAnsi" w:cs="Mangal"/>
              <w:noProof/>
              <w:szCs w:val="24"/>
              <w:lang w:val="en-GB" w:eastAsia="en-GB" w:bidi="ne-NP"/>
            </w:rPr>
          </w:pPr>
          <w:hyperlink w:anchor="_Toc69125423" w:history="1">
            <w:r w:rsidR="006624B3" w:rsidRPr="006624B3">
              <w:rPr>
                <w:rStyle w:val="Hyperlink"/>
                <w:noProof/>
                <w:szCs w:val="24"/>
              </w:rPr>
              <w:t>6.politikas mērķis “Taisnīgās pārkārtošanās fonda investīcijas”</w:t>
            </w:r>
            <w:r w:rsidR="006624B3" w:rsidRPr="006624B3">
              <w:rPr>
                <w:noProof/>
                <w:webHidden/>
                <w:szCs w:val="24"/>
              </w:rPr>
              <w:tab/>
            </w:r>
            <w:r w:rsidR="006624B3" w:rsidRPr="006624B3">
              <w:rPr>
                <w:noProof/>
                <w:webHidden/>
                <w:szCs w:val="24"/>
              </w:rPr>
              <w:fldChar w:fldCharType="begin"/>
            </w:r>
            <w:r w:rsidR="006624B3" w:rsidRPr="006624B3">
              <w:rPr>
                <w:noProof/>
                <w:webHidden/>
                <w:szCs w:val="24"/>
              </w:rPr>
              <w:instrText xml:space="preserve"> PAGEREF _Toc69125423 \h </w:instrText>
            </w:r>
            <w:r w:rsidR="006624B3" w:rsidRPr="006624B3">
              <w:rPr>
                <w:noProof/>
                <w:webHidden/>
                <w:szCs w:val="24"/>
              </w:rPr>
            </w:r>
            <w:r w:rsidR="006624B3" w:rsidRPr="006624B3">
              <w:rPr>
                <w:noProof/>
                <w:webHidden/>
                <w:szCs w:val="24"/>
              </w:rPr>
              <w:fldChar w:fldCharType="separate"/>
            </w:r>
            <w:r w:rsidR="006624B3" w:rsidRPr="006624B3">
              <w:rPr>
                <w:noProof/>
                <w:webHidden/>
                <w:szCs w:val="24"/>
              </w:rPr>
              <w:t>126</w:t>
            </w:r>
            <w:r w:rsidR="006624B3" w:rsidRPr="006624B3">
              <w:rPr>
                <w:noProof/>
                <w:webHidden/>
                <w:szCs w:val="24"/>
              </w:rPr>
              <w:fldChar w:fldCharType="end"/>
            </w:r>
          </w:hyperlink>
        </w:p>
        <w:p w14:paraId="73878127" w14:textId="3F9F62F2" w:rsidR="006624B3" w:rsidRPr="006624B3" w:rsidRDefault="009A507A">
          <w:pPr>
            <w:pStyle w:val="TOC3"/>
            <w:rPr>
              <w:rFonts w:asciiTheme="minorHAnsi" w:eastAsiaTheme="minorEastAsia" w:hAnsiTheme="minorHAnsi" w:cs="Mangal"/>
              <w:noProof/>
              <w:szCs w:val="24"/>
              <w:lang w:val="en-GB" w:eastAsia="en-GB" w:bidi="ne-NP"/>
            </w:rPr>
          </w:pPr>
          <w:hyperlink w:anchor="_Toc69125424" w:history="1">
            <w:r w:rsidR="006624B3" w:rsidRPr="006624B3">
              <w:rPr>
                <w:rStyle w:val="Hyperlink"/>
                <w:noProof/>
                <w:szCs w:val="24"/>
              </w:rPr>
              <w:t>12.tabula (2) 6.Politiskā mērķa iznākuma rādītāji</w:t>
            </w:r>
            <w:r w:rsidR="006624B3" w:rsidRPr="006624B3">
              <w:rPr>
                <w:noProof/>
                <w:webHidden/>
                <w:szCs w:val="24"/>
              </w:rPr>
              <w:tab/>
            </w:r>
            <w:r w:rsidR="006624B3" w:rsidRPr="006624B3">
              <w:rPr>
                <w:noProof/>
                <w:webHidden/>
                <w:szCs w:val="24"/>
              </w:rPr>
              <w:fldChar w:fldCharType="begin"/>
            </w:r>
            <w:r w:rsidR="006624B3" w:rsidRPr="006624B3">
              <w:rPr>
                <w:noProof/>
                <w:webHidden/>
                <w:szCs w:val="24"/>
              </w:rPr>
              <w:instrText xml:space="preserve"> PAGEREF _Toc69125424 \h </w:instrText>
            </w:r>
            <w:r w:rsidR="006624B3" w:rsidRPr="006624B3">
              <w:rPr>
                <w:noProof/>
                <w:webHidden/>
                <w:szCs w:val="24"/>
              </w:rPr>
            </w:r>
            <w:r w:rsidR="006624B3" w:rsidRPr="006624B3">
              <w:rPr>
                <w:noProof/>
                <w:webHidden/>
                <w:szCs w:val="24"/>
              </w:rPr>
              <w:fldChar w:fldCharType="separate"/>
            </w:r>
            <w:r w:rsidR="006624B3" w:rsidRPr="006624B3">
              <w:rPr>
                <w:noProof/>
                <w:webHidden/>
                <w:szCs w:val="24"/>
              </w:rPr>
              <w:t>129</w:t>
            </w:r>
            <w:r w:rsidR="006624B3" w:rsidRPr="006624B3">
              <w:rPr>
                <w:noProof/>
                <w:webHidden/>
                <w:szCs w:val="24"/>
              </w:rPr>
              <w:fldChar w:fldCharType="end"/>
            </w:r>
          </w:hyperlink>
        </w:p>
        <w:p w14:paraId="3072AC01" w14:textId="14252761" w:rsidR="006624B3" w:rsidRPr="006624B3" w:rsidRDefault="009A507A">
          <w:pPr>
            <w:pStyle w:val="TOC3"/>
            <w:rPr>
              <w:rFonts w:asciiTheme="minorHAnsi" w:eastAsiaTheme="minorEastAsia" w:hAnsiTheme="minorHAnsi" w:cs="Mangal"/>
              <w:noProof/>
              <w:szCs w:val="24"/>
              <w:lang w:val="en-GB" w:eastAsia="en-GB" w:bidi="ne-NP"/>
            </w:rPr>
          </w:pPr>
          <w:hyperlink w:anchor="_Toc69125425" w:history="1">
            <w:r w:rsidR="006624B3" w:rsidRPr="006624B3">
              <w:rPr>
                <w:rStyle w:val="Hyperlink"/>
                <w:noProof/>
                <w:szCs w:val="24"/>
              </w:rPr>
              <w:t>13.tabula (3) 6.Politiskā mērķa rezultātu rādītāji</w:t>
            </w:r>
            <w:r w:rsidR="006624B3" w:rsidRPr="006624B3">
              <w:rPr>
                <w:noProof/>
                <w:webHidden/>
                <w:szCs w:val="24"/>
              </w:rPr>
              <w:tab/>
            </w:r>
            <w:r w:rsidR="006624B3" w:rsidRPr="006624B3">
              <w:rPr>
                <w:noProof/>
                <w:webHidden/>
                <w:szCs w:val="24"/>
              </w:rPr>
              <w:fldChar w:fldCharType="begin"/>
            </w:r>
            <w:r w:rsidR="006624B3" w:rsidRPr="006624B3">
              <w:rPr>
                <w:noProof/>
                <w:webHidden/>
                <w:szCs w:val="24"/>
              </w:rPr>
              <w:instrText xml:space="preserve"> PAGEREF _Toc69125425 \h </w:instrText>
            </w:r>
            <w:r w:rsidR="006624B3" w:rsidRPr="006624B3">
              <w:rPr>
                <w:noProof/>
                <w:webHidden/>
                <w:szCs w:val="24"/>
              </w:rPr>
            </w:r>
            <w:r w:rsidR="006624B3" w:rsidRPr="006624B3">
              <w:rPr>
                <w:noProof/>
                <w:webHidden/>
                <w:szCs w:val="24"/>
              </w:rPr>
              <w:fldChar w:fldCharType="separate"/>
            </w:r>
            <w:r w:rsidR="006624B3" w:rsidRPr="006624B3">
              <w:rPr>
                <w:noProof/>
                <w:webHidden/>
                <w:szCs w:val="24"/>
              </w:rPr>
              <w:t>129</w:t>
            </w:r>
            <w:r w:rsidR="006624B3" w:rsidRPr="006624B3">
              <w:rPr>
                <w:noProof/>
                <w:webHidden/>
                <w:szCs w:val="24"/>
              </w:rPr>
              <w:fldChar w:fldCharType="end"/>
            </w:r>
          </w:hyperlink>
        </w:p>
        <w:p w14:paraId="3A3D7F80" w14:textId="21D827AE" w:rsidR="006624B3" w:rsidRPr="006624B3" w:rsidRDefault="009A507A">
          <w:pPr>
            <w:pStyle w:val="TOC2"/>
            <w:rPr>
              <w:rFonts w:asciiTheme="minorHAnsi" w:eastAsiaTheme="minorEastAsia" w:hAnsiTheme="minorHAnsi" w:cs="Mangal"/>
              <w:noProof/>
              <w:szCs w:val="24"/>
              <w:lang w:val="en-GB" w:eastAsia="en-GB" w:bidi="ne-NP"/>
            </w:rPr>
          </w:pPr>
          <w:hyperlink w:anchor="_Toc69125426" w:history="1">
            <w:r w:rsidR="006624B3" w:rsidRPr="006624B3">
              <w:rPr>
                <w:rStyle w:val="Hyperlink"/>
                <w:noProof/>
                <w:szCs w:val="24"/>
              </w:rPr>
              <w:t>2.2. Informācija par dalījumu par intervences kategorijām prioritātes līmenī</w:t>
            </w:r>
            <w:r w:rsidR="006624B3" w:rsidRPr="006624B3">
              <w:rPr>
                <w:noProof/>
                <w:webHidden/>
                <w:szCs w:val="24"/>
              </w:rPr>
              <w:tab/>
            </w:r>
            <w:r w:rsidR="006624B3" w:rsidRPr="006624B3">
              <w:rPr>
                <w:noProof/>
                <w:webHidden/>
                <w:szCs w:val="24"/>
              </w:rPr>
              <w:fldChar w:fldCharType="begin"/>
            </w:r>
            <w:r w:rsidR="006624B3" w:rsidRPr="006624B3">
              <w:rPr>
                <w:noProof/>
                <w:webHidden/>
                <w:szCs w:val="24"/>
              </w:rPr>
              <w:instrText xml:space="preserve"> PAGEREF _Toc69125426 \h </w:instrText>
            </w:r>
            <w:r w:rsidR="006624B3" w:rsidRPr="006624B3">
              <w:rPr>
                <w:noProof/>
                <w:webHidden/>
                <w:szCs w:val="24"/>
              </w:rPr>
            </w:r>
            <w:r w:rsidR="006624B3" w:rsidRPr="006624B3">
              <w:rPr>
                <w:noProof/>
                <w:webHidden/>
                <w:szCs w:val="24"/>
              </w:rPr>
              <w:fldChar w:fldCharType="separate"/>
            </w:r>
            <w:r w:rsidR="006624B3" w:rsidRPr="006624B3">
              <w:rPr>
                <w:noProof/>
                <w:webHidden/>
                <w:szCs w:val="24"/>
              </w:rPr>
              <w:t>132</w:t>
            </w:r>
            <w:r w:rsidR="006624B3" w:rsidRPr="006624B3">
              <w:rPr>
                <w:noProof/>
                <w:webHidden/>
                <w:szCs w:val="24"/>
              </w:rPr>
              <w:fldChar w:fldCharType="end"/>
            </w:r>
          </w:hyperlink>
        </w:p>
        <w:p w14:paraId="645122DF" w14:textId="4CEF0EE4" w:rsidR="006624B3" w:rsidRPr="006624B3" w:rsidRDefault="009A507A">
          <w:pPr>
            <w:pStyle w:val="TOC2"/>
            <w:rPr>
              <w:rFonts w:asciiTheme="minorHAnsi" w:eastAsiaTheme="minorEastAsia" w:hAnsiTheme="minorHAnsi" w:cs="Mangal"/>
              <w:noProof/>
              <w:szCs w:val="24"/>
              <w:lang w:val="en-GB" w:eastAsia="en-GB" w:bidi="ne-NP"/>
            </w:rPr>
          </w:pPr>
          <w:hyperlink w:anchor="_Toc69125427" w:history="1">
            <w:r w:rsidR="006624B3" w:rsidRPr="006624B3">
              <w:rPr>
                <w:rStyle w:val="Hyperlink"/>
                <w:iCs/>
                <w:noProof/>
                <w:szCs w:val="24"/>
              </w:rPr>
              <w:t>3.</w:t>
            </w:r>
            <w:r w:rsidR="006624B3" w:rsidRPr="006624B3">
              <w:rPr>
                <w:rFonts w:asciiTheme="minorHAnsi" w:eastAsiaTheme="minorEastAsia" w:hAnsiTheme="minorHAnsi" w:cs="Mangal"/>
                <w:noProof/>
                <w:szCs w:val="24"/>
                <w:lang w:val="en-GB" w:eastAsia="en-GB" w:bidi="ne-NP"/>
              </w:rPr>
              <w:tab/>
            </w:r>
            <w:r w:rsidR="006624B3" w:rsidRPr="006624B3">
              <w:rPr>
                <w:rStyle w:val="Hyperlink"/>
                <w:noProof/>
                <w:szCs w:val="24"/>
              </w:rPr>
              <w:t>Finanšu plāns</w:t>
            </w:r>
            <w:r w:rsidR="006624B3" w:rsidRPr="006624B3">
              <w:rPr>
                <w:noProof/>
                <w:webHidden/>
                <w:szCs w:val="24"/>
              </w:rPr>
              <w:tab/>
            </w:r>
            <w:r w:rsidR="006624B3" w:rsidRPr="006624B3">
              <w:rPr>
                <w:noProof/>
                <w:webHidden/>
                <w:szCs w:val="24"/>
              </w:rPr>
              <w:fldChar w:fldCharType="begin"/>
            </w:r>
            <w:r w:rsidR="006624B3" w:rsidRPr="006624B3">
              <w:rPr>
                <w:noProof/>
                <w:webHidden/>
                <w:szCs w:val="24"/>
              </w:rPr>
              <w:instrText xml:space="preserve"> PAGEREF _Toc69125427 \h </w:instrText>
            </w:r>
            <w:r w:rsidR="006624B3" w:rsidRPr="006624B3">
              <w:rPr>
                <w:noProof/>
                <w:webHidden/>
                <w:szCs w:val="24"/>
              </w:rPr>
            </w:r>
            <w:r w:rsidR="006624B3" w:rsidRPr="006624B3">
              <w:rPr>
                <w:noProof/>
                <w:webHidden/>
                <w:szCs w:val="24"/>
              </w:rPr>
              <w:fldChar w:fldCharType="separate"/>
            </w:r>
            <w:r w:rsidR="006624B3" w:rsidRPr="006624B3">
              <w:rPr>
                <w:noProof/>
                <w:webHidden/>
                <w:szCs w:val="24"/>
              </w:rPr>
              <w:t>139</w:t>
            </w:r>
            <w:r w:rsidR="006624B3" w:rsidRPr="006624B3">
              <w:rPr>
                <w:noProof/>
                <w:webHidden/>
                <w:szCs w:val="24"/>
              </w:rPr>
              <w:fldChar w:fldCharType="end"/>
            </w:r>
          </w:hyperlink>
        </w:p>
        <w:p w14:paraId="17B3A8E5" w14:textId="72CFD158" w:rsidR="006624B3" w:rsidRPr="006624B3" w:rsidRDefault="009A507A">
          <w:pPr>
            <w:pStyle w:val="TOC2"/>
            <w:rPr>
              <w:rFonts w:asciiTheme="minorHAnsi" w:eastAsiaTheme="minorEastAsia" w:hAnsiTheme="minorHAnsi" w:cs="Mangal"/>
              <w:noProof/>
              <w:szCs w:val="24"/>
              <w:lang w:val="en-GB" w:eastAsia="en-GB" w:bidi="ne-NP"/>
            </w:rPr>
          </w:pPr>
          <w:hyperlink w:anchor="_Toc69125428" w:history="1">
            <w:r w:rsidR="006624B3" w:rsidRPr="006624B3">
              <w:rPr>
                <w:rStyle w:val="Hyperlink"/>
                <w:noProof/>
                <w:szCs w:val="24"/>
              </w:rPr>
              <w:t>3.1 Finanšu pārvedumi</w:t>
            </w:r>
            <w:r w:rsidR="006624B3" w:rsidRPr="006624B3">
              <w:rPr>
                <w:noProof/>
                <w:webHidden/>
                <w:szCs w:val="24"/>
              </w:rPr>
              <w:tab/>
            </w:r>
            <w:r w:rsidR="006624B3" w:rsidRPr="006624B3">
              <w:rPr>
                <w:noProof/>
                <w:webHidden/>
                <w:szCs w:val="24"/>
              </w:rPr>
              <w:fldChar w:fldCharType="begin"/>
            </w:r>
            <w:r w:rsidR="006624B3" w:rsidRPr="006624B3">
              <w:rPr>
                <w:noProof/>
                <w:webHidden/>
                <w:szCs w:val="24"/>
              </w:rPr>
              <w:instrText xml:space="preserve"> PAGEREF _Toc69125428 \h </w:instrText>
            </w:r>
            <w:r w:rsidR="006624B3" w:rsidRPr="006624B3">
              <w:rPr>
                <w:noProof/>
                <w:webHidden/>
                <w:szCs w:val="24"/>
              </w:rPr>
            </w:r>
            <w:r w:rsidR="006624B3" w:rsidRPr="006624B3">
              <w:rPr>
                <w:noProof/>
                <w:webHidden/>
                <w:szCs w:val="24"/>
              </w:rPr>
              <w:fldChar w:fldCharType="separate"/>
            </w:r>
            <w:r w:rsidR="006624B3" w:rsidRPr="006624B3">
              <w:rPr>
                <w:noProof/>
                <w:webHidden/>
                <w:szCs w:val="24"/>
              </w:rPr>
              <w:t>139</w:t>
            </w:r>
            <w:r w:rsidR="006624B3" w:rsidRPr="006624B3">
              <w:rPr>
                <w:noProof/>
                <w:webHidden/>
                <w:szCs w:val="24"/>
              </w:rPr>
              <w:fldChar w:fldCharType="end"/>
            </w:r>
          </w:hyperlink>
        </w:p>
        <w:p w14:paraId="62631189" w14:textId="19A236B6" w:rsidR="006624B3" w:rsidRPr="006624B3" w:rsidRDefault="009A507A">
          <w:pPr>
            <w:pStyle w:val="TOC2"/>
            <w:rPr>
              <w:rFonts w:asciiTheme="minorHAnsi" w:eastAsiaTheme="minorEastAsia" w:hAnsiTheme="minorHAnsi" w:cs="Mangal"/>
              <w:noProof/>
              <w:szCs w:val="24"/>
              <w:lang w:val="en-GB" w:eastAsia="en-GB" w:bidi="ne-NP"/>
            </w:rPr>
          </w:pPr>
          <w:hyperlink w:anchor="_Toc69125429" w:history="1">
            <w:r w:rsidR="006624B3" w:rsidRPr="006624B3">
              <w:rPr>
                <w:rStyle w:val="Hyperlink"/>
                <w:noProof/>
                <w:szCs w:val="24"/>
              </w:rPr>
              <w:t>3.2 Finanšu apropriācijas pa gadiem</w:t>
            </w:r>
            <w:r w:rsidR="006624B3" w:rsidRPr="006624B3">
              <w:rPr>
                <w:noProof/>
                <w:webHidden/>
                <w:szCs w:val="24"/>
              </w:rPr>
              <w:tab/>
            </w:r>
            <w:r w:rsidR="006624B3" w:rsidRPr="006624B3">
              <w:rPr>
                <w:noProof/>
                <w:webHidden/>
                <w:szCs w:val="24"/>
              </w:rPr>
              <w:fldChar w:fldCharType="begin"/>
            </w:r>
            <w:r w:rsidR="006624B3" w:rsidRPr="006624B3">
              <w:rPr>
                <w:noProof/>
                <w:webHidden/>
                <w:szCs w:val="24"/>
              </w:rPr>
              <w:instrText xml:space="preserve"> PAGEREF _Toc69125429 \h </w:instrText>
            </w:r>
            <w:r w:rsidR="006624B3" w:rsidRPr="006624B3">
              <w:rPr>
                <w:noProof/>
                <w:webHidden/>
                <w:szCs w:val="24"/>
              </w:rPr>
            </w:r>
            <w:r w:rsidR="006624B3" w:rsidRPr="006624B3">
              <w:rPr>
                <w:noProof/>
                <w:webHidden/>
                <w:szCs w:val="24"/>
              </w:rPr>
              <w:fldChar w:fldCharType="separate"/>
            </w:r>
            <w:r w:rsidR="006624B3" w:rsidRPr="006624B3">
              <w:rPr>
                <w:noProof/>
                <w:webHidden/>
                <w:szCs w:val="24"/>
              </w:rPr>
              <w:t>143</w:t>
            </w:r>
            <w:r w:rsidR="006624B3" w:rsidRPr="006624B3">
              <w:rPr>
                <w:noProof/>
                <w:webHidden/>
                <w:szCs w:val="24"/>
              </w:rPr>
              <w:fldChar w:fldCharType="end"/>
            </w:r>
          </w:hyperlink>
        </w:p>
        <w:p w14:paraId="0DA4A564" w14:textId="6E730A52" w:rsidR="006624B3" w:rsidRPr="006624B3" w:rsidRDefault="009A507A">
          <w:pPr>
            <w:pStyle w:val="TOC2"/>
            <w:rPr>
              <w:rFonts w:asciiTheme="minorHAnsi" w:eastAsiaTheme="minorEastAsia" w:hAnsiTheme="minorHAnsi" w:cs="Mangal"/>
              <w:noProof/>
              <w:szCs w:val="24"/>
              <w:lang w:val="en-GB" w:eastAsia="en-GB" w:bidi="ne-NP"/>
            </w:rPr>
          </w:pPr>
          <w:hyperlink w:anchor="_Toc69125430" w:history="1">
            <w:r w:rsidR="006624B3" w:rsidRPr="006624B3">
              <w:rPr>
                <w:rStyle w:val="Hyperlink"/>
                <w:noProof/>
                <w:szCs w:val="24"/>
              </w:rPr>
              <w:t>3.2. Kopējā finanšu apropriācija pa fondiem un nacionālais līdzfinansējums</w:t>
            </w:r>
            <w:r w:rsidR="006624B3" w:rsidRPr="006624B3">
              <w:rPr>
                <w:noProof/>
                <w:webHidden/>
                <w:szCs w:val="24"/>
              </w:rPr>
              <w:tab/>
            </w:r>
            <w:r w:rsidR="006624B3" w:rsidRPr="006624B3">
              <w:rPr>
                <w:noProof/>
                <w:webHidden/>
                <w:szCs w:val="24"/>
              </w:rPr>
              <w:fldChar w:fldCharType="begin"/>
            </w:r>
            <w:r w:rsidR="006624B3" w:rsidRPr="006624B3">
              <w:rPr>
                <w:noProof/>
                <w:webHidden/>
                <w:szCs w:val="24"/>
              </w:rPr>
              <w:instrText xml:space="preserve"> PAGEREF _Toc69125430 \h </w:instrText>
            </w:r>
            <w:r w:rsidR="006624B3" w:rsidRPr="006624B3">
              <w:rPr>
                <w:noProof/>
                <w:webHidden/>
                <w:szCs w:val="24"/>
              </w:rPr>
            </w:r>
            <w:r w:rsidR="006624B3" w:rsidRPr="006624B3">
              <w:rPr>
                <w:noProof/>
                <w:webHidden/>
                <w:szCs w:val="24"/>
              </w:rPr>
              <w:fldChar w:fldCharType="separate"/>
            </w:r>
            <w:r w:rsidR="006624B3" w:rsidRPr="006624B3">
              <w:rPr>
                <w:noProof/>
                <w:webHidden/>
                <w:szCs w:val="24"/>
              </w:rPr>
              <w:t>144</w:t>
            </w:r>
            <w:r w:rsidR="006624B3" w:rsidRPr="006624B3">
              <w:rPr>
                <w:noProof/>
                <w:webHidden/>
                <w:szCs w:val="24"/>
              </w:rPr>
              <w:fldChar w:fldCharType="end"/>
            </w:r>
          </w:hyperlink>
        </w:p>
        <w:p w14:paraId="0069A108" w14:textId="35DD16A1" w:rsidR="006624B3" w:rsidRPr="006624B3" w:rsidRDefault="009A507A">
          <w:pPr>
            <w:pStyle w:val="TOC2"/>
            <w:rPr>
              <w:rFonts w:asciiTheme="minorHAnsi" w:eastAsiaTheme="minorEastAsia" w:hAnsiTheme="minorHAnsi" w:cs="Mangal"/>
              <w:noProof/>
              <w:szCs w:val="24"/>
              <w:lang w:val="en-GB" w:eastAsia="en-GB" w:bidi="ne-NP"/>
            </w:rPr>
          </w:pPr>
          <w:hyperlink w:anchor="_Toc69125431" w:history="1">
            <w:r w:rsidR="006624B3" w:rsidRPr="006624B3">
              <w:rPr>
                <w:rStyle w:val="Hyperlink"/>
                <w:iCs/>
                <w:noProof/>
                <w:szCs w:val="24"/>
              </w:rPr>
              <w:t>4.</w:t>
            </w:r>
            <w:r w:rsidR="006624B3" w:rsidRPr="006624B3">
              <w:rPr>
                <w:rFonts w:asciiTheme="minorHAnsi" w:eastAsiaTheme="minorEastAsia" w:hAnsiTheme="minorHAnsi" w:cs="Mangal"/>
                <w:noProof/>
                <w:szCs w:val="24"/>
                <w:lang w:val="en-GB" w:eastAsia="en-GB" w:bidi="ne-NP"/>
              </w:rPr>
              <w:tab/>
            </w:r>
            <w:r w:rsidR="006624B3" w:rsidRPr="006624B3">
              <w:rPr>
                <w:rStyle w:val="Hyperlink"/>
                <w:noProof/>
                <w:szCs w:val="24"/>
              </w:rPr>
              <w:t>Ieguldījumu priekšnosacījumi</w:t>
            </w:r>
            <w:r w:rsidR="006624B3" w:rsidRPr="006624B3">
              <w:rPr>
                <w:noProof/>
                <w:webHidden/>
                <w:szCs w:val="24"/>
              </w:rPr>
              <w:tab/>
            </w:r>
            <w:r w:rsidR="006624B3" w:rsidRPr="006624B3">
              <w:rPr>
                <w:noProof/>
                <w:webHidden/>
                <w:szCs w:val="24"/>
              </w:rPr>
              <w:fldChar w:fldCharType="begin"/>
            </w:r>
            <w:r w:rsidR="006624B3" w:rsidRPr="006624B3">
              <w:rPr>
                <w:noProof/>
                <w:webHidden/>
                <w:szCs w:val="24"/>
              </w:rPr>
              <w:instrText xml:space="preserve"> PAGEREF _Toc69125431 \h </w:instrText>
            </w:r>
            <w:r w:rsidR="006624B3" w:rsidRPr="006624B3">
              <w:rPr>
                <w:noProof/>
                <w:webHidden/>
                <w:szCs w:val="24"/>
              </w:rPr>
            </w:r>
            <w:r w:rsidR="006624B3" w:rsidRPr="006624B3">
              <w:rPr>
                <w:noProof/>
                <w:webHidden/>
                <w:szCs w:val="24"/>
              </w:rPr>
              <w:fldChar w:fldCharType="separate"/>
            </w:r>
            <w:r w:rsidR="006624B3" w:rsidRPr="006624B3">
              <w:rPr>
                <w:noProof/>
                <w:webHidden/>
                <w:szCs w:val="24"/>
              </w:rPr>
              <w:t>147</w:t>
            </w:r>
            <w:r w:rsidR="006624B3" w:rsidRPr="006624B3">
              <w:rPr>
                <w:noProof/>
                <w:webHidden/>
                <w:szCs w:val="24"/>
              </w:rPr>
              <w:fldChar w:fldCharType="end"/>
            </w:r>
          </w:hyperlink>
        </w:p>
        <w:p w14:paraId="6F53701E" w14:textId="1C6C70E5" w:rsidR="006624B3" w:rsidRPr="006624B3" w:rsidRDefault="009A507A">
          <w:pPr>
            <w:pStyle w:val="TOC3"/>
            <w:rPr>
              <w:rFonts w:asciiTheme="minorHAnsi" w:eastAsiaTheme="minorEastAsia" w:hAnsiTheme="minorHAnsi" w:cs="Mangal"/>
              <w:noProof/>
              <w:szCs w:val="24"/>
              <w:lang w:val="en-GB" w:eastAsia="en-GB" w:bidi="ne-NP"/>
            </w:rPr>
          </w:pPr>
          <w:hyperlink w:anchor="_Toc69125432" w:history="1">
            <w:r w:rsidR="006624B3" w:rsidRPr="006624B3">
              <w:rPr>
                <w:rStyle w:val="Hyperlink"/>
                <w:noProof/>
                <w:szCs w:val="24"/>
              </w:rPr>
              <w:t>Jauno savākšanas shēmu vajadzība iekļauta 7.4.2. apakšnodaļā Atkritumu dalītās vākšanas sistēmas attīstība; 7.5. apakšnodaļā Kopsavilkums - atkritumu apsaimniekošanas infrastruktūras izvietojums Latvijas teritorijā, esošās iekārtas un priekšlikumi jaunu iekārtu izvietojumam.</w:t>
            </w:r>
            <w:r w:rsidR="006624B3" w:rsidRPr="006624B3">
              <w:rPr>
                <w:rStyle w:val="Hyperlink"/>
                <w:iCs/>
                <w:noProof/>
                <w:szCs w:val="24"/>
              </w:rPr>
              <w:t xml:space="preserve"> </w:t>
            </w:r>
            <w:r w:rsidR="006624B3" w:rsidRPr="006624B3">
              <w:rPr>
                <w:rStyle w:val="Hyperlink"/>
                <w:noProof/>
                <w:szCs w:val="24"/>
              </w:rPr>
              <w:t>Tāpat saistoša informācija sniegta arī citās sadaļās.</w:t>
            </w:r>
            <w:r w:rsidR="006624B3" w:rsidRPr="006624B3">
              <w:rPr>
                <w:noProof/>
                <w:webHidden/>
                <w:szCs w:val="24"/>
              </w:rPr>
              <w:tab/>
            </w:r>
            <w:r w:rsidR="006624B3" w:rsidRPr="006624B3">
              <w:rPr>
                <w:noProof/>
                <w:webHidden/>
                <w:szCs w:val="24"/>
              </w:rPr>
              <w:fldChar w:fldCharType="begin"/>
            </w:r>
            <w:r w:rsidR="006624B3" w:rsidRPr="006624B3">
              <w:rPr>
                <w:noProof/>
                <w:webHidden/>
                <w:szCs w:val="24"/>
              </w:rPr>
              <w:instrText xml:space="preserve"> PAGEREF _Toc69125432 \h </w:instrText>
            </w:r>
            <w:r w:rsidR="006624B3" w:rsidRPr="006624B3">
              <w:rPr>
                <w:noProof/>
                <w:webHidden/>
                <w:szCs w:val="24"/>
              </w:rPr>
            </w:r>
            <w:r w:rsidR="006624B3" w:rsidRPr="006624B3">
              <w:rPr>
                <w:noProof/>
                <w:webHidden/>
                <w:szCs w:val="24"/>
              </w:rPr>
              <w:fldChar w:fldCharType="separate"/>
            </w:r>
            <w:r w:rsidR="006624B3" w:rsidRPr="006624B3">
              <w:rPr>
                <w:noProof/>
                <w:webHidden/>
                <w:szCs w:val="24"/>
              </w:rPr>
              <w:t>178</w:t>
            </w:r>
            <w:r w:rsidR="006624B3" w:rsidRPr="006624B3">
              <w:rPr>
                <w:noProof/>
                <w:webHidden/>
                <w:szCs w:val="24"/>
              </w:rPr>
              <w:fldChar w:fldCharType="end"/>
            </w:r>
          </w:hyperlink>
        </w:p>
        <w:p w14:paraId="6F012249" w14:textId="00A03F7F" w:rsidR="006624B3" w:rsidRPr="006624B3" w:rsidRDefault="009A507A">
          <w:pPr>
            <w:pStyle w:val="TOC3"/>
            <w:rPr>
              <w:rFonts w:asciiTheme="minorHAnsi" w:eastAsiaTheme="minorEastAsia" w:hAnsiTheme="minorHAnsi" w:cs="Mangal"/>
              <w:noProof/>
              <w:szCs w:val="24"/>
              <w:lang w:val="en-GB" w:eastAsia="en-GB" w:bidi="ne-NP"/>
            </w:rPr>
          </w:pPr>
          <w:hyperlink w:anchor="_Toc69125433" w:history="1">
            <w:r w:rsidR="006624B3" w:rsidRPr="006624B3">
              <w:rPr>
                <w:rStyle w:val="Hyperlink"/>
                <w:rFonts w:eastAsiaTheme="minorHAnsi"/>
                <w:noProof/>
                <w:szCs w:val="24"/>
                <w:lang w:eastAsia="en-US" w:bidi="ar-SA"/>
              </w:rPr>
              <w:t>Nacionālā romu stratēģiskā ietvara izveides darba grupas sēdēs ir plānots apspriest jautājumus par  romu stratēģiskajā ietvarā iekļauto pasākumu uzraudzības, novērtēšanas un pārskatīšanas kārtību, ņemot vērā Eiropas Savienības Padomes ieteikumu par romu līdztiesību, iekļaušanu un līdzdalību.</w:t>
            </w:r>
            <w:r w:rsidR="006624B3" w:rsidRPr="006624B3">
              <w:rPr>
                <w:noProof/>
                <w:webHidden/>
                <w:szCs w:val="24"/>
              </w:rPr>
              <w:tab/>
            </w:r>
            <w:r w:rsidR="006624B3" w:rsidRPr="006624B3">
              <w:rPr>
                <w:noProof/>
                <w:webHidden/>
                <w:szCs w:val="24"/>
              </w:rPr>
              <w:fldChar w:fldCharType="begin"/>
            </w:r>
            <w:r w:rsidR="006624B3" w:rsidRPr="006624B3">
              <w:rPr>
                <w:noProof/>
                <w:webHidden/>
                <w:szCs w:val="24"/>
              </w:rPr>
              <w:instrText xml:space="preserve"> PAGEREF _Toc69125433 \h </w:instrText>
            </w:r>
            <w:r w:rsidR="006624B3" w:rsidRPr="006624B3">
              <w:rPr>
                <w:noProof/>
                <w:webHidden/>
                <w:szCs w:val="24"/>
              </w:rPr>
            </w:r>
            <w:r w:rsidR="006624B3" w:rsidRPr="006624B3">
              <w:rPr>
                <w:noProof/>
                <w:webHidden/>
                <w:szCs w:val="24"/>
              </w:rPr>
              <w:fldChar w:fldCharType="separate"/>
            </w:r>
            <w:r w:rsidR="006624B3" w:rsidRPr="006624B3">
              <w:rPr>
                <w:noProof/>
                <w:webHidden/>
                <w:szCs w:val="24"/>
              </w:rPr>
              <w:t>219</w:t>
            </w:r>
            <w:r w:rsidR="006624B3" w:rsidRPr="006624B3">
              <w:rPr>
                <w:noProof/>
                <w:webHidden/>
                <w:szCs w:val="24"/>
              </w:rPr>
              <w:fldChar w:fldCharType="end"/>
            </w:r>
          </w:hyperlink>
        </w:p>
        <w:p w14:paraId="198D4E9F" w14:textId="2F4CE10D" w:rsidR="006624B3" w:rsidRPr="006624B3" w:rsidRDefault="009A507A">
          <w:pPr>
            <w:pStyle w:val="TOC2"/>
            <w:rPr>
              <w:rFonts w:asciiTheme="minorHAnsi" w:eastAsiaTheme="minorEastAsia" w:hAnsiTheme="minorHAnsi" w:cs="Mangal"/>
              <w:noProof/>
              <w:szCs w:val="24"/>
              <w:lang w:val="en-GB" w:eastAsia="en-GB" w:bidi="ne-NP"/>
            </w:rPr>
          </w:pPr>
          <w:hyperlink w:anchor="_Toc69125434" w:history="1">
            <w:r w:rsidR="006624B3" w:rsidRPr="006624B3">
              <w:rPr>
                <w:rStyle w:val="Hyperlink"/>
                <w:iCs/>
                <w:noProof/>
                <w:szCs w:val="24"/>
              </w:rPr>
              <w:t>5.</w:t>
            </w:r>
            <w:r w:rsidR="006624B3" w:rsidRPr="006624B3">
              <w:rPr>
                <w:rFonts w:asciiTheme="minorHAnsi" w:eastAsiaTheme="minorEastAsia" w:hAnsiTheme="minorHAnsi" w:cs="Mangal"/>
                <w:noProof/>
                <w:szCs w:val="24"/>
                <w:lang w:val="en-GB" w:eastAsia="en-GB" w:bidi="ne-NP"/>
              </w:rPr>
              <w:tab/>
            </w:r>
            <w:r w:rsidR="006624B3" w:rsidRPr="006624B3">
              <w:rPr>
                <w:rStyle w:val="Hyperlink"/>
                <w:noProof/>
                <w:szCs w:val="24"/>
              </w:rPr>
              <w:t>Programmā iesaistītās iestādes</w:t>
            </w:r>
            <w:r w:rsidR="006624B3" w:rsidRPr="006624B3">
              <w:rPr>
                <w:noProof/>
                <w:webHidden/>
                <w:szCs w:val="24"/>
              </w:rPr>
              <w:tab/>
            </w:r>
            <w:r w:rsidR="006624B3" w:rsidRPr="006624B3">
              <w:rPr>
                <w:noProof/>
                <w:webHidden/>
                <w:szCs w:val="24"/>
              </w:rPr>
              <w:fldChar w:fldCharType="begin"/>
            </w:r>
            <w:r w:rsidR="006624B3" w:rsidRPr="006624B3">
              <w:rPr>
                <w:noProof/>
                <w:webHidden/>
                <w:szCs w:val="24"/>
              </w:rPr>
              <w:instrText xml:space="preserve"> PAGEREF _Toc69125434 \h </w:instrText>
            </w:r>
            <w:r w:rsidR="006624B3" w:rsidRPr="006624B3">
              <w:rPr>
                <w:noProof/>
                <w:webHidden/>
                <w:szCs w:val="24"/>
              </w:rPr>
            </w:r>
            <w:r w:rsidR="006624B3" w:rsidRPr="006624B3">
              <w:rPr>
                <w:noProof/>
                <w:webHidden/>
                <w:szCs w:val="24"/>
              </w:rPr>
              <w:fldChar w:fldCharType="separate"/>
            </w:r>
            <w:r w:rsidR="006624B3" w:rsidRPr="006624B3">
              <w:rPr>
                <w:noProof/>
                <w:webHidden/>
                <w:szCs w:val="24"/>
              </w:rPr>
              <w:t>233</w:t>
            </w:r>
            <w:r w:rsidR="006624B3" w:rsidRPr="006624B3">
              <w:rPr>
                <w:noProof/>
                <w:webHidden/>
                <w:szCs w:val="24"/>
              </w:rPr>
              <w:fldChar w:fldCharType="end"/>
            </w:r>
          </w:hyperlink>
        </w:p>
        <w:p w14:paraId="5D0DE63A" w14:textId="206B747E" w:rsidR="006624B3" w:rsidRPr="006624B3" w:rsidRDefault="009A507A">
          <w:pPr>
            <w:pStyle w:val="TOC2"/>
            <w:rPr>
              <w:rFonts w:asciiTheme="minorHAnsi" w:eastAsiaTheme="minorEastAsia" w:hAnsiTheme="minorHAnsi" w:cs="Mangal"/>
              <w:noProof/>
              <w:szCs w:val="24"/>
              <w:lang w:val="en-GB" w:eastAsia="en-GB" w:bidi="ne-NP"/>
            </w:rPr>
          </w:pPr>
          <w:hyperlink w:anchor="_Toc69125435" w:history="1">
            <w:r w:rsidR="006624B3" w:rsidRPr="006624B3">
              <w:rPr>
                <w:rStyle w:val="Hyperlink"/>
                <w:noProof/>
                <w:szCs w:val="24"/>
              </w:rPr>
              <w:t>6.</w:t>
            </w:r>
            <w:r w:rsidR="006624B3" w:rsidRPr="006624B3">
              <w:rPr>
                <w:rFonts w:asciiTheme="minorHAnsi" w:eastAsiaTheme="minorEastAsia" w:hAnsiTheme="minorHAnsi" w:cs="Mangal"/>
                <w:noProof/>
                <w:szCs w:val="24"/>
                <w:lang w:val="en-GB" w:eastAsia="en-GB" w:bidi="ne-NP"/>
              </w:rPr>
              <w:tab/>
            </w:r>
            <w:r w:rsidR="006624B3" w:rsidRPr="006624B3">
              <w:rPr>
                <w:rStyle w:val="Hyperlink"/>
                <w:noProof/>
                <w:szCs w:val="24"/>
              </w:rPr>
              <w:t>Partnerība</w:t>
            </w:r>
            <w:r w:rsidR="006624B3" w:rsidRPr="006624B3">
              <w:rPr>
                <w:noProof/>
                <w:webHidden/>
                <w:szCs w:val="24"/>
              </w:rPr>
              <w:tab/>
            </w:r>
            <w:r w:rsidR="006624B3" w:rsidRPr="006624B3">
              <w:rPr>
                <w:noProof/>
                <w:webHidden/>
                <w:szCs w:val="24"/>
              </w:rPr>
              <w:fldChar w:fldCharType="begin"/>
            </w:r>
            <w:r w:rsidR="006624B3" w:rsidRPr="006624B3">
              <w:rPr>
                <w:noProof/>
                <w:webHidden/>
                <w:szCs w:val="24"/>
              </w:rPr>
              <w:instrText xml:space="preserve"> PAGEREF _Toc69125435 \h </w:instrText>
            </w:r>
            <w:r w:rsidR="006624B3" w:rsidRPr="006624B3">
              <w:rPr>
                <w:noProof/>
                <w:webHidden/>
                <w:szCs w:val="24"/>
              </w:rPr>
            </w:r>
            <w:r w:rsidR="006624B3" w:rsidRPr="006624B3">
              <w:rPr>
                <w:noProof/>
                <w:webHidden/>
                <w:szCs w:val="24"/>
              </w:rPr>
              <w:fldChar w:fldCharType="separate"/>
            </w:r>
            <w:r w:rsidR="006624B3" w:rsidRPr="006624B3">
              <w:rPr>
                <w:noProof/>
                <w:webHidden/>
                <w:szCs w:val="24"/>
              </w:rPr>
              <w:t>233</w:t>
            </w:r>
            <w:r w:rsidR="006624B3" w:rsidRPr="006624B3">
              <w:rPr>
                <w:noProof/>
                <w:webHidden/>
                <w:szCs w:val="24"/>
              </w:rPr>
              <w:fldChar w:fldCharType="end"/>
            </w:r>
          </w:hyperlink>
        </w:p>
        <w:p w14:paraId="79462F4F" w14:textId="28694C32" w:rsidR="006624B3" w:rsidRPr="006624B3" w:rsidRDefault="009A507A">
          <w:pPr>
            <w:pStyle w:val="TOC2"/>
            <w:rPr>
              <w:rFonts w:asciiTheme="minorHAnsi" w:eastAsiaTheme="minorEastAsia" w:hAnsiTheme="minorHAnsi" w:cs="Mangal"/>
              <w:noProof/>
              <w:szCs w:val="24"/>
              <w:lang w:val="en-GB" w:eastAsia="en-GB" w:bidi="ne-NP"/>
            </w:rPr>
          </w:pPr>
          <w:hyperlink w:anchor="_Toc69125436" w:history="1">
            <w:r w:rsidR="006624B3" w:rsidRPr="006624B3">
              <w:rPr>
                <w:rStyle w:val="Hyperlink"/>
                <w:iCs/>
                <w:noProof/>
                <w:szCs w:val="24"/>
              </w:rPr>
              <w:t>7.</w:t>
            </w:r>
            <w:r w:rsidR="006624B3" w:rsidRPr="006624B3">
              <w:rPr>
                <w:rFonts w:asciiTheme="minorHAnsi" w:eastAsiaTheme="minorEastAsia" w:hAnsiTheme="minorHAnsi" w:cs="Mangal"/>
                <w:noProof/>
                <w:szCs w:val="24"/>
                <w:lang w:val="en-GB" w:eastAsia="en-GB" w:bidi="ne-NP"/>
              </w:rPr>
              <w:tab/>
            </w:r>
            <w:r w:rsidR="006624B3" w:rsidRPr="006624B3">
              <w:rPr>
                <w:rStyle w:val="Hyperlink"/>
                <w:noProof/>
                <w:szCs w:val="24"/>
              </w:rPr>
              <w:t>Publicitāte un komunikācija</w:t>
            </w:r>
            <w:r w:rsidR="006624B3" w:rsidRPr="006624B3">
              <w:rPr>
                <w:noProof/>
                <w:webHidden/>
                <w:szCs w:val="24"/>
              </w:rPr>
              <w:tab/>
            </w:r>
            <w:r w:rsidR="006624B3" w:rsidRPr="006624B3">
              <w:rPr>
                <w:noProof/>
                <w:webHidden/>
                <w:szCs w:val="24"/>
              </w:rPr>
              <w:fldChar w:fldCharType="begin"/>
            </w:r>
            <w:r w:rsidR="006624B3" w:rsidRPr="006624B3">
              <w:rPr>
                <w:noProof/>
                <w:webHidden/>
                <w:szCs w:val="24"/>
              </w:rPr>
              <w:instrText xml:space="preserve"> PAGEREF _Toc69125436 \h </w:instrText>
            </w:r>
            <w:r w:rsidR="006624B3" w:rsidRPr="006624B3">
              <w:rPr>
                <w:noProof/>
                <w:webHidden/>
                <w:szCs w:val="24"/>
              </w:rPr>
            </w:r>
            <w:r w:rsidR="006624B3" w:rsidRPr="006624B3">
              <w:rPr>
                <w:noProof/>
                <w:webHidden/>
                <w:szCs w:val="24"/>
              </w:rPr>
              <w:fldChar w:fldCharType="separate"/>
            </w:r>
            <w:r w:rsidR="006624B3" w:rsidRPr="006624B3">
              <w:rPr>
                <w:noProof/>
                <w:webHidden/>
                <w:szCs w:val="24"/>
              </w:rPr>
              <w:t>235</w:t>
            </w:r>
            <w:r w:rsidR="006624B3" w:rsidRPr="006624B3">
              <w:rPr>
                <w:noProof/>
                <w:webHidden/>
                <w:szCs w:val="24"/>
              </w:rPr>
              <w:fldChar w:fldCharType="end"/>
            </w:r>
          </w:hyperlink>
        </w:p>
        <w:p w14:paraId="1491EDA7" w14:textId="452E1AE0" w:rsidR="006624B3" w:rsidRPr="006624B3" w:rsidRDefault="009A507A">
          <w:pPr>
            <w:pStyle w:val="TOC2"/>
            <w:rPr>
              <w:rFonts w:asciiTheme="minorHAnsi" w:eastAsiaTheme="minorEastAsia" w:hAnsiTheme="minorHAnsi" w:cs="Mangal"/>
              <w:noProof/>
              <w:szCs w:val="24"/>
              <w:lang w:val="en-GB" w:eastAsia="en-GB" w:bidi="ne-NP"/>
            </w:rPr>
          </w:pPr>
          <w:hyperlink w:anchor="_Toc69125437" w:history="1">
            <w:r w:rsidR="006624B3" w:rsidRPr="006624B3">
              <w:rPr>
                <w:rStyle w:val="Hyperlink"/>
                <w:iCs/>
                <w:noProof/>
                <w:szCs w:val="24"/>
              </w:rPr>
              <w:t>8.</w:t>
            </w:r>
            <w:r w:rsidR="006624B3" w:rsidRPr="006624B3">
              <w:rPr>
                <w:rFonts w:asciiTheme="minorHAnsi" w:eastAsiaTheme="minorEastAsia" w:hAnsiTheme="minorHAnsi" w:cs="Mangal"/>
                <w:noProof/>
                <w:szCs w:val="24"/>
                <w:lang w:val="en-GB" w:eastAsia="en-GB" w:bidi="ne-NP"/>
              </w:rPr>
              <w:tab/>
            </w:r>
            <w:r w:rsidR="006624B3" w:rsidRPr="006624B3">
              <w:rPr>
                <w:rStyle w:val="Hyperlink"/>
                <w:noProof/>
                <w:szCs w:val="24"/>
              </w:rPr>
              <w:t>Vienas vienības izmaksu, vienreizējo maksājumu un vienotu likmju izmantošana, un finansējums, kas nav saistīts ar izmaksām</w:t>
            </w:r>
            <w:r w:rsidR="006624B3" w:rsidRPr="006624B3">
              <w:rPr>
                <w:noProof/>
                <w:webHidden/>
                <w:szCs w:val="24"/>
              </w:rPr>
              <w:tab/>
            </w:r>
            <w:r w:rsidR="006624B3" w:rsidRPr="006624B3">
              <w:rPr>
                <w:noProof/>
                <w:webHidden/>
                <w:szCs w:val="24"/>
              </w:rPr>
              <w:fldChar w:fldCharType="begin"/>
            </w:r>
            <w:r w:rsidR="006624B3" w:rsidRPr="006624B3">
              <w:rPr>
                <w:noProof/>
                <w:webHidden/>
                <w:szCs w:val="24"/>
              </w:rPr>
              <w:instrText xml:space="preserve"> PAGEREF _Toc69125437 \h </w:instrText>
            </w:r>
            <w:r w:rsidR="006624B3" w:rsidRPr="006624B3">
              <w:rPr>
                <w:noProof/>
                <w:webHidden/>
                <w:szCs w:val="24"/>
              </w:rPr>
            </w:r>
            <w:r w:rsidR="006624B3" w:rsidRPr="006624B3">
              <w:rPr>
                <w:noProof/>
                <w:webHidden/>
                <w:szCs w:val="24"/>
              </w:rPr>
              <w:fldChar w:fldCharType="separate"/>
            </w:r>
            <w:r w:rsidR="006624B3" w:rsidRPr="006624B3">
              <w:rPr>
                <w:noProof/>
                <w:webHidden/>
                <w:szCs w:val="24"/>
              </w:rPr>
              <w:t>236</w:t>
            </w:r>
            <w:r w:rsidR="006624B3" w:rsidRPr="006624B3">
              <w:rPr>
                <w:noProof/>
                <w:webHidden/>
                <w:szCs w:val="24"/>
              </w:rPr>
              <w:fldChar w:fldCharType="end"/>
            </w:r>
          </w:hyperlink>
        </w:p>
        <w:p w14:paraId="3D56CE33" w14:textId="59D998AC" w:rsidR="006624B3" w:rsidRPr="006624B3" w:rsidRDefault="009A507A">
          <w:pPr>
            <w:pStyle w:val="TOC3"/>
            <w:rPr>
              <w:rFonts w:asciiTheme="minorHAnsi" w:eastAsiaTheme="minorEastAsia" w:hAnsiTheme="minorHAnsi" w:cs="Mangal"/>
              <w:noProof/>
              <w:szCs w:val="24"/>
              <w:lang w:val="en-GB" w:eastAsia="en-GB" w:bidi="ne-NP"/>
            </w:rPr>
          </w:pPr>
          <w:hyperlink w:anchor="_Toc69125438" w:history="1">
            <w:r w:rsidR="006624B3" w:rsidRPr="006624B3">
              <w:rPr>
                <w:rStyle w:val="Hyperlink"/>
                <w:noProof/>
                <w:szCs w:val="24"/>
              </w:rPr>
              <w:t>1.papildinājums. Komisijas nodrošināta attiecināmo izdevumu atlīdzināšana dalībvalstij, pamatojoties uz vienas vienības izmaksām, vienreizējiem maksājumiem un vienotām likmēm</w:t>
            </w:r>
            <w:r w:rsidR="006624B3" w:rsidRPr="006624B3">
              <w:rPr>
                <w:noProof/>
                <w:webHidden/>
                <w:szCs w:val="24"/>
              </w:rPr>
              <w:tab/>
            </w:r>
            <w:r w:rsidR="006624B3" w:rsidRPr="006624B3">
              <w:rPr>
                <w:noProof/>
                <w:webHidden/>
                <w:szCs w:val="24"/>
              </w:rPr>
              <w:fldChar w:fldCharType="begin"/>
            </w:r>
            <w:r w:rsidR="006624B3" w:rsidRPr="006624B3">
              <w:rPr>
                <w:noProof/>
                <w:webHidden/>
                <w:szCs w:val="24"/>
              </w:rPr>
              <w:instrText xml:space="preserve"> PAGEREF _Toc69125438 \h </w:instrText>
            </w:r>
            <w:r w:rsidR="006624B3" w:rsidRPr="006624B3">
              <w:rPr>
                <w:noProof/>
                <w:webHidden/>
                <w:szCs w:val="24"/>
              </w:rPr>
            </w:r>
            <w:r w:rsidR="006624B3" w:rsidRPr="006624B3">
              <w:rPr>
                <w:noProof/>
                <w:webHidden/>
                <w:szCs w:val="24"/>
              </w:rPr>
              <w:fldChar w:fldCharType="separate"/>
            </w:r>
            <w:r w:rsidR="006624B3" w:rsidRPr="006624B3">
              <w:rPr>
                <w:noProof/>
                <w:webHidden/>
                <w:szCs w:val="24"/>
              </w:rPr>
              <w:t>236</w:t>
            </w:r>
            <w:r w:rsidR="006624B3" w:rsidRPr="006624B3">
              <w:rPr>
                <w:noProof/>
                <w:webHidden/>
                <w:szCs w:val="24"/>
              </w:rPr>
              <w:fldChar w:fldCharType="end"/>
            </w:r>
          </w:hyperlink>
        </w:p>
        <w:p w14:paraId="46314CA6" w14:textId="3EF553B2" w:rsidR="006624B3" w:rsidRPr="006624B3" w:rsidRDefault="009A507A">
          <w:pPr>
            <w:pStyle w:val="TOC3"/>
            <w:rPr>
              <w:rFonts w:asciiTheme="minorHAnsi" w:eastAsiaTheme="minorEastAsia" w:hAnsiTheme="minorHAnsi" w:cs="Mangal"/>
              <w:noProof/>
              <w:szCs w:val="24"/>
              <w:lang w:val="en-GB" w:eastAsia="en-GB" w:bidi="ne-NP"/>
            </w:rPr>
          </w:pPr>
          <w:hyperlink w:anchor="_Toc69125439" w:history="1">
            <w:r w:rsidR="006624B3" w:rsidRPr="006624B3">
              <w:rPr>
                <w:rStyle w:val="Hyperlink"/>
                <w:noProof/>
                <w:szCs w:val="24"/>
              </w:rPr>
              <w:t>2. papildinājums. Finansējums, kas nav saistīts ar izmaksām</w:t>
            </w:r>
            <w:r w:rsidR="006624B3" w:rsidRPr="006624B3">
              <w:rPr>
                <w:noProof/>
                <w:webHidden/>
                <w:szCs w:val="24"/>
              </w:rPr>
              <w:tab/>
            </w:r>
            <w:r w:rsidR="006624B3" w:rsidRPr="006624B3">
              <w:rPr>
                <w:noProof/>
                <w:webHidden/>
                <w:szCs w:val="24"/>
              </w:rPr>
              <w:fldChar w:fldCharType="begin"/>
            </w:r>
            <w:r w:rsidR="006624B3" w:rsidRPr="006624B3">
              <w:rPr>
                <w:noProof/>
                <w:webHidden/>
                <w:szCs w:val="24"/>
              </w:rPr>
              <w:instrText xml:space="preserve"> PAGEREF _Toc69125439 \h </w:instrText>
            </w:r>
            <w:r w:rsidR="006624B3" w:rsidRPr="006624B3">
              <w:rPr>
                <w:noProof/>
                <w:webHidden/>
                <w:szCs w:val="24"/>
              </w:rPr>
            </w:r>
            <w:r w:rsidR="006624B3" w:rsidRPr="006624B3">
              <w:rPr>
                <w:noProof/>
                <w:webHidden/>
                <w:szCs w:val="24"/>
              </w:rPr>
              <w:fldChar w:fldCharType="separate"/>
            </w:r>
            <w:r w:rsidR="006624B3" w:rsidRPr="006624B3">
              <w:rPr>
                <w:noProof/>
                <w:webHidden/>
                <w:szCs w:val="24"/>
              </w:rPr>
              <w:t>246</w:t>
            </w:r>
            <w:r w:rsidR="006624B3" w:rsidRPr="006624B3">
              <w:rPr>
                <w:noProof/>
                <w:webHidden/>
                <w:szCs w:val="24"/>
              </w:rPr>
              <w:fldChar w:fldCharType="end"/>
            </w:r>
          </w:hyperlink>
        </w:p>
        <w:p w14:paraId="19362322" w14:textId="78FB0360" w:rsidR="00AC212B" w:rsidRPr="006624B3" w:rsidRDefault="00AC212B" w:rsidP="00F11E81">
          <w:pPr>
            <w:pStyle w:val="TOC3"/>
            <w:rPr>
              <w:szCs w:val="24"/>
            </w:rPr>
          </w:pPr>
          <w:r w:rsidRPr="006624B3">
            <w:rPr>
              <w:noProof/>
              <w:szCs w:val="24"/>
            </w:rPr>
            <w:fldChar w:fldCharType="end"/>
          </w:r>
        </w:p>
      </w:sdtContent>
    </w:sdt>
    <w:p w14:paraId="4CEE9DBA" w14:textId="77777777" w:rsidR="00AC212B" w:rsidRPr="00930237" w:rsidRDefault="00AC212B" w:rsidP="00AC212B">
      <w:pPr>
        <w:spacing w:before="0" w:after="0"/>
        <w:jc w:val="left"/>
        <w:rPr>
          <w:rFonts w:eastAsia="Times New Roman"/>
          <w:b/>
          <w:iCs/>
          <w:noProof/>
          <w:sz w:val="20"/>
        </w:rPr>
      </w:pPr>
      <w:r w:rsidRPr="00930237">
        <w:rPr>
          <w:rFonts w:eastAsia="Times New Roman"/>
          <w:b/>
          <w:iCs/>
          <w:noProof/>
          <w:sz w:val="20"/>
        </w:rPr>
        <w:br w:type="page"/>
      </w:r>
    </w:p>
    <w:p w14:paraId="7925C242" w14:textId="77777777" w:rsidR="00AC212B" w:rsidRPr="00930237" w:rsidRDefault="00AC212B" w:rsidP="00AC212B">
      <w:pPr>
        <w:pStyle w:val="Style1"/>
        <w:spacing w:before="0" w:after="0" w:line="240" w:lineRule="auto"/>
        <w:jc w:val="center"/>
        <w:rPr>
          <w:color w:val="auto"/>
          <w:lang w:val="lv-LV"/>
        </w:rPr>
      </w:pPr>
      <w:bookmarkStart w:id="0" w:name="_Toc379527655"/>
      <w:bookmarkStart w:id="1" w:name="_Toc396198231"/>
      <w:bookmarkStart w:id="2" w:name="_Toc402797562"/>
      <w:bookmarkStart w:id="3" w:name="_Toc26529985"/>
      <w:bookmarkStart w:id="4" w:name="_Toc69125398"/>
      <w:r w:rsidRPr="00930237">
        <w:rPr>
          <w:color w:val="auto"/>
          <w:lang w:val="lv-LV"/>
        </w:rPr>
        <w:t>Izmantotie saīsinājumi un termini</w:t>
      </w:r>
      <w:bookmarkEnd w:id="0"/>
      <w:bookmarkEnd w:id="1"/>
      <w:bookmarkEnd w:id="2"/>
      <w:bookmarkEnd w:id="3"/>
      <w:bookmarkEnd w:id="4"/>
    </w:p>
    <w:tbl>
      <w:tblPr>
        <w:tblW w:w="0" w:type="auto"/>
        <w:tblInd w:w="611" w:type="dxa"/>
        <w:tblLook w:val="04A0" w:firstRow="1" w:lastRow="0" w:firstColumn="1" w:lastColumn="0" w:noHBand="0" w:noVBand="1"/>
      </w:tblPr>
      <w:tblGrid>
        <w:gridCol w:w="2430"/>
        <w:gridCol w:w="6029"/>
      </w:tblGrid>
      <w:tr w:rsidR="00C50156" w:rsidRPr="00930237" w14:paraId="2BBC8124" w14:textId="77777777" w:rsidTr="00710DDA">
        <w:tc>
          <w:tcPr>
            <w:tcW w:w="2430" w:type="dxa"/>
            <w:shd w:val="clear" w:color="auto" w:fill="auto"/>
          </w:tcPr>
          <w:p w14:paraId="5C561F8B" w14:textId="5709DACD" w:rsidR="00C50156" w:rsidRPr="00930237" w:rsidRDefault="00C50156" w:rsidP="00710DDA">
            <w:pPr>
              <w:tabs>
                <w:tab w:val="left" w:pos="1418"/>
                <w:tab w:val="left" w:pos="1985"/>
              </w:tabs>
              <w:spacing w:before="0" w:after="0"/>
              <w:rPr>
                <w:szCs w:val="24"/>
              </w:rPr>
            </w:pPr>
            <w:r>
              <w:rPr>
                <w:szCs w:val="24"/>
              </w:rPr>
              <w:t>ADTP</w:t>
            </w:r>
          </w:p>
        </w:tc>
        <w:tc>
          <w:tcPr>
            <w:tcW w:w="6029" w:type="dxa"/>
            <w:shd w:val="clear" w:color="auto" w:fill="auto"/>
          </w:tcPr>
          <w:p w14:paraId="6F04F1C8" w14:textId="7D7C0915" w:rsidR="00C50156" w:rsidRPr="00930237" w:rsidRDefault="00C50156" w:rsidP="00710DDA">
            <w:pPr>
              <w:tabs>
                <w:tab w:val="left" w:pos="1418"/>
                <w:tab w:val="left" w:pos="1985"/>
              </w:tabs>
              <w:spacing w:before="0" w:after="0"/>
              <w:rPr>
                <w:szCs w:val="24"/>
              </w:rPr>
            </w:pPr>
            <w:r>
              <w:rPr>
                <w:szCs w:val="24"/>
              </w:rPr>
              <w:t>Aktīvā darba tirgus politika</w:t>
            </w:r>
          </w:p>
        </w:tc>
      </w:tr>
      <w:tr w:rsidR="00AC212B" w:rsidRPr="00930237" w14:paraId="55BE6F3F" w14:textId="77777777" w:rsidTr="00710DDA">
        <w:tc>
          <w:tcPr>
            <w:tcW w:w="2430" w:type="dxa"/>
            <w:shd w:val="clear" w:color="auto" w:fill="auto"/>
          </w:tcPr>
          <w:p w14:paraId="389A4813" w14:textId="77777777" w:rsidR="00AC212B" w:rsidRPr="00930237" w:rsidRDefault="00AC212B" w:rsidP="00710DDA">
            <w:pPr>
              <w:tabs>
                <w:tab w:val="left" w:pos="1418"/>
                <w:tab w:val="left" w:pos="1985"/>
              </w:tabs>
              <w:spacing w:before="0" w:after="0"/>
              <w:rPr>
                <w:szCs w:val="24"/>
              </w:rPr>
            </w:pPr>
            <w:r w:rsidRPr="00930237">
              <w:rPr>
                <w:szCs w:val="24"/>
              </w:rPr>
              <w:t>AER</w:t>
            </w:r>
          </w:p>
        </w:tc>
        <w:tc>
          <w:tcPr>
            <w:tcW w:w="6029" w:type="dxa"/>
            <w:shd w:val="clear" w:color="auto" w:fill="auto"/>
          </w:tcPr>
          <w:p w14:paraId="11CBE289" w14:textId="77777777" w:rsidR="00AC212B" w:rsidRPr="00930237" w:rsidRDefault="00AC212B" w:rsidP="00710DDA">
            <w:pPr>
              <w:tabs>
                <w:tab w:val="left" w:pos="1418"/>
                <w:tab w:val="left" w:pos="1985"/>
              </w:tabs>
              <w:spacing w:before="0" w:after="0"/>
              <w:rPr>
                <w:szCs w:val="24"/>
              </w:rPr>
            </w:pPr>
            <w:r w:rsidRPr="00930237">
              <w:rPr>
                <w:szCs w:val="24"/>
              </w:rPr>
              <w:t>Atjaunojamie energoresursi</w:t>
            </w:r>
          </w:p>
        </w:tc>
      </w:tr>
      <w:tr w:rsidR="00AC212B" w:rsidRPr="00930237" w14:paraId="64DBD430" w14:textId="77777777" w:rsidTr="00710DDA">
        <w:tc>
          <w:tcPr>
            <w:tcW w:w="2430" w:type="dxa"/>
            <w:shd w:val="clear" w:color="auto" w:fill="auto"/>
          </w:tcPr>
          <w:p w14:paraId="05BE96B0" w14:textId="77777777" w:rsidR="00AC212B" w:rsidRPr="00930237" w:rsidRDefault="00AC212B" w:rsidP="00710DDA">
            <w:pPr>
              <w:tabs>
                <w:tab w:val="left" w:pos="1418"/>
                <w:tab w:val="left" w:pos="1985"/>
              </w:tabs>
              <w:spacing w:before="0" w:after="0"/>
              <w:rPr>
                <w:szCs w:val="24"/>
              </w:rPr>
            </w:pPr>
            <w:r w:rsidRPr="00930237">
              <w:rPr>
                <w:szCs w:val="24"/>
              </w:rPr>
              <w:t>AII</w:t>
            </w:r>
            <w:r w:rsidRPr="00930237">
              <w:rPr>
                <w:szCs w:val="24"/>
              </w:rPr>
              <w:tab/>
            </w:r>
          </w:p>
        </w:tc>
        <w:tc>
          <w:tcPr>
            <w:tcW w:w="6029" w:type="dxa"/>
            <w:shd w:val="clear" w:color="auto" w:fill="auto"/>
          </w:tcPr>
          <w:p w14:paraId="7BA78665" w14:textId="77777777" w:rsidR="00AC212B" w:rsidRPr="00930237" w:rsidRDefault="00AC212B" w:rsidP="00710DDA">
            <w:pPr>
              <w:tabs>
                <w:tab w:val="left" w:pos="1418"/>
                <w:tab w:val="left" w:pos="1985"/>
              </w:tabs>
              <w:spacing w:before="0" w:after="0"/>
              <w:rPr>
                <w:szCs w:val="24"/>
              </w:rPr>
            </w:pPr>
            <w:r w:rsidRPr="00930237">
              <w:rPr>
                <w:szCs w:val="24"/>
              </w:rPr>
              <w:t>Augstākās izglītības institūcijas</w:t>
            </w:r>
          </w:p>
        </w:tc>
      </w:tr>
      <w:tr w:rsidR="00885EFC" w:rsidRPr="00930237" w14:paraId="3FE58C10" w14:textId="77777777" w:rsidTr="00710DDA">
        <w:tc>
          <w:tcPr>
            <w:tcW w:w="2430" w:type="dxa"/>
            <w:shd w:val="clear" w:color="auto" w:fill="auto"/>
          </w:tcPr>
          <w:p w14:paraId="4B454962" w14:textId="3DD1C011" w:rsidR="00885EFC" w:rsidRPr="00930237" w:rsidRDefault="00885EFC" w:rsidP="00710DDA">
            <w:pPr>
              <w:tabs>
                <w:tab w:val="left" w:pos="1418"/>
                <w:tab w:val="left" w:pos="1985"/>
              </w:tabs>
              <w:spacing w:before="0" w:after="0"/>
              <w:rPr>
                <w:szCs w:val="24"/>
              </w:rPr>
            </w:pPr>
            <w:r>
              <w:rPr>
                <w:szCs w:val="24"/>
              </w:rPr>
              <w:t>ANM</w:t>
            </w:r>
          </w:p>
        </w:tc>
        <w:tc>
          <w:tcPr>
            <w:tcW w:w="6029" w:type="dxa"/>
            <w:shd w:val="clear" w:color="auto" w:fill="auto"/>
          </w:tcPr>
          <w:p w14:paraId="3C1D0214" w14:textId="3EBE6E71" w:rsidR="00885EFC" w:rsidRPr="00930237" w:rsidRDefault="00885EFC" w:rsidP="00710DDA">
            <w:pPr>
              <w:tabs>
                <w:tab w:val="left" w:pos="1418"/>
                <w:tab w:val="left" w:pos="1985"/>
              </w:tabs>
              <w:spacing w:before="0" w:after="0"/>
              <w:rPr>
                <w:szCs w:val="24"/>
              </w:rPr>
            </w:pPr>
            <w:r w:rsidRPr="00885EFC">
              <w:rPr>
                <w:szCs w:val="24"/>
              </w:rPr>
              <w:t>Atveseļošanās un noturības mehānism</w:t>
            </w:r>
            <w:r>
              <w:rPr>
                <w:szCs w:val="24"/>
              </w:rPr>
              <w:t>s</w:t>
            </w:r>
          </w:p>
        </w:tc>
      </w:tr>
      <w:tr w:rsidR="00AC212B" w:rsidRPr="00930237" w14:paraId="71CE6AE2" w14:textId="77777777" w:rsidTr="00710DDA">
        <w:tc>
          <w:tcPr>
            <w:tcW w:w="2430" w:type="dxa"/>
            <w:shd w:val="clear" w:color="auto" w:fill="auto"/>
          </w:tcPr>
          <w:p w14:paraId="60682D3F" w14:textId="77777777" w:rsidR="00AC212B" w:rsidRPr="00930237" w:rsidRDefault="00AC212B" w:rsidP="00710DDA">
            <w:pPr>
              <w:tabs>
                <w:tab w:val="left" w:pos="1418"/>
                <w:tab w:val="left" w:pos="1985"/>
              </w:tabs>
              <w:spacing w:before="0" w:after="0"/>
              <w:rPr>
                <w:szCs w:val="24"/>
              </w:rPr>
            </w:pPr>
            <w:r w:rsidRPr="00930237">
              <w:rPr>
                <w:szCs w:val="24"/>
              </w:rPr>
              <w:t>ANO</w:t>
            </w:r>
            <w:r w:rsidRPr="00930237">
              <w:rPr>
                <w:szCs w:val="24"/>
              </w:rPr>
              <w:tab/>
            </w:r>
          </w:p>
        </w:tc>
        <w:tc>
          <w:tcPr>
            <w:tcW w:w="6029" w:type="dxa"/>
            <w:shd w:val="clear" w:color="auto" w:fill="auto"/>
          </w:tcPr>
          <w:p w14:paraId="179CB4BD" w14:textId="77777777" w:rsidR="00AC212B" w:rsidRPr="00930237" w:rsidRDefault="00AC212B" w:rsidP="00710DDA">
            <w:pPr>
              <w:tabs>
                <w:tab w:val="left" w:pos="1418"/>
                <w:tab w:val="left" w:pos="1985"/>
              </w:tabs>
              <w:spacing w:before="0" w:after="0"/>
              <w:rPr>
                <w:szCs w:val="24"/>
              </w:rPr>
            </w:pPr>
            <w:r w:rsidRPr="00930237">
              <w:rPr>
                <w:szCs w:val="24"/>
              </w:rPr>
              <w:t>Apvienoto Nāciju Organizācija</w:t>
            </w:r>
          </w:p>
        </w:tc>
      </w:tr>
      <w:tr w:rsidR="00BE753C" w:rsidRPr="00930237" w14:paraId="6EBF20C9" w14:textId="77777777" w:rsidTr="00710DDA">
        <w:tc>
          <w:tcPr>
            <w:tcW w:w="2430" w:type="dxa"/>
            <w:shd w:val="clear" w:color="auto" w:fill="auto"/>
          </w:tcPr>
          <w:p w14:paraId="21C77C23" w14:textId="482C382E" w:rsidR="00BE753C" w:rsidRDefault="00BE753C" w:rsidP="00710DDA">
            <w:pPr>
              <w:tabs>
                <w:tab w:val="left" w:pos="1418"/>
                <w:tab w:val="left" w:pos="1985"/>
              </w:tabs>
              <w:spacing w:before="0" w:after="0"/>
              <w:rPr>
                <w:szCs w:val="24"/>
              </w:rPr>
            </w:pPr>
            <w:r>
              <w:rPr>
                <w:szCs w:val="24"/>
              </w:rPr>
              <w:t>ATR</w:t>
            </w:r>
          </w:p>
        </w:tc>
        <w:tc>
          <w:tcPr>
            <w:tcW w:w="6029" w:type="dxa"/>
            <w:shd w:val="clear" w:color="auto" w:fill="auto"/>
          </w:tcPr>
          <w:p w14:paraId="7CF2193C" w14:textId="5BCE53F0" w:rsidR="00BE753C" w:rsidRPr="00A52484" w:rsidRDefault="00BE753C" w:rsidP="00710DDA">
            <w:pPr>
              <w:tabs>
                <w:tab w:val="left" w:pos="1418"/>
                <w:tab w:val="left" w:pos="1985"/>
              </w:tabs>
              <w:spacing w:before="0" w:after="0"/>
              <w:rPr>
                <w:iCs/>
                <w:szCs w:val="24"/>
              </w:rPr>
            </w:pPr>
            <w:r>
              <w:rPr>
                <w:iCs/>
                <w:szCs w:val="24"/>
              </w:rPr>
              <w:t>Administratīvi teritoriālā reforma</w:t>
            </w:r>
          </w:p>
        </w:tc>
      </w:tr>
      <w:tr w:rsidR="00AE507C" w:rsidRPr="00930237" w14:paraId="255A10C2" w14:textId="77777777" w:rsidTr="00710DDA">
        <w:tc>
          <w:tcPr>
            <w:tcW w:w="2430" w:type="dxa"/>
            <w:shd w:val="clear" w:color="auto" w:fill="auto"/>
          </w:tcPr>
          <w:p w14:paraId="565CD07C" w14:textId="71361FE0" w:rsidR="00AE507C" w:rsidRPr="00930237" w:rsidRDefault="00AE507C" w:rsidP="00710DDA">
            <w:pPr>
              <w:tabs>
                <w:tab w:val="left" w:pos="1418"/>
                <w:tab w:val="left" w:pos="1985"/>
              </w:tabs>
              <w:spacing w:before="0" w:after="0"/>
              <w:rPr>
                <w:szCs w:val="24"/>
              </w:rPr>
            </w:pPr>
            <w:r>
              <w:rPr>
                <w:szCs w:val="24"/>
              </w:rPr>
              <w:t>BI</w:t>
            </w:r>
          </w:p>
        </w:tc>
        <w:tc>
          <w:tcPr>
            <w:tcW w:w="6029" w:type="dxa"/>
            <w:shd w:val="clear" w:color="auto" w:fill="auto"/>
          </w:tcPr>
          <w:p w14:paraId="41B7057B" w14:textId="5A05D94D" w:rsidR="00AE507C" w:rsidRPr="00AE507C" w:rsidRDefault="00A52484" w:rsidP="00710DDA">
            <w:pPr>
              <w:tabs>
                <w:tab w:val="left" w:pos="1418"/>
                <w:tab w:val="left" w:pos="1985"/>
              </w:tabs>
              <w:spacing w:before="0" w:after="0"/>
              <w:rPr>
                <w:i/>
                <w:szCs w:val="24"/>
              </w:rPr>
            </w:pPr>
            <w:r w:rsidRPr="00A52484">
              <w:rPr>
                <w:iCs/>
                <w:szCs w:val="24"/>
              </w:rPr>
              <w:t>Biznesa Inteliģences rīks, kas balstīts uz Microsoft Power BI, Qlik Sense vai ekvivalentas platformas</w:t>
            </w:r>
            <w:r w:rsidRPr="00A52484">
              <w:rPr>
                <w:i/>
                <w:szCs w:val="24"/>
              </w:rPr>
              <w:t xml:space="preserve"> </w:t>
            </w:r>
            <w:r>
              <w:rPr>
                <w:i/>
                <w:szCs w:val="24"/>
              </w:rPr>
              <w:t>(</w:t>
            </w:r>
            <w:r w:rsidR="00AE507C" w:rsidRPr="00AE507C">
              <w:rPr>
                <w:i/>
                <w:szCs w:val="24"/>
              </w:rPr>
              <w:t>Business Intelligence</w:t>
            </w:r>
            <w:r>
              <w:rPr>
                <w:i/>
                <w:szCs w:val="24"/>
              </w:rPr>
              <w:t>)</w:t>
            </w:r>
          </w:p>
        </w:tc>
      </w:tr>
      <w:tr w:rsidR="00AC212B" w:rsidRPr="00930237" w14:paraId="11F4C851" w14:textId="77777777" w:rsidTr="00710DDA">
        <w:tc>
          <w:tcPr>
            <w:tcW w:w="2430" w:type="dxa"/>
            <w:shd w:val="clear" w:color="auto" w:fill="auto"/>
          </w:tcPr>
          <w:p w14:paraId="16E75119" w14:textId="77777777" w:rsidR="00AC212B" w:rsidRPr="00930237" w:rsidRDefault="00AC212B" w:rsidP="00710DDA">
            <w:pPr>
              <w:tabs>
                <w:tab w:val="left" w:pos="1418"/>
                <w:tab w:val="left" w:pos="1985"/>
              </w:tabs>
              <w:spacing w:before="0" w:after="0"/>
              <w:rPr>
                <w:szCs w:val="24"/>
              </w:rPr>
            </w:pPr>
            <w:r w:rsidRPr="00930237">
              <w:rPr>
                <w:szCs w:val="24"/>
              </w:rPr>
              <w:t>BNA</w:t>
            </w:r>
          </w:p>
        </w:tc>
        <w:tc>
          <w:tcPr>
            <w:tcW w:w="6029" w:type="dxa"/>
            <w:shd w:val="clear" w:color="auto" w:fill="auto"/>
          </w:tcPr>
          <w:p w14:paraId="431EDC43" w14:textId="77777777" w:rsidR="00AC212B" w:rsidRPr="00930237" w:rsidRDefault="00AC212B" w:rsidP="00710DDA">
            <w:pPr>
              <w:tabs>
                <w:tab w:val="left" w:pos="1418"/>
                <w:tab w:val="left" w:pos="1985"/>
              </w:tabs>
              <w:spacing w:before="0" w:after="0"/>
              <w:rPr>
                <w:szCs w:val="24"/>
              </w:rPr>
            </w:pPr>
            <w:r w:rsidRPr="00930237">
              <w:rPr>
                <w:szCs w:val="24"/>
              </w:rPr>
              <w:t>Bioloģiski noārdāmie atkritumi</w:t>
            </w:r>
          </w:p>
        </w:tc>
      </w:tr>
      <w:tr w:rsidR="00AC212B" w:rsidRPr="00930237" w14:paraId="56365735" w14:textId="77777777" w:rsidTr="00710DDA">
        <w:tc>
          <w:tcPr>
            <w:tcW w:w="2430" w:type="dxa"/>
            <w:shd w:val="clear" w:color="auto" w:fill="auto"/>
          </w:tcPr>
          <w:p w14:paraId="76B573F5" w14:textId="77777777" w:rsidR="00AC212B" w:rsidRPr="00930237" w:rsidRDefault="00AC212B" w:rsidP="00710DDA">
            <w:pPr>
              <w:tabs>
                <w:tab w:val="left" w:pos="1418"/>
                <w:tab w:val="left" w:pos="1985"/>
              </w:tabs>
              <w:spacing w:before="0" w:after="0"/>
              <w:rPr>
                <w:szCs w:val="24"/>
              </w:rPr>
            </w:pPr>
            <w:r w:rsidRPr="00930237">
              <w:rPr>
                <w:szCs w:val="24"/>
              </w:rPr>
              <w:t>ALTUM</w:t>
            </w:r>
          </w:p>
        </w:tc>
        <w:tc>
          <w:tcPr>
            <w:tcW w:w="6029" w:type="dxa"/>
            <w:shd w:val="clear" w:color="auto" w:fill="auto"/>
          </w:tcPr>
          <w:p w14:paraId="2A2E8879" w14:textId="77777777" w:rsidR="00AC212B" w:rsidRPr="00930237" w:rsidRDefault="00AC212B" w:rsidP="00710DDA">
            <w:pPr>
              <w:tabs>
                <w:tab w:val="left" w:pos="1418"/>
                <w:tab w:val="left" w:pos="1985"/>
              </w:tabs>
              <w:spacing w:before="0" w:after="0"/>
              <w:rPr>
                <w:szCs w:val="24"/>
              </w:rPr>
            </w:pPr>
            <w:r w:rsidRPr="00930237">
              <w:rPr>
                <w:szCs w:val="24"/>
              </w:rPr>
              <w:t>AS “Attīstības finanšu institūcija Altum”</w:t>
            </w:r>
          </w:p>
        </w:tc>
      </w:tr>
      <w:tr w:rsidR="00AC212B" w:rsidRPr="00930237" w14:paraId="2A43EC99" w14:textId="77777777" w:rsidTr="00710DDA">
        <w:tc>
          <w:tcPr>
            <w:tcW w:w="2430" w:type="dxa"/>
            <w:shd w:val="clear" w:color="auto" w:fill="auto"/>
          </w:tcPr>
          <w:p w14:paraId="7DBC7081" w14:textId="77777777" w:rsidR="00AC212B" w:rsidRPr="00930237" w:rsidRDefault="00AC212B" w:rsidP="00710DDA">
            <w:pPr>
              <w:tabs>
                <w:tab w:val="left" w:pos="1418"/>
                <w:tab w:val="left" w:pos="1985"/>
              </w:tabs>
              <w:spacing w:before="0" w:after="0"/>
              <w:rPr>
                <w:szCs w:val="24"/>
              </w:rPr>
            </w:pPr>
            <w:r w:rsidRPr="00930237">
              <w:rPr>
                <w:szCs w:val="24"/>
              </w:rPr>
              <w:t>CE</w:t>
            </w:r>
          </w:p>
        </w:tc>
        <w:tc>
          <w:tcPr>
            <w:tcW w:w="6029" w:type="dxa"/>
            <w:shd w:val="clear" w:color="auto" w:fill="auto"/>
          </w:tcPr>
          <w:p w14:paraId="4135066A" w14:textId="77777777" w:rsidR="00AC212B" w:rsidRPr="00930237" w:rsidRDefault="00AC212B" w:rsidP="00710DDA">
            <w:pPr>
              <w:tabs>
                <w:tab w:val="left" w:pos="1418"/>
                <w:tab w:val="left" w:pos="1985"/>
              </w:tabs>
              <w:spacing w:before="0" w:after="0"/>
              <w:rPr>
                <w:szCs w:val="24"/>
              </w:rPr>
            </w:pPr>
            <w:r w:rsidRPr="00930237">
              <w:rPr>
                <w:szCs w:val="24"/>
              </w:rPr>
              <w:t>Cilvēku ekvivalents</w:t>
            </w:r>
          </w:p>
        </w:tc>
      </w:tr>
      <w:tr w:rsidR="00AC212B" w:rsidRPr="00930237" w14:paraId="6EE2BD6B" w14:textId="77777777" w:rsidTr="00710DDA">
        <w:tc>
          <w:tcPr>
            <w:tcW w:w="2430" w:type="dxa"/>
            <w:shd w:val="clear" w:color="auto" w:fill="auto"/>
          </w:tcPr>
          <w:p w14:paraId="0AD86621" w14:textId="77777777" w:rsidR="00AC212B" w:rsidRPr="00930237" w:rsidRDefault="00AC212B" w:rsidP="00710DDA">
            <w:pPr>
              <w:tabs>
                <w:tab w:val="left" w:pos="1418"/>
                <w:tab w:val="left" w:pos="1985"/>
              </w:tabs>
              <w:spacing w:before="0" w:after="0"/>
              <w:rPr>
                <w:szCs w:val="24"/>
              </w:rPr>
            </w:pPr>
            <w:r w:rsidRPr="00930237">
              <w:rPr>
                <w:szCs w:val="24"/>
              </w:rPr>
              <w:t>CFLA</w:t>
            </w:r>
          </w:p>
        </w:tc>
        <w:tc>
          <w:tcPr>
            <w:tcW w:w="6029" w:type="dxa"/>
            <w:shd w:val="clear" w:color="auto" w:fill="auto"/>
          </w:tcPr>
          <w:p w14:paraId="2AD2AA79" w14:textId="77777777" w:rsidR="00AC212B" w:rsidRPr="00930237" w:rsidRDefault="00AC212B" w:rsidP="00710DDA">
            <w:pPr>
              <w:tabs>
                <w:tab w:val="left" w:pos="1418"/>
                <w:tab w:val="left" w:pos="1985"/>
              </w:tabs>
              <w:spacing w:before="0" w:after="0"/>
              <w:rPr>
                <w:szCs w:val="24"/>
              </w:rPr>
            </w:pPr>
            <w:r w:rsidRPr="00930237">
              <w:rPr>
                <w:szCs w:val="24"/>
              </w:rPr>
              <w:t>Centrālā finanšu un līgumu aģentūra</w:t>
            </w:r>
          </w:p>
        </w:tc>
      </w:tr>
      <w:tr w:rsidR="00AC212B" w:rsidRPr="00930237" w14:paraId="138B9F72" w14:textId="77777777" w:rsidTr="00710DDA">
        <w:trPr>
          <w:trHeight w:val="325"/>
        </w:trPr>
        <w:tc>
          <w:tcPr>
            <w:tcW w:w="2430" w:type="dxa"/>
            <w:shd w:val="clear" w:color="auto" w:fill="auto"/>
          </w:tcPr>
          <w:p w14:paraId="0B89AD6E" w14:textId="77777777" w:rsidR="00AC212B" w:rsidRPr="00930237" w:rsidRDefault="00AC212B" w:rsidP="00710DDA">
            <w:pPr>
              <w:tabs>
                <w:tab w:val="left" w:pos="1418"/>
                <w:tab w:val="left" w:pos="1985"/>
              </w:tabs>
              <w:spacing w:before="0" w:after="0"/>
              <w:rPr>
                <w:szCs w:val="24"/>
              </w:rPr>
            </w:pPr>
            <w:r w:rsidRPr="00930237">
              <w:rPr>
                <w:szCs w:val="24"/>
              </w:rPr>
              <w:t>CSP</w:t>
            </w:r>
          </w:p>
        </w:tc>
        <w:tc>
          <w:tcPr>
            <w:tcW w:w="6029" w:type="dxa"/>
            <w:shd w:val="clear" w:color="auto" w:fill="auto"/>
          </w:tcPr>
          <w:p w14:paraId="3BCF1CAB" w14:textId="77777777" w:rsidR="00AC212B" w:rsidRPr="00930237" w:rsidRDefault="00AC212B" w:rsidP="00710DDA">
            <w:pPr>
              <w:tabs>
                <w:tab w:val="left" w:pos="1418"/>
                <w:tab w:val="left" w:pos="1985"/>
              </w:tabs>
              <w:spacing w:before="0" w:after="0"/>
              <w:rPr>
                <w:szCs w:val="24"/>
              </w:rPr>
            </w:pPr>
            <w:r w:rsidRPr="00930237">
              <w:rPr>
                <w:szCs w:val="24"/>
              </w:rPr>
              <w:t>Centrālā statistikas pārvalde</w:t>
            </w:r>
          </w:p>
        </w:tc>
      </w:tr>
      <w:tr w:rsidR="00AC212B" w:rsidRPr="00930237" w14:paraId="6CEDDA20" w14:textId="77777777" w:rsidTr="00710DDA">
        <w:trPr>
          <w:trHeight w:val="325"/>
        </w:trPr>
        <w:tc>
          <w:tcPr>
            <w:tcW w:w="2430" w:type="dxa"/>
            <w:shd w:val="clear" w:color="auto" w:fill="auto"/>
          </w:tcPr>
          <w:p w14:paraId="4E39553F" w14:textId="77777777" w:rsidR="00AC212B" w:rsidRPr="00930237" w:rsidRDefault="00AC212B" w:rsidP="00710DDA">
            <w:pPr>
              <w:tabs>
                <w:tab w:val="left" w:pos="1418"/>
                <w:tab w:val="left" w:pos="1985"/>
              </w:tabs>
              <w:spacing w:before="0" w:after="0"/>
              <w:rPr>
                <w:szCs w:val="24"/>
              </w:rPr>
            </w:pPr>
            <w:r w:rsidRPr="00930237">
              <w:rPr>
                <w:szCs w:val="24"/>
              </w:rPr>
              <w:t>DESI indekss</w:t>
            </w:r>
          </w:p>
        </w:tc>
        <w:tc>
          <w:tcPr>
            <w:tcW w:w="6029" w:type="dxa"/>
            <w:shd w:val="clear" w:color="auto" w:fill="auto"/>
          </w:tcPr>
          <w:p w14:paraId="0888388B" w14:textId="77777777" w:rsidR="00AC212B" w:rsidRPr="00930237" w:rsidRDefault="00AC212B" w:rsidP="00710DDA">
            <w:pPr>
              <w:tabs>
                <w:tab w:val="left" w:pos="1418"/>
                <w:tab w:val="left" w:pos="1985"/>
              </w:tabs>
              <w:spacing w:before="0" w:after="0"/>
              <w:rPr>
                <w:szCs w:val="24"/>
              </w:rPr>
            </w:pPr>
            <w:r w:rsidRPr="00930237">
              <w:rPr>
                <w:szCs w:val="24"/>
              </w:rPr>
              <w:t>Digitālās ekonomikas un sabiedrības indekss</w:t>
            </w:r>
          </w:p>
        </w:tc>
      </w:tr>
      <w:tr w:rsidR="005A6AC9" w:rsidRPr="00930237" w14:paraId="23C1C5F1" w14:textId="77777777" w:rsidTr="00710DDA">
        <w:trPr>
          <w:trHeight w:val="312"/>
        </w:trPr>
        <w:tc>
          <w:tcPr>
            <w:tcW w:w="2430" w:type="dxa"/>
            <w:shd w:val="clear" w:color="auto" w:fill="auto"/>
          </w:tcPr>
          <w:p w14:paraId="4A67D5D6" w14:textId="75F59C08" w:rsidR="005A6AC9" w:rsidRPr="00930237" w:rsidRDefault="005A6AC9" w:rsidP="00710DDA">
            <w:pPr>
              <w:tabs>
                <w:tab w:val="left" w:pos="1418"/>
                <w:tab w:val="left" w:pos="1985"/>
              </w:tabs>
              <w:spacing w:before="0" w:after="0"/>
              <w:rPr>
                <w:szCs w:val="24"/>
              </w:rPr>
            </w:pPr>
            <w:r>
              <w:rPr>
                <w:szCs w:val="24"/>
              </w:rPr>
              <w:t>DIC</w:t>
            </w:r>
          </w:p>
        </w:tc>
        <w:tc>
          <w:tcPr>
            <w:tcW w:w="6029" w:type="dxa"/>
            <w:shd w:val="clear" w:color="auto" w:fill="auto"/>
          </w:tcPr>
          <w:p w14:paraId="0C834A30" w14:textId="39DF0454" w:rsidR="005A6AC9" w:rsidRPr="00930237" w:rsidRDefault="005A6AC9" w:rsidP="00710DDA">
            <w:pPr>
              <w:tabs>
                <w:tab w:val="left" w:pos="1418"/>
                <w:tab w:val="left" w:pos="1985"/>
              </w:tabs>
              <w:spacing w:before="0" w:after="0"/>
              <w:rPr>
                <w:szCs w:val="24"/>
              </w:rPr>
            </w:pPr>
            <w:r>
              <w:rPr>
                <w:szCs w:val="24"/>
              </w:rPr>
              <w:t>Digitālais Inovāciju centrs</w:t>
            </w:r>
          </w:p>
        </w:tc>
      </w:tr>
      <w:tr w:rsidR="00AC212B" w:rsidRPr="00930237" w14:paraId="12C7B3BA" w14:textId="77777777" w:rsidTr="00710DDA">
        <w:trPr>
          <w:trHeight w:val="312"/>
        </w:trPr>
        <w:tc>
          <w:tcPr>
            <w:tcW w:w="2430" w:type="dxa"/>
            <w:shd w:val="clear" w:color="auto" w:fill="auto"/>
          </w:tcPr>
          <w:p w14:paraId="7BD5EF37" w14:textId="77777777" w:rsidR="00AC212B" w:rsidRPr="00930237" w:rsidRDefault="00AC212B" w:rsidP="00710DDA">
            <w:pPr>
              <w:tabs>
                <w:tab w:val="left" w:pos="1418"/>
                <w:tab w:val="left" w:pos="1985"/>
              </w:tabs>
              <w:spacing w:before="0" w:after="0"/>
              <w:rPr>
                <w:szCs w:val="24"/>
              </w:rPr>
            </w:pPr>
            <w:r w:rsidRPr="00930237">
              <w:rPr>
                <w:szCs w:val="24"/>
              </w:rPr>
              <w:t>DP</w:t>
            </w:r>
          </w:p>
        </w:tc>
        <w:tc>
          <w:tcPr>
            <w:tcW w:w="6029" w:type="dxa"/>
            <w:shd w:val="clear" w:color="auto" w:fill="auto"/>
          </w:tcPr>
          <w:p w14:paraId="5946F8E8" w14:textId="77777777" w:rsidR="00AC212B" w:rsidRPr="00930237" w:rsidRDefault="00AC212B" w:rsidP="00710DDA">
            <w:pPr>
              <w:tabs>
                <w:tab w:val="left" w:pos="1418"/>
                <w:tab w:val="left" w:pos="1985"/>
              </w:tabs>
              <w:spacing w:before="0" w:after="0"/>
              <w:rPr>
                <w:szCs w:val="24"/>
              </w:rPr>
            </w:pPr>
            <w:r w:rsidRPr="00930237">
              <w:rPr>
                <w:szCs w:val="24"/>
              </w:rPr>
              <w:t>Darbības programma Latvijai 2021.–2027.gadam</w:t>
            </w:r>
          </w:p>
        </w:tc>
      </w:tr>
      <w:tr w:rsidR="00AC212B" w:rsidRPr="00930237" w14:paraId="605EFBB7" w14:textId="77777777" w:rsidTr="00710DDA">
        <w:trPr>
          <w:trHeight w:val="312"/>
        </w:trPr>
        <w:tc>
          <w:tcPr>
            <w:tcW w:w="2430" w:type="dxa"/>
            <w:shd w:val="clear" w:color="auto" w:fill="auto"/>
          </w:tcPr>
          <w:p w14:paraId="12469913" w14:textId="77777777" w:rsidR="00AC212B" w:rsidRPr="00930237" w:rsidRDefault="00AC212B" w:rsidP="00710DDA">
            <w:pPr>
              <w:tabs>
                <w:tab w:val="left" w:pos="1418"/>
                <w:tab w:val="left" w:pos="1985"/>
              </w:tabs>
              <w:spacing w:before="0" w:after="0"/>
              <w:rPr>
                <w:szCs w:val="24"/>
              </w:rPr>
            </w:pPr>
            <w:r w:rsidRPr="00930237">
              <w:rPr>
                <w:szCs w:val="24"/>
              </w:rPr>
              <w:t>EEZ</w:t>
            </w:r>
          </w:p>
        </w:tc>
        <w:tc>
          <w:tcPr>
            <w:tcW w:w="6029" w:type="dxa"/>
            <w:shd w:val="clear" w:color="auto" w:fill="auto"/>
          </w:tcPr>
          <w:p w14:paraId="396B31B7" w14:textId="77777777" w:rsidR="00AC212B" w:rsidRPr="00930237" w:rsidRDefault="00AC212B" w:rsidP="00710DDA">
            <w:pPr>
              <w:tabs>
                <w:tab w:val="left" w:pos="1418"/>
                <w:tab w:val="left" w:pos="1985"/>
              </w:tabs>
              <w:spacing w:before="0" w:after="0"/>
              <w:rPr>
                <w:szCs w:val="24"/>
              </w:rPr>
            </w:pPr>
            <w:r w:rsidRPr="00930237">
              <w:rPr>
                <w:szCs w:val="24"/>
              </w:rPr>
              <w:t>Eiropas Ekonomiskā zona</w:t>
            </w:r>
          </w:p>
        </w:tc>
      </w:tr>
      <w:tr w:rsidR="00C52FDA" w:rsidRPr="00930237" w14:paraId="2C277884" w14:textId="77777777" w:rsidTr="00710DDA">
        <w:trPr>
          <w:trHeight w:val="312"/>
        </w:trPr>
        <w:tc>
          <w:tcPr>
            <w:tcW w:w="2430" w:type="dxa"/>
            <w:shd w:val="clear" w:color="auto" w:fill="auto"/>
          </w:tcPr>
          <w:p w14:paraId="051459C6" w14:textId="4360C2CF" w:rsidR="00C52FDA" w:rsidRPr="00930237" w:rsidRDefault="00C52FDA" w:rsidP="00710DDA">
            <w:pPr>
              <w:tabs>
                <w:tab w:val="left" w:pos="1418"/>
                <w:tab w:val="left" w:pos="1985"/>
              </w:tabs>
              <w:spacing w:before="0" w:after="0"/>
              <w:rPr>
                <w:szCs w:val="24"/>
              </w:rPr>
            </w:pPr>
            <w:r>
              <w:rPr>
                <w:szCs w:val="24"/>
              </w:rPr>
              <w:t xml:space="preserve">EISI </w:t>
            </w:r>
          </w:p>
        </w:tc>
        <w:tc>
          <w:tcPr>
            <w:tcW w:w="6029" w:type="dxa"/>
            <w:shd w:val="clear" w:color="auto" w:fill="auto"/>
          </w:tcPr>
          <w:p w14:paraId="78C4ACD6" w14:textId="18850CBD" w:rsidR="00C52FDA" w:rsidRPr="00930237" w:rsidRDefault="00C52FDA" w:rsidP="00710DDA">
            <w:pPr>
              <w:tabs>
                <w:tab w:val="left" w:pos="1418"/>
                <w:tab w:val="left" w:pos="1985"/>
              </w:tabs>
              <w:spacing w:before="0" w:after="0"/>
              <w:rPr>
                <w:szCs w:val="24"/>
              </w:rPr>
            </w:pPr>
            <w:r w:rsidRPr="00C52FDA">
              <w:rPr>
                <w:szCs w:val="24"/>
              </w:rPr>
              <w:t>Eiropas infrastr</w:t>
            </w:r>
            <w:r>
              <w:rPr>
                <w:szCs w:val="24"/>
              </w:rPr>
              <w:t>uktūras savienošanas instruments</w:t>
            </w:r>
          </w:p>
        </w:tc>
      </w:tr>
      <w:tr w:rsidR="00AC212B" w:rsidRPr="00930237" w14:paraId="34CFFC55" w14:textId="77777777" w:rsidTr="00710DDA">
        <w:tc>
          <w:tcPr>
            <w:tcW w:w="2430" w:type="dxa"/>
            <w:shd w:val="clear" w:color="auto" w:fill="auto"/>
          </w:tcPr>
          <w:p w14:paraId="36EB8B33" w14:textId="77777777" w:rsidR="00AC212B" w:rsidRPr="00930237" w:rsidRDefault="00AC212B" w:rsidP="00710DDA">
            <w:pPr>
              <w:tabs>
                <w:tab w:val="left" w:pos="1418"/>
                <w:tab w:val="left" w:pos="1985"/>
              </w:tabs>
              <w:spacing w:before="0" w:after="0"/>
              <w:rPr>
                <w:szCs w:val="24"/>
              </w:rPr>
            </w:pPr>
            <w:r w:rsidRPr="00930237">
              <w:rPr>
                <w:szCs w:val="24"/>
              </w:rPr>
              <w:t>EJZF</w:t>
            </w:r>
          </w:p>
        </w:tc>
        <w:tc>
          <w:tcPr>
            <w:tcW w:w="6029" w:type="dxa"/>
            <w:shd w:val="clear" w:color="auto" w:fill="auto"/>
          </w:tcPr>
          <w:p w14:paraId="0547F6B4" w14:textId="77777777" w:rsidR="00AC212B" w:rsidRPr="00930237" w:rsidRDefault="00AC212B" w:rsidP="00710DDA">
            <w:pPr>
              <w:tabs>
                <w:tab w:val="left" w:pos="1418"/>
                <w:tab w:val="left" w:pos="1985"/>
              </w:tabs>
              <w:spacing w:before="0" w:after="0"/>
              <w:rPr>
                <w:szCs w:val="24"/>
              </w:rPr>
            </w:pPr>
            <w:r w:rsidRPr="00930237">
              <w:rPr>
                <w:szCs w:val="24"/>
              </w:rPr>
              <w:t>Eiropas Jūrlietu un zivsaimniecības fonds</w:t>
            </w:r>
          </w:p>
        </w:tc>
      </w:tr>
      <w:tr w:rsidR="00AC212B" w:rsidRPr="00930237" w14:paraId="43E01A99" w14:textId="77777777" w:rsidTr="00710DDA">
        <w:tc>
          <w:tcPr>
            <w:tcW w:w="2430" w:type="dxa"/>
            <w:shd w:val="clear" w:color="auto" w:fill="auto"/>
          </w:tcPr>
          <w:p w14:paraId="2A101169" w14:textId="77777777" w:rsidR="00AC212B" w:rsidRPr="00930237" w:rsidRDefault="00AC212B" w:rsidP="00710DDA">
            <w:pPr>
              <w:tabs>
                <w:tab w:val="left" w:pos="1418"/>
                <w:tab w:val="left" w:pos="1985"/>
              </w:tabs>
              <w:spacing w:before="0" w:after="0"/>
              <w:rPr>
                <w:szCs w:val="24"/>
              </w:rPr>
            </w:pPr>
            <w:r w:rsidRPr="00930237">
              <w:rPr>
                <w:szCs w:val="24"/>
              </w:rPr>
              <w:t>EK</w:t>
            </w:r>
          </w:p>
        </w:tc>
        <w:tc>
          <w:tcPr>
            <w:tcW w:w="6029" w:type="dxa"/>
            <w:shd w:val="clear" w:color="auto" w:fill="auto"/>
          </w:tcPr>
          <w:p w14:paraId="4578BC64" w14:textId="77777777" w:rsidR="00AC212B" w:rsidRPr="00930237" w:rsidRDefault="00AC212B" w:rsidP="00710DDA">
            <w:pPr>
              <w:tabs>
                <w:tab w:val="left" w:pos="1418"/>
                <w:tab w:val="left" w:pos="1985"/>
              </w:tabs>
              <w:spacing w:before="0" w:after="0"/>
              <w:rPr>
                <w:szCs w:val="24"/>
              </w:rPr>
            </w:pPr>
            <w:r w:rsidRPr="00930237">
              <w:rPr>
                <w:szCs w:val="24"/>
              </w:rPr>
              <w:t>Eiropas Komisija</w:t>
            </w:r>
          </w:p>
        </w:tc>
      </w:tr>
      <w:tr w:rsidR="00AC212B" w:rsidRPr="00930237" w14:paraId="2494D9F6" w14:textId="77777777" w:rsidTr="00710DDA">
        <w:tc>
          <w:tcPr>
            <w:tcW w:w="2430" w:type="dxa"/>
            <w:shd w:val="clear" w:color="auto" w:fill="auto"/>
          </w:tcPr>
          <w:p w14:paraId="07694A5C" w14:textId="77777777" w:rsidR="00AC212B" w:rsidRPr="00930237" w:rsidRDefault="00AC212B" w:rsidP="00710DDA">
            <w:pPr>
              <w:tabs>
                <w:tab w:val="left" w:pos="1418"/>
                <w:tab w:val="left" w:pos="1985"/>
              </w:tabs>
              <w:spacing w:before="0" w:after="0"/>
              <w:rPr>
                <w:szCs w:val="24"/>
              </w:rPr>
            </w:pPr>
            <w:r w:rsidRPr="00930237">
              <w:rPr>
                <w:szCs w:val="24"/>
              </w:rPr>
              <w:t>EM</w:t>
            </w:r>
          </w:p>
        </w:tc>
        <w:tc>
          <w:tcPr>
            <w:tcW w:w="6029" w:type="dxa"/>
            <w:shd w:val="clear" w:color="auto" w:fill="auto"/>
          </w:tcPr>
          <w:p w14:paraId="6D5658AD" w14:textId="77777777" w:rsidR="00AC212B" w:rsidRPr="00930237" w:rsidRDefault="00AC212B" w:rsidP="00710DDA">
            <w:pPr>
              <w:tabs>
                <w:tab w:val="left" w:pos="1418"/>
                <w:tab w:val="left" w:pos="1985"/>
              </w:tabs>
              <w:spacing w:before="0" w:after="0"/>
              <w:rPr>
                <w:szCs w:val="24"/>
              </w:rPr>
            </w:pPr>
            <w:r w:rsidRPr="00930237">
              <w:rPr>
                <w:szCs w:val="24"/>
              </w:rPr>
              <w:t>Ekonomikas ministrija</w:t>
            </w:r>
          </w:p>
        </w:tc>
      </w:tr>
      <w:tr w:rsidR="00AC212B" w:rsidRPr="00930237" w14:paraId="4BE6E8E2" w14:textId="77777777" w:rsidTr="00710DDA">
        <w:tc>
          <w:tcPr>
            <w:tcW w:w="2430" w:type="dxa"/>
            <w:shd w:val="clear" w:color="auto" w:fill="auto"/>
          </w:tcPr>
          <w:p w14:paraId="7D7A889B" w14:textId="77777777" w:rsidR="00AC212B" w:rsidRPr="00930237" w:rsidRDefault="00AC212B" w:rsidP="00710DDA">
            <w:pPr>
              <w:tabs>
                <w:tab w:val="left" w:pos="1418"/>
                <w:tab w:val="left" w:pos="1985"/>
              </w:tabs>
              <w:spacing w:before="0" w:after="0"/>
              <w:rPr>
                <w:szCs w:val="24"/>
              </w:rPr>
            </w:pPr>
            <w:r w:rsidRPr="00930237">
              <w:rPr>
                <w:szCs w:val="24"/>
              </w:rPr>
              <w:t>EP</w:t>
            </w:r>
          </w:p>
        </w:tc>
        <w:tc>
          <w:tcPr>
            <w:tcW w:w="6029" w:type="dxa"/>
            <w:shd w:val="clear" w:color="auto" w:fill="auto"/>
          </w:tcPr>
          <w:p w14:paraId="60D7A522" w14:textId="77777777" w:rsidR="00AC212B" w:rsidRPr="00930237" w:rsidRDefault="00AC212B" w:rsidP="00710DDA">
            <w:pPr>
              <w:tabs>
                <w:tab w:val="left" w:pos="1418"/>
                <w:tab w:val="left" w:pos="1985"/>
              </w:tabs>
              <w:spacing w:before="0" w:after="0"/>
              <w:rPr>
                <w:szCs w:val="24"/>
              </w:rPr>
            </w:pPr>
            <w:r w:rsidRPr="00930237">
              <w:rPr>
                <w:szCs w:val="24"/>
              </w:rPr>
              <w:t>Eiropas Padome</w:t>
            </w:r>
          </w:p>
        </w:tc>
      </w:tr>
      <w:tr w:rsidR="00AC212B" w:rsidRPr="00930237" w14:paraId="3B38C30B" w14:textId="77777777" w:rsidTr="00710DDA">
        <w:tc>
          <w:tcPr>
            <w:tcW w:w="2430" w:type="dxa"/>
            <w:shd w:val="clear" w:color="auto" w:fill="auto"/>
          </w:tcPr>
          <w:p w14:paraId="748116A4" w14:textId="77777777" w:rsidR="00AC212B" w:rsidRPr="00930237" w:rsidRDefault="00AC212B" w:rsidP="00710DDA">
            <w:pPr>
              <w:tabs>
                <w:tab w:val="left" w:pos="1418"/>
                <w:tab w:val="left" w:pos="1985"/>
              </w:tabs>
              <w:spacing w:before="0" w:after="0"/>
              <w:rPr>
                <w:szCs w:val="24"/>
              </w:rPr>
            </w:pPr>
            <w:r w:rsidRPr="00930237">
              <w:rPr>
                <w:szCs w:val="24"/>
              </w:rPr>
              <w:t>ERAF</w:t>
            </w:r>
          </w:p>
        </w:tc>
        <w:tc>
          <w:tcPr>
            <w:tcW w:w="6029" w:type="dxa"/>
            <w:shd w:val="clear" w:color="auto" w:fill="auto"/>
          </w:tcPr>
          <w:p w14:paraId="174E8B0A" w14:textId="77777777" w:rsidR="00AC212B" w:rsidRPr="00930237" w:rsidRDefault="00AC212B" w:rsidP="00710DDA">
            <w:pPr>
              <w:tabs>
                <w:tab w:val="left" w:pos="1418"/>
                <w:tab w:val="left" w:pos="1985"/>
              </w:tabs>
              <w:spacing w:before="0" w:after="0"/>
              <w:rPr>
                <w:szCs w:val="24"/>
              </w:rPr>
            </w:pPr>
            <w:r w:rsidRPr="00930237">
              <w:rPr>
                <w:szCs w:val="24"/>
              </w:rPr>
              <w:t>Eiropas Reģionālās attīstības fonds</w:t>
            </w:r>
          </w:p>
        </w:tc>
      </w:tr>
      <w:tr w:rsidR="00AC212B" w:rsidRPr="00930237" w14:paraId="14C51D1A" w14:textId="77777777" w:rsidTr="00710DDA">
        <w:tc>
          <w:tcPr>
            <w:tcW w:w="2430" w:type="dxa"/>
            <w:shd w:val="clear" w:color="auto" w:fill="auto"/>
          </w:tcPr>
          <w:p w14:paraId="0B9F509F" w14:textId="77777777" w:rsidR="00AC212B" w:rsidRPr="00930237" w:rsidRDefault="00AC212B" w:rsidP="00710DDA">
            <w:pPr>
              <w:tabs>
                <w:tab w:val="left" w:pos="1418"/>
                <w:tab w:val="left" w:pos="1985"/>
              </w:tabs>
              <w:spacing w:before="0" w:after="0"/>
              <w:rPr>
                <w:szCs w:val="24"/>
              </w:rPr>
            </w:pPr>
            <w:r w:rsidRPr="00930237">
              <w:rPr>
                <w:szCs w:val="24"/>
              </w:rPr>
              <w:t>ERAF regula</w:t>
            </w:r>
          </w:p>
          <w:p w14:paraId="79E48C25" w14:textId="77777777" w:rsidR="00AC212B" w:rsidRPr="00930237" w:rsidRDefault="00AC212B" w:rsidP="00710DDA">
            <w:pPr>
              <w:tabs>
                <w:tab w:val="left" w:pos="1418"/>
                <w:tab w:val="left" w:pos="1985"/>
              </w:tabs>
              <w:spacing w:before="0" w:after="0"/>
              <w:rPr>
                <w:szCs w:val="24"/>
              </w:rPr>
            </w:pPr>
          </w:p>
        </w:tc>
        <w:tc>
          <w:tcPr>
            <w:tcW w:w="6029" w:type="dxa"/>
            <w:shd w:val="clear" w:color="auto" w:fill="auto"/>
          </w:tcPr>
          <w:p w14:paraId="4FE163F9" w14:textId="0514667E" w:rsidR="00AC212B" w:rsidRPr="00930237" w:rsidRDefault="00AC212B" w:rsidP="00710DDA">
            <w:pPr>
              <w:tabs>
                <w:tab w:val="left" w:pos="1418"/>
                <w:tab w:val="left" w:pos="1985"/>
              </w:tabs>
              <w:spacing w:before="0" w:after="0"/>
              <w:rPr>
                <w:szCs w:val="24"/>
              </w:rPr>
            </w:pPr>
            <w:r w:rsidRPr="00930237">
              <w:rPr>
                <w:szCs w:val="24"/>
              </w:rPr>
              <w:t xml:space="preserve">Eiropas Parlamenta un Padomes Regulas (ES) priekšlikums par Eiropas Reģionālās attīstības fondu un </w:t>
            </w:r>
            <w:r w:rsidR="00893AEB" w:rsidRPr="00930237">
              <w:rPr>
                <w:szCs w:val="24"/>
              </w:rPr>
              <w:t>Kohēzijas</w:t>
            </w:r>
            <w:r w:rsidRPr="00930237">
              <w:rPr>
                <w:szCs w:val="24"/>
              </w:rPr>
              <w:t xml:space="preserve"> fondu</w:t>
            </w:r>
          </w:p>
        </w:tc>
      </w:tr>
      <w:tr w:rsidR="00AC212B" w:rsidRPr="00930237" w14:paraId="61FAF514" w14:textId="77777777" w:rsidTr="00710DDA">
        <w:tc>
          <w:tcPr>
            <w:tcW w:w="2430" w:type="dxa"/>
            <w:shd w:val="clear" w:color="auto" w:fill="auto"/>
          </w:tcPr>
          <w:p w14:paraId="68FA3985" w14:textId="77777777" w:rsidR="00AC212B" w:rsidRPr="00930237" w:rsidRDefault="00AC212B" w:rsidP="00710DDA">
            <w:pPr>
              <w:tabs>
                <w:tab w:val="left" w:pos="1418"/>
                <w:tab w:val="left" w:pos="1985"/>
              </w:tabs>
              <w:spacing w:before="0" w:after="0"/>
              <w:rPr>
                <w:szCs w:val="24"/>
              </w:rPr>
            </w:pPr>
            <w:r w:rsidRPr="00930237">
              <w:rPr>
                <w:szCs w:val="24"/>
              </w:rPr>
              <w:t>ERASMUS</w:t>
            </w:r>
          </w:p>
          <w:p w14:paraId="627DA3AB" w14:textId="77777777" w:rsidR="00AC212B" w:rsidRPr="00930237" w:rsidRDefault="00AC212B" w:rsidP="00710DDA">
            <w:pPr>
              <w:tabs>
                <w:tab w:val="left" w:pos="1418"/>
                <w:tab w:val="left" w:pos="1985"/>
              </w:tabs>
              <w:spacing w:before="0" w:after="0"/>
              <w:rPr>
                <w:szCs w:val="24"/>
              </w:rPr>
            </w:pPr>
          </w:p>
        </w:tc>
        <w:tc>
          <w:tcPr>
            <w:tcW w:w="6029" w:type="dxa"/>
            <w:shd w:val="clear" w:color="auto" w:fill="auto"/>
          </w:tcPr>
          <w:p w14:paraId="08FCB6BC" w14:textId="77777777" w:rsidR="00AC212B" w:rsidRPr="00930237" w:rsidRDefault="00AC212B" w:rsidP="00710DDA">
            <w:pPr>
              <w:tabs>
                <w:tab w:val="left" w:pos="1418"/>
                <w:tab w:val="left" w:pos="1985"/>
              </w:tabs>
              <w:spacing w:before="0" w:after="0"/>
              <w:rPr>
                <w:szCs w:val="24"/>
              </w:rPr>
            </w:pPr>
            <w:r w:rsidRPr="00930237">
              <w:rPr>
                <w:szCs w:val="24"/>
              </w:rPr>
              <w:t>Eiropas reģiona universitāšu studentu sadarbības shēma (</w:t>
            </w:r>
            <w:r w:rsidRPr="00930237">
              <w:rPr>
                <w:i/>
                <w:szCs w:val="24"/>
              </w:rPr>
              <w:t>European Region Action Scheme for the Mobility of University Students</w:t>
            </w:r>
            <w:r w:rsidRPr="00930237">
              <w:rPr>
                <w:szCs w:val="24"/>
              </w:rPr>
              <w:t>)</w:t>
            </w:r>
          </w:p>
        </w:tc>
      </w:tr>
      <w:tr w:rsidR="00AC212B" w:rsidRPr="00930237" w14:paraId="49F48905" w14:textId="77777777" w:rsidTr="00710DDA">
        <w:tc>
          <w:tcPr>
            <w:tcW w:w="2430" w:type="dxa"/>
            <w:shd w:val="clear" w:color="auto" w:fill="auto"/>
          </w:tcPr>
          <w:p w14:paraId="7398F59A" w14:textId="77777777" w:rsidR="00AC212B" w:rsidRPr="00930237" w:rsidRDefault="00AC212B" w:rsidP="00710DDA">
            <w:pPr>
              <w:tabs>
                <w:tab w:val="left" w:pos="1418"/>
                <w:tab w:val="left" w:pos="1985"/>
              </w:tabs>
              <w:spacing w:before="0" w:after="0"/>
              <w:rPr>
                <w:szCs w:val="24"/>
              </w:rPr>
            </w:pPr>
            <w:r w:rsidRPr="00930237">
              <w:rPr>
                <w:szCs w:val="24"/>
              </w:rPr>
              <w:t>E-pārvaldība</w:t>
            </w:r>
          </w:p>
        </w:tc>
        <w:tc>
          <w:tcPr>
            <w:tcW w:w="6029" w:type="dxa"/>
            <w:shd w:val="clear" w:color="auto" w:fill="auto"/>
          </w:tcPr>
          <w:p w14:paraId="4E130004" w14:textId="77777777" w:rsidR="00AC212B" w:rsidRPr="00930237" w:rsidRDefault="00AC212B" w:rsidP="00710DDA">
            <w:pPr>
              <w:tabs>
                <w:tab w:val="left" w:pos="1418"/>
                <w:tab w:val="left" w:pos="1985"/>
              </w:tabs>
              <w:spacing w:before="0" w:after="0"/>
              <w:rPr>
                <w:szCs w:val="24"/>
              </w:rPr>
            </w:pPr>
            <w:r w:rsidRPr="00930237">
              <w:rPr>
                <w:szCs w:val="24"/>
              </w:rPr>
              <w:t>Informāciju tehnoloģiju risinājumi ESI fondu ieviešanas nodrošināšanai</w:t>
            </w:r>
          </w:p>
        </w:tc>
      </w:tr>
      <w:tr w:rsidR="00AC212B" w:rsidRPr="00930237" w14:paraId="0949EEDF" w14:textId="77777777" w:rsidTr="00710DDA">
        <w:tc>
          <w:tcPr>
            <w:tcW w:w="2430" w:type="dxa"/>
            <w:shd w:val="clear" w:color="auto" w:fill="auto"/>
          </w:tcPr>
          <w:p w14:paraId="4539706A" w14:textId="77777777" w:rsidR="00AC212B" w:rsidRPr="00930237" w:rsidRDefault="00AC212B" w:rsidP="00710DDA">
            <w:pPr>
              <w:tabs>
                <w:tab w:val="left" w:pos="1418"/>
                <w:tab w:val="left" w:pos="1985"/>
              </w:tabs>
              <w:spacing w:before="0" w:after="0"/>
              <w:rPr>
                <w:szCs w:val="24"/>
              </w:rPr>
            </w:pPr>
            <w:r w:rsidRPr="00930237">
              <w:rPr>
                <w:szCs w:val="24"/>
              </w:rPr>
              <w:t>ES</w:t>
            </w:r>
          </w:p>
        </w:tc>
        <w:tc>
          <w:tcPr>
            <w:tcW w:w="6029" w:type="dxa"/>
            <w:shd w:val="clear" w:color="auto" w:fill="auto"/>
          </w:tcPr>
          <w:p w14:paraId="479A660D" w14:textId="77777777" w:rsidR="00AC212B" w:rsidRPr="00930237" w:rsidRDefault="00AC212B" w:rsidP="00710DDA">
            <w:pPr>
              <w:tabs>
                <w:tab w:val="left" w:pos="1418"/>
                <w:tab w:val="left" w:pos="1985"/>
              </w:tabs>
              <w:spacing w:before="0" w:after="0"/>
              <w:rPr>
                <w:szCs w:val="24"/>
              </w:rPr>
            </w:pPr>
            <w:r w:rsidRPr="00930237">
              <w:rPr>
                <w:szCs w:val="24"/>
              </w:rPr>
              <w:t>Eiropas Savienība</w:t>
            </w:r>
          </w:p>
        </w:tc>
      </w:tr>
      <w:tr w:rsidR="00AC212B" w:rsidRPr="00930237" w14:paraId="19D7E75D" w14:textId="77777777" w:rsidTr="00710DDA">
        <w:tc>
          <w:tcPr>
            <w:tcW w:w="2430" w:type="dxa"/>
            <w:shd w:val="clear" w:color="auto" w:fill="auto"/>
          </w:tcPr>
          <w:p w14:paraId="745D94EF" w14:textId="77777777" w:rsidR="00AC212B" w:rsidRPr="00930237" w:rsidRDefault="00AC212B" w:rsidP="00710DDA">
            <w:pPr>
              <w:tabs>
                <w:tab w:val="left" w:pos="1418"/>
                <w:tab w:val="left" w:pos="1985"/>
              </w:tabs>
              <w:spacing w:before="0" w:after="0"/>
              <w:rPr>
                <w:szCs w:val="24"/>
              </w:rPr>
            </w:pPr>
            <w:r w:rsidRPr="00930237">
              <w:rPr>
                <w:szCs w:val="24"/>
              </w:rPr>
              <w:t>ESSBJR</w:t>
            </w:r>
          </w:p>
        </w:tc>
        <w:tc>
          <w:tcPr>
            <w:tcW w:w="6029" w:type="dxa"/>
            <w:shd w:val="clear" w:color="auto" w:fill="auto"/>
          </w:tcPr>
          <w:p w14:paraId="4527904E" w14:textId="77777777" w:rsidR="00AC212B" w:rsidRPr="00930237" w:rsidRDefault="00AC212B" w:rsidP="00710DDA">
            <w:pPr>
              <w:tabs>
                <w:tab w:val="left" w:pos="1418"/>
                <w:tab w:val="left" w:pos="1985"/>
              </w:tabs>
              <w:spacing w:before="0" w:after="0"/>
              <w:rPr>
                <w:szCs w:val="24"/>
              </w:rPr>
            </w:pPr>
            <w:r w:rsidRPr="00930237">
              <w:rPr>
                <w:szCs w:val="24"/>
              </w:rPr>
              <w:t>Eiropas Savienības Stratēģija Baltijas jūras reģionam</w:t>
            </w:r>
          </w:p>
        </w:tc>
      </w:tr>
      <w:tr w:rsidR="003313E3" w:rsidRPr="00930237" w14:paraId="7B6C5D3B" w14:textId="77777777" w:rsidTr="00710DDA">
        <w:tc>
          <w:tcPr>
            <w:tcW w:w="2430" w:type="dxa"/>
            <w:shd w:val="clear" w:color="auto" w:fill="auto"/>
          </w:tcPr>
          <w:p w14:paraId="0FBCEED4" w14:textId="7D5D4B1D" w:rsidR="003313E3" w:rsidRPr="00930237" w:rsidRDefault="003313E3" w:rsidP="00710DDA">
            <w:pPr>
              <w:tabs>
                <w:tab w:val="left" w:pos="1418"/>
                <w:tab w:val="left" w:pos="1985"/>
              </w:tabs>
              <w:spacing w:before="0" w:after="0"/>
              <w:rPr>
                <w:szCs w:val="24"/>
              </w:rPr>
            </w:pPr>
            <w:r w:rsidRPr="00930237">
              <w:rPr>
                <w:szCs w:val="24"/>
              </w:rPr>
              <w:t>ESAO</w:t>
            </w:r>
          </w:p>
        </w:tc>
        <w:tc>
          <w:tcPr>
            <w:tcW w:w="6029" w:type="dxa"/>
            <w:shd w:val="clear" w:color="auto" w:fill="auto"/>
          </w:tcPr>
          <w:p w14:paraId="5E22E307" w14:textId="4A78B183" w:rsidR="003313E3" w:rsidRPr="00930237" w:rsidRDefault="003313E3" w:rsidP="00710DDA">
            <w:pPr>
              <w:tabs>
                <w:tab w:val="left" w:pos="1418"/>
                <w:tab w:val="left" w:pos="1985"/>
              </w:tabs>
              <w:spacing w:before="0" w:after="0"/>
              <w:rPr>
                <w:bCs/>
              </w:rPr>
            </w:pPr>
            <w:r w:rsidRPr="00930237">
              <w:rPr>
                <w:bCs/>
              </w:rPr>
              <w:t xml:space="preserve">Ekonomiskās </w:t>
            </w:r>
            <w:r w:rsidR="00893AEB" w:rsidRPr="00930237">
              <w:rPr>
                <w:bCs/>
              </w:rPr>
              <w:t>sadarbības</w:t>
            </w:r>
            <w:r w:rsidRPr="00930237">
              <w:rPr>
                <w:bCs/>
              </w:rPr>
              <w:t xml:space="preserve"> un </w:t>
            </w:r>
            <w:r w:rsidR="00893AEB" w:rsidRPr="00930237">
              <w:rPr>
                <w:bCs/>
              </w:rPr>
              <w:t>attīstības</w:t>
            </w:r>
            <w:r w:rsidRPr="00930237">
              <w:rPr>
                <w:bCs/>
              </w:rPr>
              <w:t xml:space="preserve"> organizācija</w:t>
            </w:r>
          </w:p>
        </w:tc>
      </w:tr>
      <w:tr w:rsidR="00AC212B" w:rsidRPr="00930237" w14:paraId="2D65CA2B" w14:textId="77777777" w:rsidTr="00710DDA">
        <w:tc>
          <w:tcPr>
            <w:tcW w:w="2430" w:type="dxa"/>
            <w:shd w:val="clear" w:color="auto" w:fill="auto"/>
          </w:tcPr>
          <w:p w14:paraId="0AD3AB43" w14:textId="77777777" w:rsidR="00AC212B" w:rsidRPr="00930237" w:rsidRDefault="00AC212B" w:rsidP="00710DDA">
            <w:pPr>
              <w:tabs>
                <w:tab w:val="left" w:pos="1418"/>
                <w:tab w:val="left" w:pos="1985"/>
              </w:tabs>
              <w:spacing w:before="0" w:after="0"/>
              <w:rPr>
                <w:szCs w:val="24"/>
              </w:rPr>
            </w:pPr>
            <w:r w:rsidRPr="00930237">
              <w:rPr>
                <w:szCs w:val="24"/>
              </w:rPr>
              <w:t>ESCO</w:t>
            </w:r>
          </w:p>
        </w:tc>
        <w:tc>
          <w:tcPr>
            <w:tcW w:w="6029" w:type="dxa"/>
            <w:shd w:val="clear" w:color="auto" w:fill="auto"/>
          </w:tcPr>
          <w:p w14:paraId="755DDFF6" w14:textId="77777777" w:rsidR="00AC212B" w:rsidRPr="00930237" w:rsidRDefault="00AC212B" w:rsidP="00710DDA">
            <w:pPr>
              <w:tabs>
                <w:tab w:val="left" w:pos="1418"/>
                <w:tab w:val="left" w:pos="1985"/>
              </w:tabs>
              <w:spacing w:before="0" w:after="0"/>
            </w:pPr>
            <w:r w:rsidRPr="00930237">
              <w:rPr>
                <w:bCs/>
              </w:rPr>
              <w:t>Eiropas prasmju</w:t>
            </w:r>
            <w:r w:rsidRPr="00930237">
              <w:t>/</w:t>
            </w:r>
            <w:r w:rsidRPr="00930237">
              <w:rPr>
                <w:bCs/>
              </w:rPr>
              <w:t>kompetenču</w:t>
            </w:r>
            <w:r w:rsidRPr="00930237">
              <w:t>, </w:t>
            </w:r>
            <w:r w:rsidRPr="00930237">
              <w:rPr>
                <w:bCs/>
              </w:rPr>
              <w:t>kvalifikāciju</w:t>
            </w:r>
            <w:r w:rsidRPr="00930237">
              <w:t> un </w:t>
            </w:r>
            <w:r w:rsidRPr="00930237">
              <w:rPr>
                <w:bCs/>
              </w:rPr>
              <w:t>profesiju klasifikācija</w:t>
            </w:r>
            <w:r w:rsidRPr="00930237">
              <w:t xml:space="preserve"> (</w:t>
            </w:r>
            <w:r w:rsidRPr="00930237">
              <w:rPr>
                <w:bCs/>
                <w:i/>
              </w:rPr>
              <w:t>European Skills/Competences, Qualifications and Occupations</w:t>
            </w:r>
            <w:r w:rsidRPr="00930237">
              <w:rPr>
                <w:bCs/>
              </w:rPr>
              <w:t>)</w:t>
            </w:r>
          </w:p>
        </w:tc>
      </w:tr>
      <w:tr w:rsidR="00AC212B" w:rsidRPr="00930237" w14:paraId="66D101D3" w14:textId="77777777" w:rsidTr="00710DDA">
        <w:tc>
          <w:tcPr>
            <w:tcW w:w="2430" w:type="dxa"/>
            <w:shd w:val="clear" w:color="auto" w:fill="auto"/>
          </w:tcPr>
          <w:p w14:paraId="35099961" w14:textId="77777777" w:rsidR="00AC212B" w:rsidRPr="00930237" w:rsidRDefault="00AC212B" w:rsidP="00710DDA">
            <w:pPr>
              <w:tabs>
                <w:tab w:val="left" w:pos="1418"/>
                <w:tab w:val="left" w:pos="1985"/>
              </w:tabs>
              <w:spacing w:before="0" w:after="0"/>
              <w:rPr>
                <w:szCs w:val="24"/>
              </w:rPr>
            </w:pPr>
            <w:r w:rsidRPr="00930237">
              <w:rPr>
                <w:szCs w:val="24"/>
              </w:rPr>
              <w:t>ESCOs</w:t>
            </w:r>
          </w:p>
        </w:tc>
        <w:tc>
          <w:tcPr>
            <w:tcW w:w="6029" w:type="dxa"/>
            <w:shd w:val="clear" w:color="auto" w:fill="auto"/>
          </w:tcPr>
          <w:p w14:paraId="4C4DFC33" w14:textId="77777777" w:rsidR="00AC212B" w:rsidRPr="00930237" w:rsidRDefault="00AC212B" w:rsidP="00710DDA">
            <w:pPr>
              <w:tabs>
                <w:tab w:val="left" w:pos="1418"/>
                <w:tab w:val="left" w:pos="1985"/>
              </w:tabs>
              <w:spacing w:before="0" w:after="0"/>
              <w:rPr>
                <w:szCs w:val="24"/>
              </w:rPr>
            </w:pPr>
            <w:r w:rsidRPr="00930237">
              <w:t>Energoservisa kompānija (</w:t>
            </w:r>
            <w:r w:rsidRPr="00930237">
              <w:rPr>
                <w:i/>
              </w:rPr>
              <w:t>Energy Service Companies</w:t>
            </w:r>
            <w:r w:rsidRPr="00930237">
              <w:t>)</w:t>
            </w:r>
          </w:p>
        </w:tc>
      </w:tr>
      <w:tr w:rsidR="00AC212B" w:rsidRPr="00930237" w14:paraId="23DA2866" w14:textId="77777777" w:rsidTr="00710DDA">
        <w:tc>
          <w:tcPr>
            <w:tcW w:w="2430" w:type="dxa"/>
            <w:shd w:val="clear" w:color="auto" w:fill="auto"/>
          </w:tcPr>
          <w:p w14:paraId="7B3FD88F" w14:textId="77777777" w:rsidR="00AC212B" w:rsidRPr="00930237" w:rsidRDefault="00AC212B" w:rsidP="00710DDA">
            <w:pPr>
              <w:tabs>
                <w:tab w:val="left" w:pos="1418"/>
                <w:tab w:val="left" w:pos="1985"/>
              </w:tabs>
              <w:spacing w:before="0" w:after="0"/>
              <w:rPr>
                <w:szCs w:val="24"/>
              </w:rPr>
            </w:pPr>
            <w:r w:rsidRPr="00930237">
              <w:rPr>
                <w:szCs w:val="24"/>
              </w:rPr>
              <w:t>ESF+</w:t>
            </w:r>
          </w:p>
        </w:tc>
        <w:tc>
          <w:tcPr>
            <w:tcW w:w="6029" w:type="dxa"/>
            <w:shd w:val="clear" w:color="auto" w:fill="auto"/>
          </w:tcPr>
          <w:p w14:paraId="5B63EF24" w14:textId="77777777" w:rsidR="00AC212B" w:rsidRPr="00930237" w:rsidRDefault="00AC212B" w:rsidP="00710DDA">
            <w:pPr>
              <w:tabs>
                <w:tab w:val="left" w:pos="1418"/>
                <w:tab w:val="left" w:pos="1985"/>
              </w:tabs>
              <w:spacing w:before="0" w:after="0"/>
              <w:rPr>
                <w:szCs w:val="24"/>
              </w:rPr>
            </w:pPr>
            <w:r w:rsidRPr="00930237">
              <w:rPr>
                <w:szCs w:val="24"/>
              </w:rPr>
              <w:t>Eiropas Sociālais fonds</w:t>
            </w:r>
          </w:p>
        </w:tc>
      </w:tr>
      <w:tr w:rsidR="00AC212B" w:rsidRPr="00930237" w14:paraId="0D8E2A07" w14:textId="77777777" w:rsidTr="00710DDA">
        <w:tc>
          <w:tcPr>
            <w:tcW w:w="2430" w:type="dxa"/>
            <w:shd w:val="clear" w:color="auto" w:fill="auto"/>
          </w:tcPr>
          <w:p w14:paraId="034C8F40" w14:textId="77777777" w:rsidR="00AC212B" w:rsidRPr="00930237" w:rsidRDefault="00AC212B" w:rsidP="00710DDA">
            <w:pPr>
              <w:tabs>
                <w:tab w:val="left" w:pos="1418"/>
                <w:tab w:val="left" w:pos="1985"/>
              </w:tabs>
              <w:spacing w:before="0" w:after="0"/>
              <w:rPr>
                <w:szCs w:val="24"/>
              </w:rPr>
            </w:pPr>
            <w:r w:rsidRPr="00930237">
              <w:rPr>
                <w:szCs w:val="24"/>
              </w:rPr>
              <w:t>ESF+ regula</w:t>
            </w:r>
          </w:p>
        </w:tc>
        <w:tc>
          <w:tcPr>
            <w:tcW w:w="6029" w:type="dxa"/>
            <w:shd w:val="clear" w:color="auto" w:fill="auto"/>
          </w:tcPr>
          <w:p w14:paraId="2B203496" w14:textId="77777777" w:rsidR="00AC212B" w:rsidRPr="00930237" w:rsidRDefault="00AC212B" w:rsidP="00710DDA">
            <w:pPr>
              <w:tabs>
                <w:tab w:val="left" w:pos="1418"/>
                <w:tab w:val="left" w:pos="1985"/>
              </w:tabs>
              <w:spacing w:before="0" w:after="0"/>
              <w:rPr>
                <w:szCs w:val="24"/>
              </w:rPr>
            </w:pPr>
            <w:r w:rsidRPr="00930237">
              <w:rPr>
                <w:szCs w:val="24"/>
              </w:rPr>
              <w:t>Eiropas Parlamenta un Padomes Regulas (ES) priekšlikums par Eiropas Sociālo fondu Plus</w:t>
            </w:r>
          </w:p>
        </w:tc>
      </w:tr>
      <w:tr w:rsidR="00AC212B" w:rsidRPr="00930237" w14:paraId="6886E2F7" w14:textId="77777777" w:rsidTr="00710DDA">
        <w:tc>
          <w:tcPr>
            <w:tcW w:w="2430" w:type="dxa"/>
            <w:shd w:val="clear" w:color="auto" w:fill="auto"/>
          </w:tcPr>
          <w:p w14:paraId="21EEF642" w14:textId="77777777" w:rsidR="00AC212B" w:rsidRPr="00930237" w:rsidRDefault="00AC212B" w:rsidP="00710DDA">
            <w:pPr>
              <w:tabs>
                <w:tab w:val="left" w:pos="1418"/>
                <w:tab w:val="left" w:pos="1985"/>
              </w:tabs>
              <w:spacing w:before="0" w:after="0"/>
              <w:rPr>
                <w:szCs w:val="24"/>
              </w:rPr>
            </w:pPr>
            <w:r w:rsidRPr="00930237">
              <w:rPr>
                <w:szCs w:val="24"/>
              </w:rPr>
              <w:t>ESI fondi</w:t>
            </w:r>
          </w:p>
        </w:tc>
        <w:tc>
          <w:tcPr>
            <w:tcW w:w="6029" w:type="dxa"/>
            <w:shd w:val="clear" w:color="auto" w:fill="auto"/>
          </w:tcPr>
          <w:p w14:paraId="6769FFCA" w14:textId="631C2038" w:rsidR="00AC212B" w:rsidRPr="00930237" w:rsidRDefault="00AC212B" w:rsidP="00710DDA">
            <w:pPr>
              <w:tabs>
                <w:tab w:val="left" w:pos="1418"/>
                <w:tab w:val="left" w:pos="1985"/>
              </w:tabs>
              <w:spacing w:before="0" w:after="0"/>
              <w:rPr>
                <w:szCs w:val="24"/>
              </w:rPr>
            </w:pPr>
            <w:r w:rsidRPr="00930237">
              <w:rPr>
                <w:szCs w:val="24"/>
              </w:rPr>
              <w:t>ESF</w:t>
            </w:r>
            <w:r w:rsidR="0029505F">
              <w:rPr>
                <w:szCs w:val="24"/>
              </w:rPr>
              <w:t>+</w:t>
            </w:r>
            <w:r w:rsidRPr="00930237">
              <w:rPr>
                <w:szCs w:val="24"/>
              </w:rPr>
              <w:t>; ERAF; KF;</w:t>
            </w:r>
            <w:r w:rsidR="0029505F">
              <w:rPr>
                <w:szCs w:val="24"/>
              </w:rPr>
              <w:t xml:space="preserve"> TPF;</w:t>
            </w:r>
            <w:r w:rsidRPr="00930237">
              <w:rPr>
                <w:szCs w:val="24"/>
              </w:rPr>
              <w:t xml:space="preserve"> EJZF</w:t>
            </w:r>
          </w:p>
        </w:tc>
      </w:tr>
      <w:tr w:rsidR="00AC212B" w:rsidRPr="00930237" w14:paraId="0ACB7753" w14:textId="77777777" w:rsidTr="00710DDA">
        <w:tc>
          <w:tcPr>
            <w:tcW w:w="2430" w:type="dxa"/>
            <w:shd w:val="clear" w:color="auto" w:fill="auto"/>
          </w:tcPr>
          <w:p w14:paraId="19BDFDDE" w14:textId="77777777" w:rsidR="00AC212B" w:rsidRPr="00930237" w:rsidRDefault="00AC212B" w:rsidP="00710DDA">
            <w:pPr>
              <w:tabs>
                <w:tab w:val="left" w:pos="1418"/>
                <w:tab w:val="left" w:pos="1985"/>
              </w:tabs>
              <w:spacing w:before="0" w:after="0"/>
              <w:rPr>
                <w:szCs w:val="24"/>
              </w:rPr>
            </w:pPr>
            <w:r w:rsidRPr="00930237">
              <w:rPr>
                <w:szCs w:val="24"/>
              </w:rPr>
              <w:t>ES Padomes rekomendācijas</w:t>
            </w:r>
          </w:p>
        </w:tc>
        <w:tc>
          <w:tcPr>
            <w:tcW w:w="6029" w:type="dxa"/>
            <w:shd w:val="clear" w:color="auto" w:fill="auto"/>
          </w:tcPr>
          <w:p w14:paraId="28C0E2D9" w14:textId="77777777" w:rsidR="00AC212B" w:rsidRPr="00930237" w:rsidRDefault="00AC212B" w:rsidP="00710DDA">
            <w:pPr>
              <w:tabs>
                <w:tab w:val="left" w:pos="1418"/>
                <w:tab w:val="left" w:pos="1985"/>
              </w:tabs>
              <w:spacing w:before="0" w:after="0"/>
              <w:rPr>
                <w:szCs w:val="24"/>
              </w:rPr>
            </w:pPr>
            <w:r w:rsidRPr="00930237">
              <w:rPr>
                <w:szCs w:val="24"/>
              </w:rPr>
              <w:t>Eiropas Savienības Padomes rekomendācijas par Latvijas 2013.gada nacionālo reformu programmu un ar ko sniedz Padomes atzinumu par Latvijas 2012.–2016.gada konverģences programmu un Eiropas Savienības Padomes rekomendācijas par Latvijas 2014.gada valsts reformu programmu un ar ko sniedz Padomes atzinumu par Latvijas 2014.gada stabilitātes programmu.</w:t>
            </w:r>
          </w:p>
        </w:tc>
      </w:tr>
      <w:tr w:rsidR="00AC212B" w:rsidRPr="00930237" w14:paraId="4CD3534F" w14:textId="77777777" w:rsidTr="00710DDA">
        <w:tc>
          <w:tcPr>
            <w:tcW w:w="2430" w:type="dxa"/>
            <w:shd w:val="clear" w:color="auto" w:fill="auto"/>
          </w:tcPr>
          <w:p w14:paraId="3AAD727C" w14:textId="77777777" w:rsidR="00AC212B" w:rsidRPr="00930237" w:rsidRDefault="00AC212B" w:rsidP="00710DDA">
            <w:pPr>
              <w:tabs>
                <w:tab w:val="left" w:pos="1418"/>
                <w:tab w:val="left" w:pos="1985"/>
              </w:tabs>
              <w:spacing w:before="0" w:after="0"/>
              <w:rPr>
                <w:szCs w:val="24"/>
              </w:rPr>
            </w:pPr>
            <w:r w:rsidRPr="00930237">
              <w:rPr>
                <w:szCs w:val="24"/>
              </w:rPr>
              <w:t>ETL</w:t>
            </w:r>
          </w:p>
        </w:tc>
        <w:tc>
          <w:tcPr>
            <w:tcW w:w="6029" w:type="dxa"/>
            <w:shd w:val="clear" w:color="auto" w:fill="auto"/>
          </w:tcPr>
          <w:p w14:paraId="2B0DD5E4" w14:textId="77777777" w:rsidR="00AC212B" w:rsidRPr="00930237" w:rsidRDefault="00AC212B" w:rsidP="00710DDA">
            <w:pPr>
              <w:tabs>
                <w:tab w:val="left" w:pos="1418"/>
                <w:tab w:val="left" w:pos="1985"/>
              </w:tabs>
              <w:spacing w:before="0" w:after="0"/>
              <w:rPr>
                <w:szCs w:val="24"/>
              </w:rPr>
            </w:pPr>
            <w:r w:rsidRPr="00930237">
              <w:rPr>
                <w:szCs w:val="24"/>
              </w:rPr>
              <w:t>Elektrotransportlīdzekļi</w:t>
            </w:r>
          </w:p>
        </w:tc>
      </w:tr>
      <w:tr w:rsidR="00AC212B" w:rsidRPr="00930237" w14:paraId="25A40E44" w14:textId="77777777" w:rsidTr="00710DDA">
        <w:tc>
          <w:tcPr>
            <w:tcW w:w="2430" w:type="dxa"/>
            <w:shd w:val="clear" w:color="auto" w:fill="auto"/>
          </w:tcPr>
          <w:p w14:paraId="622FE27A" w14:textId="77777777" w:rsidR="00AC212B" w:rsidRPr="00930237" w:rsidRDefault="00AC212B" w:rsidP="00710DDA">
            <w:pPr>
              <w:tabs>
                <w:tab w:val="left" w:pos="1418"/>
                <w:tab w:val="left" w:pos="1985"/>
              </w:tabs>
              <w:spacing w:before="0" w:after="0"/>
              <w:rPr>
                <w:szCs w:val="24"/>
              </w:rPr>
            </w:pPr>
            <w:r w:rsidRPr="00930237">
              <w:rPr>
                <w:szCs w:val="24"/>
              </w:rPr>
              <w:t>ETS</w:t>
            </w:r>
          </w:p>
        </w:tc>
        <w:tc>
          <w:tcPr>
            <w:tcW w:w="6029" w:type="dxa"/>
            <w:shd w:val="clear" w:color="auto" w:fill="auto"/>
          </w:tcPr>
          <w:p w14:paraId="621047EC" w14:textId="77777777" w:rsidR="00AC212B" w:rsidRPr="00930237" w:rsidRDefault="00AC212B" w:rsidP="00710DDA">
            <w:pPr>
              <w:tabs>
                <w:tab w:val="left" w:pos="1418"/>
                <w:tab w:val="left" w:pos="1985"/>
              </w:tabs>
              <w:spacing w:before="0" w:after="0"/>
              <w:rPr>
                <w:szCs w:val="24"/>
              </w:rPr>
            </w:pPr>
            <w:r w:rsidRPr="00930237">
              <w:rPr>
                <w:szCs w:val="24"/>
              </w:rPr>
              <w:t>Eiropas teritoriālā sadarbība</w:t>
            </w:r>
          </w:p>
        </w:tc>
      </w:tr>
      <w:tr w:rsidR="00AC212B" w:rsidRPr="00930237" w14:paraId="3A0E001A" w14:textId="77777777" w:rsidTr="00710DDA">
        <w:tc>
          <w:tcPr>
            <w:tcW w:w="2430" w:type="dxa"/>
            <w:shd w:val="clear" w:color="auto" w:fill="auto"/>
          </w:tcPr>
          <w:p w14:paraId="21C3FEE7" w14:textId="77777777" w:rsidR="00AC212B" w:rsidRPr="00930237" w:rsidRDefault="00AC212B" w:rsidP="00710DDA">
            <w:pPr>
              <w:tabs>
                <w:tab w:val="left" w:pos="1418"/>
                <w:tab w:val="left" w:pos="1985"/>
              </w:tabs>
              <w:spacing w:before="0" w:after="0"/>
              <w:rPr>
                <w:szCs w:val="24"/>
              </w:rPr>
            </w:pPr>
            <w:r w:rsidRPr="00930237">
              <w:rPr>
                <w:szCs w:val="24"/>
              </w:rPr>
              <w:t>EUR</w:t>
            </w:r>
          </w:p>
        </w:tc>
        <w:tc>
          <w:tcPr>
            <w:tcW w:w="6029" w:type="dxa"/>
            <w:shd w:val="clear" w:color="auto" w:fill="auto"/>
          </w:tcPr>
          <w:p w14:paraId="7716A03B" w14:textId="77777777" w:rsidR="00AC212B" w:rsidRPr="00930237" w:rsidRDefault="00AC212B" w:rsidP="00710DDA">
            <w:pPr>
              <w:tabs>
                <w:tab w:val="left" w:pos="1418"/>
                <w:tab w:val="left" w:pos="1985"/>
              </w:tabs>
              <w:spacing w:before="0" w:after="0"/>
              <w:rPr>
                <w:szCs w:val="24"/>
              </w:rPr>
            </w:pPr>
            <w:r w:rsidRPr="00930237">
              <w:rPr>
                <w:szCs w:val="24"/>
              </w:rPr>
              <w:t xml:space="preserve">Eiropas Savienības </w:t>
            </w:r>
            <w:r w:rsidRPr="00930237">
              <w:rPr>
                <w:i/>
                <w:szCs w:val="24"/>
              </w:rPr>
              <w:t>euro</w:t>
            </w:r>
          </w:p>
        </w:tc>
      </w:tr>
      <w:tr w:rsidR="00AC212B" w:rsidRPr="00930237" w14:paraId="15F2D0B3" w14:textId="77777777" w:rsidTr="00710DDA">
        <w:tc>
          <w:tcPr>
            <w:tcW w:w="2430" w:type="dxa"/>
            <w:shd w:val="clear" w:color="auto" w:fill="auto"/>
          </w:tcPr>
          <w:p w14:paraId="4626CB46" w14:textId="77777777" w:rsidR="00AC212B" w:rsidRPr="00930237" w:rsidRDefault="00AC212B" w:rsidP="00710DDA">
            <w:pPr>
              <w:tabs>
                <w:tab w:val="left" w:pos="1418"/>
                <w:tab w:val="left" w:pos="1985"/>
              </w:tabs>
              <w:spacing w:before="0" w:after="0"/>
              <w:rPr>
                <w:szCs w:val="24"/>
              </w:rPr>
            </w:pPr>
            <w:r w:rsidRPr="00930237">
              <w:rPr>
                <w:szCs w:val="24"/>
              </w:rPr>
              <w:t>EURES</w:t>
            </w:r>
          </w:p>
        </w:tc>
        <w:tc>
          <w:tcPr>
            <w:tcW w:w="6029" w:type="dxa"/>
            <w:shd w:val="clear" w:color="auto" w:fill="auto"/>
          </w:tcPr>
          <w:p w14:paraId="5951107F" w14:textId="77777777" w:rsidR="00AC212B" w:rsidRPr="00930237" w:rsidRDefault="00AC212B" w:rsidP="00710DDA">
            <w:pPr>
              <w:tabs>
                <w:tab w:val="left" w:pos="1418"/>
                <w:tab w:val="left" w:pos="1985"/>
              </w:tabs>
              <w:spacing w:before="0" w:after="0"/>
              <w:rPr>
                <w:szCs w:val="24"/>
              </w:rPr>
            </w:pPr>
            <w:r w:rsidRPr="00930237">
              <w:rPr>
                <w:szCs w:val="24"/>
              </w:rPr>
              <w:t>Eiropas nodarbinātības dienestu (</w:t>
            </w:r>
            <w:r w:rsidRPr="00930237">
              <w:rPr>
                <w:i/>
                <w:szCs w:val="24"/>
              </w:rPr>
              <w:t>EURopean Employment Services</w:t>
            </w:r>
            <w:r w:rsidRPr="00930237">
              <w:rPr>
                <w:szCs w:val="24"/>
              </w:rPr>
              <w:t>) sadarbības tīkls</w:t>
            </w:r>
          </w:p>
        </w:tc>
      </w:tr>
      <w:tr w:rsidR="00AC212B" w:rsidRPr="00930237" w14:paraId="103C789F" w14:textId="77777777" w:rsidTr="00710DDA">
        <w:tc>
          <w:tcPr>
            <w:tcW w:w="2430" w:type="dxa"/>
            <w:shd w:val="clear" w:color="auto" w:fill="auto"/>
          </w:tcPr>
          <w:p w14:paraId="1F3D2079" w14:textId="77777777" w:rsidR="00AC212B" w:rsidRPr="00930237" w:rsidRDefault="00AC212B" w:rsidP="00710DDA">
            <w:pPr>
              <w:tabs>
                <w:tab w:val="left" w:pos="1418"/>
                <w:tab w:val="left" w:pos="1985"/>
              </w:tabs>
              <w:spacing w:before="0" w:after="0"/>
              <w:rPr>
                <w:szCs w:val="24"/>
              </w:rPr>
            </w:pPr>
            <w:r w:rsidRPr="00930237">
              <w:rPr>
                <w:szCs w:val="24"/>
              </w:rPr>
              <w:t>FM</w:t>
            </w:r>
          </w:p>
        </w:tc>
        <w:tc>
          <w:tcPr>
            <w:tcW w:w="6029" w:type="dxa"/>
            <w:shd w:val="clear" w:color="auto" w:fill="auto"/>
          </w:tcPr>
          <w:p w14:paraId="07137357" w14:textId="77777777" w:rsidR="00AC212B" w:rsidRPr="00930237" w:rsidRDefault="00AC212B" w:rsidP="00710DDA">
            <w:pPr>
              <w:tabs>
                <w:tab w:val="left" w:pos="1418"/>
                <w:tab w:val="left" w:pos="1985"/>
              </w:tabs>
              <w:spacing w:before="0" w:after="0"/>
              <w:rPr>
                <w:i/>
                <w:szCs w:val="24"/>
              </w:rPr>
            </w:pPr>
            <w:r w:rsidRPr="00930237">
              <w:rPr>
                <w:szCs w:val="24"/>
              </w:rPr>
              <w:t>Finanšu ministrija</w:t>
            </w:r>
          </w:p>
        </w:tc>
      </w:tr>
      <w:tr w:rsidR="00AC212B" w:rsidRPr="00930237" w14:paraId="4F3F48FD" w14:textId="77777777" w:rsidTr="00710DDA">
        <w:tc>
          <w:tcPr>
            <w:tcW w:w="2430" w:type="dxa"/>
            <w:shd w:val="clear" w:color="auto" w:fill="auto"/>
          </w:tcPr>
          <w:p w14:paraId="7AEC1F16" w14:textId="77777777" w:rsidR="00AC212B" w:rsidRPr="00930237" w:rsidRDefault="00AC212B" w:rsidP="00710DDA">
            <w:pPr>
              <w:tabs>
                <w:tab w:val="left" w:pos="1418"/>
                <w:tab w:val="left" w:pos="1985"/>
              </w:tabs>
              <w:spacing w:before="0" w:after="0"/>
              <w:rPr>
                <w:szCs w:val="24"/>
              </w:rPr>
            </w:pPr>
            <w:r w:rsidRPr="00930237">
              <w:rPr>
                <w:szCs w:val="24"/>
              </w:rPr>
              <w:t>IKP</w:t>
            </w:r>
          </w:p>
        </w:tc>
        <w:tc>
          <w:tcPr>
            <w:tcW w:w="6029" w:type="dxa"/>
            <w:shd w:val="clear" w:color="auto" w:fill="auto"/>
          </w:tcPr>
          <w:p w14:paraId="4F717917" w14:textId="77777777" w:rsidR="00AC212B" w:rsidRPr="00930237" w:rsidRDefault="00AC212B" w:rsidP="00710DDA">
            <w:pPr>
              <w:tabs>
                <w:tab w:val="left" w:pos="1418"/>
                <w:tab w:val="left" w:pos="1985"/>
              </w:tabs>
              <w:spacing w:before="0" w:after="0"/>
              <w:rPr>
                <w:szCs w:val="24"/>
              </w:rPr>
            </w:pPr>
            <w:r w:rsidRPr="00930237">
              <w:rPr>
                <w:szCs w:val="24"/>
              </w:rPr>
              <w:t>Iekšzemes kopprodukts</w:t>
            </w:r>
          </w:p>
        </w:tc>
      </w:tr>
      <w:tr w:rsidR="00AC212B" w:rsidRPr="00930237" w14:paraId="388F26AA" w14:textId="77777777" w:rsidTr="00710DDA">
        <w:tc>
          <w:tcPr>
            <w:tcW w:w="2430" w:type="dxa"/>
            <w:shd w:val="clear" w:color="auto" w:fill="auto"/>
          </w:tcPr>
          <w:p w14:paraId="49DFDF63" w14:textId="77777777" w:rsidR="00AC212B" w:rsidRPr="00930237" w:rsidRDefault="00AC212B" w:rsidP="00710DDA">
            <w:pPr>
              <w:tabs>
                <w:tab w:val="left" w:pos="1418"/>
                <w:tab w:val="left" w:pos="1985"/>
              </w:tabs>
              <w:spacing w:before="0" w:after="0"/>
              <w:rPr>
                <w:szCs w:val="24"/>
              </w:rPr>
            </w:pPr>
            <w:r w:rsidRPr="00930237">
              <w:rPr>
                <w:szCs w:val="24"/>
              </w:rPr>
              <w:t>IKT</w:t>
            </w:r>
          </w:p>
        </w:tc>
        <w:tc>
          <w:tcPr>
            <w:tcW w:w="6029" w:type="dxa"/>
            <w:shd w:val="clear" w:color="auto" w:fill="auto"/>
          </w:tcPr>
          <w:p w14:paraId="2C89ABC3" w14:textId="77777777" w:rsidR="00AC212B" w:rsidRPr="00930237" w:rsidRDefault="00AC212B" w:rsidP="00710DDA">
            <w:pPr>
              <w:tabs>
                <w:tab w:val="left" w:pos="1418"/>
                <w:tab w:val="left" w:pos="1985"/>
              </w:tabs>
              <w:spacing w:before="0" w:after="0"/>
              <w:rPr>
                <w:szCs w:val="24"/>
              </w:rPr>
            </w:pPr>
            <w:r w:rsidRPr="00930237">
              <w:rPr>
                <w:szCs w:val="24"/>
              </w:rPr>
              <w:t>Informācijas un komunikācijas tehnoloģijas</w:t>
            </w:r>
          </w:p>
        </w:tc>
      </w:tr>
      <w:tr w:rsidR="00AC212B" w:rsidRPr="00930237" w14:paraId="05611632" w14:textId="77777777" w:rsidTr="00710DDA">
        <w:tc>
          <w:tcPr>
            <w:tcW w:w="2430" w:type="dxa"/>
            <w:shd w:val="clear" w:color="auto" w:fill="auto"/>
          </w:tcPr>
          <w:p w14:paraId="66CB24E4" w14:textId="77777777" w:rsidR="00AC212B" w:rsidRPr="00930237" w:rsidRDefault="00AC212B" w:rsidP="00710DDA">
            <w:pPr>
              <w:tabs>
                <w:tab w:val="left" w:pos="1418"/>
                <w:tab w:val="left" w:pos="1985"/>
              </w:tabs>
              <w:spacing w:before="0" w:after="0"/>
              <w:rPr>
                <w:szCs w:val="24"/>
              </w:rPr>
            </w:pPr>
            <w:r w:rsidRPr="00930237">
              <w:rPr>
                <w:szCs w:val="24"/>
              </w:rPr>
              <w:t>IS</w:t>
            </w:r>
          </w:p>
        </w:tc>
        <w:tc>
          <w:tcPr>
            <w:tcW w:w="6029" w:type="dxa"/>
            <w:shd w:val="clear" w:color="auto" w:fill="auto"/>
          </w:tcPr>
          <w:p w14:paraId="1A533691" w14:textId="77777777" w:rsidR="00AC212B" w:rsidRPr="00930237" w:rsidRDefault="00AC212B" w:rsidP="00710DDA">
            <w:pPr>
              <w:tabs>
                <w:tab w:val="left" w:pos="1418"/>
                <w:tab w:val="left" w:pos="1985"/>
              </w:tabs>
              <w:spacing w:before="0" w:after="0"/>
              <w:rPr>
                <w:szCs w:val="24"/>
              </w:rPr>
            </w:pPr>
            <w:r w:rsidRPr="00930237">
              <w:rPr>
                <w:szCs w:val="24"/>
              </w:rPr>
              <w:t>Informācijas sistēmas</w:t>
            </w:r>
          </w:p>
        </w:tc>
      </w:tr>
      <w:tr w:rsidR="00AC212B" w:rsidRPr="00930237" w14:paraId="54A7EB9B" w14:textId="77777777" w:rsidTr="00710DDA">
        <w:tc>
          <w:tcPr>
            <w:tcW w:w="2430" w:type="dxa"/>
            <w:shd w:val="clear" w:color="auto" w:fill="auto"/>
          </w:tcPr>
          <w:p w14:paraId="789D3482" w14:textId="77777777" w:rsidR="00AC212B" w:rsidRPr="00930237" w:rsidRDefault="00AC212B" w:rsidP="00710DDA">
            <w:pPr>
              <w:tabs>
                <w:tab w:val="left" w:pos="1418"/>
                <w:tab w:val="left" w:pos="1985"/>
              </w:tabs>
              <w:spacing w:before="0" w:after="0"/>
              <w:rPr>
                <w:szCs w:val="24"/>
              </w:rPr>
            </w:pPr>
            <w:r w:rsidRPr="00930237">
              <w:rPr>
                <w:szCs w:val="24"/>
              </w:rPr>
              <w:t>IZM</w:t>
            </w:r>
          </w:p>
        </w:tc>
        <w:tc>
          <w:tcPr>
            <w:tcW w:w="6029" w:type="dxa"/>
            <w:shd w:val="clear" w:color="auto" w:fill="auto"/>
          </w:tcPr>
          <w:p w14:paraId="41F44FD8" w14:textId="77777777" w:rsidR="00AC212B" w:rsidRPr="00930237" w:rsidRDefault="00AC212B" w:rsidP="00710DDA">
            <w:pPr>
              <w:tabs>
                <w:tab w:val="left" w:pos="1418"/>
                <w:tab w:val="left" w:pos="1985"/>
              </w:tabs>
              <w:spacing w:before="0" w:after="0"/>
              <w:rPr>
                <w:szCs w:val="24"/>
              </w:rPr>
            </w:pPr>
            <w:r w:rsidRPr="00930237">
              <w:rPr>
                <w:szCs w:val="24"/>
              </w:rPr>
              <w:t>Izglītības un zinātnes ministrija</w:t>
            </w:r>
          </w:p>
        </w:tc>
      </w:tr>
      <w:tr w:rsidR="00AC212B" w:rsidRPr="00930237" w14:paraId="6098CCF4" w14:textId="77777777" w:rsidTr="00710DDA">
        <w:tc>
          <w:tcPr>
            <w:tcW w:w="2430" w:type="dxa"/>
            <w:shd w:val="clear" w:color="auto" w:fill="auto"/>
          </w:tcPr>
          <w:p w14:paraId="490686DB" w14:textId="77777777" w:rsidR="00AC212B" w:rsidRPr="00930237" w:rsidRDefault="00AC212B" w:rsidP="00710DDA">
            <w:pPr>
              <w:tabs>
                <w:tab w:val="left" w:pos="1418"/>
                <w:tab w:val="left" w:pos="1985"/>
              </w:tabs>
              <w:spacing w:before="0" w:after="0"/>
              <w:rPr>
                <w:szCs w:val="24"/>
              </w:rPr>
            </w:pPr>
            <w:r w:rsidRPr="00930237">
              <w:rPr>
                <w:szCs w:val="24"/>
              </w:rPr>
              <w:t>IT</w:t>
            </w:r>
          </w:p>
        </w:tc>
        <w:tc>
          <w:tcPr>
            <w:tcW w:w="6029" w:type="dxa"/>
            <w:shd w:val="clear" w:color="auto" w:fill="auto"/>
          </w:tcPr>
          <w:p w14:paraId="1A704877" w14:textId="77777777" w:rsidR="00AC212B" w:rsidRPr="00930237" w:rsidRDefault="00AC212B" w:rsidP="00710DDA">
            <w:pPr>
              <w:tabs>
                <w:tab w:val="left" w:pos="1418"/>
                <w:tab w:val="left" w:pos="1985"/>
              </w:tabs>
              <w:spacing w:before="0" w:after="0"/>
              <w:rPr>
                <w:szCs w:val="24"/>
              </w:rPr>
            </w:pPr>
            <w:r w:rsidRPr="00930237">
              <w:rPr>
                <w:szCs w:val="24"/>
              </w:rPr>
              <w:t>Informācijas tehnoloģijas</w:t>
            </w:r>
          </w:p>
        </w:tc>
      </w:tr>
      <w:tr w:rsidR="00AC212B" w:rsidRPr="00930237" w14:paraId="7FC73393" w14:textId="77777777" w:rsidTr="00710DDA">
        <w:tc>
          <w:tcPr>
            <w:tcW w:w="2430" w:type="dxa"/>
            <w:shd w:val="clear" w:color="auto" w:fill="auto"/>
          </w:tcPr>
          <w:p w14:paraId="60FB90AB" w14:textId="77777777" w:rsidR="00AC212B" w:rsidRPr="00930237" w:rsidRDefault="00AC212B" w:rsidP="00710DDA">
            <w:pPr>
              <w:tabs>
                <w:tab w:val="left" w:pos="1418"/>
                <w:tab w:val="left" w:pos="1985"/>
              </w:tabs>
              <w:spacing w:before="0" w:after="0"/>
              <w:rPr>
                <w:szCs w:val="24"/>
              </w:rPr>
            </w:pPr>
            <w:r w:rsidRPr="00930237">
              <w:rPr>
                <w:szCs w:val="24"/>
              </w:rPr>
              <w:t>ITI</w:t>
            </w:r>
          </w:p>
        </w:tc>
        <w:tc>
          <w:tcPr>
            <w:tcW w:w="6029" w:type="dxa"/>
            <w:shd w:val="clear" w:color="auto" w:fill="auto"/>
          </w:tcPr>
          <w:p w14:paraId="2DE9DCC5" w14:textId="77777777" w:rsidR="00AC212B" w:rsidRPr="00930237" w:rsidRDefault="00AC212B" w:rsidP="00710DDA">
            <w:pPr>
              <w:tabs>
                <w:tab w:val="left" w:pos="1418"/>
                <w:tab w:val="left" w:pos="1985"/>
              </w:tabs>
              <w:spacing w:before="0" w:after="0"/>
              <w:rPr>
                <w:szCs w:val="24"/>
              </w:rPr>
            </w:pPr>
            <w:r w:rsidRPr="00930237">
              <w:rPr>
                <w:szCs w:val="24"/>
              </w:rPr>
              <w:t>Integrētās teritoriālās investīcijas</w:t>
            </w:r>
          </w:p>
        </w:tc>
      </w:tr>
      <w:tr w:rsidR="000926AD" w:rsidRPr="00930237" w14:paraId="28728A66" w14:textId="77777777" w:rsidTr="00710DDA">
        <w:tc>
          <w:tcPr>
            <w:tcW w:w="2430" w:type="dxa"/>
            <w:shd w:val="clear" w:color="auto" w:fill="auto"/>
          </w:tcPr>
          <w:p w14:paraId="78555AFC" w14:textId="1C4A92B8" w:rsidR="000926AD" w:rsidRPr="00930237" w:rsidRDefault="000926AD" w:rsidP="00710DDA">
            <w:pPr>
              <w:tabs>
                <w:tab w:val="left" w:pos="1418"/>
                <w:tab w:val="left" w:pos="1985"/>
              </w:tabs>
              <w:spacing w:before="0" w:after="0"/>
              <w:rPr>
                <w:szCs w:val="24"/>
              </w:rPr>
            </w:pPr>
            <w:r>
              <w:rPr>
                <w:szCs w:val="24"/>
              </w:rPr>
              <w:t>IUB</w:t>
            </w:r>
          </w:p>
        </w:tc>
        <w:tc>
          <w:tcPr>
            <w:tcW w:w="6029" w:type="dxa"/>
            <w:shd w:val="clear" w:color="auto" w:fill="auto"/>
          </w:tcPr>
          <w:p w14:paraId="7D906B55" w14:textId="4889B4E3" w:rsidR="000926AD" w:rsidRPr="00930237" w:rsidRDefault="000926AD" w:rsidP="00710DDA">
            <w:pPr>
              <w:tabs>
                <w:tab w:val="left" w:pos="1418"/>
                <w:tab w:val="left" w:pos="1985"/>
              </w:tabs>
              <w:spacing w:before="0" w:after="0"/>
              <w:rPr>
                <w:szCs w:val="24"/>
              </w:rPr>
            </w:pPr>
            <w:r>
              <w:rPr>
                <w:szCs w:val="24"/>
              </w:rPr>
              <w:t>Iepirkumu uzraudzības birojs</w:t>
            </w:r>
          </w:p>
        </w:tc>
      </w:tr>
      <w:tr w:rsidR="00AC212B" w:rsidRPr="00930237" w14:paraId="75E75426" w14:textId="77777777" w:rsidTr="00710DDA">
        <w:tc>
          <w:tcPr>
            <w:tcW w:w="2430" w:type="dxa"/>
            <w:shd w:val="clear" w:color="auto" w:fill="auto"/>
          </w:tcPr>
          <w:p w14:paraId="18128F95" w14:textId="77777777" w:rsidR="00AC212B" w:rsidRPr="00930237" w:rsidRDefault="00AC212B" w:rsidP="00710DDA">
            <w:pPr>
              <w:tabs>
                <w:tab w:val="left" w:pos="1418"/>
                <w:tab w:val="left" w:pos="1985"/>
              </w:tabs>
              <w:spacing w:before="0" w:after="0"/>
              <w:rPr>
                <w:szCs w:val="24"/>
              </w:rPr>
            </w:pPr>
            <w:r w:rsidRPr="00930237">
              <w:rPr>
                <w:szCs w:val="24"/>
              </w:rPr>
              <w:t>ĪADT</w:t>
            </w:r>
          </w:p>
        </w:tc>
        <w:tc>
          <w:tcPr>
            <w:tcW w:w="6029" w:type="dxa"/>
            <w:shd w:val="clear" w:color="auto" w:fill="auto"/>
          </w:tcPr>
          <w:p w14:paraId="1B1B004D" w14:textId="77777777" w:rsidR="00AC212B" w:rsidRPr="00930237" w:rsidRDefault="00AC212B" w:rsidP="00710DDA">
            <w:pPr>
              <w:tabs>
                <w:tab w:val="left" w:pos="1418"/>
                <w:tab w:val="left" w:pos="1985"/>
              </w:tabs>
              <w:spacing w:before="0" w:after="0"/>
              <w:rPr>
                <w:szCs w:val="24"/>
              </w:rPr>
            </w:pPr>
            <w:r w:rsidRPr="00930237">
              <w:rPr>
                <w:szCs w:val="24"/>
              </w:rPr>
              <w:t>Īpaši aizsargājamas dabas teritorijas</w:t>
            </w:r>
          </w:p>
        </w:tc>
      </w:tr>
      <w:tr w:rsidR="00AC212B" w:rsidRPr="00930237" w14:paraId="3CD21428" w14:textId="77777777" w:rsidTr="00710DDA">
        <w:tc>
          <w:tcPr>
            <w:tcW w:w="2430" w:type="dxa"/>
            <w:shd w:val="clear" w:color="auto" w:fill="auto"/>
          </w:tcPr>
          <w:p w14:paraId="46942F43" w14:textId="77777777" w:rsidR="00AC212B" w:rsidRPr="00930237" w:rsidRDefault="00AC212B" w:rsidP="00710DDA">
            <w:pPr>
              <w:tabs>
                <w:tab w:val="left" w:pos="1418"/>
                <w:tab w:val="left" w:pos="1985"/>
              </w:tabs>
              <w:spacing w:before="0" w:after="0"/>
              <w:rPr>
                <w:szCs w:val="24"/>
              </w:rPr>
            </w:pPr>
            <w:r w:rsidRPr="00930237">
              <w:rPr>
                <w:szCs w:val="24"/>
              </w:rPr>
              <w:t>JNI</w:t>
            </w:r>
          </w:p>
        </w:tc>
        <w:tc>
          <w:tcPr>
            <w:tcW w:w="6029" w:type="dxa"/>
            <w:shd w:val="clear" w:color="auto" w:fill="auto"/>
          </w:tcPr>
          <w:p w14:paraId="3DE6081D" w14:textId="77777777" w:rsidR="00AC212B" w:rsidRPr="00930237" w:rsidRDefault="00AC212B" w:rsidP="00710DDA">
            <w:pPr>
              <w:tabs>
                <w:tab w:val="left" w:pos="1418"/>
                <w:tab w:val="left" w:pos="1985"/>
              </w:tabs>
              <w:spacing w:before="0" w:after="0"/>
              <w:rPr>
                <w:szCs w:val="24"/>
              </w:rPr>
            </w:pPr>
            <w:r w:rsidRPr="00930237">
              <w:rPr>
                <w:szCs w:val="24"/>
              </w:rPr>
              <w:t>Jauniešu nodarbinātības iniciatīva</w:t>
            </w:r>
          </w:p>
        </w:tc>
      </w:tr>
      <w:tr w:rsidR="00AC46A4" w:rsidRPr="00930237" w14:paraId="59A0CA55" w14:textId="77777777" w:rsidTr="00710DDA">
        <w:tc>
          <w:tcPr>
            <w:tcW w:w="2430" w:type="dxa"/>
            <w:shd w:val="clear" w:color="auto" w:fill="auto"/>
          </w:tcPr>
          <w:p w14:paraId="5B91548C" w14:textId="59ECE4B9" w:rsidR="00AC46A4" w:rsidRPr="00930237" w:rsidRDefault="00AC46A4" w:rsidP="00710DDA">
            <w:pPr>
              <w:tabs>
                <w:tab w:val="left" w:pos="1418"/>
                <w:tab w:val="left" w:pos="1985"/>
              </w:tabs>
              <w:spacing w:before="0" w:after="0"/>
              <w:rPr>
                <w:szCs w:val="24"/>
              </w:rPr>
            </w:pPr>
            <w:r>
              <w:rPr>
                <w:szCs w:val="24"/>
              </w:rPr>
              <w:t>KAKL</w:t>
            </w:r>
          </w:p>
        </w:tc>
        <w:tc>
          <w:tcPr>
            <w:tcW w:w="6029" w:type="dxa"/>
            <w:shd w:val="clear" w:color="auto" w:fill="auto"/>
          </w:tcPr>
          <w:p w14:paraId="71656356" w14:textId="692E3BE0" w:rsidR="00AC46A4" w:rsidRPr="00930237" w:rsidRDefault="00AC46A4" w:rsidP="00710DDA">
            <w:pPr>
              <w:tabs>
                <w:tab w:val="left" w:pos="1418"/>
                <w:tab w:val="left" w:pos="1985"/>
              </w:tabs>
              <w:spacing w:before="0" w:after="0"/>
              <w:rPr>
                <w:szCs w:val="24"/>
              </w:rPr>
            </w:pPr>
            <w:r w:rsidRPr="00AC46A4">
              <w:rPr>
                <w:szCs w:val="24"/>
              </w:rPr>
              <w:t>Komercdarbības atbalsta kontroles likums</w:t>
            </w:r>
          </w:p>
        </w:tc>
      </w:tr>
      <w:tr w:rsidR="00AC212B" w:rsidRPr="00930237" w14:paraId="5644BEA5" w14:textId="77777777" w:rsidTr="00710DDA">
        <w:tc>
          <w:tcPr>
            <w:tcW w:w="2430" w:type="dxa"/>
            <w:shd w:val="clear" w:color="auto" w:fill="auto"/>
          </w:tcPr>
          <w:p w14:paraId="625C1147" w14:textId="77777777" w:rsidR="00AC212B" w:rsidRPr="00930237" w:rsidRDefault="00AC212B" w:rsidP="00710DDA">
            <w:pPr>
              <w:tabs>
                <w:tab w:val="left" w:pos="1418"/>
                <w:tab w:val="left" w:pos="1985"/>
              </w:tabs>
              <w:spacing w:before="0" w:after="0"/>
              <w:rPr>
                <w:szCs w:val="24"/>
              </w:rPr>
            </w:pPr>
            <w:r w:rsidRPr="00930237">
              <w:rPr>
                <w:szCs w:val="24"/>
              </w:rPr>
              <w:t>KF</w:t>
            </w:r>
          </w:p>
        </w:tc>
        <w:tc>
          <w:tcPr>
            <w:tcW w:w="6029" w:type="dxa"/>
            <w:shd w:val="clear" w:color="auto" w:fill="auto"/>
          </w:tcPr>
          <w:p w14:paraId="010FCD54" w14:textId="77777777" w:rsidR="00AC212B" w:rsidRPr="00930237" w:rsidRDefault="00AC212B" w:rsidP="00710DDA">
            <w:pPr>
              <w:tabs>
                <w:tab w:val="left" w:pos="1418"/>
                <w:tab w:val="left" w:pos="1985"/>
              </w:tabs>
              <w:spacing w:before="0" w:after="0"/>
              <w:rPr>
                <w:szCs w:val="24"/>
              </w:rPr>
            </w:pPr>
            <w:r w:rsidRPr="00930237">
              <w:rPr>
                <w:szCs w:val="24"/>
              </w:rPr>
              <w:t>Kohēzijas fonds</w:t>
            </w:r>
          </w:p>
        </w:tc>
      </w:tr>
      <w:tr w:rsidR="00AC212B" w:rsidRPr="00930237" w14:paraId="1FA31B04" w14:textId="77777777" w:rsidTr="00710DDA">
        <w:tc>
          <w:tcPr>
            <w:tcW w:w="2430" w:type="dxa"/>
            <w:shd w:val="clear" w:color="auto" w:fill="auto"/>
          </w:tcPr>
          <w:p w14:paraId="2652A373" w14:textId="77777777" w:rsidR="00AC212B" w:rsidRPr="00930237" w:rsidRDefault="00AC212B" w:rsidP="00710DDA">
            <w:pPr>
              <w:tabs>
                <w:tab w:val="left" w:pos="1418"/>
                <w:tab w:val="left" w:pos="1985"/>
              </w:tabs>
              <w:spacing w:before="0" w:after="0"/>
              <w:rPr>
                <w:szCs w:val="24"/>
              </w:rPr>
            </w:pPr>
            <w:r w:rsidRPr="00930237">
              <w:rPr>
                <w:szCs w:val="24"/>
              </w:rPr>
              <w:t>KM</w:t>
            </w:r>
          </w:p>
        </w:tc>
        <w:tc>
          <w:tcPr>
            <w:tcW w:w="6029" w:type="dxa"/>
            <w:shd w:val="clear" w:color="auto" w:fill="auto"/>
          </w:tcPr>
          <w:p w14:paraId="4B553A1C" w14:textId="77777777" w:rsidR="00AC212B" w:rsidRPr="00930237" w:rsidRDefault="00AC212B" w:rsidP="00710DDA">
            <w:pPr>
              <w:tabs>
                <w:tab w:val="left" w:pos="1418"/>
                <w:tab w:val="left" w:pos="1985"/>
              </w:tabs>
              <w:spacing w:before="0" w:after="0"/>
              <w:rPr>
                <w:szCs w:val="24"/>
              </w:rPr>
            </w:pPr>
            <w:r w:rsidRPr="00930237">
              <w:rPr>
                <w:szCs w:val="24"/>
              </w:rPr>
              <w:t>Kultūras ministrija</w:t>
            </w:r>
          </w:p>
        </w:tc>
      </w:tr>
      <w:tr w:rsidR="00AC212B" w:rsidRPr="00930237" w14:paraId="405BA18C" w14:textId="77777777" w:rsidTr="00710DDA">
        <w:tc>
          <w:tcPr>
            <w:tcW w:w="2430" w:type="dxa"/>
            <w:shd w:val="clear" w:color="auto" w:fill="auto"/>
          </w:tcPr>
          <w:p w14:paraId="4F502FEF" w14:textId="77777777" w:rsidR="00AC212B" w:rsidRPr="00930237" w:rsidRDefault="00AC212B" w:rsidP="00710DDA">
            <w:pPr>
              <w:tabs>
                <w:tab w:val="left" w:pos="1418"/>
                <w:tab w:val="left" w:pos="1985"/>
              </w:tabs>
              <w:spacing w:before="0" w:after="0"/>
              <w:rPr>
                <w:szCs w:val="24"/>
              </w:rPr>
            </w:pPr>
            <w:r w:rsidRPr="00930237">
              <w:rPr>
                <w:szCs w:val="24"/>
              </w:rPr>
              <w:t>KNR</w:t>
            </w:r>
          </w:p>
        </w:tc>
        <w:tc>
          <w:tcPr>
            <w:tcW w:w="6029" w:type="dxa"/>
            <w:shd w:val="clear" w:color="auto" w:fill="auto"/>
          </w:tcPr>
          <w:p w14:paraId="524BC89A" w14:textId="77777777" w:rsidR="00AC212B" w:rsidRPr="00930237" w:rsidRDefault="00AC212B" w:rsidP="00710DDA">
            <w:pPr>
              <w:tabs>
                <w:tab w:val="left" w:pos="1418"/>
                <w:tab w:val="left" w:pos="1985"/>
              </w:tabs>
              <w:spacing w:before="0" w:after="0"/>
              <w:rPr>
                <w:szCs w:val="24"/>
              </w:rPr>
            </w:pPr>
            <w:r w:rsidRPr="00930237">
              <w:rPr>
                <w:szCs w:val="24"/>
              </w:rPr>
              <w:t>Eiropas Parlamenta un Padomes Regulas (ES) priekšlikums, ar ko paredz kopīgus noteikumus par Eiropas Reģionālās attīstības fondu, Eiropas Sociālo fondu Plus, Kohēzijas fondu un Eiropas Jūrlietu un zivsaimniecības fondu un finanšu noteikumus attiecībā uz tiem un uz Patvēruma un migrācijas fondu, Iekšējās drošības fondu un Robežu pārvaldības un vīzu instrumentu</w:t>
            </w:r>
          </w:p>
        </w:tc>
      </w:tr>
      <w:tr w:rsidR="00AC212B" w:rsidRPr="00930237" w14:paraId="0B74605D" w14:textId="77777777" w:rsidTr="00710DDA">
        <w:tc>
          <w:tcPr>
            <w:tcW w:w="2430" w:type="dxa"/>
            <w:shd w:val="clear" w:color="auto" w:fill="auto"/>
          </w:tcPr>
          <w:p w14:paraId="16515D64" w14:textId="77777777" w:rsidR="00AC212B" w:rsidRPr="00930237" w:rsidRDefault="00AC212B" w:rsidP="00710DDA">
            <w:pPr>
              <w:tabs>
                <w:tab w:val="left" w:pos="1418"/>
                <w:tab w:val="left" w:pos="1985"/>
              </w:tabs>
              <w:spacing w:before="0" w:after="0"/>
              <w:rPr>
                <w:szCs w:val="24"/>
              </w:rPr>
            </w:pPr>
            <w:r w:rsidRPr="00930237">
              <w:rPr>
                <w:szCs w:val="24"/>
              </w:rPr>
              <w:t>KP</w:t>
            </w:r>
            <w:r w:rsidRPr="00930237">
              <w:rPr>
                <w:szCs w:val="24"/>
              </w:rPr>
              <w:tab/>
            </w:r>
          </w:p>
        </w:tc>
        <w:tc>
          <w:tcPr>
            <w:tcW w:w="6029" w:type="dxa"/>
            <w:shd w:val="clear" w:color="auto" w:fill="auto"/>
          </w:tcPr>
          <w:p w14:paraId="4A787D86" w14:textId="77777777" w:rsidR="00AC212B" w:rsidRPr="00930237" w:rsidRDefault="00AC212B" w:rsidP="00710DDA">
            <w:pPr>
              <w:tabs>
                <w:tab w:val="left" w:pos="1418"/>
                <w:tab w:val="left" w:pos="1985"/>
              </w:tabs>
              <w:spacing w:before="0" w:after="0"/>
              <w:rPr>
                <w:szCs w:val="24"/>
              </w:rPr>
            </w:pPr>
            <w:r w:rsidRPr="00930237">
              <w:rPr>
                <w:szCs w:val="24"/>
              </w:rPr>
              <w:t>Kohēzijas politika</w:t>
            </w:r>
          </w:p>
        </w:tc>
      </w:tr>
      <w:tr w:rsidR="00AC212B" w:rsidRPr="00930237" w14:paraId="579ED120" w14:textId="77777777" w:rsidTr="00710DDA">
        <w:tc>
          <w:tcPr>
            <w:tcW w:w="2430" w:type="dxa"/>
            <w:shd w:val="clear" w:color="auto" w:fill="auto"/>
          </w:tcPr>
          <w:p w14:paraId="0AA18BBB" w14:textId="77777777" w:rsidR="00AC212B" w:rsidRPr="00930237" w:rsidRDefault="00AC212B" w:rsidP="00710DDA">
            <w:pPr>
              <w:tabs>
                <w:tab w:val="left" w:pos="1418"/>
                <w:tab w:val="left" w:pos="1985"/>
              </w:tabs>
              <w:spacing w:before="0" w:after="0"/>
              <w:rPr>
                <w:szCs w:val="24"/>
              </w:rPr>
            </w:pPr>
            <w:r w:rsidRPr="00930237">
              <w:rPr>
                <w:szCs w:val="24"/>
              </w:rPr>
              <w:t xml:space="preserve">KP fondi </w:t>
            </w:r>
            <w:r w:rsidRPr="00930237">
              <w:rPr>
                <w:szCs w:val="24"/>
              </w:rPr>
              <w:tab/>
            </w:r>
          </w:p>
        </w:tc>
        <w:tc>
          <w:tcPr>
            <w:tcW w:w="6029" w:type="dxa"/>
            <w:shd w:val="clear" w:color="auto" w:fill="auto"/>
          </w:tcPr>
          <w:p w14:paraId="727A4465" w14:textId="07B5C273" w:rsidR="00AC212B" w:rsidRPr="00930237" w:rsidRDefault="00AC212B" w:rsidP="0029505F">
            <w:pPr>
              <w:tabs>
                <w:tab w:val="left" w:pos="1418"/>
                <w:tab w:val="left" w:pos="1985"/>
              </w:tabs>
              <w:spacing w:before="0" w:after="0"/>
              <w:rPr>
                <w:szCs w:val="24"/>
              </w:rPr>
            </w:pPr>
            <w:r w:rsidRPr="00930237">
              <w:rPr>
                <w:szCs w:val="24"/>
              </w:rPr>
              <w:t>ESF</w:t>
            </w:r>
            <w:r w:rsidR="0029505F">
              <w:rPr>
                <w:szCs w:val="24"/>
              </w:rPr>
              <w:t>+</w:t>
            </w:r>
            <w:r w:rsidRPr="00930237">
              <w:rPr>
                <w:szCs w:val="24"/>
              </w:rPr>
              <w:t>, ERAF, KF</w:t>
            </w:r>
            <w:r w:rsidR="0029505F">
              <w:rPr>
                <w:szCs w:val="24"/>
              </w:rPr>
              <w:t>, TPF</w:t>
            </w:r>
          </w:p>
        </w:tc>
      </w:tr>
      <w:tr w:rsidR="00D04504" w:rsidRPr="00930237" w14:paraId="721E0BDB" w14:textId="77777777" w:rsidTr="00710DDA">
        <w:tc>
          <w:tcPr>
            <w:tcW w:w="2430" w:type="dxa"/>
            <w:shd w:val="clear" w:color="auto" w:fill="auto"/>
          </w:tcPr>
          <w:p w14:paraId="6A8F9000" w14:textId="26838FAE" w:rsidR="00D04504" w:rsidRPr="00930237" w:rsidRDefault="00D04504" w:rsidP="00710DDA">
            <w:pPr>
              <w:tabs>
                <w:tab w:val="left" w:pos="1418"/>
                <w:tab w:val="left" w:pos="1985"/>
              </w:tabs>
              <w:spacing w:before="0" w:after="0"/>
              <w:rPr>
                <w:szCs w:val="24"/>
              </w:rPr>
            </w:pPr>
            <w:r w:rsidRPr="00930237">
              <w:rPr>
                <w:szCs w:val="24"/>
              </w:rPr>
              <w:t>LBAS</w:t>
            </w:r>
          </w:p>
        </w:tc>
        <w:tc>
          <w:tcPr>
            <w:tcW w:w="6029" w:type="dxa"/>
            <w:shd w:val="clear" w:color="auto" w:fill="auto"/>
          </w:tcPr>
          <w:p w14:paraId="20943E12" w14:textId="1963EA47" w:rsidR="00D04504" w:rsidRPr="00930237" w:rsidRDefault="00D04504" w:rsidP="00710DDA">
            <w:pPr>
              <w:tabs>
                <w:tab w:val="left" w:pos="1418"/>
                <w:tab w:val="left" w:pos="1985"/>
              </w:tabs>
              <w:spacing w:before="0" w:after="0"/>
              <w:rPr>
                <w:szCs w:val="24"/>
              </w:rPr>
            </w:pPr>
            <w:r w:rsidRPr="00930237">
              <w:rPr>
                <w:szCs w:val="24"/>
              </w:rPr>
              <w:t>Latvijas Brīvo arodbiedrību savienība</w:t>
            </w:r>
          </w:p>
        </w:tc>
      </w:tr>
      <w:tr w:rsidR="00AC212B" w:rsidRPr="00930237" w14:paraId="5D820A3E" w14:textId="77777777" w:rsidTr="00710DDA">
        <w:tc>
          <w:tcPr>
            <w:tcW w:w="2430" w:type="dxa"/>
            <w:shd w:val="clear" w:color="auto" w:fill="auto"/>
          </w:tcPr>
          <w:p w14:paraId="02C98AFA" w14:textId="77777777" w:rsidR="00AC212B" w:rsidRPr="00930237" w:rsidRDefault="00AC212B" w:rsidP="00710DDA">
            <w:pPr>
              <w:tabs>
                <w:tab w:val="left" w:pos="1418"/>
                <w:tab w:val="left" w:pos="1985"/>
              </w:tabs>
              <w:spacing w:before="0" w:after="0"/>
              <w:rPr>
                <w:szCs w:val="24"/>
              </w:rPr>
            </w:pPr>
            <w:r w:rsidRPr="00930237">
              <w:rPr>
                <w:szCs w:val="24"/>
              </w:rPr>
              <w:t>LIAA</w:t>
            </w:r>
          </w:p>
        </w:tc>
        <w:tc>
          <w:tcPr>
            <w:tcW w:w="6029" w:type="dxa"/>
            <w:shd w:val="clear" w:color="auto" w:fill="auto"/>
          </w:tcPr>
          <w:p w14:paraId="08E53DD7" w14:textId="77777777" w:rsidR="00AC212B" w:rsidRPr="00930237" w:rsidRDefault="00AC212B" w:rsidP="00710DDA">
            <w:pPr>
              <w:tabs>
                <w:tab w:val="left" w:pos="1418"/>
                <w:tab w:val="left" w:pos="1985"/>
              </w:tabs>
              <w:spacing w:before="0" w:after="0"/>
              <w:rPr>
                <w:szCs w:val="24"/>
              </w:rPr>
            </w:pPr>
            <w:r w:rsidRPr="00930237">
              <w:rPr>
                <w:szCs w:val="24"/>
              </w:rPr>
              <w:t>Latvijas investīciju un attīstības aģentūra</w:t>
            </w:r>
          </w:p>
        </w:tc>
      </w:tr>
      <w:tr w:rsidR="00AC212B" w:rsidRPr="00930237" w14:paraId="261EE9C7" w14:textId="77777777" w:rsidTr="00710DDA">
        <w:tc>
          <w:tcPr>
            <w:tcW w:w="2430" w:type="dxa"/>
            <w:shd w:val="clear" w:color="auto" w:fill="auto"/>
          </w:tcPr>
          <w:p w14:paraId="60CFD2A4" w14:textId="77777777" w:rsidR="00AC212B" w:rsidRPr="00930237" w:rsidRDefault="00AC212B" w:rsidP="00710DDA">
            <w:pPr>
              <w:tabs>
                <w:tab w:val="left" w:pos="1418"/>
                <w:tab w:val="left" w:pos="1985"/>
              </w:tabs>
              <w:spacing w:before="0" w:after="0"/>
              <w:rPr>
                <w:szCs w:val="24"/>
              </w:rPr>
            </w:pPr>
            <w:r w:rsidRPr="00930237">
              <w:rPr>
                <w:szCs w:val="24"/>
              </w:rPr>
              <w:t>LDDK</w:t>
            </w:r>
          </w:p>
        </w:tc>
        <w:tc>
          <w:tcPr>
            <w:tcW w:w="6029" w:type="dxa"/>
            <w:shd w:val="clear" w:color="auto" w:fill="auto"/>
          </w:tcPr>
          <w:p w14:paraId="1FD0BE3D" w14:textId="77777777" w:rsidR="00AC212B" w:rsidRPr="00930237" w:rsidRDefault="00AC212B" w:rsidP="00710DDA">
            <w:pPr>
              <w:tabs>
                <w:tab w:val="left" w:pos="1418"/>
                <w:tab w:val="left" w:pos="1985"/>
              </w:tabs>
              <w:spacing w:before="0" w:after="0"/>
              <w:rPr>
                <w:szCs w:val="24"/>
              </w:rPr>
            </w:pPr>
            <w:r w:rsidRPr="00930237">
              <w:rPr>
                <w:szCs w:val="24"/>
              </w:rPr>
              <w:t>Latvijas Darba devēju konfederācija</w:t>
            </w:r>
          </w:p>
        </w:tc>
      </w:tr>
      <w:tr w:rsidR="00AC212B" w:rsidRPr="00930237" w14:paraId="1992A8A2" w14:textId="77777777" w:rsidTr="00710DDA">
        <w:tc>
          <w:tcPr>
            <w:tcW w:w="2430" w:type="dxa"/>
            <w:shd w:val="clear" w:color="auto" w:fill="auto"/>
          </w:tcPr>
          <w:p w14:paraId="0AFB32F1" w14:textId="77777777" w:rsidR="00AC212B" w:rsidRPr="00930237" w:rsidRDefault="00AC212B" w:rsidP="00710DDA">
            <w:pPr>
              <w:tabs>
                <w:tab w:val="left" w:pos="1418"/>
                <w:tab w:val="left" w:pos="1985"/>
              </w:tabs>
              <w:spacing w:before="0" w:after="0"/>
              <w:rPr>
                <w:szCs w:val="24"/>
              </w:rPr>
            </w:pPr>
            <w:r w:rsidRPr="00930237">
              <w:rPr>
                <w:szCs w:val="24"/>
              </w:rPr>
              <w:t>LIKTA</w:t>
            </w:r>
          </w:p>
        </w:tc>
        <w:tc>
          <w:tcPr>
            <w:tcW w:w="6029" w:type="dxa"/>
            <w:shd w:val="clear" w:color="auto" w:fill="auto"/>
          </w:tcPr>
          <w:p w14:paraId="61DDEB24" w14:textId="77777777" w:rsidR="00AC212B" w:rsidRPr="00930237" w:rsidRDefault="00AC212B" w:rsidP="00710DDA">
            <w:pPr>
              <w:tabs>
                <w:tab w:val="left" w:pos="1418"/>
                <w:tab w:val="left" w:pos="1985"/>
              </w:tabs>
              <w:spacing w:before="0" w:after="0"/>
              <w:rPr>
                <w:szCs w:val="24"/>
              </w:rPr>
            </w:pPr>
            <w:r w:rsidRPr="00930237">
              <w:rPr>
                <w:szCs w:val="24"/>
              </w:rPr>
              <w:t>Latvijas Informācijas un komunikācijas tehnoloģiju asociācija</w:t>
            </w:r>
          </w:p>
        </w:tc>
      </w:tr>
      <w:tr w:rsidR="00AC212B" w:rsidRPr="00930237" w14:paraId="65BBB62F" w14:textId="77777777" w:rsidTr="00710DDA">
        <w:tc>
          <w:tcPr>
            <w:tcW w:w="2430" w:type="dxa"/>
            <w:shd w:val="clear" w:color="auto" w:fill="auto"/>
          </w:tcPr>
          <w:p w14:paraId="2A5C1F8D" w14:textId="77777777" w:rsidR="00AC212B" w:rsidRPr="00930237" w:rsidRDefault="00AC212B" w:rsidP="00710DDA">
            <w:pPr>
              <w:tabs>
                <w:tab w:val="left" w:pos="1418"/>
                <w:tab w:val="left" w:pos="1985"/>
              </w:tabs>
              <w:spacing w:before="0" w:after="0"/>
              <w:rPr>
                <w:szCs w:val="24"/>
              </w:rPr>
            </w:pPr>
            <w:r w:rsidRPr="00930237">
              <w:rPr>
                <w:szCs w:val="24"/>
              </w:rPr>
              <w:t>LM</w:t>
            </w:r>
          </w:p>
        </w:tc>
        <w:tc>
          <w:tcPr>
            <w:tcW w:w="6029" w:type="dxa"/>
            <w:shd w:val="clear" w:color="auto" w:fill="auto"/>
          </w:tcPr>
          <w:p w14:paraId="2B332FC1" w14:textId="77777777" w:rsidR="00AC212B" w:rsidRPr="00930237" w:rsidRDefault="00AC212B" w:rsidP="00710DDA">
            <w:pPr>
              <w:tabs>
                <w:tab w:val="left" w:pos="1418"/>
                <w:tab w:val="left" w:pos="1985"/>
              </w:tabs>
              <w:spacing w:before="0" w:after="0"/>
              <w:rPr>
                <w:szCs w:val="24"/>
              </w:rPr>
            </w:pPr>
            <w:r w:rsidRPr="00930237">
              <w:rPr>
                <w:szCs w:val="24"/>
              </w:rPr>
              <w:t>Labklājības ministrija</w:t>
            </w:r>
          </w:p>
        </w:tc>
      </w:tr>
      <w:tr w:rsidR="006C0291" w:rsidRPr="00930237" w14:paraId="772747A5" w14:textId="77777777" w:rsidTr="00710DDA">
        <w:tc>
          <w:tcPr>
            <w:tcW w:w="2430" w:type="dxa"/>
            <w:shd w:val="clear" w:color="auto" w:fill="auto"/>
          </w:tcPr>
          <w:p w14:paraId="1656E504" w14:textId="551B40B8" w:rsidR="006C0291" w:rsidRPr="00930237" w:rsidRDefault="006C0291" w:rsidP="00710DDA">
            <w:pPr>
              <w:tabs>
                <w:tab w:val="left" w:pos="1418"/>
                <w:tab w:val="left" w:pos="1985"/>
              </w:tabs>
              <w:spacing w:before="0" w:after="0"/>
              <w:rPr>
                <w:szCs w:val="24"/>
              </w:rPr>
            </w:pPr>
            <w:r>
              <w:rPr>
                <w:szCs w:val="24"/>
              </w:rPr>
              <w:t>LR</w:t>
            </w:r>
          </w:p>
        </w:tc>
        <w:tc>
          <w:tcPr>
            <w:tcW w:w="6029" w:type="dxa"/>
            <w:shd w:val="clear" w:color="auto" w:fill="auto"/>
          </w:tcPr>
          <w:p w14:paraId="1E9C8F04" w14:textId="46892F55" w:rsidR="006C0291" w:rsidRPr="00930237" w:rsidRDefault="006C0291" w:rsidP="00710DDA">
            <w:pPr>
              <w:tabs>
                <w:tab w:val="left" w:pos="1418"/>
                <w:tab w:val="left" w:pos="1985"/>
              </w:tabs>
              <w:spacing w:before="0" w:after="0"/>
              <w:rPr>
                <w:szCs w:val="24"/>
              </w:rPr>
            </w:pPr>
            <w:r>
              <w:rPr>
                <w:szCs w:val="24"/>
              </w:rPr>
              <w:t>Latvijas Republika</w:t>
            </w:r>
          </w:p>
        </w:tc>
      </w:tr>
      <w:tr w:rsidR="00E222A0" w:rsidRPr="00930237" w14:paraId="7B4A2887" w14:textId="77777777" w:rsidTr="00710DDA">
        <w:tc>
          <w:tcPr>
            <w:tcW w:w="2430" w:type="dxa"/>
            <w:shd w:val="clear" w:color="auto" w:fill="auto"/>
          </w:tcPr>
          <w:p w14:paraId="79D0C33D" w14:textId="5E8C6E0B" w:rsidR="00E222A0" w:rsidRPr="00930237" w:rsidRDefault="00E222A0" w:rsidP="00710DDA">
            <w:pPr>
              <w:tabs>
                <w:tab w:val="left" w:pos="1418"/>
                <w:tab w:val="left" w:pos="1985"/>
              </w:tabs>
              <w:spacing w:before="0" w:after="0"/>
              <w:rPr>
                <w:szCs w:val="24"/>
              </w:rPr>
            </w:pPr>
            <w:r>
              <w:rPr>
                <w:szCs w:val="24"/>
              </w:rPr>
              <w:t>MP</w:t>
            </w:r>
          </w:p>
        </w:tc>
        <w:tc>
          <w:tcPr>
            <w:tcW w:w="6029" w:type="dxa"/>
            <w:shd w:val="clear" w:color="auto" w:fill="auto"/>
          </w:tcPr>
          <w:p w14:paraId="58DEED80" w14:textId="4D374BA1" w:rsidR="00E222A0" w:rsidRPr="00930237" w:rsidRDefault="00E222A0" w:rsidP="00710DDA">
            <w:pPr>
              <w:tabs>
                <w:tab w:val="left" w:pos="1418"/>
                <w:tab w:val="left" w:pos="1985"/>
              </w:tabs>
              <w:spacing w:before="0" w:after="0"/>
              <w:rPr>
                <w:szCs w:val="24"/>
              </w:rPr>
            </w:pPr>
            <w:r>
              <w:rPr>
                <w:szCs w:val="24"/>
              </w:rPr>
              <w:t>Minesotas programma</w:t>
            </w:r>
          </w:p>
        </w:tc>
      </w:tr>
      <w:tr w:rsidR="00AC212B" w:rsidRPr="00930237" w14:paraId="5B21BA5B" w14:textId="77777777" w:rsidTr="00710DDA">
        <w:tc>
          <w:tcPr>
            <w:tcW w:w="2430" w:type="dxa"/>
            <w:shd w:val="clear" w:color="auto" w:fill="auto"/>
          </w:tcPr>
          <w:p w14:paraId="6D491651" w14:textId="77777777" w:rsidR="00AC212B" w:rsidRPr="00930237" w:rsidRDefault="00AC212B" w:rsidP="00710DDA">
            <w:pPr>
              <w:tabs>
                <w:tab w:val="left" w:pos="1418"/>
                <w:tab w:val="left" w:pos="1985"/>
              </w:tabs>
              <w:spacing w:before="0" w:after="0"/>
              <w:rPr>
                <w:szCs w:val="24"/>
              </w:rPr>
            </w:pPr>
            <w:r w:rsidRPr="00930237">
              <w:rPr>
                <w:szCs w:val="24"/>
              </w:rPr>
              <w:t>MK</w:t>
            </w:r>
          </w:p>
        </w:tc>
        <w:tc>
          <w:tcPr>
            <w:tcW w:w="6029" w:type="dxa"/>
            <w:shd w:val="clear" w:color="auto" w:fill="auto"/>
          </w:tcPr>
          <w:p w14:paraId="27EA1B30" w14:textId="77777777" w:rsidR="00AC212B" w:rsidRPr="00930237" w:rsidRDefault="00AC212B" w:rsidP="00710DDA">
            <w:pPr>
              <w:tabs>
                <w:tab w:val="left" w:pos="1418"/>
                <w:tab w:val="left" w:pos="1985"/>
              </w:tabs>
              <w:spacing w:before="0" w:after="0"/>
              <w:rPr>
                <w:szCs w:val="24"/>
              </w:rPr>
            </w:pPr>
            <w:r w:rsidRPr="00930237">
              <w:rPr>
                <w:szCs w:val="24"/>
              </w:rPr>
              <w:t>Ministru kabinets</w:t>
            </w:r>
          </w:p>
        </w:tc>
      </w:tr>
      <w:tr w:rsidR="00AC212B" w:rsidRPr="00930237" w14:paraId="4FE5809C" w14:textId="77777777" w:rsidTr="00710DDA">
        <w:tc>
          <w:tcPr>
            <w:tcW w:w="2430" w:type="dxa"/>
            <w:shd w:val="clear" w:color="auto" w:fill="auto"/>
          </w:tcPr>
          <w:p w14:paraId="37F71E8F" w14:textId="7A636BC9" w:rsidR="00AC212B" w:rsidRPr="00930237" w:rsidRDefault="00AC212B" w:rsidP="006235AC">
            <w:pPr>
              <w:tabs>
                <w:tab w:val="left" w:pos="1418"/>
                <w:tab w:val="left" w:pos="1985"/>
              </w:tabs>
              <w:spacing w:before="0" w:after="0"/>
              <w:rPr>
                <w:szCs w:val="24"/>
              </w:rPr>
            </w:pPr>
            <w:r w:rsidRPr="00930237">
              <w:rPr>
                <w:szCs w:val="24"/>
              </w:rPr>
              <w:t>MV</w:t>
            </w:r>
            <w:r w:rsidR="006235AC">
              <w:rPr>
                <w:szCs w:val="24"/>
              </w:rPr>
              <w:t>U</w:t>
            </w:r>
          </w:p>
        </w:tc>
        <w:tc>
          <w:tcPr>
            <w:tcW w:w="6029" w:type="dxa"/>
            <w:shd w:val="clear" w:color="auto" w:fill="auto"/>
          </w:tcPr>
          <w:p w14:paraId="1E5C2433" w14:textId="7E379B80" w:rsidR="00AC212B" w:rsidRPr="00930237" w:rsidRDefault="00AC212B" w:rsidP="006235AC">
            <w:pPr>
              <w:tabs>
                <w:tab w:val="left" w:pos="1418"/>
                <w:tab w:val="left" w:pos="1985"/>
              </w:tabs>
              <w:spacing w:before="0" w:after="0"/>
              <w:rPr>
                <w:szCs w:val="24"/>
              </w:rPr>
            </w:pPr>
            <w:r w:rsidRPr="00930237">
              <w:rPr>
                <w:szCs w:val="24"/>
              </w:rPr>
              <w:t xml:space="preserve">Mazie un vidējie </w:t>
            </w:r>
            <w:r w:rsidR="006235AC">
              <w:rPr>
                <w:szCs w:val="24"/>
              </w:rPr>
              <w:t>uzņēmumi (saimnieciskās darbības veicēji)</w:t>
            </w:r>
          </w:p>
        </w:tc>
      </w:tr>
      <w:tr w:rsidR="00AC212B" w:rsidRPr="00930237" w14:paraId="3DD64762" w14:textId="77777777" w:rsidTr="00710DDA">
        <w:tc>
          <w:tcPr>
            <w:tcW w:w="2430" w:type="dxa"/>
            <w:shd w:val="clear" w:color="auto" w:fill="auto"/>
          </w:tcPr>
          <w:p w14:paraId="3283B079" w14:textId="77777777" w:rsidR="00AC212B" w:rsidRPr="00930237" w:rsidRDefault="00AC212B" w:rsidP="00710DDA">
            <w:pPr>
              <w:tabs>
                <w:tab w:val="left" w:pos="1418"/>
                <w:tab w:val="left" w:pos="1985"/>
              </w:tabs>
              <w:spacing w:before="0" w:after="0"/>
              <w:rPr>
                <w:szCs w:val="24"/>
              </w:rPr>
            </w:pPr>
            <w:r w:rsidRPr="00930237">
              <w:rPr>
                <w:szCs w:val="24"/>
              </w:rPr>
              <w:t>NAIP 21-27</w:t>
            </w:r>
          </w:p>
        </w:tc>
        <w:tc>
          <w:tcPr>
            <w:tcW w:w="6029" w:type="dxa"/>
            <w:shd w:val="clear" w:color="auto" w:fill="auto"/>
          </w:tcPr>
          <w:p w14:paraId="0115D698" w14:textId="2099359F" w:rsidR="00AC212B" w:rsidRPr="00930237" w:rsidRDefault="00AC212B" w:rsidP="00710DDA">
            <w:pPr>
              <w:tabs>
                <w:tab w:val="left" w:pos="1418"/>
                <w:tab w:val="left" w:pos="1985"/>
              </w:tabs>
              <w:spacing w:before="0" w:after="0"/>
              <w:rPr>
                <w:szCs w:val="24"/>
              </w:rPr>
            </w:pPr>
            <w:r w:rsidRPr="00930237">
              <w:rPr>
                <w:szCs w:val="24"/>
              </w:rPr>
              <w:t>Notekūdeņu apsaimniekošanas investīciju plān</w:t>
            </w:r>
            <w:r w:rsidR="00893AEB">
              <w:rPr>
                <w:szCs w:val="24"/>
              </w:rPr>
              <w:t>s</w:t>
            </w:r>
            <w:r w:rsidRPr="00930237">
              <w:rPr>
                <w:szCs w:val="24"/>
              </w:rPr>
              <w:t xml:space="preserve"> 2021.–2027.gadam</w:t>
            </w:r>
          </w:p>
        </w:tc>
      </w:tr>
      <w:tr w:rsidR="00AC212B" w:rsidRPr="00930237" w14:paraId="02829B09" w14:textId="77777777" w:rsidTr="00710DDA">
        <w:tc>
          <w:tcPr>
            <w:tcW w:w="2430" w:type="dxa"/>
            <w:shd w:val="clear" w:color="auto" w:fill="auto"/>
          </w:tcPr>
          <w:p w14:paraId="607D3CFD" w14:textId="77777777" w:rsidR="00AC212B" w:rsidRPr="00930237" w:rsidRDefault="00AC212B" w:rsidP="00710DDA">
            <w:pPr>
              <w:tabs>
                <w:tab w:val="left" w:pos="1418"/>
                <w:tab w:val="left" w:pos="1985"/>
              </w:tabs>
              <w:spacing w:before="0" w:after="0"/>
              <w:rPr>
                <w:szCs w:val="24"/>
              </w:rPr>
            </w:pPr>
            <w:r w:rsidRPr="00930237">
              <w:rPr>
                <w:szCs w:val="24"/>
              </w:rPr>
              <w:t>NAP 2027</w:t>
            </w:r>
          </w:p>
        </w:tc>
        <w:tc>
          <w:tcPr>
            <w:tcW w:w="6029" w:type="dxa"/>
            <w:shd w:val="clear" w:color="auto" w:fill="auto"/>
          </w:tcPr>
          <w:p w14:paraId="3F9998AA" w14:textId="77777777" w:rsidR="00AC212B" w:rsidRPr="00930237" w:rsidRDefault="00AC212B" w:rsidP="00710DDA">
            <w:pPr>
              <w:tabs>
                <w:tab w:val="left" w:pos="1418"/>
                <w:tab w:val="left" w:pos="1985"/>
              </w:tabs>
              <w:spacing w:before="0" w:after="0"/>
              <w:rPr>
                <w:szCs w:val="24"/>
              </w:rPr>
            </w:pPr>
            <w:r w:rsidRPr="00930237">
              <w:rPr>
                <w:szCs w:val="24"/>
              </w:rPr>
              <w:t>Nacionālais attīstības plāns 2021.-2027.gadam</w:t>
            </w:r>
          </w:p>
        </w:tc>
      </w:tr>
      <w:tr w:rsidR="00AC212B" w:rsidRPr="00930237" w14:paraId="23929BEC" w14:textId="77777777" w:rsidTr="00710DDA">
        <w:tc>
          <w:tcPr>
            <w:tcW w:w="2430" w:type="dxa"/>
            <w:shd w:val="clear" w:color="auto" w:fill="auto"/>
          </w:tcPr>
          <w:p w14:paraId="6782639C" w14:textId="77777777" w:rsidR="00AC212B" w:rsidRPr="00930237" w:rsidRDefault="00AC212B" w:rsidP="00710DDA">
            <w:pPr>
              <w:tabs>
                <w:tab w:val="left" w:pos="1418"/>
                <w:tab w:val="left" w:pos="1985"/>
              </w:tabs>
              <w:spacing w:before="0" w:after="0"/>
              <w:rPr>
                <w:szCs w:val="24"/>
              </w:rPr>
            </w:pPr>
            <w:r w:rsidRPr="00930237">
              <w:rPr>
                <w:szCs w:val="24"/>
              </w:rPr>
              <w:t>NEET</w:t>
            </w:r>
          </w:p>
          <w:p w14:paraId="1034527C" w14:textId="77777777" w:rsidR="00AC212B" w:rsidRPr="00930237" w:rsidRDefault="00AC212B" w:rsidP="00710DDA">
            <w:pPr>
              <w:tabs>
                <w:tab w:val="left" w:pos="1418"/>
                <w:tab w:val="left" w:pos="1985"/>
              </w:tabs>
              <w:spacing w:before="0" w:after="0"/>
              <w:rPr>
                <w:szCs w:val="24"/>
              </w:rPr>
            </w:pPr>
          </w:p>
        </w:tc>
        <w:tc>
          <w:tcPr>
            <w:tcW w:w="6029" w:type="dxa"/>
            <w:shd w:val="clear" w:color="auto" w:fill="auto"/>
          </w:tcPr>
          <w:p w14:paraId="424D1E5D" w14:textId="77777777" w:rsidR="00AC212B" w:rsidRPr="00930237" w:rsidRDefault="00AC212B" w:rsidP="00710DDA">
            <w:pPr>
              <w:tabs>
                <w:tab w:val="left" w:pos="1418"/>
                <w:tab w:val="left" w:pos="1985"/>
              </w:tabs>
              <w:spacing w:before="0" w:after="0"/>
              <w:rPr>
                <w:szCs w:val="24"/>
              </w:rPr>
            </w:pPr>
            <w:r w:rsidRPr="00930237">
              <w:rPr>
                <w:szCs w:val="24"/>
              </w:rPr>
              <w:t>Jaunieši, kuri nemācās, nestrādā vai neapgūst arodu (</w:t>
            </w:r>
            <w:r w:rsidRPr="00457F99">
              <w:rPr>
                <w:i/>
                <w:iCs/>
                <w:szCs w:val="24"/>
              </w:rPr>
              <w:t>Not in Education, Employment, or Trainin</w:t>
            </w:r>
            <w:r w:rsidRPr="00930237">
              <w:rPr>
                <w:szCs w:val="24"/>
              </w:rPr>
              <w:t>g)</w:t>
            </w:r>
          </w:p>
        </w:tc>
      </w:tr>
      <w:tr w:rsidR="00AC212B" w:rsidRPr="00930237" w14:paraId="7EB94465" w14:textId="77777777" w:rsidTr="00710DDA">
        <w:tc>
          <w:tcPr>
            <w:tcW w:w="2430" w:type="dxa"/>
            <w:shd w:val="clear" w:color="auto" w:fill="auto"/>
          </w:tcPr>
          <w:p w14:paraId="4A7460CF" w14:textId="77777777" w:rsidR="00AC212B" w:rsidRPr="00930237" w:rsidRDefault="00AC212B" w:rsidP="00710DDA">
            <w:pPr>
              <w:tabs>
                <w:tab w:val="left" w:pos="1418"/>
                <w:tab w:val="left" w:pos="1985"/>
              </w:tabs>
              <w:spacing w:before="0" w:after="0"/>
              <w:rPr>
                <w:szCs w:val="24"/>
              </w:rPr>
            </w:pPr>
            <w:r w:rsidRPr="00930237">
              <w:rPr>
                <w:szCs w:val="24"/>
              </w:rPr>
              <w:t>NEKP</w:t>
            </w:r>
          </w:p>
        </w:tc>
        <w:tc>
          <w:tcPr>
            <w:tcW w:w="6029" w:type="dxa"/>
            <w:shd w:val="clear" w:color="auto" w:fill="auto"/>
          </w:tcPr>
          <w:p w14:paraId="6DB2C841" w14:textId="77777777" w:rsidR="00AC212B" w:rsidRPr="00930237" w:rsidRDefault="00AC212B" w:rsidP="00710DDA">
            <w:pPr>
              <w:tabs>
                <w:tab w:val="left" w:pos="1418"/>
                <w:tab w:val="left" w:pos="1985"/>
              </w:tabs>
              <w:spacing w:before="0" w:after="0"/>
              <w:rPr>
                <w:szCs w:val="24"/>
              </w:rPr>
            </w:pPr>
            <w:r w:rsidRPr="00930237">
              <w:rPr>
                <w:szCs w:val="24"/>
              </w:rPr>
              <w:t>Nacionālais enerģētikas un klimata plāns 2021.-2030.gadam</w:t>
            </w:r>
          </w:p>
        </w:tc>
      </w:tr>
      <w:tr w:rsidR="00AC212B" w:rsidRPr="00930237" w14:paraId="0DF01003" w14:textId="77777777" w:rsidTr="00710DDA">
        <w:tc>
          <w:tcPr>
            <w:tcW w:w="2430" w:type="dxa"/>
            <w:shd w:val="clear" w:color="auto" w:fill="auto"/>
          </w:tcPr>
          <w:p w14:paraId="2481CE5B" w14:textId="77777777" w:rsidR="00AC212B" w:rsidRPr="00930237" w:rsidRDefault="00AC212B" w:rsidP="00710DDA">
            <w:pPr>
              <w:tabs>
                <w:tab w:val="left" w:pos="1418"/>
                <w:tab w:val="left" w:pos="1985"/>
              </w:tabs>
              <w:spacing w:before="0" w:after="0"/>
              <w:rPr>
                <w:szCs w:val="24"/>
              </w:rPr>
            </w:pPr>
            <w:r w:rsidRPr="00930237">
              <w:rPr>
                <w:szCs w:val="24"/>
              </w:rPr>
              <w:t>NIP</w:t>
            </w:r>
          </w:p>
        </w:tc>
        <w:tc>
          <w:tcPr>
            <w:tcW w:w="6029" w:type="dxa"/>
            <w:shd w:val="clear" w:color="auto" w:fill="auto"/>
          </w:tcPr>
          <w:p w14:paraId="22D62FAF" w14:textId="77777777" w:rsidR="00AC212B" w:rsidRPr="00930237" w:rsidRDefault="00AC212B" w:rsidP="00710DDA">
            <w:pPr>
              <w:tabs>
                <w:tab w:val="left" w:pos="1418"/>
                <w:tab w:val="left" w:pos="1985"/>
              </w:tabs>
              <w:spacing w:before="0" w:after="0"/>
              <w:rPr>
                <w:szCs w:val="24"/>
              </w:rPr>
            </w:pPr>
            <w:r w:rsidRPr="00930237">
              <w:rPr>
                <w:szCs w:val="24"/>
              </w:rPr>
              <w:t>Nacionālās industriālās politikas pamatnostādnes 2021-2027.gadam</w:t>
            </w:r>
          </w:p>
        </w:tc>
      </w:tr>
      <w:tr w:rsidR="003313E3" w:rsidRPr="00930237" w14:paraId="1FD28439" w14:textId="77777777" w:rsidTr="00710DDA">
        <w:tc>
          <w:tcPr>
            <w:tcW w:w="2430" w:type="dxa"/>
            <w:shd w:val="clear" w:color="auto" w:fill="auto"/>
          </w:tcPr>
          <w:p w14:paraId="597E0B64" w14:textId="63F2B2AF" w:rsidR="003313E3" w:rsidRPr="00930237" w:rsidRDefault="003313E3" w:rsidP="00710DDA">
            <w:pPr>
              <w:tabs>
                <w:tab w:val="left" w:pos="1418"/>
                <w:tab w:val="left" w:pos="1985"/>
              </w:tabs>
              <w:spacing w:before="0" w:after="0"/>
              <w:rPr>
                <w:szCs w:val="24"/>
              </w:rPr>
            </w:pPr>
            <w:r w:rsidRPr="00930237">
              <w:rPr>
                <w:szCs w:val="24"/>
              </w:rPr>
              <w:t>NĪVK</w:t>
            </w:r>
          </w:p>
        </w:tc>
        <w:tc>
          <w:tcPr>
            <w:tcW w:w="6029" w:type="dxa"/>
            <w:shd w:val="clear" w:color="auto" w:fill="auto"/>
          </w:tcPr>
          <w:p w14:paraId="5387E7C0" w14:textId="739A3844" w:rsidR="003313E3" w:rsidRPr="00930237" w:rsidRDefault="003313E3" w:rsidP="00710DDA">
            <w:pPr>
              <w:tabs>
                <w:tab w:val="left" w:pos="1418"/>
                <w:tab w:val="left" w:pos="1985"/>
              </w:tabs>
              <w:spacing w:before="0" w:after="0"/>
              <w:rPr>
                <w:szCs w:val="24"/>
              </w:rPr>
            </w:pPr>
            <w:r w:rsidRPr="00930237">
              <w:rPr>
                <w:szCs w:val="24"/>
              </w:rPr>
              <w:t>Nekustamā īpašuma valsts kadastrs</w:t>
            </w:r>
          </w:p>
        </w:tc>
      </w:tr>
      <w:tr w:rsidR="00AC212B" w:rsidRPr="00930237" w14:paraId="011D1F0C" w14:textId="77777777" w:rsidTr="00710DDA">
        <w:tc>
          <w:tcPr>
            <w:tcW w:w="2430" w:type="dxa"/>
            <w:shd w:val="clear" w:color="auto" w:fill="auto"/>
          </w:tcPr>
          <w:p w14:paraId="4DA308D9" w14:textId="77777777" w:rsidR="00AC212B" w:rsidRPr="00930237" w:rsidRDefault="00AC212B" w:rsidP="00710DDA">
            <w:pPr>
              <w:tabs>
                <w:tab w:val="left" w:pos="1418"/>
                <w:tab w:val="left" w:pos="1985"/>
              </w:tabs>
              <w:spacing w:before="0" w:after="0"/>
              <w:rPr>
                <w:szCs w:val="24"/>
              </w:rPr>
            </w:pPr>
            <w:r w:rsidRPr="00930237">
              <w:rPr>
                <w:szCs w:val="24"/>
              </w:rPr>
              <w:t>NVA</w:t>
            </w:r>
          </w:p>
        </w:tc>
        <w:tc>
          <w:tcPr>
            <w:tcW w:w="6029" w:type="dxa"/>
            <w:shd w:val="clear" w:color="auto" w:fill="auto"/>
          </w:tcPr>
          <w:p w14:paraId="02974ACC" w14:textId="77777777" w:rsidR="00AC212B" w:rsidRPr="00930237" w:rsidRDefault="00AC212B" w:rsidP="00710DDA">
            <w:pPr>
              <w:tabs>
                <w:tab w:val="left" w:pos="1418"/>
                <w:tab w:val="left" w:pos="1985"/>
              </w:tabs>
              <w:spacing w:before="0" w:after="0"/>
              <w:rPr>
                <w:szCs w:val="24"/>
              </w:rPr>
            </w:pPr>
            <w:r w:rsidRPr="00930237">
              <w:rPr>
                <w:szCs w:val="24"/>
              </w:rPr>
              <w:t>Nodarbinātības valsts aģentūra</w:t>
            </w:r>
          </w:p>
        </w:tc>
      </w:tr>
      <w:tr w:rsidR="00AC212B" w:rsidRPr="00930237" w14:paraId="56C4B93E" w14:textId="77777777" w:rsidTr="00710DDA">
        <w:tc>
          <w:tcPr>
            <w:tcW w:w="2430" w:type="dxa"/>
            <w:shd w:val="clear" w:color="auto" w:fill="auto"/>
          </w:tcPr>
          <w:p w14:paraId="553CC5E9" w14:textId="77777777" w:rsidR="00AC212B" w:rsidRPr="00930237" w:rsidRDefault="00AC212B" w:rsidP="00710DDA">
            <w:pPr>
              <w:tabs>
                <w:tab w:val="left" w:pos="1418"/>
                <w:tab w:val="left" w:pos="1985"/>
              </w:tabs>
              <w:spacing w:before="0" w:after="0"/>
              <w:rPr>
                <w:szCs w:val="24"/>
              </w:rPr>
            </w:pPr>
            <w:r w:rsidRPr="00930237">
              <w:rPr>
                <w:szCs w:val="24"/>
              </w:rPr>
              <w:t>NVO</w:t>
            </w:r>
          </w:p>
        </w:tc>
        <w:tc>
          <w:tcPr>
            <w:tcW w:w="6029" w:type="dxa"/>
            <w:shd w:val="clear" w:color="auto" w:fill="auto"/>
          </w:tcPr>
          <w:p w14:paraId="17814F1D" w14:textId="77777777" w:rsidR="00AC212B" w:rsidRPr="00930237" w:rsidRDefault="00AC212B" w:rsidP="00710DDA">
            <w:pPr>
              <w:tabs>
                <w:tab w:val="left" w:pos="1418"/>
                <w:tab w:val="left" w:pos="1985"/>
              </w:tabs>
              <w:spacing w:before="0" w:after="0"/>
            </w:pPr>
            <w:r w:rsidRPr="00930237">
              <w:t>Nevalstiskās organizācijas</w:t>
            </w:r>
          </w:p>
        </w:tc>
      </w:tr>
      <w:tr w:rsidR="00AC212B" w:rsidRPr="00930237" w14:paraId="52C42F0B" w14:textId="77777777" w:rsidTr="00710DDA">
        <w:tc>
          <w:tcPr>
            <w:tcW w:w="2430" w:type="dxa"/>
            <w:shd w:val="clear" w:color="auto" w:fill="auto"/>
          </w:tcPr>
          <w:p w14:paraId="540351B8" w14:textId="77777777" w:rsidR="00AC212B" w:rsidRPr="00930237" w:rsidRDefault="00AC212B" w:rsidP="00710DDA">
            <w:pPr>
              <w:tabs>
                <w:tab w:val="left" w:pos="1418"/>
                <w:tab w:val="left" w:pos="1985"/>
              </w:tabs>
              <w:spacing w:before="0" w:after="0"/>
              <w:rPr>
                <w:szCs w:val="24"/>
              </w:rPr>
            </w:pPr>
            <w:r w:rsidRPr="00930237">
              <w:rPr>
                <w:szCs w:val="24"/>
              </w:rPr>
              <w:t>OECD</w:t>
            </w:r>
          </w:p>
        </w:tc>
        <w:tc>
          <w:tcPr>
            <w:tcW w:w="6029" w:type="dxa"/>
            <w:shd w:val="clear" w:color="auto" w:fill="auto"/>
          </w:tcPr>
          <w:p w14:paraId="1E62E3A7" w14:textId="77777777" w:rsidR="00AC212B" w:rsidRPr="00930237" w:rsidRDefault="009A507A" w:rsidP="00710DDA">
            <w:pPr>
              <w:tabs>
                <w:tab w:val="left" w:pos="1418"/>
                <w:tab w:val="left" w:pos="1985"/>
              </w:tabs>
              <w:spacing w:before="0" w:after="0"/>
              <w:rPr>
                <w:szCs w:val="24"/>
              </w:rPr>
            </w:pPr>
            <w:hyperlink r:id="rId9" w:history="1">
              <w:r w:rsidR="00AC212B" w:rsidRPr="00930237">
                <w:rPr>
                  <w:rStyle w:val="Hyperlink"/>
                  <w:color w:val="auto"/>
                  <w:szCs w:val="24"/>
                  <w:u w:val="none"/>
                </w:rPr>
                <w:t xml:space="preserve">Ekonomiskās sadarbības un attīstības organizācija </w:t>
              </w:r>
            </w:hyperlink>
            <w:r w:rsidR="00AC212B" w:rsidRPr="00930237">
              <w:rPr>
                <w:i/>
                <w:szCs w:val="24"/>
              </w:rPr>
              <w:t>(Organisation for Economic Co-operation and Development)</w:t>
            </w:r>
          </w:p>
        </w:tc>
      </w:tr>
      <w:tr w:rsidR="00AC212B" w:rsidRPr="00930237" w14:paraId="1B8D53A6" w14:textId="77777777" w:rsidTr="00710DDA">
        <w:tc>
          <w:tcPr>
            <w:tcW w:w="2430" w:type="dxa"/>
            <w:shd w:val="clear" w:color="auto" w:fill="auto"/>
          </w:tcPr>
          <w:p w14:paraId="4B4DADBC" w14:textId="77777777" w:rsidR="00AC212B" w:rsidRPr="00930237" w:rsidRDefault="00AC212B" w:rsidP="00710DDA">
            <w:pPr>
              <w:tabs>
                <w:tab w:val="left" w:pos="1418"/>
                <w:tab w:val="left" w:pos="1985"/>
              </w:tabs>
              <w:spacing w:before="0" w:after="0"/>
              <w:rPr>
                <w:szCs w:val="24"/>
              </w:rPr>
            </w:pPr>
            <w:r w:rsidRPr="00930237">
              <w:rPr>
                <w:szCs w:val="24"/>
              </w:rPr>
              <w:t>P&amp;A</w:t>
            </w:r>
          </w:p>
        </w:tc>
        <w:tc>
          <w:tcPr>
            <w:tcW w:w="6029" w:type="dxa"/>
            <w:shd w:val="clear" w:color="auto" w:fill="auto"/>
          </w:tcPr>
          <w:p w14:paraId="7E0EDEFC" w14:textId="77777777" w:rsidR="00AC212B" w:rsidRPr="00930237" w:rsidRDefault="00AC212B" w:rsidP="00710DDA">
            <w:pPr>
              <w:tabs>
                <w:tab w:val="left" w:pos="1418"/>
                <w:tab w:val="left" w:pos="1985"/>
              </w:tabs>
              <w:spacing w:before="0" w:after="0"/>
              <w:rPr>
                <w:szCs w:val="24"/>
              </w:rPr>
            </w:pPr>
            <w:r w:rsidRPr="00930237">
              <w:rPr>
                <w:szCs w:val="24"/>
              </w:rPr>
              <w:t>Pētniecība un attīstība</w:t>
            </w:r>
          </w:p>
        </w:tc>
      </w:tr>
      <w:tr w:rsidR="00AC212B" w:rsidRPr="00930237" w14:paraId="36DDE089" w14:textId="77777777" w:rsidTr="00710DDA">
        <w:tc>
          <w:tcPr>
            <w:tcW w:w="2430" w:type="dxa"/>
            <w:shd w:val="clear" w:color="auto" w:fill="auto"/>
          </w:tcPr>
          <w:p w14:paraId="17CEC293" w14:textId="77777777" w:rsidR="00AC212B" w:rsidRPr="00930237" w:rsidRDefault="00AC212B" w:rsidP="00710DDA">
            <w:pPr>
              <w:tabs>
                <w:tab w:val="left" w:pos="1418"/>
                <w:tab w:val="left" w:pos="1985"/>
              </w:tabs>
              <w:spacing w:before="0" w:after="0"/>
              <w:rPr>
                <w:szCs w:val="24"/>
              </w:rPr>
            </w:pPr>
            <w:r w:rsidRPr="00930237">
              <w:t>P&amp;I</w:t>
            </w:r>
          </w:p>
        </w:tc>
        <w:tc>
          <w:tcPr>
            <w:tcW w:w="6029" w:type="dxa"/>
            <w:shd w:val="clear" w:color="auto" w:fill="auto"/>
          </w:tcPr>
          <w:p w14:paraId="720B4EE0" w14:textId="77777777" w:rsidR="00AC212B" w:rsidRPr="00930237" w:rsidRDefault="00AC212B" w:rsidP="00710DDA">
            <w:pPr>
              <w:tabs>
                <w:tab w:val="left" w:pos="1418"/>
                <w:tab w:val="left" w:pos="1985"/>
              </w:tabs>
              <w:spacing w:before="0" w:after="0"/>
              <w:rPr>
                <w:szCs w:val="24"/>
              </w:rPr>
            </w:pPr>
            <w:r w:rsidRPr="00930237">
              <w:t>Pētniecība un inovācijas</w:t>
            </w:r>
          </w:p>
        </w:tc>
      </w:tr>
      <w:tr w:rsidR="00AC212B" w:rsidRPr="00930237" w14:paraId="6468261E" w14:textId="77777777" w:rsidTr="00710DDA">
        <w:tc>
          <w:tcPr>
            <w:tcW w:w="2430" w:type="dxa"/>
            <w:shd w:val="clear" w:color="auto" w:fill="auto"/>
          </w:tcPr>
          <w:p w14:paraId="78FBB6AA" w14:textId="77777777" w:rsidR="00AC212B" w:rsidRPr="00930237" w:rsidRDefault="00AC212B" w:rsidP="00710DDA">
            <w:pPr>
              <w:tabs>
                <w:tab w:val="left" w:pos="1418"/>
                <w:tab w:val="left" w:pos="1985"/>
              </w:tabs>
              <w:spacing w:before="0" w:after="0"/>
              <w:rPr>
                <w:szCs w:val="24"/>
              </w:rPr>
            </w:pPr>
            <w:r w:rsidRPr="00930237">
              <w:rPr>
                <w:szCs w:val="24"/>
              </w:rPr>
              <w:t>PISA</w:t>
            </w:r>
          </w:p>
          <w:p w14:paraId="6B9BA239" w14:textId="77777777" w:rsidR="00AC212B" w:rsidRPr="00930237" w:rsidRDefault="00AC212B" w:rsidP="00710DDA">
            <w:pPr>
              <w:tabs>
                <w:tab w:val="left" w:pos="1418"/>
                <w:tab w:val="left" w:pos="1985"/>
              </w:tabs>
              <w:spacing w:before="0" w:after="0"/>
              <w:rPr>
                <w:szCs w:val="24"/>
              </w:rPr>
            </w:pPr>
          </w:p>
        </w:tc>
        <w:tc>
          <w:tcPr>
            <w:tcW w:w="6029" w:type="dxa"/>
            <w:shd w:val="clear" w:color="auto" w:fill="auto"/>
          </w:tcPr>
          <w:p w14:paraId="4CAB5852" w14:textId="77777777" w:rsidR="00AC212B" w:rsidRPr="00930237" w:rsidRDefault="00AC212B" w:rsidP="00710DDA">
            <w:pPr>
              <w:tabs>
                <w:tab w:val="left" w:pos="1418"/>
                <w:tab w:val="left" w:pos="1985"/>
              </w:tabs>
              <w:spacing w:before="0" w:after="0"/>
              <w:rPr>
                <w:szCs w:val="24"/>
              </w:rPr>
            </w:pPr>
            <w:r w:rsidRPr="00930237">
              <w:rPr>
                <w:szCs w:val="24"/>
              </w:rPr>
              <w:t>Starptautiskās skolēnu novērtēšanas programmas (</w:t>
            </w:r>
            <w:r w:rsidRPr="00930237">
              <w:rPr>
                <w:i/>
                <w:szCs w:val="24"/>
              </w:rPr>
              <w:t>Programme for International Student Assessment)</w:t>
            </w:r>
          </w:p>
        </w:tc>
      </w:tr>
      <w:tr w:rsidR="000926AD" w:rsidRPr="00930237" w14:paraId="67E2F564" w14:textId="77777777" w:rsidTr="00710DDA">
        <w:tc>
          <w:tcPr>
            <w:tcW w:w="2430" w:type="dxa"/>
            <w:shd w:val="clear" w:color="auto" w:fill="auto"/>
          </w:tcPr>
          <w:p w14:paraId="2DABCC1E" w14:textId="4DD84386" w:rsidR="000926AD" w:rsidRPr="00930237" w:rsidRDefault="000926AD" w:rsidP="00710DDA">
            <w:pPr>
              <w:tabs>
                <w:tab w:val="left" w:pos="1418"/>
                <w:tab w:val="left" w:pos="1985"/>
              </w:tabs>
              <w:spacing w:before="0" w:after="0"/>
              <w:rPr>
                <w:szCs w:val="24"/>
              </w:rPr>
            </w:pPr>
            <w:r>
              <w:rPr>
                <w:szCs w:val="24"/>
              </w:rPr>
              <w:t>PIL</w:t>
            </w:r>
          </w:p>
        </w:tc>
        <w:tc>
          <w:tcPr>
            <w:tcW w:w="6029" w:type="dxa"/>
            <w:shd w:val="clear" w:color="auto" w:fill="auto"/>
          </w:tcPr>
          <w:p w14:paraId="32C26D2C" w14:textId="00D3799B" w:rsidR="000926AD" w:rsidRPr="00930237" w:rsidRDefault="000926AD" w:rsidP="00710DDA">
            <w:pPr>
              <w:tabs>
                <w:tab w:val="left" w:pos="1418"/>
                <w:tab w:val="left" w:pos="1985"/>
              </w:tabs>
              <w:spacing w:before="0" w:after="0"/>
              <w:rPr>
                <w:szCs w:val="24"/>
              </w:rPr>
            </w:pPr>
            <w:r>
              <w:rPr>
                <w:szCs w:val="24"/>
              </w:rPr>
              <w:t>Publisko iepirkumu likums</w:t>
            </w:r>
          </w:p>
        </w:tc>
      </w:tr>
      <w:tr w:rsidR="00AC212B" w:rsidRPr="00930237" w14:paraId="413A6A22" w14:textId="77777777" w:rsidTr="00710DDA">
        <w:tc>
          <w:tcPr>
            <w:tcW w:w="2430" w:type="dxa"/>
            <w:shd w:val="clear" w:color="auto" w:fill="auto"/>
          </w:tcPr>
          <w:p w14:paraId="0A8B2F0F" w14:textId="77777777" w:rsidR="00AC212B" w:rsidRPr="00930237" w:rsidRDefault="00AC212B" w:rsidP="00710DDA">
            <w:pPr>
              <w:tabs>
                <w:tab w:val="left" w:pos="1418"/>
                <w:tab w:val="left" w:pos="1985"/>
              </w:tabs>
              <w:spacing w:before="0" w:after="0"/>
              <w:rPr>
                <w:szCs w:val="24"/>
              </w:rPr>
            </w:pPr>
            <w:r w:rsidRPr="00930237">
              <w:rPr>
                <w:szCs w:val="24"/>
              </w:rPr>
              <w:t>PKC</w:t>
            </w:r>
          </w:p>
        </w:tc>
        <w:tc>
          <w:tcPr>
            <w:tcW w:w="6029" w:type="dxa"/>
            <w:shd w:val="clear" w:color="auto" w:fill="auto"/>
          </w:tcPr>
          <w:p w14:paraId="189903FB" w14:textId="77777777" w:rsidR="00AC212B" w:rsidRPr="00930237" w:rsidRDefault="00AC212B" w:rsidP="00710DDA">
            <w:pPr>
              <w:tabs>
                <w:tab w:val="left" w:pos="1418"/>
                <w:tab w:val="left" w:pos="1985"/>
              </w:tabs>
              <w:spacing w:before="0" w:after="0"/>
              <w:rPr>
                <w:szCs w:val="24"/>
              </w:rPr>
            </w:pPr>
            <w:r w:rsidRPr="00930237">
              <w:rPr>
                <w:szCs w:val="24"/>
              </w:rPr>
              <w:t>Pārresoru koordinācijas centrs</w:t>
            </w:r>
          </w:p>
        </w:tc>
      </w:tr>
      <w:tr w:rsidR="00AC212B" w:rsidRPr="00930237" w14:paraId="066EA0BF" w14:textId="77777777" w:rsidTr="00710DDA">
        <w:tc>
          <w:tcPr>
            <w:tcW w:w="2430" w:type="dxa"/>
            <w:shd w:val="clear" w:color="auto" w:fill="auto"/>
          </w:tcPr>
          <w:p w14:paraId="79066BCC" w14:textId="77777777" w:rsidR="00AC212B" w:rsidRPr="00930237" w:rsidRDefault="00AC212B" w:rsidP="00710DDA">
            <w:pPr>
              <w:tabs>
                <w:tab w:val="left" w:pos="1418"/>
                <w:tab w:val="left" w:pos="1985"/>
              </w:tabs>
              <w:spacing w:before="0" w:after="0"/>
              <w:rPr>
                <w:szCs w:val="24"/>
              </w:rPr>
            </w:pPr>
            <w:r w:rsidRPr="00930237">
              <w:rPr>
                <w:szCs w:val="24"/>
              </w:rPr>
              <w:t>PL</w:t>
            </w:r>
          </w:p>
        </w:tc>
        <w:tc>
          <w:tcPr>
            <w:tcW w:w="6029" w:type="dxa"/>
            <w:shd w:val="clear" w:color="auto" w:fill="auto"/>
          </w:tcPr>
          <w:p w14:paraId="06625BF6" w14:textId="77777777" w:rsidR="00AC212B" w:rsidRPr="00930237" w:rsidRDefault="00AC212B" w:rsidP="00710DDA">
            <w:pPr>
              <w:tabs>
                <w:tab w:val="left" w:pos="1418"/>
                <w:tab w:val="left" w:pos="1985"/>
              </w:tabs>
              <w:spacing w:before="0" w:after="0"/>
              <w:rPr>
                <w:szCs w:val="24"/>
              </w:rPr>
            </w:pPr>
            <w:r w:rsidRPr="00930237">
              <w:rPr>
                <w:szCs w:val="24"/>
              </w:rPr>
              <w:t>Partnerības līgums Eiropas Savienības investīciju fondu ieviešanai 2021.–2027.gada plānošanas periodam</w:t>
            </w:r>
          </w:p>
        </w:tc>
      </w:tr>
      <w:tr w:rsidR="00AC212B" w:rsidRPr="00930237" w14:paraId="69D2DD40" w14:textId="77777777" w:rsidTr="00710DDA">
        <w:tc>
          <w:tcPr>
            <w:tcW w:w="2430" w:type="dxa"/>
            <w:shd w:val="clear" w:color="auto" w:fill="auto"/>
          </w:tcPr>
          <w:p w14:paraId="5D197196" w14:textId="77777777" w:rsidR="00AC212B" w:rsidRPr="00930237" w:rsidRDefault="00AC212B" w:rsidP="00710DDA">
            <w:pPr>
              <w:tabs>
                <w:tab w:val="left" w:pos="1418"/>
                <w:tab w:val="left" w:pos="1985"/>
              </w:tabs>
              <w:spacing w:before="0" w:after="0"/>
              <w:rPr>
                <w:szCs w:val="24"/>
              </w:rPr>
            </w:pPr>
            <w:r w:rsidRPr="00930237">
              <w:rPr>
                <w:szCs w:val="24"/>
              </w:rPr>
              <w:t>Projektu dati</w:t>
            </w:r>
          </w:p>
        </w:tc>
        <w:tc>
          <w:tcPr>
            <w:tcW w:w="6029" w:type="dxa"/>
            <w:shd w:val="clear" w:color="auto" w:fill="auto"/>
          </w:tcPr>
          <w:p w14:paraId="34277C28" w14:textId="77777777" w:rsidR="00AC212B" w:rsidRPr="00930237" w:rsidRDefault="00AC212B" w:rsidP="00710DDA">
            <w:pPr>
              <w:tabs>
                <w:tab w:val="left" w:pos="1418"/>
                <w:tab w:val="left" w:pos="1985"/>
              </w:tabs>
              <w:spacing w:before="0" w:after="0"/>
              <w:rPr>
                <w:szCs w:val="24"/>
              </w:rPr>
            </w:pPr>
            <w:r w:rsidRPr="00930237">
              <w:rPr>
                <w:szCs w:val="24"/>
              </w:rPr>
              <w:t xml:space="preserve">Informācija, kas iekļauta projektu iesniegumos, noslēgtajos līgumos/ vienošanās par projektu īstenošanu, informācija, kuru finansējuma saņēmēji ar noteiktu regularitāti sniegs līgumslēdzējiestādei </w:t>
            </w:r>
          </w:p>
        </w:tc>
      </w:tr>
      <w:tr w:rsidR="00AC212B" w:rsidRPr="00930237" w14:paraId="1EB12632" w14:textId="77777777" w:rsidTr="00710DDA">
        <w:tc>
          <w:tcPr>
            <w:tcW w:w="2430" w:type="dxa"/>
            <w:shd w:val="clear" w:color="auto" w:fill="auto"/>
          </w:tcPr>
          <w:p w14:paraId="597ECE78" w14:textId="77777777" w:rsidR="00AC212B" w:rsidRPr="00930237" w:rsidRDefault="00AC212B" w:rsidP="00710DDA">
            <w:pPr>
              <w:tabs>
                <w:tab w:val="left" w:pos="1418"/>
                <w:tab w:val="left" w:pos="1985"/>
              </w:tabs>
              <w:spacing w:before="0" w:after="0"/>
              <w:rPr>
                <w:i/>
                <w:szCs w:val="24"/>
              </w:rPr>
            </w:pPr>
            <w:r w:rsidRPr="00930237">
              <w:rPr>
                <w:i/>
                <w:szCs w:val="24"/>
              </w:rPr>
              <w:t>ReactEU</w:t>
            </w:r>
          </w:p>
        </w:tc>
        <w:tc>
          <w:tcPr>
            <w:tcW w:w="6029" w:type="dxa"/>
            <w:shd w:val="clear" w:color="auto" w:fill="auto"/>
          </w:tcPr>
          <w:p w14:paraId="70C3B2D9" w14:textId="77777777" w:rsidR="00AC212B" w:rsidRPr="00930237" w:rsidRDefault="00AC212B" w:rsidP="00710DDA">
            <w:pPr>
              <w:tabs>
                <w:tab w:val="left" w:pos="1418"/>
                <w:tab w:val="left" w:pos="1985"/>
              </w:tabs>
              <w:spacing w:before="0" w:after="0"/>
              <w:rPr>
                <w:szCs w:val="24"/>
              </w:rPr>
            </w:pPr>
            <w:r w:rsidRPr="00930237">
              <w:rPr>
                <w:szCs w:val="24"/>
              </w:rPr>
              <w:t>Atveseļošanas palīdzība kohēzijai un Eiropas teritorijām</w:t>
            </w:r>
          </w:p>
        </w:tc>
      </w:tr>
      <w:tr w:rsidR="00AC212B" w:rsidRPr="00930237" w14:paraId="75E6A0BD" w14:textId="77777777" w:rsidTr="00710DDA">
        <w:tc>
          <w:tcPr>
            <w:tcW w:w="2430" w:type="dxa"/>
            <w:shd w:val="clear" w:color="auto" w:fill="auto"/>
          </w:tcPr>
          <w:p w14:paraId="0D130D48" w14:textId="77777777" w:rsidR="00AC212B" w:rsidRPr="00930237" w:rsidRDefault="00AC212B" w:rsidP="00710DDA">
            <w:pPr>
              <w:tabs>
                <w:tab w:val="left" w:pos="1418"/>
                <w:tab w:val="left" w:pos="1985"/>
              </w:tabs>
              <w:spacing w:before="0" w:after="0"/>
              <w:rPr>
                <w:szCs w:val="24"/>
              </w:rPr>
            </w:pPr>
            <w:r w:rsidRPr="00930237">
              <w:rPr>
                <w:szCs w:val="24"/>
              </w:rPr>
              <w:t xml:space="preserve">RIS3 </w:t>
            </w:r>
          </w:p>
        </w:tc>
        <w:tc>
          <w:tcPr>
            <w:tcW w:w="6029" w:type="dxa"/>
            <w:shd w:val="clear" w:color="auto" w:fill="auto"/>
          </w:tcPr>
          <w:p w14:paraId="2EF130B7" w14:textId="77777777" w:rsidR="00AC212B" w:rsidRPr="00930237" w:rsidRDefault="00AC212B" w:rsidP="00710DDA">
            <w:pPr>
              <w:tabs>
                <w:tab w:val="left" w:pos="1418"/>
                <w:tab w:val="left" w:pos="1985"/>
              </w:tabs>
              <w:spacing w:before="0" w:after="0"/>
              <w:rPr>
                <w:szCs w:val="24"/>
              </w:rPr>
            </w:pPr>
            <w:r w:rsidRPr="00930237">
              <w:rPr>
                <w:szCs w:val="24"/>
              </w:rPr>
              <w:t>Viedās specializācijas stratēģija (</w:t>
            </w:r>
            <w:r w:rsidRPr="00930237">
              <w:rPr>
                <w:i/>
                <w:szCs w:val="24"/>
              </w:rPr>
              <w:t>Research and Innovation Strategies for Smart Specialisation</w:t>
            </w:r>
            <w:r w:rsidRPr="00930237">
              <w:rPr>
                <w:szCs w:val="24"/>
              </w:rPr>
              <w:t>)</w:t>
            </w:r>
          </w:p>
        </w:tc>
      </w:tr>
      <w:tr w:rsidR="00AC212B" w:rsidRPr="00930237" w14:paraId="49E0608C" w14:textId="77777777" w:rsidTr="00710DDA">
        <w:tc>
          <w:tcPr>
            <w:tcW w:w="2430" w:type="dxa"/>
            <w:shd w:val="clear" w:color="auto" w:fill="auto"/>
          </w:tcPr>
          <w:p w14:paraId="2BB15EB5" w14:textId="77777777" w:rsidR="00AC212B" w:rsidRPr="00930237" w:rsidRDefault="00AC212B" w:rsidP="00710DDA">
            <w:pPr>
              <w:tabs>
                <w:tab w:val="left" w:pos="1418"/>
                <w:tab w:val="left" w:pos="1985"/>
              </w:tabs>
              <w:spacing w:before="0" w:after="0"/>
              <w:rPr>
                <w:szCs w:val="24"/>
              </w:rPr>
            </w:pPr>
            <w:r w:rsidRPr="00930237">
              <w:rPr>
                <w:szCs w:val="24"/>
              </w:rPr>
              <w:t>RPP</w:t>
            </w:r>
          </w:p>
        </w:tc>
        <w:tc>
          <w:tcPr>
            <w:tcW w:w="6029" w:type="dxa"/>
            <w:shd w:val="clear" w:color="auto" w:fill="auto"/>
          </w:tcPr>
          <w:p w14:paraId="4E8B1CE5" w14:textId="77777777" w:rsidR="00AC212B" w:rsidRPr="00930237" w:rsidRDefault="00AC212B" w:rsidP="00710DDA">
            <w:pPr>
              <w:tabs>
                <w:tab w:val="left" w:pos="1418"/>
                <w:tab w:val="left" w:pos="1985"/>
              </w:tabs>
              <w:spacing w:before="0" w:after="0"/>
              <w:rPr>
                <w:szCs w:val="24"/>
              </w:rPr>
            </w:pPr>
            <w:r w:rsidRPr="00930237">
              <w:rPr>
                <w:szCs w:val="24"/>
              </w:rPr>
              <w:t>Reģionālās politikas pamatnostādnes 2021.–2027.gadam</w:t>
            </w:r>
            <w:r w:rsidRPr="00930237">
              <w:rPr>
                <w:rStyle w:val="FootnoteReference"/>
                <w:szCs w:val="24"/>
              </w:rPr>
              <w:footnoteReference w:id="1"/>
            </w:r>
          </w:p>
        </w:tc>
      </w:tr>
      <w:tr w:rsidR="00AC212B" w:rsidRPr="00930237" w14:paraId="4A00F882" w14:textId="77777777" w:rsidTr="00710DDA">
        <w:tc>
          <w:tcPr>
            <w:tcW w:w="2430" w:type="dxa"/>
            <w:shd w:val="clear" w:color="auto" w:fill="auto"/>
          </w:tcPr>
          <w:p w14:paraId="3FE4AF27" w14:textId="77777777" w:rsidR="00AC212B" w:rsidRPr="00930237" w:rsidRDefault="00AC212B" w:rsidP="00710DDA">
            <w:pPr>
              <w:tabs>
                <w:tab w:val="left" w:pos="1418"/>
                <w:tab w:val="left" w:pos="1985"/>
              </w:tabs>
              <w:spacing w:before="0" w:after="0"/>
              <w:rPr>
                <w:szCs w:val="24"/>
              </w:rPr>
            </w:pPr>
            <w:r w:rsidRPr="00930237">
              <w:rPr>
                <w:szCs w:val="24"/>
              </w:rPr>
              <w:t>Sadarbības partneri</w:t>
            </w:r>
          </w:p>
        </w:tc>
        <w:tc>
          <w:tcPr>
            <w:tcW w:w="6029" w:type="dxa"/>
            <w:shd w:val="clear" w:color="auto" w:fill="auto"/>
          </w:tcPr>
          <w:p w14:paraId="43205245" w14:textId="512AE0F3" w:rsidR="00AC212B" w:rsidRPr="00930237" w:rsidRDefault="00AC212B" w:rsidP="004D7E9B">
            <w:pPr>
              <w:tabs>
                <w:tab w:val="left" w:pos="1418"/>
                <w:tab w:val="left" w:pos="1985"/>
              </w:tabs>
              <w:spacing w:before="0" w:after="0"/>
              <w:rPr>
                <w:szCs w:val="24"/>
              </w:rPr>
            </w:pPr>
            <w:r w:rsidRPr="00930237">
              <w:rPr>
                <w:szCs w:val="24"/>
              </w:rPr>
              <w:t xml:space="preserve">Latvijas Pašvaldību savienība, Latvijas Lielo pilsētu asociācija, Latvijas Tirdzniecības un </w:t>
            </w:r>
            <w:r w:rsidR="004D7E9B" w:rsidRPr="00930237">
              <w:rPr>
                <w:szCs w:val="24"/>
              </w:rPr>
              <w:t>rūpniecības</w:t>
            </w:r>
            <w:r w:rsidRPr="00930237">
              <w:rPr>
                <w:szCs w:val="24"/>
              </w:rPr>
              <w:t xml:space="preserve"> kamera,  biedrības, nodibinājumi, nozaru asociācijas, plānošanas reģioni</w:t>
            </w:r>
          </w:p>
        </w:tc>
      </w:tr>
      <w:tr w:rsidR="00AC212B" w:rsidRPr="00930237" w14:paraId="4FE55BA4" w14:textId="77777777" w:rsidTr="00710DDA">
        <w:tc>
          <w:tcPr>
            <w:tcW w:w="2430" w:type="dxa"/>
            <w:shd w:val="clear" w:color="auto" w:fill="auto"/>
          </w:tcPr>
          <w:p w14:paraId="224A6C18" w14:textId="77777777" w:rsidR="00AC212B" w:rsidRPr="00930237" w:rsidRDefault="00AC212B" w:rsidP="00710DDA">
            <w:pPr>
              <w:tabs>
                <w:tab w:val="left" w:pos="1418"/>
                <w:tab w:val="left" w:pos="1985"/>
              </w:tabs>
              <w:spacing w:before="0" w:after="0"/>
              <w:rPr>
                <w:szCs w:val="24"/>
              </w:rPr>
            </w:pPr>
            <w:r w:rsidRPr="00930237">
              <w:rPr>
                <w:szCs w:val="24"/>
              </w:rPr>
              <w:t>SAM</w:t>
            </w:r>
          </w:p>
        </w:tc>
        <w:tc>
          <w:tcPr>
            <w:tcW w:w="6029" w:type="dxa"/>
            <w:shd w:val="clear" w:color="auto" w:fill="auto"/>
          </w:tcPr>
          <w:p w14:paraId="1C219888" w14:textId="77777777" w:rsidR="00AC212B" w:rsidRPr="00930237" w:rsidRDefault="00AC212B" w:rsidP="00710DDA">
            <w:pPr>
              <w:tabs>
                <w:tab w:val="left" w:pos="1418"/>
                <w:tab w:val="left" w:pos="1985"/>
              </w:tabs>
              <w:spacing w:before="0" w:after="0"/>
              <w:rPr>
                <w:szCs w:val="24"/>
              </w:rPr>
            </w:pPr>
            <w:r w:rsidRPr="00930237">
              <w:rPr>
                <w:szCs w:val="24"/>
              </w:rPr>
              <w:t xml:space="preserve">Specifiskais atbalsta mērķis – “konkrēts mērķis” ir rezultāts, kura panākšanu konkrētos valsts vai reģiona apstākļos veicinās, īstenojot ieguldījumu prioritāti vai Savienības prioritāti un veicot darbības vai pasākumus </w:t>
            </w:r>
          </w:p>
        </w:tc>
      </w:tr>
      <w:tr w:rsidR="00AC212B" w:rsidRPr="00930237" w14:paraId="09B803F6" w14:textId="77777777" w:rsidTr="00710DDA">
        <w:tc>
          <w:tcPr>
            <w:tcW w:w="2430" w:type="dxa"/>
            <w:shd w:val="clear" w:color="auto" w:fill="auto"/>
          </w:tcPr>
          <w:p w14:paraId="2CF9924C" w14:textId="77777777" w:rsidR="00AC212B" w:rsidRPr="00930237" w:rsidRDefault="00AC212B" w:rsidP="00710DDA">
            <w:pPr>
              <w:tabs>
                <w:tab w:val="left" w:pos="1418"/>
                <w:tab w:val="left" w:pos="1985"/>
              </w:tabs>
              <w:spacing w:before="0" w:after="0"/>
              <w:rPr>
                <w:szCs w:val="24"/>
              </w:rPr>
            </w:pPr>
            <w:r w:rsidRPr="00930237">
              <w:rPr>
                <w:szCs w:val="24"/>
              </w:rPr>
              <w:t>SEG</w:t>
            </w:r>
          </w:p>
        </w:tc>
        <w:tc>
          <w:tcPr>
            <w:tcW w:w="6029" w:type="dxa"/>
            <w:shd w:val="clear" w:color="auto" w:fill="auto"/>
          </w:tcPr>
          <w:p w14:paraId="7D6E40C7" w14:textId="77777777" w:rsidR="00AC212B" w:rsidRPr="00930237" w:rsidRDefault="00AC212B" w:rsidP="00710DDA">
            <w:pPr>
              <w:tabs>
                <w:tab w:val="left" w:pos="1418"/>
                <w:tab w:val="left" w:pos="1985"/>
              </w:tabs>
              <w:spacing w:before="0" w:after="0"/>
              <w:rPr>
                <w:szCs w:val="24"/>
              </w:rPr>
            </w:pPr>
            <w:r w:rsidRPr="00930237">
              <w:rPr>
                <w:szCs w:val="24"/>
              </w:rPr>
              <w:t>Siltumnīcefekta gāze</w:t>
            </w:r>
          </w:p>
        </w:tc>
      </w:tr>
      <w:tr w:rsidR="00AC212B" w:rsidRPr="00930237" w14:paraId="765772A2" w14:textId="77777777" w:rsidTr="00710DDA">
        <w:tc>
          <w:tcPr>
            <w:tcW w:w="2430" w:type="dxa"/>
            <w:shd w:val="clear" w:color="auto" w:fill="auto"/>
          </w:tcPr>
          <w:p w14:paraId="737CBCF8" w14:textId="77777777" w:rsidR="00AC212B" w:rsidRPr="00930237" w:rsidRDefault="00AC212B" w:rsidP="00710DDA">
            <w:pPr>
              <w:tabs>
                <w:tab w:val="left" w:pos="1418"/>
                <w:tab w:val="left" w:pos="1985"/>
              </w:tabs>
              <w:spacing w:before="0" w:after="0"/>
              <w:rPr>
                <w:szCs w:val="24"/>
              </w:rPr>
            </w:pPr>
            <w:r w:rsidRPr="00930237">
              <w:rPr>
                <w:szCs w:val="24"/>
              </w:rPr>
              <w:t>SM</w:t>
            </w:r>
          </w:p>
        </w:tc>
        <w:tc>
          <w:tcPr>
            <w:tcW w:w="6029" w:type="dxa"/>
            <w:shd w:val="clear" w:color="auto" w:fill="auto"/>
          </w:tcPr>
          <w:p w14:paraId="136A76AC" w14:textId="77777777" w:rsidR="00AC212B" w:rsidRPr="00930237" w:rsidRDefault="00AC212B" w:rsidP="00710DDA">
            <w:pPr>
              <w:tabs>
                <w:tab w:val="left" w:pos="1418"/>
                <w:tab w:val="left" w:pos="1985"/>
              </w:tabs>
              <w:spacing w:before="0" w:after="0"/>
              <w:rPr>
                <w:szCs w:val="24"/>
              </w:rPr>
            </w:pPr>
            <w:r w:rsidRPr="00930237">
              <w:rPr>
                <w:szCs w:val="24"/>
              </w:rPr>
              <w:t>Satiksmes ministrija</w:t>
            </w:r>
          </w:p>
        </w:tc>
      </w:tr>
      <w:tr w:rsidR="00AC212B" w:rsidRPr="00930237" w14:paraId="00816B56" w14:textId="77777777" w:rsidTr="00710DDA">
        <w:tc>
          <w:tcPr>
            <w:tcW w:w="2430" w:type="dxa"/>
            <w:shd w:val="clear" w:color="auto" w:fill="auto"/>
          </w:tcPr>
          <w:p w14:paraId="13D59C01" w14:textId="77777777" w:rsidR="00AC212B" w:rsidRPr="00930237" w:rsidRDefault="00AC212B" w:rsidP="00710DDA">
            <w:pPr>
              <w:tabs>
                <w:tab w:val="left" w:pos="1418"/>
                <w:tab w:val="left" w:pos="1985"/>
              </w:tabs>
              <w:spacing w:before="0" w:after="0"/>
              <w:rPr>
                <w:szCs w:val="24"/>
              </w:rPr>
            </w:pPr>
            <w:r w:rsidRPr="00930237">
              <w:t>Sociālie partneri</w:t>
            </w:r>
          </w:p>
        </w:tc>
        <w:tc>
          <w:tcPr>
            <w:tcW w:w="6029" w:type="dxa"/>
            <w:shd w:val="clear" w:color="auto" w:fill="auto"/>
          </w:tcPr>
          <w:p w14:paraId="04CE7C41" w14:textId="503B0BFF" w:rsidR="00AC212B" w:rsidRPr="00930237" w:rsidRDefault="004D7E9B" w:rsidP="00710DDA">
            <w:pPr>
              <w:tabs>
                <w:tab w:val="left" w:pos="1418"/>
                <w:tab w:val="left" w:pos="1985"/>
              </w:tabs>
              <w:spacing w:before="0" w:after="0"/>
              <w:rPr>
                <w:szCs w:val="24"/>
              </w:rPr>
            </w:pPr>
            <w:r w:rsidRPr="00930237">
              <w:t>Latvijas Darba devēju konfederācija, Latvijas Brīvo arodbiedrību savienība, darba devēju, darba ņēmēju organizācijas un to apvienības</w:t>
            </w:r>
          </w:p>
        </w:tc>
      </w:tr>
      <w:tr w:rsidR="00AC212B" w:rsidRPr="00930237" w14:paraId="22BD7089" w14:textId="77777777" w:rsidTr="00710DDA">
        <w:tc>
          <w:tcPr>
            <w:tcW w:w="2430" w:type="dxa"/>
            <w:shd w:val="clear" w:color="auto" w:fill="auto"/>
          </w:tcPr>
          <w:p w14:paraId="7FFF6BAD" w14:textId="77777777" w:rsidR="00AC212B" w:rsidRPr="00930237" w:rsidRDefault="00AC212B" w:rsidP="00710DDA">
            <w:pPr>
              <w:tabs>
                <w:tab w:val="left" w:pos="1418"/>
                <w:tab w:val="left" w:pos="1985"/>
              </w:tabs>
              <w:spacing w:before="0" w:after="0"/>
              <w:rPr>
                <w:szCs w:val="24"/>
              </w:rPr>
            </w:pPr>
            <w:r w:rsidRPr="00930237">
              <w:rPr>
                <w:szCs w:val="24"/>
              </w:rPr>
              <w:t>SPKC</w:t>
            </w:r>
          </w:p>
        </w:tc>
        <w:tc>
          <w:tcPr>
            <w:tcW w:w="6029" w:type="dxa"/>
            <w:shd w:val="clear" w:color="auto" w:fill="auto"/>
          </w:tcPr>
          <w:p w14:paraId="04D2B6DA" w14:textId="77777777" w:rsidR="00AC212B" w:rsidRPr="00930237" w:rsidRDefault="00AC212B" w:rsidP="00710DDA">
            <w:pPr>
              <w:tabs>
                <w:tab w:val="left" w:pos="6946"/>
                <w:tab w:val="left" w:pos="7797"/>
              </w:tabs>
              <w:spacing w:before="0" w:after="0"/>
              <w:rPr>
                <w:szCs w:val="24"/>
              </w:rPr>
            </w:pPr>
            <w:r w:rsidRPr="00930237">
              <w:rPr>
                <w:szCs w:val="24"/>
              </w:rPr>
              <w:t>Slimību profilakses un kontroles centrs</w:t>
            </w:r>
          </w:p>
        </w:tc>
      </w:tr>
      <w:tr w:rsidR="00EF6BE7" w:rsidRPr="00930237" w14:paraId="729E879B" w14:textId="77777777" w:rsidTr="00710DDA">
        <w:tc>
          <w:tcPr>
            <w:tcW w:w="2430" w:type="dxa"/>
            <w:shd w:val="clear" w:color="auto" w:fill="auto"/>
          </w:tcPr>
          <w:p w14:paraId="085137B7" w14:textId="69014F0E" w:rsidR="00EF6BE7" w:rsidRPr="00930237" w:rsidRDefault="00EF6BE7" w:rsidP="00710DDA">
            <w:pPr>
              <w:tabs>
                <w:tab w:val="left" w:pos="1418"/>
                <w:tab w:val="left" w:pos="1985"/>
              </w:tabs>
              <w:spacing w:before="0" w:after="0"/>
              <w:rPr>
                <w:szCs w:val="24"/>
              </w:rPr>
            </w:pPr>
            <w:r>
              <w:rPr>
                <w:szCs w:val="24"/>
              </w:rPr>
              <w:t>SPSIL</w:t>
            </w:r>
          </w:p>
        </w:tc>
        <w:tc>
          <w:tcPr>
            <w:tcW w:w="6029" w:type="dxa"/>
            <w:shd w:val="clear" w:color="auto" w:fill="auto"/>
          </w:tcPr>
          <w:p w14:paraId="2ED31377" w14:textId="3108403F" w:rsidR="00EF6BE7" w:rsidRPr="00EF6BE7" w:rsidRDefault="00EF6BE7" w:rsidP="00710DDA">
            <w:pPr>
              <w:tabs>
                <w:tab w:val="left" w:pos="6946"/>
                <w:tab w:val="left" w:pos="7797"/>
              </w:tabs>
              <w:spacing w:before="0" w:after="0"/>
              <w:rPr>
                <w:iCs/>
                <w:szCs w:val="24"/>
              </w:rPr>
            </w:pPr>
            <w:r>
              <w:rPr>
                <w:iCs/>
                <w:szCs w:val="24"/>
              </w:rPr>
              <w:t>Sabiedrisko pakalpojumu sniedzēju iepirkumu likums</w:t>
            </w:r>
          </w:p>
        </w:tc>
      </w:tr>
      <w:tr w:rsidR="007973B6" w:rsidRPr="00930237" w14:paraId="23B5AAC0" w14:textId="77777777" w:rsidTr="00710DDA">
        <w:tc>
          <w:tcPr>
            <w:tcW w:w="2430" w:type="dxa"/>
            <w:shd w:val="clear" w:color="auto" w:fill="auto"/>
          </w:tcPr>
          <w:p w14:paraId="776646D6" w14:textId="5C8B4301" w:rsidR="007973B6" w:rsidRDefault="007973B6" w:rsidP="00710DDA">
            <w:pPr>
              <w:tabs>
                <w:tab w:val="left" w:pos="1418"/>
                <w:tab w:val="left" w:pos="1985"/>
              </w:tabs>
              <w:spacing w:before="0" w:after="0"/>
              <w:rPr>
                <w:szCs w:val="24"/>
              </w:rPr>
            </w:pPr>
            <w:r>
              <w:rPr>
                <w:szCs w:val="24"/>
              </w:rPr>
              <w:t>SPS</w:t>
            </w:r>
          </w:p>
        </w:tc>
        <w:tc>
          <w:tcPr>
            <w:tcW w:w="6029" w:type="dxa"/>
            <w:shd w:val="clear" w:color="auto" w:fill="auto"/>
          </w:tcPr>
          <w:p w14:paraId="29B87037" w14:textId="5BA5D4B8" w:rsidR="007973B6" w:rsidRDefault="007973B6" w:rsidP="00710DDA">
            <w:pPr>
              <w:tabs>
                <w:tab w:val="left" w:pos="6946"/>
                <w:tab w:val="left" w:pos="7797"/>
              </w:tabs>
              <w:spacing w:before="0" w:after="0"/>
              <w:rPr>
                <w:iCs/>
                <w:szCs w:val="24"/>
              </w:rPr>
            </w:pPr>
            <w:r>
              <w:rPr>
                <w:iCs/>
                <w:szCs w:val="24"/>
              </w:rPr>
              <w:t>Sabiedrisko pakalpojumu sniedzējs</w:t>
            </w:r>
          </w:p>
        </w:tc>
      </w:tr>
      <w:tr w:rsidR="00AC212B" w:rsidRPr="00930237" w14:paraId="48C04A1C" w14:textId="77777777" w:rsidTr="00710DDA">
        <w:tc>
          <w:tcPr>
            <w:tcW w:w="2430" w:type="dxa"/>
            <w:shd w:val="clear" w:color="auto" w:fill="auto"/>
          </w:tcPr>
          <w:p w14:paraId="5892F91B" w14:textId="77777777" w:rsidR="00AC212B" w:rsidRPr="00930237" w:rsidRDefault="00AC212B" w:rsidP="00710DDA">
            <w:pPr>
              <w:tabs>
                <w:tab w:val="left" w:pos="1418"/>
                <w:tab w:val="left" w:pos="1985"/>
              </w:tabs>
              <w:spacing w:before="0" w:after="0"/>
              <w:rPr>
                <w:szCs w:val="24"/>
              </w:rPr>
            </w:pPr>
            <w:r w:rsidRPr="00930237">
              <w:rPr>
                <w:szCs w:val="24"/>
              </w:rPr>
              <w:t>STEM</w:t>
            </w:r>
          </w:p>
        </w:tc>
        <w:tc>
          <w:tcPr>
            <w:tcW w:w="6029" w:type="dxa"/>
            <w:shd w:val="clear" w:color="auto" w:fill="auto"/>
          </w:tcPr>
          <w:p w14:paraId="196B69A3" w14:textId="77777777" w:rsidR="00AC212B" w:rsidRPr="00930237" w:rsidRDefault="00AC212B" w:rsidP="00710DDA">
            <w:pPr>
              <w:tabs>
                <w:tab w:val="left" w:pos="6946"/>
                <w:tab w:val="left" w:pos="7797"/>
              </w:tabs>
              <w:spacing w:before="0" w:after="0"/>
              <w:rPr>
                <w:szCs w:val="24"/>
              </w:rPr>
            </w:pPr>
            <w:r w:rsidRPr="00930237">
              <w:rPr>
                <w:i/>
                <w:szCs w:val="24"/>
              </w:rPr>
              <w:t xml:space="preserve">Science, Technology, Engineering and Mathematics – </w:t>
            </w:r>
            <w:r w:rsidRPr="00930237">
              <w:rPr>
                <w:szCs w:val="24"/>
              </w:rPr>
              <w:t xml:space="preserve">zinātne, tehnoloģijas, inženierzinātnes,matemātika </w:t>
            </w:r>
          </w:p>
        </w:tc>
      </w:tr>
      <w:tr w:rsidR="00AC212B" w:rsidRPr="00930237" w14:paraId="0F090DFA" w14:textId="77777777" w:rsidTr="00710DDA">
        <w:tc>
          <w:tcPr>
            <w:tcW w:w="2430" w:type="dxa"/>
            <w:shd w:val="clear" w:color="auto" w:fill="auto"/>
          </w:tcPr>
          <w:p w14:paraId="13E80158" w14:textId="77777777" w:rsidR="00AC212B" w:rsidRPr="00930237" w:rsidRDefault="00AC212B" w:rsidP="00710DDA">
            <w:pPr>
              <w:tabs>
                <w:tab w:val="left" w:pos="1418"/>
                <w:tab w:val="left" w:pos="1985"/>
              </w:tabs>
              <w:spacing w:before="0" w:after="0"/>
              <w:jc w:val="left"/>
              <w:rPr>
                <w:szCs w:val="24"/>
              </w:rPr>
            </w:pPr>
            <w:r w:rsidRPr="00930237">
              <w:rPr>
                <w:szCs w:val="24"/>
              </w:rPr>
              <w:t xml:space="preserve">Stratēģija “Latvija 2030”                               </w:t>
            </w:r>
          </w:p>
        </w:tc>
        <w:tc>
          <w:tcPr>
            <w:tcW w:w="6029" w:type="dxa"/>
            <w:shd w:val="clear" w:color="auto" w:fill="auto"/>
          </w:tcPr>
          <w:p w14:paraId="46885965" w14:textId="77777777" w:rsidR="00AC212B" w:rsidRPr="00930237" w:rsidRDefault="00AC212B" w:rsidP="00710DDA">
            <w:pPr>
              <w:tabs>
                <w:tab w:val="left" w:pos="6946"/>
                <w:tab w:val="left" w:pos="7797"/>
              </w:tabs>
              <w:spacing w:before="0" w:after="0"/>
              <w:rPr>
                <w:szCs w:val="24"/>
              </w:rPr>
            </w:pPr>
            <w:r w:rsidRPr="00930237">
              <w:rPr>
                <w:szCs w:val="24"/>
              </w:rPr>
              <w:t>Latvijas ilgtspējīgas attīstības stratēģija līdz 2030.gadam</w:t>
            </w:r>
          </w:p>
          <w:p w14:paraId="77DA5C04" w14:textId="77777777" w:rsidR="00AC212B" w:rsidRPr="00930237" w:rsidRDefault="00AC212B" w:rsidP="00710DDA">
            <w:pPr>
              <w:tabs>
                <w:tab w:val="left" w:pos="6946"/>
                <w:tab w:val="left" w:pos="7797"/>
              </w:tabs>
              <w:spacing w:before="0" w:after="0"/>
              <w:rPr>
                <w:szCs w:val="24"/>
              </w:rPr>
            </w:pPr>
          </w:p>
        </w:tc>
      </w:tr>
      <w:tr w:rsidR="00AE507C" w:rsidRPr="00930237" w14:paraId="63F26CCB" w14:textId="77777777" w:rsidTr="00710DDA">
        <w:tc>
          <w:tcPr>
            <w:tcW w:w="2430" w:type="dxa"/>
            <w:shd w:val="clear" w:color="auto" w:fill="auto"/>
          </w:tcPr>
          <w:p w14:paraId="7A2F4C85" w14:textId="704E2514" w:rsidR="00AE507C" w:rsidRPr="00930237" w:rsidRDefault="00AE507C" w:rsidP="00710DDA">
            <w:pPr>
              <w:tabs>
                <w:tab w:val="left" w:pos="1418"/>
                <w:tab w:val="left" w:pos="1985"/>
              </w:tabs>
              <w:spacing w:before="0" w:after="0"/>
              <w:jc w:val="left"/>
              <w:rPr>
                <w:szCs w:val="24"/>
              </w:rPr>
            </w:pPr>
            <w:r>
              <w:rPr>
                <w:szCs w:val="24"/>
              </w:rPr>
              <w:t>SU</w:t>
            </w:r>
          </w:p>
        </w:tc>
        <w:tc>
          <w:tcPr>
            <w:tcW w:w="6029" w:type="dxa"/>
            <w:shd w:val="clear" w:color="auto" w:fill="auto"/>
          </w:tcPr>
          <w:p w14:paraId="039771B9" w14:textId="727E602E" w:rsidR="00AE507C" w:rsidRPr="00930237" w:rsidRDefault="00AE507C" w:rsidP="00710DDA">
            <w:pPr>
              <w:tabs>
                <w:tab w:val="left" w:pos="6946"/>
                <w:tab w:val="left" w:pos="7797"/>
              </w:tabs>
              <w:spacing w:before="0" w:after="0"/>
              <w:rPr>
                <w:szCs w:val="24"/>
              </w:rPr>
            </w:pPr>
            <w:r>
              <w:rPr>
                <w:szCs w:val="24"/>
              </w:rPr>
              <w:t>Sociālais uzņēmums</w:t>
            </w:r>
          </w:p>
        </w:tc>
      </w:tr>
      <w:tr w:rsidR="00AC212B" w:rsidRPr="00930237" w14:paraId="01E1322D" w14:textId="77777777" w:rsidTr="00710DDA">
        <w:tc>
          <w:tcPr>
            <w:tcW w:w="2430" w:type="dxa"/>
            <w:shd w:val="clear" w:color="auto" w:fill="auto"/>
          </w:tcPr>
          <w:p w14:paraId="6969E17F" w14:textId="77777777" w:rsidR="00AC212B" w:rsidRPr="00930237" w:rsidRDefault="00AC212B" w:rsidP="00710DDA">
            <w:pPr>
              <w:tabs>
                <w:tab w:val="left" w:pos="1418"/>
                <w:tab w:val="left" w:pos="1985"/>
              </w:tabs>
              <w:spacing w:before="0" w:after="0"/>
              <w:rPr>
                <w:szCs w:val="24"/>
              </w:rPr>
            </w:pPr>
            <w:r w:rsidRPr="00930237">
              <w:rPr>
                <w:szCs w:val="24"/>
              </w:rPr>
              <w:t>TALIS</w:t>
            </w:r>
          </w:p>
        </w:tc>
        <w:tc>
          <w:tcPr>
            <w:tcW w:w="6029" w:type="dxa"/>
            <w:shd w:val="clear" w:color="auto" w:fill="auto"/>
          </w:tcPr>
          <w:p w14:paraId="1DFCAF63" w14:textId="77777777" w:rsidR="00AC212B" w:rsidRPr="00930237" w:rsidRDefault="00AC212B" w:rsidP="00710DDA">
            <w:pPr>
              <w:tabs>
                <w:tab w:val="left" w:pos="1418"/>
                <w:tab w:val="left" w:pos="1985"/>
              </w:tabs>
              <w:spacing w:before="0" w:after="0"/>
              <w:rPr>
                <w:szCs w:val="24"/>
              </w:rPr>
            </w:pPr>
            <w:r w:rsidRPr="00930237">
              <w:rPr>
                <w:szCs w:val="24"/>
              </w:rPr>
              <w:t>Starptautiskais mācīšanas un apguves pētījums (</w:t>
            </w:r>
            <w:r w:rsidRPr="00930237">
              <w:rPr>
                <w:i/>
                <w:szCs w:val="24"/>
              </w:rPr>
              <w:t>Teaching and Learning International Survey</w:t>
            </w:r>
            <w:r w:rsidRPr="00930237">
              <w:rPr>
                <w:szCs w:val="24"/>
              </w:rPr>
              <w:t>)</w:t>
            </w:r>
          </w:p>
        </w:tc>
      </w:tr>
      <w:tr w:rsidR="00AC212B" w:rsidRPr="00930237" w14:paraId="3761039D" w14:textId="77777777" w:rsidTr="00710DDA">
        <w:tc>
          <w:tcPr>
            <w:tcW w:w="2430" w:type="dxa"/>
            <w:shd w:val="clear" w:color="auto" w:fill="auto"/>
          </w:tcPr>
          <w:p w14:paraId="374E8738" w14:textId="77777777" w:rsidR="00AC212B" w:rsidRPr="00930237" w:rsidRDefault="00AC212B" w:rsidP="00710DDA">
            <w:pPr>
              <w:tabs>
                <w:tab w:val="left" w:pos="1418"/>
                <w:tab w:val="left" w:pos="1985"/>
              </w:tabs>
              <w:spacing w:before="0" w:after="0"/>
              <w:rPr>
                <w:szCs w:val="24"/>
              </w:rPr>
            </w:pPr>
            <w:r w:rsidRPr="00930237">
              <w:rPr>
                <w:szCs w:val="24"/>
              </w:rPr>
              <w:t>TAP2027</w:t>
            </w:r>
          </w:p>
        </w:tc>
        <w:tc>
          <w:tcPr>
            <w:tcW w:w="6029" w:type="dxa"/>
            <w:shd w:val="clear" w:color="auto" w:fill="auto"/>
          </w:tcPr>
          <w:p w14:paraId="5AA642E4" w14:textId="77777777" w:rsidR="00AC212B" w:rsidRPr="00930237" w:rsidRDefault="00AC212B" w:rsidP="00710DDA">
            <w:pPr>
              <w:tabs>
                <w:tab w:val="left" w:pos="1418"/>
                <w:tab w:val="left" w:pos="1985"/>
              </w:tabs>
              <w:spacing w:before="0" w:after="0"/>
              <w:rPr>
                <w:szCs w:val="24"/>
              </w:rPr>
            </w:pPr>
            <w:r w:rsidRPr="00930237">
              <w:rPr>
                <w:szCs w:val="24"/>
              </w:rPr>
              <w:t>Transporta attīstības pamatnostādnes 2021.–2027.gadam</w:t>
            </w:r>
          </w:p>
        </w:tc>
      </w:tr>
      <w:tr w:rsidR="00AC212B" w:rsidRPr="00930237" w14:paraId="76A57A52" w14:textId="77777777" w:rsidTr="00710DDA">
        <w:tc>
          <w:tcPr>
            <w:tcW w:w="2430" w:type="dxa"/>
            <w:shd w:val="clear" w:color="auto" w:fill="auto"/>
          </w:tcPr>
          <w:p w14:paraId="1FD46F42" w14:textId="77777777" w:rsidR="00AC212B" w:rsidRPr="00930237" w:rsidRDefault="00AC212B" w:rsidP="00710DDA">
            <w:pPr>
              <w:tabs>
                <w:tab w:val="left" w:pos="1418"/>
                <w:tab w:val="left" w:pos="1985"/>
              </w:tabs>
              <w:spacing w:before="0" w:after="0"/>
              <w:rPr>
                <w:szCs w:val="24"/>
              </w:rPr>
            </w:pPr>
            <w:r w:rsidRPr="00930237">
              <w:rPr>
                <w:szCs w:val="24"/>
              </w:rPr>
              <w:t>TEN-T</w:t>
            </w:r>
          </w:p>
        </w:tc>
        <w:tc>
          <w:tcPr>
            <w:tcW w:w="6029" w:type="dxa"/>
            <w:shd w:val="clear" w:color="auto" w:fill="auto"/>
          </w:tcPr>
          <w:p w14:paraId="33BD0CEC" w14:textId="77777777" w:rsidR="00AC212B" w:rsidRPr="00930237" w:rsidRDefault="00AC212B" w:rsidP="00710DDA">
            <w:pPr>
              <w:tabs>
                <w:tab w:val="left" w:pos="1418"/>
                <w:tab w:val="left" w:pos="1985"/>
              </w:tabs>
              <w:spacing w:before="0" w:after="0"/>
              <w:rPr>
                <w:szCs w:val="24"/>
              </w:rPr>
            </w:pPr>
            <w:r w:rsidRPr="00930237">
              <w:rPr>
                <w:szCs w:val="24"/>
              </w:rPr>
              <w:t>Eiropas transporta tīkls (</w:t>
            </w:r>
            <w:r w:rsidRPr="00930237">
              <w:rPr>
                <w:i/>
                <w:szCs w:val="24"/>
              </w:rPr>
              <w:t>Trans-European Transport Network</w:t>
            </w:r>
            <w:r w:rsidRPr="00930237">
              <w:rPr>
                <w:szCs w:val="24"/>
              </w:rPr>
              <w:t>)</w:t>
            </w:r>
          </w:p>
        </w:tc>
      </w:tr>
      <w:tr w:rsidR="00AC212B" w:rsidRPr="00930237" w14:paraId="316A4103" w14:textId="77777777" w:rsidTr="00710DDA">
        <w:tc>
          <w:tcPr>
            <w:tcW w:w="2430" w:type="dxa"/>
            <w:shd w:val="clear" w:color="auto" w:fill="auto"/>
          </w:tcPr>
          <w:p w14:paraId="45528BA8" w14:textId="77777777" w:rsidR="00AC212B" w:rsidRPr="00930237" w:rsidRDefault="00AC212B" w:rsidP="00710DDA">
            <w:pPr>
              <w:tabs>
                <w:tab w:val="left" w:pos="1418"/>
                <w:tab w:val="left" w:pos="1985"/>
              </w:tabs>
              <w:spacing w:before="0" w:after="0"/>
              <w:rPr>
                <w:szCs w:val="24"/>
              </w:rPr>
            </w:pPr>
            <w:r w:rsidRPr="00930237">
              <w:rPr>
                <w:szCs w:val="24"/>
              </w:rPr>
              <w:t>TM</w:t>
            </w:r>
          </w:p>
        </w:tc>
        <w:tc>
          <w:tcPr>
            <w:tcW w:w="6029" w:type="dxa"/>
            <w:shd w:val="clear" w:color="auto" w:fill="auto"/>
          </w:tcPr>
          <w:p w14:paraId="0AC48D38" w14:textId="77777777" w:rsidR="00AC212B" w:rsidRPr="00930237" w:rsidRDefault="00AC212B" w:rsidP="00710DDA">
            <w:pPr>
              <w:tabs>
                <w:tab w:val="left" w:pos="1418"/>
                <w:tab w:val="left" w:pos="1985"/>
              </w:tabs>
              <w:spacing w:before="0" w:after="0"/>
              <w:rPr>
                <w:szCs w:val="24"/>
              </w:rPr>
            </w:pPr>
            <w:r w:rsidRPr="00930237">
              <w:rPr>
                <w:szCs w:val="24"/>
              </w:rPr>
              <w:t>Tieslietu ministrija</w:t>
            </w:r>
          </w:p>
        </w:tc>
      </w:tr>
      <w:tr w:rsidR="00AC212B" w:rsidRPr="00930237" w14:paraId="1994C4EC" w14:textId="77777777" w:rsidTr="00710DDA">
        <w:tc>
          <w:tcPr>
            <w:tcW w:w="2430" w:type="dxa"/>
            <w:shd w:val="clear" w:color="auto" w:fill="auto"/>
          </w:tcPr>
          <w:p w14:paraId="544CD53F" w14:textId="77777777" w:rsidR="00AC212B" w:rsidRPr="00930237" w:rsidRDefault="00AC212B" w:rsidP="00710DDA">
            <w:pPr>
              <w:tabs>
                <w:tab w:val="left" w:pos="1418"/>
                <w:tab w:val="left" w:pos="1985"/>
              </w:tabs>
              <w:spacing w:before="0" w:after="0"/>
              <w:rPr>
                <w:szCs w:val="24"/>
              </w:rPr>
            </w:pPr>
            <w:r w:rsidRPr="00930237">
              <w:rPr>
                <w:szCs w:val="24"/>
              </w:rPr>
              <w:t>TPF</w:t>
            </w:r>
          </w:p>
        </w:tc>
        <w:tc>
          <w:tcPr>
            <w:tcW w:w="6029" w:type="dxa"/>
            <w:shd w:val="clear" w:color="auto" w:fill="auto"/>
          </w:tcPr>
          <w:p w14:paraId="229DC4D4" w14:textId="77777777" w:rsidR="00AC212B" w:rsidRPr="00930237" w:rsidRDefault="00AC212B" w:rsidP="00710DDA">
            <w:pPr>
              <w:tabs>
                <w:tab w:val="left" w:pos="1418"/>
                <w:tab w:val="left" w:pos="1985"/>
              </w:tabs>
              <w:spacing w:before="0" w:after="0"/>
              <w:rPr>
                <w:szCs w:val="24"/>
              </w:rPr>
            </w:pPr>
            <w:r w:rsidRPr="00930237">
              <w:rPr>
                <w:szCs w:val="24"/>
              </w:rPr>
              <w:t>Taisnīgās pārkārtošanās fonds</w:t>
            </w:r>
          </w:p>
        </w:tc>
      </w:tr>
      <w:tr w:rsidR="00982040" w:rsidRPr="00930237" w14:paraId="40CF5079" w14:textId="77777777" w:rsidTr="00710DDA">
        <w:tc>
          <w:tcPr>
            <w:tcW w:w="2430" w:type="dxa"/>
            <w:shd w:val="clear" w:color="auto" w:fill="auto"/>
          </w:tcPr>
          <w:p w14:paraId="59C49F49" w14:textId="4EA9363F" w:rsidR="00982040" w:rsidRPr="00930237" w:rsidRDefault="00982040" w:rsidP="00710DDA">
            <w:pPr>
              <w:tabs>
                <w:tab w:val="left" w:pos="1418"/>
                <w:tab w:val="left" w:pos="1985"/>
              </w:tabs>
              <w:spacing w:before="0" w:after="0"/>
              <w:rPr>
                <w:szCs w:val="24"/>
              </w:rPr>
            </w:pPr>
            <w:r>
              <w:rPr>
                <w:szCs w:val="24"/>
              </w:rPr>
              <w:t>TPTP</w:t>
            </w:r>
          </w:p>
        </w:tc>
        <w:tc>
          <w:tcPr>
            <w:tcW w:w="6029" w:type="dxa"/>
            <w:shd w:val="clear" w:color="auto" w:fill="auto"/>
          </w:tcPr>
          <w:p w14:paraId="671F8F74" w14:textId="304723AB" w:rsidR="00982040" w:rsidRPr="00930237" w:rsidRDefault="00982040" w:rsidP="00710DDA">
            <w:pPr>
              <w:tabs>
                <w:tab w:val="left" w:pos="1418"/>
                <w:tab w:val="left" w:pos="1985"/>
              </w:tabs>
              <w:spacing w:before="0" w:after="0"/>
              <w:rPr>
                <w:szCs w:val="24"/>
              </w:rPr>
            </w:pPr>
            <w:r w:rsidRPr="00982040">
              <w:rPr>
                <w:szCs w:val="24"/>
              </w:rPr>
              <w:t>Taisnīgas pārkārtošanās teritoriālais plāns</w:t>
            </w:r>
          </w:p>
        </w:tc>
      </w:tr>
      <w:tr w:rsidR="00AC212B" w:rsidRPr="00930237" w14:paraId="43DF2C3D" w14:textId="77777777" w:rsidTr="00710DDA">
        <w:tc>
          <w:tcPr>
            <w:tcW w:w="2430" w:type="dxa"/>
            <w:shd w:val="clear" w:color="auto" w:fill="auto"/>
          </w:tcPr>
          <w:p w14:paraId="7B534548" w14:textId="77777777" w:rsidR="00AC212B" w:rsidRPr="00930237" w:rsidRDefault="00AC212B" w:rsidP="00710DDA">
            <w:pPr>
              <w:tabs>
                <w:tab w:val="left" w:pos="1418"/>
                <w:tab w:val="left" w:pos="1985"/>
              </w:tabs>
              <w:spacing w:before="0" w:after="0"/>
              <w:rPr>
                <w:szCs w:val="24"/>
              </w:rPr>
            </w:pPr>
            <w:r w:rsidRPr="00930237">
              <w:rPr>
                <w:szCs w:val="24"/>
              </w:rPr>
              <w:t>TUA</w:t>
            </w:r>
          </w:p>
        </w:tc>
        <w:tc>
          <w:tcPr>
            <w:tcW w:w="6029" w:type="dxa"/>
            <w:shd w:val="clear" w:color="auto" w:fill="auto"/>
          </w:tcPr>
          <w:p w14:paraId="4495DA29" w14:textId="77777777" w:rsidR="00AC212B" w:rsidRPr="00930237" w:rsidRDefault="00AC212B" w:rsidP="00710DDA">
            <w:pPr>
              <w:tabs>
                <w:tab w:val="left" w:pos="1418"/>
                <w:tab w:val="left" w:pos="1985"/>
              </w:tabs>
              <w:spacing w:before="0" w:after="0"/>
              <w:rPr>
                <w:szCs w:val="24"/>
              </w:rPr>
            </w:pPr>
            <w:r w:rsidRPr="00930237">
              <w:rPr>
                <w:szCs w:val="24"/>
              </w:rPr>
              <w:t>Termiņuzturēšanās atļaujas</w:t>
            </w:r>
          </w:p>
        </w:tc>
      </w:tr>
      <w:tr w:rsidR="00AC212B" w:rsidRPr="00930237" w14:paraId="3CAD431B" w14:textId="77777777" w:rsidTr="00710DDA">
        <w:tc>
          <w:tcPr>
            <w:tcW w:w="2430" w:type="dxa"/>
            <w:shd w:val="clear" w:color="auto" w:fill="auto"/>
          </w:tcPr>
          <w:p w14:paraId="63B0F5BA" w14:textId="77777777" w:rsidR="00AC212B" w:rsidRPr="00930237" w:rsidRDefault="00AC212B" w:rsidP="00710DDA">
            <w:pPr>
              <w:tabs>
                <w:tab w:val="left" w:pos="1418"/>
                <w:tab w:val="left" w:pos="1985"/>
              </w:tabs>
              <w:spacing w:before="0" w:after="0"/>
              <w:rPr>
                <w:szCs w:val="24"/>
              </w:rPr>
            </w:pPr>
            <w:r w:rsidRPr="00930237">
              <w:rPr>
                <w:szCs w:val="24"/>
              </w:rPr>
              <w:t>UK</w:t>
            </w:r>
          </w:p>
        </w:tc>
        <w:tc>
          <w:tcPr>
            <w:tcW w:w="6029" w:type="dxa"/>
            <w:shd w:val="clear" w:color="auto" w:fill="auto"/>
          </w:tcPr>
          <w:p w14:paraId="16CFCB0C" w14:textId="77777777" w:rsidR="00AC212B" w:rsidRPr="00930237" w:rsidRDefault="00AC212B" w:rsidP="00710DDA">
            <w:pPr>
              <w:tabs>
                <w:tab w:val="left" w:pos="1418"/>
                <w:tab w:val="left" w:pos="1985"/>
              </w:tabs>
              <w:spacing w:before="0" w:after="0"/>
              <w:rPr>
                <w:szCs w:val="24"/>
              </w:rPr>
            </w:pPr>
            <w:r w:rsidRPr="00930237">
              <w:rPr>
                <w:szCs w:val="24"/>
              </w:rPr>
              <w:t>KP fondu uzraudzības komiteja</w:t>
            </w:r>
          </w:p>
        </w:tc>
      </w:tr>
      <w:tr w:rsidR="00AC212B" w:rsidRPr="00930237" w14:paraId="5EE21DB5" w14:textId="77777777" w:rsidTr="00710DDA">
        <w:tc>
          <w:tcPr>
            <w:tcW w:w="2430" w:type="dxa"/>
            <w:shd w:val="clear" w:color="auto" w:fill="auto"/>
          </w:tcPr>
          <w:p w14:paraId="2D9CA985" w14:textId="77777777" w:rsidR="00AC212B" w:rsidRPr="00930237" w:rsidRDefault="00AC212B" w:rsidP="00710DDA">
            <w:pPr>
              <w:tabs>
                <w:tab w:val="left" w:pos="1418"/>
                <w:tab w:val="left" w:pos="1985"/>
              </w:tabs>
              <w:spacing w:before="0" w:after="0"/>
              <w:rPr>
                <w:szCs w:val="24"/>
              </w:rPr>
            </w:pPr>
            <w:r w:rsidRPr="00930237">
              <w:rPr>
                <w:szCs w:val="24"/>
              </w:rPr>
              <w:t>VAS</w:t>
            </w:r>
          </w:p>
        </w:tc>
        <w:tc>
          <w:tcPr>
            <w:tcW w:w="6029" w:type="dxa"/>
            <w:shd w:val="clear" w:color="auto" w:fill="auto"/>
          </w:tcPr>
          <w:p w14:paraId="6E200EBB" w14:textId="77777777" w:rsidR="00AC212B" w:rsidRPr="00930237" w:rsidRDefault="00AC212B" w:rsidP="00710DDA">
            <w:pPr>
              <w:tabs>
                <w:tab w:val="left" w:pos="1418"/>
                <w:tab w:val="left" w:pos="1985"/>
              </w:tabs>
              <w:spacing w:before="0" w:after="0"/>
              <w:rPr>
                <w:szCs w:val="24"/>
              </w:rPr>
            </w:pPr>
            <w:r w:rsidRPr="00930237">
              <w:rPr>
                <w:szCs w:val="24"/>
              </w:rPr>
              <w:t>Valsts akciju sabiedrība</w:t>
            </w:r>
          </w:p>
        </w:tc>
      </w:tr>
      <w:tr w:rsidR="00AC212B" w:rsidRPr="00930237" w14:paraId="70AEB48A" w14:textId="77777777" w:rsidTr="00710DDA">
        <w:tc>
          <w:tcPr>
            <w:tcW w:w="2430" w:type="dxa"/>
            <w:shd w:val="clear" w:color="auto" w:fill="auto"/>
          </w:tcPr>
          <w:p w14:paraId="239A99AC" w14:textId="77777777" w:rsidR="00AC212B" w:rsidRPr="00930237" w:rsidRDefault="00AC212B" w:rsidP="00710DDA">
            <w:pPr>
              <w:tabs>
                <w:tab w:val="left" w:pos="1418"/>
                <w:tab w:val="left" w:pos="1985"/>
              </w:tabs>
              <w:spacing w:before="0" w:after="0"/>
              <w:rPr>
                <w:szCs w:val="24"/>
              </w:rPr>
            </w:pPr>
            <w:r w:rsidRPr="00930237">
              <w:rPr>
                <w:szCs w:val="24"/>
              </w:rPr>
              <w:t>VARAM</w:t>
            </w:r>
          </w:p>
        </w:tc>
        <w:tc>
          <w:tcPr>
            <w:tcW w:w="6029" w:type="dxa"/>
            <w:shd w:val="clear" w:color="auto" w:fill="auto"/>
          </w:tcPr>
          <w:p w14:paraId="7D062B0E" w14:textId="77777777" w:rsidR="00AC212B" w:rsidRPr="00930237" w:rsidRDefault="00AC212B" w:rsidP="00710DDA">
            <w:pPr>
              <w:tabs>
                <w:tab w:val="left" w:pos="1418"/>
                <w:tab w:val="left" w:pos="1985"/>
              </w:tabs>
              <w:spacing w:before="0" w:after="0"/>
              <w:rPr>
                <w:szCs w:val="24"/>
              </w:rPr>
            </w:pPr>
            <w:r w:rsidRPr="00930237">
              <w:rPr>
                <w:szCs w:val="24"/>
              </w:rPr>
              <w:t>Vides aizsardzības un reģionālās attīstības ministrija</w:t>
            </w:r>
          </w:p>
        </w:tc>
      </w:tr>
      <w:tr w:rsidR="00AC212B" w:rsidRPr="00930237" w14:paraId="2FF044BF" w14:textId="77777777" w:rsidTr="00710DDA">
        <w:tc>
          <w:tcPr>
            <w:tcW w:w="2430" w:type="dxa"/>
            <w:shd w:val="clear" w:color="auto" w:fill="auto"/>
          </w:tcPr>
          <w:p w14:paraId="79510718" w14:textId="77777777" w:rsidR="00AC212B" w:rsidRPr="00930237" w:rsidRDefault="00AC212B" w:rsidP="00710DDA">
            <w:pPr>
              <w:tabs>
                <w:tab w:val="left" w:pos="1418"/>
                <w:tab w:val="left" w:pos="1985"/>
              </w:tabs>
              <w:spacing w:before="0" w:after="0"/>
              <w:rPr>
                <w:szCs w:val="24"/>
              </w:rPr>
            </w:pPr>
            <w:r w:rsidRPr="00930237">
              <w:rPr>
                <w:szCs w:val="24"/>
              </w:rPr>
              <w:t>VID</w:t>
            </w:r>
          </w:p>
        </w:tc>
        <w:tc>
          <w:tcPr>
            <w:tcW w:w="6029" w:type="dxa"/>
            <w:shd w:val="clear" w:color="auto" w:fill="auto"/>
          </w:tcPr>
          <w:p w14:paraId="348A1264" w14:textId="77777777" w:rsidR="00AC212B" w:rsidRPr="00930237" w:rsidRDefault="00AC212B" w:rsidP="00710DDA">
            <w:pPr>
              <w:tabs>
                <w:tab w:val="left" w:pos="1418"/>
                <w:tab w:val="left" w:pos="1985"/>
              </w:tabs>
              <w:spacing w:before="0" w:after="0"/>
              <w:rPr>
                <w:szCs w:val="24"/>
              </w:rPr>
            </w:pPr>
            <w:r w:rsidRPr="00930237">
              <w:rPr>
                <w:szCs w:val="24"/>
              </w:rPr>
              <w:t>Valsts ieņēmumu dienests</w:t>
            </w:r>
          </w:p>
        </w:tc>
      </w:tr>
      <w:tr w:rsidR="00AC212B" w:rsidRPr="00930237" w14:paraId="21570A3B" w14:textId="77777777" w:rsidTr="00710DDA">
        <w:tc>
          <w:tcPr>
            <w:tcW w:w="2430" w:type="dxa"/>
            <w:shd w:val="clear" w:color="auto" w:fill="auto"/>
          </w:tcPr>
          <w:p w14:paraId="2F8A12A1" w14:textId="77777777" w:rsidR="00AC212B" w:rsidRPr="00930237" w:rsidRDefault="00AC212B" w:rsidP="00710DDA">
            <w:pPr>
              <w:tabs>
                <w:tab w:val="left" w:pos="1418"/>
                <w:tab w:val="left" w:pos="1985"/>
              </w:tabs>
              <w:spacing w:before="0" w:after="0"/>
              <w:rPr>
                <w:szCs w:val="24"/>
              </w:rPr>
            </w:pPr>
            <w:r w:rsidRPr="00930237">
              <w:rPr>
                <w:szCs w:val="24"/>
              </w:rPr>
              <w:t>VDI</w:t>
            </w:r>
          </w:p>
        </w:tc>
        <w:tc>
          <w:tcPr>
            <w:tcW w:w="6029" w:type="dxa"/>
            <w:shd w:val="clear" w:color="auto" w:fill="auto"/>
          </w:tcPr>
          <w:p w14:paraId="5EF969A7" w14:textId="77777777" w:rsidR="00AC212B" w:rsidRPr="00930237" w:rsidRDefault="00AC212B" w:rsidP="00710DDA">
            <w:pPr>
              <w:tabs>
                <w:tab w:val="left" w:pos="1418"/>
                <w:tab w:val="left" w:pos="1985"/>
              </w:tabs>
              <w:spacing w:before="0" w:after="0"/>
              <w:rPr>
                <w:szCs w:val="24"/>
              </w:rPr>
            </w:pPr>
            <w:r w:rsidRPr="00930237">
              <w:rPr>
                <w:szCs w:val="24"/>
              </w:rPr>
              <w:t>Valsts darba inspekcija</w:t>
            </w:r>
          </w:p>
        </w:tc>
      </w:tr>
      <w:tr w:rsidR="00AC212B" w:rsidRPr="00930237" w14:paraId="6B1BA3E9" w14:textId="77777777" w:rsidTr="00710DDA">
        <w:tc>
          <w:tcPr>
            <w:tcW w:w="2430" w:type="dxa"/>
            <w:shd w:val="clear" w:color="auto" w:fill="auto"/>
          </w:tcPr>
          <w:p w14:paraId="233035C1" w14:textId="77777777" w:rsidR="00AC212B" w:rsidRPr="00930237" w:rsidRDefault="00AC212B" w:rsidP="00710DDA">
            <w:pPr>
              <w:tabs>
                <w:tab w:val="left" w:pos="1418"/>
                <w:tab w:val="left" w:pos="1985"/>
              </w:tabs>
              <w:spacing w:before="0" w:after="0"/>
              <w:rPr>
                <w:szCs w:val="24"/>
              </w:rPr>
            </w:pPr>
            <w:r w:rsidRPr="00930237">
              <w:rPr>
                <w:szCs w:val="24"/>
              </w:rPr>
              <w:t>Vietējās nodarbinātības iniciatīvas</w:t>
            </w:r>
          </w:p>
        </w:tc>
        <w:tc>
          <w:tcPr>
            <w:tcW w:w="6029" w:type="dxa"/>
            <w:shd w:val="clear" w:color="auto" w:fill="auto"/>
          </w:tcPr>
          <w:p w14:paraId="0B8AE90F" w14:textId="77777777" w:rsidR="00AC212B" w:rsidRPr="00930237" w:rsidRDefault="00AC212B" w:rsidP="00710DDA">
            <w:pPr>
              <w:autoSpaceDE w:val="0"/>
              <w:autoSpaceDN w:val="0"/>
              <w:adjustRightInd w:val="0"/>
              <w:spacing w:before="0" w:after="0"/>
              <w:rPr>
                <w:szCs w:val="24"/>
              </w:rPr>
            </w:pPr>
            <w:r w:rsidRPr="00930237">
              <w:rPr>
                <w:szCs w:val="24"/>
              </w:rPr>
              <w:t>Vietējo struktūru iesaistīšana ar nodarbinātību saistītu rīcībpolitiku izstrādē, vadīšanā un ieviešanā</w:t>
            </w:r>
            <w:r w:rsidRPr="00930237">
              <w:rPr>
                <w:rStyle w:val="FootnoteReference"/>
                <w:szCs w:val="24"/>
              </w:rPr>
              <w:footnoteReference w:id="2"/>
            </w:r>
          </w:p>
        </w:tc>
      </w:tr>
      <w:tr w:rsidR="00AC212B" w:rsidRPr="00930237" w14:paraId="60773B69" w14:textId="77777777" w:rsidTr="00710DDA">
        <w:tc>
          <w:tcPr>
            <w:tcW w:w="2430" w:type="dxa"/>
            <w:shd w:val="clear" w:color="auto" w:fill="auto"/>
          </w:tcPr>
          <w:p w14:paraId="1E6C1C14" w14:textId="77777777" w:rsidR="00AC212B" w:rsidRPr="00930237" w:rsidRDefault="00AC212B" w:rsidP="00710DDA">
            <w:pPr>
              <w:tabs>
                <w:tab w:val="left" w:pos="1418"/>
                <w:tab w:val="left" w:pos="1985"/>
              </w:tabs>
              <w:spacing w:before="0" w:after="0"/>
              <w:rPr>
                <w:szCs w:val="24"/>
              </w:rPr>
            </w:pPr>
            <w:r w:rsidRPr="00930237">
              <w:rPr>
                <w:szCs w:val="24"/>
              </w:rPr>
              <w:t>VM</w:t>
            </w:r>
          </w:p>
        </w:tc>
        <w:tc>
          <w:tcPr>
            <w:tcW w:w="6029" w:type="dxa"/>
            <w:shd w:val="clear" w:color="auto" w:fill="auto"/>
          </w:tcPr>
          <w:p w14:paraId="347DFD9D" w14:textId="77777777" w:rsidR="00AC212B" w:rsidRPr="00930237" w:rsidRDefault="00AC212B" w:rsidP="00710DDA">
            <w:pPr>
              <w:tabs>
                <w:tab w:val="left" w:pos="1418"/>
                <w:tab w:val="left" w:pos="1985"/>
              </w:tabs>
              <w:spacing w:before="0" w:after="0"/>
              <w:rPr>
                <w:szCs w:val="24"/>
              </w:rPr>
            </w:pPr>
            <w:r w:rsidRPr="00930237">
              <w:rPr>
                <w:szCs w:val="24"/>
              </w:rPr>
              <w:t>Veselības ministrija</w:t>
            </w:r>
          </w:p>
        </w:tc>
      </w:tr>
      <w:tr w:rsidR="00AC212B" w:rsidRPr="00930237" w14:paraId="515035D7" w14:textId="77777777" w:rsidTr="00710DDA">
        <w:tc>
          <w:tcPr>
            <w:tcW w:w="2430" w:type="dxa"/>
            <w:shd w:val="clear" w:color="auto" w:fill="auto"/>
          </w:tcPr>
          <w:p w14:paraId="592F2101" w14:textId="77777777" w:rsidR="00AC212B" w:rsidRPr="00930237" w:rsidRDefault="00AC212B" w:rsidP="00710DDA">
            <w:pPr>
              <w:tabs>
                <w:tab w:val="left" w:pos="1418"/>
                <w:tab w:val="left" w:pos="1985"/>
              </w:tabs>
              <w:spacing w:before="0" w:after="0"/>
              <w:rPr>
                <w:szCs w:val="24"/>
              </w:rPr>
            </w:pPr>
            <w:r w:rsidRPr="00930237">
              <w:rPr>
                <w:szCs w:val="24"/>
              </w:rPr>
              <w:t>VK</w:t>
            </w:r>
          </w:p>
        </w:tc>
        <w:tc>
          <w:tcPr>
            <w:tcW w:w="6029" w:type="dxa"/>
            <w:shd w:val="clear" w:color="auto" w:fill="auto"/>
          </w:tcPr>
          <w:p w14:paraId="001218DB" w14:textId="77777777" w:rsidR="00AC212B" w:rsidRPr="00930237" w:rsidRDefault="00AC212B" w:rsidP="00710DDA">
            <w:pPr>
              <w:tabs>
                <w:tab w:val="left" w:pos="1418"/>
                <w:tab w:val="left" w:pos="1985"/>
              </w:tabs>
              <w:spacing w:before="0" w:after="0"/>
              <w:rPr>
                <w:szCs w:val="24"/>
              </w:rPr>
            </w:pPr>
            <w:r w:rsidRPr="00930237">
              <w:rPr>
                <w:szCs w:val="24"/>
              </w:rPr>
              <w:t>Valsts kanceleja</w:t>
            </w:r>
          </w:p>
        </w:tc>
      </w:tr>
      <w:tr w:rsidR="00BA7B3B" w:rsidRPr="00930237" w14:paraId="20CCDE71" w14:textId="77777777" w:rsidTr="00710DDA">
        <w:tc>
          <w:tcPr>
            <w:tcW w:w="2430" w:type="dxa"/>
            <w:shd w:val="clear" w:color="auto" w:fill="auto"/>
          </w:tcPr>
          <w:p w14:paraId="0E20B092" w14:textId="3BA63CA5" w:rsidR="00BA7B3B" w:rsidRPr="00930237" w:rsidRDefault="00BA7B3B" w:rsidP="00710DDA">
            <w:pPr>
              <w:tabs>
                <w:tab w:val="left" w:pos="1418"/>
                <w:tab w:val="left" w:pos="1985"/>
              </w:tabs>
              <w:spacing w:before="0" w:after="0"/>
              <w:rPr>
                <w:szCs w:val="24"/>
              </w:rPr>
            </w:pPr>
            <w:r>
              <w:rPr>
                <w:szCs w:val="24"/>
              </w:rPr>
              <w:t>VPD</w:t>
            </w:r>
          </w:p>
        </w:tc>
        <w:tc>
          <w:tcPr>
            <w:tcW w:w="6029" w:type="dxa"/>
            <w:shd w:val="clear" w:color="auto" w:fill="auto"/>
          </w:tcPr>
          <w:p w14:paraId="17227AC7" w14:textId="4BEB4374" w:rsidR="00BA7B3B" w:rsidRPr="00930237" w:rsidRDefault="00BA7B3B" w:rsidP="00710DDA">
            <w:pPr>
              <w:tabs>
                <w:tab w:val="left" w:pos="1418"/>
                <w:tab w:val="left" w:pos="1985"/>
              </w:tabs>
              <w:spacing w:before="0" w:after="0"/>
              <w:rPr>
                <w:szCs w:val="24"/>
              </w:rPr>
            </w:pPr>
            <w:r w:rsidRPr="00BA7B3B">
              <w:rPr>
                <w:szCs w:val="24"/>
              </w:rPr>
              <w:t>Valsts probācijas dienests</w:t>
            </w:r>
          </w:p>
        </w:tc>
      </w:tr>
      <w:tr w:rsidR="00BA7B3B" w:rsidRPr="00930237" w14:paraId="7CDF1BFE" w14:textId="77777777" w:rsidTr="00710DDA">
        <w:tc>
          <w:tcPr>
            <w:tcW w:w="2430" w:type="dxa"/>
            <w:shd w:val="clear" w:color="auto" w:fill="auto"/>
          </w:tcPr>
          <w:p w14:paraId="3B0581C8" w14:textId="2DC56244" w:rsidR="00BA7B3B" w:rsidRPr="00930237" w:rsidRDefault="00BA7B3B" w:rsidP="00710DDA">
            <w:pPr>
              <w:tabs>
                <w:tab w:val="left" w:pos="1418"/>
                <w:tab w:val="left" w:pos="1985"/>
              </w:tabs>
              <w:spacing w:before="0" w:after="0"/>
              <w:rPr>
                <w:szCs w:val="24"/>
              </w:rPr>
            </w:pPr>
            <w:r w:rsidRPr="00930237">
              <w:rPr>
                <w:szCs w:val="24"/>
              </w:rPr>
              <w:t>VZD</w:t>
            </w:r>
          </w:p>
        </w:tc>
        <w:tc>
          <w:tcPr>
            <w:tcW w:w="6029" w:type="dxa"/>
            <w:shd w:val="clear" w:color="auto" w:fill="auto"/>
          </w:tcPr>
          <w:p w14:paraId="5D50B93C" w14:textId="6BD85737" w:rsidR="00BA7B3B" w:rsidRPr="00930237" w:rsidRDefault="00BA7B3B" w:rsidP="00710DDA">
            <w:pPr>
              <w:tabs>
                <w:tab w:val="left" w:pos="1418"/>
                <w:tab w:val="left" w:pos="1985"/>
              </w:tabs>
              <w:spacing w:before="0" w:after="0"/>
              <w:rPr>
                <w:szCs w:val="24"/>
              </w:rPr>
            </w:pPr>
            <w:r w:rsidRPr="00930237">
              <w:rPr>
                <w:szCs w:val="24"/>
              </w:rPr>
              <w:t>Valsts zemes dienests</w:t>
            </w:r>
          </w:p>
        </w:tc>
      </w:tr>
      <w:tr w:rsidR="00AC212B" w:rsidRPr="00930237" w14:paraId="1C4589C7" w14:textId="77777777" w:rsidTr="00710DDA">
        <w:tc>
          <w:tcPr>
            <w:tcW w:w="2430" w:type="dxa"/>
            <w:shd w:val="clear" w:color="auto" w:fill="auto"/>
          </w:tcPr>
          <w:p w14:paraId="0D2E605D" w14:textId="77777777" w:rsidR="00AC212B" w:rsidRPr="00930237" w:rsidRDefault="00AC212B" w:rsidP="00710DDA">
            <w:pPr>
              <w:tabs>
                <w:tab w:val="left" w:pos="1418"/>
                <w:tab w:val="left" w:pos="1985"/>
              </w:tabs>
              <w:spacing w:before="0" w:after="0"/>
              <w:rPr>
                <w:szCs w:val="24"/>
              </w:rPr>
            </w:pPr>
            <w:r w:rsidRPr="00930237">
              <w:rPr>
                <w:szCs w:val="24"/>
              </w:rPr>
              <w:t>ZM</w:t>
            </w:r>
          </w:p>
        </w:tc>
        <w:tc>
          <w:tcPr>
            <w:tcW w:w="6029" w:type="dxa"/>
            <w:shd w:val="clear" w:color="auto" w:fill="auto"/>
          </w:tcPr>
          <w:p w14:paraId="47337613" w14:textId="77777777" w:rsidR="00AC212B" w:rsidRPr="00930237" w:rsidRDefault="00AC212B" w:rsidP="00710DDA">
            <w:pPr>
              <w:tabs>
                <w:tab w:val="left" w:pos="1418"/>
                <w:tab w:val="left" w:pos="1985"/>
              </w:tabs>
              <w:spacing w:before="0" w:after="0"/>
              <w:rPr>
                <w:szCs w:val="24"/>
              </w:rPr>
            </w:pPr>
            <w:r w:rsidRPr="00930237">
              <w:rPr>
                <w:szCs w:val="24"/>
              </w:rPr>
              <w:t>Zemkopības ministrija</w:t>
            </w:r>
          </w:p>
        </w:tc>
      </w:tr>
      <w:tr w:rsidR="00AC212B" w:rsidRPr="00930237" w14:paraId="3E7E5C74" w14:textId="77777777" w:rsidTr="00710DDA">
        <w:tc>
          <w:tcPr>
            <w:tcW w:w="2430" w:type="dxa"/>
            <w:shd w:val="clear" w:color="auto" w:fill="auto"/>
          </w:tcPr>
          <w:p w14:paraId="32C346B9" w14:textId="77777777" w:rsidR="00AC212B" w:rsidRPr="00930237" w:rsidRDefault="00AC212B" w:rsidP="00710DDA">
            <w:pPr>
              <w:tabs>
                <w:tab w:val="left" w:pos="1418"/>
                <w:tab w:val="left" w:pos="1985"/>
              </w:tabs>
              <w:spacing w:before="0" w:after="0"/>
              <w:rPr>
                <w:szCs w:val="24"/>
              </w:rPr>
            </w:pPr>
            <w:r w:rsidRPr="00930237">
              <w:rPr>
                <w:szCs w:val="24"/>
              </w:rPr>
              <w:t>ZTAI</w:t>
            </w:r>
          </w:p>
        </w:tc>
        <w:tc>
          <w:tcPr>
            <w:tcW w:w="6029" w:type="dxa"/>
            <w:shd w:val="clear" w:color="auto" w:fill="auto"/>
          </w:tcPr>
          <w:p w14:paraId="087D003A" w14:textId="77777777" w:rsidR="00AC212B" w:rsidRPr="00930237" w:rsidRDefault="00AC212B" w:rsidP="00710DDA">
            <w:pPr>
              <w:tabs>
                <w:tab w:val="left" w:pos="1418"/>
                <w:tab w:val="left" w:pos="1985"/>
              </w:tabs>
              <w:spacing w:before="0" w:after="0"/>
              <w:rPr>
                <w:szCs w:val="24"/>
              </w:rPr>
            </w:pPr>
            <w:r w:rsidRPr="00930237">
              <w:rPr>
                <w:szCs w:val="24"/>
              </w:rPr>
              <w:t>Zinātnes, tehnoloģiju attīstības un inovācijas pamatnostādnes 2021.–2027.gadam</w:t>
            </w:r>
          </w:p>
        </w:tc>
      </w:tr>
      <w:tr w:rsidR="003313E3" w:rsidRPr="00930237" w14:paraId="04AB0596" w14:textId="77777777" w:rsidTr="00710DDA">
        <w:tc>
          <w:tcPr>
            <w:tcW w:w="2430" w:type="dxa"/>
            <w:shd w:val="clear" w:color="auto" w:fill="auto"/>
          </w:tcPr>
          <w:p w14:paraId="4A797CF5" w14:textId="55CC91FC" w:rsidR="003313E3" w:rsidRPr="00930237" w:rsidRDefault="003313E3" w:rsidP="00710DDA">
            <w:pPr>
              <w:tabs>
                <w:tab w:val="left" w:pos="1418"/>
                <w:tab w:val="left" w:pos="1985"/>
              </w:tabs>
              <w:spacing w:before="0" w:after="0"/>
              <w:rPr>
                <w:szCs w:val="24"/>
              </w:rPr>
            </w:pPr>
          </w:p>
        </w:tc>
        <w:tc>
          <w:tcPr>
            <w:tcW w:w="6029" w:type="dxa"/>
            <w:shd w:val="clear" w:color="auto" w:fill="auto"/>
          </w:tcPr>
          <w:p w14:paraId="31BB9760" w14:textId="2409619E" w:rsidR="003313E3" w:rsidRPr="00930237" w:rsidRDefault="003313E3" w:rsidP="00710DDA">
            <w:pPr>
              <w:tabs>
                <w:tab w:val="left" w:pos="1418"/>
                <w:tab w:val="left" w:pos="1985"/>
              </w:tabs>
              <w:spacing w:before="0" w:after="0"/>
              <w:rPr>
                <w:szCs w:val="24"/>
              </w:rPr>
            </w:pPr>
          </w:p>
        </w:tc>
      </w:tr>
    </w:tbl>
    <w:p w14:paraId="10ADAE80" w14:textId="77777777" w:rsidR="00AC212B" w:rsidRPr="00930237" w:rsidRDefault="00AC212B" w:rsidP="00AC212B">
      <w:pPr>
        <w:rPr>
          <w:color w:val="FF0000"/>
        </w:rPr>
      </w:pPr>
    </w:p>
    <w:p w14:paraId="720C2E9A" w14:textId="77777777" w:rsidR="00AC212B" w:rsidRPr="00930237" w:rsidRDefault="00AC212B" w:rsidP="00AC212B">
      <w:pPr>
        <w:spacing w:before="0" w:after="0"/>
        <w:jc w:val="left"/>
      </w:pPr>
      <w:r w:rsidRPr="00930237">
        <w:br w:type="page"/>
      </w:r>
    </w:p>
    <w:p w14:paraId="5864BC6F" w14:textId="77777777" w:rsidR="00AC212B" w:rsidRPr="00930237" w:rsidRDefault="00AC212B" w:rsidP="00AC212B">
      <w:pPr>
        <w:pStyle w:val="Heading2"/>
        <w:numPr>
          <w:ilvl w:val="0"/>
          <w:numId w:val="32"/>
        </w:numPr>
        <w:spacing w:after="0"/>
        <w:ind w:left="426"/>
        <w:rPr>
          <w:noProof/>
          <w:szCs w:val="24"/>
        </w:rPr>
      </w:pPr>
      <w:bookmarkStart w:id="5" w:name="_Toc69125399"/>
      <w:r w:rsidRPr="00930237">
        <w:rPr>
          <w:noProof/>
          <w:szCs w:val="24"/>
        </w:rPr>
        <w:t>Programmas stratēģija: galvenās problēmas un politikas risinājumi</w:t>
      </w:r>
      <w:bookmarkEnd w:id="5"/>
      <w:r w:rsidRPr="00930237">
        <w:rPr>
          <w:noProof/>
          <w:szCs w:val="24"/>
        </w:rPr>
        <w:t xml:space="preserve"> </w:t>
      </w:r>
    </w:p>
    <w:p w14:paraId="2B9DDD25" w14:textId="77777777" w:rsidR="00AC212B" w:rsidRPr="00930237" w:rsidRDefault="00AC212B" w:rsidP="00AC212B">
      <w:pPr>
        <w:spacing w:before="0" w:after="0"/>
        <w:rPr>
          <w:noProof/>
          <w:color w:val="FF0000"/>
          <w:sz w:val="20"/>
        </w:rPr>
      </w:pPr>
    </w:p>
    <w:p w14:paraId="6239A0B7" w14:textId="77777777" w:rsidR="00AC212B" w:rsidRPr="00930237" w:rsidRDefault="00AC212B" w:rsidP="009A0546">
      <w:pPr>
        <w:pStyle w:val="Heading3"/>
        <w:numPr>
          <w:ilvl w:val="1"/>
          <w:numId w:val="32"/>
        </w:numPr>
        <w:shd w:val="clear" w:color="auto" w:fill="FFF2CC" w:themeFill="accent4" w:themeFillTint="33"/>
        <w:spacing w:after="0"/>
        <w:ind w:hanging="682"/>
        <w:rPr>
          <w:b/>
          <w:i w:val="0"/>
        </w:rPr>
      </w:pPr>
      <w:bookmarkStart w:id="6" w:name="_Toc69125400"/>
      <w:r w:rsidRPr="00930237">
        <w:rPr>
          <w:b/>
          <w:i w:val="0"/>
        </w:rPr>
        <w:t>Ekonomiskās, sociālās un teritoriālās kohēzijas attīstība pēdējos gados</w:t>
      </w:r>
      <w:bookmarkEnd w:id="6"/>
    </w:p>
    <w:p w14:paraId="57D7893C" w14:textId="77777777"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sz w:val="24"/>
          <w:szCs w:val="24"/>
        </w:rPr>
        <w:t>Latvija ir pieredzējusi stabilu izaugsmi un konverģences procesu pēdējās desmitgades laikā neskatoties uz smago finanšu krīzi 2007.–2009.gadā un tās radītajām sekām. 2019.gadā Latvijas IKP uz vienu iedzīvotāju sasniedza 69% no ES vidējā pēc pirktspējas paritātes, iepretim 60% 2008.gadā</w:t>
      </w:r>
      <w:r w:rsidRPr="00930237">
        <w:rPr>
          <w:rStyle w:val="FootnoteReference"/>
          <w:rFonts w:ascii="Times New Roman" w:hAnsi="Times New Roman" w:cs="Times New Roman"/>
          <w:sz w:val="24"/>
          <w:szCs w:val="24"/>
        </w:rPr>
        <w:footnoteReference w:id="3"/>
      </w:r>
      <w:r w:rsidRPr="00930237">
        <w:rPr>
          <w:rFonts w:ascii="Times New Roman" w:hAnsi="Times New Roman" w:cs="Times New Roman"/>
          <w:sz w:val="24"/>
          <w:szCs w:val="24"/>
        </w:rPr>
        <w:t>. Tomēr pēdējos gados konverģences tempi mērot pēc pirktspējas paritātes ir samazinājušies salīdzinot ar citām jaunajām dalībvalstīm.</w:t>
      </w:r>
    </w:p>
    <w:p w14:paraId="02B8AD33" w14:textId="77777777"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sz w:val="24"/>
          <w:szCs w:val="24"/>
        </w:rPr>
        <w:t>Produktivitāte ir augusi no 43,4%  no ES vidējā 2014.gadā līdz 49.8% 2019.gadā, tomēr būtiski atpaliek no ES vidējā rādītāja. Šajā pašā laikā atalgojuma kāpums ir bijis krietni straujāks par produktivitātes pieaugumu. Neskatoties uz to Latvijas uzņēmumu eksporta daļa pasaules tirgos ir pieaugusi.</w:t>
      </w:r>
    </w:p>
    <w:p w14:paraId="01D92E4F" w14:textId="77777777"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sz w:val="24"/>
          <w:szCs w:val="24"/>
        </w:rPr>
        <w:t>Investīciju līmenis 2014.–2019.gada periodā nav būtiski audzis. Privātās investīcijas pēc krīzes atguvās ļoti lēni un pozitīvā dinamika atjaunojās tikai 2017.gadā un pēc tam saglabājas ļoti mērena, kas skaidrojams ar zemu kreditēšanas līmeni, kā arī politisko un ekonomisko nenoteiktības tirgos.</w:t>
      </w:r>
      <w:r w:rsidRPr="00930237">
        <w:rPr>
          <w:rStyle w:val="FootnoteReference"/>
          <w:rFonts w:ascii="Times New Roman" w:hAnsi="Times New Roman" w:cs="Times New Roman"/>
          <w:sz w:val="24"/>
          <w:szCs w:val="24"/>
        </w:rPr>
        <w:footnoteReference w:id="4"/>
      </w:r>
      <w:r w:rsidRPr="00930237">
        <w:rPr>
          <w:rFonts w:ascii="Times New Roman" w:hAnsi="Times New Roman" w:cs="Times New Roman"/>
          <w:sz w:val="24"/>
          <w:szCs w:val="24"/>
        </w:rPr>
        <w:t xml:space="preserve"> Pēdējo piecu gadu laikā investīciju pieaugums Latvijā ir bijis vājš un produktīvo aktīvu pieaugums ir bijis ievērojami mazāks nekā pārējās Baltijas valstīs. Bažas rada ilgstoši zemais investīciju līmenis pētniecībā un attīstībā, kas ir priekšnosacījums ilgtermiņā noturīgai izaugsmei.</w:t>
      </w:r>
    </w:p>
    <w:p w14:paraId="03D249B2" w14:textId="77777777"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sz w:val="24"/>
          <w:szCs w:val="24"/>
        </w:rPr>
        <w:t>Iedzīvotāju skaits turpināja samazināties pēdējā desmitgadē par vidēji 1% gadā, it īpaši darbspējīgā vecumā, kas skaidrojams ar emigrāciju uz citām ES valstīm, gan zemu dzimstības līmeni. Šī tendence rada spiedienu uz izaugsmes potenciālu, darba tirgu, kā arī spēju finansēt un uzturēt publisko infrastruktūru un pakalpojumus.</w:t>
      </w:r>
    </w:p>
    <w:p w14:paraId="3561F698" w14:textId="4FB711D5"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sz w:val="24"/>
          <w:szCs w:val="24"/>
        </w:rPr>
        <w:t xml:space="preserve">Ienākumu nevienlīdzība nav būtiski mainījusies un tā saglabājas kā viena no augstākajām ES.  Nabadzības riskam īpaši pakļauti </w:t>
      </w:r>
      <w:r w:rsidR="00601AA2" w:rsidRPr="00601AA2">
        <w:rPr>
          <w:rFonts w:ascii="Times New Roman" w:hAnsi="Times New Roman" w:cs="Times New Roman"/>
          <w:sz w:val="24"/>
          <w:szCs w:val="24"/>
        </w:rPr>
        <w:t>iedzīvotāji virs 65 gadu vecuma,</w:t>
      </w:r>
      <w:r w:rsidRPr="00930237">
        <w:rPr>
          <w:rFonts w:ascii="Times New Roman" w:hAnsi="Times New Roman" w:cs="Times New Roman"/>
          <w:sz w:val="24"/>
          <w:szCs w:val="24"/>
        </w:rPr>
        <w:t>,</w:t>
      </w:r>
      <w:r w:rsidR="005F6135">
        <w:rPr>
          <w:rFonts w:ascii="Times New Roman" w:hAnsi="Times New Roman" w:cs="Times New Roman"/>
          <w:sz w:val="24"/>
          <w:szCs w:val="24"/>
        </w:rPr>
        <w:t xml:space="preserve"> personas ar invaliditāti</w:t>
      </w:r>
      <w:r w:rsidRPr="00930237">
        <w:rPr>
          <w:rFonts w:ascii="Times New Roman" w:hAnsi="Times New Roman" w:cs="Times New Roman"/>
          <w:sz w:val="24"/>
          <w:szCs w:val="24"/>
        </w:rPr>
        <w:t xml:space="preserve">, ģimenes, kur bērnu/us audzina viens no vecākiem, </w:t>
      </w:r>
      <w:r w:rsidR="00601AA2">
        <w:rPr>
          <w:rFonts w:ascii="Times New Roman" w:hAnsi="Times New Roman" w:cs="Times New Roman"/>
          <w:sz w:val="24"/>
          <w:szCs w:val="24"/>
        </w:rPr>
        <w:t>bezdarbnieki, īpaši</w:t>
      </w:r>
      <w:r w:rsidRPr="00930237">
        <w:rPr>
          <w:rFonts w:ascii="Times New Roman" w:hAnsi="Times New Roman" w:cs="Times New Roman"/>
          <w:sz w:val="24"/>
          <w:szCs w:val="24"/>
        </w:rPr>
        <w:t xml:space="preserve"> ilgstošie bezdarbnieki</w:t>
      </w:r>
      <w:r w:rsidR="00601AA2">
        <w:rPr>
          <w:rFonts w:ascii="Times New Roman" w:hAnsi="Times New Roman" w:cs="Times New Roman"/>
          <w:sz w:val="24"/>
          <w:szCs w:val="24"/>
        </w:rPr>
        <w:t xml:space="preserve">, </w:t>
      </w:r>
      <w:r w:rsidR="00601AA2" w:rsidRPr="00601AA2">
        <w:rPr>
          <w:rFonts w:ascii="Times New Roman" w:hAnsi="Times New Roman" w:cs="Times New Roman"/>
          <w:sz w:val="24"/>
          <w:szCs w:val="24"/>
        </w:rPr>
        <w:t>bezpajumtnieki, kā arī iedzīvotāji ar zemu izglītības līmeni</w:t>
      </w:r>
      <w:r w:rsidRPr="00930237">
        <w:rPr>
          <w:rFonts w:ascii="Times New Roman" w:hAnsi="Times New Roman" w:cs="Times New Roman"/>
          <w:sz w:val="24"/>
          <w:szCs w:val="24"/>
        </w:rPr>
        <w:t>.</w:t>
      </w:r>
    </w:p>
    <w:p w14:paraId="0A3DFBA1" w14:textId="77777777"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sz w:val="24"/>
          <w:szCs w:val="24"/>
        </w:rPr>
        <w:t>Latvijā ir vienas no augstākajām reģionālās attīstības atšķirībām  starp OECD valstīm, lai gan pēdējo desmit gadu laikā visstraujākā izaugsme ir bijusi tieši reģionos ārpus Rīgas</w:t>
      </w:r>
      <w:r w:rsidRPr="00930237">
        <w:rPr>
          <w:rStyle w:val="FootnoteReference"/>
          <w:rFonts w:ascii="Times New Roman" w:hAnsi="Times New Roman" w:cs="Times New Roman"/>
          <w:sz w:val="24"/>
          <w:szCs w:val="24"/>
        </w:rPr>
        <w:footnoteReference w:id="5"/>
      </w:r>
      <w:r w:rsidRPr="00930237">
        <w:rPr>
          <w:rFonts w:ascii="Times New Roman" w:hAnsi="Times New Roman" w:cs="Times New Roman"/>
          <w:sz w:val="24"/>
          <w:szCs w:val="24"/>
        </w:rPr>
        <w:t xml:space="preserve">. Rīgas plānošanas reģionā IKP uz vienu iedzīvotāju 2016.gadā ir 17 213 </w:t>
      </w:r>
      <w:r w:rsidRPr="00930237">
        <w:rPr>
          <w:rFonts w:ascii="Times New Roman" w:hAnsi="Times New Roman" w:cs="Times New Roman"/>
          <w:i/>
          <w:sz w:val="24"/>
          <w:szCs w:val="24"/>
        </w:rPr>
        <w:t xml:space="preserve">euro </w:t>
      </w:r>
      <w:r w:rsidRPr="00930237">
        <w:rPr>
          <w:rFonts w:ascii="Times New Roman" w:hAnsi="Times New Roman" w:cs="Times New Roman"/>
          <w:sz w:val="24"/>
          <w:szCs w:val="24"/>
        </w:rPr>
        <w:t>(135% no vidējā IKP uz vienu iedzīvotāju valstī); Kurzemē 74%, Vidzemē 66%, Zemgalē 63%, bet Latgalē 51%.</w:t>
      </w:r>
      <w:r w:rsidRPr="00930237">
        <w:rPr>
          <w:rFonts w:ascii="Times New Roman" w:hAnsi="Times New Roman" w:cs="Times New Roman"/>
          <w:sz w:val="24"/>
          <w:szCs w:val="24"/>
          <w:vertAlign w:val="superscript"/>
        </w:rPr>
        <w:footnoteReference w:id="6"/>
      </w:r>
      <w:r w:rsidRPr="00930237">
        <w:rPr>
          <w:rFonts w:ascii="Times New Roman" w:hAnsi="Times New Roman" w:cs="Times New Roman"/>
          <w:sz w:val="24"/>
          <w:szCs w:val="24"/>
        </w:rPr>
        <w:t xml:space="preserve"> </w:t>
      </w:r>
    </w:p>
    <w:p w14:paraId="06EB0417" w14:textId="7C42CE2D"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sz w:val="24"/>
          <w:szCs w:val="24"/>
        </w:rPr>
        <w:t>Šīs reģionālās atšķirības tālāk novērojamas arī attiecībā uz uzņēmējdarbību, nodarbinātību, ienākumu līmen</w:t>
      </w:r>
      <w:r w:rsidR="00982040">
        <w:rPr>
          <w:rFonts w:ascii="Times New Roman" w:hAnsi="Times New Roman" w:cs="Times New Roman"/>
          <w:sz w:val="24"/>
          <w:szCs w:val="24"/>
        </w:rPr>
        <w:t>i</w:t>
      </w:r>
      <w:r w:rsidRPr="00930237">
        <w:rPr>
          <w:rFonts w:ascii="Times New Roman" w:hAnsi="Times New Roman" w:cs="Times New Roman"/>
          <w:sz w:val="24"/>
          <w:szCs w:val="24"/>
        </w:rPr>
        <w:t xml:space="preserve">, kā arī piekļuvi veselības aprūpei, sociāliem pakalpojumiem un kvalitatīvai izglītībai. </w:t>
      </w:r>
    </w:p>
    <w:p w14:paraId="0108AD77" w14:textId="206EEC6B"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Ekonomiskā krīze, ko izraisīja Covid-19 pandēmijas ierobežojumi, atstās būtisku ietekmi uz Latvijas ekonomiku un sabiedrību. Šobrīd ietekmi ir grūti prognozēt, jo nav skaidrības  par pandēmijas attīstību un tālāko potenciālo ietekmi uz pasaules, ES un Latvijas ekonomikām. Līdz šim Latvija ir sekmīgi ierobežojusi Covid-19 izplatību, kas nozīmē mazāk ierobežojumus ekonomiskai aktivitātei. Pozitīvi vērtējams, ka salīdzinot ar iepriekšējo krīzi Latvijai ir pieejami resursi publisko investīciju veikšanai, lai veicinātu ekonomikas atlabšanu un sabiedrības pielāgošanos jaunajai situācijai. Krīze radīs pārkārtošanos starptautiskajos tirgos un iekšējās ekonomikas struktūrās, kas var sniegt arī iespējas Latvijas ekonomikas attīstībai. Lai šīs iespējas izmantotu, būs nepieciešamas ātri reaģēt spējīgs politikas ietvars un atbalsta pasākumu klāsts, t</w:t>
      </w:r>
      <w:r w:rsidR="00F65811">
        <w:rPr>
          <w:rFonts w:ascii="Times New Roman" w:hAnsi="Times New Roman" w:cs="Times New Roman"/>
          <w:sz w:val="24"/>
          <w:szCs w:val="24"/>
        </w:rPr>
        <w:t>.</w:t>
      </w:r>
      <w:r w:rsidRPr="00930237">
        <w:rPr>
          <w:rFonts w:ascii="Times New Roman" w:hAnsi="Times New Roman" w:cs="Times New Roman"/>
          <w:sz w:val="24"/>
          <w:szCs w:val="24"/>
        </w:rPr>
        <w:t xml:space="preserve"> sk</w:t>
      </w:r>
      <w:r w:rsidR="00F65811">
        <w:rPr>
          <w:rFonts w:ascii="Times New Roman" w:hAnsi="Times New Roman" w:cs="Times New Roman"/>
          <w:sz w:val="24"/>
          <w:szCs w:val="24"/>
        </w:rPr>
        <w:t>.</w:t>
      </w:r>
      <w:r w:rsidRPr="00930237">
        <w:rPr>
          <w:rFonts w:ascii="Times New Roman" w:hAnsi="Times New Roman" w:cs="Times New Roman"/>
          <w:sz w:val="24"/>
          <w:szCs w:val="24"/>
        </w:rPr>
        <w:t xml:space="preserve"> šīs darbības programmas ietvarā.</w:t>
      </w:r>
    </w:p>
    <w:p w14:paraId="44F3702B" w14:textId="77777777" w:rsidR="00AC212B" w:rsidRPr="00930237" w:rsidRDefault="00AC212B" w:rsidP="00AC212B">
      <w:pPr>
        <w:spacing w:before="0" w:after="0"/>
        <w:rPr>
          <w:noProof/>
          <w:color w:val="FF0000"/>
          <w:sz w:val="20"/>
        </w:rPr>
      </w:pPr>
    </w:p>
    <w:p w14:paraId="4A22F577" w14:textId="77777777" w:rsidR="00AC212B" w:rsidRPr="00930237" w:rsidRDefault="00AC212B" w:rsidP="00AC212B">
      <w:pPr>
        <w:spacing w:before="0" w:after="0"/>
        <w:rPr>
          <w:noProof/>
          <w:color w:val="FF0000"/>
          <w:sz w:val="20"/>
        </w:rPr>
      </w:pPr>
    </w:p>
    <w:p w14:paraId="3A2FC55A" w14:textId="77777777" w:rsidR="00AC212B" w:rsidRPr="00930237" w:rsidRDefault="00AC212B" w:rsidP="009A0546">
      <w:pPr>
        <w:pStyle w:val="Heading3"/>
        <w:numPr>
          <w:ilvl w:val="1"/>
          <w:numId w:val="32"/>
        </w:numPr>
        <w:shd w:val="clear" w:color="auto" w:fill="FFF2CC" w:themeFill="accent4" w:themeFillTint="33"/>
        <w:spacing w:after="0"/>
        <w:ind w:hanging="682"/>
        <w:rPr>
          <w:b/>
          <w:i w:val="0"/>
          <w:noProof/>
        </w:rPr>
      </w:pPr>
      <w:bookmarkStart w:id="7" w:name="_Toc69125401"/>
      <w:r w:rsidRPr="00930237">
        <w:rPr>
          <w:b/>
          <w:i w:val="0"/>
          <w:noProof/>
          <w:szCs w:val="24"/>
        </w:rPr>
        <w:t>Produktivitāte, inovācijas un prasmes</w:t>
      </w:r>
      <w:bookmarkEnd w:id="7"/>
    </w:p>
    <w:p w14:paraId="55B2CF7B" w14:textId="1551131B" w:rsidR="00AC212B" w:rsidRPr="004B43E0" w:rsidRDefault="00AC212B" w:rsidP="007323C7">
      <w:pPr>
        <w:pStyle w:val="ListParagraph"/>
        <w:spacing w:after="0" w:line="240" w:lineRule="auto"/>
        <w:ind w:left="567"/>
        <w:mirrorIndents/>
        <w:jc w:val="both"/>
        <w:rPr>
          <w:rFonts w:ascii="Times New Roman" w:hAnsi="Times New Roman" w:cs="Times New Roman"/>
          <w:sz w:val="24"/>
          <w:szCs w:val="24"/>
        </w:rPr>
      </w:pPr>
    </w:p>
    <w:p w14:paraId="47CE8DF4" w14:textId="77777777" w:rsidR="00AC212B" w:rsidRPr="00D555D5"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sz w:val="24"/>
          <w:szCs w:val="24"/>
        </w:rPr>
        <w:t xml:space="preserve">Lai gan Latvijas P&amp;I sistēma laika periodā no 2014.-2020.gadam ir būtiski palielinājusi efektivitāti un </w:t>
      </w:r>
      <w:r w:rsidRPr="00D555D5">
        <w:rPr>
          <w:rFonts w:ascii="Times New Roman" w:hAnsi="Times New Roman" w:cs="Times New Roman"/>
          <w:sz w:val="24"/>
          <w:szCs w:val="24"/>
        </w:rPr>
        <w:t>produktivitāti</w:t>
      </w:r>
      <w:r w:rsidRPr="00D555D5">
        <w:rPr>
          <w:rFonts w:ascii="Times New Roman" w:hAnsi="Times New Roman" w:cs="Times New Roman"/>
          <w:noProof/>
          <w:sz w:val="24"/>
          <w:szCs w:val="24"/>
        </w:rPr>
        <w:t>, Latvija raksturota kā mērens inovators Eiropas inovācijas 2019 mērījumā</w:t>
      </w:r>
      <w:r w:rsidRPr="00D555D5">
        <w:rPr>
          <w:rStyle w:val="FootnoteReference"/>
          <w:rFonts w:ascii="Times New Roman" w:hAnsi="Times New Roman" w:cs="Times New Roman"/>
          <w:noProof/>
          <w:sz w:val="24"/>
          <w:szCs w:val="24"/>
        </w:rPr>
        <w:footnoteReference w:id="7"/>
      </w:r>
      <w:r w:rsidRPr="00D555D5">
        <w:rPr>
          <w:rFonts w:ascii="Times New Roman" w:eastAsia="Times New Roman" w:hAnsi="Times New Roman" w:cs="Times New Roman"/>
          <w:noProof/>
          <w:sz w:val="24"/>
          <w:szCs w:val="24"/>
        </w:rPr>
        <w:t xml:space="preserve">, līdzšinējais inovācijas sniegums </w:t>
      </w:r>
      <w:r w:rsidRPr="00D555D5">
        <w:rPr>
          <w:rFonts w:ascii="Times New Roman" w:eastAsia="Times New Roman" w:hAnsi="Times New Roman" w:cs="Times New Roman"/>
          <w:noProof/>
          <w:sz w:val="24"/>
          <w:szCs w:val="24"/>
          <w:shd w:val="clear" w:color="auto" w:fill="FFFFFF" w:themeFill="background1"/>
        </w:rPr>
        <w:t>nav pieteikams ilgtspējīgas konverģences nodrošināšanai un produktivitātes kāpināšanai</w:t>
      </w:r>
      <w:r w:rsidRPr="00D555D5">
        <w:rPr>
          <w:rFonts w:ascii="Times New Roman" w:eastAsia="Times New Roman" w:hAnsi="Times New Roman" w:cs="Times New Roman"/>
          <w:noProof/>
          <w:sz w:val="24"/>
          <w:szCs w:val="24"/>
        </w:rPr>
        <w:t>.</w:t>
      </w:r>
      <w:r w:rsidRPr="00D555D5">
        <w:rPr>
          <w:rFonts w:ascii="Times New Roman" w:eastAsia="Times New Roman" w:hAnsi="Times New Roman" w:cs="Times New Roman"/>
          <w:sz w:val="24"/>
          <w:szCs w:val="24"/>
        </w:rPr>
        <w:t xml:space="preserve"> </w:t>
      </w:r>
    </w:p>
    <w:p w14:paraId="5A28B589" w14:textId="77777777" w:rsidR="00AC212B" w:rsidRPr="000445A0"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bookmarkStart w:id="8" w:name="_Hlk63873035"/>
      <w:r w:rsidRPr="000445A0">
        <w:rPr>
          <w:rFonts w:ascii="Times New Roman" w:hAnsi="Times New Roman" w:cs="Times New Roman"/>
          <w:sz w:val="24"/>
          <w:szCs w:val="24"/>
        </w:rPr>
        <w:t xml:space="preserve">Latvijas ekonomikas transformācijai uz inovatīvu un zināšanās balstītu ekonomikas modeli </w:t>
      </w:r>
      <w:bookmarkEnd w:id="8"/>
      <w:r w:rsidRPr="000445A0">
        <w:rPr>
          <w:rFonts w:ascii="Times New Roman" w:hAnsi="Times New Roman" w:cs="Times New Roman"/>
          <w:sz w:val="24"/>
          <w:szCs w:val="24"/>
        </w:rPr>
        <w:t xml:space="preserve">ir vairāki šķēršļi: </w:t>
      </w:r>
    </w:p>
    <w:p w14:paraId="66C93830" w14:textId="77777777" w:rsidR="00AC212B" w:rsidRPr="000445A0" w:rsidRDefault="00AC212B" w:rsidP="007545BD">
      <w:pPr>
        <w:pStyle w:val="ListParagraph"/>
        <w:numPr>
          <w:ilvl w:val="1"/>
          <w:numId w:val="55"/>
        </w:numPr>
        <w:spacing w:after="0" w:line="240" w:lineRule="auto"/>
        <w:jc w:val="both"/>
        <w:rPr>
          <w:rFonts w:ascii="Times New Roman" w:hAnsi="Times New Roman" w:cs="Times New Roman"/>
          <w:sz w:val="24"/>
          <w:szCs w:val="24"/>
        </w:rPr>
      </w:pPr>
      <w:r w:rsidRPr="000445A0">
        <w:rPr>
          <w:rFonts w:ascii="Times New Roman" w:hAnsi="Times New Roman" w:cs="Times New Roman"/>
          <w:sz w:val="24"/>
          <w:szCs w:val="24"/>
        </w:rPr>
        <w:t>P&amp;A intensīvo nozaru  zems īpatsvars tautsaimniecības struktūrā;</w:t>
      </w:r>
    </w:p>
    <w:p w14:paraId="507D6719" w14:textId="533BCA84" w:rsidR="00AC212B" w:rsidRPr="000445A0" w:rsidRDefault="00AC212B" w:rsidP="007545BD">
      <w:pPr>
        <w:pStyle w:val="ListParagraph"/>
        <w:numPr>
          <w:ilvl w:val="1"/>
          <w:numId w:val="55"/>
        </w:numPr>
        <w:spacing w:after="0" w:line="240" w:lineRule="auto"/>
        <w:jc w:val="both"/>
        <w:rPr>
          <w:rFonts w:ascii="Times New Roman" w:hAnsi="Times New Roman" w:cs="Times New Roman"/>
          <w:sz w:val="24"/>
          <w:szCs w:val="24"/>
        </w:rPr>
      </w:pPr>
      <w:r w:rsidRPr="000445A0">
        <w:rPr>
          <w:rFonts w:ascii="Times New Roman" w:hAnsi="Times New Roman" w:cs="Times New Roman"/>
          <w:sz w:val="24"/>
          <w:szCs w:val="24"/>
        </w:rPr>
        <w:t>zems apstrādes rūpniecības īpatsvars IKP un salīdzinoši zem</w:t>
      </w:r>
      <w:r w:rsidR="00982040" w:rsidRPr="000445A0">
        <w:rPr>
          <w:rFonts w:ascii="Times New Roman" w:hAnsi="Times New Roman" w:cs="Times New Roman"/>
          <w:sz w:val="24"/>
          <w:szCs w:val="24"/>
        </w:rPr>
        <w:t>a</w:t>
      </w:r>
      <w:r w:rsidRPr="000445A0">
        <w:rPr>
          <w:rFonts w:ascii="Times New Roman" w:hAnsi="Times New Roman" w:cs="Times New Roman"/>
          <w:sz w:val="24"/>
          <w:szCs w:val="24"/>
        </w:rPr>
        <w:t xml:space="preserve"> produktivitāte;</w:t>
      </w:r>
    </w:p>
    <w:p w14:paraId="75E905DE" w14:textId="77777777" w:rsidR="00AC212B" w:rsidRPr="000445A0" w:rsidRDefault="00AC212B" w:rsidP="007545BD">
      <w:pPr>
        <w:pStyle w:val="ListParagraph"/>
        <w:numPr>
          <w:ilvl w:val="1"/>
          <w:numId w:val="55"/>
        </w:numPr>
        <w:spacing w:after="0" w:line="240" w:lineRule="auto"/>
        <w:jc w:val="both"/>
        <w:rPr>
          <w:rFonts w:ascii="Times New Roman" w:hAnsi="Times New Roman" w:cs="Times New Roman"/>
          <w:sz w:val="24"/>
          <w:szCs w:val="24"/>
        </w:rPr>
      </w:pPr>
      <w:r w:rsidRPr="000445A0">
        <w:rPr>
          <w:rFonts w:ascii="Times New Roman" w:hAnsi="Times New Roman" w:cs="Times New Roman"/>
          <w:sz w:val="24"/>
          <w:szCs w:val="24"/>
        </w:rPr>
        <w:t>apstrādes rūpniecībā dominē zemo un vidēji zemo tehnoloģiju nozares;</w:t>
      </w:r>
    </w:p>
    <w:p w14:paraId="2DE89E54" w14:textId="29425AE6" w:rsidR="00AC212B" w:rsidRPr="000445A0" w:rsidRDefault="00AC212B" w:rsidP="007545BD">
      <w:pPr>
        <w:pStyle w:val="ListParagraph"/>
        <w:numPr>
          <w:ilvl w:val="1"/>
          <w:numId w:val="55"/>
        </w:numPr>
        <w:spacing w:after="0" w:line="240" w:lineRule="auto"/>
        <w:jc w:val="both"/>
        <w:rPr>
          <w:rFonts w:ascii="Times New Roman" w:hAnsi="Times New Roman" w:cs="Times New Roman"/>
          <w:sz w:val="24"/>
          <w:szCs w:val="24"/>
        </w:rPr>
      </w:pPr>
      <w:r w:rsidRPr="000445A0">
        <w:rPr>
          <w:rFonts w:ascii="Times New Roman" w:hAnsi="Times New Roman" w:cs="Times New Roman"/>
          <w:sz w:val="24"/>
          <w:szCs w:val="24"/>
        </w:rPr>
        <w:t xml:space="preserve">tautsaimniecības struktūru galvenokārt veido mikro, </w:t>
      </w:r>
      <w:r w:rsidR="00203890" w:rsidRPr="000445A0">
        <w:rPr>
          <w:rFonts w:ascii="Times New Roman" w:hAnsi="Times New Roman" w:cs="Times New Roman"/>
          <w:sz w:val="24"/>
          <w:szCs w:val="24"/>
        </w:rPr>
        <w:t>MV</w:t>
      </w:r>
      <w:r w:rsidR="006235AC">
        <w:rPr>
          <w:rFonts w:ascii="Times New Roman" w:hAnsi="Times New Roman" w:cs="Times New Roman"/>
          <w:sz w:val="24"/>
          <w:szCs w:val="24"/>
        </w:rPr>
        <w:t>U</w:t>
      </w:r>
      <w:r w:rsidRPr="000445A0">
        <w:rPr>
          <w:rFonts w:ascii="Times New Roman" w:hAnsi="Times New Roman" w:cs="Times New Roman"/>
          <w:sz w:val="24"/>
          <w:szCs w:val="24"/>
        </w:rPr>
        <w:t xml:space="preserve">, </w:t>
      </w:r>
      <w:r w:rsidR="007E0C03" w:rsidRPr="000445A0">
        <w:rPr>
          <w:rFonts w:ascii="Times New Roman" w:hAnsi="Times New Roman" w:cs="Times New Roman"/>
          <w:sz w:val="24"/>
          <w:szCs w:val="24"/>
        </w:rPr>
        <w:t>vienlaikus lielāko ietekmi uz IKP pieaugumu sniedz mid-caps un lielie komersanti,</w:t>
      </w:r>
      <w:r w:rsidR="0072140E" w:rsidRPr="000445A0">
        <w:rPr>
          <w:rFonts w:ascii="Times New Roman" w:hAnsi="Times New Roman" w:cs="Times New Roman"/>
          <w:sz w:val="24"/>
          <w:szCs w:val="24"/>
        </w:rPr>
        <w:t xml:space="preserve"> </w:t>
      </w:r>
      <w:r w:rsidRPr="000445A0">
        <w:rPr>
          <w:rFonts w:ascii="Times New Roman" w:hAnsi="Times New Roman" w:cs="Times New Roman"/>
          <w:sz w:val="24"/>
          <w:szCs w:val="24"/>
        </w:rPr>
        <w:t xml:space="preserve">kuru pārvarēšanai ir nepieciešama spēcīga un koordinēta valsts intervence, lai minimizētu ar resursu pārdales procesu saistītas izmaksas un riskus, tādējādi stiprinot valsts </w:t>
      </w:r>
      <w:r w:rsidR="00982040" w:rsidRPr="000445A0">
        <w:rPr>
          <w:rFonts w:ascii="Times New Roman" w:hAnsi="Times New Roman" w:cs="Times New Roman"/>
          <w:sz w:val="24"/>
          <w:szCs w:val="24"/>
        </w:rPr>
        <w:t xml:space="preserve">un reģionu </w:t>
      </w:r>
      <w:r w:rsidRPr="000445A0">
        <w:rPr>
          <w:rFonts w:ascii="Times New Roman" w:hAnsi="Times New Roman" w:cs="Times New Roman"/>
          <w:sz w:val="24"/>
          <w:szCs w:val="24"/>
        </w:rPr>
        <w:t>konkurētspēju</w:t>
      </w:r>
      <w:r w:rsidRPr="000445A0">
        <w:rPr>
          <w:rFonts w:ascii="Times New Roman" w:hAnsi="Times New Roman" w:cs="Times New Roman"/>
          <w:sz w:val="24"/>
          <w:szCs w:val="24"/>
          <w:vertAlign w:val="superscript"/>
        </w:rPr>
        <w:footnoteReference w:id="8"/>
      </w:r>
      <w:r w:rsidRPr="000445A0">
        <w:rPr>
          <w:rFonts w:ascii="Times New Roman" w:hAnsi="Times New Roman" w:cs="Times New Roman"/>
          <w:sz w:val="24"/>
          <w:szCs w:val="24"/>
        </w:rPr>
        <w:t>.</w:t>
      </w:r>
    </w:p>
    <w:p w14:paraId="0698069C" w14:textId="11423F4E" w:rsidR="004B43E0" w:rsidRPr="004B43E0" w:rsidRDefault="004B43E0" w:rsidP="007545BD">
      <w:pPr>
        <w:pStyle w:val="ListParagraph"/>
        <w:numPr>
          <w:ilvl w:val="0"/>
          <w:numId w:val="60"/>
        </w:numPr>
        <w:spacing w:after="0" w:line="240" w:lineRule="auto"/>
        <w:ind w:left="567" w:hanging="567"/>
        <w:mirrorIndents/>
        <w:jc w:val="both"/>
      </w:pPr>
      <w:r w:rsidRPr="004B43E0">
        <w:rPr>
          <w:rFonts w:ascii="Times New Roman" w:hAnsi="Times New Roman" w:cs="Times New Roman"/>
          <w:color w:val="000000"/>
          <w:sz w:val="24"/>
          <w:szCs w:val="24"/>
        </w:rPr>
        <w:t xml:space="preserve">NEKP kā vienu no 3 stratēģiskiem virzieniem klimata mērķu sasniegšanai nosaka </w:t>
      </w:r>
      <w:r w:rsidRPr="004B43E0">
        <w:rPr>
          <w:rFonts w:ascii="Times New Roman" w:hAnsi="Times New Roman" w:cs="Times New Roman"/>
          <w:sz w:val="24"/>
          <w:szCs w:val="24"/>
        </w:rPr>
        <w:t>tādas pētniecības un inovāciju attīstības stimulāciju, kas veicina ilgtspējīgas enerģētikas sektora attīstību un klimata pārmaiņu mazināšanu.</w:t>
      </w:r>
    </w:p>
    <w:p w14:paraId="500ED47B" w14:textId="36BCDDDC" w:rsidR="00AC212B" w:rsidRPr="00A603EA" w:rsidRDefault="00AC212B" w:rsidP="007545BD">
      <w:pPr>
        <w:pStyle w:val="ListParagraph"/>
        <w:numPr>
          <w:ilvl w:val="0"/>
          <w:numId w:val="60"/>
        </w:numPr>
        <w:spacing w:after="0" w:line="240" w:lineRule="auto"/>
        <w:ind w:left="567" w:hanging="567"/>
        <w:mirrorIndents/>
        <w:jc w:val="both"/>
      </w:pPr>
      <w:r w:rsidRPr="00D555D5">
        <w:rPr>
          <w:rFonts w:ascii="Times New Roman" w:hAnsi="Times New Roman" w:cs="Times New Roman"/>
          <w:sz w:val="24"/>
          <w:szCs w:val="24"/>
        </w:rPr>
        <w:t>Galvenie P&amp;A&amp;I sistēmas izaicinājumi līdz 2027.gadam ir nemainīgi zems P&amp;A&amp;I investīciju līmenis, nepietiekošs cilvēkkapitāls P&amp;A&amp;I publiskajā un privātajā sektorā, īpaši ņemot vērā depopulācijas</w:t>
      </w:r>
      <w:r w:rsidRPr="00930237">
        <w:rPr>
          <w:rFonts w:ascii="Times New Roman" w:hAnsi="Times New Roman" w:cs="Times New Roman"/>
          <w:sz w:val="24"/>
          <w:szCs w:val="24"/>
        </w:rPr>
        <w:t xml:space="preserve"> tendences, zems inovāciju līmenis uzņēmumos, </w:t>
      </w:r>
      <w:r w:rsidRPr="00A603EA">
        <w:rPr>
          <w:rFonts w:ascii="Times New Roman" w:hAnsi="Times New Roman" w:cs="Times New Roman"/>
          <w:sz w:val="24"/>
          <w:szCs w:val="24"/>
        </w:rPr>
        <w:t>tehnoloģiju pārneses sistēmas stiprināšana un pārvaldības procesu uzlabošana</w:t>
      </w:r>
      <w:r w:rsidRPr="00A603EA">
        <w:rPr>
          <w:rStyle w:val="FootnoteReference"/>
          <w:rFonts w:ascii="Times New Roman" w:hAnsi="Times New Roman" w:cs="Times New Roman"/>
          <w:sz w:val="24"/>
          <w:szCs w:val="24"/>
        </w:rPr>
        <w:footnoteReference w:id="9"/>
      </w:r>
      <w:r w:rsidRPr="00A603EA">
        <w:rPr>
          <w:rFonts w:ascii="Times New Roman" w:hAnsi="Times New Roman" w:cs="Times New Roman"/>
          <w:sz w:val="24"/>
          <w:szCs w:val="24"/>
        </w:rPr>
        <w:t>.</w:t>
      </w:r>
    </w:p>
    <w:p w14:paraId="63FA55F6" w14:textId="3F47202B" w:rsidR="00AC212B" w:rsidRPr="005B7EA0"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5B7EA0">
        <w:rPr>
          <w:rFonts w:ascii="Times New Roman" w:eastAsia="Times New Roman" w:hAnsi="Times New Roman" w:cs="Times New Roman"/>
          <w:b/>
          <w:iCs/>
          <w:noProof/>
          <w:sz w:val="24"/>
          <w:szCs w:val="24"/>
        </w:rPr>
        <w:t xml:space="preserve">Latvijas </w:t>
      </w:r>
      <w:r w:rsidRPr="005B7EA0">
        <w:rPr>
          <w:rFonts w:ascii="Times New Roman" w:eastAsia="Times New Roman" w:hAnsi="Times New Roman" w:cs="Times New Roman"/>
          <w:b/>
          <w:sz w:val="24"/>
          <w:szCs w:val="24"/>
        </w:rPr>
        <w:t>P&amp;I sistēmas</w:t>
      </w:r>
      <w:r w:rsidRPr="005B7EA0">
        <w:rPr>
          <w:rFonts w:ascii="Times New Roman" w:eastAsia="Times New Roman" w:hAnsi="Times New Roman" w:cs="Times New Roman"/>
          <w:sz w:val="24"/>
          <w:szCs w:val="24"/>
        </w:rPr>
        <w:t xml:space="preserve"> </w:t>
      </w:r>
      <w:r w:rsidR="00A924D8" w:rsidRPr="005B7EA0">
        <w:rPr>
          <w:rFonts w:ascii="Times New Roman" w:eastAsia="Times New Roman" w:hAnsi="Times New Roman" w:cs="Times New Roman"/>
          <w:sz w:val="24"/>
          <w:szCs w:val="24"/>
        </w:rPr>
        <w:t xml:space="preserve">pētniecības attīstības un izaugsmes temps </w:t>
      </w:r>
      <w:r w:rsidRPr="005B7EA0">
        <w:rPr>
          <w:rFonts w:ascii="Times New Roman" w:eastAsia="Times New Roman" w:hAnsi="Times New Roman" w:cs="Times New Roman"/>
          <w:sz w:val="24"/>
          <w:szCs w:val="24"/>
        </w:rPr>
        <w:t>ir nepietiekam</w:t>
      </w:r>
      <w:r w:rsidR="00A924D8" w:rsidRPr="005B7EA0">
        <w:rPr>
          <w:rFonts w:ascii="Times New Roman" w:eastAsia="Times New Roman" w:hAnsi="Times New Roman" w:cs="Times New Roman"/>
          <w:sz w:val="24"/>
          <w:szCs w:val="24"/>
        </w:rPr>
        <w:t>s</w:t>
      </w:r>
      <w:r w:rsidRPr="005B7EA0">
        <w:rPr>
          <w:rFonts w:ascii="Times New Roman" w:eastAsia="Times New Roman" w:hAnsi="Times New Roman" w:cs="Times New Roman"/>
          <w:sz w:val="24"/>
          <w:szCs w:val="24"/>
        </w:rPr>
        <w:t xml:space="preserve"> straujai </w:t>
      </w:r>
      <w:r w:rsidRPr="005B7EA0">
        <w:rPr>
          <w:rFonts w:ascii="Times New Roman" w:eastAsia="Times New Roman" w:hAnsi="Times New Roman" w:cs="Times New Roman"/>
          <w:bCs/>
          <w:iCs/>
          <w:noProof/>
          <w:sz w:val="24"/>
          <w:szCs w:val="24"/>
        </w:rPr>
        <w:t>viedai izaugsmei</w:t>
      </w:r>
      <w:r w:rsidRPr="005B7EA0">
        <w:rPr>
          <w:rFonts w:ascii="Times New Roman" w:eastAsia="Times New Roman" w:hAnsi="Times New Roman" w:cs="Times New Roman"/>
          <w:iCs/>
          <w:noProof/>
          <w:sz w:val="24"/>
          <w:szCs w:val="24"/>
        </w:rPr>
        <w:t>, un tas tiešā veidā ir</w:t>
      </w:r>
      <w:r w:rsidRPr="005B7EA0">
        <w:rPr>
          <w:rFonts w:ascii="Times New Roman" w:eastAsia="Times New Roman" w:hAnsi="Times New Roman" w:cs="Times New Roman"/>
          <w:sz w:val="24"/>
          <w:szCs w:val="24"/>
        </w:rPr>
        <w:t xml:space="preserve"> saistīts ar zemajiem P&amp;A&amp;I ieguldījumiem</w:t>
      </w:r>
      <w:r w:rsidRPr="005B7EA0">
        <w:rPr>
          <w:rFonts w:ascii="Times New Roman" w:hAnsi="Times New Roman" w:cs="Times New Roman"/>
          <w:sz w:val="24"/>
          <w:szCs w:val="24"/>
        </w:rPr>
        <w:t>, kas 2014.–2020.gada plānošanas periodā bija robežās no 0,44 – 0,69% no IKP ar zemu privāto investīciju daļu, svārstoties atkarībā no ES fondu ieguldījumiem un būtiski atpaliekot no 2020.gada nacionālā mērķa – 1,5% no IKP.</w:t>
      </w:r>
    </w:p>
    <w:p w14:paraId="15C0B20F" w14:textId="19B673C7" w:rsidR="00AC212B" w:rsidRPr="00A603EA"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A603EA">
        <w:rPr>
          <w:rFonts w:ascii="Times New Roman" w:eastAsia="Times New Roman" w:hAnsi="Times New Roman" w:cs="Times New Roman"/>
          <w:sz w:val="24"/>
          <w:szCs w:val="24"/>
        </w:rPr>
        <w:t>P&amp;I sektora galvenie izaicinājumi līdz 2027.gadam ir cilvēkkapitāla</w:t>
      </w:r>
      <w:r w:rsidRPr="00FB12A1">
        <w:rPr>
          <w:rFonts w:ascii="Times New Roman" w:eastAsia="Times New Roman" w:hAnsi="Times New Roman" w:cs="Times New Roman"/>
          <w:sz w:val="24"/>
          <w:szCs w:val="24"/>
        </w:rPr>
        <w:t xml:space="preserve"> kvantitatīvas un kvalitatīvas jaudas palielināšana</w:t>
      </w:r>
      <w:r w:rsidR="001B0AF8" w:rsidRPr="00FB12A1">
        <w:rPr>
          <w:rFonts w:ascii="Times New Roman" w:eastAsia="Times New Roman" w:hAnsi="Times New Roman" w:cs="Times New Roman"/>
          <w:sz w:val="24"/>
          <w:szCs w:val="24"/>
        </w:rPr>
        <w:t>, jo īpaši RIS3 jomās</w:t>
      </w:r>
      <w:r w:rsidR="00982040" w:rsidRPr="00FB12A1">
        <w:rPr>
          <w:rFonts w:ascii="Times New Roman" w:eastAsia="Times New Roman" w:hAnsi="Times New Roman" w:cs="Times New Roman"/>
          <w:sz w:val="24"/>
          <w:szCs w:val="24"/>
        </w:rPr>
        <w:t>, t.sk. reģionos</w:t>
      </w:r>
      <w:r w:rsidRPr="00FB12A1">
        <w:rPr>
          <w:rFonts w:ascii="Times New Roman" w:eastAsia="Times New Roman" w:hAnsi="Times New Roman" w:cs="Times New Roman"/>
          <w:sz w:val="24"/>
          <w:szCs w:val="24"/>
        </w:rPr>
        <w:t xml:space="preserve">. </w:t>
      </w:r>
      <w:r w:rsidRPr="00394EBB">
        <w:rPr>
          <w:rFonts w:ascii="Times New Roman" w:eastAsia="Times New Roman" w:hAnsi="Times New Roman" w:cs="Times New Roman"/>
          <w:sz w:val="24"/>
          <w:szCs w:val="24"/>
        </w:rPr>
        <w:t>Šobrīd Latvijā pētniecībā nodarbināto skaits joprojām ir kritiski zems</w:t>
      </w:r>
      <w:r w:rsidRPr="00CF40D2">
        <w:rPr>
          <w:rFonts w:ascii="Times New Roman" w:eastAsia="Times New Roman" w:hAnsi="Times New Roman" w:cs="Times New Roman"/>
          <w:sz w:val="24"/>
          <w:szCs w:val="24"/>
        </w:rPr>
        <w:t xml:space="preserve"> (gan kopskaitā, gan īpatsvarā </w:t>
      </w:r>
      <w:r w:rsidRPr="00A603EA">
        <w:rPr>
          <w:rFonts w:ascii="Times New Roman" w:eastAsia="Times New Roman" w:hAnsi="Times New Roman" w:cs="Times New Roman"/>
          <w:sz w:val="24"/>
          <w:szCs w:val="24"/>
        </w:rPr>
        <w:t>valsts kopējā darbaspēka struktūrā), sasniedzot tikai ~50% no ES vidējā līmeņa.</w:t>
      </w:r>
    </w:p>
    <w:p w14:paraId="1C7BAE50" w14:textId="5F60A7A4" w:rsidR="00AC212B" w:rsidRPr="005B7EA0"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color w:val="000000" w:themeColor="text1"/>
          <w:sz w:val="24"/>
          <w:szCs w:val="24"/>
        </w:rPr>
      </w:pPr>
      <w:r w:rsidRPr="005B7EA0">
        <w:rPr>
          <w:rFonts w:ascii="Times New Roman" w:eastAsia="Times New Roman" w:hAnsi="Times New Roman" w:cs="Times New Roman"/>
          <w:b/>
          <w:iCs/>
          <w:noProof/>
          <w:color w:val="000000" w:themeColor="text1"/>
          <w:sz w:val="24"/>
          <w:szCs w:val="24"/>
        </w:rPr>
        <w:t>Latvijas uzņēmējdarbību raksturo</w:t>
      </w:r>
      <w:r w:rsidRPr="005B7EA0">
        <w:rPr>
          <w:rFonts w:ascii="Times New Roman" w:eastAsia="Times New Roman" w:hAnsi="Times New Roman" w:cs="Times New Roman"/>
          <w:iCs/>
          <w:noProof/>
          <w:color w:val="000000" w:themeColor="text1"/>
          <w:sz w:val="24"/>
          <w:szCs w:val="24"/>
        </w:rPr>
        <w:t xml:space="preserve"> zemas pievienotās vērtības produktu liels īpatsvars, augsta resursu intensitāte un  sadarbības un integrācijas trūkumu globālajās vērtību ķēdēs. </w:t>
      </w:r>
    </w:p>
    <w:p w14:paraId="4FDAE3C4" w14:textId="490754D4"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color w:val="000000" w:themeColor="text1"/>
          <w:sz w:val="24"/>
          <w:szCs w:val="24"/>
        </w:rPr>
      </w:pPr>
      <w:r w:rsidRPr="00A603EA">
        <w:rPr>
          <w:rFonts w:ascii="Times New Roman" w:eastAsia="Times New Roman" w:hAnsi="Times New Roman" w:cs="Times New Roman"/>
          <w:color w:val="000000" w:themeColor="text1"/>
          <w:sz w:val="24"/>
          <w:szCs w:val="24"/>
        </w:rPr>
        <w:t>Inovatīvo mazo</w:t>
      </w:r>
      <w:r w:rsidRPr="00930237">
        <w:rPr>
          <w:rFonts w:ascii="Times New Roman" w:eastAsia="Times New Roman" w:hAnsi="Times New Roman" w:cs="Times New Roman"/>
          <w:color w:val="000000" w:themeColor="text1"/>
          <w:sz w:val="24"/>
          <w:szCs w:val="24"/>
        </w:rPr>
        <w:t xml:space="preserve"> un vidējo uzņēmumu īpatsvars Latvijā ir viens no zemākajiem ES – 30,3% (2014.–2016.g.), salīdzinot ar vidēji 49,1% ES. Latvijas rūpniecības struktūru galvenokārt raksturo zemo tehnoloģiju uzņēmumi. Latvijas uzņēmumiem ir nepietiekami attīstīta nozaru un starpnozaru savstarpējā sadarbība, īpaši – sadarbība ar pētniecības</w:t>
      </w:r>
      <w:r w:rsidR="00895282">
        <w:rPr>
          <w:rFonts w:ascii="Times New Roman" w:eastAsia="Times New Roman" w:hAnsi="Times New Roman" w:cs="Times New Roman"/>
          <w:color w:val="000000" w:themeColor="text1"/>
          <w:sz w:val="24"/>
          <w:szCs w:val="24"/>
        </w:rPr>
        <w:t>,</w:t>
      </w:r>
      <w:r w:rsidR="00895282" w:rsidRPr="00895282">
        <w:t xml:space="preserve"> </w:t>
      </w:r>
      <w:r w:rsidR="00895282" w:rsidRPr="00895282">
        <w:rPr>
          <w:rFonts w:ascii="Times New Roman" w:eastAsia="Times New Roman" w:hAnsi="Times New Roman" w:cs="Times New Roman"/>
          <w:color w:val="000000" w:themeColor="text1"/>
          <w:sz w:val="24"/>
          <w:szCs w:val="24"/>
        </w:rPr>
        <w:t>eksperimentālās izstrādes, pilotēšanas un demonstrācijas</w:t>
      </w:r>
      <w:r w:rsidR="00895282">
        <w:rPr>
          <w:rFonts w:ascii="Times New Roman" w:eastAsia="Times New Roman" w:hAnsi="Times New Roman" w:cs="Times New Roman"/>
          <w:color w:val="000000" w:themeColor="text1"/>
          <w:sz w:val="24"/>
          <w:szCs w:val="24"/>
        </w:rPr>
        <w:t xml:space="preserve"> </w:t>
      </w:r>
      <w:r w:rsidRPr="00930237">
        <w:rPr>
          <w:rFonts w:ascii="Times New Roman" w:eastAsia="Times New Roman" w:hAnsi="Times New Roman" w:cs="Times New Roman"/>
          <w:color w:val="000000" w:themeColor="text1"/>
          <w:sz w:val="24"/>
          <w:szCs w:val="24"/>
        </w:rPr>
        <w:t>institūcijām</w:t>
      </w:r>
      <w:r w:rsidR="00895282">
        <w:rPr>
          <w:rFonts w:ascii="Times New Roman" w:eastAsia="Times New Roman" w:hAnsi="Times New Roman" w:cs="Times New Roman"/>
          <w:color w:val="000000" w:themeColor="text1"/>
          <w:sz w:val="24"/>
          <w:szCs w:val="24"/>
        </w:rPr>
        <w:t xml:space="preserve"> un izglītības iestādēm, </w:t>
      </w:r>
      <w:r w:rsidR="00895282" w:rsidRPr="00895282">
        <w:rPr>
          <w:rFonts w:ascii="Times New Roman" w:eastAsia="Times New Roman" w:hAnsi="Times New Roman" w:cs="Times New Roman"/>
          <w:color w:val="000000" w:themeColor="text1"/>
          <w:sz w:val="24"/>
          <w:szCs w:val="24"/>
        </w:rPr>
        <w:t>piesaistot studējošos un mācībspēkus inovāciju attīstīšanai</w:t>
      </w:r>
      <w:r w:rsidRPr="00930237">
        <w:rPr>
          <w:rFonts w:ascii="Times New Roman" w:eastAsia="Times New Roman" w:hAnsi="Times New Roman" w:cs="Times New Roman"/>
          <w:color w:val="000000" w:themeColor="text1"/>
          <w:sz w:val="24"/>
          <w:szCs w:val="24"/>
        </w:rPr>
        <w:t xml:space="preserve"> Latvijā un </w:t>
      </w:r>
      <w:r w:rsidR="00E200DD" w:rsidRPr="00930237">
        <w:rPr>
          <w:rFonts w:ascii="Times New Roman" w:eastAsia="Times New Roman" w:hAnsi="Times New Roman" w:cs="Times New Roman"/>
          <w:color w:val="000000" w:themeColor="text1"/>
          <w:sz w:val="24"/>
          <w:szCs w:val="24"/>
        </w:rPr>
        <w:t>ā</w:t>
      </w:r>
      <w:r w:rsidRPr="00930237">
        <w:rPr>
          <w:rFonts w:ascii="Times New Roman" w:eastAsia="Times New Roman" w:hAnsi="Times New Roman" w:cs="Times New Roman"/>
          <w:color w:val="000000" w:themeColor="text1"/>
          <w:sz w:val="24"/>
          <w:szCs w:val="24"/>
        </w:rPr>
        <w:t>rvalstīs, tāpat novērojama vāja pētījumu rezultātu komercializācijas kapacitāte. Šajā kontekstā būtiski ir stiprināt un intensificēt atbalstu pētījumu rezultātu komercializācijai un tehnoloģiju pārneses procesam.</w:t>
      </w:r>
    </w:p>
    <w:p w14:paraId="1B60B298" w14:textId="77777777" w:rsidR="00AC212B" w:rsidRPr="00930237" w:rsidRDefault="00AC212B" w:rsidP="007545BD">
      <w:pPr>
        <w:pStyle w:val="ListParagraph"/>
        <w:numPr>
          <w:ilvl w:val="0"/>
          <w:numId w:val="60"/>
        </w:numPr>
        <w:spacing w:after="0" w:line="240" w:lineRule="auto"/>
        <w:ind w:left="567" w:hanging="567"/>
        <w:mirrorIndents/>
        <w:jc w:val="both"/>
        <w:rPr>
          <w:rFonts w:ascii="Times New Roman" w:eastAsia="Times New Roman" w:hAnsi="Times New Roman" w:cs="Times New Roman"/>
          <w:color w:val="000000" w:themeColor="text1"/>
          <w:sz w:val="24"/>
          <w:szCs w:val="24"/>
        </w:rPr>
      </w:pPr>
      <w:r w:rsidRPr="00930237">
        <w:rPr>
          <w:rFonts w:ascii="Times New Roman" w:eastAsia="Times New Roman" w:hAnsi="Times New Roman" w:cs="Times New Roman"/>
          <w:color w:val="000000" w:themeColor="text1"/>
          <w:sz w:val="24"/>
          <w:szCs w:val="24"/>
        </w:rPr>
        <w:t>Zināšanu ietilpīgi pakalpojumi 2017.gadā veidoja gandrīz 50%</w:t>
      </w:r>
      <w:r w:rsidRPr="00930237">
        <w:rPr>
          <w:rFonts w:ascii="Times New Roman" w:hAnsi="Times New Roman" w:cs="Times New Roman"/>
          <w:color w:val="000000" w:themeColor="text1"/>
          <w:sz w:val="24"/>
          <w:szCs w:val="24"/>
          <w:vertAlign w:val="superscript"/>
        </w:rPr>
        <w:footnoteReference w:id="10"/>
      </w:r>
      <w:r w:rsidRPr="00930237">
        <w:rPr>
          <w:rFonts w:ascii="Times New Roman" w:eastAsia="Times New Roman" w:hAnsi="Times New Roman" w:cs="Times New Roman"/>
          <w:color w:val="000000" w:themeColor="text1"/>
          <w:sz w:val="24"/>
          <w:szCs w:val="24"/>
        </w:rPr>
        <w:t xml:space="preserve"> no kopējā pakalpojumu eksporta un pēdējos gados to daļa nepieaug. Savukārt vidēji augsto un augsto tehnoloģiju produktu daļa kopējā eksportā 2017.gadā, salīdzinot ar 2010.gadu, pieauga gandrīz par 4 procentpunktiem un bija 34,7% (ES vidēji – 56,7%). </w:t>
      </w:r>
    </w:p>
    <w:p w14:paraId="67B02345" w14:textId="617D884F" w:rsidR="00AC212B" w:rsidRPr="005F14FF" w:rsidRDefault="00AC212B" w:rsidP="007545BD">
      <w:pPr>
        <w:pStyle w:val="ListParagraph"/>
        <w:numPr>
          <w:ilvl w:val="0"/>
          <w:numId w:val="60"/>
        </w:numPr>
        <w:spacing w:after="0" w:line="240" w:lineRule="auto"/>
        <w:ind w:left="567" w:hanging="567"/>
        <w:mirrorIndents/>
        <w:jc w:val="both"/>
        <w:rPr>
          <w:rFonts w:ascii="Times New Roman" w:eastAsia="Times New Roman" w:hAnsi="Times New Roman" w:cs="Times New Roman"/>
          <w:color w:val="000000" w:themeColor="text1"/>
          <w:sz w:val="24"/>
          <w:szCs w:val="24"/>
        </w:rPr>
      </w:pPr>
      <w:r w:rsidRPr="00952EFB">
        <w:rPr>
          <w:rFonts w:ascii="Times New Roman" w:eastAsia="Times New Roman" w:hAnsi="Times New Roman" w:cs="Times New Roman"/>
          <w:color w:val="000000" w:themeColor="text1"/>
          <w:sz w:val="24"/>
          <w:szCs w:val="24"/>
        </w:rPr>
        <w:t>P&amp;A&amp;I attīstību un investīcijas, kā arī jaunu uzņēmumu izveidi bremzē pastāvošās tirgus nepilnības finansējuma pieejamībā saimnieciskās darbības veicējiem visās attīstības stadijās. Plaisa</w:t>
      </w:r>
      <w:r w:rsidRPr="005F14FF">
        <w:rPr>
          <w:rFonts w:ascii="Times New Roman" w:eastAsia="Times New Roman" w:hAnsi="Times New Roman" w:cs="Times New Roman"/>
          <w:color w:val="000000" w:themeColor="text1"/>
          <w:sz w:val="24"/>
          <w:szCs w:val="24"/>
        </w:rPr>
        <w:t xml:space="preserve"> starp komercbanku kreditēšanu un uzņēmumu spēju piesaistīt ārējos finanšu resursus tirgū kopš finanšu un ekonomiskās krīzes ir palielinājusies, kas ilgtermiņā var atstāt negatīvas sekas </w:t>
      </w:r>
      <w:r w:rsidR="00D94915" w:rsidRPr="005F14FF">
        <w:rPr>
          <w:rFonts w:ascii="Times New Roman" w:eastAsia="Times New Roman" w:hAnsi="Times New Roman" w:cs="Times New Roman"/>
          <w:color w:val="000000" w:themeColor="text1"/>
          <w:sz w:val="24"/>
          <w:szCs w:val="24"/>
        </w:rPr>
        <w:t xml:space="preserve">uz </w:t>
      </w:r>
      <w:r w:rsidRPr="005F14FF">
        <w:rPr>
          <w:rFonts w:ascii="Times New Roman" w:eastAsia="Times New Roman" w:hAnsi="Times New Roman" w:cs="Times New Roman"/>
          <w:color w:val="000000" w:themeColor="text1"/>
          <w:sz w:val="24"/>
          <w:szCs w:val="24"/>
        </w:rPr>
        <w:t>uzņēmējdarbības attīstību</w:t>
      </w:r>
      <w:r w:rsidR="00982040" w:rsidRPr="005F14FF">
        <w:rPr>
          <w:rFonts w:ascii="Times New Roman" w:eastAsia="Times New Roman" w:hAnsi="Times New Roman" w:cs="Times New Roman"/>
          <w:color w:val="000000" w:themeColor="text1"/>
          <w:sz w:val="24"/>
          <w:szCs w:val="24"/>
        </w:rPr>
        <w:t>, īpaši reģionos</w:t>
      </w:r>
      <w:r w:rsidRPr="005F14FF">
        <w:rPr>
          <w:rFonts w:ascii="Times New Roman" w:eastAsia="Times New Roman" w:hAnsi="Times New Roman" w:cs="Times New Roman"/>
          <w:color w:val="000000" w:themeColor="text1"/>
          <w:sz w:val="24"/>
          <w:szCs w:val="24"/>
        </w:rPr>
        <w:t>.</w:t>
      </w:r>
    </w:p>
    <w:p w14:paraId="6B45F4CA" w14:textId="77777777" w:rsidR="00AC212B" w:rsidRPr="00930237" w:rsidRDefault="00AC212B" w:rsidP="007545BD">
      <w:pPr>
        <w:pStyle w:val="ListParagraph"/>
        <w:numPr>
          <w:ilvl w:val="0"/>
          <w:numId w:val="60"/>
        </w:numPr>
        <w:spacing w:after="0" w:line="240" w:lineRule="auto"/>
        <w:ind w:left="567" w:hanging="567"/>
        <w:mirrorIndents/>
        <w:jc w:val="both"/>
        <w:rPr>
          <w:rFonts w:ascii="Times New Roman" w:eastAsia="Times New Roman" w:hAnsi="Times New Roman" w:cs="Times New Roman"/>
          <w:color w:val="000000" w:themeColor="text1"/>
          <w:sz w:val="24"/>
          <w:szCs w:val="24"/>
        </w:rPr>
      </w:pPr>
      <w:r w:rsidRPr="00930237">
        <w:rPr>
          <w:rFonts w:ascii="Times New Roman" w:eastAsia="Times New Roman" w:hAnsi="Times New Roman" w:cs="Times New Roman"/>
          <w:color w:val="000000" w:themeColor="text1"/>
          <w:sz w:val="24"/>
          <w:szCs w:val="24"/>
        </w:rPr>
        <w:t xml:space="preserve">Lai gan uzņēmēju spēja un vēlme aizņemties ir pieaugusi, faktiskais pieprasījums pēc komercbanku aizdevumiem ir sarucis. Kā galvenie iemesli, lai uzņēmējs nevērstos pie bankas vai finansējuma atteikšanai uzņēmumam joprojām ir minēta nepietiekama naudas plūsma (33%), nepietiekams nodrošinājums (31%), nepietiekams pašu kapitāls (26%), nepietiekama rentabilitāte (16%), kā arī īpašnieka galvojuma trūkums (11%). </w:t>
      </w:r>
    </w:p>
    <w:p w14:paraId="75CCEAB5" w14:textId="78C585A7" w:rsidR="00AC212B" w:rsidRPr="00930237" w:rsidRDefault="00895282" w:rsidP="007545BD">
      <w:pPr>
        <w:pStyle w:val="ListParagraph"/>
        <w:numPr>
          <w:ilvl w:val="0"/>
          <w:numId w:val="60"/>
        </w:numPr>
        <w:spacing w:after="0" w:line="240" w:lineRule="auto"/>
        <w:ind w:left="567" w:hanging="567"/>
        <w:mirrorIndents/>
        <w:jc w:val="both"/>
        <w:rPr>
          <w:rFonts w:ascii="Times New Roman" w:eastAsia="Times New Roman" w:hAnsi="Times New Roman" w:cs="Times New Roman"/>
          <w:color w:val="000000" w:themeColor="text1"/>
          <w:sz w:val="24"/>
          <w:szCs w:val="24"/>
        </w:rPr>
      </w:pPr>
      <w:r w:rsidRPr="00895282">
        <w:rPr>
          <w:rFonts w:ascii="Times New Roman" w:eastAsia="Times New Roman" w:hAnsi="Times New Roman" w:cs="Times New Roman"/>
          <w:color w:val="000000" w:themeColor="text1"/>
          <w:sz w:val="24"/>
          <w:szCs w:val="24"/>
        </w:rPr>
        <w:t>Saskaņā ar Ekonomikas ministrijas aplēsēm</w:t>
      </w:r>
      <w:r w:rsidR="00E37040">
        <w:rPr>
          <w:rStyle w:val="FootnoteReference"/>
          <w:rFonts w:ascii="Times New Roman" w:eastAsia="Times New Roman" w:hAnsi="Times New Roman" w:cs="Times New Roman"/>
          <w:color w:val="000000" w:themeColor="text1"/>
          <w:sz w:val="24"/>
          <w:szCs w:val="24"/>
        </w:rPr>
        <w:footnoteReference w:id="11"/>
      </w:r>
      <w:r w:rsidRPr="0089528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l</w:t>
      </w:r>
      <w:r w:rsidR="00AC212B" w:rsidRPr="00930237">
        <w:rPr>
          <w:rFonts w:ascii="Times New Roman" w:eastAsia="Times New Roman" w:hAnsi="Times New Roman" w:cs="Times New Roman"/>
          <w:color w:val="000000" w:themeColor="text1"/>
          <w:sz w:val="24"/>
          <w:szCs w:val="24"/>
        </w:rPr>
        <w:t xml:space="preserve">ielie komersanti, kas sastāda 5% no visiem uzņēmumiem, Latvijas tautsaimniecībā ģenerē 90% ienākumu, tomēr arī šajā sektorā augsta riska projekti netiek īstenoti. </w:t>
      </w:r>
    </w:p>
    <w:p w14:paraId="51550F60" w14:textId="77777777" w:rsidR="00AC212B" w:rsidRPr="00930237"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bCs/>
          <w:iCs/>
          <w:kern w:val="36"/>
          <w:sz w:val="24"/>
          <w:szCs w:val="24"/>
        </w:rPr>
      </w:pPr>
      <w:r w:rsidRPr="00930237">
        <w:rPr>
          <w:rFonts w:ascii="Times New Roman" w:eastAsia="Times New Roman" w:hAnsi="Times New Roman" w:cs="Times New Roman"/>
          <w:bCs/>
          <w:iCs/>
          <w:kern w:val="36"/>
          <w:sz w:val="24"/>
          <w:szCs w:val="24"/>
        </w:rPr>
        <w:t xml:space="preserve">Tāpat nozīmīgs izaicinājums ir lielas reģionālās atšķirības  kapitālo ieguldījumu apmēros starp Rīgas, Pierīgas reģionu un pārējiem reģioniem Latvijā. Augstākie kapitālie ieguldījumi uz vienu nodarbināto ir Pierīgā, bet zemākie Latgalē. </w:t>
      </w:r>
    </w:p>
    <w:p w14:paraId="473BA5D3" w14:textId="73F4DB7C" w:rsidR="00AC212B" w:rsidRPr="00CD3901"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bCs/>
          <w:iCs/>
          <w:kern w:val="36"/>
          <w:sz w:val="24"/>
          <w:szCs w:val="24"/>
        </w:rPr>
      </w:pPr>
      <w:r w:rsidRPr="00930237">
        <w:rPr>
          <w:rFonts w:ascii="Times New Roman" w:eastAsia="Times New Roman" w:hAnsi="Times New Roman" w:cs="Times New Roman"/>
          <w:iCs/>
          <w:kern w:val="36"/>
          <w:sz w:val="24"/>
          <w:szCs w:val="24"/>
        </w:rPr>
        <w:t xml:space="preserve">Balstoties uz pašvaldību aptauju reģionos saglabājas stabils </w:t>
      </w:r>
      <w:r w:rsidRPr="00930237">
        <w:rPr>
          <w:rFonts w:ascii="Times New Roman" w:eastAsia="Times New Roman" w:hAnsi="Times New Roman" w:cs="Times New Roman"/>
          <w:bCs/>
          <w:iCs/>
          <w:kern w:val="36"/>
          <w:sz w:val="24"/>
          <w:szCs w:val="24"/>
        </w:rPr>
        <w:t xml:space="preserve">uzņēmēju pieprasījums pēc infrastruktūras  </w:t>
      </w:r>
      <w:r w:rsidRPr="00930237">
        <w:rPr>
          <w:rFonts w:ascii="Times New Roman" w:eastAsia="Times New Roman" w:hAnsi="Times New Roman" w:cs="Times New Roman"/>
          <w:iCs/>
          <w:kern w:val="36"/>
          <w:sz w:val="24"/>
          <w:szCs w:val="24"/>
        </w:rPr>
        <w:t>(t.sk. ēku, inženierkomunikāciju, transporta infrastruktūras attīstība un laukumu sakārtošana industriālajās teritorijās)</w:t>
      </w:r>
      <w:r w:rsidRPr="00930237">
        <w:rPr>
          <w:rStyle w:val="FootnoteReference"/>
          <w:rFonts w:ascii="Times New Roman" w:hAnsi="Times New Roman" w:cs="Times New Roman"/>
          <w:sz w:val="24"/>
          <w:szCs w:val="24"/>
        </w:rPr>
        <w:footnoteReference w:id="12"/>
      </w:r>
      <w:r w:rsidRPr="00930237">
        <w:rPr>
          <w:rStyle w:val="FootnoteReference"/>
          <w:szCs w:val="24"/>
        </w:rPr>
        <w:t>.</w:t>
      </w:r>
      <w:r w:rsidRPr="00930237">
        <w:rPr>
          <w:rFonts w:ascii="Times New Roman" w:eastAsia="Times New Roman" w:hAnsi="Times New Roman" w:cs="Times New Roman"/>
          <w:iCs/>
          <w:kern w:val="36"/>
          <w:sz w:val="24"/>
          <w:szCs w:val="24"/>
        </w:rPr>
        <w:t xml:space="preserve"> Šīs infrastruktūras nepietiekamība kavē </w:t>
      </w:r>
      <w:r w:rsidRPr="00930237">
        <w:rPr>
          <w:rFonts w:ascii="Times New Roman" w:hAnsi="Times New Roman" w:cs="Times New Roman"/>
          <w:sz w:val="24"/>
          <w:szCs w:val="24"/>
        </w:rPr>
        <w:t>komersantu iespējas vairāk investēt produktu un pakalpojumu attīstībā ārpus Rīgas aglomerācijas.</w:t>
      </w:r>
      <w:r w:rsidRPr="00930237">
        <w:rPr>
          <w:rFonts w:ascii="Times New Roman" w:eastAsia="Times New Roman" w:hAnsi="Times New Roman" w:cs="Times New Roman"/>
          <w:bCs/>
          <w:iCs/>
          <w:kern w:val="36"/>
          <w:sz w:val="24"/>
          <w:szCs w:val="24"/>
        </w:rPr>
        <w:t xml:space="preserve"> </w:t>
      </w:r>
      <w:r w:rsidR="00202E18" w:rsidRPr="00400888">
        <w:rPr>
          <w:rFonts w:ascii="Times New Roman" w:hAnsi="Times New Roman" w:cs="Times New Roman"/>
          <w:sz w:val="24"/>
          <w:szCs w:val="24"/>
        </w:rPr>
        <w:t>Tāpēc reģionālās ekonomikas attīstībā būtiska loma ir tieši pašvaldībām kā vietējās attīstības līderiem, kas sadarbībā ar komersantiem veido uzņēmējdarbībai labvēlīgu vidi, tādējādi noņemot slogu komersantam veikt ieguldījumus infrastruktūrā un dodot tam iespēju novirzīt savas investīcijas produkta attīstībai</w:t>
      </w:r>
      <w:r w:rsidR="00202E18">
        <w:rPr>
          <w:rFonts w:ascii="Times New Roman" w:hAnsi="Times New Roman" w:cs="Times New Roman"/>
          <w:sz w:val="24"/>
          <w:szCs w:val="24"/>
        </w:rPr>
        <w:t xml:space="preserve">. Tāpat </w:t>
      </w:r>
      <w:r w:rsidR="00202E18" w:rsidRPr="00B028D5">
        <w:rPr>
          <w:rFonts w:ascii="Times New Roman" w:hAnsi="Times New Roman" w:cs="Times New Roman"/>
          <w:sz w:val="24"/>
          <w:szCs w:val="24"/>
        </w:rPr>
        <w:t>iecerēts nostiprināt plānošanas reģionu lomu zināšanu un inovācijas attīstībai, ņemot vērā to kapacitāti un iestrādes inovācijas veicināšanā, kā arī iespējas piemērot reģiona vajadzībām atbilstošus risinājumus. Šajā kontekstā, sinerģijā ar nacionālās inovācijas sistēmas izveidi un darbību, plānots rast atbalstu plānošanas reģioniem reģionālās inovāciju un zināšanu sistēmas izveidei un darbībai, nolūkā veicināt reģionā esošo iestāžu un uzņēmumu ciešāku sadarbību inovācijas attīstībā, reģiona specializācijai nepieciešamo augsti kvalificētu speciālistu piesaistei (sadarbībā ar zinātnes un izglītības iestādēm veicinot nepieciešamo izglītības programmu izveidi), produktīvu uzņēmumu ar augstu pievienoto vērtību attīstību reģionos, tādejādi sekmējot reģionu līdzsvarotu attīstību un mazinot iedzīvotāju aizplūšanu</w:t>
      </w:r>
      <w:r w:rsidR="00202E18">
        <w:rPr>
          <w:rFonts w:ascii="Times New Roman" w:hAnsi="Times New Roman" w:cs="Times New Roman"/>
          <w:sz w:val="24"/>
          <w:szCs w:val="24"/>
        </w:rPr>
        <w:t>.</w:t>
      </w:r>
    </w:p>
    <w:p w14:paraId="56556239" w14:textId="7EC671E6" w:rsidR="00AC212B" w:rsidRPr="00930237" w:rsidRDefault="00AC212B" w:rsidP="007545BD">
      <w:pPr>
        <w:pStyle w:val="mt-translation"/>
        <w:numPr>
          <w:ilvl w:val="0"/>
          <w:numId w:val="60"/>
        </w:numPr>
        <w:spacing w:after="0" w:afterAutospacing="0" w:line="240" w:lineRule="auto"/>
        <w:ind w:left="567" w:hanging="567"/>
        <w:jc w:val="both"/>
      </w:pPr>
      <w:r w:rsidRPr="00930237">
        <w:t>Saskaņā ar OECD datiem (2018) tūrisms un saistītās nozares ir būtiska daļa no Latvijas ekonomikas, veidojot 5% no kopējā eksporta un 8,5 % no kopējās nodarbinātības. ANO PTO “Ziņojumā par tūrismu un kultūru sinerģiju” rezultātiem var aprēķināt, ka Latviju 2017.gadā varētu būt apmeklējuši 760,3 tūkst. kultūras tūristu, kas ir 39%. Vienlaikus joprojām saglabājas augsts neizmantots potenciāls izmantoto kultūras pieminekļu ekonomiskās attīstības potenciālu pilsētās un novados. Tāpat nozīmīgs tūrisma potenciāls saglabājas Latvijas piekrastei, kur saskaņā ar 2015.gada publiskās infrastruktūras apsekojumu var secināt, ka aptuveni 80% no piekrastes garuma tūrisma infrastruktūras kapacitāte un kvalitāte ir nepietiekama.</w:t>
      </w:r>
      <w:r w:rsidRPr="00930237">
        <w:rPr>
          <w:rStyle w:val="FootnoteReference"/>
        </w:rPr>
        <w:footnoteReference w:id="13"/>
      </w:r>
      <w:r w:rsidRPr="00930237">
        <w:t xml:space="preserve">  </w:t>
      </w:r>
    </w:p>
    <w:p w14:paraId="24A604FE" w14:textId="77777777" w:rsidR="00AC212B" w:rsidRPr="00930237" w:rsidRDefault="00AC212B" w:rsidP="007545BD">
      <w:pPr>
        <w:pStyle w:val="mt-translation"/>
        <w:numPr>
          <w:ilvl w:val="0"/>
          <w:numId w:val="60"/>
        </w:numPr>
        <w:spacing w:after="0" w:afterAutospacing="0" w:line="240" w:lineRule="auto"/>
        <w:ind w:left="567" w:hanging="567"/>
        <w:jc w:val="both"/>
      </w:pPr>
      <w:r w:rsidRPr="00930237">
        <w:t xml:space="preserve">Latvijas kopējo P&amp;A&amp;I stratēģiju, t.sk. RIS3, nosaka NIP, un RIS3  mērķi un stratēģiskie virzieni, kas integrēti ZTAI. NIP virsmērķis ir 2030.gadā: </w:t>
      </w:r>
    </w:p>
    <w:p w14:paraId="101A476A" w14:textId="77777777" w:rsidR="00AC212B" w:rsidRPr="00930237" w:rsidRDefault="00AC212B" w:rsidP="007545BD">
      <w:pPr>
        <w:pStyle w:val="ListParagraph"/>
        <w:numPr>
          <w:ilvl w:val="1"/>
          <w:numId w:val="56"/>
        </w:numPr>
        <w:spacing w:after="0" w:line="240" w:lineRule="auto"/>
        <w:jc w:val="both"/>
        <w:rPr>
          <w:rFonts w:ascii="Times New Roman" w:hAnsi="Times New Roman" w:cs="Times New Roman"/>
          <w:sz w:val="24"/>
          <w:szCs w:val="24"/>
        </w:rPr>
      </w:pPr>
      <w:r w:rsidRPr="00930237">
        <w:rPr>
          <w:rFonts w:ascii="Times New Roman" w:hAnsi="Times New Roman" w:cs="Times New Roman"/>
          <w:sz w:val="24"/>
          <w:szCs w:val="24"/>
        </w:rPr>
        <w:t xml:space="preserve">eksporta apjomu palielināt līdz 29,8 miljardiem </w:t>
      </w:r>
      <w:r w:rsidRPr="00B961B5">
        <w:rPr>
          <w:rFonts w:ascii="Times New Roman" w:hAnsi="Times New Roman" w:cs="Times New Roman"/>
          <w:i/>
          <w:iCs/>
          <w:sz w:val="24"/>
          <w:szCs w:val="24"/>
        </w:rPr>
        <w:t>euro</w:t>
      </w:r>
      <w:r w:rsidRPr="00930237">
        <w:rPr>
          <w:rFonts w:ascii="Times New Roman" w:hAnsi="Times New Roman" w:cs="Times New Roman"/>
          <w:sz w:val="24"/>
          <w:szCs w:val="24"/>
        </w:rPr>
        <w:t xml:space="preserve"> gadā;</w:t>
      </w:r>
    </w:p>
    <w:p w14:paraId="5B325764" w14:textId="77777777" w:rsidR="00AC212B" w:rsidRPr="00930237" w:rsidRDefault="00AC212B" w:rsidP="007545BD">
      <w:pPr>
        <w:pStyle w:val="ListParagraph"/>
        <w:numPr>
          <w:ilvl w:val="1"/>
          <w:numId w:val="56"/>
        </w:numPr>
        <w:spacing w:after="0" w:line="240" w:lineRule="auto"/>
        <w:jc w:val="both"/>
        <w:rPr>
          <w:rFonts w:ascii="Times New Roman" w:hAnsi="Times New Roman" w:cs="Times New Roman"/>
          <w:sz w:val="24"/>
          <w:szCs w:val="24"/>
        </w:rPr>
      </w:pPr>
      <w:r w:rsidRPr="00930237">
        <w:rPr>
          <w:rFonts w:ascii="Times New Roman" w:hAnsi="Times New Roman" w:cs="Times New Roman"/>
          <w:sz w:val="24"/>
          <w:szCs w:val="24"/>
        </w:rPr>
        <w:t xml:space="preserve">izdevumu apjoma pētniecības un attīstības darbībām palielināt līdz 776 miljoniem </w:t>
      </w:r>
      <w:r w:rsidRPr="00B961B5">
        <w:rPr>
          <w:rFonts w:ascii="Times New Roman" w:hAnsi="Times New Roman" w:cs="Times New Roman"/>
          <w:i/>
          <w:iCs/>
          <w:sz w:val="24"/>
          <w:szCs w:val="24"/>
        </w:rPr>
        <w:t>euro</w:t>
      </w:r>
      <w:r w:rsidRPr="00930237">
        <w:rPr>
          <w:rFonts w:ascii="Times New Roman" w:hAnsi="Times New Roman" w:cs="Times New Roman"/>
          <w:sz w:val="24"/>
          <w:szCs w:val="24"/>
        </w:rPr>
        <w:t xml:space="preserve"> gadā.</w:t>
      </w:r>
    </w:p>
    <w:p w14:paraId="354F85C6" w14:textId="4B1B5D7A" w:rsidR="00AC212B" w:rsidRPr="00A603EA" w:rsidRDefault="00AC212B" w:rsidP="007545BD">
      <w:pPr>
        <w:pStyle w:val="mt-translation"/>
        <w:numPr>
          <w:ilvl w:val="0"/>
          <w:numId w:val="60"/>
        </w:numPr>
        <w:spacing w:after="0" w:afterAutospacing="0" w:line="240" w:lineRule="auto"/>
        <w:ind w:left="567" w:hanging="567"/>
        <w:jc w:val="both"/>
      </w:pPr>
      <w:r w:rsidRPr="00930237">
        <w:t xml:space="preserve">Ņemot vērā ierobežotos </w:t>
      </w:r>
      <w:r w:rsidRPr="00A603EA">
        <w:t xml:space="preserve">resursus, </w:t>
      </w:r>
      <w:r w:rsidRPr="005B7EA0">
        <w:t xml:space="preserve">investīcijas 1.politiskajā mērķī P&amp;A&amp;I sistēmas attīstībai plānots veikt atbilstoši RIS3. </w:t>
      </w:r>
      <w:r w:rsidRPr="00A603EA">
        <w:t>RIS3 mērķis ir palielināt inovācijas kapacitāti, kā arī veidot inovācijas sistēmu</w:t>
      </w:r>
      <w:r w:rsidR="00B6423D" w:rsidRPr="00A603EA">
        <w:t>, t.sk. reģionālā līmenī</w:t>
      </w:r>
      <w:r w:rsidRPr="00A603EA">
        <w:t xml:space="preserve">, kas veicina un atbalsta tehnoloģisko progresu tautsaimniecībā. </w:t>
      </w:r>
      <w:r w:rsidRPr="005B7EA0">
        <w:t>Tā ietvaros tiks palielināta Latvijas P&amp;I kopējā kapacitāte, tiks turpināta pilnveidot P&amp;I pārvaldība un tiks veikta RIS3 stratēģisko vērtības ķēžu ekosistēmu attīstīšana, kuras pamatā ir nodrošināts strukturēts dialogs un koordinēta rīcība visu iesaistīto pušu starpā (privātā, publiskā un akadēmiskā sektora sadarbības partneru tīkls), veidojot efektīvas sadarbības platformas katrā RIS3 jomā</w:t>
      </w:r>
      <w:r w:rsidR="004E0A6B" w:rsidRPr="005B7EA0">
        <w:t xml:space="preserve">                                                </w:t>
      </w:r>
      <w:r w:rsidR="00165C5D" w:rsidRPr="005B7EA0">
        <w:t xml:space="preserve">un atbalstot jaunu produktu un pakalpojumu izstrādi un zināšanu pārnesi </w:t>
      </w:r>
      <w:r w:rsidR="00982040" w:rsidRPr="005B7EA0">
        <w:t>tautsaimniecībā</w:t>
      </w:r>
      <w:r w:rsidRPr="00A603EA">
        <w:t>.</w:t>
      </w:r>
    </w:p>
    <w:p w14:paraId="46CBCCBA" w14:textId="7DF67689" w:rsidR="00AC212B" w:rsidRPr="00930237" w:rsidRDefault="00AC212B" w:rsidP="007545BD">
      <w:pPr>
        <w:pStyle w:val="ListParagraph"/>
        <w:numPr>
          <w:ilvl w:val="0"/>
          <w:numId w:val="60"/>
        </w:numPr>
        <w:spacing w:after="0" w:line="240" w:lineRule="auto"/>
        <w:ind w:left="567" w:hanging="567"/>
        <w:mirrorIndents/>
        <w:jc w:val="both"/>
        <w:rPr>
          <w:rFonts w:eastAsia="Times New Roman"/>
          <w:szCs w:val="24"/>
        </w:rPr>
      </w:pPr>
      <w:r w:rsidRPr="00A603EA">
        <w:rPr>
          <w:rFonts w:ascii="Times New Roman" w:eastAsia="Times New Roman" w:hAnsi="Times New Roman" w:cs="Times New Roman"/>
          <w:sz w:val="24"/>
          <w:szCs w:val="24"/>
        </w:rPr>
        <w:t>Papildus finansējuma pieejamībai, uzņēmumu ilgtermiņa investīciju lēmumus un attīstības virzienu ietekmē augsti kvalificēta darba spēka  un prasmju trūkums, kas ir īpaši akūts STEM jomās, kā arī RIS3 sektoros</w:t>
      </w:r>
      <w:r w:rsidRPr="00930237">
        <w:rPr>
          <w:rFonts w:ascii="Times New Roman" w:eastAsia="Times New Roman" w:hAnsi="Times New Roman" w:cs="Times New Roman"/>
          <w:sz w:val="24"/>
          <w:szCs w:val="24"/>
        </w:rPr>
        <w:t xml:space="preserve">. Īpašs augsti kvalificētu darbinieku trūkums novērojams IKT, būvniecības, veselības, izglītības un zinātnes sektoros. </w:t>
      </w:r>
      <w:r w:rsidR="007B57D2" w:rsidRPr="007B57D2">
        <w:rPr>
          <w:rFonts w:ascii="Times New Roman" w:eastAsia="Times New Roman" w:hAnsi="Times New Roman" w:cs="Times New Roman"/>
          <w:sz w:val="24"/>
          <w:szCs w:val="24"/>
        </w:rPr>
        <w:t>Tajā pašā laikā ir novērojams paaugstināts bezdarba līmenis, jo īpaši ārpus ekonomiskās aktivitātes centriem, kas var norādīt gan uz reģionālajām nesabalansētībām un reģionālās mobilitātes izaicinājumiem, gan uz prasmju neatbilstību darba tirgus vajadzībām. Papildus bezdarba paaugstināšanos veicinājusi Covid-19 ietekme</w:t>
      </w:r>
      <w:r w:rsidRPr="00930237">
        <w:rPr>
          <w:rFonts w:ascii="Times New Roman" w:eastAsia="Times New Roman" w:hAnsi="Times New Roman" w:cs="Times New Roman"/>
          <w:sz w:val="24"/>
          <w:szCs w:val="24"/>
        </w:rPr>
        <w:t>.</w:t>
      </w:r>
    </w:p>
    <w:p w14:paraId="6F80E6A8" w14:textId="1189922B" w:rsidR="00E706B9" w:rsidRDefault="00E706B9"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E706B9">
        <w:rPr>
          <w:rFonts w:ascii="Times New Roman" w:hAnsi="Times New Roman" w:cs="Times New Roman"/>
          <w:sz w:val="24"/>
          <w:szCs w:val="24"/>
        </w:rPr>
        <w:t>Latvija pārsniedz ES vidējo rādītāju attiecībā uz digitāliem publiskiem pakalpojumiem, tāpat arī 83% interneta lietotāju izmanto šos pakalpojumus iepretim ES rādītājam 67%, vienlaikus tikai trīs no šiem digitālajiem pakalpojumiem pieejami pārrobežu izmantošanai. Tomēr Latvijas uzņēmumi ir vienā no pēdējām vietām ES attiecībā uz produktu un pakalpojumu pārdošanu patērētājiem izmantojot digitālos rīkus</w:t>
      </w:r>
      <w:r w:rsidRPr="00930237">
        <w:rPr>
          <w:rStyle w:val="FootnoteReference"/>
          <w:rFonts w:ascii="Times New Roman" w:hAnsi="Times New Roman" w:cs="Times New Roman"/>
          <w:sz w:val="24"/>
          <w:szCs w:val="24"/>
        </w:rPr>
        <w:footnoteReference w:id="14"/>
      </w:r>
      <w:r w:rsidRPr="00E706B9">
        <w:rPr>
          <w:rFonts w:ascii="Times New Roman" w:hAnsi="Times New Roman" w:cs="Times New Roman"/>
          <w:sz w:val="24"/>
          <w:szCs w:val="24"/>
        </w:rPr>
        <w:t>, kas skaidrojams ar augsti kvalificētu speciālistu trūkumu un zemām vispārējām digitālām prasmēm kā arī Latvijā pieejamā koplietošanas digitālā infrastruktūra nepietiekami atbalsta komersantu digitalizāciju</w:t>
      </w:r>
      <w:r>
        <w:rPr>
          <w:rFonts w:ascii="Times New Roman" w:hAnsi="Times New Roman" w:cs="Times New Roman"/>
          <w:sz w:val="24"/>
          <w:szCs w:val="24"/>
        </w:rPr>
        <w:t>.</w:t>
      </w:r>
    </w:p>
    <w:p w14:paraId="468F3133" w14:textId="77777777"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930237">
        <w:rPr>
          <w:rFonts w:ascii="Times New Roman" w:eastAsia="Times New Roman" w:hAnsi="Times New Roman" w:cs="Times New Roman"/>
          <w:sz w:val="24"/>
          <w:szCs w:val="24"/>
        </w:rPr>
        <w:t xml:space="preserve">Latvijā ir zems sabiedrības un darbaspēka </w:t>
      </w:r>
      <w:r w:rsidRPr="00930237">
        <w:rPr>
          <w:rFonts w:ascii="Times New Roman" w:eastAsia="Times New Roman" w:hAnsi="Times New Roman" w:cs="Times New Roman"/>
          <w:b/>
          <w:sz w:val="24"/>
          <w:szCs w:val="24"/>
        </w:rPr>
        <w:t>digitālo prasmju</w:t>
      </w:r>
      <w:r w:rsidRPr="00930237">
        <w:rPr>
          <w:rFonts w:ascii="Times New Roman" w:eastAsia="Times New Roman" w:hAnsi="Times New Roman" w:cs="Times New Roman"/>
          <w:sz w:val="24"/>
          <w:szCs w:val="24"/>
        </w:rPr>
        <w:t xml:space="preserve"> līmenis, kas ierobežo inovācijas potenciālu uzņēmumos, kā arī kavē dalību mūžizglītībā un bezdarbnieku dalību aktīvajos nodarbinātības pasākumos. Latvijas iedzīvotājiem trūkst visu līmeņu digitālās prasmes un vērojams zems IKT speciālistu īpatsvars darbaspēkā. Tikai 43% Latvijas iedzīvotāju vecumā no 16 līdz 74 gadiem ir digitālās pamatprasmes (58% ES kopumā), un IKT speciālisti veido nelielu darbaspēka daļu (1,7% salīdzinājumā ar 3,9% ES, savukārt IKT speciālistes sievietes procentuāli no nodarbināto sieviešu skaita ir tikai 0,5% salīdzinājumā ar 1,4% ES)</w:t>
      </w:r>
      <w:r w:rsidRPr="00930237">
        <w:rPr>
          <w:rStyle w:val="FootnoteReference"/>
          <w:rFonts w:ascii="Times New Roman" w:hAnsi="Times New Roman" w:cs="Times New Roman"/>
          <w:sz w:val="24"/>
          <w:szCs w:val="24"/>
        </w:rPr>
        <w:footnoteReference w:id="15"/>
      </w:r>
      <w:r w:rsidRPr="00930237">
        <w:rPr>
          <w:rFonts w:ascii="Times New Roman" w:eastAsia="Times New Roman" w:hAnsi="Times New Roman" w:cs="Times New Roman"/>
          <w:sz w:val="24"/>
          <w:szCs w:val="24"/>
        </w:rPr>
        <w:t>.</w:t>
      </w:r>
    </w:p>
    <w:p w14:paraId="7E5F5A46" w14:textId="2C1DEA5F" w:rsidR="00AC212B" w:rsidRPr="00930237" w:rsidRDefault="00AC212B" w:rsidP="007545BD">
      <w:pPr>
        <w:pStyle w:val="ListParagraph"/>
        <w:numPr>
          <w:ilvl w:val="0"/>
          <w:numId w:val="60"/>
        </w:numPr>
        <w:spacing w:after="0" w:line="240" w:lineRule="auto"/>
        <w:ind w:left="567" w:hanging="567"/>
        <w:mirrorIndents/>
        <w:jc w:val="both"/>
        <w:rPr>
          <w:rFonts w:ascii="Times New Roman" w:eastAsia="Times New Roman" w:hAnsi="Times New Roman" w:cs="Times New Roman"/>
          <w:color w:val="000000" w:themeColor="text1"/>
          <w:sz w:val="24"/>
          <w:szCs w:val="24"/>
        </w:rPr>
      </w:pPr>
      <w:r w:rsidRPr="00930237">
        <w:rPr>
          <w:rFonts w:ascii="Times New Roman" w:eastAsia="Times New Roman" w:hAnsi="Times New Roman" w:cs="Times New Roman"/>
          <w:sz w:val="24"/>
          <w:szCs w:val="24"/>
        </w:rPr>
        <w:t xml:space="preserve">Zināšanu ietilpīgā ekonomikā sabiedrības zināšanu, t.sk. </w:t>
      </w:r>
      <w:r w:rsidR="0001212C">
        <w:rPr>
          <w:rFonts w:ascii="Times New Roman" w:eastAsia="Times New Roman" w:hAnsi="Times New Roman" w:cs="Times New Roman"/>
          <w:sz w:val="24"/>
          <w:szCs w:val="24"/>
        </w:rPr>
        <w:t xml:space="preserve">personisko </w:t>
      </w:r>
      <w:r w:rsidRPr="00930237">
        <w:rPr>
          <w:rFonts w:ascii="Times New Roman" w:eastAsia="Times New Roman" w:hAnsi="Times New Roman" w:cs="Times New Roman"/>
          <w:sz w:val="24"/>
          <w:szCs w:val="24"/>
        </w:rPr>
        <w:t xml:space="preserve">prasmju līmenis ir “izejviela” un galvenais dzinulis ekonomikas attīstībai, kam nepieciešama ilgtermiņa pieeja visos izglītības līmeņos. Lai nodrošinātu noturīgu un ilgtspējīgu ražīguma pieaugumu un ekonomikas attīstību, būtiski ir attīstīt vajadzīgās prasmes </w:t>
      </w:r>
      <w:r w:rsidR="0001212C" w:rsidRPr="0001212C">
        <w:rPr>
          <w:rFonts w:ascii="Times New Roman" w:eastAsia="Times New Roman" w:hAnsi="Times New Roman" w:cs="Times New Roman"/>
          <w:sz w:val="24"/>
          <w:szCs w:val="24"/>
          <w:u w:val="single"/>
        </w:rPr>
        <w:t>(gan personiskās</w:t>
      </w:r>
      <w:r w:rsidR="00D13D89">
        <w:rPr>
          <w:rFonts w:ascii="Times New Roman" w:eastAsia="Times New Roman" w:hAnsi="Times New Roman" w:cs="Times New Roman"/>
          <w:sz w:val="24"/>
          <w:szCs w:val="24"/>
          <w:u w:val="single"/>
        </w:rPr>
        <w:t>,</w:t>
      </w:r>
      <w:r w:rsidR="0001212C" w:rsidRPr="0001212C">
        <w:rPr>
          <w:rFonts w:ascii="Times New Roman" w:eastAsia="Times New Roman" w:hAnsi="Times New Roman" w:cs="Times New Roman"/>
          <w:sz w:val="24"/>
          <w:szCs w:val="24"/>
          <w:u w:val="single"/>
        </w:rPr>
        <w:t xml:space="preserve"> gan profesionālās)</w:t>
      </w:r>
      <w:r w:rsidR="0001212C">
        <w:rPr>
          <w:rFonts w:ascii="Times New Roman" w:eastAsia="Times New Roman" w:hAnsi="Times New Roman" w:cs="Times New Roman"/>
          <w:sz w:val="20"/>
          <w:szCs w:val="20"/>
          <w:u w:val="single"/>
        </w:rPr>
        <w:t xml:space="preserve"> </w:t>
      </w:r>
      <w:r w:rsidRPr="00930237">
        <w:rPr>
          <w:rFonts w:ascii="Times New Roman" w:eastAsia="Times New Roman" w:hAnsi="Times New Roman" w:cs="Times New Roman"/>
          <w:sz w:val="24"/>
          <w:szCs w:val="24"/>
        </w:rPr>
        <w:t>un sistēmas pielāgošanās darba tirgus vajadzībām. Ņemot vērā demogrāfiskās attīstības tendences un sarūkošo iedzīvotāju skaitu, svarīga ir esošo resursu efektīva izmantošana, t.sk. iedzīvotāju prasmju kapacitātes attīstīšana (vieda sabiedrība), kas ir priekšnoteikums produktivitātes celšanai.</w:t>
      </w:r>
    </w:p>
    <w:p w14:paraId="3A02A00C" w14:textId="3E402DC5" w:rsidR="00A924D8" w:rsidRPr="00B961B5" w:rsidRDefault="00A924D8"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A924D8">
        <w:rPr>
          <w:rFonts w:ascii="Times New Roman" w:eastAsia="Times New Roman" w:hAnsi="Times New Roman" w:cs="Times New Roman"/>
          <w:sz w:val="24"/>
          <w:szCs w:val="24"/>
        </w:rPr>
        <w:t>Izglītībai ir svarīga loma demokrātiskas sabiedrības veidošanā un valstij ir būtiski nodrošināt vienlīdzīgu pieeju izglītībai visiem tās iedzīvotājiem, t</w:t>
      </w:r>
      <w:r w:rsidR="00F65811">
        <w:rPr>
          <w:rFonts w:ascii="Times New Roman" w:eastAsia="Times New Roman" w:hAnsi="Times New Roman" w:cs="Times New Roman"/>
          <w:sz w:val="24"/>
          <w:szCs w:val="24"/>
        </w:rPr>
        <w:t>.</w:t>
      </w:r>
      <w:r w:rsidRPr="00A924D8">
        <w:rPr>
          <w:rFonts w:ascii="Times New Roman" w:eastAsia="Times New Roman" w:hAnsi="Times New Roman" w:cs="Times New Roman"/>
          <w:sz w:val="24"/>
          <w:szCs w:val="24"/>
        </w:rPr>
        <w:t xml:space="preserve"> sk</w:t>
      </w:r>
      <w:r w:rsidR="00F65811">
        <w:rPr>
          <w:rFonts w:ascii="Times New Roman" w:eastAsia="Times New Roman" w:hAnsi="Times New Roman" w:cs="Times New Roman"/>
          <w:sz w:val="24"/>
          <w:szCs w:val="24"/>
        </w:rPr>
        <w:t>.</w:t>
      </w:r>
      <w:r w:rsidRPr="00A924D8">
        <w:rPr>
          <w:rFonts w:ascii="Times New Roman" w:eastAsia="Times New Roman" w:hAnsi="Times New Roman" w:cs="Times New Roman"/>
          <w:sz w:val="24"/>
          <w:szCs w:val="24"/>
        </w:rPr>
        <w:t xml:space="preserve">, mazāk aizsargātām sabiedrības grupām un </w:t>
      </w:r>
      <w:r w:rsidR="005F6135">
        <w:rPr>
          <w:rFonts w:ascii="Times New Roman" w:eastAsia="Times New Roman" w:hAnsi="Times New Roman" w:cs="Times New Roman"/>
          <w:sz w:val="24"/>
          <w:szCs w:val="24"/>
        </w:rPr>
        <w:t>personām ar invaliditāti</w:t>
      </w:r>
      <w:r w:rsidRPr="00A924D8">
        <w:rPr>
          <w:rFonts w:ascii="Times New Roman" w:eastAsia="Times New Roman" w:hAnsi="Times New Roman" w:cs="Times New Roman"/>
          <w:sz w:val="24"/>
          <w:szCs w:val="24"/>
        </w:rPr>
        <w:t xml:space="preserve">, nodrošinot </w:t>
      </w:r>
      <w:r>
        <w:rPr>
          <w:rFonts w:ascii="Times New Roman" w:eastAsia="Times New Roman" w:hAnsi="Times New Roman" w:cs="Times New Roman"/>
          <w:sz w:val="24"/>
          <w:szCs w:val="24"/>
        </w:rPr>
        <w:t>iespējas</w:t>
      </w:r>
      <w:r w:rsidRPr="00A924D8">
        <w:rPr>
          <w:rFonts w:ascii="Times New Roman" w:eastAsia="Times New Roman" w:hAnsi="Times New Roman" w:cs="Times New Roman"/>
          <w:sz w:val="24"/>
          <w:szCs w:val="24"/>
        </w:rPr>
        <w:t xml:space="preserve"> </w:t>
      </w:r>
      <w:r w:rsidR="005F6135">
        <w:rPr>
          <w:rFonts w:ascii="Times New Roman" w:eastAsia="Times New Roman" w:hAnsi="Times New Roman" w:cs="Times New Roman"/>
          <w:sz w:val="24"/>
          <w:szCs w:val="24"/>
        </w:rPr>
        <w:t>īstenot</w:t>
      </w:r>
      <w:r w:rsidR="005F6135" w:rsidRPr="00A924D8">
        <w:rPr>
          <w:rFonts w:ascii="Times New Roman" w:eastAsia="Times New Roman" w:hAnsi="Times New Roman" w:cs="Times New Roman"/>
          <w:sz w:val="24"/>
          <w:szCs w:val="24"/>
        </w:rPr>
        <w:t xml:space="preserve"> </w:t>
      </w:r>
      <w:r w:rsidRPr="00A924D8">
        <w:rPr>
          <w:rFonts w:ascii="Times New Roman" w:eastAsia="Times New Roman" w:hAnsi="Times New Roman" w:cs="Times New Roman"/>
          <w:sz w:val="24"/>
          <w:szCs w:val="24"/>
        </w:rPr>
        <w:t xml:space="preserve">savu potenciālu. Latvijā iekļaujoša izglītība ir definēta kā process, kurā tiek nodrošinātas atbilstošas visu izglītojamo daudzveidīgās vajadzības, palielinot ikviena izglītojamā līdzdalības iespējas mācību procesā, kultūrā un dažādās kopienās un samazinot izslēgšanas iespējas no izglītības un izglītības ieguves procesa. </w:t>
      </w:r>
    </w:p>
    <w:p w14:paraId="39EFF5F0" w14:textId="00BA9EF3" w:rsidR="00A924D8" w:rsidRPr="00B961B5" w:rsidRDefault="00A924D8"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A924D8">
        <w:rPr>
          <w:rFonts w:ascii="Times New Roman" w:eastAsia="Times New Roman" w:hAnsi="Times New Roman" w:cs="Times New Roman"/>
          <w:sz w:val="24"/>
          <w:szCs w:val="24"/>
        </w:rPr>
        <w:t xml:space="preserve">Izglītības attīstībai izvirzītais mērķis nākamo septiņu gadu periodam ir nodrošināt pietiekamu pedagoģisko un atbalsta personālu bērniem un jauniešiem, kuriem tas ir nepieciešams dažādu apstākļu dēļ. Plānots virzīties uz divu pedagogu nodrošināšanu vispārizglītojošājas skolās prioritāri 1.-3. klašu grupā ar lielu izglītojamo skaitu un klasēs, kurās ir skolēni ar speciālām vajadzībām, kā arī pārskatīt kārtību, kādā aprēķina </w:t>
      </w:r>
      <w:r w:rsidR="00242D6D">
        <w:rPr>
          <w:rFonts w:ascii="Times New Roman" w:eastAsia="Times New Roman" w:hAnsi="Times New Roman" w:cs="Times New Roman"/>
          <w:sz w:val="24"/>
          <w:szCs w:val="24"/>
        </w:rPr>
        <w:t xml:space="preserve">valsts budžeta </w:t>
      </w:r>
      <w:r w:rsidRPr="00A924D8">
        <w:rPr>
          <w:rFonts w:ascii="Times New Roman" w:eastAsia="Times New Roman" w:hAnsi="Times New Roman" w:cs="Times New Roman"/>
          <w:sz w:val="24"/>
          <w:szCs w:val="24"/>
        </w:rPr>
        <w:t>mērķdotāciju pedagogu darba samaksai un risināt atbalsta personāla (speciālais pedagogs, skolotājs logopēds, sociālais pedagogs, izglītības psihologs, pedagogs karjeras konsultants) pieejamību gan pirmsskolas izglītības iestādēs, gan vispārējās izglītības iestādēs.</w:t>
      </w:r>
    </w:p>
    <w:p w14:paraId="2A45817F" w14:textId="7396E135" w:rsidR="00A924D8" w:rsidRDefault="00A924D8" w:rsidP="007545BD">
      <w:pPr>
        <w:pStyle w:val="ListParagraph"/>
        <w:numPr>
          <w:ilvl w:val="0"/>
          <w:numId w:val="60"/>
        </w:numPr>
        <w:spacing w:line="240" w:lineRule="auto"/>
        <w:ind w:left="567" w:hanging="567"/>
        <w:jc w:val="both"/>
        <w:rPr>
          <w:rFonts w:ascii="Times New Roman" w:hAnsi="Times New Roman" w:cs="Times New Roman"/>
          <w:sz w:val="24"/>
          <w:szCs w:val="24"/>
        </w:rPr>
      </w:pPr>
      <w:r w:rsidRPr="00A924D8">
        <w:rPr>
          <w:rFonts w:ascii="Times New Roman" w:hAnsi="Times New Roman" w:cs="Times New Roman"/>
          <w:sz w:val="24"/>
          <w:szCs w:val="24"/>
        </w:rPr>
        <w:t>No pēdējo gadu izglītības kvalitātes vērtēšanas procesa rezultātiem var konstatēt, ka atsevišķos iekļaujošās izglītības aspektos lauku izglītības iestādes ir sekmīgākas, nodrošinot iekļaujošas izglītības, t</w:t>
      </w:r>
      <w:r w:rsidR="00AC3040">
        <w:rPr>
          <w:rFonts w:ascii="Times New Roman" w:hAnsi="Times New Roman" w:cs="Times New Roman"/>
          <w:sz w:val="24"/>
          <w:szCs w:val="24"/>
        </w:rPr>
        <w:t>.sk.,</w:t>
      </w:r>
      <w:r w:rsidRPr="00A924D8">
        <w:rPr>
          <w:rFonts w:ascii="Times New Roman" w:hAnsi="Times New Roman" w:cs="Times New Roman"/>
          <w:sz w:val="24"/>
          <w:szCs w:val="24"/>
        </w:rPr>
        <w:t xml:space="preserve"> speciālās izglītības, īstenošanu, bet pilsētu skolās vidēji ir augstāki mācību sasniegumi, lai gan kopumā izglītības iestādes pilsētās mazāk velta pūles dažādu izglītojamo sekmīgai iekļaušanai savā vidē. Izglītības iestādēm laukos liels izaicinājums ir atbilstošas kvalifikācijas atbalsta personāla pieejamība. Savukārt, visās izglītības iestādēs kā būtiskākais izaicinājums ir izglītības iestāžu administrācijas komandas prasme vadīt dažādību un īstenot sekmīgu pārmaiņu vadību, pedagogu zināšanas un prasme pielāgot ikdienas izglītības procesu dažādām skolēnu vajadzībām skolā. </w:t>
      </w:r>
    </w:p>
    <w:p w14:paraId="1FF7FF23" w14:textId="79478C46" w:rsidR="00A924D8" w:rsidRPr="00A924D8" w:rsidRDefault="00A924D8" w:rsidP="007545BD">
      <w:pPr>
        <w:pStyle w:val="ListParagraph"/>
        <w:numPr>
          <w:ilvl w:val="0"/>
          <w:numId w:val="60"/>
        </w:numPr>
        <w:spacing w:line="240" w:lineRule="auto"/>
        <w:ind w:left="567" w:hanging="567"/>
        <w:jc w:val="both"/>
        <w:rPr>
          <w:rFonts w:ascii="Times New Roman" w:hAnsi="Times New Roman" w:cs="Times New Roman"/>
          <w:sz w:val="24"/>
          <w:szCs w:val="24"/>
        </w:rPr>
      </w:pPr>
      <w:r w:rsidRPr="00A924D8">
        <w:rPr>
          <w:rFonts w:ascii="Times New Roman" w:hAnsi="Times New Roman" w:cs="Times New Roman"/>
          <w:sz w:val="24"/>
          <w:szCs w:val="24"/>
        </w:rPr>
        <w:t>Svarīg</w:t>
      </w:r>
      <w:r w:rsidR="00242D6D">
        <w:rPr>
          <w:rFonts w:ascii="Times New Roman" w:hAnsi="Times New Roman" w:cs="Times New Roman"/>
          <w:sz w:val="24"/>
          <w:szCs w:val="24"/>
        </w:rPr>
        <w:t>a</w:t>
      </w:r>
      <w:r w:rsidRPr="00A924D8">
        <w:rPr>
          <w:rFonts w:ascii="Times New Roman" w:hAnsi="Times New Roman" w:cs="Times New Roman"/>
          <w:sz w:val="24"/>
          <w:szCs w:val="24"/>
        </w:rPr>
        <w:t xml:space="preserve"> loma ir daudzveidīgai mācīšanās pieredzei un sociāli emocionālajai labbūtībai ģimenē un skolā. Ierobežotā piekļuve radošiem, kultūras vai vērtīborientētiem resursiem, it īpaši agrīnā vecumposmā, mazina</w:t>
      </w:r>
      <w:r>
        <w:rPr>
          <w:rFonts w:ascii="Times New Roman" w:hAnsi="Times New Roman" w:cs="Times New Roman"/>
          <w:sz w:val="24"/>
          <w:szCs w:val="24"/>
        </w:rPr>
        <w:t xml:space="preserve"> </w:t>
      </w:r>
      <w:r w:rsidRPr="00A924D8">
        <w:rPr>
          <w:rFonts w:ascii="Times New Roman" w:hAnsi="Times New Roman" w:cs="Times New Roman"/>
          <w:sz w:val="24"/>
          <w:szCs w:val="24"/>
        </w:rPr>
        <w:t>iespējas skolēniem būt aktīviem sava mācīšanās procesa un rezultāta veidotājiem un izdarīt kvalitatīvu izvēli izglītības turpināšanai. Ņemot vērā pašvadītas mācīšanās nozīmi pilnveidotā vispārējās izglītības satura kvalitatīvā apguvē, tiek veicināta skolēnu piekļuve daudzveidīgākiem mācību resursiem un mācīšanās formām.</w:t>
      </w:r>
    </w:p>
    <w:p w14:paraId="191DAA4B" w14:textId="21C8AAA9" w:rsidR="00A924D8" w:rsidRPr="00A924D8" w:rsidRDefault="00A924D8" w:rsidP="007545BD">
      <w:pPr>
        <w:pStyle w:val="ListParagraph"/>
        <w:numPr>
          <w:ilvl w:val="0"/>
          <w:numId w:val="60"/>
        </w:numPr>
        <w:spacing w:line="240" w:lineRule="auto"/>
        <w:ind w:left="567" w:hanging="567"/>
        <w:jc w:val="both"/>
        <w:rPr>
          <w:rFonts w:ascii="Times New Roman" w:hAnsi="Times New Roman" w:cs="Times New Roman"/>
          <w:sz w:val="24"/>
          <w:szCs w:val="24"/>
        </w:rPr>
      </w:pPr>
      <w:r w:rsidRPr="00A924D8">
        <w:rPr>
          <w:rFonts w:ascii="Times New Roman" w:hAnsi="Times New Roman" w:cs="Times New Roman"/>
          <w:sz w:val="24"/>
          <w:szCs w:val="24"/>
        </w:rPr>
        <w:t xml:space="preserve">Valstij paredzot nosacījumus izglītības iestāžu tīkla sakārtošanai pašvaldībās, tiks risināts atbalsta speciālistu trūkums un pilnveidota pedagogu atlīdzības sistēma, kā arī sekmēta pilnveidotā mācību satura kvalitatīva ieviešana. ES fondu atbalsts sekmēs profesionālās kompetences pilnveidi pedagogiem un labās prakses piemēru izplatīšanu, tostarp iekļaujošas izglītības īstenošanai. </w:t>
      </w:r>
    </w:p>
    <w:p w14:paraId="7846CA1E" w14:textId="2232FF2A" w:rsidR="00A924D8" w:rsidRPr="00B961B5" w:rsidRDefault="00A924D8" w:rsidP="007545BD">
      <w:pPr>
        <w:pStyle w:val="ListParagraph"/>
        <w:numPr>
          <w:ilvl w:val="0"/>
          <w:numId w:val="60"/>
        </w:numPr>
        <w:spacing w:line="240" w:lineRule="auto"/>
        <w:ind w:left="567" w:hanging="567"/>
        <w:jc w:val="both"/>
        <w:rPr>
          <w:rFonts w:ascii="Times New Roman" w:hAnsi="Times New Roman" w:cs="Times New Roman"/>
          <w:sz w:val="24"/>
          <w:szCs w:val="24"/>
        </w:rPr>
      </w:pPr>
      <w:r w:rsidRPr="00A924D8">
        <w:rPr>
          <w:rFonts w:ascii="Times New Roman" w:hAnsi="Times New Roman" w:cs="Times New Roman"/>
          <w:sz w:val="24"/>
          <w:szCs w:val="24"/>
        </w:rPr>
        <w:t xml:space="preserve">ES fondu investīcijas plānotas mērķtiecīgam iekļaujošas izglītības sistēmas atbalstam, primāri fokusējoties uz nelabvēlīgā situācijā esošām grupām – bērniem ar speciālām vajadzībām, bērniem ar mācību grūtībām, bērniem no nabadzības riskam pakļautām ģimenēm, remigrantu un imigrantu bērniem, romu bērniem u.c., lai nodrošinātu viņiem piekļuvi kvalitatīvai formālai un neformālai izglītībai, veicinātu viņu integrāciju sabiedrībā un mazinātu šķēršļus izglītības ieguvei, kurus rada veselības, ekonomiskie, sociālie vai ģeogrāfiskie faktori. Stiprinot izglītības iestāžu sadarbību ar vecākiem tiks veicināta sabiedrības izpratne par iekļaujošas izglītības jautājumiem, bet sadarbībā ar vietējo kopienu tiks veicināta bērnu un jauniešu iekļautība, emocionālā labizjūta un piederība. </w:t>
      </w:r>
    </w:p>
    <w:p w14:paraId="33296FFF" w14:textId="4C34A505"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930237">
        <w:rPr>
          <w:rFonts w:ascii="Times New Roman" w:eastAsia="Times New Roman" w:hAnsi="Times New Roman" w:cs="Times New Roman"/>
          <w:sz w:val="24"/>
          <w:szCs w:val="24"/>
        </w:rPr>
        <w:t>Lai arī Latvijas izglītojamo prasmju līmenis kopumā atbilst OECD valstu vidējiem rādītājiem, tomēr novērojams, ka Latvijā ir neliels izglītojamo īpatsvars ar augstiem mācību rezultātiem</w:t>
      </w:r>
      <w:r w:rsidR="00A924D8">
        <w:rPr>
          <w:rFonts w:ascii="Times New Roman" w:eastAsia="Times New Roman" w:hAnsi="Times New Roman" w:cs="Times New Roman"/>
          <w:sz w:val="24"/>
          <w:szCs w:val="24"/>
        </w:rPr>
        <w:t xml:space="preserve"> un augsts</w:t>
      </w:r>
      <w:r w:rsidRPr="00930237">
        <w:rPr>
          <w:rFonts w:ascii="Times New Roman" w:eastAsia="Times New Roman" w:hAnsi="Times New Roman" w:cs="Times New Roman"/>
          <w:sz w:val="24"/>
          <w:szCs w:val="24"/>
        </w:rPr>
        <w:t xml:space="preserve"> izglītojamo īpatsvars ar zemiem mācību sasniegumiem </w:t>
      </w:r>
      <w:r w:rsidR="00A924D8" w:rsidRPr="00A924D8">
        <w:rPr>
          <w:rFonts w:ascii="Times New Roman" w:eastAsia="Times New Roman" w:hAnsi="Times New Roman" w:cs="Times New Roman"/>
          <w:sz w:val="24"/>
          <w:szCs w:val="24"/>
        </w:rPr>
        <w:t>(PISA 2018 dati)</w:t>
      </w:r>
      <w:r w:rsidR="00A924D8">
        <w:rPr>
          <w:rFonts w:ascii="Times New Roman" w:eastAsia="Times New Roman" w:hAnsi="Times New Roman" w:cs="Times New Roman"/>
          <w:sz w:val="24"/>
          <w:szCs w:val="24"/>
        </w:rPr>
        <w:t>.</w:t>
      </w:r>
      <w:r w:rsidR="00A924D8" w:rsidRPr="00A924D8">
        <w:rPr>
          <w:rFonts w:ascii="Times New Roman" w:eastAsia="Times New Roman" w:hAnsi="Times New Roman" w:cs="Times New Roman"/>
          <w:sz w:val="24"/>
          <w:szCs w:val="24"/>
        </w:rPr>
        <w:t xml:space="preserve"> </w:t>
      </w:r>
      <w:r w:rsidR="001B0AF8" w:rsidRPr="001B0AF8">
        <w:rPr>
          <w:rFonts w:ascii="Times New Roman" w:eastAsia="Times New Roman" w:hAnsi="Times New Roman" w:cs="Times New Roman"/>
          <w:sz w:val="24"/>
          <w:szCs w:val="24"/>
        </w:rPr>
        <w:t xml:space="preserve">Viens no veidiem, kā </w:t>
      </w:r>
      <w:r w:rsidR="00A924D8" w:rsidRPr="001B0AF8">
        <w:rPr>
          <w:rFonts w:ascii="Times New Roman" w:eastAsia="Times New Roman" w:hAnsi="Times New Roman" w:cs="Times New Roman"/>
          <w:sz w:val="24"/>
          <w:szCs w:val="24"/>
        </w:rPr>
        <w:t>pa</w:t>
      </w:r>
      <w:r w:rsidR="00A924D8">
        <w:rPr>
          <w:rFonts w:ascii="Times New Roman" w:eastAsia="Times New Roman" w:hAnsi="Times New Roman" w:cs="Times New Roman"/>
          <w:sz w:val="24"/>
          <w:szCs w:val="24"/>
        </w:rPr>
        <w:t>augstināt</w:t>
      </w:r>
      <w:r w:rsidR="00A924D8" w:rsidRPr="001B0AF8">
        <w:rPr>
          <w:rFonts w:ascii="Times New Roman" w:eastAsia="Times New Roman" w:hAnsi="Times New Roman" w:cs="Times New Roman"/>
          <w:sz w:val="24"/>
          <w:szCs w:val="24"/>
        </w:rPr>
        <w:t xml:space="preserve"> </w:t>
      </w:r>
      <w:r w:rsidR="001B0AF8" w:rsidRPr="001B0AF8">
        <w:rPr>
          <w:rFonts w:ascii="Times New Roman" w:eastAsia="Times New Roman" w:hAnsi="Times New Roman" w:cs="Times New Roman"/>
          <w:sz w:val="24"/>
          <w:szCs w:val="24"/>
        </w:rPr>
        <w:t>zināšan</w:t>
      </w:r>
      <w:r w:rsidR="00A924D8">
        <w:rPr>
          <w:rFonts w:ascii="Times New Roman" w:eastAsia="Times New Roman" w:hAnsi="Times New Roman" w:cs="Times New Roman"/>
          <w:sz w:val="24"/>
          <w:szCs w:val="24"/>
        </w:rPr>
        <w:t>u</w:t>
      </w:r>
      <w:r w:rsidR="001B0AF8" w:rsidRPr="001B0AF8">
        <w:rPr>
          <w:rFonts w:ascii="Times New Roman" w:eastAsia="Times New Roman" w:hAnsi="Times New Roman" w:cs="Times New Roman"/>
          <w:sz w:val="24"/>
          <w:szCs w:val="24"/>
        </w:rPr>
        <w:t xml:space="preserve"> un prasm</w:t>
      </w:r>
      <w:r w:rsidR="00A924D8">
        <w:rPr>
          <w:rFonts w:ascii="Times New Roman" w:eastAsia="Times New Roman" w:hAnsi="Times New Roman" w:cs="Times New Roman"/>
          <w:sz w:val="24"/>
          <w:szCs w:val="24"/>
        </w:rPr>
        <w:t>ju līmeni</w:t>
      </w:r>
      <w:r w:rsidR="001B0AF8" w:rsidRPr="001B0AF8">
        <w:rPr>
          <w:rFonts w:ascii="Times New Roman" w:eastAsia="Times New Roman" w:hAnsi="Times New Roman" w:cs="Times New Roman"/>
          <w:sz w:val="24"/>
          <w:szCs w:val="24"/>
        </w:rPr>
        <w:t>, ir dažādot izglītības satura apguves formas, t</w:t>
      </w:r>
      <w:r w:rsidR="00AC3040">
        <w:rPr>
          <w:rFonts w:ascii="Times New Roman" w:eastAsia="Times New Roman" w:hAnsi="Times New Roman" w:cs="Times New Roman"/>
          <w:sz w:val="24"/>
          <w:szCs w:val="24"/>
        </w:rPr>
        <w:t>.sk.,</w:t>
      </w:r>
      <w:r w:rsidR="001B0AF8" w:rsidRPr="001B0AF8">
        <w:rPr>
          <w:rFonts w:ascii="Times New Roman" w:eastAsia="Times New Roman" w:hAnsi="Times New Roman" w:cs="Times New Roman"/>
          <w:sz w:val="24"/>
          <w:szCs w:val="24"/>
        </w:rPr>
        <w:t xml:space="preserve"> ārpus izglītības iestādes vai mācību stundām, sasaistot gūtās zināšanas ar praktisku pieredzi. </w:t>
      </w:r>
      <w:r w:rsidR="00A924D8">
        <w:rPr>
          <w:rFonts w:ascii="Times New Roman" w:eastAsia="Times New Roman" w:hAnsi="Times New Roman" w:cs="Times New Roman"/>
          <w:sz w:val="24"/>
          <w:szCs w:val="24"/>
        </w:rPr>
        <w:t>I</w:t>
      </w:r>
      <w:r w:rsidR="001B0AF8" w:rsidRPr="001B0AF8">
        <w:rPr>
          <w:rFonts w:ascii="Times New Roman" w:eastAsia="Times New Roman" w:hAnsi="Times New Roman" w:cs="Times New Roman"/>
          <w:sz w:val="24"/>
          <w:szCs w:val="24"/>
        </w:rPr>
        <w:t>zglītojamo iesaiste interešu izglītībā sekmē mācīšanās prasmju pilnveidi, dzīvei nepieciešamu iemaņu un prasmju praktisku apguvi, socializēšanos, jaunas pieredzes iegūšanu, kā arī mazina sociālās atstumtības risku</w:t>
      </w:r>
      <w:r w:rsidR="00A924D8">
        <w:rPr>
          <w:rFonts w:ascii="Times New Roman" w:eastAsia="Times New Roman" w:hAnsi="Times New Roman" w:cs="Times New Roman"/>
          <w:sz w:val="24"/>
          <w:szCs w:val="24"/>
        </w:rPr>
        <w:t>,</w:t>
      </w:r>
      <w:r w:rsidR="00A924D8" w:rsidRPr="00A924D8">
        <w:t xml:space="preserve"> </w:t>
      </w:r>
      <w:r w:rsidR="00A924D8" w:rsidRPr="00A924D8">
        <w:rPr>
          <w:rFonts w:ascii="Times New Roman" w:eastAsia="Times New Roman" w:hAnsi="Times New Roman" w:cs="Times New Roman"/>
          <w:sz w:val="24"/>
          <w:szCs w:val="24"/>
        </w:rPr>
        <w:t>veicinot vienlīdzīgu piekļuvi kvalitatīvai un iekļaujošai izglītībai</w:t>
      </w:r>
      <w:r w:rsidR="001B0AF8" w:rsidRPr="001B0AF8">
        <w:rPr>
          <w:rFonts w:ascii="Times New Roman" w:eastAsia="Times New Roman" w:hAnsi="Times New Roman" w:cs="Times New Roman"/>
          <w:sz w:val="24"/>
          <w:szCs w:val="24"/>
        </w:rPr>
        <w:t xml:space="preserve">. </w:t>
      </w:r>
    </w:p>
    <w:p w14:paraId="0383F2B4" w14:textId="7EA1508C" w:rsidR="008C7278" w:rsidRDefault="008C7278"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8C7278">
        <w:rPr>
          <w:rFonts w:ascii="Times New Roman" w:hAnsi="Times New Roman" w:cs="Times New Roman"/>
          <w:sz w:val="24"/>
          <w:szCs w:val="24"/>
        </w:rPr>
        <w:t>Vispārējās izglītības skolu tīkla izmaiņas Latvijā būtiski ietekmē demogrāfiskā situācija, ekonomiskā attīstība, nodarbinātības un migrācijas tendences. Bez izmaiņām esošajā izglītības iestāžu tīklā, nav iespējams nodrošināt izglītības kvalitāti.</w:t>
      </w:r>
    </w:p>
    <w:p w14:paraId="0D9C0FEF" w14:textId="54F91731" w:rsidR="008C7278" w:rsidRDefault="008C7278"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8C7278">
        <w:rPr>
          <w:rFonts w:ascii="Times New Roman" w:hAnsi="Times New Roman" w:cs="Times New Roman"/>
          <w:sz w:val="24"/>
          <w:szCs w:val="24"/>
        </w:rPr>
        <w:t>Tiek turpināta izglītības iestāžu tīkla sakārtošana, vidējās izglītības pakāpē veidojot reģiona un novada demogrāfiskajai situācijai atbilstošu izglītības iestāžu tīklu, ņemot vērā izglītības iestāžu kvantitatīvos un kvalitatīvos kritērijus, tādējādi sekmējot līdzvērtīgas iespējas izglītības programmu apguvei, kā arī efektīvu izglītības iestāžu infrastruktūras un cilvēkkapitāla resursu izmantošanu.</w:t>
      </w:r>
    </w:p>
    <w:p w14:paraId="72FB85F8" w14:textId="0AFFA67C" w:rsidR="008C7278" w:rsidRPr="00B961B5" w:rsidRDefault="008C7278"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8C7278">
        <w:rPr>
          <w:rFonts w:ascii="Times New Roman" w:hAnsi="Times New Roman" w:cs="Times New Roman"/>
          <w:sz w:val="24"/>
          <w:szCs w:val="24"/>
        </w:rPr>
        <w:t>Veicot izvērtējumu “Izglītības piedāvājuma pārklājums un izglītojamo iesaiste STEM (matemātika, dabaszinības, bioloģija, ģeogrāfija, fizika, ķīmija, dizains un tehnoloģijas, datorika, inženierzinības, programmēšana, robotika un digitāl</w:t>
      </w:r>
      <w:r>
        <w:rPr>
          <w:rFonts w:ascii="Times New Roman" w:hAnsi="Times New Roman" w:cs="Times New Roman"/>
          <w:sz w:val="24"/>
          <w:szCs w:val="24"/>
        </w:rPr>
        <w:t xml:space="preserve">ais dizains)”, ir paredzēts </w:t>
      </w:r>
      <w:r w:rsidRPr="008C7278">
        <w:rPr>
          <w:rFonts w:ascii="Times New Roman" w:hAnsi="Times New Roman" w:cs="Times New Roman"/>
          <w:sz w:val="24"/>
          <w:szCs w:val="24"/>
        </w:rPr>
        <w:t xml:space="preserve"> noskaidr</w:t>
      </w:r>
      <w:r>
        <w:rPr>
          <w:rFonts w:ascii="Times New Roman" w:hAnsi="Times New Roman" w:cs="Times New Roman"/>
          <w:sz w:val="24"/>
          <w:szCs w:val="24"/>
        </w:rPr>
        <w:t>ot</w:t>
      </w:r>
      <w:r w:rsidRPr="008C7278">
        <w:rPr>
          <w:rFonts w:ascii="Times New Roman" w:hAnsi="Times New Roman" w:cs="Times New Roman"/>
          <w:sz w:val="24"/>
          <w:szCs w:val="24"/>
        </w:rPr>
        <w:t xml:space="preserve"> nepilnības un vajadzības investīcijām kvalitatīvai un kvantitatīvi veicinošai izglītojamo iesaistei STEM izglītībā.</w:t>
      </w:r>
    </w:p>
    <w:p w14:paraId="57BA5CA8" w14:textId="38C7FB0B"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930237">
        <w:rPr>
          <w:rFonts w:ascii="Times New Roman" w:eastAsia="Times New Roman" w:hAnsi="Times New Roman" w:cs="Times New Roman"/>
          <w:sz w:val="24"/>
          <w:szCs w:val="24"/>
        </w:rPr>
        <w:t>Iedzīvotāju iesaiste pieaugušo izglītībā Latvijā joprojām ir zemā līmenī (2018.gadā – 6,7%), kas kavē sabiedrības pielāgošanos strukturālām pārmaiņām ekonomikā un jaunu iespēju izmantošanu. Tāpat pilnīgi netiek izmantots jauniešu potenciāls, kas neiesaistās darba tirgū un mācībās.</w:t>
      </w:r>
    </w:p>
    <w:p w14:paraId="23817CC3" w14:textId="0E05DA9D" w:rsidR="00AC212B" w:rsidRPr="00A603EA"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A603EA">
        <w:rPr>
          <w:rFonts w:ascii="Times New Roman" w:eastAsia="Times New Roman" w:hAnsi="Times New Roman" w:cs="Times New Roman"/>
          <w:sz w:val="24"/>
          <w:szCs w:val="24"/>
        </w:rPr>
        <w:t>Augstāk</w:t>
      </w:r>
      <w:r w:rsidR="008C7278" w:rsidRPr="00A603EA">
        <w:rPr>
          <w:rFonts w:ascii="Times New Roman" w:eastAsia="Times New Roman" w:hAnsi="Times New Roman" w:cs="Times New Roman"/>
          <w:sz w:val="24"/>
          <w:szCs w:val="24"/>
        </w:rPr>
        <w:t>ajā</w:t>
      </w:r>
      <w:r w:rsidRPr="00A603EA">
        <w:rPr>
          <w:rFonts w:ascii="Times New Roman" w:eastAsia="Times New Roman" w:hAnsi="Times New Roman" w:cs="Times New Roman"/>
          <w:sz w:val="24"/>
          <w:szCs w:val="24"/>
        </w:rPr>
        <w:t xml:space="preserve"> izglītīb</w:t>
      </w:r>
      <w:r w:rsidR="008C7278" w:rsidRPr="00A603EA">
        <w:rPr>
          <w:rFonts w:ascii="Times New Roman" w:eastAsia="Times New Roman" w:hAnsi="Times New Roman" w:cs="Times New Roman"/>
          <w:sz w:val="24"/>
          <w:szCs w:val="24"/>
        </w:rPr>
        <w:t>ā</w:t>
      </w:r>
      <w:r w:rsidRPr="00A603EA">
        <w:rPr>
          <w:rFonts w:ascii="Times New Roman" w:eastAsia="Times New Roman" w:hAnsi="Times New Roman" w:cs="Times New Roman"/>
          <w:sz w:val="24"/>
          <w:szCs w:val="24"/>
        </w:rPr>
        <w:t xml:space="preserve"> novērojams, ka Latvijas augstskolas ir uzlabojušas savu sniegumu, tomēr </w:t>
      </w:r>
      <w:r w:rsidRPr="005B7EA0">
        <w:rPr>
          <w:rFonts w:ascii="Times New Roman" w:eastAsia="Times New Roman" w:hAnsi="Times New Roman" w:cs="Times New Roman"/>
          <w:sz w:val="24"/>
          <w:szCs w:val="24"/>
        </w:rPr>
        <w:t>joprojām nav pietiekoši konkurētspējīgas starptautiski, kā arī neizmanto savu potenciālu inovāciju veicināšanā ekonomikā</w:t>
      </w:r>
      <w:r w:rsidRPr="00A603EA">
        <w:rPr>
          <w:rFonts w:ascii="Times New Roman" w:eastAsia="Times New Roman" w:hAnsi="Times New Roman" w:cs="Times New Roman"/>
          <w:sz w:val="24"/>
          <w:szCs w:val="24"/>
        </w:rPr>
        <w:t>. Līdz ar to svarīgi ir turpināt uzsāktās reformas augstskolu pārvaldībā, viedās specializācijas stiprināšan</w:t>
      </w:r>
      <w:r w:rsidR="001B0AF8" w:rsidRPr="00A603EA">
        <w:rPr>
          <w:rFonts w:ascii="Times New Roman" w:eastAsia="Times New Roman" w:hAnsi="Times New Roman" w:cs="Times New Roman"/>
          <w:sz w:val="24"/>
          <w:szCs w:val="24"/>
        </w:rPr>
        <w:t>ai,</w:t>
      </w:r>
      <w:r w:rsidRPr="00A603EA">
        <w:rPr>
          <w:rFonts w:ascii="Times New Roman" w:eastAsia="Times New Roman" w:hAnsi="Times New Roman" w:cs="Times New Roman"/>
          <w:sz w:val="24"/>
          <w:szCs w:val="24"/>
        </w:rPr>
        <w:t xml:space="preserve"> </w:t>
      </w:r>
      <w:r w:rsidR="001B0AF8" w:rsidRPr="00A603EA">
        <w:rPr>
          <w:rFonts w:ascii="Times New Roman" w:eastAsia="Times New Roman" w:hAnsi="Times New Roman" w:cs="Times New Roman"/>
          <w:sz w:val="24"/>
          <w:szCs w:val="24"/>
        </w:rPr>
        <w:t>sadarbīb</w:t>
      </w:r>
      <w:r w:rsidR="008C7278" w:rsidRPr="00A603EA">
        <w:rPr>
          <w:rFonts w:ascii="Times New Roman" w:eastAsia="Times New Roman" w:hAnsi="Times New Roman" w:cs="Times New Roman"/>
          <w:sz w:val="24"/>
          <w:szCs w:val="24"/>
        </w:rPr>
        <w:t>ai</w:t>
      </w:r>
      <w:r w:rsidR="001B0AF8" w:rsidRPr="00A603EA">
        <w:rPr>
          <w:rFonts w:ascii="Times New Roman" w:eastAsia="Times New Roman" w:hAnsi="Times New Roman" w:cs="Times New Roman"/>
          <w:sz w:val="24"/>
          <w:szCs w:val="24"/>
        </w:rPr>
        <w:t xml:space="preserve"> ar industriju, </w:t>
      </w:r>
      <w:r w:rsidRPr="00A603EA">
        <w:rPr>
          <w:rFonts w:ascii="Times New Roman" w:eastAsia="Times New Roman" w:hAnsi="Times New Roman" w:cs="Times New Roman"/>
          <w:sz w:val="24"/>
          <w:szCs w:val="24"/>
        </w:rPr>
        <w:t>un infrastruktūras modernizēšanā.</w:t>
      </w:r>
    </w:p>
    <w:p w14:paraId="399C159D" w14:textId="11A069F7" w:rsidR="00AC212B" w:rsidRPr="00A603EA"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5B7EA0">
        <w:rPr>
          <w:rFonts w:ascii="Times New Roman" w:eastAsia="Times New Roman" w:hAnsi="Times New Roman" w:cs="Times New Roman"/>
          <w:sz w:val="24"/>
          <w:szCs w:val="24"/>
        </w:rPr>
        <w:t xml:space="preserve">Ne mazāk svarīgi izaicinājumi ir vērojami pirmskolas izglītībā, kur saglabājas būtiskas rindas </w:t>
      </w:r>
      <w:r w:rsidRPr="005B7EA0">
        <w:rPr>
          <w:rFonts w:ascii="Times New Roman" w:eastAsia="Times New Roman" w:hAnsi="Times New Roman" w:cs="Times New Roman"/>
          <w:bCs/>
          <w:iCs/>
          <w:sz w:val="24"/>
          <w:szCs w:val="24"/>
        </w:rPr>
        <w:t>uz pašvaldības pirmsskolas izglītības</w:t>
      </w:r>
      <w:r w:rsidRPr="00A603EA">
        <w:rPr>
          <w:rFonts w:ascii="Times New Roman" w:eastAsia="Times New Roman" w:hAnsi="Times New Roman" w:cs="Times New Roman"/>
          <w:bCs/>
          <w:iCs/>
          <w:sz w:val="24"/>
          <w:szCs w:val="24"/>
        </w:rPr>
        <w:t xml:space="preserve"> iestādēm</w:t>
      </w:r>
      <w:r w:rsidRPr="00A603EA">
        <w:rPr>
          <w:rFonts w:ascii="Times New Roman" w:hAnsi="Times New Roman" w:cs="Times New Roman"/>
          <w:bCs/>
          <w:iCs/>
          <w:sz w:val="24"/>
          <w:szCs w:val="24"/>
          <w:vertAlign w:val="superscript"/>
        </w:rPr>
        <w:footnoteReference w:id="16"/>
      </w:r>
      <w:r w:rsidRPr="00A603EA">
        <w:rPr>
          <w:rFonts w:ascii="Times New Roman" w:eastAsia="Times New Roman" w:hAnsi="Times New Roman" w:cs="Times New Roman"/>
          <w:bCs/>
          <w:iCs/>
          <w:sz w:val="24"/>
          <w:szCs w:val="24"/>
        </w:rPr>
        <w:t xml:space="preserve">. </w:t>
      </w:r>
      <w:r w:rsidR="00EC7EA2" w:rsidRPr="00A603EA">
        <w:rPr>
          <w:rFonts w:ascii="Times New Roman" w:eastAsia="Times New Roman" w:hAnsi="Times New Roman" w:cs="Times New Roman"/>
          <w:bCs/>
          <w:iCs/>
          <w:sz w:val="24"/>
          <w:szCs w:val="24"/>
        </w:rPr>
        <w:t>A</w:t>
      </w:r>
      <w:r w:rsidRPr="00A603EA">
        <w:rPr>
          <w:rFonts w:ascii="Times New Roman" w:eastAsia="Times New Roman" w:hAnsi="Times New Roman" w:cs="Times New Roman"/>
          <w:bCs/>
          <w:iCs/>
          <w:sz w:val="24"/>
          <w:szCs w:val="24"/>
        </w:rPr>
        <w:t>tsevišķās pašvaldībās rindā ir 40-50% no visiem pirmsskolas vecuma bērniem, kas kavē bērnu sagatavotību skolai un liedz vecākiem pilnvērtīgi iesaistīties darba tirgū un apmācībās.</w:t>
      </w:r>
      <w:r w:rsidRPr="00A603EA">
        <w:rPr>
          <w:rFonts w:ascii="Times New Roman" w:eastAsia="Calibri" w:hAnsi="Times New Roman" w:cs="Times New Roman"/>
          <w:sz w:val="24"/>
          <w:szCs w:val="24"/>
        </w:rPr>
        <w:t xml:space="preserve"> </w:t>
      </w:r>
      <w:r w:rsidRPr="005B7EA0">
        <w:rPr>
          <w:rFonts w:ascii="Times New Roman" w:eastAsia="Times New Roman" w:hAnsi="Times New Roman" w:cs="Times New Roman"/>
          <w:sz w:val="24"/>
          <w:szCs w:val="24"/>
        </w:rPr>
        <w:t xml:space="preserve">Problēmas risināšanai ir nepieciešami ieguldījumi infrastruktūrā </w:t>
      </w:r>
      <w:r w:rsidR="00B20B80" w:rsidRPr="005B7EA0">
        <w:rPr>
          <w:rFonts w:ascii="Times New Roman" w:eastAsia="Times New Roman" w:hAnsi="Times New Roman" w:cs="Times New Roman"/>
          <w:sz w:val="24"/>
          <w:szCs w:val="24"/>
        </w:rPr>
        <w:t xml:space="preserve">un materiāltehniskās bāzes pilnveidošanā, t.sk. digitālā aprīkojuma iegādei, </w:t>
      </w:r>
      <w:r w:rsidRPr="005B7EA0">
        <w:rPr>
          <w:rFonts w:ascii="Times New Roman" w:eastAsia="Times New Roman" w:hAnsi="Times New Roman" w:cs="Times New Roman"/>
          <w:sz w:val="24"/>
          <w:szCs w:val="24"/>
        </w:rPr>
        <w:t>un pieskatīšanas pakalpojumu pieejamībā.</w:t>
      </w:r>
    </w:p>
    <w:p w14:paraId="33F5FA88" w14:textId="7C496672"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A603EA">
        <w:rPr>
          <w:rFonts w:ascii="Times New Roman" w:hAnsi="Times New Roman" w:cs="Times New Roman"/>
          <w:sz w:val="24"/>
          <w:szCs w:val="24"/>
        </w:rPr>
        <w:t>Visa Latvijas izglītības sistēma saskaras ar pedagogu</w:t>
      </w:r>
      <w:r w:rsidRPr="00930237">
        <w:rPr>
          <w:rFonts w:ascii="Times New Roman" w:hAnsi="Times New Roman" w:cs="Times New Roman"/>
          <w:sz w:val="24"/>
          <w:szCs w:val="24"/>
        </w:rPr>
        <w:t xml:space="preserve"> novecošanos </w:t>
      </w:r>
      <w:r w:rsidRPr="00930237">
        <w:rPr>
          <w:rFonts w:ascii="Times New Roman" w:eastAsia="Times New Roman" w:hAnsi="Times New Roman" w:cs="Times New Roman"/>
          <w:sz w:val="24"/>
          <w:szCs w:val="24"/>
        </w:rPr>
        <w:t>- izglītības iestādēs strādā 46% pedagogu, kuru vecums ir 50 gadi un vairāk</w:t>
      </w:r>
      <w:r w:rsidR="00EC7EA2">
        <w:rPr>
          <w:rFonts w:ascii="Times New Roman" w:eastAsia="Times New Roman" w:hAnsi="Times New Roman" w:cs="Times New Roman"/>
          <w:sz w:val="24"/>
          <w:szCs w:val="24"/>
        </w:rPr>
        <w:t>.</w:t>
      </w:r>
      <w:r w:rsidRPr="00930237">
        <w:rPr>
          <w:rFonts w:ascii="Times New Roman" w:eastAsia="Times New Roman" w:hAnsi="Times New Roman" w:cs="Times New Roman"/>
          <w:sz w:val="24"/>
          <w:szCs w:val="24"/>
        </w:rPr>
        <w:t xml:space="preserve"> 9% </w:t>
      </w:r>
      <w:r w:rsidR="00EC7EA2">
        <w:rPr>
          <w:rFonts w:ascii="Times New Roman" w:eastAsia="Times New Roman" w:hAnsi="Times New Roman" w:cs="Times New Roman"/>
          <w:sz w:val="24"/>
          <w:szCs w:val="24"/>
        </w:rPr>
        <w:t xml:space="preserve">pedagogu ir </w:t>
      </w:r>
      <w:r w:rsidRPr="00930237">
        <w:rPr>
          <w:rFonts w:ascii="Times New Roman" w:eastAsia="Times New Roman" w:hAnsi="Times New Roman" w:cs="Times New Roman"/>
          <w:sz w:val="24"/>
          <w:szCs w:val="24"/>
        </w:rPr>
        <w:t xml:space="preserve">vecumā līdz 30 gadiem, </w:t>
      </w:r>
      <w:r w:rsidR="00EC7EA2">
        <w:rPr>
          <w:rFonts w:ascii="Times New Roman" w:eastAsia="Times New Roman" w:hAnsi="Times New Roman" w:cs="Times New Roman"/>
          <w:sz w:val="24"/>
          <w:szCs w:val="24"/>
        </w:rPr>
        <w:t>nepastāv</w:t>
      </w:r>
      <w:r w:rsidRPr="00930237">
        <w:rPr>
          <w:rFonts w:ascii="Times New Roman" w:eastAsia="Times New Roman" w:hAnsi="Times New Roman" w:cs="Times New Roman"/>
          <w:sz w:val="24"/>
          <w:szCs w:val="24"/>
        </w:rPr>
        <w:t xml:space="preserve"> efektīvas atbalsta sistēmas, </w:t>
      </w:r>
      <w:r w:rsidR="00EC7EA2">
        <w:rPr>
          <w:rFonts w:ascii="Times New Roman" w:eastAsia="Times New Roman" w:hAnsi="Times New Roman" w:cs="Times New Roman"/>
          <w:sz w:val="24"/>
          <w:szCs w:val="24"/>
        </w:rPr>
        <w:t xml:space="preserve">tas </w:t>
      </w:r>
      <w:r w:rsidRPr="00930237">
        <w:rPr>
          <w:rFonts w:ascii="Times New Roman" w:eastAsia="Times New Roman" w:hAnsi="Times New Roman" w:cs="Times New Roman"/>
          <w:sz w:val="24"/>
          <w:szCs w:val="24"/>
        </w:rPr>
        <w:t>negatīvi ietekmē mācībspēku kapacitāti</w:t>
      </w:r>
      <w:r w:rsidR="00F622B2" w:rsidRPr="00930237">
        <w:rPr>
          <w:rFonts w:ascii="Times New Roman" w:eastAsia="Times New Roman" w:hAnsi="Times New Roman" w:cs="Times New Roman"/>
          <w:sz w:val="24"/>
          <w:szCs w:val="24"/>
        </w:rPr>
        <w:t xml:space="preserve"> un atbilstošas modernas profesionālās spējas</w:t>
      </w:r>
      <w:r w:rsidRPr="00930237">
        <w:rPr>
          <w:rFonts w:ascii="Times New Roman" w:eastAsia="Times New Roman" w:hAnsi="Times New Roman" w:cs="Times New Roman"/>
          <w:sz w:val="24"/>
          <w:szCs w:val="24"/>
        </w:rPr>
        <w:t xml:space="preserve"> nodrošināt augstas kvalitātes izglītību.</w:t>
      </w:r>
    </w:p>
    <w:p w14:paraId="7E990CB8" w14:textId="0D24383C"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930237">
        <w:rPr>
          <w:rFonts w:ascii="Times New Roman" w:eastAsia="Times New Roman" w:hAnsi="Times New Roman" w:cs="Times New Roman"/>
          <w:sz w:val="24"/>
          <w:szCs w:val="24"/>
        </w:rPr>
        <w:t>Augstākminētie izglītības sistēmas rādītāji negatīvi ietekmē iedzīvotāju iespējas tālākos izglītības posmos iegūt darba tirgū pieprasītas prasmes</w:t>
      </w:r>
      <w:r w:rsidR="001B0AF8">
        <w:rPr>
          <w:rFonts w:ascii="Times New Roman" w:eastAsia="Times New Roman" w:hAnsi="Times New Roman" w:cs="Times New Roman"/>
          <w:sz w:val="24"/>
          <w:szCs w:val="24"/>
        </w:rPr>
        <w:t xml:space="preserve">, </w:t>
      </w:r>
      <w:r w:rsidR="001B0AF8" w:rsidRPr="001B0AF8">
        <w:rPr>
          <w:rFonts w:ascii="Times New Roman" w:eastAsia="Times New Roman" w:hAnsi="Times New Roman" w:cs="Times New Roman"/>
          <w:sz w:val="24"/>
          <w:szCs w:val="24"/>
        </w:rPr>
        <w:t>tādēļ būtiska ir mūžizglītības piedāvājuma veidošana atbilstoši darba tirgus pieprasījumam atbilstošu kompetenču celšanai</w:t>
      </w:r>
      <w:r w:rsidRPr="00930237">
        <w:rPr>
          <w:rFonts w:ascii="Times New Roman" w:eastAsia="Times New Roman" w:hAnsi="Times New Roman" w:cs="Times New Roman"/>
          <w:sz w:val="24"/>
          <w:szCs w:val="24"/>
        </w:rPr>
        <w:t>.</w:t>
      </w:r>
    </w:p>
    <w:p w14:paraId="5089DC77" w14:textId="7007AF47"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sz w:val="24"/>
          <w:szCs w:val="24"/>
        </w:rPr>
        <w:t>Ņemot vērā augstākminētos izaicinājumus</w:t>
      </w:r>
      <w:r w:rsidR="00EC7EA2">
        <w:rPr>
          <w:rFonts w:ascii="Times New Roman" w:hAnsi="Times New Roman" w:cs="Times New Roman"/>
          <w:sz w:val="24"/>
          <w:szCs w:val="24"/>
        </w:rPr>
        <w:t>,</w:t>
      </w:r>
      <w:r w:rsidRPr="00930237">
        <w:rPr>
          <w:rFonts w:ascii="Times New Roman" w:hAnsi="Times New Roman" w:cs="Times New Roman"/>
          <w:sz w:val="24"/>
          <w:szCs w:val="24"/>
        </w:rPr>
        <w:t xml:space="preserve"> investīcijas tiek </w:t>
      </w:r>
      <w:r w:rsidRPr="001B08D5">
        <w:rPr>
          <w:rFonts w:ascii="Times New Roman" w:hAnsi="Times New Roman" w:cs="Times New Roman"/>
          <w:sz w:val="24"/>
          <w:szCs w:val="24"/>
        </w:rPr>
        <w:t>plānotas 1.1.1, 1.2.2, 1.2.3, 1.1.2.,</w:t>
      </w:r>
      <w:r w:rsidRPr="00930237">
        <w:rPr>
          <w:rFonts w:ascii="Times New Roman" w:hAnsi="Times New Roman" w:cs="Times New Roman"/>
          <w:sz w:val="24"/>
          <w:szCs w:val="24"/>
        </w:rPr>
        <w:t xml:space="preserve"> 4.2.1, 4.2.2., 4.2.3.</w:t>
      </w:r>
      <w:r w:rsidR="001B0AF8">
        <w:rPr>
          <w:rFonts w:ascii="Times New Roman" w:hAnsi="Times New Roman" w:cs="Times New Roman"/>
          <w:sz w:val="24"/>
          <w:szCs w:val="24"/>
        </w:rPr>
        <w:t>, 4.2.4.</w:t>
      </w:r>
      <w:r w:rsidRPr="00930237">
        <w:rPr>
          <w:rFonts w:ascii="Times New Roman" w:hAnsi="Times New Roman" w:cs="Times New Roman"/>
          <w:sz w:val="24"/>
          <w:szCs w:val="24"/>
        </w:rPr>
        <w:t xml:space="preserve"> un 5.1</w:t>
      </w:r>
      <w:r w:rsidR="00127F96" w:rsidRPr="00930237">
        <w:rPr>
          <w:rFonts w:ascii="Times New Roman" w:hAnsi="Times New Roman" w:cs="Times New Roman"/>
          <w:sz w:val="24"/>
          <w:szCs w:val="24"/>
        </w:rPr>
        <w:t>.</w:t>
      </w:r>
      <w:r w:rsidRPr="00930237">
        <w:rPr>
          <w:rFonts w:ascii="Times New Roman" w:hAnsi="Times New Roman" w:cs="Times New Roman"/>
          <w:sz w:val="24"/>
          <w:szCs w:val="24"/>
        </w:rPr>
        <w:t>1.SAM, piesaistot ERAF un ESF+ finansējumu</w:t>
      </w:r>
      <w:r w:rsidR="00202E18">
        <w:rPr>
          <w:rFonts w:ascii="Times New Roman" w:hAnsi="Times New Roman" w:cs="Times New Roman"/>
          <w:sz w:val="24"/>
          <w:szCs w:val="24"/>
        </w:rPr>
        <w:t>,  t.sk. veicot integrētus ieguldījumus atbilstoši reģionu vajadzībām un attīstības iespējām</w:t>
      </w:r>
      <w:r w:rsidRPr="00930237">
        <w:rPr>
          <w:rFonts w:ascii="Times New Roman" w:hAnsi="Times New Roman" w:cs="Times New Roman"/>
          <w:sz w:val="24"/>
          <w:szCs w:val="24"/>
        </w:rPr>
        <w:t xml:space="preserve">. Prasmju attīstīšana 1.politikas mērķī tiek fokusēta uz Latvijas viedajai specializācijai un industriālajai pārejai nepieciešamo prasmju attīstīšanu, </w:t>
      </w:r>
      <w:r w:rsidR="00E10EAB">
        <w:rPr>
          <w:rFonts w:ascii="Times New Roman" w:hAnsi="Times New Roman" w:cs="Times New Roman"/>
          <w:sz w:val="24"/>
          <w:szCs w:val="24"/>
        </w:rPr>
        <w:t>t</w:t>
      </w:r>
      <w:r w:rsidR="00AC3040">
        <w:rPr>
          <w:rFonts w:ascii="Times New Roman" w:hAnsi="Times New Roman" w:cs="Times New Roman"/>
          <w:sz w:val="24"/>
          <w:szCs w:val="24"/>
        </w:rPr>
        <w:t>.sk.,</w:t>
      </w:r>
      <w:r w:rsidR="00E10EAB" w:rsidRPr="00930237">
        <w:rPr>
          <w:rFonts w:ascii="Times New Roman" w:hAnsi="Times New Roman" w:cs="Times New Roman"/>
          <w:sz w:val="24"/>
          <w:szCs w:val="24"/>
        </w:rPr>
        <w:t xml:space="preserve"> </w:t>
      </w:r>
      <w:r w:rsidRPr="00930237">
        <w:rPr>
          <w:rFonts w:ascii="Times New Roman" w:hAnsi="Times New Roman" w:cs="Times New Roman"/>
          <w:sz w:val="24"/>
          <w:szCs w:val="24"/>
        </w:rPr>
        <w:t xml:space="preserve">paaugstinot visu nozaru digitālo ietilpību un kompetenci vidēja un augsta līmeņa digitālajām prasmēm, savukārt 4.politiskajā mērķī -uz </w:t>
      </w:r>
      <w:r w:rsidR="0087567E">
        <w:rPr>
          <w:rFonts w:ascii="Times New Roman" w:hAnsi="Times New Roman" w:cs="Times New Roman"/>
          <w:sz w:val="24"/>
          <w:szCs w:val="24"/>
        </w:rPr>
        <w:t xml:space="preserve">pamatprasmju, </w:t>
      </w:r>
      <w:r w:rsidRPr="00930237">
        <w:rPr>
          <w:rFonts w:ascii="Times New Roman" w:hAnsi="Times New Roman" w:cs="Times New Roman"/>
          <w:sz w:val="24"/>
          <w:szCs w:val="24"/>
        </w:rPr>
        <w:t xml:space="preserve">vispārējo prasmju </w:t>
      </w:r>
      <w:r w:rsidR="001B0AF8" w:rsidRPr="001B0AF8">
        <w:rPr>
          <w:rFonts w:ascii="Times New Roman" w:hAnsi="Times New Roman" w:cs="Times New Roman"/>
          <w:sz w:val="24"/>
          <w:szCs w:val="24"/>
        </w:rPr>
        <w:t>un profesionālo prasmju celšanu.</w:t>
      </w:r>
    </w:p>
    <w:p w14:paraId="53DB912E" w14:textId="47B5DFB0" w:rsidR="00AC212B" w:rsidRPr="00A603EA"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iCs/>
          <w:sz w:val="24"/>
          <w:szCs w:val="24"/>
        </w:rPr>
      </w:pPr>
      <w:r w:rsidRPr="00930237">
        <w:rPr>
          <w:rFonts w:ascii="Times New Roman" w:eastAsia="Times New Roman" w:hAnsi="Times New Roman" w:cs="Times New Roman"/>
          <w:sz w:val="24"/>
          <w:szCs w:val="24"/>
        </w:rPr>
        <w:t xml:space="preserve">P&amp;I ieguldījumiem paredzēta sinerģija ar tādām nozīmīgām ES programmām kā “Apvārsnis Eiropa”, “Digitālā Eiropa”, </w:t>
      </w:r>
      <w:r w:rsidRPr="00B961B5">
        <w:rPr>
          <w:rFonts w:ascii="Times New Roman" w:eastAsia="Times New Roman" w:hAnsi="Times New Roman" w:cs="Times New Roman"/>
          <w:i/>
          <w:iCs/>
          <w:sz w:val="24"/>
          <w:szCs w:val="24"/>
        </w:rPr>
        <w:t>Erasmus+</w:t>
      </w:r>
      <w:r w:rsidRPr="00930237">
        <w:rPr>
          <w:rFonts w:ascii="Times New Roman" w:eastAsia="Times New Roman" w:hAnsi="Times New Roman" w:cs="Times New Roman"/>
          <w:sz w:val="24"/>
          <w:szCs w:val="24"/>
        </w:rPr>
        <w:t xml:space="preserve"> un </w:t>
      </w:r>
      <w:r w:rsidRPr="00B961B5">
        <w:rPr>
          <w:rFonts w:ascii="Times New Roman" w:eastAsia="Times New Roman" w:hAnsi="Times New Roman" w:cs="Times New Roman"/>
          <w:i/>
          <w:iCs/>
          <w:sz w:val="24"/>
          <w:szCs w:val="24"/>
        </w:rPr>
        <w:t>InvestEU</w:t>
      </w:r>
      <w:r w:rsidRPr="00930237">
        <w:rPr>
          <w:rFonts w:ascii="Times New Roman" w:eastAsia="Times New Roman" w:hAnsi="Times New Roman" w:cs="Times New Roman"/>
          <w:sz w:val="24"/>
          <w:szCs w:val="24"/>
        </w:rPr>
        <w:t xml:space="preserve"> – gan veidojot atbilstošu dalības kapacitāti, gan paredzot investīciju papildinātību un iniciatīvu mērogošanu. Investīcijām izglītībā paredzēta sinerģija ar ES programmām </w:t>
      </w:r>
      <w:r w:rsidRPr="00B961B5">
        <w:rPr>
          <w:rFonts w:ascii="Times New Roman" w:eastAsia="Times New Roman" w:hAnsi="Times New Roman" w:cs="Times New Roman"/>
          <w:i/>
          <w:iCs/>
          <w:sz w:val="24"/>
          <w:szCs w:val="24"/>
        </w:rPr>
        <w:t>Erasmus+</w:t>
      </w:r>
      <w:r w:rsidRPr="00930237">
        <w:rPr>
          <w:rFonts w:ascii="Times New Roman" w:eastAsia="Times New Roman" w:hAnsi="Times New Roman" w:cs="Times New Roman"/>
          <w:sz w:val="24"/>
          <w:szCs w:val="24"/>
        </w:rPr>
        <w:t xml:space="preserve">, Eiropas </w:t>
      </w:r>
      <w:r w:rsidRPr="00A603EA">
        <w:rPr>
          <w:rFonts w:ascii="Times New Roman" w:eastAsia="Times New Roman" w:hAnsi="Times New Roman" w:cs="Times New Roman"/>
          <w:sz w:val="24"/>
          <w:szCs w:val="24"/>
        </w:rPr>
        <w:t xml:space="preserve">Solidaritātes korpuss un </w:t>
      </w:r>
      <w:r w:rsidRPr="00A603EA">
        <w:rPr>
          <w:rFonts w:ascii="Times New Roman" w:eastAsia="Times New Roman" w:hAnsi="Times New Roman" w:cs="Times New Roman"/>
          <w:i/>
          <w:sz w:val="24"/>
          <w:szCs w:val="24"/>
        </w:rPr>
        <w:t>InvestEU</w:t>
      </w:r>
      <w:r w:rsidR="006730E9" w:rsidRPr="00A603EA">
        <w:rPr>
          <w:rFonts w:ascii="Times New Roman" w:eastAsia="Times New Roman" w:hAnsi="Times New Roman" w:cs="Times New Roman"/>
          <w:iCs/>
          <w:sz w:val="24"/>
          <w:szCs w:val="24"/>
        </w:rPr>
        <w:t>, t.sk., ņemot vērā Eiropas Zaļā kursa prioritātes un mērķus</w:t>
      </w:r>
      <w:r w:rsidRPr="00A603EA">
        <w:rPr>
          <w:rFonts w:ascii="Times New Roman" w:eastAsia="Times New Roman" w:hAnsi="Times New Roman" w:cs="Times New Roman"/>
          <w:iCs/>
          <w:sz w:val="24"/>
          <w:szCs w:val="24"/>
        </w:rPr>
        <w:t xml:space="preserve">. </w:t>
      </w:r>
    </w:p>
    <w:p w14:paraId="295D6449" w14:textId="726BAA38" w:rsidR="00AC212B" w:rsidRPr="00A603EA"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5B7EA0">
        <w:rPr>
          <w:rFonts w:ascii="Times New Roman" w:eastAsia="Times New Roman" w:hAnsi="Times New Roman" w:cs="Times New Roman"/>
          <w:sz w:val="24"/>
          <w:szCs w:val="24"/>
        </w:rPr>
        <w:t>Finanšu instrumenti aptvers visu 1.politiskā mērķa specifiskos atbalsta mērķus un tiks izveidoti atbilstoši finanšu pieejamības tirgus nepilnību analīzē</w:t>
      </w:r>
      <w:r w:rsidR="00202E18" w:rsidRPr="005B7EA0">
        <w:rPr>
          <w:rFonts w:ascii="Times New Roman" w:eastAsia="Times New Roman" w:hAnsi="Times New Roman" w:cs="Times New Roman"/>
          <w:sz w:val="24"/>
          <w:szCs w:val="24"/>
        </w:rPr>
        <w:t>, t.sk. teritoriālā skatījumā,</w:t>
      </w:r>
      <w:r w:rsidRPr="005B7EA0">
        <w:rPr>
          <w:rFonts w:ascii="Times New Roman" w:eastAsia="Times New Roman" w:hAnsi="Times New Roman" w:cs="Times New Roman"/>
          <w:sz w:val="24"/>
          <w:szCs w:val="24"/>
        </w:rPr>
        <w:t xml:space="preserve"> noteiktajam, </w:t>
      </w:r>
      <w:r w:rsidRPr="005B7EA0">
        <w:rPr>
          <w:rFonts w:ascii="Times New Roman" w:hAnsi="Times New Roman" w:cs="Times New Roman"/>
          <w:sz w:val="24"/>
          <w:szCs w:val="24"/>
        </w:rPr>
        <w:t xml:space="preserve">kuras ietvaros cita starpā tika izvērtētas arī finanšu </w:t>
      </w:r>
      <w:r w:rsidR="006730E9" w:rsidRPr="005B7EA0">
        <w:rPr>
          <w:rFonts w:ascii="Times New Roman" w:hAnsi="Times New Roman" w:cs="Times New Roman"/>
          <w:sz w:val="24"/>
          <w:szCs w:val="24"/>
        </w:rPr>
        <w:t>instrumentu</w:t>
      </w:r>
      <w:r w:rsidRPr="005B7EA0">
        <w:rPr>
          <w:rFonts w:ascii="Times New Roman" w:hAnsi="Times New Roman" w:cs="Times New Roman"/>
          <w:sz w:val="24"/>
          <w:szCs w:val="24"/>
        </w:rPr>
        <w:t xml:space="preserve"> izmantošanas iespējas zinātnē un inovāciju komercializācijā</w:t>
      </w:r>
      <w:r w:rsidRPr="00A603EA">
        <w:rPr>
          <w:rFonts w:ascii="Times New Roman" w:hAnsi="Times New Roman" w:cs="Times New Roman"/>
          <w:sz w:val="24"/>
          <w:szCs w:val="24"/>
        </w:rPr>
        <w:t>.</w:t>
      </w:r>
    </w:p>
    <w:p w14:paraId="7EDCFE70" w14:textId="77777777" w:rsidR="00AC212B" w:rsidRPr="00930237" w:rsidRDefault="00AC212B" w:rsidP="005F1C90">
      <w:pPr>
        <w:pStyle w:val="ListParagraph"/>
        <w:spacing w:after="0" w:line="240" w:lineRule="auto"/>
        <w:ind w:left="567"/>
        <w:jc w:val="both"/>
        <w:rPr>
          <w:rFonts w:ascii="Times New Roman" w:eastAsia="Times New Roman" w:hAnsi="Times New Roman" w:cs="Times New Roman"/>
          <w:sz w:val="24"/>
          <w:szCs w:val="24"/>
        </w:rPr>
      </w:pPr>
    </w:p>
    <w:p w14:paraId="7F19F82F" w14:textId="77777777" w:rsidR="00AC212B" w:rsidRPr="00930237" w:rsidRDefault="00AC212B" w:rsidP="005F1C90">
      <w:pPr>
        <w:pStyle w:val="ListParagraph"/>
        <w:spacing w:after="0" w:line="240" w:lineRule="auto"/>
        <w:ind w:left="567"/>
        <w:jc w:val="both"/>
        <w:rPr>
          <w:rFonts w:ascii="Times New Roman" w:hAnsi="Times New Roman" w:cs="Times New Roman"/>
          <w:sz w:val="24"/>
          <w:szCs w:val="24"/>
        </w:rPr>
      </w:pPr>
    </w:p>
    <w:p w14:paraId="225319B0" w14:textId="547DEDB1" w:rsidR="00AC212B" w:rsidRPr="005F1C90" w:rsidRDefault="00AC212B" w:rsidP="005F1C90">
      <w:pPr>
        <w:pStyle w:val="Heading3"/>
        <w:numPr>
          <w:ilvl w:val="1"/>
          <w:numId w:val="32"/>
        </w:numPr>
        <w:shd w:val="clear" w:color="auto" w:fill="FFF2CC" w:themeFill="accent4" w:themeFillTint="33"/>
        <w:spacing w:after="0"/>
        <w:ind w:left="567"/>
        <w:rPr>
          <w:b/>
          <w:bCs/>
          <w:i w:val="0"/>
          <w:iCs/>
        </w:rPr>
      </w:pPr>
      <w:bookmarkStart w:id="9" w:name="_Toc69125402"/>
      <w:r w:rsidRPr="005F1C90">
        <w:rPr>
          <w:b/>
          <w:bCs/>
          <w:i w:val="0"/>
          <w:iCs/>
        </w:rPr>
        <w:t>Klimatneitralitāte, pielāgošanās klimata pārmaiņām un vides aizsardzība</w:t>
      </w:r>
      <w:bookmarkEnd w:id="9"/>
    </w:p>
    <w:p w14:paraId="690D3D17" w14:textId="5085B0D9" w:rsidR="00AC212B" w:rsidRPr="00930237" w:rsidRDefault="00077F97"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077F97">
        <w:rPr>
          <w:rFonts w:ascii="Times New Roman" w:hAnsi="Times New Roman" w:cs="Times New Roman"/>
          <w:sz w:val="24"/>
          <w:szCs w:val="24"/>
        </w:rPr>
        <w:t>Latvijas būtiskākie izaicinājumi saistībā ar vides ilgtspēju ir oglekļa mazietilpīga, resursu efektīva un klimatnoturīga attīstība, lai sasniegtu klimata</w:t>
      </w:r>
      <w:r w:rsidR="00982040">
        <w:rPr>
          <w:rFonts w:ascii="Times New Roman" w:hAnsi="Times New Roman" w:cs="Times New Roman"/>
          <w:sz w:val="24"/>
          <w:szCs w:val="24"/>
        </w:rPr>
        <w:t xml:space="preserve"> (t.sk., 2050.gada </w:t>
      </w:r>
      <w:r w:rsidR="00982040" w:rsidRPr="00982040">
        <w:rPr>
          <w:rFonts w:ascii="Times New Roman" w:hAnsi="Times New Roman" w:cs="Times New Roman"/>
          <w:sz w:val="24"/>
          <w:szCs w:val="24"/>
        </w:rPr>
        <w:t>klimatneitralitātes)</w:t>
      </w:r>
      <w:r w:rsidRPr="00077F97">
        <w:rPr>
          <w:rFonts w:ascii="Times New Roman" w:hAnsi="Times New Roman" w:cs="Times New Roman"/>
          <w:sz w:val="24"/>
          <w:szCs w:val="24"/>
        </w:rPr>
        <w:t>, enerģētikas, piesārņojuma samazināšanas</w:t>
      </w:r>
      <w:r w:rsidR="00982040">
        <w:rPr>
          <w:rFonts w:ascii="Times New Roman" w:hAnsi="Times New Roman" w:cs="Times New Roman"/>
          <w:sz w:val="24"/>
          <w:szCs w:val="24"/>
        </w:rPr>
        <w:t xml:space="preserve"> </w:t>
      </w:r>
      <w:r w:rsidR="00982040" w:rsidRPr="00982040">
        <w:rPr>
          <w:rFonts w:ascii="Times New Roman" w:hAnsi="Times New Roman" w:cs="Times New Roman"/>
          <w:sz w:val="24"/>
          <w:szCs w:val="24"/>
        </w:rPr>
        <w:t>(jeb nulles piesārņojuma)</w:t>
      </w:r>
      <w:r w:rsidRPr="00077F97">
        <w:rPr>
          <w:rFonts w:ascii="Times New Roman" w:hAnsi="Times New Roman" w:cs="Times New Roman"/>
          <w:sz w:val="24"/>
          <w:szCs w:val="24"/>
        </w:rPr>
        <w:t>, ūdeņu stāvokļa un bioloģiskās daudzveidības uzlabošanās</w:t>
      </w:r>
      <w:r w:rsidR="00982040">
        <w:rPr>
          <w:rFonts w:ascii="Times New Roman" w:hAnsi="Times New Roman" w:cs="Times New Roman"/>
          <w:sz w:val="24"/>
          <w:szCs w:val="24"/>
        </w:rPr>
        <w:t>,</w:t>
      </w:r>
      <w:r w:rsidRPr="00077F97">
        <w:rPr>
          <w:rFonts w:ascii="Times New Roman" w:hAnsi="Times New Roman" w:cs="Times New Roman"/>
          <w:sz w:val="24"/>
          <w:szCs w:val="24"/>
        </w:rPr>
        <w:t xml:space="preserve"> atkritumu apsaimniekošanas</w:t>
      </w:r>
      <w:r w:rsidR="00982040">
        <w:rPr>
          <w:rFonts w:ascii="Times New Roman" w:hAnsi="Times New Roman" w:cs="Times New Roman"/>
          <w:sz w:val="24"/>
          <w:szCs w:val="24"/>
        </w:rPr>
        <w:t xml:space="preserve"> un aprites ekonomikas</w:t>
      </w:r>
      <w:r w:rsidRPr="00077F97">
        <w:rPr>
          <w:rFonts w:ascii="Times New Roman" w:hAnsi="Times New Roman" w:cs="Times New Roman"/>
          <w:sz w:val="24"/>
          <w:szCs w:val="24"/>
        </w:rPr>
        <w:t xml:space="preserve"> mērķus</w:t>
      </w:r>
      <w:r w:rsidR="00982040">
        <w:rPr>
          <w:rFonts w:ascii="Times New Roman" w:hAnsi="Times New Roman" w:cs="Times New Roman"/>
          <w:sz w:val="24"/>
          <w:szCs w:val="24"/>
        </w:rPr>
        <w:t xml:space="preserve">, </w:t>
      </w:r>
      <w:r w:rsidR="00982040" w:rsidRPr="00982040">
        <w:rPr>
          <w:rFonts w:ascii="Times New Roman" w:hAnsi="Times New Roman" w:cs="Times New Roman"/>
          <w:sz w:val="24"/>
          <w:szCs w:val="24"/>
        </w:rPr>
        <w:t>kā arī virzītos uz ES Zaļā kursa ieviešanu</w:t>
      </w:r>
      <w:r w:rsidRPr="00077F97">
        <w:rPr>
          <w:rFonts w:ascii="Times New Roman" w:hAnsi="Times New Roman" w:cs="Times New Roman"/>
          <w:sz w:val="24"/>
          <w:szCs w:val="24"/>
        </w:rPr>
        <w:t xml:space="preserve">. </w:t>
      </w:r>
      <w:r w:rsidR="00982040">
        <w:rPr>
          <w:rFonts w:ascii="Times New Roman" w:hAnsi="Times New Roman" w:cs="Times New Roman"/>
          <w:sz w:val="24"/>
          <w:szCs w:val="24"/>
        </w:rPr>
        <w:t xml:space="preserve">Arī </w:t>
      </w:r>
      <w:r w:rsidR="00E83174">
        <w:rPr>
          <w:rFonts w:ascii="Times New Roman" w:hAnsi="Times New Roman" w:cs="Times New Roman"/>
          <w:sz w:val="24"/>
          <w:szCs w:val="24"/>
        </w:rPr>
        <w:t xml:space="preserve">EK </w:t>
      </w:r>
      <w:r w:rsidRPr="00077F97">
        <w:rPr>
          <w:rFonts w:ascii="Times New Roman" w:hAnsi="Times New Roman" w:cs="Times New Roman"/>
          <w:sz w:val="24"/>
          <w:szCs w:val="24"/>
        </w:rPr>
        <w:t xml:space="preserve">2019. un </w:t>
      </w:r>
      <w:r w:rsidR="00AC212B" w:rsidRPr="00930237">
        <w:rPr>
          <w:rFonts w:ascii="Times New Roman" w:hAnsi="Times New Roman" w:cs="Times New Roman"/>
          <w:sz w:val="24"/>
          <w:szCs w:val="24"/>
        </w:rPr>
        <w:t>2020.</w:t>
      </w:r>
      <w:r w:rsidR="00202E18">
        <w:rPr>
          <w:rFonts w:ascii="Times New Roman" w:hAnsi="Times New Roman" w:cs="Times New Roman"/>
          <w:sz w:val="24"/>
          <w:szCs w:val="24"/>
        </w:rPr>
        <w:t xml:space="preserve"> </w:t>
      </w:r>
      <w:r w:rsidR="00AC212B" w:rsidRPr="00930237">
        <w:rPr>
          <w:rFonts w:ascii="Times New Roman" w:hAnsi="Times New Roman" w:cs="Times New Roman"/>
          <w:sz w:val="24"/>
          <w:szCs w:val="24"/>
        </w:rPr>
        <w:t xml:space="preserve">gada specifiskās rekomendācijas </w:t>
      </w:r>
      <w:r w:rsidR="00AC212B" w:rsidRPr="005B7EA0">
        <w:rPr>
          <w:rFonts w:ascii="Times New Roman" w:hAnsi="Times New Roman" w:cs="Times New Roman"/>
          <w:sz w:val="24"/>
          <w:szCs w:val="24"/>
        </w:rPr>
        <w:t xml:space="preserve">aicina </w:t>
      </w:r>
      <w:r w:rsidR="00E83174" w:rsidRPr="005B7EA0">
        <w:rPr>
          <w:rFonts w:ascii="Times New Roman" w:hAnsi="Times New Roman" w:cs="Times New Roman"/>
          <w:sz w:val="24"/>
          <w:szCs w:val="24"/>
        </w:rPr>
        <w:t xml:space="preserve">dalībvalstis </w:t>
      </w:r>
      <w:r w:rsidR="00AC212B" w:rsidRPr="005B7EA0">
        <w:rPr>
          <w:rFonts w:ascii="Times New Roman" w:hAnsi="Times New Roman" w:cs="Times New Roman"/>
          <w:color w:val="000000"/>
          <w:sz w:val="24"/>
          <w:szCs w:val="24"/>
        </w:rPr>
        <w:t xml:space="preserve">virzīt investīcijas uz zaļo pārkārtošanos, tīru un efektīvu enerģijas ražošanu un izmantošanu, ilgtspējīgu transportu, resursu efektivitāti un </w:t>
      </w:r>
      <w:r w:rsidR="002E6131" w:rsidRPr="005B7EA0">
        <w:rPr>
          <w:rFonts w:ascii="Times New Roman" w:hAnsi="Times New Roman" w:cs="Times New Roman"/>
          <w:color w:val="000000"/>
          <w:sz w:val="24"/>
          <w:szCs w:val="24"/>
        </w:rPr>
        <w:t xml:space="preserve">ēku </w:t>
      </w:r>
      <w:r w:rsidR="00AC212B" w:rsidRPr="005B7EA0">
        <w:rPr>
          <w:rFonts w:ascii="Times New Roman" w:hAnsi="Times New Roman" w:cs="Times New Roman"/>
          <w:color w:val="000000"/>
          <w:sz w:val="24"/>
          <w:szCs w:val="24"/>
        </w:rPr>
        <w:t>energoefektivitāti</w:t>
      </w:r>
      <w:r w:rsidR="00AC212B" w:rsidRPr="00A603EA">
        <w:rPr>
          <w:rFonts w:ascii="Times New Roman" w:hAnsi="Times New Roman" w:cs="Times New Roman"/>
          <w:color w:val="000000"/>
          <w:sz w:val="24"/>
          <w:szCs w:val="24"/>
        </w:rPr>
        <w:t>.</w:t>
      </w:r>
      <w:r w:rsidR="00AC212B" w:rsidRPr="00930237">
        <w:rPr>
          <w:rFonts w:ascii="Times New Roman" w:hAnsi="Times New Roman" w:cs="Times New Roman"/>
          <w:color w:val="000000"/>
          <w:sz w:val="24"/>
          <w:szCs w:val="24"/>
        </w:rPr>
        <w:t xml:space="preserve"> Latvijas valdība ir apstiprinājusi stratēģiju, lai sasniegtu klimatneitralitātes mērķi līdz 2050.gadam, klimata aspektus integrējot visās politikas jomās. Savukārt NEKP iezīmē sasniedzamos mērķus līdz 2030.gadam un virzienus klimata mērķu sasniegšanai: 1)</w:t>
      </w:r>
      <w:r w:rsidR="00202E18">
        <w:rPr>
          <w:rFonts w:ascii="Times New Roman" w:hAnsi="Times New Roman" w:cs="Times New Roman"/>
          <w:color w:val="000000"/>
          <w:sz w:val="24"/>
          <w:szCs w:val="24"/>
        </w:rPr>
        <w:t xml:space="preserve"> </w:t>
      </w:r>
      <w:r w:rsidR="00AC212B" w:rsidRPr="00930237">
        <w:rPr>
          <w:rFonts w:ascii="Times New Roman" w:hAnsi="Times New Roman" w:cs="Times New Roman"/>
          <w:color w:val="000000"/>
          <w:sz w:val="24"/>
          <w:szCs w:val="24"/>
        </w:rPr>
        <w:t>v</w:t>
      </w:r>
      <w:r w:rsidR="00AC212B" w:rsidRPr="00930237">
        <w:rPr>
          <w:rFonts w:ascii="Times New Roman" w:hAnsi="Times New Roman" w:cs="Times New Roman"/>
          <w:sz w:val="24"/>
          <w:szCs w:val="24"/>
        </w:rPr>
        <w:t>eicināt resursu efektīvu izmantošanu, kā arī to pašpietiekamību un dažādību; 2)</w:t>
      </w:r>
      <w:r w:rsidR="00202E18">
        <w:rPr>
          <w:rFonts w:ascii="Times New Roman" w:hAnsi="Times New Roman" w:cs="Times New Roman"/>
          <w:sz w:val="24"/>
          <w:szCs w:val="24"/>
        </w:rPr>
        <w:t xml:space="preserve"> </w:t>
      </w:r>
      <w:r w:rsidR="00AC212B" w:rsidRPr="00930237">
        <w:rPr>
          <w:rFonts w:ascii="Times New Roman" w:hAnsi="Times New Roman" w:cs="Times New Roman"/>
          <w:sz w:val="24"/>
          <w:szCs w:val="24"/>
        </w:rPr>
        <w:t>nodrošināt resursu, it īpaši fosilu un neilgtspējīgu resursu, patēriņa būtisku samazināšanu un vienlaicīgu pāreju uz ilgtspējīgu, atjaunojamu un inovatīvu resursu izmantošanu, nodrošinot vienlīdzīgu pieeju energoresursiem visām sabiedrības grupām</w:t>
      </w:r>
      <w:r w:rsidR="00EA74B9" w:rsidRPr="00930237">
        <w:rPr>
          <w:rFonts w:ascii="Times New Roman" w:hAnsi="Times New Roman" w:cs="Times New Roman"/>
          <w:sz w:val="24"/>
          <w:szCs w:val="24"/>
        </w:rPr>
        <w:t>.</w:t>
      </w:r>
      <w:r w:rsidR="00AC212B" w:rsidRPr="00930237">
        <w:rPr>
          <w:rFonts w:ascii="Times New Roman" w:hAnsi="Times New Roman" w:cs="Times New Roman"/>
          <w:sz w:val="24"/>
          <w:szCs w:val="24"/>
        </w:rPr>
        <w:t xml:space="preserve"> </w:t>
      </w:r>
      <w:r w:rsidR="00EA74B9" w:rsidRPr="00930237">
        <w:rPr>
          <w:rFonts w:ascii="Times New Roman" w:hAnsi="Times New Roman" w:cs="Times New Roman"/>
          <w:sz w:val="24"/>
          <w:szCs w:val="24"/>
        </w:rPr>
        <w:t>Lai veicinātu Latvijas virzību uz klimatneitralitāti un klimatnoturību, nepieciešams īstenot virkni pasākumu, ko nosaka Latvijas starptautiskās saistības un kas iezīmēti NEKP, “Latvijas pielāgošanās klimata pārmaiņām plānā laika posmam līdz 2030. gadam” un “Latvijas stratēģija klimatneitralitātes sasniegšanai līdz 2050. gadam.</w:t>
      </w:r>
      <w:r w:rsidR="00D13CBC" w:rsidRPr="00D13CBC">
        <w:t xml:space="preserve"> </w:t>
      </w:r>
      <w:r w:rsidR="00D13CBC" w:rsidRPr="00D13CBC">
        <w:rPr>
          <w:rFonts w:ascii="Times New Roman" w:hAnsi="Times New Roman" w:cs="Times New Roman"/>
          <w:sz w:val="24"/>
          <w:szCs w:val="24"/>
        </w:rPr>
        <w:t>Tāpat arī “Gaisa piesārņojuma samazināšanas rīcības plāns 2020.-2030.gadam” nosaka rīcības</w:t>
      </w:r>
      <w:r w:rsidR="005F6135">
        <w:rPr>
          <w:rFonts w:ascii="Times New Roman" w:hAnsi="Times New Roman" w:cs="Times New Roman"/>
          <w:sz w:val="24"/>
          <w:szCs w:val="24"/>
        </w:rPr>
        <w:t>, lai samazinātu</w:t>
      </w:r>
      <w:r w:rsidR="00D13CBC" w:rsidRPr="00D13CBC">
        <w:rPr>
          <w:rFonts w:ascii="Times New Roman" w:hAnsi="Times New Roman" w:cs="Times New Roman"/>
          <w:sz w:val="24"/>
          <w:szCs w:val="24"/>
        </w:rPr>
        <w:t xml:space="preserve"> gaisa piesārņojuma radīto negatīvo ietekmi uz vidi un cilvēku veselību.</w:t>
      </w:r>
    </w:p>
    <w:p w14:paraId="3BED987C" w14:textId="54B8770E" w:rsidR="00AC212B" w:rsidRPr="00930237" w:rsidRDefault="00AC212B" w:rsidP="007545BD">
      <w:pPr>
        <w:pStyle w:val="ListParagraph"/>
        <w:numPr>
          <w:ilvl w:val="0"/>
          <w:numId w:val="60"/>
        </w:numPr>
        <w:autoSpaceDE w:val="0"/>
        <w:autoSpaceDN w:val="0"/>
        <w:adjustRightInd w:val="0"/>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sz w:val="24"/>
          <w:szCs w:val="24"/>
        </w:rPr>
        <w:t xml:space="preserve">Lai arī Latvijas </w:t>
      </w:r>
      <w:r w:rsidRPr="00930237">
        <w:rPr>
          <w:rFonts w:ascii="Times New Roman" w:hAnsi="Times New Roman" w:cs="Times New Roman"/>
          <w:b/>
          <w:sz w:val="24"/>
          <w:szCs w:val="24"/>
        </w:rPr>
        <w:t>AER</w:t>
      </w:r>
      <w:r w:rsidRPr="00930237">
        <w:rPr>
          <w:rFonts w:ascii="Times New Roman" w:hAnsi="Times New Roman" w:cs="Times New Roman"/>
          <w:sz w:val="24"/>
          <w:szCs w:val="24"/>
        </w:rPr>
        <w:t xml:space="preserve"> enerģijas īpatsvars ir viens no augstākajiem ES</w:t>
      </w:r>
      <w:r w:rsidR="00D13CBC" w:rsidRPr="00D13CBC">
        <w:rPr>
          <w:rFonts w:ascii="Times New Roman" w:hAnsi="Times New Roman" w:cs="Times New Roman"/>
          <w:sz w:val="24"/>
          <w:szCs w:val="24"/>
        </w:rPr>
        <w:t>- &gt;40% 2018.gadā, tomēr, šobrīd atjaunojamās elektroenerģijas ražošanā saules elektroenerģijas īpatsvars ir tikai 0</w:t>
      </w:r>
      <w:r w:rsidR="00982040">
        <w:rPr>
          <w:rFonts w:ascii="Times New Roman" w:hAnsi="Times New Roman" w:cs="Times New Roman"/>
          <w:sz w:val="24"/>
          <w:szCs w:val="24"/>
        </w:rPr>
        <w:t>,</w:t>
      </w:r>
      <w:r w:rsidR="00D13CBC" w:rsidRPr="00D13CBC">
        <w:rPr>
          <w:rFonts w:ascii="Times New Roman" w:hAnsi="Times New Roman" w:cs="Times New Roman"/>
          <w:sz w:val="24"/>
          <w:szCs w:val="24"/>
        </w:rPr>
        <w:t xml:space="preserve">09%, bet moderno biodegvielu / </w:t>
      </w:r>
      <w:r w:rsidR="00982040" w:rsidRPr="00D13CBC">
        <w:rPr>
          <w:rFonts w:ascii="Times New Roman" w:hAnsi="Times New Roman" w:cs="Times New Roman"/>
          <w:sz w:val="24"/>
          <w:szCs w:val="24"/>
        </w:rPr>
        <w:t>bio</w:t>
      </w:r>
      <w:r w:rsidR="00982040">
        <w:rPr>
          <w:rFonts w:ascii="Times New Roman" w:hAnsi="Times New Roman" w:cs="Times New Roman"/>
          <w:sz w:val="24"/>
          <w:szCs w:val="24"/>
        </w:rPr>
        <w:t>metāna</w:t>
      </w:r>
      <w:r w:rsidR="00982040" w:rsidRPr="00D13CBC">
        <w:rPr>
          <w:rFonts w:ascii="Times New Roman" w:hAnsi="Times New Roman" w:cs="Times New Roman"/>
          <w:sz w:val="24"/>
          <w:szCs w:val="24"/>
        </w:rPr>
        <w:t xml:space="preserve"> </w:t>
      </w:r>
      <w:r w:rsidR="00D13CBC" w:rsidRPr="00D13CBC">
        <w:rPr>
          <w:rFonts w:ascii="Times New Roman" w:hAnsi="Times New Roman" w:cs="Times New Roman"/>
          <w:sz w:val="24"/>
          <w:szCs w:val="24"/>
        </w:rPr>
        <w:t>ražošana un izmantošana Latvijā 2019.</w:t>
      </w:r>
      <w:r w:rsidR="00982040">
        <w:rPr>
          <w:rFonts w:ascii="Times New Roman" w:hAnsi="Times New Roman" w:cs="Times New Roman"/>
          <w:sz w:val="24"/>
          <w:szCs w:val="24"/>
        </w:rPr>
        <w:t xml:space="preserve"> </w:t>
      </w:r>
      <w:r w:rsidR="00D13CBC" w:rsidRPr="00D13CBC">
        <w:rPr>
          <w:rFonts w:ascii="Times New Roman" w:hAnsi="Times New Roman" w:cs="Times New Roman"/>
          <w:sz w:val="24"/>
          <w:szCs w:val="24"/>
        </w:rPr>
        <w:t>gadā nenotika vispār</w:t>
      </w:r>
      <w:r w:rsidR="00D13CBC">
        <w:rPr>
          <w:rFonts w:ascii="Times New Roman" w:hAnsi="Times New Roman" w:cs="Times New Roman"/>
          <w:sz w:val="24"/>
          <w:szCs w:val="24"/>
        </w:rPr>
        <w:t>. L</w:t>
      </w:r>
      <w:r w:rsidRPr="00930237">
        <w:rPr>
          <w:rFonts w:ascii="Times New Roman" w:hAnsi="Times New Roman" w:cs="Times New Roman"/>
          <w:sz w:val="24"/>
          <w:szCs w:val="24"/>
        </w:rPr>
        <w:t>ai sasniegtu ambiciozo nacionālo</w:t>
      </w:r>
      <w:r w:rsidR="00D13CBC">
        <w:rPr>
          <w:rFonts w:ascii="Times New Roman" w:hAnsi="Times New Roman" w:cs="Times New Roman"/>
          <w:sz w:val="24"/>
          <w:szCs w:val="24"/>
        </w:rPr>
        <w:t xml:space="preserve"> atjaunojamās</w:t>
      </w:r>
      <w:r w:rsidRPr="00930237">
        <w:rPr>
          <w:rFonts w:ascii="Times New Roman" w:hAnsi="Times New Roman" w:cs="Times New Roman"/>
          <w:sz w:val="24"/>
          <w:szCs w:val="24"/>
        </w:rPr>
        <w:t xml:space="preserve"> </w:t>
      </w:r>
      <w:r w:rsidR="00B26F41" w:rsidRPr="00930237">
        <w:rPr>
          <w:rFonts w:ascii="Times New Roman" w:hAnsi="Times New Roman" w:cs="Times New Roman"/>
          <w:sz w:val="24"/>
          <w:szCs w:val="24"/>
        </w:rPr>
        <w:t xml:space="preserve">elektroenerģijas </w:t>
      </w:r>
      <w:r w:rsidR="00D13CBC">
        <w:rPr>
          <w:rFonts w:ascii="Times New Roman" w:hAnsi="Times New Roman" w:cs="Times New Roman"/>
          <w:sz w:val="24"/>
          <w:szCs w:val="24"/>
        </w:rPr>
        <w:t>mērķi -</w:t>
      </w:r>
      <w:r w:rsidR="00982040">
        <w:rPr>
          <w:rFonts w:ascii="Times New Roman" w:hAnsi="Times New Roman" w:cs="Times New Roman"/>
          <w:sz w:val="24"/>
          <w:szCs w:val="24"/>
        </w:rPr>
        <w:t xml:space="preserve"> </w:t>
      </w:r>
      <w:r w:rsidR="00D13CBC">
        <w:rPr>
          <w:rFonts w:ascii="Times New Roman" w:hAnsi="Times New Roman" w:cs="Times New Roman"/>
          <w:sz w:val="24"/>
          <w:szCs w:val="24"/>
        </w:rPr>
        <w:t>60%</w:t>
      </w:r>
      <w:r w:rsidRPr="00930237">
        <w:rPr>
          <w:rFonts w:ascii="Times New Roman" w:hAnsi="Times New Roman" w:cs="Times New Roman"/>
          <w:sz w:val="24"/>
          <w:szCs w:val="24"/>
        </w:rPr>
        <w:t xml:space="preserve">, ir nepieciešams </w:t>
      </w:r>
      <w:r w:rsidR="000D7E4C">
        <w:rPr>
          <w:rFonts w:ascii="Times New Roman" w:hAnsi="Times New Roman" w:cs="Times New Roman"/>
          <w:sz w:val="24"/>
          <w:szCs w:val="24"/>
        </w:rPr>
        <w:t>turpināt</w:t>
      </w:r>
      <w:r w:rsidR="000D7E4C" w:rsidRPr="00930237">
        <w:rPr>
          <w:rFonts w:ascii="Times New Roman" w:hAnsi="Times New Roman" w:cs="Times New Roman"/>
          <w:sz w:val="24"/>
          <w:szCs w:val="24"/>
        </w:rPr>
        <w:t xml:space="preserve"> </w:t>
      </w:r>
      <w:r w:rsidRPr="00930237">
        <w:rPr>
          <w:rFonts w:ascii="Times New Roman" w:hAnsi="Times New Roman" w:cs="Times New Roman"/>
          <w:sz w:val="24"/>
          <w:szCs w:val="24"/>
        </w:rPr>
        <w:t xml:space="preserve">attīstīt pieejamo potenciālu </w:t>
      </w:r>
      <w:r w:rsidR="00D13CBC" w:rsidRPr="00D13CBC">
        <w:rPr>
          <w:rFonts w:ascii="Times New Roman" w:hAnsi="Times New Roman" w:cs="Times New Roman"/>
          <w:sz w:val="24"/>
          <w:szCs w:val="24"/>
        </w:rPr>
        <w:t>dažādu ne-emisiju AER</w:t>
      </w:r>
      <w:r w:rsidR="00D13CBC">
        <w:rPr>
          <w:rFonts w:ascii="Times New Roman" w:hAnsi="Times New Roman" w:cs="Times New Roman"/>
          <w:sz w:val="24"/>
          <w:szCs w:val="24"/>
        </w:rPr>
        <w:t xml:space="preserve">, piemēram, </w:t>
      </w:r>
      <w:r w:rsidRPr="00930237">
        <w:rPr>
          <w:rFonts w:ascii="Times New Roman" w:hAnsi="Times New Roman" w:cs="Times New Roman"/>
          <w:sz w:val="24"/>
          <w:szCs w:val="24"/>
        </w:rPr>
        <w:t>vēja, saules</w:t>
      </w:r>
      <w:r w:rsidR="002E6131">
        <w:rPr>
          <w:rFonts w:ascii="Times New Roman" w:hAnsi="Times New Roman" w:cs="Times New Roman"/>
          <w:sz w:val="24"/>
          <w:szCs w:val="24"/>
        </w:rPr>
        <w:t xml:space="preserve"> un ģeotermālās</w:t>
      </w:r>
      <w:r w:rsidRPr="00930237">
        <w:rPr>
          <w:rFonts w:ascii="Times New Roman" w:hAnsi="Times New Roman" w:cs="Times New Roman"/>
          <w:sz w:val="24"/>
          <w:szCs w:val="24"/>
        </w:rPr>
        <w:t xml:space="preserve"> enerģijas</w:t>
      </w:r>
      <w:r w:rsidR="00D13CBC">
        <w:rPr>
          <w:rFonts w:ascii="Times New Roman" w:hAnsi="Times New Roman" w:cs="Times New Roman"/>
          <w:sz w:val="24"/>
          <w:szCs w:val="24"/>
        </w:rPr>
        <w:t xml:space="preserve"> (siltumsūkņi)</w:t>
      </w:r>
      <w:r w:rsidRPr="00930237">
        <w:rPr>
          <w:rFonts w:ascii="Times New Roman" w:hAnsi="Times New Roman" w:cs="Times New Roman"/>
          <w:sz w:val="24"/>
          <w:szCs w:val="24"/>
        </w:rPr>
        <w:t>, biomasas un biogāzes</w:t>
      </w:r>
      <w:r w:rsidR="00982040">
        <w:rPr>
          <w:rFonts w:ascii="Times New Roman" w:hAnsi="Times New Roman" w:cs="Times New Roman"/>
          <w:sz w:val="24"/>
          <w:szCs w:val="24"/>
        </w:rPr>
        <w:t>,</w:t>
      </w:r>
      <w:r w:rsidRPr="00930237">
        <w:rPr>
          <w:rFonts w:ascii="Times New Roman" w:hAnsi="Times New Roman" w:cs="Times New Roman"/>
          <w:sz w:val="24"/>
          <w:szCs w:val="24"/>
        </w:rPr>
        <w:t xml:space="preserve"> izmantošanā</w:t>
      </w:r>
      <w:r w:rsidR="00D13CBC">
        <w:rPr>
          <w:rFonts w:ascii="Times New Roman" w:hAnsi="Times New Roman" w:cs="Times New Roman"/>
          <w:sz w:val="24"/>
          <w:szCs w:val="24"/>
        </w:rPr>
        <w:t xml:space="preserve">, </w:t>
      </w:r>
      <w:r w:rsidR="00D13CBC" w:rsidRPr="00D13CBC">
        <w:rPr>
          <w:rFonts w:ascii="Times New Roman" w:hAnsi="Times New Roman" w:cs="Times New Roman"/>
          <w:sz w:val="24"/>
          <w:szCs w:val="24"/>
        </w:rPr>
        <w:t>vienlaikus ievērojot, ka atjaunojamās elektroenerģijas īpatsvara palielinājums nodrošina arī atjaunojamās transporta en</w:t>
      </w:r>
      <w:r w:rsidR="00D13CBC">
        <w:rPr>
          <w:rFonts w:ascii="Times New Roman" w:hAnsi="Times New Roman" w:cs="Times New Roman"/>
          <w:sz w:val="24"/>
          <w:szCs w:val="24"/>
        </w:rPr>
        <w:t>erģijas īpatsvara palielinājumu</w:t>
      </w:r>
      <w:r w:rsidRPr="00930237">
        <w:rPr>
          <w:rFonts w:ascii="Times New Roman" w:hAnsi="Times New Roman" w:cs="Times New Roman"/>
          <w:sz w:val="24"/>
          <w:szCs w:val="24"/>
        </w:rPr>
        <w:t>.</w:t>
      </w:r>
      <w:r w:rsidR="002E6131">
        <w:rPr>
          <w:rFonts w:ascii="Times New Roman" w:hAnsi="Times New Roman" w:cs="Times New Roman"/>
          <w:sz w:val="24"/>
          <w:szCs w:val="24"/>
        </w:rPr>
        <w:t xml:space="preserve"> </w:t>
      </w:r>
      <w:r w:rsidR="002E6131" w:rsidRPr="002E6131">
        <w:rPr>
          <w:rFonts w:ascii="Times New Roman" w:hAnsi="Times New Roman" w:cs="Times New Roman"/>
          <w:sz w:val="24"/>
          <w:szCs w:val="24"/>
        </w:rPr>
        <w:t>Ir</w:t>
      </w:r>
      <w:r w:rsidR="00D13CBC">
        <w:rPr>
          <w:rFonts w:ascii="Times New Roman" w:hAnsi="Times New Roman" w:cs="Times New Roman"/>
          <w:sz w:val="24"/>
          <w:szCs w:val="24"/>
        </w:rPr>
        <w:t xml:space="preserve"> arī liels potenciāls dažādu </w:t>
      </w:r>
      <w:r w:rsidR="00D13CBC" w:rsidRPr="00D13CBC">
        <w:rPr>
          <w:rFonts w:ascii="Times New Roman" w:hAnsi="Times New Roman" w:cs="Times New Roman"/>
          <w:sz w:val="24"/>
          <w:szCs w:val="24"/>
        </w:rPr>
        <w:t>ne-emisiju AER tehnoloģiju (elektroenerģijas vai siltumenerģijas un dzesēšanai nepieciešamās enerģijas ražošanai) uzstādīšanai</w:t>
      </w:r>
      <w:r w:rsidR="00D13CBC">
        <w:rPr>
          <w:rFonts w:ascii="Times New Roman" w:hAnsi="Times New Roman" w:cs="Times New Roman"/>
          <w:sz w:val="24"/>
          <w:szCs w:val="24"/>
        </w:rPr>
        <w:t xml:space="preserve"> </w:t>
      </w:r>
      <w:r w:rsidR="002E6131" w:rsidRPr="002E6131">
        <w:rPr>
          <w:rFonts w:ascii="Times New Roman" w:hAnsi="Times New Roman" w:cs="Times New Roman"/>
          <w:sz w:val="24"/>
          <w:szCs w:val="24"/>
        </w:rPr>
        <w:t xml:space="preserve">daudzdzīvokļu </w:t>
      </w:r>
      <w:r w:rsidR="00D13CBC">
        <w:rPr>
          <w:rFonts w:ascii="Times New Roman" w:hAnsi="Times New Roman" w:cs="Times New Roman"/>
          <w:sz w:val="24"/>
          <w:szCs w:val="24"/>
        </w:rPr>
        <w:t>ēkās</w:t>
      </w:r>
      <w:r w:rsidR="002E6131">
        <w:rPr>
          <w:rFonts w:ascii="Times New Roman" w:hAnsi="Times New Roman" w:cs="Times New Roman"/>
          <w:sz w:val="24"/>
          <w:szCs w:val="24"/>
        </w:rPr>
        <w:t>.</w:t>
      </w:r>
      <w:r w:rsidR="00D13CBC">
        <w:rPr>
          <w:rFonts w:ascii="Times New Roman" w:hAnsi="Times New Roman" w:cs="Times New Roman"/>
          <w:sz w:val="24"/>
          <w:szCs w:val="24"/>
        </w:rPr>
        <w:t xml:space="preserve"> </w:t>
      </w:r>
      <w:r w:rsidR="00D13CBC" w:rsidRPr="00D13CBC">
        <w:rPr>
          <w:rFonts w:ascii="Times New Roman" w:hAnsi="Times New Roman" w:cs="Times New Roman"/>
          <w:sz w:val="24"/>
          <w:szCs w:val="24"/>
        </w:rPr>
        <w:t>Vienlaikus saules elektroenerģijas ražošanas iekārtas netieši veicinātu atjaunojamās siltumenerģijas ražošanu, ja saules elektroenerģija tiek izmantota siltumsūkņu darbības nodrošināšanā.</w:t>
      </w:r>
    </w:p>
    <w:p w14:paraId="24FFB3ED" w14:textId="7AF70F9D" w:rsidR="00AC212B" w:rsidRPr="00930237" w:rsidRDefault="00AC212B" w:rsidP="007545BD">
      <w:pPr>
        <w:pStyle w:val="ListParagraph"/>
        <w:numPr>
          <w:ilvl w:val="0"/>
          <w:numId w:val="60"/>
        </w:numPr>
        <w:autoSpaceDE w:val="0"/>
        <w:autoSpaceDN w:val="0"/>
        <w:adjustRightInd w:val="0"/>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sz w:val="24"/>
          <w:szCs w:val="24"/>
        </w:rPr>
        <w:t xml:space="preserve">SEG emisiju struktūrā Latvijā salīdzinot ar citām ES valstīm ir novērojams zems ETS sektora </w:t>
      </w:r>
      <w:r w:rsidR="00202E18">
        <w:rPr>
          <w:rFonts w:ascii="Times New Roman" w:hAnsi="Times New Roman" w:cs="Times New Roman"/>
          <w:sz w:val="24"/>
          <w:szCs w:val="24"/>
        </w:rPr>
        <w:t>emisiju</w:t>
      </w:r>
      <w:r w:rsidR="00202E18" w:rsidRPr="00930237">
        <w:rPr>
          <w:rFonts w:ascii="Times New Roman" w:hAnsi="Times New Roman" w:cs="Times New Roman"/>
          <w:sz w:val="24"/>
          <w:szCs w:val="24"/>
        </w:rPr>
        <w:t xml:space="preserve"> </w:t>
      </w:r>
      <w:r w:rsidRPr="00930237">
        <w:rPr>
          <w:rFonts w:ascii="Times New Roman" w:hAnsi="Times New Roman" w:cs="Times New Roman"/>
          <w:sz w:val="24"/>
          <w:szCs w:val="24"/>
        </w:rPr>
        <w:t>īpatsvars</w:t>
      </w:r>
      <w:r w:rsidR="00982040">
        <w:rPr>
          <w:rFonts w:ascii="Times New Roman" w:hAnsi="Times New Roman" w:cs="Times New Roman"/>
          <w:sz w:val="24"/>
          <w:szCs w:val="24"/>
        </w:rPr>
        <w:t xml:space="preserve"> </w:t>
      </w:r>
      <w:r w:rsidR="00D13CBC">
        <w:rPr>
          <w:rFonts w:ascii="Times New Roman" w:hAnsi="Times New Roman" w:cs="Times New Roman"/>
          <w:sz w:val="24"/>
          <w:szCs w:val="24"/>
        </w:rPr>
        <w:t xml:space="preserve">- </w:t>
      </w:r>
      <w:r w:rsidR="008421CD">
        <w:rPr>
          <w:rFonts w:ascii="Times New Roman" w:hAnsi="Times New Roman" w:cs="Times New Roman"/>
          <w:sz w:val="24"/>
          <w:szCs w:val="24"/>
        </w:rPr>
        <w:t>tikai 22,3% 20</w:t>
      </w:r>
      <w:r w:rsidR="00D13CBC" w:rsidRPr="00D13CBC">
        <w:rPr>
          <w:rFonts w:ascii="Times New Roman" w:hAnsi="Times New Roman" w:cs="Times New Roman"/>
          <w:sz w:val="24"/>
          <w:szCs w:val="24"/>
        </w:rPr>
        <w:t>18.gadā</w:t>
      </w:r>
      <w:r w:rsidRPr="00930237">
        <w:rPr>
          <w:rFonts w:ascii="Times New Roman" w:hAnsi="Times New Roman" w:cs="Times New Roman"/>
          <w:sz w:val="24"/>
          <w:szCs w:val="24"/>
        </w:rPr>
        <w:t xml:space="preserve">. </w:t>
      </w:r>
      <w:r w:rsidR="00077F97" w:rsidRPr="00077F97">
        <w:rPr>
          <w:rFonts w:ascii="Times New Roman" w:hAnsi="Times New Roman" w:cs="Times New Roman"/>
          <w:sz w:val="24"/>
          <w:szCs w:val="24"/>
        </w:rPr>
        <w:t>Saskaņā ar 2020. gada iesniegto SEG inventarizāciju</w:t>
      </w:r>
      <w:r w:rsidR="00077F97">
        <w:rPr>
          <w:rFonts w:ascii="Times New Roman" w:hAnsi="Times New Roman" w:cs="Times New Roman"/>
          <w:sz w:val="24"/>
          <w:szCs w:val="24"/>
        </w:rPr>
        <w:t xml:space="preserve"> </w:t>
      </w:r>
      <w:r w:rsidRPr="00930237">
        <w:rPr>
          <w:rFonts w:ascii="Times New Roman" w:hAnsi="Times New Roman" w:cs="Times New Roman"/>
          <w:sz w:val="24"/>
          <w:szCs w:val="24"/>
        </w:rPr>
        <w:t xml:space="preserve">ne-ETS sektorā lielākais SEG emisiju avots </w:t>
      </w:r>
      <w:r w:rsidR="00202E18">
        <w:rPr>
          <w:rFonts w:ascii="Times New Roman" w:hAnsi="Times New Roman" w:cs="Times New Roman"/>
          <w:sz w:val="24"/>
          <w:szCs w:val="24"/>
        </w:rPr>
        <w:t xml:space="preserve">2018. gadā </w:t>
      </w:r>
      <w:r w:rsidRPr="00930237">
        <w:rPr>
          <w:rFonts w:ascii="Times New Roman" w:hAnsi="Times New Roman" w:cs="Times New Roman"/>
          <w:sz w:val="24"/>
          <w:szCs w:val="24"/>
        </w:rPr>
        <w:t>ir transports (3</w:t>
      </w:r>
      <w:r w:rsidR="00202E18">
        <w:rPr>
          <w:rFonts w:ascii="Times New Roman" w:hAnsi="Times New Roman" w:cs="Times New Roman"/>
          <w:sz w:val="24"/>
          <w:szCs w:val="24"/>
        </w:rPr>
        <w:t>7</w:t>
      </w:r>
      <w:r w:rsidRPr="00930237">
        <w:rPr>
          <w:rFonts w:ascii="Times New Roman" w:hAnsi="Times New Roman" w:cs="Times New Roman"/>
          <w:sz w:val="24"/>
          <w:szCs w:val="24"/>
        </w:rPr>
        <w:t>%), kam seko lauksaimniecība (2</w:t>
      </w:r>
      <w:r w:rsidR="00202E18">
        <w:rPr>
          <w:rFonts w:ascii="Times New Roman" w:hAnsi="Times New Roman" w:cs="Times New Roman"/>
          <w:sz w:val="24"/>
          <w:szCs w:val="24"/>
        </w:rPr>
        <w:t>9</w:t>
      </w:r>
      <w:r w:rsidRPr="00930237">
        <w:rPr>
          <w:rFonts w:ascii="Times New Roman" w:hAnsi="Times New Roman" w:cs="Times New Roman"/>
          <w:sz w:val="24"/>
          <w:szCs w:val="24"/>
        </w:rPr>
        <w:t>%)</w:t>
      </w:r>
      <w:r w:rsidR="00EA3969">
        <w:rPr>
          <w:rFonts w:ascii="Times New Roman" w:hAnsi="Times New Roman" w:cs="Times New Roman"/>
          <w:sz w:val="24"/>
          <w:szCs w:val="24"/>
        </w:rPr>
        <w:t xml:space="preserve"> un ēku sektors (</w:t>
      </w:r>
      <w:r w:rsidR="00255B1F">
        <w:rPr>
          <w:rFonts w:ascii="Times New Roman" w:hAnsi="Times New Roman" w:cs="Times New Roman"/>
          <w:sz w:val="24"/>
          <w:szCs w:val="24"/>
        </w:rPr>
        <w:t>~20</w:t>
      </w:r>
      <w:r w:rsidR="00EA3969">
        <w:rPr>
          <w:rFonts w:ascii="Times New Roman" w:hAnsi="Times New Roman" w:cs="Times New Roman"/>
          <w:sz w:val="24"/>
          <w:szCs w:val="24"/>
        </w:rPr>
        <w:t>%)</w:t>
      </w:r>
      <w:r w:rsidRPr="00930237">
        <w:rPr>
          <w:rFonts w:ascii="Times New Roman" w:hAnsi="Times New Roman" w:cs="Times New Roman"/>
          <w:sz w:val="24"/>
          <w:szCs w:val="24"/>
        </w:rPr>
        <w:t xml:space="preserve">. </w:t>
      </w:r>
      <w:r w:rsidR="000D7E4C">
        <w:rPr>
          <w:rFonts w:ascii="Times New Roman" w:hAnsi="Times New Roman" w:cs="Times New Roman"/>
          <w:sz w:val="24"/>
          <w:szCs w:val="24"/>
        </w:rPr>
        <w:t>Minētie rādītāji</w:t>
      </w:r>
      <w:r w:rsidR="000D7E4C" w:rsidRPr="00930237">
        <w:rPr>
          <w:rFonts w:ascii="Times New Roman" w:hAnsi="Times New Roman" w:cs="Times New Roman"/>
          <w:sz w:val="24"/>
          <w:szCs w:val="24"/>
        </w:rPr>
        <w:t xml:space="preserve"> </w:t>
      </w:r>
      <w:r w:rsidRPr="00930237">
        <w:rPr>
          <w:rFonts w:ascii="Times New Roman" w:hAnsi="Times New Roman" w:cs="Times New Roman"/>
          <w:sz w:val="24"/>
          <w:szCs w:val="24"/>
        </w:rPr>
        <w:t xml:space="preserve">SEG emisiju </w:t>
      </w:r>
      <w:r w:rsidR="000D7E4C" w:rsidRPr="00930237">
        <w:rPr>
          <w:rFonts w:ascii="Times New Roman" w:hAnsi="Times New Roman" w:cs="Times New Roman"/>
          <w:sz w:val="24"/>
          <w:szCs w:val="24"/>
        </w:rPr>
        <w:t>struktūr</w:t>
      </w:r>
      <w:r w:rsidR="000D7E4C">
        <w:rPr>
          <w:rFonts w:ascii="Times New Roman" w:hAnsi="Times New Roman" w:cs="Times New Roman"/>
          <w:sz w:val="24"/>
          <w:szCs w:val="24"/>
        </w:rPr>
        <w:t>ā</w:t>
      </w:r>
      <w:r w:rsidR="000D7E4C" w:rsidRPr="00930237">
        <w:rPr>
          <w:rFonts w:ascii="Times New Roman" w:hAnsi="Times New Roman" w:cs="Times New Roman"/>
          <w:sz w:val="24"/>
          <w:szCs w:val="24"/>
        </w:rPr>
        <w:t xml:space="preserve"> </w:t>
      </w:r>
      <w:r w:rsidRPr="00930237">
        <w:rPr>
          <w:rFonts w:ascii="Times New Roman" w:hAnsi="Times New Roman" w:cs="Times New Roman"/>
          <w:sz w:val="24"/>
          <w:szCs w:val="24"/>
        </w:rPr>
        <w:t>kā lielāko izaicinājumu klimat</w:t>
      </w:r>
      <w:r w:rsidR="00982040">
        <w:rPr>
          <w:rFonts w:ascii="Times New Roman" w:hAnsi="Times New Roman" w:cs="Times New Roman"/>
          <w:sz w:val="24"/>
          <w:szCs w:val="24"/>
        </w:rPr>
        <w:t>n</w:t>
      </w:r>
      <w:r w:rsidRPr="00930237">
        <w:rPr>
          <w:rFonts w:ascii="Times New Roman" w:hAnsi="Times New Roman" w:cs="Times New Roman"/>
          <w:sz w:val="24"/>
          <w:szCs w:val="24"/>
        </w:rPr>
        <w:t xml:space="preserve">eitralitātes sasniegšanai un SEG emisiju samazināšanai </w:t>
      </w:r>
      <w:r w:rsidRPr="00930237">
        <w:rPr>
          <w:rFonts w:ascii="Times New Roman" w:hAnsi="Times New Roman" w:cs="Times New Roman"/>
          <w:b/>
          <w:sz w:val="24"/>
          <w:szCs w:val="24"/>
        </w:rPr>
        <w:t>iezīmē transporta</w:t>
      </w:r>
      <w:r w:rsidR="00031126">
        <w:rPr>
          <w:rFonts w:ascii="Times New Roman" w:hAnsi="Times New Roman" w:cs="Times New Roman"/>
          <w:b/>
          <w:sz w:val="24"/>
          <w:szCs w:val="24"/>
        </w:rPr>
        <w:t xml:space="preserve"> </w:t>
      </w:r>
      <w:r w:rsidR="00EA3969" w:rsidRPr="00EA3969">
        <w:rPr>
          <w:rFonts w:ascii="Times New Roman" w:hAnsi="Times New Roman" w:cs="Times New Roman"/>
          <w:b/>
          <w:sz w:val="24"/>
          <w:szCs w:val="24"/>
        </w:rPr>
        <w:t xml:space="preserve">un ēku </w:t>
      </w:r>
      <w:r w:rsidRPr="00930237">
        <w:rPr>
          <w:rFonts w:ascii="Times New Roman" w:hAnsi="Times New Roman" w:cs="Times New Roman"/>
          <w:b/>
          <w:sz w:val="24"/>
          <w:szCs w:val="24"/>
        </w:rPr>
        <w:t>pāreju uz AER</w:t>
      </w:r>
      <w:r w:rsidRPr="00930237">
        <w:rPr>
          <w:rFonts w:ascii="Times New Roman" w:hAnsi="Times New Roman" w:cs="Times New Roman"/>
          <w:sz w:val="24"/>
          <w:szCs w:val="24"/>
        </w:rPr>
        <w:t>, kur nepieciešamas būtiskas investīcijas.</w:t>
      </w:r>
      <w:r w:rsidR="00255B1F" w:rsidRPr="00255B1F">
        <w:t xml:space="preserve"> </w:t>
      </w:r>
      <w:r w:rsidR="00255B1F" w:rsidRPr="00255B1F">
        <w:rPr>
          <w:rFonts w:ascii="Times New Roman" w:hAnsi="Times New Roman" w:cs="Times New Roman"/>
          <w:sz w:val="24"/>
          <w:szCs w:val="24"/>
        </w:rPr>
        <w:t xml:space="preserve">Savukārt </w:t>
      </w:r>
      <w:r w:rsidR="00982040">
        <w:rPr>
          <w:rFonts w:ascii="Times New Roman" w:hAnsi="Times New Roman" w:cs="Times New Roman"/>
          <w:sz w:val="24"/>
          <w:szCs w:val="24"/>
        </w:rPr>
        <w:t xml:space="preserve">tikai </w:t>
      </w:r>
      <w:r w:rsidR="00255B1F" w:rsidRPr="00255B1F">
        <w:rPr>
          <w:rFonts w:ascii="Times New Roman" w:hAnsi="Times New Roman" w:cs="Times New Roman"/>
          <w:sz w:val="24"/>
          <w:szCs w:val="24"/>
        </w:rPr>
        <w:t>ēku sektorā īstenotie energoefektivitātes uzlabošanas pasākumi var nedot vēlamo ne-ETS sektora SEG emisiju samazinājumu, jo lielākā daļa Latvijas ēku izmanto ETS iekārtās saražoto siltumenerģiju.</w:t>
      </w:r>
    </w:p>
    <w:p w14:paraId="00A64DA3" w14:textId="5D7B4F35" w:rsidR="00AC212B" w:rsidRPr="007A4BC9" w:rsidRDefault="00AC212B" w:rsidP="007545BD">
      <w:pPr>
        <w:pStyle w:val="ListParagraph"/>
        <w:numPr>
          <w:ilvl w:val="0"/>
          <w:numId w:val="60"/>
        </w:numPr>
        <w:spacing w:after="0" w:line="240" w:lineRule="auto"/>
        <w:ind w:left="567" w:hanging="567"/>
        <w:mirrorIndents/>
        <w:jc w:val="both"/>
        <w:rPr>
          <w:rFonts w:ascii="Times New Roman" w:eastAsia="Times New Roman" w:hAnsi="Times New Roman" w:cs="Times New Roman"/>
          <w:sz w:val="24"/>
          <w:szCs w:val="24"/>
        </w:rPr>
      </w:pPr>
      <w:r w:rsidRPr="00930237">
        <w:rPr>
          <w:rFonts w:ascii="Times New Roman" w:hAnsi="Times New Roman" w:cs="Times New Roman"/>
          <w:sz w:val="24"/>
          <w:szCs w:val="24"/>
        </w:rPr>
        <w:t>Jāatzīmē, ka transporta sektorā ir ļoti zems AER īpatsvars, kas ir viens no zemākiem rādītājiem Eiropā. Mērķis 2020.</w:t>
      </w:r>
      <w:r w:rsidR="00982040">
        <w:rPr>
          <w:rFonts w:ascii="Times New Roman" w:hAnsi="Times New Roman" w:cs="Times New Roman"/>
          <w:sz w:val="24"/>
          <w:szCs w:val="24"/>
        </w:rPr>
        <w:t xml:space="preserve"> </w:t>
      </w:r>
      <w:r w:rsidRPr="00930237">
        <w:rPr>
          <w:rFonts w:ascii="Times New Roman" w:hAnsi="Times New Roman" w:cs="Times New Roman"/>
          <w:sz w:val="24"/>
          <w:szCs w:val="24"/>
        </w:rPr>
        <w:t xml:space="preserve">gadam ir 10% AER īpatsvars transporta sektorā, bet </w:t>
      </w:r>
      <w:r w:rsidR="00255B1F">
        <w:rPr>
          <w:rFonts w:ascii="Times New Roman" w:hAnsi="Times New Roman" w:cs="Times New Roman"/>
          <w:sz w:val="24"/>
          <w:szCs w:val="24"/>
        </w:rPr>
        <w:t>2018.</w:t>
      </w:r>
      <w:r w:rsidR="00982040">
        <w:rPr>
          <w:rFonts w:ascii="Times New Roman" w:hAnsi="Times New Roman" w:cs="Times New Roman"/>
          <w:sz w:val="24"/>
          <w:szCs w:val="24"/>
        </w:rPr>
        <w:t xml:space="preserve"> </w:t>
      </w:r>
      <w:r w:rsidR="00255B1F">
        <w:rPr>
          <w:rFonts w:ascii="Times New Roman" w:hAnsi="Times New Roman" w:cs="Times New Roman"/>
          <w:sz w:val="24"/>
          <w:szCs w:val="24"/>
        </w:rPr>
        <w:t xml:space="preserve">gadā tas bija </w:t>
      </w:r>
      <w:r w:rsidRPr="00930237">
        <w:rPr>
          <w:rFonts w:ascii="Times New Roman" w:hAnsi="Times New Roman" w:cs="Times New Roman"/>
          <w:sz w:val="24"/>
          <w:szCs w:val="24"/>
        </w:rPr>
        <w:t>tikai 4</w:t>
      </w:r>
      <w:r w:rsidR="00255B1F">
        <w:rPr>
          <w:rFonts w:ascii="Times New Roman" w:hAnsi="Times New Roman" w:cs="Times New Roman"/>
          <w:sz w:val="24"/>
          <w:szCs w:val="24"/>
        </w:rPr>
        <w:t>,7</w:t>
      </w:r>
      <w:r w:rsidRPr="00930237">
        <w:rPr>
          <w:rFonts w:ascii="Times New Roman" w:hAnsi="Times New Roman" w:cs="Times New Roman"/>
          <w:sz w:val="24"/>
          <w:szCs w:val="24"/>
        </w:rPr>
        <w:t xml:space="preserve">%, kas būtiski ietekmē arī gaisa kvalitāti atsevišķās Latvijas pilsētās. Tas saistāms arī ar faktu, ka </w:t>
      </w:r>
      <w:r w:rsidRPr="00930237">
        <w:rPr>
          <w:rFonts w:ascii="Times New Roman" w:hAnsi="Times New Roman" w:cs="Times New Roman"/>
          <w:bCs/>
          <w:sz w:val="24"/>
          <w:szCs w:val="24"/>
        </w:rPr>
        <w:t>vairāk nekā 93% Latvijas autoparka veido ar fosilo degvielu</w:t>
      </w:r>
      <w:r w:rsidRPr="00930237">
        <w:rPr>
          <w:rFonts w:ascii="Times New Roman" w:hAnsi="Times New Roman" w:cs="Times New Roman"/>
          <w:sz w:val="24"/>
          <w:szCs w:val="24"/>
        </w:rPr>
        <w:t xml:space="preserve"> darbināmi transportlīdzekļi; ar dīzeļdegvielu darbināmu transportlīdzekļu ir 65,5%, kamēr ar elektrību darbināmi transportlīdzekļi –</w:t>
      </w:r>
      <w:r w:rsidR="00982040">
        <w:rPr>
          <w:rFonts w:ascii="Times New Roman" w:hAnsi="Times New Roman" w:cs="Times New Roman"/>
          <w:sz w:val="24"/>
          <w:szCs w:val="24"/>
        </w:rPr>
        <w:t xml:space="preserve"> </w:t>
      </w:r>
      <w:r w:rsidRPr="00930237">
        <w:rPr>
          <w:rFonts w:ascii="Times New Roman" w:hAnsi="Times New Roman" w:cs="Times New Roman"/>
          <w:sz w:val="24"/>
          <w:szCs w:val="24"/>
        </w:rPr>
        <w:t xml:space="preserve">0,1%. </w:t>
      </w:r>
      <w:r w:rsidR="00255B1F" w:rsidRPr="00255B1F">
        <w:rPr>
          <w:rFonts w:ascii="Times New Roman" w:hAnsi="Times New Roman" w:cs="Times New Roman"/>
          <w:sz w:val="24"/>
          <w:szCs w:val="24"/>
        </w:rPr>
        <w:t>Lai gan elektrotransportlīdzekļu uzlādes punktu skaits būtiski pieaug, tie joprojām reģionos nenosedzot nepieciešamos attālumus.</w:t>
      </w:r>
    </w:p>
    <w:p w14:paraId="5E9A9DF0" w14:textId="3C8639E2" w:rsidR="007A4BC9" w:rsidRPr="00930237" w:rsidRDefault="007A4BC9" w:rsidP="007545BD">
      <w:pPr>
        <w:pStyle w:val="ListParagraph"/>
        <w:numPr>
          <w:ilvl w:val="0"/>
          <w:numId w:val="60"/>
        </w:numPr>
        <w:spacing w:after="0" w:line="240" w:lineRule="auto"/>
        <w:ind w:left="567" w:hanging="567"/>
        <w:mirrorIndents/>
        <w:jc w:val="both"/>
        <w:rPr>
          <w:rFonts w:ascii="Times New Roman" w:eastAsia="Times New Roman" w:hAnsi="Times New Roman" w:cs="Times New Roman"/>
          <w:sz w:val="24"/>
          <w:szCs w:val="24"/>
        </w:rPr>
      </w:pPr>
      <w:r w:rsidRPr="007A4BC9">
        <w:rPr>
          <w:rFonts w:ascii="Times New Roman" w:eastAsia="Times New Roman" w:hAnsi="Times New Roman" w:cs="Times New Roman"/>
          <w:sz w:val="24"/>
          <w:szCs w:val="24"/>
        </w:rPr>
        <w:t>Ilgtspējīgas mobilitātes nodrošināšana ir viens no būtiskākajiem šī brīža transporta nozares izaicinājumiem. Viens no risinājumiem, kas ietverts Darbības programmā, ir mobilitātes punktu izveide, lai nodrošinātu ērtus un integrētus dažāda transporta veida savienojumus vienkopus, tādējādi veicinot reģionu sasniedzamību,  mainot iedzīvotāju pārvietošanas paradumus.</w:t>
      </w:r>
      <w:r>
        <w:rPr>
          <w:rFonts w:ascii="Times New Roman" w:eastAsia="Times New Roman" w:hAnsi="Times New Roman" w:cs="Times New Roman"/>
          <w:sz w:val="24"/>
          <w:szCs w:val="24"/>
        </w:rPr>
        <w:t xml:space="preserve"> </w:t>
      </w:r>
    </w:p>
    <w:p w14:paraId="06FD2515" w14:textId="50621A0D" w:rsidR="00AC212B" w:rsidRPr="006235AC" w:rsidRDefault="005F6135" w:rsidP="007545BD">
      <w:pPr>
        <w:pStyle w:val="ListParagraph"/>
        <w:numPr>
          <w:ilvl w:val="0"/>
          <w:numId w:val="60"/>
        </w:numPr>
        <w:spacing w:after="0" w:line="240" w:lineRule="auto"/>
        <w:ind w:left="567" w:hanging="567"/>
        <w:mirrorIndents/>
        <w:jc w:val="both"/>
        <w:rPr>
          <w:rFonts w:ascii="Times New Roman" w:eastAsia="Times New Roman" w:hAnsi="Times New Roman" w:cs="Times New Roman"/>
          <w:color w:val="000000" w:themeColor="text1"/>
          <w:sz w:val="24"/>
          <w:szCs w:val="24"/>
        </w:rPr>
      </w:pPr>
      <w:r w:rsidRPr="005F6135">
        <w:rPr>
          <w:rFonts w:ascii="Times New Roman" w:hAnsi="Times New Roman" w:cs="Times New Roman"/>
          <w:sz w:val="24"/>
          <w:szCs w:val="24"/>
        </w:rPr>
        <w:t>2018.gadā autotransports veidoja 93,6</w:t>
      </w:r>
      <w:r>
        <w:rPr>
          <w:rFonts w:ascii="Times New Roman" w:hAnsi="Times New Roman" w:cs="Times New Roman"/>
          <w:sz w:val="24"/>
          <w:szCs w:val="24"/>
        </w:rPr>
        <w:t>%</w:t>
      </w:r>
      <w:r w:rsidRPr="005F6135">
        <w:rPr>
          <w:rFonts w:ascii="Times New Roman" w:hAnsi="Times New Roman" w:cs="Times New Roman"/>
          <w:sz w:val="24"/>
          <w:szCs w:val="24"/>
        </w:rPr>
        <w:t xml:space="preserve"> no kopējām SEG emisijām transporta sektorā. Transporta sektors ir arī būtisks gaisa piesārņojuma avots</w:t>
      </w:r>
      <w:r>
        <w:rPr>
          <w:rFonts w:ascii="Times New Roman" w:hAnsi="Times New Roman" w:cs="Times New Roman"/>
          <w:sz w:val="24"/>
          <w:szCs w:val="24"/>
        </w:rPr>
        <w:t xml:space="preserve">. </w:t>
      </w:r>
      <w:r w:rsidR="00D868EC">
        <w:rPr>
          <w:rFonts w:ascii="Times New Roman" w:hAnsi="Times New Roman" w:cs="Times New Roman"/>
          <w:sz w:val="24"/>
          <w:szCs w:val="24"/>
        </w:rPr>
        <w:t>V</w:t>
      </w:r>
      <w:r w:rsidR="00D868EC" w:rsidRPr="00153FE6">
        <w:rPr>
          <w:rFonts w:ascii="Times New Roman" w:hAnsi="Times New Roman" w:cs="Times New Roman"/>
          <w:color w:val="000000" w:themeColor="text1"/>
          <w:sz w:val="24"/>
          <w:szCs w:val="24"/>
        </w:rPr>
        <w:t xml:space="preserve">islielākais potenciāls autotransporta radīto SEG emisiju samazināšanai ir privātā pasažieru autotransporta lietotāju </w:t>
      </w:r>
      <w:r w:rsidR="00D868EC" w:rsidRPr="00153FE6">
        <w:rPr>
          <w:rFonts w:ascii="Times New Roman" w:hAnsi="Times New Roman" w:cs="Times New Roman"/>
          <w:bCs/>
          <w:color w:val="000000" w:themeColor="text1"/>
          <w:sz w:val="24"/>
          <w:szCs w:val="24"/>
        </w:rPr>
        <w:t>pārorientēšanai</w:t>
      </w:r>
      <w:r w:rsidR="00D868EC" w:rsidRPr="00153FE6">
        <w:rPr>
          <w:rFonts w:ascii="Times New Roman" w:hAnsi="Times New Roman" w:cs="Times New Roman"/>
          <w:b/>
          <w:color w:val="000000" w:themeColor="text1"/>
          <w:sz w:val="24"/>
          <w:szCs w:val="24"/>
        </w:rPr>
        <w:t xml:space="preserve"> </w:t>
      </w:r>
      <w:r w:rsidR="00D868EC" w:rsidRPr="00153FE6">
        <w:rPr>
          <w:rFonts w:ascii="Times New Roman" w:hAnsi="Times New Roman" w:cs="Times New Roman"/>
          <w:bCs/>
          <w:color w:val="000000" w:themeColor="text1"/>
          <w:sz w:val="24"/>
          <w:szCs w:val="24"/>
        </w:rPr>
        <w:t>uz dzelzceļu vai citu videi draudzīgu sabiedrisko transportu</w:t>
      </w:r>
      <w:r w:rsidR="00F93929">
        <w:rPr>
          <w:rFonts w:ascii="Times New Roman" w:hAnsi="Times New Roman" w:cs="Times New Roman"/>
          <w:bCs/>
          <w:color w:val="000000" w:themeColor="text1"/>
          <w:sz w:val="24"/>
          <w:szCs w:val="24"/>
        </w:rPr>
        <w:t>.</w:t>
      </w:r>
      <w:r w:rsidR="00D868EC" w:rsidRPr="00153FE6">
        <w:rPr>
          <w:rFonts w:ascii="Times New Roman" w:hAnsi="Times New Roman" w:cs="Times New Roman"/>
          <w:bCs/>
          <w:color w:val="000000" w:themeColor="text1"/>
          <w:sz w:val="24"/>
          <w:szCs w:val="24"/>
        </w:rPr>
        <w:t xml:space="preserve"> </w:t>
      </w:r>
      <w:r w:rsidR="00F93929" w:rsidRPr="00F93929">
        <w:rPr>
          <w:rFonts w:ascii="Times New Roman" w:hAnsi="Times New Roman" w:cs="Times New Roman"/>
          <w:bCs/>
          <w:color w:val="000000" w:themeColor="text1"/>
          <w:sz w:val="24"/>
          <w:szCs w:val="24"/>
        </w:rPr>
        <w:t>Līdz ar to, jā</w:t>
      </w:r>
      <w:r w:rsidR="00F93929">
        <w:rPr>
          <w:rFonts w:ascii="Times New Roman" w:hAnsi="Times New Roman" w:cs="Times New Roman"/>
          <w:bCs/>
          <w:color w:val="000000" w:themeColor="text1"/>
          <w:sz w:val="24"/>
          <w:szCs w:val="24"/>
        </w:rPr>
        <w:t>turpina attīstīt</w:t>
      </w:r>
      <w:r w:rsidR="00F93929" w:rsidRPr="00F93929">
        <w:rPr>
          <w:rFonts w:ascii="Times New Roman" w:hAnsi="Times New Roman" w:cs="Times New Roman"/>
          <w:bCs/>
          <w:color w:val="000000" w:themeColor="text1"/>
          <w:sz w:val="24"/>
          <w:szCs w:val="24"/>
        </w:rPr>
        <w:t xml:space="preserve"> un pilnveido</w:t>
      </w:r>
      <w:r w:rsidR="00F93929">
        <w:rPr>
          <w:rFonts w:ascii="Times New Roman" w:hAnsi="Times New Roman" w:cs="Times New Roman"/>
          <w:bCs/>
          <w:color w:val="000000" w:themeColor="text1"/>
          <w:sz w:val="24"/>
          <w:szCs w:val="24"/>
        </w:rPr>
        <w:t>t</w:t>
      </w:r>
      <w:r w:rsidR="00F93929" w:rsidRPr="00F93929">
        <w:rPr>
          <w:rFonts w:ascii="Times New Roman" w:hAnsi="Times New Roman" w:cs="Times New Roman"/>
          <w:bCs/>
          <w:color w:val="000000" w:themeColor="text1"/>
          <w:sz w:val="24"/>
          <w:szCs w:val="24"/>
        </w:rPr>
        <w:t xml:space="preserve"> jauni mobilitātes risinājumi, kas veicinātu pārsēšanos no </w:t>
      </w:r>
      <w:r w:rsidR="00F93929">
        <w:rPr>
          <w:rFonts w:ascii="Times New Roman" w:hAnsi="Times New Roman" w:cs="Times New Roman"/>
          <w:bCs/>
          <w:color w:val="000000" w:themeColor="text1"/>
          <w:sz w:val="24"/>
          <w:szCs w:val="24"/>
        </w:rPr>
        <w:t xml:space="preserve">privātā </w:t>
      </w:r>
      <w:r w:rsidR="00F93929" w:rsidRPr="00F93929">
        <w:rPr>
          <w:rFonts w:ascii="Times New Roman" w:hAnsi="Times New Roman" w:cs="Times New Roman"/>
          <w:bCs/>
          <w:color w:val="000000" w:themeColor="text1"/>
          <w:sz w:val="24"/>
          <w:szCs w:val="24"/>
        </w:rPr>
        <w:t>autotransporta ikdienas mobilitātes vajadzībām uz dzelzceļu, kur pirmā/pēdējā jūdze tiek veikta pēc iespējas ar sabiedrisko transportu vai velosipēdu</w:t>
      </w:r>
      <w:r w:rsidR="00F93929">
        <w:rPr>
          <w:rFonts w:ascii="Times New Roman" w:hAnsi="Times New Roman" w:cs="Times New Roman"/>
          <w:bCs/>
          <w:color w:val="000000" w:themeColor="text1"/>
          <w:sz w:val="24"/>
          <w:szCs w:val="24"/>
        </w:rPr>
        <w:t>, v</w:t>
      </w:r>
      <w:r w:rsidR="00F93929" w:rsidRPr="00153FE6">
        <w:rPr>
          <w:rFonts w:ascii="Times New Roman" w:hAnsi="Times New Roman" w:cs="Times New Roman"/>
          <w:bCs/>
          <w:color w:val="000000" w:themeColor="text1"/>
          <w:sz w:val="24"/>
          <w:szCs w:val="24"/>
        </w:rPr>
        <w:t>ienlaikus nodrošinot stabilu platformu videi draudzīga privātā autotransporta attīstībai.</w:t>
      </w:r>
      <w:r w:rsidR="00F93929">
        <w:rPr>
          <w:rFonts w:ascii="Times New Roman" w:hAnsi="Times New Roman" w:cs="Times New Roman"/>
          <w:bCs/>
          <w:color w:val="000000" w:themeColor="text1"/>
          <w:sz w:val="24"/>
          <w:szCs w:val="24"/>
        </w:rPr>
        <w:t xml:space="preserve"> </w:t>
      </w:r>
      <w:r w:rsidR="00AC212B" w:rsidRPr="00930237">
        <w:rPr>
          <w:rFonts w:ascii="Times New Roman" w:hAnsi="Times New Roman" w:cs="Times New Roman"/>
          <w:sz w:val="24"/>
          <w:szCs w:val="24"/>
        </w:rPr>
        <w:t>Latvijā ir pieaudzis velosipēdu lietotāju skaits, ikdienā ar velosipēdu pārvietojas 6%</w:t>
      </w:r>
      <w:r w:rsidR="00CD28EE" w:rsidRPr="00CD28EE">
        <w:rPr>
          <w:rFonts w:ascii="Times New Roman" w:eastAsia="Calibri" w:hAnsi="Times New Roman" w:cs="Times New Roman"/>
          <w:sz w:val="24"/>
          <w:szCs w:val="24"/>
        </w:rPr>
        <w:t xml:space="preserve"> </w:t>
      </w:r>
      <w:r w:rsidR="00CD28EE" w:rsidRPr="00CD28EE">
        <w:rPr>
          <w:rFonts w:ascii="Times New Roman" w:hAnsi="Times New Roman" w:cs="Times New Roman"/>
          <w:sz w:val="24"/>
          <w:szCs w:val="24"/>
        </w:rPr>
        <w:t xml:space="preserve">iedzīvotāju. </w:t>
      </w:r>
      <w:r w:rsidR="00AF1798" w:rsidRPr="00AF1798">
        <w:rPr>
          <w:rFonts w:ascii="Times New Roman" w:hAnsi="Times New Roman" w:cs="Times New Roman"/>
          <w:sz w:val="24"/>
          <w:szCs w:val="24"/>
        </w:rPr>
        <w:t>Pieaugot velosipēdistu skaitam, ir palielinājies arī ceļu satiksmes negadījumu skaits, kuros ir iesaistīti velosipēdi (no 527 ceļu satiksmes negadījumos cietušajiem 2014.gadā līdz 686 ceļu satiksmes negadījumos cietušajiem 2020.gadā)</w:t>
      </w:r>
      <w:r w:rsidR="00AF1798" w:rsidRPr="00AF1798">
        <w:rPr>
          <w:rFonts w:ascii="Times New Roman" w:hAnsi="Times New Roman" w:cs="Times New Roman"/>
          <w:sz w:val="24"/>
          <w:szCs w:val="24"/>
          <w:vertAlign w:val="superscript"/>
        </w:rPr>
        <w:footnoteReference w:id="17"/>
      </w:r>
      <w:r w:rsidR="00AF1798" w:rsidRPr="00AF1798">
        <w:rPr>
          <w:rFonts w:ascii="Times New Roman" w:hAnsi="Times New Roman" w:cs="Times New Roman"/>
          <w:sz w:val="24"/>
          <w:szCs w:val="24"/>
        </w:rPr>
        <w:t>, līdz ar to ir aktuāla vajadzība pēc atbilstošas un drošas velo infrastruktūras.</w:t>
      </w:r>
      <w:r w:rsidR="00CD28EE">
        <w:rPr>
          <w:rFonts w:ascii="Times New Roman" w:hAnsi="Times New Roman" w:cs="Times New Roman"/>
          <w:sz w:val="24"/>
          <w:szCs w:val="24"/>
        </w:rPr>
        <w:t xml:space="preserve"> </w:t>
      </w:r>
    </w:p>
    <w:p w14:paraId="772BCF4E" w14:textId="4FBF77EC" w:rsidR="00AF1798" w:rsidRPr="006235AC" w:rsidRDefault="00AF1798" w:rsidP="007545BD">
      <w:pPr>
        <w:pStyle w:val="ListParagraph"/>
        <w:numPr>
          <w:ilvl w:val="0"/>
          <w:numId w:val="60"/>
        </w:numPr>
        <w:spacing w:after="0" w:line="240" w:lineRule="auto"/>
        <w:ind w:left="567" w:hanging="567"/>
        <w:mirrorIndents/>
        <w:jc w:val="both"/>
        <w:rPr>
          <w:rFonts w:ascii="Times New Roman" w:eastAsia="Times New Roman" w:hAnsi="Times New Roman" w:cs="Times New Roman"/>
          <w:color w:val="000000" w:themeColor="text1"/>
          <w:sz w:val="24"/>
          <w:szCs w:val="24"/>
        </w:rPr>
      </w:pPr>
      <w:r w:rsidRPr="00AF1798">
        <w:rPr>
          <w:rFonts w:ascii="Times New Roman" w:hAnsi="Times New Roman" w:cs="Times New Roman"/>
          <w:sz w:val="24"/>
          <w:szCs w:val="24"/>
        </w:rPr>
        <w:t>No visiem pasažierkilometriem Latvijā ilgtspējīgu pārvietošanās veidu</w:t>
      </w:r>
      <w:r w:rsidRPr="00AF1798">
        <w:rPr>
          <w:rFonts w:ascii="Times New Roman" w:hAnsi="Times New Roman" w:cs="Times New Roman"/>
          <w:sz w:val="24"/>
          <w:szCs w:val="24"/>
          <w:vertAlign w:val="superscript"/>
        </w:rPr>
        <w:footnoteReference w:id="18"/>
      </w:r>
      <w:r w:rsidRPr="00AF1798">
        <w:rPr>
          <w:rFonts w:ascii="Times New Roman" w:hAnsi="Times New Roman" w:cs="Times New Roman"/>
          <w:sz w:val="24"/>
          <w:szCs w:val="24"/>
        </w:rPr>
        <w:t xml:space="preserve"> izmantoja 16% iedzīvotāju (2017.g. dati), no tiem 64% tika veikti ar sabiedrisko transportu, 7% gadījumu izmantoja multimodālos transporta veidus un 6% gadījumu - velosipēdus</w:t>
      </w:r>
      <w:r w:rsidRPr="00AF1798">
        <w:rPr>
          <w:rFonts w:ascii="Times New Roman" w:hAnsi="Times New Roman" w:cs="Times New Roman"/>
          <w:sz w:val="24"/>
          <w:szCs w:val="24"/>
          <w:vertAlign w:val="superscript"/>
        </w:rPr>
        <w:footnoteReference w:id="19"/>
      </w:r>
      <w:r w:rsidRPr="00AF1798">
        <w:rPr>
          <w:rFonts w:ascii="Times New Roman" w:hAnsi="Times New Roman" w:cs="Times New Roman"/>
          <w:sz w:val="24"/>
          <w:szCs w:val="24"/>
        </w:rPr>
        <w:t>. Līdz ar to, jauni mobilitātes risinājumi, kas veicinātu pārsēšanos no autotransporta ikdienas mobilitātes vajadzībām uz dzelzceļu, kur pirmā/pēdējā jūdze tiek veikta pēc iespējas ar sabiedrisko transportu vai velosipēdu, jāattīsta un jāpilnveido arī turpmāk.</w:t>
      </w:r>
    </w:p>
    <w:p w14:paraId="7F686828" w14:textId="3024D6D7" w:rsidR="00AF1798" w:rsidRDefault="00AF1798" w:rsidP="007545BD">
      <w:pPr>
        <w:pStyle w:val="ListParagraph"/>
        <w:numPr>
          <w:ilvl w:val="0"/>
          <w:numId w:val="60"/>
        </w:numPr>
        <w:spacing w:after="0" w:line="240" w:lineRule="auto"/>
        <w:ind w:left="567" w:hanging="567"/>
        <w:mirrorIndents/>
        <w:jc w:val="both"/>
        <w:rPr>
          <w:rFonts w:ascii="Times New Roman" w:eastAsia="Times New Roman" w:hAnsi="Times New Roman" w:cs="Times New Roman"/>
          <w:color w:val="000000" w:themeColor="text1"/>
          <w:sz w:val="24"/>
          <w:szCs w:val="24"/>
        </w:rPr>
      </w:pPr>
      <w:r w:rsidRPr="00AF1798">
        <w:rPr>
          <w:rFonts w:ascii="Times New Roman" w:eastAsia="Times New Roman" w:hAnsi="Times New Roman" w:cs="Times New Roman"/>
          <w:color w:val="000000" w:themeColor="text1"/>
          <w:sz w:val="24"/>
          <w:szCs w:val="24"/>
        </w:rPr>
        <w:t>Digitalizācija un jauno tehnoloģiju izmantošanas palielināšanās transporta nozarē ir vērojama visā pasaulē, veicinot ilgtspējīgas transporta sistēmas attīstību. Līdz ar to, DP ietvaros ir paredzēta viedo tehnoloģiju ieviešana satiksmes plūsmas regulēšanai vides jautājumu risināšanai.</w:t>
      </w:r>
    </w:p>
    <w:p w14:paraId="1052BD4A" w14:textId="1631A3E5" w:rsidR="00AF1798" w:rsidRDefault="00AF1798" w:rsidP="007545BD">
      <w:pPr>
        <w:pStyle w:val="ListParagraph"/>
        <w:numPr>
          <w:ilvl w:val="0"/>
          <w:numId w:val="60"/>
        </w:numPr>
        <w:spacing w:after="0" w:line="240" w:lineRule="auto"/>
        <w:ind w:left="567" w:hanging="567"/>
        <w:mirrorIndents/>
        <w:jc w:val="both"/>
        <w:rPr>
          <w:rFonts w:ascii="Times New Roman" w:eastAsia="Times New Roman" w:hAnsi="Times New Roman" w:cs="Times New Roman"/>
          <w:color w:val="000000" w:themeColor="text1"/>
          <w:sz w:val="24"/>
          <w:szCs w:val="24"/>
        </w:rPr>
      </w:pPr>
      <w:r w:rsidRPr="00AF1798">
        <w:rPr>
          <w:rFonts w:ascii="Times New Roman" w:eastAsia="Times New Roman" w:hAnsi="Times New Roman" w:cs="Times New Roman"/>
          <w:color w:val="000000" w:themeColor="text1"/>
          <w:sz w:val="24"/>
          <w:szCs w:val="24"/>
        </w:rPr>
        <w:t xml:space="preserve">Darbības programmā plānotos pasākumus SEG emisiju samazināšanai transporta sektorā papildina Atveseļošanas un noturības mehānisma ietvaros paredzētā reforma </w:t>
      </w:r>
      <w:r w:rsidRPr="00AF1798">
        <w:rPr>
          <w:rFonts w:ascii="Times New Roman" w:eastAsia="Times New Roman" w:hAnsi="Times New Roman" w:cs="Times New Roman"/>
          <w:bCs/>
          <w:color w:val="000000" w:themeColor="text1"/>
          <w:sz w:val="24"/>
          <w:szCs w:val="24"/>
        </w:rPr>
        <w:t xml:space="preserve">Rīgas metropoles areāla transporta zaļināšanai, kuras </w:t>
      </w:r>
      <w:r w:rsidRPr="00AF1798">
        <w:rPr>
          <w:rFonts w:ascii="Times New Roman" w:eastAsia="Times New Roman" w:hAnsi="Times New Roman" w:cs="Times New Roman"/>
          <w:bCs/>
          <w:iCs/>
          <w:color w:val="000000" w:themeColor="text1"/>
          <w:sz w:val="24"/>
          <w:szCs w:val="24"/>
        </w:rPr>
        <w:t>galvenais virziens ir integrēta, videi draudzīga un labi attīstīta sabiedriskā transporta sistēma Rīgas metropoles areālā</w:t>
      </w:r>
      <w:r w:rsidRPr="00AF1798">
        <w:rPr>
          <w:rFonts w:ascii="Times New Roman" w:eastAsia="Times New Roman" w:hAnsi="Times New Roman" w:cs="Times New Roman"/>
          <w:color w:val="000000" w:themeColor="text1"/>
          <w:sz w:val="24"/>
          <w:szCs w:val="24"/>
        </w:rPr>
        <w:t>.</w:t>
      </w:r>
    </w:p>
    <w:p w14:paraId="096947CF" w14:textId="060D75EB" w:rsidR="00AF1798" w:rsidRPr="00930237" w:rsidRDefault="00AF1798" w:rsidP="007545BD">
      <w:pPr>
        <w:pStyle w:val="ListParagraph"/>
        <w:numPr>
          <w:ilvl w:val="0"/>
          <w:numId w:val="60"/>
        </w:numPr>
        <w:spacing w:after="0" w:line="240" w:lineRule="auto"/>
        <w:ind w:left="567" w:hanging="567"/>
        <w:mirrorIndents/>
        <w:jc w:val="both"/>
        <w:rPr>
          <w:rFonts w:ascii="Times New Roman" w:eastAsia="Times New Roman" w:hAnsi="Times New Roman" w:cs="Times New Roman"/>
          <w:color w:val="000000" w:themeColor="text1"/>
          <w:sz w:val="24"/>
          <w:szCs w:val="24"/>
        </w:rPr>
      </w:pPr>
      <w:r w:rsidRPr="00AF1798">
        <w:rPr>
          <w:rFonts w:ascii="Times New Roman" w:eastAsia="Times New Roman" w:hAnsi="Times New Roman" w:cs="Times New Roman"/>
          <w:color w:val="000000" w:themeColor="text1"/>
          <w:sz w:val="24"/>
          <w:szCs w:val="24"/>
        </w:rPr>
        <w:t>Rīgas metropoles areāla sabiedriskā transporta reformas ietvaros līdz 2023. gada vidum paredzēts izstrādāt un apstiprināt integrētu sabiedriskā transporta konceptu, kas ietvers maršruta tīkla attīstības plānu, biļešu cenu un atlaižu politiku, integrētu kustības grafiku. Tāpat līdz 2023. gada beigām paredzēts ieviest vienoto biļeti, kā arī reāllaika pasažieru informācijas sistēmas. Līdz 2026. gadam infrastruktūras uzlabojumi ir plānoti piecos no 13 multimodālajiem transporta koridoriem Rīgas metropoles areālā: Rīga–Carnikava–Saulkrasti, Rīga–Dreiliņi, Rīga–Ogre–Jēkabpils, Rīga–Jelgava un Rīga–Bolderāja. Investīcijas plānotas dzelzceļa un pilsētas sabiedriskā transporta infrastruktūras attīstībai, veidojot jaunus tramvaju līniju pagarinājumus un elektrificējot atsevišķas pilsētas un piepilsētas dzelzceļa līnijas. Par Atveseļošanas un noturības mehānisma finansējumu plānots iegādāties bezizmešu transporta līdzekļus – jaunus elektroautobusus, tramvajus un bateriju elektrovilcienus. Investīcijas paredzētas arī veloinfrastruktūras attīstībai Rīgā un Pierīgā aptuveni 60 kilometru garumā. Plānots attīstīt piecus maģistrālos veloceļu koridorus: Rīga– Carnikava, Rīga–Ulbroka, Rīga–Ķekava, Rīga–Babīte–Piņķi, Rīga–Mārupe. Katrā maršrutā tiks nodrošināta sasaiste starp pilsētas un reģionālās nozīmes veloceļiem.</w:t>
      </w:r>
      <w:r>
        <w:rPr>
          <w:rFonts w:ascii="Times New Roman" w:eastAsia="Times New Roman" w:hAnsi="Times New Roman" w:cs="Times New Roman"/>
          <w:color w:val="000000" w:themeColor="text1"/>
          <w:sz w:val="24"/>
          <w:szCs w:val="24"/>
        </w:rPr>
        <w:t xml:space="preserve"> </w:t>
      </w:r>
    </w:p>
    <w:p w14:paraId="38845951" w14:textId="3AF20FD8" w:rsidR="00AC212B" w:rsidRPr="00FC61C3" w:rsidRDefault="00AC212B" w:rsidP="007545BD">
      <w:pPr>
        <w:pStyle w:val="ListParagraph"/>
        <w:numPr>
          <w:ilvl w:val="0"/>
          <w:numId w:val="60"/>
        </w:numPr>
        <w:autoSpaceDE w:val="0"/>
        <w:autoSpaceDN w:val="0"/>
        <w:adjustRightInd w:val="0"/>
        <w:spacing w:after="0" w:line="240" w:lineRule="auto"/>
        <w:ind w:left="567" w:hanging="567"/>
        <w:mirrorIndents/>
        <w:jc w:val="both"/>
        <w:rPr>
          <w:rFonts w:ascii="Times New Roman" w:eastAsia="Times New Roman" w:hAnsi="Times New Roman" w:cs="Times New Roman"/>
          <w:sz w:val="24"/>
          <w:szCs w:val="24"/>
        </w:rPr>
      </w:pPr>
      <w:r w:rsidRPr="00FC61C3">
        <w:rPr>
          <w:rFonts w:ascii="Times New Roman" w:hAnsi="Times New Roman" w:cs="Times New Roman"/>
          <w:sz w:val="24"/>
          <w:szCs w:val="24"/>
        </w:rPr>
        <w:t xml:space="preserve">Dzīvojamo ēku sektorā ir panākts būtisks </w:t>
      </w:r>
      <w:r w:rsidR="00255B1F" w:rsidRPr="00FC61C3">
        <w:rPr>
          <w:rFonts w:ascii="Times New Roman" w:hAnsi="Times New Roman" w:cs="Times New Roman"/>
          <w:sz w:val="24"/>
          <w:szCs w:val="24"/>
        </w:rPr>
        <w:t>AER</w:t>
      </w:r>
      <w:r w:rsidRPr="00FC61C3">
        <w:rPr>
          <w:rFonts w:ascii="Times New Roman" w:hAnsi="Times New Roman" w:cs="Times New Roman"/>
          <w:sz w:val="24"/>
          <w:szCs w:val="24"/>
        </w:rPr>
        <w:t xml:space="preserve"> īpatsvars, kas ir viens no augstākajiem ES, tomēr ēku </w:t>
      </w:r>
      <w:r w:rsidRPr="00FC61C3">
        <w:rPr>
          <w:rFonts w:ascii="Times New Roman" w:hAnsi="Times New Roman" w:cs="Times New Roman"/>
          <w:b/>
          <w:sz w:val="24"/>
          <w:szCs w:val="24"/>
        </w:rPr>
        <w:t>energoefektivitāte</w:t>
      </w:r>
      <w:r w:rsidRPr="00FC61C3">
        <w:rPr>
          <w:rFonts w:ascii="Times New Roman" w:hAnsi="Times New Roman" w:cs="Times New Roman"/>
          <w:sz w:val="24"/>
          <w:szCs w:val="24"/>
        </w:rPr>
        <w:t xml:space="preserve"> ir zema</w:t>
      </w:r>
      <w:r w:rsidRPr="00FC61C3">
        <w:rPr>
          <w:rStyle w:val="FootnoteReference"/>
          <w:rFonts w:ascii="Times New Roman" w:hAnsi="Times New Roman" w:cs="Times New Roman"/>
          <w:sz w:val="24"/>
          <w:szCs w:val="24"/>
        </w:rPr>
        <w:footnoteReference w:id="20"/>
      </w:r>
      <w:r w:rsidRPr="00FC61C3">
        <w:rPr>
          <w:rFonts w:ascii="Times New Roman" w:hAnsi="Times New Roman" w:cs="Times New Roman"/>
          <w:sz w:val="24"/>
          <w:szCs w:val="24"/>
        </w:rPr>
        <w:t>. Attiecībā uz energoefektivitātes mērķiem lielākais izaicinājums ir daudzdzīvokļu ēku siltināšana un centr</w:t>
      </w:r>
      <w:r w:rsidR="006909F1" w:rsidRPr="00FC61C3">
        <w:rPr>
          <w:rFonts w:ascii="Times New Roman" w:hAnsi="Times New Roman" w:cs="Times New Roman"/>
          <w:sz w:val="24"/>
          <w:szCs w:val="24"/>
        </w:rPr>
        <w:t>alizētās</w:t>
      </w:r>
      <w:r w:rsidRPr="00FC61C3">
        <w:rPr>
          <w:rFonts w:ascii="Times New Roman" w:hAnsi="Times New Roman" w:cs="Times New Roman"/>
          <w:sz w:val="24"/>
          <w:szCs w:val="24"/>
        </w:rPr>
        <w:t xml:space="preserve"> siltumapgādes energoefektivitātes celšana </w:t>
      </w:r>
      <w:r w:rsidR="00DE7470" w:rsidRPr="00FC61C3">
        <w:rPr>
          <w:rFonts w:ascii="Times New Roman" w:hAnsi="Times New Roman" w:cs="Times New Roman"/>
          <w:sz w:val="24"/>
          <w:szCs w:val="24"/>
        </w:rPr>
        <w:t xml:space="preserve">pietiekamā </w:t>
      </w:r>
      <w:r w:rsidRPr="00FC61C3">
        <w:rPr>
          <w:rFonts w:ascii="Times New Roman" w:hAnsi="Times New Roman" w:cs="Times New Roman"/>
          <w:sz w:val="24"/>
          <w:szCs w:val="24"/>
        </w:rPr>
        <w:t xml:space="preserve">apjomā, lai sasniegtu NEKP </w:t>
      </w:r>
      <w:r w:rsidR="00DE7470" w:rsidRPr="00FC61C3">
        <w:rPr>
          <w:rFonts w:ascii="Times New Roman" w:hAnsi="Times New Roman" w:cs="Times New Roman"/>
          <w:sz w:val="24"/>
          <w:szCs w:val="24"/>
        </w:rPr>
        <w:t xml:space="preserve">izvirzīto </w:t>
      </w:r>
      <w:r w:rsidRPr="00FC61C3">
        <w:rPr>
          <w:rFonts w:ascii="Times New Roman" w:hAnsi="Times New Roman" w:cs="Times New Roman"/>
          <w:sz w:val="24"/>
          <w:szCs w:val="24"/>
        </w:rPr>
        <w:t xml:space="preserve">mērķi attiecībā uz enerģijas ietaupījumu. </w:t>
      </w:r>
      <w:r w:rsidRPr="00FC61C3">
        <w:rPr>
          <w:rFonts w:ascii="Times New Roman" w:eastAsia="Times New Roman" w:hAnsi="Times New Roman" w:cs="Times New Roman"/>
          <w:sz w:val="24"/>
          <w:szCs w:val="24"/>
        </w:rPr>
        <w:t>Tāpat atjaunojot daudzdzīvokļu ēkas var būtiski uzlabot enerģētikas nabadzības rādītājus un mājokļu kvalitātes rādītājus</w:t>
      </w:r>
      <w:r w:rsidR="00255B1F" w:rsidRPr="00FC61C3">
        <w:rPr>
          <w:rFonts w:ascii="Times New Roman" w:eastAsia="Times New Roman" w:hAnsi="Times New Roman" w:cs="Times New Roman"/>
          <w:sz w:val="24"/>
          <w:szCs w:val="24"/>
        </w:rPr>
        <w:t xml:space="preserve"> un paaugstināt iedzīvotāju dzīves kvalitāti</w:t>
      </w:r>
      <w:r w:rsidRPr="00FC61C3">
        <w:rPr>
          <w:rFonts w:ascii="Times New Roman" w:eastAsia="Times New Roman" w:hAnsi="Times New Roman" w:cs="Times New Roman"/>
          <w:sz w:val="24"/>
          <w:szCs w:val="24"/>
        </w:rPr>
        <w:t>.</w:t>
      </w:r>
      <w:r w:rsidR="004E6451" w:rsidRPr="00FC61C3">
        <w:rPr>
          <w:rFonts w:ascii="Times New Roman" w:eastAsia="Times New Roman" w:hAnsi="Times New Roman" w:cs="Times New Roman"/>
          <w:sz w:val="24"/>
          <w:szCs w:val="24"/>
        </w:rPr>
        <w:t xml:space="preserve"> </w:t>
      </w:r>
      <w:r w:rsidRPr="00FC61C3">
        <w:rPr>
          <w:rFonts w:ascii="Times New Roman" w:eastAsia="Times New Roman" w:hAnsi="Times New Roman" w:cs="Times New Roman"/>
          <w:sz w:val="24"/>
          <w:szCs w:val="24"/>
        </w:rPr>
        <w:t xml:space="preserve">Papildus kompleksa publisko ēku </w:t>
      </w:r>
      <w:r w:rsidR="00255B1F" w:rsidRPr="00FC61C3">
        <w:rPr>
          <w:rFonts w:ascii="Times New Roman" w:eastAsia="Times New Roman" w:hAnsi="Times New Roman" w:cs="Times New Roman"/>
          <w:sz w:val="24"/>
          <w:szCs w:val="24"/>
        </w:rPr>
        <w:t>energoefektivitātes uzlabošan</w:t>
      </w:r>
      <w:r w:rsidR="00982040" w:rsidRPr="00FC61C3">
        <w:rPr>
          <w:rFonts w:ascii="Times New Roman" w:eastAsia="Times New Roman" w:hAnsi="Times New Roman" w:cs="Times New Roman"/>
          <w:sz w:val="24"/>
          <w:szCs w:val="24"/>
        </w:rPr>
        <w:t>a</w:t>
      </w:r>
      <w:r w:rsidR="00255B1F" w:rsidRPr="00FC61C3">
        <w:rPr>
          <w:rFonts w:ascii="Times New Roman" w:eastAsia="Times New Roman" w:hAnsi="Times New Roman" w:cs="Times New Roman"/>
          <w:sz w:val="24"/>
          <w:szCs w:val="24"/>
        </w:rPr>
        <w:t xml:space="preserve"> </w:t>
      </w:r>
      <w:r w:rsidRPr="00FC61C3">
        <w:rPr>
          <w:rFonts w:ascii="Times New Roman" w:eastAsia="Times New Roman" w:hAnsi="Times New Roman" w:cs="Times New Roman"/>
          <w:sz w:val="24"/>
          <w:szCs w:val="24"/>
        </w:rPr>
        <w:t xml:space="preserve">var </w:t>
      </w:r>
      <w:r w:rsidR="00AF7038" w:rsidRPr="00FC61C3">
        <w:rPr>
          <w:rFonts w:ascii="Times New Roman" w:eastAsia="Times New Roman" w:hAnsi="Times New Roman" w:cs="Times New Roman"/>
          <w:sz w:val="24"/>
          <w:szCs w:val="24"/>
        </w:rPr>
        <w:t xml:space="preserve">palīdzēt </w:t>
      </w:r>
      <w:r w:rsidRPr="00FC61C3">
        <w:rPr>
          <w:rFonts w:ascii="Times New Roman" w:eastAsia="Times New Roman" w:hAnsi="Times New Roman" w:cs="Times New Roman"/>
          <w:sz w:val="24"/>
          <w:szCs w:val="24"/>
        </w:rPr>
        <w:t xml:space="preserve">mazināt sabiedriskā sektora izdevumus. </w:t>
      </w:r>
    </w:p>
    <w:p w14:paraId="486350BB" w14:textId="1027C818"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FC61C3">
        <w:rPr>
          <w:rFonts w:ascii="Times New Roman" w:hAnsi="Times New Roman" w:cs="Times New Roman"/>
          <w:b/>
          <w:bCs/>
          <w:sz w:val="24"/>
          <w:szCs w:val="24"/>
        </w:rPr>
        <w:t>Atkritumu apsaimniekošanas nozarē</w:t>
      </w:r>
      <w:r w:rsidRPr="00FC61C3">
        <w:rPr>
          <w:rFonts w:ascii="Times New Roman" w:hAnsi="Times New Roman" w:cs="Times New Roman"/>
          <w:sz w:val="24"/>
          <w:szCs w:val="24"/>
        </w:rPr>
        <w:t xml:space="preserve"> nav sasniegti normatīvajos aktos </w:t>
      </w:r>
      <w:r w:rsidR="00AF7038" w:rsidRPr="00FC61C3">
        <w:rPr>
          <w:rFonts w:ascii="Times New Roman" w:hAnsi="Times New Roman" w:cs="Times New Roman"/>
          <w:sz w:val="24"/>
          <w:szCs w:val="24"/>
        </w:rPr>
        <w:t xml:space="preserve">noteiktie </w:t>
      </w:r>
      <w:r w:rsidRPr="00FC61C3">
        <w:rPr>
          <w:rFonts w:ascii="Times New Roman" w:hAnsi="Times New Roman" w:cs="Times New Roman"/>
          <w:sz w:val="24"/>
          <w:szCs w:val="24"/>
        </w:rPr>
        <w:t>atkritumu apsaimniekošanas mērķi. Kopējais sadzīves atkritumu pārstrādes apjoms 201</w:t>
      </w:r>
      <w:r w:rsidR="001B067E" w:rsidRPr="00FC61C3">
        <w:rPr>
          <w:rFonts w:ascii="Times New Roman" w:hAnsi="Times New Roman" w:cs="Times New Roman"/>
          <w:sz w:val="24"/>
          <w:szCs w:val="24"/>
        </w:rPr>
        <w:t>9</w:t>
      </w:r>
      <w:r w:rsidRPr="00FC61C3">
        <w:rPr>
          <w:rFonts w:ascii="Times New Roman" w:hAnsi="Times New Roman" w:cs="Times New Roman"/>
          <w:sz w:val="24"/>
          <w:szCs w:val="24"/>
        </w:rPr>
        <w:t>.</w:t>
      </w:r>
      <w:r w:rsidR="001B067E" w:rsidRPr="00FC61C3">
        <w:rPr>
          <w:rFonts w:ascii="Times New Roman" w:hAnsi="Times New Roman" w:cs="Times New Roman"/>
          <w:sz w:val="24"/>
          <w:szCs w:val="24"/>
        </w:rPr>
        <w:t xml:space="preserve"> </w:t>
      </w:r>
      <w:r w:rsidRPr="00FC61C3">
        <w:rPr>
          <w:rFonts w:ascii="Times New Roman" w:hAnsi="Times New Roman" w:cs="Times New Roman"/>
          <w:sz w:val="24"/>
          <w:szCs w:val="24"/>
        </w:rPr>
        <w:t xml:space="preserve">gadā sasniedza tikai </w:t>
      </w:r>
      <w:r w:rsidR="001B067E" w:rsidRPr="00FC61C3">
        <w:rPr>
          <w:rFonts w:ascii="Times New Roman" w:hAnsi="Times New Roman" w:cs="Times New Roman"/>
          <w:sz w:val="24"/>
          <w:szCs w:val="24"/>
        </w:rPr>
        <w:t>44</w:t>
      </w:r>
      <w:r w:rsidRPr="00FC61C3">
        <w:rPr>
          <w:rFonts w:ascii="Times New Roman" w:hAnsi="Times New Roman" w:cs="Times New Roman"/>
          <w:sz w:val="24"/>
          <w:szCs w:val="24"/>
        </w:rPr>
        <w:t>,3%, mērķis 2020. gadam</w:t>
      </w:r>
      <w:r w:rsidR="00AF7038" w:rsidRPr="00FC61C3">
        <w:rPr>
          <w:rFonts w:ascii="Times New Roman" w:hAnsi="Times New Roman" w:cs="Times New Roman"/>
          <w:sz w:val="24"/>
          <w:szCs w:val="24"/>
        </w:rPr>
        <w:t xml:space="preserve"> -</w:t>
      </w:r>
      <w:r w:rsidRPr="00FC61C3">
        <w:rPr>
          <w:rFonts w:ascii="Times New Roman" w:hAnsi="Times New Roman" w:cs="Times New Roman"/>
          <w:sz w:val="24"/>
          <w:szCs w:val="24"/>
        </w:rPr>
        <w:t xml:space="preserve"> 50%. </w:t>
      </w:r>
      <w:r w:rsidR="001B067E" w:rsidRPr="00FC61C3">
        <w:rPr>
          <w:rFonts w:ascii="Times New Roman" w:hAnsi="Times New Roman" w:cs="Times New Roman"/>
          <w:sz w:val="24"/>
          <w:szCs w:val="24"/>
        </w:rPr>
        <w:t xml:space="preserve">2019. gadā 49% no sadzīves atkritumiem tika apglabāti, lai gan 2035. gadā būs atļauts apglabāt vien 10%. </w:t>
      </w:r>
      <w:r w:rsidRPr="00FC61C3">
        <w:rPr>
          <w:rFonts w:ascii="Times New Roman" w:hAnsi="Times New Roman" w:cs="Times New Roman"/>
          <w:sz w:val="24"/>
          <w:szCs w:val="24"/>
        </w:rPr>
        <w:t>Būtiski kavēta apglabāt</w:t>
      </w:r>
      <w:r w:rsidR="001B067E" w:rsidRPr="00FC61C3">
        <w:rPr>
          <w:rFonts w:ascii="Times New Roman" w:hAnsi="Times New Roman" w:cs="Times New Roman"/>
          <w:sz w:val="24"/>
          <w:szCs w:val="24"/>
        </w:rPr>
        <w:t>ā</w:t>
      </w:r>
      <w:r w:rsidRPr="00FC61C3">
        <w:rPr>
          <w:rFonts w:ascii="Times New Roman" w:hAnsi="Times New Roman" w:cs="Times New Roman"/>
          <w:sz w:val="24"/>
          <w:szCs w:val="24"/>
        </w:rPr>
        <w:t xml:space="preserve"> </w:t>
      </w:r>
      <w:r w:rsidRPr="00FC61C3">
        <w:rPr>
          <w:rFonts w:ascii="Times New Roman" w:hAnsi="Times New Roman" w:cs="Times New Roman"/>
          <w:bCs/>
          <w:sz w:val="24"/>
          <w:szCs w:val="24"/>
        </w:rPr>
        <w:t>BNA</w:t>
      </w:r>
      <w:r w:rsidRPr="00FC61C3">
        <w:rPr>
          <w:rFonts w:ascii="Times New Roman" w:hAnsi="Times New Roman" w:cs="Times New Roman"/>
          <w:sz w:val="24"/>
          <w:szCs w:val="24"/>
        </w:rPr>
        <w:t xml:space="preserve"> daudzuma samazināšana – 2015.gadā 57,1% šāda veida atkritumu tika apglabāti (mērķis 2013.</w:t>
      </w:r>
      <w:r w:rsidR="001B067E" w:rsidRPr="00FC61C3">
        <w:rPr>
          <w:rFonts w:ascii="Times New Roman" w:hAnsi="Times New Roman" w:cs="Times New Roman"/>
          <w:sz w:val="24"/>
          <w:szCs w:val="24"/>
        </w:rPr>
        <w:t xml:space="preserve"> </w:t>
      </w:r>
      <w:r w:rsidRPr="00FC61C3">
        <w:rPr>
          <w:rFonts w:ascii="Times New Roman" w:hAnsi="Times New Roman" w:cs="Times New Roman"/>
          <w:sz w:val="24"/>
          <w:szCs w:val="24"/>
        </w:rPr>
        <w:t>gadam bija 50%, mērķis 2020.</w:t>
      </w:r>
      <w:r w:rsidR="001B067E" w:rsidRPr="00FC61C3">
        <w:rPr>
          <w:rFonts w:ascii="Times New Roman" w:hAnsi="Times New Roman" w:cs="Times New Roman"/>
          <w:sz w:val="24"/>
          <w:szCs w:val="24"/>
        </w:rPr>
        <w:t xml:space="preserve"> </w:t>
      </w:r>
      <w:r w:rsidRPr="00FC61C3">
        <w:rPr>
          <w:rFonts w:ascii="Times New Roman" w:hAnsi="Times New Roman" w:cs="Times New Roman"/>
          <w:sz w:val="24"/>
          <w:szCs w:val="24"/>
        </w:rPr>
        <w:t>gadam – 35%)</w:t>
      </w:r>
      <w:r w:rsidRPr="00FC61C3">
        <w:rPr>
          <w:rStyle w:val="FootnoteReference"/>
          <w:rFonts w:ascii="Times New Roman" w:hAnsi="Times New Roman" w:cs="Times New Roman"/>
          <w:sz w:val="24"/>
          <w:szCs w:val="24"/>
        </w:rPr>
        <w:footnoteReference w:id="21"/>
      </w:r>
      <w:r w:rsidRPr="00FC61C3">
        <w:rPr>
          <w:rFonts w:ascii="Times New Roman" w:hAnsi="Times New Roman" w:cs="Times New Roman"/>
          <w:sz w:val="24"/>
          <w:szCs w:val="24"/>
        </w:rPr>
        <w:t>. Investīcijas sektorā var sniegt ieguldījumu arī SEG emisiju samazināšanā</w:t>
      </w:r>
      <w:r w:rsidR="00194FD8" w:rsidRPr="00FC61C3">
        <w:rPr>
          <w:rFonts w:ascii="Times New Roman" w:hAnsi="Times New Roman" w:cs="Times New Roman"/>
          <w:sz w:val="24"/>
          <w:szCs w:val="24"/>
        </w:rPr>
        <w:t>,</w:t>
      </w:r>
      <w:r w:rsidR="00194FD8" w:rsidRPr="00FC61C3">
        <w:t xml:space="preserve"> </w:t>
      </w:r>
      <w:r w:rsidR="00194FD8" w:rsidRPr="00FC61C3">
        <w:rPr>
          <w:rFonts w:ascii="Times New Roman" w:hAnsi="Times New Roman" w:cs="Times New Roman"/>
          <w:sz w:val="24"/>
          <w:szCs w:val="24"/>
        </w:rPr>
        <w:t>jo 2018. gadā atkritumu apsaimniekošana veidoja 5% no kopējām SEG emisijām</w:t>
      </w:r>
      <w:r w:rsidR="001B067E" w:rsidRPr="00FC61C3">
        <w:rPr>
          <w:rFonts w:ascii="Times New Roman" w:hAnsi="Times New Roman" w:cs="Times New Roman"/>
          <w:sz w:val="24"/>
          <w:szCs w:val="24"/>
        </w:rPr>
        <w:t>,</w:t>
      </w:r>
      <w:r w:rsidR="00194FD8" w:rsidRPr="00FC61C3">
        <w:rPr>
          <w:rFonts w:ascii="Times New Roman" w:hAnsi="Times New Roman" w:cs="Times New Roman"/>
          <w:sz w:val="24"/>
          <w:szCs w:val="24"/>
        </w:rPr>
        <w:t xml:space="preserve"> kā arī veicināt aprites ekonomikas principu ieviešanu tautsaimniecībā</w:t>
      </w:r>
      <w:r w:rsidRPr="00FC61C3">
        <w:rPr>
          <w:rFonts w:ascii="Times New Roman" w:hAnsi="Times New Roman" w:cs="Times New Roman"/>
          <w:sz w:val="24"/>
          <w:szCs w:val="24"/>
        </w:rPr>
        <w:t>.</w:t>
      </w:r>
      <w:r w:rsidR="005F6135" w:rsidRPr="00FC61C3">
        <w:t xml:space="preserve"> </w:t>
      </w:r>
      <w:r w:rsidR="005F6135" w:rsidRPr="00FC61C3">
        <w:rPr>
          <w:rFonts w:ascii="Times New Roman" w:hAnsi="Times New Roman" w:cs="Times New Roman"/>
          <w:sz w:val="24"/>
          <w:szCs w:val="24"/>
        </w:rPr>
        <w:t>NAP 2027 ir norādīts sasniedzamais mērķa indikators, kas paredz samazināt radīto sadzīves atkritumu daudzumu uz vienu iedzīvotāju no 470 kg 2018.gadā līdz 450 kg 2027</w:t>
      </w:r>
      <w:r w:rsidR="005F6135" w:rsidRPr="005F6135">
        <w:rPr>
          <w:rFonts w:ascii="Times New Roman" w:hAnsi="Times New Roman" w:cs="Times New Roman"/>
          <w:sz w:val="24"/>
          <w:szCs w:val="24"/>
        </w:rPr>
        <w:t>.gadā.</w:t>
      </w:r>
    </w:p>
    <w:p w14:paraId="251CDF11" w14:textId="435DE594" w:rsidR="00AC212B" w:rsidRPr="002878D9" w:rsidRDefault="00516E25" w:rsidP="007545BD">
      <w:pPr>
        <w:pStyle w:val="ListParagraph"/>
        <w:numPr>
          <w:ilvl w:val="0"/>
          <w:numId w:val="60"/>
        </w:numPr>
        <w:autoSpaceDE w:val="0"/>
        <w:autoSpaceDN w:val="0"/>
        <w:adjustRightInd w:val="0"/>
        <w:spacing w:after="0" w:line="240" w:lineRule="auto"/>
        <w:ind w:left="567" w:hanging="567"/>
        <w:mirrorIndents/>
        <w:jc w:val="both"/>
        <w:rPr>
          <w:rFonts w:ascii="Times New Roman" w:hAnsi="Times New Roman" w:cs="Times New Roman"/>
          <w:sz w:val="24"/>
          <w:szCs w:val="24"/>
        </w:rPr>
      </w:pPr>
      <w:r w:rsidRPr="002878D9">
        <w:rPr>
          <w:rFonts w:ascii="Times New Roman" w:hAnsi="Times New Roman" w:cs="Times New Roman"/>
          <w:sz w:val="24"/>
          <w:szCs w:val="24"/>
        </w:rPr>
        <w:t xml:space="preserve">Latvijā saglabājas izaicinājumi </w:t>
      </w:r>
      <w:r w:rsidRPr="002878D9">
        <w:rPr>
          <w:rFonts w:ascii="Times New Roman" w:hAnsi="Times New Roman" w:cs="Times New Roman"/>
          <w:b/>
          <w:sz w:val="24"/>
          <w:szCs w:val="24"/>
        </w:rPr>
        <w:t>dabas direktīvās</w:t>
      </w:r>
      <w:r w:rsidRPr="002878D9">
        <w:rPr>
          <w:rFonts w:ascii="Times New Roman" w:hAnsi="Times New Roman" w:cs="Times New Roman"/>
          <w:sz w:val="24"/>
          <w:szCs w:val="24"/>
        </w:rPr>
        <w:t xml:space="preserve"> noteikto priekšnosacījumu un </w:t>
      </w:r>
      <w:r w:rsidRPr="002878D9">
        <w:rPr>
          <w:rFonts w:ascii="Times New Roman" w:hAnsi="Times New Roman" w:cs="Times New Roman"/>
          <w:b/>
          <w:sz w:val="24"/>
          <w:szCs w:val="24"/>
        </w:rPr>
        <w:t>ūdenssaimniecības</w:t>
      </w:r>
      <w:r w:rsidRPr="002878D9">
        <w:rPr>
          <w:rFonts w:ascii="Times New Roman" w:hAnsi="Times New Roman" w:cs="Times New Roman"/>
          <w:sz w:val="24"/>
          <w:szCs w:val="24"/>
        </w:rPr>
        <w:t xml:space="preserve"> direktīvu mērķu sasniegšanu</w:t>
      </w:r>
      <w:r w:rsidR="001B067E" w:rsidRPr="002878D9">
        <w:rPr>
          <w:rFonts w:ascii="Times New Roman" w:hAnsi="Times New Roman" w:cs="Times New Roman"/>
          <w:sz w:val="24"/>
          <w:szCs w:val="24"/>
        </w:rPr>
        <w:t>, jo</w:t>
      </w:r>
      <w:r w:rsidRPr="002878D9">
        <w:rPr>
          <w:rFonts w:ascii="Times New Roman" w:hAnsi="Times New Roman" w:cs="Times New Roman"/>
          <w:sz w:val="24"/>
          <w:szCs w:val="24"/>
        </w:rPr>
        <w:t xml:space="preserve"> Latvijā tikai 21% virszemes ūdensobjektu ir labā ekoloģiskā stāvoklī</w:t>
      </w:r>
      <w:r w:rsidR="005F6135" w:rsidRPr="002878D9">
        <w:rPr>
          <w:rStyle w:val="FootnoteReference"/>
          <w:rFonts w:ascii="Times New Roman" w:hAnsi="Times New Roman" w:cs="Times New Roman"/>
          <w:sz w:val="24"/>
          <w:szCs w:val="24"/>
        </w:rPr>
        <w:footnoteReference w:id="22"/>
      </w:r>
      <w:r w:rsidR="005F6135" w:rsidRPr="002878D9">
        <w:rPr>
          <w:rFonts w:ascii="Times New Roman" w:hAnsi="Times New Roman" w:cs="Times New Roman"/>
          <w:sz w:val="24"/>
          <w:szCs w:val="24"/>
        </w:rPr>
        <w:t xml:space="preserve"> </w:t>
      </w:r>
      <w:r w:rsidRPr="002878D9">
        <w:rPr>
          <w:rFonts w:ascii="Times New Roman" w:hAnsi="Times New Roman" w:cs="Times New Roman"/>
          <w:sz w:val="24"/>
          <w:szCs w:val="24"/>
        </w:rPr>
        <w:t xml:space="preserve"> un </w:t>
      </w:r>
      <w:r w:rsidR="001B067E" w:rsidRPr="002878D9">
        <w:rPr>
          <w:rFonts w:ascii="Times New Roman" w:hAnsi="Times New Roman" w:cs="Times New Roman"/>
          <w:sz w:val="24"/>
          <w:szCs w:val="24"/>
        </w:rPr>
        <w:t xml:space="preserve">2019.gadā </w:t>
      </w:r>
      <w:r w:rsidRPr="002878D9">
        <w:rPr>
          <w:rFonts w:ascii="Times New Roman" w:hAnsi="Times New Roman" w:cs="Times New Roman"/>
          <w:sz w:val="24"/>
          <w:szCs w:val="24"/>
        </w:rPr>
        <w:t>tikai 10% biotopu un 41% sugu konstatēts labvēlīgs aizsardzības stāvoklis</w:t>
      </w:r>
      <w:r w:rsidR="005F6135" w:rsidRPr="002878D9">
        <w:rPr>
          <w:rStyle w:val="FootnoteReference"/>
          <w:rFonts w:ascii="Times New Roman" w:hAnsi="Times New Roman" w:cs="Times New Roman"/>
          <w:sz w:val="24"/>
          <w:szCs w:val="24"/>
        </w:rPr>
        <w:footnoteReference w:id="23"/>
      </w:r>
      <w:r w:rsidRPr="002878D9">
        <w:rPr>
          <w:rFonts w:ascii="Times New Roman" w:hAnsi="Times New Roman" w:cs="Times New Roman"/>
          <w:sz w:val="24"/>
          <w:szCs w:val="24"/>
        </w:rPr>
        <w:t xml:space="preserve">. Tāpat atsevišķās teritorijās </w:t>
      </w:r>
      <w:r w:rsidR="001B067E" w:rsidRPr="002878D9">
        <w:rPr>
          <w:rFonts w:ascii="Times New Roman" w:hAnsi="Times New Roman" w:cs="Times New Roman"/>
          <w:sz w:val="24"/>
          <w:szCs w:val="24"/>
        </w:rPr>
        <w:t xml:space="preserve">gaisa kvalitātes rādītāji </w:t>
      </w:r>
      <w:r w:rsidRPr="002878D9">
        <w:rPr>
          <w:rFonts w:ascii="Times New Roman" w:hAnsi="Times New Roman" w:cs="Times New Roman"/>
          <w:sz w:val="24"/>
          <w:szCs w:val="24"/>
        </w:rPr>
        <w:t xml:space="preserve">ir tuvu vai </w:t>
      </w:r>
      <w:r w:rsidR="001B067E" w:rsidRPr="002878D9">
        <w:rPr>
          <w:rFonts w:ascii="Times New Roman" w:hAnsi="Times New Roman" w:cs="Times New Roman"/>
          <w:sz w:val="24"/>
          <w:szCs w:val="24"/>
        </w:rPr>
        <w:t>pārsniedz</w:t>
      </w:r>
      <w:r w:rsidRPr="002878D9">
        <w:rPr>
          <w:rFonts w:ascii="Times New Roman" w:hAnsi="Times New Roman" w:cs="Times New Roman"/>
          <w:sz w:val="24"/>
          <w:szCs w:val="24"/>
        </w:rPr>
        <w:t xml:space="preserve"> normatīv</w:t>
      </w:r>
      <w:r w:rsidR="001B067E" w:rsidRPr="002878D9">
        <w:rPr>
          <w:rFonts w:ascii="Times New Roman" w:hAnsi="Times New Roman" w:cs="Times New Roman"/>
          <w:sz w:val="24"/>
          <w:szCs w:val="24"/>
        </w:rPr>
        <w:t>ās prasības</w:t>
      </w:r>
      <w:r w:rsidRPr="002878D9">
        <w:rPr>
          <w:rFonts w:ascii="Times New Roman" w:hAnsi="Times New Roman" w:cs="Times New Roman"/>
          <w:sz w:val="24"/>
          <w:szCs w:val="24"/>
        </w:rPr>
        <w:t xml:space="preserve"> </w:t>
      </w:r>
      <w:r w:rsidR="001B067E" w:rsidRPr="002878D9">
        <w:rPr>
          <w:rFonts w:ascii="Times New Roman" w:hAnsi="Times New Roman" w:cs="Times New Roman"/>
          <w:sz w:val="24"/>
          <w:szCs w:val="24"/>
        </w:rPr>
        <w:t>un PVO rekomendācijas</w:t>
      </w:r>
      <w:r w:rsidR="005F6135" w:rsidRPr="002878D9">
        <w:rPr>
          <w:rFonts w:ascii="Times New Roman" w:hAnsi="Times New Roman" w:cs="Times New Roman"/>
          <w:sz w:val="24"/>
          <w:szCs w:val="24"/>
        </w:rPr>
        <w:t>, kā arī Latvijā būtu jāveic papildus pasākumi dažādos tautsaimniecības sektoros, lai nepārsniegtu starptautiski noteiktos kopējo gaisu piesārņojošo vielu emisiju samazināšanas mērķus</w:t>
      </w:r>
      <w:r w:rsidRPr="002878D9">
        <w:rPr>
          <w:rFonts w:ascii="Times New Roman" w:hAnsi="Times New Roman" w:cs="Times New Roman"/>
          <w:sz w:val="24"/>
          <w:szCs w:val="24"/>
        </w:rPr>
        <w:t xml:space="preserve">. Vides kvalitātes uzlabošanā  jāturpina kompleksi pasākumi infrastruktūras attīstībai. Vides sektoru attīstība un sabiedrības paradumu maiņa ir jāveicina ar </w:t>
      </w:r>
      <w:r w:rsidRPr="002878D9">
        <w:rPr>
          <w:rFonts w:ascii="Times New Roman" w:hAnsi="Times New Roman" w:cs="Times New Roman"/>
          <w:b/>
          <w:sz w:val="24"/>
          <w:szCs w:val="24"/>
        </w:rPr>
        <w:t>vides izglītības</w:t>
      </w:r>
      <w:r w:rsidRPr="002878D9">
        <w:rPr>
          <w:rFonts w:ascii="Times New Roman" w:hAnsi="Times New Roman" w:cs="Times New Roman"/>
          <w:sz w:val="24"/>
          <w:szCs w:val="24"/>
        </w:rPr>
        <w:t xml:space="preserve"> pasākumiem</w:t>
      </w:r>
      <w:r w:rsidR="0031629A" w:rsidRPr="002878D9">
        <w:rPr>
          <w:rFonts w:ascii="Times New Roman" w:hAnsi="Times New Roman" w:cs="Times New Roman"/>
          <w:sz w:val="20"/>
          <w:szCs w:val="20"/>
        </w:rPr>
        <w:t>.</w:t>
      </w:r>
    </w:p>
    <w:p w14:paraId="5FA64D71" w14:textId="25A4A9BC" w:rsidR="00AC212B" w:rsidRPr="00FC61C3" w:rsidRDefault="005C195A" w:rsidP="007545BD">
      <w:pPr>
        <w:pStyle w:val="ListParagraph"/>
        <w:numPr>
          <w:ilvl w:val="0"/>
          <w:numId w:val="60"/>
        </w:numPr>
        <w:autoSpaceDE w:val="0"/>
        <w:autoSpaceDN w:val="0"/>
        <w:adjustRightInd w:val="0"/>
        <w:spacing w:after="0" w:line="240" w:lineRule="auto"/>
        <w:ind w:left="567" w:hanging="567"/>
        <w:mirrorIndents/>
        <w:jc w:val="both"/>
        <w:rPr>
          <w:rFonts w:ascii="Times New Roman" w:hAnsi="Times New Roman" w:cs="Times New Roman"/>
          <w:sz w:val="24"/>
          <w:szCs w:val="24"/>
        </w:rPr>
      </w:pPr>
      <w:r w:rsidRPr="00FC61C3">
        <w:rPr>
          <w:rFonts w:ascii="Times New Roman" w:hAnsi="Times New Roman" w:cs="Times New Roman"/>
          <w:sz w:val="24"/>
          <w:szCs w:val="24"/>
        </w:rPr>
        <w:t xml:space="preserve">Latvijā </w:t>
      </w:r>
      <w:r w:rsidRPr="00FC61C3">
        <w:rPr>
          <w:rFonts w:ascii="Times New Roman" w:hAnsi="Times New Roman" w:cs="Times New Roman"/>
          <w:b/>
          <w:bCs/>
          <w:sz w:val="24"/>
          <w:szCs w:val="24"/>
        </w:rPr>
        <w:t>klimata pārmaiņas</w:t>
      </w:r>
      <w:r w:rsidRPr="00FC61C3">
        <w:rPr>
          <w:rFonts w:ascii="Times New Roman" w:hAnsi="Times New Roman" w:cs="Times New Roman"/>
          <w:sz w:val="24"/>
          <w:szCs w:val="24"/>
        </w:rPr>
        <w:t xml:space="preserve"> rada augstākus plūdu, ekstremālu laikapstākļu, savvaļas ugunsgrēku, krastu erozijas</w:t>
      </w:r>
      <w:r w:rsidR="008217AE" w:rsidRPr="00FC61C3">
        <w:rPr>
          <w:rFonts w:ascii="Times New Roman" w:hAnsi="Times New Roman" w:cs="Times New Roman"/>
          <w:sz w:val="24"/>
          <w:szCs w:val="24"/>
        </w:rPr>
        <w:t xml:space="preserve"> un</w:t>
      </w:r>
      <w:r w:rsidRPr="00FC61C3">
        <w:rPr>
          <w:rFonts w:ascii="Times New Roman" w:hAnsi="Times New Roman" w:cs="Times New Roman"/>
          <w:sz w:val="24"/>
          <w:szCs w:val="24"/>
        </w:rPr>
        <w:t xml:space="preserve"> vēsturiski piesārņoto vietu un cita piesārņojuma izplatīšanās riskus, kas prasa </w:t>
      </w:r>
      <w:r w:rsidR="004E6451" w:rsidRPr="00FC61C3">
        <w:rPr>
          <w:rFonts w:ascii="Times New Roman" w:hAnsi="Times New Roman" w:cs="Times New Roman"/>
          <w:sz w:val="24"/>
          <w:szCs w:val="24"/>
        </w:rPr>
        <w:t>veikt</w:t>
      </w:r>
      <w:r w:rsidR="005F6135" w:rsidRPr="00FC61C3">
        <w:rPr>
          <w:rFonts w:ascii="Times New Roman" w:hAnsi="Times New Roman" w:cs="Times New Roman"/>
          <w:sz w:val="24"/>
          <w:szCs w:val="24"/>
        </w:rPr>
        <w:t xml:space="preserve"> preventīvos, reaģēšanas gatavības, seku novēršanas un</w:t>
      </w:r>
      <w:r w:rsidR="004E6451" w:rsidRPr="00FC61C3">
        <w:rPr>
          <w:rFonts w:ascii="Times New Roman" w:hAnsi="Times New Roman" w:cs="Times New Roman"/>
          <w:sz w:val="24"/>
          <w:szCs w:val="24"/>
        </w:rPr>
        <w:t xml:space="preserve"> </w:t>
      </w:r>
      <w:r w:rsidRPr="00FC61C3">
        <w:rPr>
          <w:rFonts w:ascii="Times New Roman" w:hAnsi="Times New Roman" w:cs="Times New Roman"/>
          <w:sz w:val="24"/>
          <w:szCs w:val="24"/>
        </w:rPr>
        <w:t xml:space="preserve">pielāgošanās pasākumus – </w:t>
      </w:r>
      <w:r w:rsidR="004E6451" w:rsidRPr="00FC61C3">
        <w:rPr>
          <w:rFonts w:ascii="Times New Roman" w:hAnsi="Times New Roman" w:cs="Times New Roman"/>
          <w:sz w:val="24"/>
          <w:szCs w:val="24"/>
        </w:rPr>
        <w:t xml:space="preserve">attīstot </w:t>
      </w:r>
      <w:r w:rsidRPr="00FC61C3">
        <w:rPr>
          <w:rFonts w:ascii="Times New Roman" w:hAnsi="Times New Roman" w:cs="Times New Roman"/>
          <w:sz w:val="24"/>
          <w:szCs w:val="24"/>
        </w:rPr>
        <w:t>uzraudzības un brīdināšanas sistēm</w:t>
      </w:r>
      <w:r w:rsidR="001B067E" w:rsidRPr="00FC61C3">
        <w:rPr>
          <w:rFonts w:ascii="Times New Roman" w:hAnsi="Times New Roman" w:cs="Times New Roman"/>
          <w:sz w:val="24"/>
          <w:szCs w:val="24"/>
        </w:rPr>
        <w:t>a</w:t>
      </w:r>
      <w:r w:rsidRPr="00FC61C3">
        <w:rPr>
          <w:rFonts w:ascii="Times New Roman" w:hAnsi="Times New Roman" w:cs="Times New Roman"/>
          <w:sz w:val="24"/>
          <w:szCs w:val="24"/>
        </w:rPr>
        <w:t>s, t.sk. vides monitoringa sistēm</w:t>
      </w:r>
      <w:r w:rsidR="004E6451" w:rsidRPr="00FC61C3">
        <w:rPr>
          <w:rFonts w:ascii="Times New Roman" w:hAnsi="Times New Roman" w:cs="Times New Roman"/>
          <w:sz w:val="24"/>
          <w:szCs w:val="24"/>
        </w:rPr>
        <w:t>a</w:t>
      </w:r>
      <w:r w:rsidRPr="00FC61C3">
        <w:rPr>
          <w:rFonts w:ascii="Times New Roman" w:hAnsi="Times New Roman" w:cs="Times New Roman"/>
          <w:sz w:val="24"/>
          <w:szCs w:val="24"/>
        </w:rPr>
        <w:t>s</w:t>
      </w:r>
      <w:r w:rsidR="004E6451" w:rsidRPr="00FC61C3">
        <w:rPr>
          <w:rFonts w:ascii="Times New Roman" w:hAnsi="Times New Roman" w:cs="Times New Roman"/>
          <w:sz w:val="24"/>
          <w:szCs w:val="24"/>
        </w:rPr>
        <w:t xml:space="preserve">, </w:t>
      </w:r>
      <w:r w:rsidRPr="00FC61C3">
        <w:rPr>
          <w:rFonts w:ascii="Times New Roman" w:hAnsi="Times New Roman" w:cs="Times New Roman"/>
          <w:sz w:val="24"/>
          <w:szCs w:val="24"/>
        </w:rPr>
        <w:t xml:space="preserve">un </w:t>
      </w:r>
      <w:r w:rsidR="001B067E" w:rsidRPr="00FC61C3">
        <w:rPr>
          <w:rFonts w:ascii="Times New Roman" w:hAnsi="Times New Roman" w:cs="Times New Roman"/>
          <w:sz w:val="24"/>
          <w:szCs w:val="24"/>
        </w:rPr>
        <w:t xml:space="preserve">nodrošinot </w:t>
      </w:r>
      <w:r w:rsidRPr="00FC61C3">
        <w:rPr>
          <w:rFonts w:ascii="Times New Roman" w:hAnsi="Times New Roman" w:cs="Times New Roman"/>
          <w:sz w:val="24"/>
          <w:szCs w:val="24"/>
        </w:rPr>
        <w:t>risku mazināšanu kritisk</w:t>
      </w:r>
      <w:r w:rsidR="004E6451" w:rsidRPr="00FC61C3">
        <w:rPr>
          <w:rFonts w:ascii="Times New Roman" w:hAnsi="Times New Roman" w:cs="Times New Roman"/>
          <w:sz w:val="24"/>
          <w:szCs w:val="24"/>
        </w:rPr>
        <w:t>ai</w:t>
      </w:r>
      <w:r w:rsidRPr="00FC61C3">
        <w:rPr>
          <w:rFonts w:ascii="Times New Roman" w:hAnsi="Times New Roman" w:cs="Times New Roman"/>
          <w:sz w:val="24"/>
          <w:szCs w:val="24"/>
        </w:rPr>
        <w:t xml:space="preserve"> infrastruktūr</w:t>
      </w:r>
      <w:r w:rsidR="004E6451" w:rsidRPr="00FC61C3">
        <w:rPr>
          <w:rFonts w:ascii="Times New Roman" w:hAnsi="Times New Roman" w:cs="Times New Roman"/>
          <w:sz w:val="24"/>
          <w:szCs w:val="24"/>
        </w:rPr>
        <w:t>ai</w:t>
      </w:r>
      <w:r w:rsidR="001B067E" w:rsidRPr="00FC61C3">
        <w:rPr>
          <w:rFonts w:ascii="Times New Roman" w:hAnsi="Times New Roman" w:cs="Times New Roman"/>
          <w:sz w:val="24"/>
          <w:szCs w:val="24"/>
        </w:rPr>
        <w:t>,</w:t>
      </w:r>
      <w:r w:rsidR="004E6451" w:rsidRPr="00FC61C3">
        <w:rPr>
          <w:rFonts w:ascii="Times New Roman" w:hAnsi="Times New Roman" w:cs="Times New Roman"/>
          <w:sz w:val="24"/>
          <w:szCs w:val="24"/>
        </w:rPr>
        <w:t xml:space="preserve"> t.sk.</w:t>
      </w:r>
      <w:r w:rsidRPr="00FC61C3">
        <w:rPr>
          <w:rFonts w:ascii="Times New Roman" w:hAnsi="Times New Roman" w:cs="Times New Roman"/>
          <w:sz w:val="24"/>
          <w:szCs w:val="24"/>
        </w:rPr>
        <w:t xml:space="preserve"> izmantojot gan zaļās, gan zilās infrastruktūras risinājumus</w:t>
      </w:r>
      <w:r w:rsidR="00AC212B" w:rsidRPr="00FC61C3">
        <w:rPr>
          <w:rFonts w:ascii="Times New Roman" w:hAnsi="Times New Roman" w:cs="Times New Roman"/>
          <w:sz w:val="24"/>
          <w:szCs w:val="24"/>
        </w:rPr>
        <w:t xml:space="preserve">.  </w:t>
      </w:r>
    </w:p>
    <w:p w14:paraId="09F5BFB8" w14:textId="6EACC673" w:rsidR="00AC212B" w:rsidRPr="00930237" w:rsidRDefault="00AC212B" w:rsidP="007545BD">
      <w:pPr>
        <w:numPr>
          <w:ilvl w:val="0"/>
          <w:numId w:val="60"/>
        </w:numPr>
        <w:spacing w:before="100" w:beforeAutospacing="1" w:after="0"/>
        <w:ind w:left="567" w:hanging="567"/>
        <w:contextualSpacing/>
        <w:mirrorIndents/>
        <w:rPr>
          <w:bCs/>
          <w:szCs w:val="24"/>
        </w:rPr>
      </w:pPr>
      <w:r w:rsidRPr="00FC61C3">
        <w:rPr>
          <w:szCs w:val="24"/>
        </w:rPr>
        <w:t>Lai risinātu augstākminētos izaicinājumus investīcijas plānotas 2.1.1., 2.1.2, 2.1.3., 2.2.1., 2.2.2., 2.2.3. un 2.3.1.SAM piesaistot</w:t>
      </w:r>
      <w:r w:rsidRPr="00930237">
        <w:rPr>
          <w:szCs w:val="24"/>
        </w:rPr>
        <w:t xml:space="preserve"> </w:t>
      </w:r>
      <w:r w:rsidR="00A43EA1">
        <w:rPr>
          <w:szCs w:val="24"/>
        </w:rPr>
        <w:t xml:space="preserve">EIB, </w:t>
      </w:r>
      <w:r w:rsidRPr="00930237">
        <w:rPr>
          <w:szCs w:val="24"/>
        </w:rPr>
        <w:t>ERAF un KF investīcijas</w:t>
      </w:r>
      <w:r w:rsidR="008F4155">
        <w:rPr>
          <w:szCs w:val="24"/>
        </w:rPr>
        <w:t>,</w:t>
      </w:r>
      <w:r w:rsidR="00893AEB" w:rsidRPr="00893AEB">
        <w:rPr>
          <w:szCs w:val="24"/>
        </w:rPr>
        <w:t xml:space="preserve"> kā arī 6.1.1.SAM piesaistot Taisnīgas pārkārtošanās fonda investīcijas</w:t>
      </w:r>
      <w:r w:rsidR="001B067E">
        <w:rPr>
          <w:szCs w:val="24"/>
        </w:rPr>
        <w:t>, t.sk.</w:t>
      </w:r>
      <w:r w:rsidR="00893AEB" w:rsidRPr="00893AEB">
        <w:rPr>
          <w:szCs w:val="24"/>
        </w:rPr>
        <w:t xml:space="preserve"> </w:t>
      </w:r>
      <w:r w:rsidR="008F4155" w:rsidRPr="008F4155">
        <w:rPr>
          <w:szCs w:val="24"/>
        </w:rPr>
        <w:t>iespēju robežās izvērtējot iespēju piemērot kompleksus risinājumus, kas dod ieguldījumu gan klimata mērķu sasniegšanā, gan atbalsta aprites ekonomikas principu ieviešanu, gan samazina vides piesārņojumu</w:t>
      </w:r>
      <w:r w:rsidRPr="00930237">
        <w:rPr>
          <w:szCs w:val="24"/>
        </w:rPr>
        <w:t>.</w:t>
      </w:r>
      <w:r w:rsidR="00A43EA1">
        <w:rPr>
          <w:szCs w:val="24"/>
        </w:rPr>
        <w:t xml:space="preserve"> </w:t>
      </w:r>
      <w:r w:rsidR="00A43EA1" w:rsidRPr="00A43EA1">
        <w:rPr>
          <w:szCs w:val="24"/>
        </w:rPr>
        <w:t>Tiks analizētas inovatīvas finansēšanas shēmas ar mērķi piesaistīt vairāk investīciju (piem</w:t>
      </w:r>
      <w:r w:rsidR="00A43EA1">
        <w:rPr>
          <w:szCs w:val="24"/>
        </w:rPr>
        <w:t>ēram</w:t>
      </w:r>
      <w:r w:rsidR="00A43EA1" w:rsidRPr="00A43EA1">
        <w:rPr>
          <w:szCs w:val="24"/>
        </w:rPr>
        <w:t xml:space="preserve">, </w:t>
      </w:r>
      <w:r w:rsidR="00A43EA1" w:rsidRPr="009A0546">
        <w:rPr>
          <w:i/>
          <w:iCs/>
          <w:szCs w:val="24"/>
        </w:rPr>
        <w:t xml:space="preserve">Jessica </w:t>
      </w:r>
      <w:r w:rsidR="00A43EA1" w:rsidRPr="00A43EA1">
        <w:rPr>
          <w:szCs w:val="24"/>
        </w:rPr>
        <w:t>instruments u.c.)</w:t>
      </w:r>
      <w:r w:rsidR="00CD3901">
        <w:rPr>
          <w:szCs w:val="24"/>
        </w:rPr>
        <w:t>.</w:t>
      </w:r>
    </w:p>
    <w:p w14:paraId="33C8BD40" w14:textId="77777777" w:rsidR="00AC212B" w:rsidRPr="00930237" w:rsidRDefault="00AC212B" w:rsidP="00AC212B">
      <w:pPr>
        <w:pStyle w:val="ListParagraph"/>
        <w:spacing w:after="0" w:line="240" w:lineRule="auto"/>
        <w:ind w:left="567"/>
        <w:jc w:val="both"/>
        <w:rPr>
          <w:rFonts w:ascii="Times New Roman" w:hAnsi="Times New Roman" w:cs="Times New Roman"/>
          <w:noProof/>
          <w:color w:val="FF0000"/>
          <w:sz w:val="20"/>
        </w:rPr>
      </w:pPr>
      <w:r w:rsidRPr="00930237">
        <w:rPr>
          <w:rFonts w:ascii="Times New Roman" w:hAnsi="Times New Roman" w:cs="Times New Roman"/>
          <w:sz w:val="24"/>
          <w:szCs w:val="24"/>
        </w:rPr>
        <w:t xml:space="preserve"> </w:t>
      </w:r>
      <w:r w:rsidRPr="00930237">
        <w:rPr>
          <w:rFonts w:ascii="Times New Roman" w:hAnsi="Times New Roman" w:cs="Times New Roman"/>
          <w:sz w:val="24"/>
          <w:szCs w:val="24"/>
          <w:lang w:eastAsia="zh-CN"/>
        </w:rPr>
        <w:t xml:space="preserve"> </w:t>
      </w:r>
    </w:p>
    <w:p w14:paraId="37111E10" w14:textId="77777777" w:rsidR="00AC212B" w:rsidRPr="00930237" w:rsidRDefault="00AC212B" w:rsidP="00AC212B">
      <w:pPr>
        <w:spacing w:before="0" w:after="0"/>
        <w:jc w:val="left"/>
        <w:rPr>
          <w:noProof/>
          <w:color w:val="FF0000"/>
          <w:sz w:val="20"/>
        </w:rPr>
      </w:pPr>
    </w:p>
    <w:p w14:paraId="26BB0F2D" w14:textId="7555EA5C" w:rsidR="00AC212B" w:rsidRPr="00930237" w:rsidRDefault="00AC212B" w:rsidP="002878D9">
      <w:pPr>
        <w:pStyle w:val="Heading3"/>
        <w:numPr>
          <w:ilvl w:val="1"/>
          <w:numId w:val="32"/>
        </w:numPr>
        <w:shd w:val="clear" w:color="auto" w:fill="FFF2CC" w:themeFill="accent4" w:themeFillTint="33"/>
        <w:spacing w:after="0"/>
        <w:rPr>
          <w:b/>
          <w:i w:val="0"/>
          <w:noProof/>
        </w:rPr>
      </w:pPr>
      <w:bookmarkStart w:id="10" w:name="_Toc69125403"/>
      <w:r w:rsidRPr="00930237">
        <w:rPr>
          <w:b/>
          <w:bCs/>
          <w:i w:val="0"/>
          <w:szCs w:val="24"/>
        </w:rPr>
        <w:t>Mobilitāte</w:t>
      </w:r>
      <w:bookmarkEnd w:id="10"/>
      <w:r w:rsidRPr="00930237">
        <w:rPr>
          <w:b/>
          <w:bCs/>
          <w:i w:val="0"/>
          <w:szCs w:val="24"/>
        </w:rPr>
        <w:t xml:space="preserve"> </w:t>
      </w:r>
    </w:p>
    <w:p w14:paraId="29A56AF0" w14:textId="6D1DA28C" w:rsidR="00105543" w:rsidRPr="00930237" w:rsidRDefault="00105543" w:rsidP="007545BD">
      <w:pPr>
        <w:pStyle w:val="ListParagraph"/>
        <w:numPr>
          <w:ilvl w:val="0"/>
          <w:numId w:val="60"/>
        </w:numPr>
        <w:spacing w:after="0" w:line="240" w:lineRule="auto"/>
        <w:ind w:left="567" w:hanging="567"/>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EK i</w:t>
      </w:r>
      <w:r w:rsidRPr="00930237">
        <w:rPr>
          <w:rFonts w:ascii="Times New Roman" w:eastAsia="Calibri" w:hAnsi="Times New Roman" w:cs="Times New Roman"/>
          <w:sz w:val="24"/>
          <w:szCs w:val="24"/>
        </w:rPr>
        <w:t xml:space="preserve">kgadējās specifiskās rekomendācijas </w:t>
      </w:r>
      <w:r>
        <w:rPr>
          <w:rFonts w:ascii="Times New Roman" w:eastAsia="Calibri" w:hAnsi="Times New Roman" w:cs="Times New Roman"/>
          <w:sz w:val="24"/>
          <w:szCs w:val="24"/>
        </w:rPr>
        <w:t xml:space="preserve">dalībvalstīm </w:t>
      </w:r>
      <w:r w:rsidRPr="00930237">
        <w:rPr>
          <w:rFonts w:ascii="Times New Roman" w:eastAsia="Calibri" w:hAnsi="Times New Roman" w:cs="Times New Roman"/>
          <w:sz w:val="24"/>
          <w:szCs w:val="24"/>
        </w:rPr>
        <w:t>aicina veikt investīcijas transporta ilgtspējā un digitālajā infrastruktūrā.</w:t>
      </w:r>
      <w:r>
        <w:rPr>
          <w:rFonts w:ascii="Times New Roman" w:eastAsia="Calibri" w:hAnsi="Times New Roman" w:cs="Times New Roman"/>
          <w:sz w:val="24"/>
          <w:szCs w:val="24"/>
        </w:rPr>
        <w:t xml:space="preserve"> </w:t>
      </w:r>
      <w:r w:rsidRPr="005B2CDC">
        <w:rPr>
          <w:rFonts w:ascii="Times New Roman" w:hAnsi="Times New Roman" w:cs="Times New Roman"/>
          <w:color w:val="000000" w:themeColor="text1"/>
          <w:sz w:val="24"/>
          <w:szCs w:val="24"/>
        </w:rPr>
        <w:t xml:space="preserve">Rekomendācijās </w:t>
      </w:r>
      <w:r w:rsidRPr="006235AC">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orādīts uz nepieciešamību uzlabot t</w:t>
      </w:r>
      <w:r w:rsidRPr="005B2CDC">
        <w:rPr>
          <w:rFonts w:ascii="Times New Roman" w:hAnsi="Times New Roman" w:cs="Times New Roman"/>
          <w:color w:val="000000" w:themeColor="text1"/>
          <w:sz w:val="24"/>
          <w:szCs w:val="24"/>
        </w:rPr>
        <w:t>ransporta infrastruktūras Rīgā un tās apkārtnē</w:t>
      </w:r>
      <w:r>
        <w:rPr>
          <w:rFonts w:ascii="Times New Roman" w:hAnsi="Times New Roman" w:cs="Times New Roman"/>
          <w:color w:val="000000" w:themeColor="text1"/>
          <w:sz w:val="24"/>
          <w:szCs w:val="24"/>
        </w:rPr>
        <w:t xml:space="preserve">, kas tādējādi veicinātu gan </w:t>
      </w:r>
      <w:r w:rsidRPr="005B2CDC">
        <w:rPr>
          <w:rFonts w:ascii="Times New Roman" w:hAnsi="Times New Roman" w:cs="Times New Roman"/>
          <w:color w:val="000000" w:themeColor="text1"/>
          <w:sz w:val="24"/>
          <w:szCs w:val="24"/>
        </w:rPr>
        <w:t>darbaspēka mobilitāti</w:t>
      </w:r>
      <w:r>
        <w:rPr>
          <w:rFonts w:ascii="Times New Roman" w:hAnsi="Times New Roman" w:cs="Times New Roman"/>
          <w:color w:val="000000" w:themeColor="text1"/>
          <w:sz w:val="24"/>
          <w:szCs w:val="24"/>
        </w:rPr>
        <w:t xml:space="preserve">, gan </w:t>
      </w:r>
      <w:r w:rsidRPr="005B2CDC">
        <w:rPr>
          <w:rFonts w:ascii="Times New Roman" w:hAnsi="Times New Roman" w:cs="Times New Roman"/>
          <w:color w:val="000000" w:themeColor="text1"/>
          <w:sz w:val="24"/>
          <w:szCs w:val="24"/>
        </w:rPr>
        <w:t>palīdzētu ierobežot vieglo automobiļu pieaugošo enerģijas patēriņu</w:t>
      </w:r>
      <w:r>
        <w:rPr>
          <w:rFonts w:ascii="Times New Roman" w:hAnsi="Times New Roman" w:cs="Times New Roman"/>
          <w:color w:val="000000" w:themeColor="text1"/>
          <w:sz w:val="24"/>
          <w:szCs w:val="24"/>
        </w:rPr>
        <w:t>, piemēram, u</w:t>
      </w:r>
      <w:r w:rsidRPr="00DD5EF6">
        <w:rPr>
          <w:rFonts w:ascii="Times New Roman" w:hAnsi="Times New Roman" w:cs="Times New Roman"/>
          <w:color w:val="000000" w:themeColor="text1"/>
          <w:sz w:val="24"/>
          <w:szCs w:val="24"/>
        </w:rPr>
        <w:t xml:space="preserve">zlabojot reģionālos dzelzceļa savienojumus un tranzīta punktus, tiktu sekmēta videi nekaitīgāka satiksme. </w:t>
      </w:r>
      <w:r>
        <w:rPr>
          <w:rFonts w:ascii="Times New Roman" w:hAnsi="Times New Roman" w:cs="Times New Roman"/>
          <w:color w:val="000000" w:themeColor="text1"/>
          <w:sz w:val="24"/>
          <w:szCs w:val="24"/>
        </w:rPr>
        <w:t>Tāpat norādīts, ka p</w:t>
      </w:r>
      <w:r w:rsidRPr="00DD5EF6">
        <w:rPr>
          <w:rFonts w:ascii="Times New Roman" w:hAnsi="Times New Roman" w:cs="Times New Roman"/>
          <w:color w:val="000000" w:themeColor="text1"/>
          <w:sz w:val="24"/>
          <w:szCs w:val="24"/>
        </w:rPr>
        <w:t xml:space="preserve">āreja no automobiļiem uz sabiedrisko transportu ir būtiska </w:t>
      </w:r>
      <w:r>
        <w:rPr>
          <w:rFonts w:ascii="Times New Roman" w:hAnsi="Times New Roman" w:cs="Times New Roman"/>
          <w:color w:val="000000" w:themeColor="text1"/>
          <w:sz w:val="24"/>
          <w:szCs w:val="24"/>
        </w:rPr>
        <w:t>loma</w:t>
      </w:r>
      <w:r w:rsidRPr="00DD5EF6">
        <w:rPr>
          <w:rFonts w:ascii="Times New Roman" w:hAnsi="Times New Roman" w:cs="Times New Roman"/>
          <w:color w:val="000000" w:themeColor="text1"/>
          <w:sz w:val="24"/>
          <w:szCs w:val="24"/>
        </w:rPr>
        <w:t xml:space="preserve"> centien</w:t>
      </w:r>
      <w:r>
        <w:rPr>
          <w:rFonts w:ascii="Times New Roman" w:hAnsi="Times New Roman" w:cs="Times New Roman"/>
          <w:color w:val="000000" w:themeColor="text1"/>
          <w:sz w:val="24"/>
          <w:szCs w:val="24"/>
        </w:rPr>
        <w:t>os</w:t>
      </w:r>
      <w:r w:rsidRPr="00DD5EF6">
        <w:rPr>
          <w:rFonts w:ascii="Times New Roman" w:hAnsi="Times New Roman" w:cs="Times New Roman"/>
          <w:color w:val="000000" w:themeColor="text1"/>
          <w:sz w:val="24"/>
          <w:szCs w:val="24"/>
        </w:rPr>
        <w:t xml:space="preserve"> ierobežot enerģijas patēriņu un emisijas transporta nozarē. </w:t>
      </w:r>
      <w:r>
        <w:rPr>
          <w:rFonts w:ascii="Times New Roman" w:hAnsi="Times New Roman" w:cs="Times New Roman"/>
          <w:color w:val="000000" w:themeColor="text1"/>
          <w:sz w:val="24"/>
          <w:szCs w:val="24"/>
        </w:rPr>
        <w:t>Rekomendācijās norāda, ka, n</w:t>
      </w:r>
      <w:r w:rsidRPr="00DD5EF6">
        <w:rPr>
          <w:rFonts w:ascii="Times New Roman" w:hAnsi="Times New Roman" w:cs="Times New Roman"/>
          <w:color w:val="000000" w:themeColor="text1"/>
          <w:sz w:val="24"/>
          <w:szCs w:val="24"/>
        </w:rPr>
        <w:t>eraugoties uz nesenajiem uzlabojumiem, ceļu infrastruktūras kvalitāte joprojām ir krietni zemāka par ES vidējo rādītāju. Turklāt Latvija ir viena no nedaudzajām ES valstīm</w:t>
      </w:r>
      <w:r>
        <w:rPr>
          <w:rFonts w:ascii="Times New Roman" w:hAnsi="Times New Roman" w:cs="Times New Roman"/>
          <w:color w:val="000000" w:themeColor="text1"/>
          <w:sz w:val="24"/>
          <w:szCs w:val="24"/>
        </w:rPr>
        <w:t xml:space="preserve">, kur nav </w:t>
      </w:r>
      <w:r w:rsidRPr="00DD5EF6">
        <w:rPr>
          <w:rFonts w:ascii="Times New Roman" w:hAnsi="Times New Roman" w:cs="Times New Roman"/>
          <w:color w:val="000000" w:themeColor="text1"/>
          <w:sz w:val="24"/>
          <w:szCs w:val="24"/>
        </w:rPr>
        <w:t>automaģistrā</w:t>
      </w:r>
      <w:r>
        <w:rPr>
          <w:rFonts w:ascii="Times New Roman" w:hAnsi="Times New Roman" w:cs="Times New Roman"/>
          <w:color w:val="000000" w:themeColor="text1"/>
          <w:sz w:val="24"/>
          <w:szCs w:val="24"/>
        </w:rPr>
        <w:t>ļu</w:t>
      </w:r>
      <w:r w:rsidRPr="00DD5EF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Ņemot vērā, ka p</w:t>
      </w:r>
      <w:r w:rsidRPr="00DD5EF6">
        <w:rPr>
          <w:rFonts w:ascii="Times New Roman" w:hAnsi="Times New Roman" w:cs="Times New Roman"/>
          <w:color w:val="000000" w:themeColor="text1"/>
          <w:sz w:val="24"/>
          <w:szCs w:val="24"/>
        </w:rPr>
        <w:t xml:space="preserve">iemērotu apvedceļu trūkums ir novedis pie smagas kravas automobiļu satiksmes cauri </w:t>
      </w:r>
      <w:r>
        <w:rPr>
          <w:rFonts w:ascii="Times New Roman" w:hAnsi="Times New Roman" w:cs="Times New Roman"/>
          <w:color w:val="000000" w:themeColor="text1"/>
          <w:sz w:val="24"/>
          <w:szCs w:val="24"/>
        </w:rPr>
        <w:t>blīvi</w:t>
      </w:r>
      <w:r w:rsidRPr="00DD5EF6">
        <w:rPr>
          <w:rFonts w:ascii="Times New Roman" w:hAnsi="Times New Roman" w:cs="Times New Roman"/>
          <w:color w:val="000000" w:themeColor="text1"/>
          <w:sz w:val="24"/>
          <w:szCs w:val="24"/>
        </w:rPr>
        <w:t xml:space="preserve"> apdzīvotām teritorijām, </w:t>
      </w:r>
      <w:r>
        <w:rPr>
          <w:rFonts w:ascii="Times New Roman" w:hAnsi="Times New Roman" w:cs="Times New Roman"/>
          <w:color w:val="000000" w:themeColor="text1"/>
          <w:sz w:val="24"/>
          <w:szCs w:val="24"/>
        </w:rPr>
        <w:t xml:space="preserve">kas </w:t>
      </w:r>
      <w:r w:rsidRPr="00DD5EF6">
        <w:rPr>
          <w:rFonts w:ascii="Times New Roman" w:hAnsi="Times New Roman" w:cs="Times New Roman"/>
          <w:color w:val="000000" w:themeColor="text1"/>
          <w:sz w:val="24"/>
          <w:szCs w:val="24"/>
        </w:rPr>
        <w:t>palielin</w:t>
      </w:r>
      <w:r>
        <w:rPr>
          <w:rFonts w:ascii="Times New Roman" w:hAnsi="Times New Roman" w:cs="Times New Roman"/>
          <w:color w:val="000000" w:themeColor="text1"/>
          <w:sz w:val="24"/>
          <w:szCs w:val="24"/>
        </w:rPr>
        <w:t>a</w:t>
      </w:r>
      <w:r w:rsidRPr="00DD5EF6">
        <w:rPr>
          <w:rFonts w:ascii="Times New Roman" w:hAnsi="Times New Roman" w:cs="Times New Roman"/>
          <w:color w:val="000000" w:themeColor="text1"/>
          <w:sz w:val="24"/>
          <w:szCs w:val="24"/>
        </w:rPr>
        <w:t xml:space="preserve"> sastrēgumus un gaisa piesārņojumu</w:t>
      </w:r>
      <w:r>
        <w:rPr>
          <w:rFonts w:ascii="Times New Roman" w:hAnsi="Times New Roman" w:cs="Times New Roman"/>
          <w:color w:val="000000" w:themeColor="text1"/>
          <w:sz w:val="24"/>
          <w:szCs w:val="24"/>
        </w:rPr>
        <w:t>, i</w:t>
      </w:r>
      <w:r w:rsidRPr="00DD5EF6">
        <w:rPr>
          <w:rFonts w:ascii="Times New Roman" w:hAnsi="Times New Roman" w:cs="Times New Roman"/>
          <w:color w:val="000000" w:themeColor="text1"/>
          <w:sz w:val="24"/>
          <w:szCs w:val="24"/>
        </w:rPr>
        <w:t>r vajadzīgi turpmāki pasākumi un politika, lai samazinātu transporta radītās emisijas.</w:t>
      </w:r>
    </w:p>
    <w:p w14:paraId="4A044218" w14:textId="77777777" w:rsidR="00105543" w:rsidRPr="00FC61C3" w:rsidRDefault="00105543" w:rsidP="007545BD">
      <w:pPr>
        <w:numPr>
          <w:ilvl w:val="0"/>
          <w:numId w:val="60"/>
        </w:numPr>
        <w:spacing w:before="0" w:after="0"/>
        <w:ind w:left="567" w:hanging="567"/>
        <w:contextualSpacing/>
        <w:mirrorIndents/>
        <w:rPr>
          <w:szCs w:val="24"/>
        </w:rPr>
      </w:pPr>
      <w:r w:rsidRPr="005B2CDC">
        <w:rPr>
          <w:color w:val="000000" w:themeColor="text1"/>
          <w:szCs w:val="24"/>
        </w:rPr>
        <w:t xml:space="preserve">Transporta nozares </w:t>
      </w:r>
      <w:r>
        <w:rPr>
          <w:color w:val="000000" w:themeColor="text1"/>
          <w:szCs w:val="24"/>
        </w:rPr>
        <w:t xml:space="preserve">infrastruktūras </w:t>
      </w:r>
      <w:r w:rsidRPr="005B2CDC">
        <w:rPr>
          <w:color w:val="000000" w:themeColor="text1"/>
          <w:szCs w:val="24"/>
        </w:rPr>
        <w:t>būtiskākie izaicinājum</w:t>
      </w:r>
      <w:r>
        <w:rPr>
          <w:color w:val="000000" w:themeColor="text1"/>
          <w:szCs w:val="24"/>
        </w:rPr>
        <w:t xml:space="preserve">i ir </w:t>
      </w:r>
      <w:r w:rsidRPr="005B2CDC">
        <w:rPr>
          <w:color w:val="000000" w:themeColor="text1"/>
          <w:szCs w:val="24"/>
        </w:rPr>
        <w:t>nodrošināt pilnvērtīgu integrēšanos TEN-T tīklā</w:t>
      </w:r>
      <w:r>
        <w:rPr>
          <w:color w:val="000000" w:themeColor="text1"/>
          <w:szCs w:val="24"/>
        </w:rPr>
        <w:t xml:space="preserve"> un </w:t>
      </w:r>
      <w:r w:rsidRPr="005B2CDC">
        <w:rPr>
          <w:color w:val="000000" w:themeColor="text1"/>
          <w:szCs w:val="24"/>
        </w:rPr>
        <w:t>Latvijas dzelzceļa telpas nošķirtība</w:t>
      </w:r>
      <w:r>
        <w:rPr>
          <w:color w:val="000000" w:themeColor="text1"/>
          <w:szCs w:val="24"/>
        </w:rPr>
        <w:t>s</w:t>
      </w:r>
      <w:r w:rsidRPr="005B2CDC">
        <w:rPr>
          <w:color w:val="000000" w:themeColor="text1"/>
          <w:szCs w:val="24"/>
        </w:rPr>
        <w:t xml:space="preserve"> no Eiropas dzelzceļa tīkla</w:t>
      </w:r>
      <w:r>
        <w:rPr>
          <w:color w:val="000000" w:themeColor="text1"/>
          <w:szCs w:val="24"/>
        </w:rPr>
        <w:t xml:space="preserve"> novēršana</w:t>
      </w:r>
      <w:r w:rsidRPr="005B2CDC">
        <w:rPr>
          <w:color w:val="000000" w:themeColor="text1"/>
          <w:szCs w:val="24"/>
        </w:rPr>
        <w:t xml:space="preserve">, kas tiek risināta ar jauna dzelzceļa koridora Rail Baltica attīstību EISI </w:t>
      </w:r>
      <w:r>
        <w:rPr>
          <w:color w:val="000000" w:themeColor="text1"/>
          <w:szCs w:val="24"/>
        </w:rPr>
        <w:t xml:space="preserve">finansējuma </w:t>
      </w:r>
      <w:r w:rsidRPr="005B2CDC">
        <w:rPr>
          <w:color w:val="000000" w:themeColor="text1"/>
          <w:szCs w:val="24"/>
        </w:rPr>
        <w:t>ietvaros, izmantojot KF pārnesumu. Latvij</w:t>
      </w:r>
      <w:r>
        <w:rPr>
          <w:color w:val="000000" w:themeColor="text1"/>
          <w:szCs w:val="24"/>
        </w:rPr>
        <w:t>as</w:t>
      </w:r>
      <w:r w:rsidRPr="005B2CDC">
        <w:rPr>
          <w:color w:val="000000" w:themeColor="text1"/>
          <w:szCs w:val="24"/>
        </w:rPr>
        <w:t xml:space="preserve"> 1520 mm dzelzceļa tīkls TEN-T regulas izpratnē </w:t>
      </w:r>
      <w:r>
        <w:rPr>
          <w:color w:val="000000" w:themeColor="text1"/>
          <w:szCs w:val="24"/>
        </w:rPr>
        <w:t xml:space="preserve">šobrīd neatbilst </w:t>
      </w:r>
      <w:r w:rsidRPr="005B2CDC">
        <w:rPr>
          <w:color w:val="000000" w:themeColor="text1"/>
          <w:szCs w:val="24"/>
        </w:rPr>
        <w:t xml:space="preserve">TEN-T </w:t>
      </w:r>
      <w:r>
        <w:rPr>
          <w:color w:val="000000" w:themeColor="text1"/>
          <w:szCs w:val="24"/>
        </w:rPr>
        <w:t xml:space="preserve">dzelzceļa tīkla prasībām, bet ir atbrīvots no </w:t>
      </w:r>
      <w:r w:rsidRPr="005B2CDC">
        <w:rPr>
          <w:color w:val="000000" w:themeColor="text1"/>
          <w:szCs w:val="24"/>
        </w:rPr>
        <w:t>atbilstības prasīb</w:t>
      </w:r>
      <w:r>
        <w:rPr>
          <w:color w:val="000000" w:themeColor="text1"/>
          <w:szCs w:val="24"/>
        </w:rPr>
        <w:t>as</w:t>
      </w:r>
      <w:r w:rsidRPr="005B2CDC">
        <w:rPr>
          <w:color w:val="000000" w:themeColor="text1"/>
          <w:szCs w:val="24"/>
        </w:rPr>
        <w:t xml:space="preserve"> izolētā tīkla statusa </w:t>
      </w:r>
      <w:r>
        <w:rPr>
          <w:color w:val="000000" w:themeColor="text1"/>
          <w:szCs w:val="24"/>
        </w:rPr>
        <w:t xml:space="preserve">dēļ. Latvijas dzelzceļa tīkla atbilstība </w:t>
      </w:r>
      <w:r w:rsidRPr="005B2CDC">
        <w:rPr>
          <w:color w:val="000000" w:themeColor="text1"/>
          <w:szCs w:val="24"/>
        </w:rPr>
        <w:t xml:space="preserve">TEN-T regulas izpratnē </w:t>
      </w:r>
      <w:r>
        <w:rPr>
          <w:color w:val="000000" w:themeColor="text1"/>
          <w:szCs w:val="24"/>
        </w:rPr>
        <w:t xml:space="preserve">tiks nodrošināta </w:t>
      </w:r>
      <w:r w:rsidRPr="005B2CDC">
        <w:rPr>
          <w:color w:val="000000" w:themeColor="text1"/>
          <w:szCs w:val="24"/>
        </w:rPr>
        <w:t>Rail Baltica projekta daļā. Saskaņā ar Ziemeļjūras – Baltijas pamattīkla koridora 4. darba plānu</w:t>
      </w:r>
      <w:r w:rsidRPr="005B2CDC">
        <w:rPr>
          <w:color w:val="000000" w:themeColor="text1"/>
          <w:szCs w:val="24"/>
          <w:vertAlign w:val="superscript"/>
        </w:rPr>
        <w:footnoteReference w:id="24"/>
      </w:r>
      <w:r w:rsidRPr="005B2CDC">
        <w:rPr>
          <w:color w:val="000000" w:themeColor="text1"/>
          <w:szCs w:val="24"/>
        </w:rPr>
        <w:t xml:space="preserve"> Latvijas autoceļi koridorā neatbilst TEN-T prasībām attiecībā uz autoceļa klasi (no TEN-T pamattīklā esošajiem autoceļiem tikai 8% ir ātrsatiksmes autoceļi, bet visiem TEN-T pamattīklā esošajiem autoceļiem līdz 2030.gadam jābūt automaģistrālēm vai ātrsatiksmes autoceļiem), līdz ar to, autoceļu posmos, kur tas ir ekonomiski </w:t>
      </w:r>
      <w:r w:rsidRPr="00FC61C3">
        <w:rPr>
          <w:color w:val="000000" w:themeColor="text1"/>
          <w:szCs w:val="24"/>
        </w:rPr>
        <w:t xml:space="preserve">izdevīgi, plānots veikt </w:t>
      </w:r>
      <w:r w:rsidRPr="00FC61C3">
        <w:rPr>
          <w:szCs w:val="24"/>
        </w:rPr>
        <w:t>pārbūvi vai jauna autoceļa posma izbūvi, uzlabojot ceļu satiksmes drošību</w:t>
      </w:r>
      <w:r w:rsidRPr="00FC61C3">
        <w:rPr>
          <w:color w:val="000000" w:themeColor="text1"/>
          <w:szCs w:val="24"/>
        </w:rPr>
        <w:t xml:space="preserve">. </w:t>
      </w:r>
      <w:r w:rsidRPr="00FC61C3">
        <w:rPr>
          <w:szCs w:val="24"/>
          <w:u w:val="single"/>
          <w:lang w:eastAsia="en-US" w:bidi="ar-SA"/>
        </w:rPr>
        <w:t>Prioritārais ieguldījumu virziens valsts galvenajos autoceļos</w:t>
      </w:r>
      <w:r w:rsidRPr="00FC61C3">
        <w:rPr>
          <w:color w:val="000000"/>
          <w:szCs w:val="24"/>
        </w:rPr>
        <w:t xml:space="preserve"> ir Rīgas apvedceļa tīkla pārbūve. </w:t>
      </w:r>
      <w:r w:rsidRPr="00FC61C3">
        <w:rPr>
          <w:color w:val="000000" w:themeColor="text1"/>
          <w:szCs w:val="24"/>
        </w:rPr>
        <w:t>Saskaņā ar minēto plānu Latvijas ostas neatbilst TEN-T prasībām attiecībā uz alternatīvo degvielu pieejamību.</w:t>
      </w:r>
    </w:p>
    <w:p w14:paraId="5F956D14" w14:textId="77777777" w:rsidR="00105543" w:rsidRPr="00930237" w:rsidRDefault="00105543" w:rsidP="007545BD">
      <w:pPr>
        <w:numPr>
          <w:ilvl w:val="0"/>
          <w:numId w:val="60"/>
        </w:numPr>
        <w:spacing w:before="0" w:after="0"/>
        <w:ind w:left="567" w:hanging="567"/>
        <w:contextualSpacing/>
        <w:mirrorIndents/>
        <w:rPr>
          <w:szCs w:val="24"/>
        </w:rPr>
      </w:pPr>
      <w:r w:rsidRPr="00FC61C3">
        <w:rPr>
          <w:color w:val="000000" w:themeColor="text1"/>
          <w:szCs w:val="24"/>
        </w:rPr>
        <w:t>Latvijā iekšējās sasniedzamības nodrošināšanā galvenā loma ir autoceļiem. Autoceļu jomā būtiskākais izaicinājums ir uzlabot autoceļu tehnisko stāvokli un atbilstību augstākajām ceļus satiksmes drošības prasībām. Latvijā ir vieni no augstākiem rādītājiem satiksmes negadījumos bojā gājušo skaitā uz miljons iedzīvotājiem. Ir vērojams ceļu satiksmes negadījumos smagi ievainoto skaita pieaugums, kas 60% gadījumu notiek uz reģionāliem ceļiem</w:t>
      </w:r>
      <w:r w:rsidRPr="00FC61C3">
        <w:rPr>
          <w:color w:val="000000" w:themeColor="text1"/>
          <w:szCs w:val="24"/>
          <w:vertAlign w:val="superscript"/>
        </w:rPr>
        <w:footnoteReference w:id="25"/>
      </w:r>
      <w:r w:rsidRPr="00FC61C3">
        <w:rPr>
          <w:color w:val="000000" w:themeColor="text1"/>
          <w:szCs w:val="24"/>
          <w:vertAlign w:val="superscript"/>
        </w:rPr>
        <w:t>.</w:t>
      </w:r>
      <w:r w:rsidRPr="00FC61C3">
        <w:rPr>
          <w:color w:val="000000" w:themeColor="text1"/>
          <w:szCs w:val="24"/>
        </w:rPr>
        <w:t xml:space="preserve"> Pamats lielajam negadījumu skaitam uz Latvijas autoceļiem ir ceļu kapacitāte, kas ir neatbilstoša mūsdienu satiksmes vajadzībām. Satiksmes intensitāte ir būtiski pieaugusi, taču ceļu infrastruktūra joprojām paredz pārvietošanos pa divām joslām, tādēļ satiksmes drošības līmeņa paaugstināšanai ir svarīgas arī turpmākas investīcijas ceļu kapacitātes uzlabošanā. Satiksmes drošības</w:t>
      </w:r>
      <w:r w:rsidRPr="0001580F">
        <w:rPr>
          <w:color w:val="000000" w:themeColor="text1"/>
          <w:szCs w:val="24"/>
        </w:rPr>
        <w:t xml:space="preserve"> uzlabošanas darbi valsts autoceļu tīklā tiek plānoti, ņemot vērā valsts autoceļu bīstamo posmu un krustojumu (“melno punktu”) kartes</w:t>
      </w:r>
      <w:r w:rsidRPr="003F78CA">
        <w:rPr>
          <w:color w:val="000000" w:themeColor="text1"/>
          <w:szCs w:val="24"/>
        </w:rPr>
        <w:t xml:space="preserve">. </w:t>
      </w:r>
      <w:r w:rsidRPr="006C78E3">
        <w:rPr>
          <w:color w:val="000000" w:themeColor="text1"/>
          <w:szCs w:val="24"/>
        </w:rPr>
        <w:t>Kravu pārvadājumi ar autotransportu iekšzemes transportā ir dominējošais kravu pārvadāšanas veids, ņemot vērā salīdzinoši nelielos pārvadāšanas attālumus.</w:t>
      </w:r>
      <w:r w:rsidRPr="005B31B8">
        <w:rPr>
          <w:color w:val="000000" w:themeColor="text1"/>
          <w:szCs w:val="24"/>
        </w:rPr>
        <w:t xml:space="preserve"> </w:t>
      </w:r>
      <w:r>
        <w:rPr>
          <w:color w:val="000000" w:themeColor="text1"/>
          <w:szCs w:val="24"/>
        </w:rPr>
        <w:t xml:space="preserve">Ņemot vērā </w:t>
      </w:r>
      <w:r w:rsidRPr="005B31B8">
        <w:rPr>
          <w:color w:val="000000" w:themeColor="text1"/>
          <w:szCs w:val="24"/>
        </w:rPr>
        <w:t xml:space="preserve">EK rekomendācijās </w:t>
      </w:r>
      <w:r>
        <w:rPr>
          <w:color w:val="000000" w:themeColor="text1"/>
          <w:szCs w:val="24"/>
        </w:rPr>
        <w:t xml:space="preserve">minēto par </w:t>
      </w:r>
      <w:r w:rsidRPr="005B31B8">
        <w:rPr>
          <w:color w:val="000000" w:themeColor="text1"/>
          <w:szCs w:val="24"/>
        </w:rPr>
        <w:t>apvedceļu trūkumu</w:t>
      </w:r>
      <w:r>
        <w:rPr>
          <w:color w:val="000000" w:themeColor="text1"/>
          <w:szCs w:val="24"/>
        </w:rPr>
        <w:t xml:space="preserve">, </w:t>
      </w:r>
      <w:r w:rsidRPr="00AF612F">
        <w:rPr>
          <w:szCs w:val="24"/>
        </w:rPr>
        <w:t>svarīgi turpināt TEN-T savienojumus pilsētās</w:t>
      </w:r>
      <w:r>
        <w:rPr>
          <w:szCs w:val="24"/>
        </w:rPr>
        <w:t xml:space="preserve">, </w:t>
      </w:r>
      <w:r w:rsidRPr="00AF612F">
        <w:rPr>
          <w:szCs w:val="24"/>
        </w:rPr>
        <w:t xml:space="preserve">novirzot </w:t>
      </w:r>
      <w:r w:rsidRPr="00AF612F">
        <w:rPr>
          <w:color w:val="000000" w:themeColor="text1"/>
          <w:szCs w:val="24"/>
        </w:rPr>
        <w:t>satiksmi no blīvi apdzīvotām teritorijām.</w:t>
      </w:r>
      <w:r w:rsidRPr="00930237" w:rsidDel="00AB1A33">
        <w:rPr>
          <w:szCs w:val="24"/>
        </w:rPr>
        <w:t xml:space="preserve"> </w:t>
      </w:r>
    </w:p>
    <w:p w14:paraId="028684EA" w14:textId="77777777" w:rsidR="00105543" w:rsidRPr="00930237" w:rsidRDefault="00105543" w:rsidP="007545BD">
      <w:pPr>
        <w:numPr>
          <w:ilvl w:val="0"/>
          <w:numId w:val="60"/>
        </w:numPr>
        <w:spacing w:before="0" w:after="0"/>
        <w:ind w:left="567" w:hanging="567"/>
        <w:contextualSpacing/>
        <w:mirrorIndents/>
        <w:rPr>
          <w:szCs w:val="24"/>
        </w:rPr>
      </w:pPr>
      <w:r w:rsidRPr="00F91FF7">
        <w:rPr>
          <w:szCs w:val="24"/>
        </w:rPr>
        <w:t xml:space="preserve">Dzelzceļa transports ir viens no perspektīvākajiem, drošākajiem un videi draudzīgākajiem sauszemes transporta veidiem gan pasažieriem, gan kravām. </w:t>
      </w:r>
      <w:r w:rsidRPr="0001580F">
        <w:rPr>
          <w:szCs w:val="24"/>
        </w:rPr>
        <w:t>2017.-2019.gadā ir novērojam</w:t>
      </w:r>
      <w:r>
        <w:rPr>
          <w:szCs w:val="24"/>
        </w:rPr>
        <w:t>s</w:t>
      </w:r>
      <w:r w:rsidRPr="0001580F">
        <w:rPr>
          <w:szCs w:val="24"/>
        </w:rPr>
        <w:t xml:space="preserve"> pasažieru pārvadājumu apjoma palielinājums pasažieru pārvadājumos pa dzelzceļu un regulārās satiksmes autobusos. Ir jāturpina ieguldījumi dzelzceļa infrastruktūras attīstībā, lai uzlabotu sabiedriskā transporta konkurētspēju salīdzinājumā ar autotransportu, galvenokārt ar to domājot tieši iespēju pārvietoties ātrāk, videi draudzīgāk un komfortablāk nekā ar vieglo autotransportlīdzekli</w:t>
      </w:r>
      <w:r>
        <w:rPr>
          <w:szCs w:val="24"/>
        </w:rPr>
        <w:t>, t</w:t>
      </w:r>
      <w:r w:rsidRPr="0001580F">
        <w:rPr>
          <w:szCs w:val="24"/>
        </w:rPr>
        <w:t>ādējādi izpild</w:t>
      </w:r>
      <w:r>
        <w:rPr>
          <w:szCs w:val="24"/>
        </w:rPr>
        <w:t>ot</w:t>
      </w:r>
      <w:r w:rsidRPr="0001580F">
        <w:rPr>
          <w:szCs w:val="24"/>
        </w:rPr>
        <w:t xml:space="preserve"> EK rekomendāciju attiecībā uz pāreju no automobiļiem uz sabiedrisko transportu. Tas būs iespējams</w:t>
      </w:r>
      <w:r>
        <w:rPr>
          <w:szCs w:val="24"/>
        </w:rPr>
        <w:t>,</w:t>
      </w:r>
      <w:r w:rsidRPr="0001580F">
        <w:rPr>
          <w:szCs w:val="24"/>
        </w:rPr>
        <w:t xml:space="preserve"> efektivizējot sabiedriskā transporta nodrošinājumu un pieejamību</w:t>
      </w:r>
      <w:r>
        <w:rPr>
          <w:szCs w:val="24"/>
        </w:rPr>
        <w:t xml:space="preserve"> un vienlaikus</w:t>
      </w:r>
      <w:r w:rsidRPr="0001580F">
        <w:rPr>
          <w:szCs w:val="24"/>
        </w:rPr>
        <w:t xml:space="preserve"> veicot ieguldījumus dzelzceļa infrastruktūrā un ritošajā sastāvā. </w:t>
      </w:r>
      <w:r w:rsidRPr="0001580F">
        <w:rPr>
          <w:szCs w:val="28"/>
        </w:rPr>
        <w:t>Lai veicinātu iedzīvotājus izvēlēties sabiedrisko transportu, 2019.gadā apstiprināta Sabiedriskā transporta attīstības koncepcija 2021.-2030.gadam. Saskaņā ar koncepciju dzelzceļš noteikts kā transporta sistēmas mugurkauls</w:t>
      </w:r>
      <w:r>
        <w:rPr>
          <w:szCs w:val="28"/>
        </w:rPr>
        <w:t xml:space="preserve">, paredzot </w:t>
      </w:r>
      <w:r w:rsidRPr="0001580F">
        <w:rPr>
          <w:szCs w:val="28"/>
        </w:rPr>
        <w:t>maršrutos ar lielu pasažieru plūsmu pārvadājum</w:t>
      </w:r>
      <w:r>
        <w:rPr>
          <w:szCs w:val="28"/>
        </w:rPr>
        <w:t>us n</w:t>
      </w:r>
      <w:r w:rsidRPr="0001580F">
        <w:rPr>
          <w:szCs w:val="28"/>
        </w:rPr>
        <w:t xml:space="preserve">odrošināt ar dzelzceļa transportu, </w:t>
      </w:r>
      <w:r>
        <w:rPr>
          <w:szCs w:val="28"/>
        </w:rPr>
        <w:t xml:space="preserve">bet ar </w:t>
      </w:r>
      <w:r w:rsidRPr="0001580F">
        <w:rPr>
          <w:szCs w:val="28"/>
        </w:rPr>
        <w:t>autobusi</w:t>
      </w:r>
      <w:r>
        <w:rPr>
          <w:szCs w:val="28"/>
        </w:rPr>
        <w:t>em</w:t>
      </w:r>
      <w:r w:rsidRPr="0001580F">
        <w:rPr>
          <w:szCs w:val="28"/>
        </w:rPr>
        <w:t xml:space="preserve"> veik</w:t>
      </w:r>
      <w:r>
        <w:rPr>
          <w:szCs w:val="28"/>
        </w:rPr>
        <w:t>t</w:t>
      </w:r>
      <w:r w:rsidRPr="0001580F">
        <w:rPr>
          <w:szCs w:val="28"/>
        </w:rPr>
        <w:t xml:space="preserve"> pasažieru nogādāšanu līdz vilcienam. Pārvadājum</w:t>
      </w:r>
      <w:r>
        <w:rPr>
          <w:szCs w:val="28"/>
        </w:rPr>
        <w:t>us</w:t>
      </w:r>
      <w:r w:rsidRPr="0001580F">
        <w:rPr>
          <w:szCs w:val="28"/>
        </w:rPr>
        <w:t xml:space="preserve"> ar autobusiem </w:t>
      </w:r>
      <w:r>
        <w:rPr>
          <w:szCs w:val="28"/>
        </w:rPr>
        <w:t>turpinās</w:t>
      </w:r>
      <w:r w:rsidRPr="0001580F">
        <w:rPr>
          <w:szCs w:val="28"/>
        </w:rPr>
        <w:t xml:space="preserve"> veikt vietās, kur vilciens nekursē. </w:t>
      </w:r>
      <w:r>
        <w:rPr>
          <w:szCs w:val="28"/>
        </w:rPr>
        <w:t>P</w:t>
      </w:r>
      <w:r w:rsidRPr="0001580F">
        <w:rPr>
          <w:szCs w:val="28"/>
        </w:rPr>
        <w:t>ieaugot nepieciešamībai nodrošināt ilgtspējīgu mobilitāti, par būtisku izaicinājumu ir uzskatāms zemais Latvijas dzelzceļa tīkla elektrifikācijas rādītājs. 20</w:t>
      </w:r>
      <w:r>
        <w:rPr>
          <w:szCs w:val="28"/>
        </w:rPr>
        <w:t>20</w:t>
      </w:r>
      <w:r w:rsidRPr="0001580F">
        <w:rPr>
          <w:szCs w:val="28"/>
        </w:rPr>
        <w:t>. gadā elektrificēti bija tikai 14% no dzelzceļa līniju kopgaruma, ES vidēji tie ir 55%. Ņemot vērā dzelzceļa pasažieru infrastruktūras attīstību, jaun</w:t>
      </w:r>
      <w:r>
        <w:rPr>
          <w:szCs w:val="28"/>
        </w:rPr>
        <w:t>ā</w:t>
      </w:r>
      <w:r w:rsidRPr="0001580F">
        <w:rPr>
          <w:szCs w:val="28"/>
        </w:rPr>
        <w:t xml:space="preserve"> dzelzceļa tīkla elektrifikācijas stratēģija paredz pakāpenisku elektrificēto līniju tīkla paplašināšanu Rīgas aglomerācijā maršrutos, kur šobrīd pasažieru pārvadājumi notiek ar dīzeļvilcieniem. Kā nākamais posms tiek plānota esošā elektrificētā tīkla, kas tiek izmantots pasažieru pārvadājumiem, modernizācija un attīstība.</w:t>
      </w:r>
      <w:r>
        <w:rPr>
          <w:szCs w:val="28"/>
        </w:rPr>
        <w:t xml:space="preserve"> </w:t>
      </w:r>
      <w:r w:rsidRPr="0001580F">
        <w:rPr>
          <w:szCs w:val="28"/>
        </w:rPr>
        <w:t xml:space="preserve">Šobrīd maksimālais pieļaujamais pasažieru vilcienu ātrums pa dzelzceļa infrastruktūru ir līdz 120 km/h. </w:t>
      </w:r>
      <w:r>
        <w:rPr>
          <w:szCs w:val="28"/>
        </w:rPr>
        <w:t>L</w:t>
      </w:r>
      <w:r w:rsidRPr="0001580F">
        <w:rPr>
          <w:szCs w:val="28"/>
        </w:rPr>
        <w:t xml:space="preserve">ai </w:t>
      </w:r>
      <w:r>
        <w:rPr>
          <w:szCs w:val="28"/>
        </w:rPr>
        <w:t xml:space="preserve">uzlabotu iedzīvotāju mobilitāti uz blīvi apdzīvotiem centriem un vienlaikus piedāvātu </w:t>
      </w:r>
      <w:r w:rsidRPr="0001580F">
        <w:rPr>
          <w:szCs w:val="28"/>
        </w:rPr>
        <w:t>privātajiem autotransportlīdzekļiem</w:t>
      </w:r>
      <w:r>
        <w:rPr>
          <w:szCs w:val="28"/>
        </w:rPr>
        <w:t xml:space="preserve"> konkurētspējīgu pārvietošanos, </w:t>
      </w:r>
      <w:r w:rsidRPr="0001580F">
        <w:rPr>
          <w:szCs w:val="28"/>
        </w:rPr>
        <w:t xml:space="preserve">ir būtiski nodrošināt vilcienu ātruma paaugstināšanu. Visefektīvāk </w:t>
      </w:r>
      <w:r>
        <w:rPr>
          <w:szCs w:val="28"/>
        </w:rPr>
        <w:t xml:space="preserve">nepieciešamos ieguldījumus infrastruktūrā </w:t>
      </w:r>
      <w:r w:rsidRPr="0001580F">
        <w:rPr>
          <w:szCs w:val="28"/>
        </w:rPr>
        <w:t>ir veikt tajos dzelzceļa posmos, kuros ir lielāks attālums starp stacijām un vilciena gaitai ir iespējams paātrināties</w:t>
      </w:r>
      <w:r w:rsidRPr="0001580F">
        <w:rPr>
          <w:szCs w:val="24"/>
        </w:rPr>
        <w:t>.</w:t>
      </w:r>
    </w:p>
    <w:p w14:paraId="7DA5C704" w14:textId="0F417C21" w:rsidR="00105543" w:rsidRPr="00FC61C3" w:rsidRDefault="00105543" w:rsidP="007545BD">
      <w:pPr>
        <w:numPr>
          <w:ilvl w:val="0"/>
          <w:numId w:val="60"/>
        </w:numPr>
        <w:spacing w:before="0" w:after="0"/>
        <w:ind w:left="567" w:hanging="567"/>
        <w:contextualSpacing/>
        <w:mirrorIndents/>
        <w:rPr>
          <w:szCs w:val="24"/>
        </w:rPr>
      </w:pPr>
      <w:r w:rsidRPr="00A03F9A">
        <w:rPr>
          <w:szCs w:val="24"/>
        </w:rPr>
        <w:t>Rīgas metropoles areālā koncentrējas 1,25 milj. jeb aptuveni 65 % Latvijas iedzīvotāju un tā teritorijā tiek radītas aptuveni 3/4 Latvijas ekonomisko vērtību</w:t>
      </w:r>
      <w:r w:rsidRPr="00A03F9A">
        <w:rPr>
          <w:szCs w:val="24"/>
          <w:vertAlign w:val="superscript"/>
        </w:rPr>
        <w:footnoteReference w:id="26"/>
      </w:r>
      <w:r w:rsidRPr="00A03F9A">
        <w:rPr>
          <w:szCs w:val="24"/>
        </w:rPr>
        <w:t>. Ievērojama daļa iedzīvotāju no Rīgas apkārtējām teritorijām ik dienas dodas uz Rīgas pilsētu kā uz darba vai mācību vietu. Latvijā uz 1000 iedzīvotāju ir reģistrēti vairāk nekā 350 automobiļi, kuru skaits turpina palielināties, īpaši Rīgā un Pierīgā. Rīgas pilsētā un Pierīgas pašvaldībās ir apmēram 50% no visiem Latvijā uz 2019.gada 1.janvāri reģistrētajiem vieglajiem transportlīdzekļiem</w:t>
      </w:r>
      <w:r w:rsidRPr="00A03F9A">
        <w:rPr>
          <w:szCs w:val="24"/>
          <w:vertAlign w:val="superscript"/>
        </w:rPr>
        <w:footnoteReference w:id="27"/>
      </w:r>
      <w:r w:rsidRPr="00A03F9A">
        <w:rPr>
          <w:szCs w:val="24"/>
        </w:rPr>
        <w:t>. Pēdējos piecos gados automašīnu skaits uz ielām un autoceļiem pakāpeniski turpina palielināties. Līdz ar to</w:t>
      </w:r>
      <w:r>
        <w:rPr>
          <w:szCs w:val="24"/>
        </w:rPr>
        <w:t>,</w:t>
      </w:r>
      <w:r w:rsidRPr="00A03F9A">
        <w:rPr>
          <w:szCs w:val="24"/>
        </w:rPr>
        <w:t xml:space="preserve"> veidojas arvien lielāki sastrēgumi, liekot iedzīvotājiem ik dienas vairāk laika pavadīt ceļā, kā arī atstājot negatīvu ietekmi uz gaisa kvalitāti un klimata pārmaiņām. Arvien lielāka vieglo automobiļu izmantošana ir viens no galvenajiem iemesliem emisiju pieaugumam transporta nozarē. Ņemot vērā iepriekš minēto, lai samazinātu transporta radīto izmešu daudzumu Rīgā, ir nepieciešams radīt priekšnosacījumus transporta plūsmu pārstrukturēšanai Rīgā, t.sk. izveidojot transporta koridorus</w:t>
      </w:r>
      <w:r>
        <w:rPr>
          <w:szCs w:val="24"/>
        </w:rPr>
        <w:t xml:space="preserve">, lai </w:t>
      </w:r>
      <w:r w:rsidRPr="00A03F9A">
        <w:rPr>
          <w:szCs w:val="24"/>
        </w:rPr>
        <w:t>tādējādi atslogotu pilsētas centru no kravas transporta.</w:t>
      </w:r>
      <w:r>
        <w:rPr>
          <w:szCs w:val="24"/>
        </w:rPr>
        <w:t xml:space="preserve"> </w:t>
      </w:r>
      <w:r w:rsidRPr="00EA4818">
        <w:rPr>
          <w:color w:val="000000"/>
          <w:szCs w:val="24"/>
        </w:rPr>
        <w:t xml:space="preserve">Būtisks </w:t>
      </w:r>
      <w:r>
        <w:rPr>
          <w:color w:val="000000"/>
          <w:szCs w:val="24"/>
        </w:rPr>
        <w:t>ieguvums</w:t>
      </w:r>
      <w:r w:rsidRPr="00EA4818">
        <w:rPr>
          <w:color w:val="000000"/>
          <w:szCs w:val="24"/>
        </w:rPr>
        <w:t xml:space="preserve"> Rīgas metropoles areāla satiksmes infrastruktūrai ir </w:t>
      </w:r>
      <w:r w:rsidRPr="00656348">
        <w:rPr>
          <w:color w:val="000000"/>
          <w:szCs w:val="24"/>
        </w:rPr>
        <w:t>Rail Baltica</w:t>
      </w:r>
      <w:r w:rsidRPr="00EA4818">
        <w:rPr>
          <w:color w:val="000000"/>
          <w:szCs w:val="24"/>
        </w:rPr>
        <w:t xml:space="preserve">. Saistībā ar </w:t>
      </w:r>
      <w:r w:rsidRPr="00656348">
        <w:rPr>
          <w:color w:val="000000"/>
          <w:szCs w:val="24"/>
        </w:rPr>
        <w:t>Rail Baltica</w:t>
      </w:r>
      <w:r w:rsidRPr="00EA4818">
        <w:rPr>
          <w:color w:val="000000"/>
          <w:szCs w:val="24"/>
        </w:rPr>
        <w:t xml:space="preserve"> izbūvi tiek plānoti nozīmīgi transporta pārkārtojumi Rīgas centrā, kas veidos Rīgas centrālo dzelzceļa staciju par multimodālu sabiedriskā </w:t>
      </w:r>
      <w:r w:rsidRPr="00FC61C3">
        <w:rPr>
          <w:color w:val="000000"/>
          <w:szCs w:val="24"/>
        </w:rPr>
        <w:t xml:space="preserve">transporta mezglu, un arī pārējā Rīgas daļā un Pierīgā. Investīcijas Rīgas pilsētas transporta infrastruktūrā tiks veiktas atbilstoši </w:t>
      </w:r>
      <w:r w:rsidRPr="00FC61C3">
        <w:rPr>
          <w:szCs w:val="24"/>
        </w:rPr>
        <w:t>Rīgas ilgtermiņa attīstības stratēģijai līdz 2030. gadam</w:t>
      </w:r>
      <w:r w:rsidRPr="00FC61C3">
        <w:rPr>
          <w:rStyle w:val="FootnoteReference"/>
          <w:szCs w:val="24"/>
        </w:rPr>
        <w:footnoteReference w:id="28"/>
      </w:r>
      <w:r w:rsidRPr="00FC61C3">
        <w:rPr>
          <w:szCs w:val="24"/>
        </w:rPr>
        <w:t>, Rīgas attīstības programmai 2021.-2027.gadam, Rīgas teritorijas plānojumam līdz 2030.gadam u</w:t>
      </w:r>
      <w:r w:rsidR="007903C4">
        <w:rPr>
          <w:szCs w:val="24"/>
        </w:rPr>
        <w:t>.c.</w:t>
      </w:r>
      <w:r w:rsidRPr="00FC61C3">
        <w:rPr>
          <w:szCs w:val="24"/>
        </w:rPr>
        <w:t xml:space="preserve"> plānošanas dokumentiem. </w:t>
      </w:r>
    </w:p>
    <w:p w14:paraId="5BD0E5A1" w14:textId="77777777" w:rsidR="00105543" w:rsidRPr="00915BE8" w:rsidRDefault="00105543" w:rsidP="007545BD">
      <w:pPr>
        <w:numPr>
          <w:ilvl w:val="0"/>
          <w:numId w:val="60"/>
        </w:numPr>
        <w:spacing w:before="0" w:after="0"/>
        <w:ind w:left="567" w:hanging="567"/>
        <w:contextualSpacing/>
        <w:mirrorIndents/>
        <w:rPr>
          <w:szCs w:val="24"/>
        </w:rPr>
      </w:pPr>
      <w:r w:rsidRPr="00FC61C3">
        <w:rPr>
          <w:szCs w:val="24"/>
        </w:rPr>
        <w:t xml:space="preserve">Būtisks priekšnosacījums reģionu attīstībai ir kvalitatīvs un drošs infrastruktūras tīkls reģionos, kas nodrošina savienojumus ar reģionu centriem. Lai to nodrošinātu, nepieciešams turpināt veikt investīcijas pilsētu infrastruktūras sasaistei ar TEN-T, paredzot nacionālās un reģionālas nozīmes centru maģistrālo ielu un esošo maršrutu attīstību, kas nodrošina atsevišķu pilsētu daļu efektīvu savstarpējo sasaisti un sasaisti ar TEN-T tīklu, alternatīvu kravas ceļu izbūvi, pārbūvi vai modernizāciju. </w:t>
      </w:r>
      <w:r w:rsidRPr="00FC61C3">
        <w:rPr>
          <w:color w:val="000000"/>
          <w:szCs w:val="24"/>
        </w:rPr>
        <w:t xml:space="preserve">Investīcijas pilsētu transporta infrastruktūrā tiks veiktas atbilstoši pašvaldību teritoriju attīstības stratēģijām (pašvaldību attīstības programmām). </w:t>
      </w:r>
      <w:r w:rsidRPr="00FC61C3">
        <w:rPr>
          <w:szCs w:val="24"/>
        </w:rPr>
        <w:t>Nepieciešams pilsētu mobilitātes jautājumus integrēt kopējā transporta sistēmā. Jau tagad paredzams, ka ieguldījumi dzelzceļa infrastrukūrā, jaunu reģionālo dzelzceļa maršrutu izveidošana, Rail Baltica dzelzceļa līnijas izbūve, mobilitātes punktu</w:t>
      </w:r>
      <w:r w:rsidRPr="00FC61C3">
        <w:rPr>
          <w:rStyle w:val="FootnoteReference"/>
          <w:szCs w:val="24"/>
        </w:rPr>
        <w:footnoteReference w:id="29"/>
      </w:r>
      <w:r w:rsidRPr="00FC61C3">
        <w:rPr>
          <w:szCs w:val="24"/>
        </w:rPr>
        <w:t xml:space="preserve"> izveide, alternatīvo degvielu popularitātes pieaugums un mikromobilitātes jautājumu risinājumi</w:t>
      </w:r>
      <w:r w:rsidRPr="00A03F9A">
        <w:rPr>
          <w:szCs w:val="24"/>
        </w:rPr>
        <w:t xml:space="preserve"> pozitīvi ietekmēs mobilitāti pilsētu teritorijās. Nākotnē to vēl vairāk uzlabos </w:t>
      </w:r>
      <w:r w:rsidRPr="004228BB">
        <w:rPr>
          <w:szCs w:val="24"/>
        </w:rPr>
        <w:t>Rail Baltica</w:t>
      </w:r>
      <w:r w:rsidRPr="00A03F9A">
        <w:rPr>
          <w:szCs w:val="24"/>
        </w:rPr>
        <w:t xml:space="preserve"> reģionālo staciju izveide, kuru sākotnējā attīstība tiks īstenota</w:t>
      </w:r>
      <w:r>
        <w:rPr>
          <w:szCs w:val="24"/>
        </w:rPr>
        <w:t xml:space="preserve">, veicot </w:t>
      </w:r>
      <w:r w:rsidRPr="00A03F9A">
        <w:rPr>
          <w:szCs w:val="24"/>
        </w:rPr>
        <w:t>lokālplānojumu izstrādi attiecīgā novada teritorijā</w:t>
      </w:r>
      <w:r>
        <w:rPr>
          <w:szCs w:val="24"/>
        </w:rPr>
        <w:t>. Ar lokālplānojumu tādējādi</w:t>
      </w:r>
      <w:r w:rsidRPr="00A03F9A">
        <w:rPr>
          <w:szCs w:val="24"/>
        </w:rPr>
        <w:t xml:space="preserve"> </w:t>
      </w:r>
      <w:r>
        <w:rPr>
          <w:szCs w:val="24"/>
        </w:rPr>
        <w:t xml:space="preserve">tiks </w:t>
      </w:r>
      <w:r w:rsidRPr="00A03F9A">
        <w:rPr>
          <w:szCs w:val="24"/>
        </w:rPr>
        <w:t>nostiprin</w:t>
      </w:r>
      <w:r>
        <w:rPr>
          <w:szCs w:val="24"/>
        </w:rPr>
        <w:t>āts</w:t>
      </w:r>
      <w:r w:rsidRPr="00A03F9A">
        <w:rPr>
          <w:szCs w:val="24"/>
        </w:rPr>
        <w:t xml:space="preserve"> reģionālās stacijas pamatizvietojum</w:t>
      </w:r>
      <w:r>
        <w:rPr>
          <w:szCs w:val="24"/>
        </w:rPr>
        <w:t>s</w:t>
      </w:r>
      <w:r w:rsidRPr="00A03F9A">
        <w:rPr>
          <w:szCs w:val="24"/>
        </w:rPr>
        <w:t xml:space="preserve"> un to funkcionēšanai nepieciešam</w:t>
      </w:r>
      <w:r>
        <w:rPr>
          <w:szCs w:val="24"/>
        </w:rPr>
        <w:t>ā</w:t>
      </w:r>
      <w:r w:rsidRPr="00A03F9A">
        <w:rPr>
          <w:szCs w:val="24"/>
        </w:rPr>
        <w:t xml:space="preserve"> teritorij</w:t>
      </w:r>
      <w:r>
        <w:rPr>
          <w:szCs w:val="24"/>
        </w:rPr>
        <w:t>a</w:t>
      </w:r>
      <w:r w:rsidRPr="00A03F9A">
        <w:rPr>
          <w:szCs w:val="24"/>
        </w:rPr>
        <w:t xml:space="preserve">, </w:t>
      </w:r>
      <w:r>
        <w:rPr>
          <w:szCs w:val="24"/>
        </w:rPr>
        <w:t xml:space="preserve">vienlaikus izvērtējot </w:t>
      </w:r>
      <w:r w:rsidRPr="00A03F9A">
        <w:rPr>
          <w:szCs w:val="24"/>
        </w:rPr>
        <w:t>sabiedriskā transporta integrāciju reģionālās nozīmes mobilitātes punkta un plašākas pilsētvides attīstības iespēj</w:t>
      </w:r>
      <w:r>
        <w:rPr>
          <w:szCs w:val="24"/>
        </w:rPr>
        <w:t>u</w:t>
      </w:r>
      <w:r w:rsidRPr="00A03F9A">
        <w:rPr>
          <w:szCs w:val="24"/>
        </w:rPr>
        <w:t xml:space="preserve"> stacijas areālā</w:t>
      </w:r>
      <w:r>
        <w:rPr>
          <w:szCs w:val="24"/>
        </w:rPr>
        <w:t xml:space="preserve"> ietvaros</w:t>
      </w:r>
      <w:r w:rsidRPr="00A03F9A">
        <w:rPr>
          <w:szCs w:val="24"/>
        </w:rPr>
        <w:t>. Dzelzceļam, kopā ar sabiedrisko autotransportu un sliežu transportu būs jānodrošina daudzveidu mobilitātes iespējas reģionos un pilsētās.</w:t>
      </w:r>
    </w:p>
    <w:p w14:paraId="6AADDF69" w14:textId="0368DFFF" w:rsidR="00AC212B" w:rsidRPr="008E4487" w:rsidRDefault="00105543"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AF612F">
        <w:rPr>
          <w:rFonts w:ascii="Times New Roman" w:hAnsi="Times New Roman" w:cs="Times New Roman"/>
          <w:sz w:val="24"/>
          <w:szCs w:val="24"/>
        </w:rPr>
        <w:t>Lai nodrošinātu drošu navigāciju ostās, infrastruktūra tajās veidota un attīstīta atbilstoši starptautiskām prasībām. Ņemot vērā, ka tiek ieviestas arvien augstākas vides aizsardzības prasības, nepieciešams pilnveidot Latvijas ostu publisko infrastruktūru, rast risinājumus un attīstīt jaunus projektus klimatneitralitātes mērķu sasniegšanai, atjaunojamo energoresursu izmantošanai un digitalizācijai.</w:t>
      </w:r>
    </w:p>
    <w:p w14:paraId="2B60BC0D" w14:textId="77777777"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sz w:val="24"/>
          <w:szCs w:val="24"/>
        </w:rPr>
        <w:t xml:space="preserve">Saistībā ari </w:t>
      </w:r>
      <w:r w:rsidRPr="00930237">
        <w:rPr>
          <w:rFonts w:ascii="Times New Roman" w:hAnsi="Times New Roman" w:cs="Times New Roman"/>
          <w:b/>
          <w:sz w:val="24"/>
          <w:szCs w:val="24"/>
        </w:rPr>
        <w:t>digitālo pāreju</w:t>
      </w:r>
      <w:r w:rsidRPr="00930237">
        <w:rPr>
          <w:rFonts w:ascii="Times New Roman" w:hAnsi="Times New Roman" w:cs="Times New Roman"/>
          <w:sz w:val="24"/>
          <w:szCs w:val="24"/>
        </w:rPr>
        <w:t xml:space="preserve"> ekonomikā pieaugs slodze mobilajiem un fiksētajiem tīkliem, kā arī būtiski pieaugs prasības pēc ātras lielu datu daudzuma apmaiņas, kas prasīs 5G infrastruktūras attīstību.  </w:t>
      </w:r>
    </w:p>
    <w:p w14:paraId="391B10B2" w14:textId="77777777" w:rsidR="00AC212B" w:rsidRPr="00930237" w:rsidRDefault="00AC212B" w:rsidP="007545BD">
      <w:pPr>
        <w:numPr>
          <w:ilvl w:val="0"/>
          <w:numId w:val="60"/>
        </w:numPr>
        <w:spacing w:before="0" w:after="0"/>
        <w:ind w:left="567" w:hanging="567"/>
        <w:contextualSpacing/>
        <w:mirrorIndents/>
        <w:rPr>
          <w:color w:val="000000"/>
          <w:szCs w:val="24"/>
        </w:rPr>
      </w:pPr>
      <w:r w:rsidRPr="00930237">
        <w:rPr>
          <w:szCs w:val="24"/>
        </w:rPr>
        <w:t xml:space="preserve">Lauku teritorijās un pilsētām pieguļošās teritorijās nav ekonomiski izdevīgi attīstīt 5G tīklus un nodrošināt abonentlīniju pieslēgumus. </w:t>
      </w:r>
      <w:r w:rsidRPr="00930237">
        <w:rPr>
          <w:bCs/>
          <w:szCs w:val="24"/>
        </w:rPr>
        <w:t>SM 2020.gadā organizē pētījumu</w:t>
      </w:r>
      <w:r w:rsidRPr="00930237">
        <w:rPr>
          <w:bCs/>
          <w:szCs w:val="24"/>
          <w:vertAlign w:val="superscript"/>
        </w:rPr>
        <w:footnoteReference w:id="30"/>
      </w:r>
      <w:r w:rsidRPr="00930237">
        <w:rPr>
          <w:bCs/>
          <w:szCs w:val="24"/>
        </w:rPr>
        <w:t xml:space="preserve">, </w:t>
      </w:r>
      <w:r w:rsidRPr="00930237">
        <w:rPr>
          <w:color w:val="000000"/>
          <w:szCs w:val="24"/>
        </w:rPr>
        <w:t xml:space="preserve">lai novērtētu elektronisko sakaru tīklu infrastruktūras un elektronisko sakaru pakalpojumu kvalitātes atbilstību un finansējuma pieejamību </w:t>
      </w:r>
      <w:r w:rsidRPr="00930237">
        <w:rPr>
          <w:szCs w:val="24"/>
        </w:rPr>
        <w:t>ļoti augstas veiktspējas elektronisko sakaru tīklu attīstībai un</w:t>
      </w:r>
      <w:r w:rsidRPr="00930237">
        <w:rPr>
          <w:color w:val="000000"/>
          <w:szCs w:val="24"/>
        </w:rPr>
        <w:t xml:space="preserve">  </w:t>
      </w:r>
      <w:r w:rsidRPr="00930237">
        <w:rPr>
          <w:szCs w:val="24"/>
        </w:rPr>
        <w:t>digitālās plaisas mazināšanai starp pilsētām un lauku teritorijām.</w:t>
      </w:r>
    </w:p>
    <w:p w14:paraId="5E5C4B90" w14:textId="614F24DC" w:rsidR="00AC212B" w:rsidRPr="00930237" w:rsidRDefault="004A3BF5" w:rsidP="007545BD">
      <w:pPr>
        <w:numPr>
          <w:ilvl w:val="0"/>
          <w:numId w:val="60"/>
        </w:numPr>
        <w:spacing w:before="0" w:after="0"/>
        <w:ind w:left="567" w:hanging="567"/>
        <w:contextualSpacing/>
        <w:mirrorIndents/>
        <w:rPr>
          <w:bCs/>
          <w:szCs w:val="24"/>
        </w:rPr>
      </w:pPr>
      <w:r w:rsidRPr="00F27E10">
        <w:rPr>
          <w:szCs w:val="24"/>
        </w:rPr>
        <w:t>Lai attīstītu viedo transporta un satiksmes vadības sistēmu gar TEN-T autoceļiem un dzelzceļiem, būtiska ir infrastruktūra, t</w:t>
      </w:r>
      <w:r w:rsidR="009617F7">
        <w:rPr>
          <w:szCs w:val="24"/>
        </w:rPr>
        <w:t>.</w:t>
      </w:r>
      <w:r w:rsidRPr="00F27E10">
        <w:rPr>
          <w:szCs w:val="24"/>
        </w:rPr>
        <w:t>sk</w:t>
      </w:r>
      <w:r w:rsidR="009617F7">
        <w:rPr>
          <w:szCs w:val="24"/>
        </w:rPr>
        <w:t>.</w:t>
      </w:r>
      <w:r w:rsidRPr="00F27E10">
        <w:rPr>
          <w:szCs w:val="24"/>
        </w:rPr>
        <w:t xml:space="preserve"> elektroapgādes, kas nodrošina nepārtrauktu un viendabīgu pārrobežu 5G pārklājumu</w:t>
      </w:r>
      <w:r w:rsidRPr="00930237">
        <w:rPr>
          <w:rStyle w:val="FootnoteReference"/>
          <w:szCs w:val="24"/>
        </w:rPr>
        <w:footnoteReference w:id="31"/>
      </w:r>
      <w:r w:rsidRPr="00930237">
        <w:rPr>
          <w:szCs w:val="24"/>
        </w:rPr>
        <w:t xml:space="preserve">. </w:t>
      </w:r>
    </w:p>
    <w:p w14:paraId="15CBB76B" w14:textId="6203985B" w:rsidR="00AC212B" w:rsidRPr="00930237" w:rsidRDefault="006A3E1E" w:rsidP="007545BD">
      <w:pPr>
        <w:numPr>
          <w:ilvl w:val="0"/>
          <w:numId w:val="60"/>
        </w:numPr>
        <w:spacing w:before="0" w:after="0"/>
        <w:ind w:left="567" w:hanging="567"/>
        <w:contextualSpacing/>
        <w:mirrorIndents/>
        <w:rPr>
          <w:bCs/>
          <w:szCs w:val="24"/>
        </w:rPr>
      </w:pPr>
      <w:r w:rsidRPr="006A3E1E">
        <w:rPr>
          <w:szCs w:val="24"/>
        </w:rPr>
        <w:t>Attīstoties sakaru, transporta un enerģētikas digitalizācijai aizvien nozīmīgāks kļūst jautājums par digitālās vides un pakalpojumu drošību</w:t>
      </w:r>
      <w:r w:rsidR="00653805">
        <w:rPr>
          <w:szCs w:val="24"/>
        </w:rPr>
        <w:t>,</w:t>
      </w:r>
      <w:r w:rsidR="00653805" w:rsidRPr="00653805">
        <w:rPr>
          <w:szCs w:val="24"/>
        </w:rPr>
        <w:t xml:space="preserve"> līdz ar to turpināma kiberdrošības uzlabošana</w:t>
      </w:r>
      <w:r w:rsidR="00AC212B" w:rsidRPr="00930237">
        <w:rPr>
          <w:szCs w:val="24"/>
        </w:rPr>
        <w:t xml:space="preserve">. </w:t>
      </w:r>
    </w:p>
    <w:p w14:paraId="4348511F" w14:textId="1388A60D" w:rsidR="00AC212B" w:rsidRPr="00930237" w:rsidRDefault="00AC212B" w:rsidP="007545BD">
      <w:pPr>
        <w:pStyle w:val="ListParagraph"/>
        <w:numPr>
          <w:ilvl w:val="0"/>
          <w:numId w:val="60"/>
        </w:numPr>
        <w:spacing w:before="100" w:beforeAutospacing="1"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sz w:val="24"/>
          <w:szCs w:val="24"/>
        </w:rPr>
        <w:t>Ņemot vērā augstākminētos izaicinājumus investīcijas ir plānotas visos 3.politiskā mērķa SAM ietvaros piesaistot KF finansējumu</w:t>
      </w:r>
      <w:r w:rsidRPr="00930237">
        <w:rPr>
          <w:rFonts w:ascii="Times New Roman" w:hAnsi="Times New Roman" w:cs="Times New Roman"/>
          <w:bCs/>
          <w:noProof/>
          <w:sz w:val="24"/>
          <w:szCs w:val="24"/>
        </w:rPr>
        <w:t xml:space="preserve">. </w:t>
      </w:r>
    </w:p>
    <w:p w14:paraId="485CF684" w14:textId="77777777" w:rsidR="00AC212B" w:rsidRPr="00930237" w:rsidRDefault="00AC212B" w:rsidP="00AC212B">
      <w:pPr>
        <w:pStyle w:val="ListParagraph"/>
        <w:spacing w:before="100" w:beforeAutospacing="1" w:after="0" w:line="240" w:lineRule="auto"/>
        <w:ind w:left="567"/>
        <w:mirrorIndents/>
        <w:jc w:val="both"/>
        <w:rPr>
          <w:rFonts w:ascii="Times New Roman" w:hAnsi="Times New Roman" w:cs="Times New Roman"/>
          <w:bCs/>
          <w:noProof/>
          <w:sz w:val="24"/>
          <w:szCs w:val="24"/>
        </w:rPr>
      </w:pPr>
    </w:p>
    <w:p w14:paraId="316A0124" w14:textId="77777777" w:rsidR="00AC212B" w:rsidRPr="00930237" w:rsidRDefault="00AC212B" w:rsidP="002878D9">
      <w:pPr>
        <w:pStyle w:val="Heading3"/>
        <w:numPr>
          <w:ilvl w:val="1"/>
          <w:numId w:val="32"/>
        </w:numPr>
        <w:shd w:val="clear" w:color="auto" w:fill="FFF2CC" w:themeFill="accent4" w:themeFillTint="33"/>
        <w:spacing w:after="0"/>
        <w:rPr>
          <w:b/>
          <w:i w:val="0"/>
        </w:rPr>
      </w:pPr>
      <w:bookmarkStart w:id="12" w:name="_Toc69125404"/>
      <w:r w:rsidRPr="00930237">
        <w:rPr>
          <w:b/>
          <w:i w:val="0"/>
        </w:rPr>
        <w:t>Iedzīvotāju potenciāla pilna izmantošana</w:t>
      </w:r>
      <w:bookmarkEnd w:id="12"/>
    </w:p>
    <w:p w14:paraId="4ABA9E17" w14:textId="56014DA0"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color w:val="000000"/>
          <w:sz w:val="24"/>
          <w:szCs w:val="24"/>
        </w:rPr>
        <w:t xml:space="preserve">Ikgadējās valstu rekomendācijas aicina uzlabot veselības aprūpes sistēmas pieejamību, kvalitāti un izmaksu lietderību; stiprināt veselības sistēmas noturību, tostarp nodrošinot to ar papildu cilvēkresursiem un finanšu resursiem. </w:t>
      </w:r>
      <w:r w:rsidR="004909C3" w:rsidRPr="004909C3">
        <w:rPr>
          <w:rFonts w:ascii="Times New Roman" w:hAnsi="Times New Roman" w:cs="Times New Roman"/>
          <w:color w:val="000000"/>
          <w:sz w:val="24"/>
          <w:szCs w:val="24"/>
        </w:rPr>
        <w:t xml:space="preserve">Novērst sociālo atstumtību, kā arī uzlabot izglītības un apmācības kvalitāti un efektivitāti jo īpaši attiecībā uz mazkvalificētiem darba ņēmējiem un darba meklētājiem, tostarp palielinot līdzdalību profesionālajā izglītībā, apmācībā un pieaugušo izglītībā. </w:t>
      </w:r>
      <w:r w:rsidRPr="00930237">
        <w:rPr>
          <w:rFonts w:ascii="Times New Roman" w:hAnsi="Times New Roman" w:cs="Times New Roman"/>
          <w:color w:val="000000"/>
          <w:sz w:val="24"/>
          <w:szCs w:val="24"/>
        </w:rPr>
        <w:t xml:space="preserve">Mazināt krīzes ietekmi uz nodarbinātību, tostarp izmantojot elastīgu darba režīmu, aktīvos darba tirgus pasākumus un prasmju pilnveidošanu. Investīcijas aicināt fokusēt uz cenas ziņā pieejamu mājokļu piedāvājumu. Sociālā pīlāra ietvarā tiek izceltas </w:t>
      </w:r>
      <w:r w:rsidRPr="00930237">
        <w:rPr>
          <w:rFonts w:ascii="Times New Roman" w:hAnsi="Times New Roman" w:cs="Times New Roman"/>
          <w:sz w:val="24"/>
          <w:szCs w:val="24"/>
        </w:rPr>
        <w:t>nodarbinātības līmeņa atšķirības starp reģioniem un dažādu prasmju līmeņiem, ierobežota piekļuve sociālajiem mājokļiem. Kā pozitīvs elements atzīmējams vēsturiski augstākais nodarbinātības līmenis, nodarbinātības līmeņa atšķirība starp dzimumiem viena no zemākajām Eiropā.</w:t>
      </w:r>
    </w:p>
    <w:p w14:paraId="744FB44A" w14:textId="7C5701FB" w:rsidR="00AC212B" w:rsidRPr="003208C5"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6235AC">
        <w:rPr>
          <w:rFonts w:ascii="Times New Roman" w:hAnsi="Times New Roman" w:cs="Times New Roman"/>
          <w:b/>
          <w:bCs/>
          <w:sz w:val="24"/>
          <w:szCs w:val="24"/>
        </w:rPr>
        <w:t>Nabadzības</w:t>
      </w:r>
      <w:r w:rsidR="004909C3" w:rsidRPr="006235AC">
        <w:rPr>
          <w:rFonts w:ascii="Times New Roman" w:hAnsi="Times New Roman" w:cs="Times New Roman"/>
          <w:b/>
          <w:bCs/>
          <w:sz w:val="24"/>
          <w:szCs w:val="24"/>
        </w:rPr>
        <w:t>,</w:t>
      </w:r>
      <w:r w:rsidRPr="006235AC">
        <w:rPr>
          <w:rFonts w:ascii="Times New Roman" w:hAnsi="Times New Roman" w:cs="Times New Roman"/>
          <w:b/>
          <w:bCs/>
          <w:sz w:val="24"/>
          <w:szCs w:val="24"/>
        </w:rPr>
        <w:t xml:space="preserve"> ienākumu nevienlīdzības </w:t>
      </w:r>
      <w:r w:rsidR="004909C3" w:rsidRPr="006235AC">
        <w:rPr>
          <w:rFonts w:ascii="Times New Roman" w:hAnsi="Times New Roman" w:cs="Times New Roman"/>
          <w:b/>
          <w:bCs/>
          <w:sz w:val="24"/>
          <w:szCs w:val="24"/>
        </w:rPr>
        <w:t xml:space="preserve">un sociālās atstumtības </w:t>
      </w:r>
      <w:r w:rsidRPr="006235AC">
        <w:rPr>
          <w:rFonts w:ascii="Times New Roman" w:hAnsi="Times New Roman" w:cs="Times New Roman"/>
          <w:b/>
          <w:bCs/>
          <w:sz w:val="24"/>
          <w:szCs w:val="24"/>
        </w:rPr>
        <w:t>mazināšana</w:t>
      </w:r>
      <w:r w:rsidRPr="006235AC">
        <w:rPr>
          <w:rFonts w:ascii="Times New Roman" w:hAnsi="Times New Roman" w:cs="Times New Roman"/>
          <w:bCs/>
          <w:sz w:val="24"/>
          <w:szCs w:val="24"/>
        </w:rPr>
        <w:t xml:space="preserve"> </w:t>
      </w:r>
      <w:r w:rsidR="00601AA2" w:rsidRPr="006235AC">
        <w:rPr>
          <w:rFonts w:ascii="Times New Roman" w:hAnsi="Times New Roman" w:cs="Times New Roman"/>
          <w:bCs/>
          <w:sz w:val="24"/>
          <w:szCs w:val="24"/>
        </w:rPr>
        <w:t xml:space="preserve">ir </w:t>
      </w:r>
      <w:r w:rsidRPr="006235AC">
        <w:rPr>
          <w:rFonts w:ascii="Times New Roman" w:hAnsi="Times New Roman" w:cs="Times New Roman"/>
          <w:bCs/>
          <w:sz w:val="24"/>
          <w:szCs w:val="24"/>
        </w:rPr>
        <w:t xml:space="preserve">viens no lielākajiem izaicinājumiem šajā plānošanas periodā, lai </w:t>
      </w:r>
      <w:r w:rsidRPr="006235AC">
        <w:rPr>
          <w:rFonts w:ascii="Times New Roman" w:hAnsi="Times New Roman" w:cs="Times New Roman"/>
          <w:iCs/>
          <w:sz w:val="24"/>
          <w:szCs w:val="24"/>
        </w:rPr>
        <w:t>uzlabotu darbspējas vecuma cilvēku nodarbinātību un produktivitāti</w:t>
      </w:r>
      <w:r w:rsidR="004909C3" w:rsidRPr="006235AC">
        <w:rPr>
          <w:rFonts w:ascii="Times New Roman" w:hAnsi="Times New Roman" w:cs="Times New Roman"/>
          <w:iCs/>
          <w:sz w:val="24"/>
          <w:szCs w:val="24"/>
        </w:rPr>
        <w:t>,</w:t>
      </w:r>
      <w:r w:rsidR="00601AA2" w:rsidRPr="003208C5">
        <w:rPr>
          <w:rFonts w:ascii="Times New Roman" w:hAnsi="Times New Roman" w:cs="Times New Roman"/>
          <w:iCs/>
          <w:sz w:val="24"/>
          <w:szCs w:val="24"/>
        </w:rPr>
        <w:t xml:space="preserve"> veicinātu būtiskāko pakalpojumu pieejamību,</w:t>
      </w:r>
      <w:r w:rsidR="00601AA2" w:rsidRPr="003208C5">
        <w:rPr>
          <w:iCs/>
          <w:szCs w:val="24"/>
        </w:rPr>
        <w:t xml:space="preserve"> </w:t>
      </w:r>
      <w:r w:rsidR="004909C3" w:rsidRPr="006235AC">
        <w:rPr>
          <w:rFonts w:ascii="Times New Roman" w:hAnsi="Times New Roman" w:cs="Times New Roman"/>
          <w:iCs/>
          <w:sz w:val="24"/>
          <w:szCs w:val="24"/>
        </w:rPr>
        <w:t>vienlaikus nodrošinot nediskr</w:t>
      </w:r>
      <w:r w:rsidR="00620AE5" w:rsidRPr="006235AC">
        <w:rPr>
          <w:rFonts w:ascii="Times New Roman" w:hAnsi="Times New Roman" w:cs="Times New Roman"/>
          <w:iCs/>
          <w:sz w:val="24"/>
          <w:szCs w:val="24"/>
        </w:rPr>
        <w:t>iminācijas principu ievērošanu.</w:t>
      </w:r>
    </w:p>
    <w:p w14:paraId="30C47637" w14:textId="00C811C5" w:rsidR="00AC212B" w:rsidRPr="00930237" w:rsidRDefault="00D66538"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D857D0">
        <w:rPr>
          <w:rFonts w:ascii="Times New Roman" w:hAnsi="Times New Roman" w:cs="Times New Roman"/>
          <w:sz w:val="24"/>
          <w:szCs w:val="24"/>
        </w:rPr>
        <w:t xml:space="preserve">Nabadzības vai sociālās atstumtības riskam pakļauto iedzīvotāju īpatsvars Latvijā ir viens no augstākajiem ES, 2019.gadā – </w:t>
      </w:r>
      <w:r w:rsidR="00601AA2">
        <w:rPr>
          <w:rFonts w:ascii="Times New Roman" w:hAnsi="Times New Roman" w:cs="Times New Roman"/>
          <w:sz w:val="24"/>
          <w:szCs w:val="24"/>
        </w:rPr>
        <w:t>26</w:t>
      </w:r>
      <w:r w:rsidRPr="00D857D0">
        <w:rPr>
          <w:rFonts w:ascii="Times New Roman" w:hAnsi="Times New Roman" w:cs="Times New Roman"/>
          <w:sz w:val="24"/>
          <w:szCs w:val="24"/>
        </w:rPr>
        <w:t>%</w:t>
      </w:r>
      <w:r w:rsidR="00601AA2">
        <w:rPr>
          <w:rFonts w:ascii="Times New Roman" w:hAnsi="Times New Roman" w:cs="Times New Roman"/>
          <w:sz w:val="24"/>
          <w:szCs w:val="24"/>
        </w:rPr>
        <w:t>,</w:t>
      </w:r>
      <w:r w:rsidR="00601AA2" w:rsidRPr="00601AA2">
        <w:t xml:space="preserve"> </w:t>
      </w:r>
      <w:r w:rsidR="00601AA2" w:rsidRPr="00601AA2">
        <w:rPr>
          <w:rFonts w:ascii="Times New Roman" w:hAnsi="Times New Roman" w:cs="Times New Roman"/>
          <w:sz w:val="24"/>
          <w:szCs w:val="24"/>
        </w:rPr>
        <w:t xml:space="preserve">nabadzības riska indekss – 21,7%. Pēc vecuma un mājsaimniecības veida nabadzības riskam visvairāk pakļauti iedzīvotāji virs 65 gadu vecuma – 40,9%, īpaši tie, kuri dzīvo vieni – 71,7%, vienas personas mājsaimniecības – 49,1%, kā arī mājsaimniecības, kurās tikai viens no vecākiem audzina apgādībā esošos bērnus, 2019.gadā – 30,6%. </w:t>
      </w:r>
      <w:r w:rsidR="00AC212B" w:rsidRPr="00930237">
        <w:rPr>
          <w:rFonts w:ascii="Times New Roman" w:hAnsi="Times New Roman" w:cs="Times New Roman"/>
          <w:bCs/>
          <w:sz w:val="24"/>
          <w:szCs w:val="24"/>
        </w:rPr>
        <w:t>2019.gadā trūcīgas ģimenes (personas) statuss bija spēkā 10 349 bērniem, savukārt maznodrošinātas ģimenes (personas) statuss 6 512 bērniem.</w:t>
      </w:r>
    </w:p>
    <w:p w14:paraId="7BF7F537" w14:textId="04FAFCA0"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bCs/>
          <w:sz w:val="24"/>
          <w:szCs w:val="24"/>
        </w:rPr>
        <w:t>Nabadzības risk</w:t>
      </w:r>
      <w:r w:rsidR="00601AA2" w:rsidRPr="00601AA2">
        <w:rPr>
          <w:rFonts w:ascii="Times New Roman" w:hAnsi="Times New Roman" w:cs="Times New Roman"/>
          <w:bCs/>
          <w:sz w:val="24"/>
          <w:szCs w:val="24"/>
        </w:rPr>
        <w:t>u būtiski palielina arī bezdarbs, slikts veselības stāvoklis un zems izglītības līmenis. 2019.gadā augsts nabadzības risks bija bezdarbniekiem – 52,1%, personām ar invaliditāti – 37,6%, kā arī iedzīvotājiem, kuriem ir pirmsskolas, sākumskolas vai pamatskolas izglītība – 42,2%.</w:t>
      </w:r>
      <w:r w:rsidRPr="00930237">
        <w:rPr>
          <w:rFonts w:ascii="Times New Roman" w:hAnsi="Times New Roman" w:cs="Times New Roman"/>
          <w:bCs/>
          <w:sz w:val="24"/>
          <w:szCs w:val="24"/>
        </w:rPr>
        <w:t xml:space="preserve"> </w:t>
      </w:r>
    </w:p>
    <w:p w14:paraId="72874BFE" w14:textId="77777777"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sz w:val="24"/>
          <w:szCs w:val="24"/>
        </w:rPr>
        <w:t xml:space="preserve">Sociālās aizsardzības izdevumi Latvijā ir starp zemākajiem ES (2016.gadā – 15,2% no IKP; ES 28,2% no IKP), kas nespēj nodrošināt kvalitatīvu sociālo pakalpojumus mazāk aizsargātām sabiedrības grupām. </w:t>
      </w:r>
      <w:r w:rsidRPr="00930237">
        <w:rPr>
          <w:rFonts w:ascii="Times New Roman" w:eastAsia="Times New Roman" w:hAnsi="Times New Roman" w:cs="Times New Roman"/>
          <w:iCs/>
          <w:noProof/>
          <w:sz w:val="24"/>
          <w:szCs w:val="24"/>
          <w:lang w:eastAsia="en-US" w:bidi="ar-SA"/>
        </w:rPr>
        <w:t>Liela daļa mājsaimniecību saskaras ar grūtībām sociālo pakalpojumu pieejamībā  (2016.gadā – 7,9% iedzīvotāju) profesionālus sociālās aprūpes pakalpojumus neizmanto 37,9% finansiālu apsvērumu dēļ un 16,2%, jo aprūpes pakalpojumi nav pieejami.</w:t>
      </w:r>
    </w:p>
    <w:p w14:paraId="4B7B49C8" w14:textId="349A1A24"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930237">
        <w:rPr>
          <w:rFonts w:ascii="Times New Roman" w:eastAsia="Calibri" w:hAnsi="Times New Roman" w:cs="Times New Roman"/>
          <w:iCs/>
          <w:sz w:val="24"/>
          <w:szCs w:val="24"/>
        </w:rPr>
        <w:t xml:space="preserve">Latvijā trūkst </w:t>
      </w:r>
      <w:r w:rsidR="008778FD">
        <w:rPr>
          <w:rFonts w:ascii="Times New Roman" w:eastAsia="Calibri" w:hAnsi="Times New Roman" w:cs="Times New Roman"/>
          <w:iCs/>
          <w:sz w:val="24"/>
          <w:szCs w:val="24"/>
        </w:rPr>
        <w:t xml:space="preserve">adekvātu </w:t>
      </w:r>
      <w:r w:rsidRPr="00930237">
        <w:rPr>
          <w:rFonts w:ascii="Times New Roman" w:eastAsia="Calibri" w:hAnsi="Times New Roman" w:cs="Times New Roman"/>
          <w:iCs/>
          <w:sz w:val="24"/>
          <w:szCs w:val="24"/>
        </w:rPr>
        <w:t xml:space="preserve">sociālo mājokļu, kas </w:t>
      </w:r>
      <w:r w:rsidR="008778FD" w:rsidRPr="008778FD">
        <w:rPr>
          <w:rFonts w:ascii="Times New Roman" w:eastAsia="Calibri" w:hAnsi="Times New Roman" w:cs="Times New Roman"/>
          <w:iCs/>
          <w:sz w:val="24"/>
          <w:szCs w:val="24"/>
        </w:rPr>
        <w:t>nodrošina sociālo iekļaušanu un ir ar piekļuvi darbavietām, izglītības iestādēm un pakalpojumiem</w:t>
      </w:r>
      <w:r w:rsidR="008778FD">
        <w:rPr>
          <w:rFonts w:ascii="Times New Roman" w:eastAsia="Calibri" w:hAnsi="Times New Roman" w:cs="Times New Roman"/>
          <w:iCs/>
          <w:sz w:val="24"/>
          <w:szCs w:val="24"/>
        </w:rPr>
        <w:t>.</w:t>
      </w:r>
      <w:r w:rsidRPr="00930237">
        <w:rPr>
          <w:rFonts w:ascii="Times New Roman" w:eastAsia="Calibri" w:hAnsi="Times New Roman" w:cs="Times New Roman"/>
          <w:sz w:val="24"/>
          <w:szCs w:val="24"/>
        </w:rPr>
        <w:t xml:space="preserve"> </w:t>
      </w:r>
      <w:r w:rsidRPr="00930237">
        <w:rPr>
          <w:rFonts w:ascii="Times New Roman" w:eastAsia="Calibri" w:hAnsi="Times New Roman" w:cs="Times New Roman"/>
          <w:iCs/>
          <w:sz w:val="24"/>
          <w:szCs w:val="24"/>
        </w:rPr>
        <w:t>Sociālie mājokļi 2016.gadā veidoja tikai 0,4% no mājokļu fonda salīdzinājumā ar vidējo rādītāju ES – 8%.</w:t>
      </w:r>
    </w:p>
    <w:p w14:paraId="53CA56E5" w14:textId="77777777" w:rsidR="00AC212B" w:rsidRPr="00930237" w:rsidRDefault="00AC212B" w:rsidP="007545BD">
      <w:pPr>
        <w:pStyle w:val="ListParagraph"/>
        <w:numPr>
          <w:ilvl w:val="0"/>
          <w:numId w:val="60"/>
        </w:numPr>
        <w:spacing w:after="0" w:line="240" w:lineRule="auto"/>
        <w:ind w:left="567" w:hanging="567"/>
        <w:mirrorIndents/>
        <w:jc w:val="both"/>
        <w:rPr>
          <w:rFonts w:ascii="Times New Roman" w:eastAsia="Calibri" w:hAnsi="Times New Roman" w:cs="Times New Roman"/>
          <w:sz w:val="24"/>
          <w:szCs w:val="24"/>
        </w:rPr>
      </w:pPr>
      <w:r w:rsidRPr="00930237">
        <w:rPr>
          <w:rFonts w:ascii="Times New Roman" w:hAnsi="Times New Roman" w:cs="Times New Roman"/>
          <w:sz w:val="24"/>
          <w:szCs w:val="24"/>
        </w:rPr>
        <w:t xml:space="preserve">Personas ar invaliditāti un pirmspensijas vecumā esošas personas, kā arī jaunieši, kuri nemācās un nestrādā, saskaras ar paaugstinātu </w:t>
      </w:r>
      <w:r w:rsidRPr="00930237">
        <w:rPr>
          <w:rFonts w:ascii="Times New Roman" w:hAnsi="Times New Roman" w:cs="Times New Roman"/>
          <w:b/>
          <w:sz w:val="24"/>
          <w:szCs w:val="24"/>
        </w:rPr>
        <w:t>ilgstošā bezdarba risku</w:t>
      </w:r>
      <w:r w:rsidRPr="00930237">
        <w:rPr>
          <w:rFonts w:ascii="Times New Roman" w:hAnsi="Times New Roman" w:cs="Times New Roman"/>
          <w:sz w:val="24"/>
          <w:szCs w:val="24"/>
        </w:rPr>
        <w:t>, līdz ar to svarīgi pasākumi šo grupu atbalstam. Tāpat speciāli mērķēti atbalsta pasākumi bezdarba riska novēršanai un resocializācijai nepieciešami arī tām grupām, kas saskaras ar grūtībām sociālās atstumtības dēļ, kā piemēram, azartspēļu, narkotiku vai psihotropo vielu atkarīgās personas un bijušie ieslodzītie.</w:t>
      </w:r>
    </w:p>
    <w:p w14:paraId="147475D9" w14:textId="7C76CA9E"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6235AC">
        <w:rPr>
          <w:rFonts w:ascii="Times New Roman" w:eastAsia="Times New Roman" w:hAnsi="Times New Roman" w:cs="Times New Roman"/>
          <w:iCs/>
          <w:color w:val="000000" w:themeColor="text1"/>
          <w:sz w:val="24"/>
          <w:szCs w:val="24"/>
        </w:rPr>
        <w:t xml:space="preserve">Latvija saskaras ar virkni būtiskiem izaicinājumiem </w:t>
      </w:r>
      <w:r w:rsidRPr="006235AC">
        <w:rPr>
          <w:rFonts w:ascii="Times New Roman" w:eastAsia="Times New Roman" w:hAnsi="Times New Roman" w:cs="Times New Roman"/>
          <w:b/>
          <w:iCs/>
          <w:color w:val="000000" w:themeColor="text1"/>
          <w:sz w:val="24"/>
          <w:szCs w:val="24"/>
        </w:rPr>
        <w:t>veselības jomā</w:t>
      </w:r>
      <w:r w:rsidRPr="006235AC">
        <w:rPr>
          <w:rFonts w:ascii="Times New Roman" w:eastAsia="Times New Roman" w:hAnsi="Times New Roman" w:cs="Times New Roman"/>
          <w:iCs/>
          <w:color w:val="000000" w:themeColor="text1"/>
          <w:sz w:val="24"/>
          <w:szCs w:val="24"/>
        </w:rPr>
        <w:t>.</w:t>
      </w:r>
      <w:r w:rsidRPr="00930237">
        <w:rPr>
          <w:rFonts w:ascii="Times New Roman" w:eastAsia="Times New Roman" w:hAnsi="Times New Roman" w:cs="Times New Roman"/>
          <w:iCs/>
          <w:color w:val="000000" w:themeColor="text1"/>
          <w:sz w:val="24"/>
          <w:szCs w:val="24"/>
        </w:rPr>
        <w:t xml:space="preserve"> 2018.gadā Latvijā</w:t>
      </w:r>
      <w:r w:rsidRPr="00930237">
        <w:rPr>
          <w:rFonts w:ascii="Times New Roman" w:eastAsia="Times New Roman" w:hAnsi="Times New Roman" w:cs="Times New Roman"/>
          <w:color w:val="000000" w:themeColor="text1"/>
          <w:sz w:val="24"/>
          <w:szCs w:val="24"/>
        </w:rPr>
        <w:t xml:space="preserve"> neapmierinātās vajadzības pēc veselības aprūpes pakalpojumiem bija 6,1%, kamēr vidēji Eiropā šis rādītājs ir 1,8%</w:t>
      </w:r>
      <w:r w:rsidRPr="00930237">
        <w:rPr>
          <w:rStyle w:val="CommentReference"/>
          <w:rFonts w:ascii="Times New Roman" w:eastAsia="Times New Roman" w:hAnsi="Times New Roman" w:cs="Times New Roman"/>
          <w:color w:val="000000" w:themeColor="text1"/>
          <w:sz w:val="24"/>
          <w:szCs w:val="24"/>
          <w:vertAlign w:val="superscript"/>
        </w:rPr>
        <w:footnoteReference w:id="32"/>
      </w:r>
      <w:r w:rsidRPr="00930237">
        <w:rPr>
          <w:rFonts w:ascii="Times New Roman" w:eastAsia="Times New Roman" w:hAnsi="Times New Roman" w:cs="Times New Roman"/>
          <w:color w:val="000000" w:themeColor="text1"/>
          <w:sz w:val="24"/>
          <w:szCs w:val="24"/>
        </w:rPr>
        <w:t>, arī</w:t>
      </w:r>
      <w:r w:rsidRPr="00930237">
        <w:rPr>
          <w:rFonts w:ascii="Times New Roman" w:hAnsi="Times New Roman" w:cs="Times New Roman"/>
          <w:sz w:val="24"/>
          <w:szCs w:val="24"/>
        </w:rPr>
        <w:t xml:space="preserve"> veselības aprūpes kvalitātes rādītāji vieni no zemākajiem ES un 2017.gadā bija otrs augstākais profilaktiski novēršamo un trešais augstākais medicīniski novēršamo nāves gadījumu skaits ES</w:t>
      </w:r>
      <w:r w:rsidRPr="00930237">
        <w:rPr>
          <w:rStyle w:val="FootnoteReference"/>
          <w:rFonts w:ascii="Times New Roman" w:hAnsi="Times New Roman" w:cs="Times New Roman"/>
          <w:sz w:val="24"/>
          <w:szCs w:val="24"/>
        </w:rPr>
        <w:footnoteReference w:id="33"/>
      </w:r>
      <w:r w:rsidRPr="00930237">
        <w:rPr>
          <w:rFonts w:ascii="Times New Roman" w:hAnsi="Times New Roman" w:cs="Times New Roman"/>
          <w:sz w:val="24"/>
          <w:szCs w:val="24"/>
        </w:rPr>
        <w:t>.</w:t>
      </w:r>
      <w:r w:rsidRPr="00930237">
        <w:rPr>
          <w:rFonts w:ascii="Times New Roman" w:eastAsia="Times New Roman" w:hAnsi="Times New Roman" w:cs="Times New Roman"/>
          <w:iCs/>
          <w:noProof/>
          <w:sz w:val="24"/>
          <w:szCs w:val="24"/>
        </w:rPr>
        <w:t xml:space="preserve"> </w:t>
      </w:r>
      <w:r w:rsidRPr="00930237">
        <w:rPr>
          <w:rFonts w:ascii="Times New Roman" w:eastAsia="Times New Roman" w:hAnsi="Times New Roman"/>
          <w:iCs/>
          <w:noProof/>
          <w:sz w:val="24"/>
          <w:szCs w:val="24"/>
        </w:rPr>
        <w:t>Lai uzlabotu situāciju</w:t>
      </w:r>
      <w:r w:rsidRPr="00930237">
        <w:rPr>
          <w:rFonts w:ascii="Times New Roman" w:eastAsia="Times New Roman" w:hAnsi="Times New Roman"/>
          <w:iCs/>
          <w:color w:val="000000" w:themeColor="text1"/>
          <w:sz w:val="24"/>
          <w:szCs w:val="24"/>
        </w:rPr>
        <w:t xml:space="preserve">, </w:t>
      </w:r>
      <w:r w:rsidRPr="006235AC">
        <w:rPr>
          <w:rFonts w:ascii="Times New Roman" w:eastAsia="Times New Roman" w:hAnsi="Times New Roman"/>
          <w:iCs/>
          <w:color w:val="000000" w:themeColor="text1"/>
          <w:sz w:val="24"/>
          <w:szCs w:val="24"/>
        </w:rPr>
        <w:t xml:space="preserve">būtisks izaicinājums ir </w:t>
      </w:r>
      <w:r w:rsidRPr="006235AC">
        <w:rPr>
          <w:rFonts w:ascii="Times New Roman" w:eastAsia="Times New Roman" w:hAnsi="Times New Roman"/>
          <w:bCs/>
          <w:iCs/>
          <w:color w:val="000000" w:themeColor="text1"/>
          <w:sz w:val="24"/>
          <w:szCs w:val="24"/>
        </w:rPr>
        <w:t>kvalitatīvu un savlaicīgu veselības aprūpes</w:t>
      </w:r>
      <w:r w:rsidRPr="006235AC">
        <w:rPr>
          <w:rFonts w:ascii="Times New Roman" w:eastAsia="Times New Roman" w:hAnsi="Times New Roman"/>
          <w:iCs/>
          <w:color w:val="000000" w:themeColor="text1"/>
          <w:sz w:val="24"/>
          <w:szCs w:val="24"/>
        </w:rPr>
        <w:t xml:space="preserve"> </w:t>
      </w:r>
      <w:r w:rsidRPr="006235AC">
        <w:rPr>
          <w:rFonts w:ascii="Times New Roman" w:eastAsia="Times New Roman" w:hAnsi="Times New Roman"/>
          <w:bCs/>
          <w:iCs/>
          <w:color w:val="000000" w:themeColor="text1"/>
          <w:sz w:val="24"/>
          <w:szCs w:val="24"/>
        </w:rPr>
        <w:t>pakalpojumu pieejamības uzlabošana visiem Latvijas iedzīvotājiem</w:t>
      </w:r>
      <w:r w:rsidRPr="006235AC">
        <w:rPr>
          <w:rFonts w:ascii="Times New Roman" w:eastAsia="Times New Roman" w:hAnsi="Times New Roman"/>
          <w:iCs/>
          <w:color w:val="000000" w:themeColor="text1"/>
          <w:sz w:val="24"/>
          <w:szCs w:val="24"/>
        </w:rPr>
        <w:t xml:space="preserve">, </w:t>
      </w:r>
      <w:r w:rsidRPr="006235AC">
        <w:rPr>
          <w:rFonts w:ascii="Times New Roman" w:hAnsi="Times New Roman" w:cs="Times New Roman"/>
          <w:sz w:val="24"/>
          <w:szCs w:val="24"/>
        </w:rPr>
        <w:t>atbilstoši iedzīvotāju izvietojumam un pakalpojumu pieprasījumam</w:t>
      </w:r>
      <w:r w:rsidRPr="003208C5">
        <w:rPr>
          <w:rFonts w:ascii="Times New Roman" w:eastAsia="Times New Roman" w:hAnsi="Times New Roman"/>
          <w:iCs/>
          <w:color w:val="000000" w:themeColor="text1"/>
          <w:sz w:val="24"/>
          <w:szCs w:val="24"/>
        </w:rPr>
        <w:t>,</w:t>
      </w:r>
      <w:r w:rsidR="0075172A" w:rsidRPr="003208C5">
        <w:rPr>
          <w:rFonts w:ascii="Times New Roman" w:hAnsi="Times New Roman" w:cs="Times New Roman"/>
          <w:sz w:val="24"/>
          <w:szCs w:val="24"/>
        </w:rPr>
        <w:t xml:space="preserve"> ņemot</w:t>
      </w:r>
      <w:r w:rsidR="0075172A">
        <w:rPr>
          <w:rFonts w:ascii="Times New Roman" w:hAnsi="Times New Roman" w:cs="Times New Roman"/>
          <w:sz w:val="24"/>
          <w:szCs w:val="24"/>
        </w:rPr>
        <w:t xml:space="preserve"> vērā kartējumu, pamatojoties uz 2014.-2020.gada plānošanas perioda ietvaros veikto Pasaules Bankas veselības tīklu attīstības vadlīnijām, Sabiedrības veselības pamatnostādnēm 2021.-20207.gadam un veselības aprūpes pakalpojumu organizēšanas un finansēšanas kārtību,</w:t>
      </w:r>
      <w:r w:rsidR="0075172A" w:rsidRPr="00930237">
        <w:rPr>
          <w:rFonts w:ascii="Times New Roman" w:eastAsia="Times New Roman" w:hAnsi="Times New Roman"/>
          <w:bCs/>
          <w:iCs/>
          <w:color w:val="000000" w:themeColor="text1"/>
          <w:sz w:val="24"/>
          <w:szCs w:val="24"/>
        </w:rPr>
        <w:t xml:space="preserve"> </w:t>
      </w:r>
      <w:r w:rsidRPr="00930237">
        <w:rPr>
          <w:rFonts w:ascii="Times New Roman" w:eastAsia="Times New Roman" w:hAnsi="Times New Roman"/>
          <w:bCs/>
          <w:iCs/>
          <w:color w:val="000000" w:themeColor="text1"/>
          <w:sz w:val="24"/>
          <w:szCs w:val="24"/>
        </w:rPr>
        <w:t>t.sk. nodrošinot nepieciešamos resursus un</w:t>
      </w:r>
      <w:r w:rsidRPr="00930237">
        <w:rPr>
          <w:rFonts w:ascii="Times New Roman" w:eastAsia="Times New Roman" w:hAnsi="Times New Roman"/>
          <w:iCs/>
          <w:color w:val="000000" w:themeColor="text1"/>
          <w:sz w:val="24"/>
          <w:szCs w:val="24"/>
        </w:rPr>
        <w:t xml:space="preserve"> </w:t>
      </w:r>
      <w:r w:rsidRPr="00930237">
        <w:rPr>
          <w:rFonts w:ascii="Times New Roman" w:hAnsi="Times New Roman" w:cs="Times New Roman"/>
          <w:bCs/>
          <w:sz w:val="24"/>
          <w:szCs w:val="24"/>
        </w:rPr>
        <w:t>mūsdienīgu, drošu visu līmeņu veselības aprūpes infrastruktūru.</w:t>
      </w:r>
    </w:p>
    <w:p w14:paraId="52D9B376" w14:textId="74481835"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930237">
        <w:rPr>
          <w:rFonts w:ascii="Times New Roman" w:eastAsia="Times New Roman" w:hAnsi="Times New Roman" w:cs="Times New Roman"/>
          <w:iCs/>
          <w:noProof/>
          <w:sz w:val="24"/>
          <w:szCs w:val="24"/>
          <w:lang w:eastAsia="en-US" w:bidi="ar-SA"/>
        </w:rPr>
        <w:t xml:space="preserve">Esošais ārstniecības personu nodrošinājums ir nepietiekams visās ārstniecības personu grupās, 33% ārstu un 28% zobārstu jau ir vai pēc 7 gadiem būs pensijas vecumā, radot nopietnu apdraudējumu veselības aprūpes pakalpojumu nodrošināšanai. Tiek prognozēts, ka līdz 2025.gadam veidosies ap 3050 māsu iztrūkums. 2017.gadā uz </w:t>
      </w:r>
      <w:r w:rsidRPr="00930237">
        <w:rPr>
          <w:rFonts w:ascii="Times New Roman" w:eastAsia="Times New Roman" w:hAnsi="Times New Roman" w:cs="Times New Roman"/>
          <w:iCs/>
          <w:noProof/>
          <w:sz w:val="24"/>
          <w:szCs w:val="24"/>
          <w:lang w:eastAsia="en-US" w:bidi="ar-SA"/>
        </w:rPr>
        <w:br/>
        <w:t>100 000 iedzīvotajiem bija 320,5 ārstu, tikmēr ES vidēji – 363,6.</w:t>
      </w:r>
    </w:p>
    <w:p w14:paraId="04C6A776" w14:textId="77777777"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color w:val="000000"/>
          <w:sz w:val="24"/>
          <w:szCs w:val="24"/>
        </w:rPr>
        <w:t>Neinfekcijas slimības ir galvenais nāves cēlonis arī Latvijā – no visiem nāves cēloņiem 55% ir sirds un asinsvadu slimības (SAS), otrs biežākais nāves cēlonis Latvijā – onkoloģiskās slimības.</w:t>
      </w:r>
      <w:r w:rsidRPr="00930237">
        <w:rPr>
          <w:rFonts w:ascii="Times New Roman" w:hAnsi="Times New Roman" w:cs="Times New Roman"/>
          <w:color w:val="000000"/>
          <w:sz w:val="24"/>
          <w:szCs w:val="24"/>
          <w:vertAlign w:val="superscript"/>
        </w:rPr>
        <w:t>33</w:t>
      </w:r>
      <w:r w:rsidRPr="00930237">
        <w:rPr>
          <w:rFonts w:ascii="Times New Roman" w:hAnsi="Times New Roman" w:cs="Times New Roman"/>
          <w:color w:val="000000"/>
          <w:sz w:val="24"/>
          <w:szCs w:val="24"/>
        </w:rPr>
        <w:t> Būtiska loma neinfekcijas slimību izplatībā ir ar dzīvesveidu saistītiem riska faktoriem, piemēram kā neveselīgam uzturam, mazkustīgam dzīvesveidam, smēķēšanai, alkohola, narkotiku un psihotropo vielu lietošanai, kā arī aizraušanās ar atkarību izraisošajiem procesiem un dažādām modernām tehnoloģijām.  </w:t>
      </w:r>
    </w:p>
    <w:p w14:paraId="54131B6E" w14:textId="3C60CE52"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sz w:val="24"/>
          <w:szCs w:val="24"/>
        </w:rPr>
        <w:t>2014.–2020.gada plānošanas periodā veikti veselības veicināšanas pasākumi, kur uzlabojušies rādītāji, cita starpā, pēdējo gadu laikā Latvijā samazinājušies potenciāli  zaudētie mūža gadi</w:t>
      </w:r>
      <w:r w:rsidRPr="00930237">
        <w:rPr>
          <w:rStyle w:val="FootnoteReference"/>
          <w:rFonts w:ascii="Times New Roman" w:hAnsi="Times New Roman" w:cs="Times New Roman"/>
          <w:sz w:val="24"/>
          <w:szCs w:val="24"/>
        </w:rPr>
        <w:footnoteReference w:id="34"/>
      </w:r>
      <w:r w:rsidRPr="00930237">
        <w:rPr>
          <w:rFonts w:ascii="Times New Roman" w:hAnsi="Times New Roman" w:cs="Times New Roman"/>
          <w:sz w:val="24"/>
          <w:szCs w:val="24"/>
        </w:rPr>
        <w:t>; pēdējo 3 gadu laikā smēķētāju skaits samazinājies par 9%.Veselības veicināšanas pasākumiem uz sabiedrības veselību ir ilgtermiņa ietekme, t.sk. uz nodarbinātību, tādēļ svarīgi turpināt uzsākto, lai nodrošinātu būtiskus sabiedrības veselības rādītāju uzlabojumus</w:t>
      </w:r>
      <w:r w:rsidR="00E200DD" w:rsidRPr="00930237">
        <w:rPr>
          <w:rFonts w:ascii="Times New Roman" w:hAnsi="Times New Roman" w:cs="Times New Roman"/>
          <w:sz w:val="24"/>
          <w:szCs w:val="24"/>
        </w:rPr>
        <w:t>, uzlabotu dzīves kvalitāti un darba spējas</w:t>
      </w:r>
      <w:r w:rsidRPr="00930237">
        <w:rPr>
          <w:rFonts w:ascii="Times New Roman" w:hAnsi="Times New Roman" w:cs="Times New Roman"/>
          <w:sz w:val="24"/>
          <w:szCs w:val="24"/>
        </w:rPr>
        <w:t>, paildzinātu dzīvildzi un veselīgo mūža gadu skaitu.</w:t>
      </w:r>
    </w:p>
    <w:p w14:paraId="7C102253" w14:textId="0882E2C5" w:rsidR="00AC212B" w:rsidRPr="00930237" w:rsidRDefault="00AC212B" w:rsidP="007545BD">
      <w:pPr>
        <w:pStyle w:val="ListParagraph"/>
        <w:numPr>
          <w:ilvl w:val="0"/>
          <w:numId w:val="60"/>
        </w:numPr>
        <w:spacing w:after="0" w:line="240" w:lineRule="auto"/>
        <w:ind w:left="567" w:hanging="567"/>
        <w:mirrorIndents/>
        <w:jc w:val="both"/>
        <w:rPr>
          <w:rFonts w:ascii="Times New Roman" w:eastAsia="Calibri" w:hAnsi="Times New Roman" w:cs="Times New Roman"/>
          <w:sz w:val="24"/>
          <w:szCs w:val="24"/>
        </w:rPr>
      </w:pPr>
      <w:r w:rsidRPr="006235AC">
        <w:rPr>
          <w:rFonts w:ascii="Times New Roman" w:eastAsia="Calibri" w:hAnsi="Times New Roman" w:cs="Times New Roman"/>
          <w:sz w:val="24"/>
          <w:szCs w:val="24"/>
        </w:rPr>
        <w:t xml:space="preserve">Līdztekus nodarbinātības veicināšanai un mērķētam atbalstam </w:t>
      </w:r>
      <w:r w:rsidR="008778FD" w:rsidRPr="008778FD">
        <w:rPr>
          <w:rFonts w:ascii="Times New Roman" w:eastAsia="Calibri" w:hAnsi="Times New Roman" w:cs="Times New Roman"/>
          <w:sz w:val="24"/>
          <w:szCs w:val="24"/>
        </w:rPr>
        <w:t>sociālajai iekļaušanai un dažādu sociālo grupu integrācijai darba tirgū, nepieciešams nodrošināt visiem vienlīdzīgu piekļuvi tiesai. Tiesu pieejamība, tās efektivitāte un korupcijas izplatības mazināšana, t.sk valsts un starptautiskajā līmenī, stiprina iedzīvotāju un starptautiskas sabiedrības uzticēšanos Latvijas tiesībaizsardzības sistēmai, kā arī īsteno ANO Ilgtspējīgas attīstības mērķi Nr. 16.3.</w:t>
      </w:r>
    </w:p>
    <w:p w14:paraId="1201C26A" w14:textId="7A7D972A" w:rsidR="00AC212B" w:rsidRPr="00930237" w:rsidRDefault="00AC212B" w:rsidP="007545BD">
      <w:pPr>
        <w:pStyle w:val="Default"/>
        <w:numPr>
          <w:ilvl w:val="0"/>
          <w:numId w:val="60"/>
        </w:numPr>
        <w:spacing w:after="0" w:line="240" w:lineRule="auto"/>
        <w:ind w:left="567" w:hanging="567"/>
        <w:mirrorIndents/>
        <w:jc w:val="both"/>
        <w:rPr>
          <w:rFonts w:eastAsia="Calibri"/>
        </w:rPr>
      </w:pPr>
      <w:r w:rsidRPr="00930237">
        <w:t>Latvijā sociālo partneru iesaiste reformu un politiku veidošanā ir labi nostādīta, tomēr</w:t>
      </w:r>
      <w:r w:rsidR="006434E0">
        <w:t xml:space="preserve"> </w:t>
      </w:r>
      <w:r w:rsidR="006434E0" w:rsidRPr="006434E0">
        <w:t>dialogs ar pilsonisko sabiedrību vēl ir jāspēcina, tāpat kā sociālo partneru un pilsoniskā dialoga īstenotāju ierobežotā kapacitāte, kas</w:t>
      </w:r>
      <w:r w:rsidRPr="00930237">
        <w:t xml:space="preserve"> neļauj jēgpilni un savlaicīgi nodrošināt nepieciešamo iesaisti. Vienlaikus, lai veicinātu </w:t>
      </w:r>
      <w:r w:rsidRPr="00930237">
        <w:rPr>
          <w:b/>
        </w:rPr>
        <w:t>pilsonisko līdzdalību</w:t>
      </w:r>
      <w:r w:rsidRPr="00930237">
        <w:t>, jārisina jautājumi, kas skar pašu sabiedrību, tā piemēram, Latvijas iedzīvotāji ir mazaktīvi pilsoniskajā līdzdalībā un sociālais dialogs ir vāji attīstīts. Pilsoniskās līdzdalības rādītājs Latvijā  zems.</w:t>
      </w:r>
      <w:r w:rsidRPr="00930237">
        <w:rPr>
          <w:rStyle w:val="FootnoteReference"/>
        </w:rPr>
        <w:footnoteReference w:id="35"/>
      </w:r>
      <w:r w:rsidRPr="00930237">
        <w:t xml:space="preserve">  Būtisks šķērslis trešo valstu pilsoņu līdzdalībai aktīvai sabiedriskajai darbībai pastāvīgo iedzīvotāju veidotās organizācijās un aktivitātēs ir nepietiekamas latviešu valodas zināšanas, kas primāri negatīvi ietekmē informācijas pieejamību par līdzdalības iespējām</w:t>
      </w:r>
      <w:r w:rsidRPr="00930237">
        <w:rPr>
          <w:rStyle w:val="FootnoteReference"/>
        </w:rPr>
        <w:footnoteReference w:id="36"/>
      </w:r>
      <w:r w:rsidRPr="00930237">
        <w:t xml:space="preserve">. </w:t>
      </w:r>
    </w:p>
    <w:p w14:paraId="688C2483" w14:textId="7D5EEB76" w:rsidR="00AC212B" w:rsidRPr="00930237" w:rsidRDefault="008778FD" w:rsidP="007545BD">
      <w:pPr>
        <w:pStyle w:val="Default"/>
        <w:numPr>
          <w:ilvl w:val="0"/>
          <w:numId w:val="60"/>
        </w:numPr>
        <w:spacing w:after="0" w:line="240" w:lineRule="auto"/>
        <w:ind w:left="567" w:hanging="567"/>
        <w:mirrorIndents/>
        <w:jc w:val="both"/>
        <w:rPr>
          <w:rFonts w:eastAsia="Calibri"/>
        </w:rPr>
      </w:pPr>
      <w:r w:rsidRPr="007323C7">
        <w:t>Sociālo iekļaušanu un saliedētu sabiedrību stiprina iesaiste kultūras aktivitātēs.</w:t>
      </w:r>
      <w:r w:rsidRPr="008778FD">
        <w:rPr>
          <w:b/>
        </w:rPr>
        <w:t xml:space="preserve"> </w:t>
      </w:r>
      <w:r w:rsidR="00AC212B" w:rsidRPr="00930237">
        <w:rPr>
          <w:b/>
        </w:rPr>
        <w:t>Kultūras patēriņa</w:t>
      </w:r>
      <w:r w:rsidR="00AC212B" w:rsidRPr="00930237">
        <w:t xml:space="preserve"> un līdzdalības ietekmes pētījuma</w:t>
      </w:r>
      <w:r w:rsidR="00AC212B" w:rsidRPr="00930237">
        <w:rPr>
          <w:rStyle w:val="FootnoteReference"/>
        </w:rPr>
        <w:footnoteReference w:id="37"/>
      </w:r>
      <w:r w:rsidR="00AC212B" w:rsidRPr="00930237">
        <w:t xml:space="preserve"> ietvaros secināts, ka kultūras patēriņā mazaktīvi biežāk ir 55-74 gadīgie, ar zemiem ienākumiem, laukos dzīvojošie, cittautieši un tie, kas dzīvo vieni, kam ir arī plašāka sociālā nozīme – noteiktas iedzīvotāju sociāli demogrāfiskās grupas kultūras pieejamībā tiek arvien vairāk marginalizētas, to kultūras patēriņam arvien samazinoties un/vai aizstājoties ar viegli pieejamiem izklaides produktiem. </w:t>
      </w:r>
    </w:p>
    <w:p w14:paraId="6361A4C8" w14:textId="2C06FEC1" w:rsidR="00AC212B" w:rsidRPr="00930237" w:rsidRDefault="00AC212B" w:rsidP="007545BD">
      <w:pPr>
        <w:pStyle w:val="Default"/>
        <w:numPr>
          <w:ilvl w:val="0"/>
          <w:numId w:val="60"/>
        </w:numPr>
        <w:spacing w:after="0" w:line="240" w:lineRule="auto"/>
        <w:ind w:left="567" w:hanging="567"/>
        <w:mirrorIndents/>
        <w:jc w:val="both"/>
        <w:rPr>
          <w:rFonts w:eastAsia="Calibri"/>
        </w:rPr>
      </w:pPr>
      <w:r w:rsidRPr="00930237">
        <w:rPr>
          <w:rFonts w:eastAsia="Calibri"/>
        </w:rPr>
        <w:t>Pieejamie dati norāda, ka COVID-19 pandēmijas rezultātā noteikto ceļojuma ierobežojumu rezultātā nopietni ietekmēti reģioni, kur kultūras un tūrisma nozares sniedz nozīmīgu ieguldījumu reģionālajā ekonomikā. Būtiski saglabāt un attīstīt Latvijas kultūras kapitālu un veicināt piederības izjūtu Latvijas kultūras telpai, attīstot sabiedrības radošumā balstītu konkurētspējīgu nacionālo identitāti un veidojot Latvijā kvalitatīvu kultūrvidi, t</w:t>
      </w:r>
      <w:r w:rsidR="00F65811">
        <w:rPr>
          <w:rFonts w:eastAsia="Calibri"/>
        </w:rPr>
        <w:t>.</w:t>
      </w:r>
      <w:r w:rsidRPr="00930237">
        <w:rPr>
          <w:rFonts w:eastAsia="Calibri"/>
        </w:rPr>
        <w:t>sk</w:t>
      </w:r>
      <w:r w:rsidR="00F65811">
        <w:rPr>
          <w:rFonts w:eastAsia="Calibri"/>
        </w:rPr>
        <w:t>.</w:t>
      </w:r>
      <w:r w:rsidRPr="00930237">
        <w:rPr>
          <w:rFonts w:eastAsia="Calibri"/>
        </w:rPr>
        <w:t xml:space="preserve"> kultūras mantojuma potenciāla izmantošana radošā tūrisma attīstīšanai.</w:t>
      </w:r>
    </w:p>
    <w:p w14:paraId="33FB7BC7" w14:textId="38CCCB80" w:rsidR="00AC212B" w:rsidRPr="00930237" w:rsidRDefault="00AC212B" w:rsidP="007545BD">
      <w:pPr>
        <w:pStyle w:val="Default"/>
        <w:numPr>
          <w:ilvl w:val="0"/>
          <w:numId w:val="60"/>
        </w:numPr>
        <w:spacing w:after="0" w:line="240" w:lineRule="auto"/>
        <w:ind w:left="567" w:hanging="567"/>
        <w:mirrorIndents/>
        <w:jc w:val="both"/>
        <w:rPr>
          <w:rFonts w:eastAsia="Calibri"/>
        </w:rPr>
      </w:pPr>
      <w:r w:rsidRPr="00930237">
        <w:t xml:space="preserve">Lai risinātu augstāk minētos izaicinājumus investīcijas plānotas 4.3.1., 4.3.3., 4.1.1., 4.1.2., 4.1.3., </w:t>
      </w:r>
      <w:r w:rsidR="00E200DD" w:rsidRPr="00930237">
        <w:t xml:space="preserve">4.2.4., </w:t>
      </w:r>
      <w:r w:rsidRPr="00930237">
        <w:t>4.3.2., 4.3.4., 4.3.5. un 4.3.6.SAM investīciju prioritātēs paredzot ERAF un ESF+ investīcijas.</w:t>
      </w:r>
    </w:p>
    <w:p w14:paraId="51C84314" w14:textId="6ACDDA71"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bCs/>
          <w:noProof/>
          <w:sz w:val="24"/>
          <w:szCs w:val="24"/>
        </w:rPr>
        <w:t xml:space="preserve">Plānotos ieguldījumus pamato Sociālās aizsardzības un darba tirgus politikas pamatnostādnēs 2021.–2027.gadam </w:t>
      </w:r>
      <w:r w:rsidRPr="00930237">
        <w:rPr>
          <w:rFonts w:ascii="Times New Roman" w:hAnsi="Times New Roman" w:cs="Times New Roman"/>
          <w:bCs/>
          <w:i/>
          <w:iCs/>
          <w:noProof/>
          <w:sz w:val="24"/>
          <w:szCs w:val="24"/>
        </w:rPr>
        <w:t>(izstrādes stadijā)</w:t>
      </w:r>
      <w:r w:rsidRPr="00930237">
        <w:rPr>
          <w:rFonts w:ascii="Times New Roman" w:hAnsi="Times New Roman" w:cs="Times New Roman"/>
          <w:sz w:val="24"/>
          <w:szCs w:val="24"/>
        </w:rPr>
        <w:t xml:space="preserve">, </w:t>
      </w:r>
      <w:r w:rsidRPr="00930237">
        <w:rPr>
          <w:rFonts w:ascii="Times New Roman" w:hAnsi="Times New Roman" w:cs="Times New Roman"/>
          <w:bCs/>
          <w:noProof/>
          <w:sz w:val="24"/>
          <w:szCs w:val="24"/>
        </w:rPr>
        <w:t xml:space="preserve">Bērnu, jaunatnes un ģimenes attīstības pamatnostādnēs 2021.–2027.gadam </w:t>
      </w:r>
      <w:r w:rsidRPr="00930237">
        <w:rPr>
          <w:rFonts w:ascii="Times New Roman" w:hAnsi="Times New Roman" w:cs="Times New Roman"/>
          <w:bCs/>
          <w:i/>
          <w:iCs/>
          <w:noProof/>
          <w:sz w:val="24"/>
          <w:szCs w:val="24"/>
        </w:rPr>
        <w:t>(izstrādes stadijā)</w:t>
      </w:r>
      <w:r w:rsidRPr="00930237">
        <w:rPr>
          <w:rFonts w:ascii="Times New Roman" w:hAnsi="Times New Roman" w:cs="Times New Roman"/>
          <w:bCs/>
          <w:noProof/>
          <w:sz w:val="24"/>
          <w:szCs w:val="24"/>
        </w:rPr>
        <w:t xml:space="preserve">, </w:t>
      </w:r>
      <w:r w:rsidRPr="00930237">
        <w:rPr>
          <w:rFonts w:ascii="Times New Roman" w:hAnsi="Times New Roman" w:cs="Times New Roman"/>
          <w:bCs/>
          <w:color w:val="000000"/>
          <w:sz w:val="24"/>
          <w:szCs w:val="24"/>
        </w:rPr>
        <w:t xml:space="preserve">Sabiedrības veselības pamatnostādnēs 2021.–2027.gadam </w:t>
      </w:r>
      <w:r w:rsidRPr="00930237">
        <w:rPr>
          <w:rFonts w:ascii="Times New Roman" w:hAnsi="Times New Roman" w:cs="Times New Roman"/>
          <w:bCs/>
          <w:i/>
          <w:color w:val="000000"/>
          <w:sz w:val="24"/>
          <w:szCs w:val="24"/>
        </w:rPr>
        <w:t>(izstrādes stadijā)</w:t>
      </w:r>
      <w:r w:rsidRPr="00930237">
        <w:rPr>
          <w:rFonts w:ascii="Times New Roman" w:hAnsi="Times New Roman" w:cs="Times New Roman"/>
          <w:bCs/>
          <w:color w:val="000000"/>
          <w:sz w:val="24"/>
          <w:szCs w:val="24"/>
        </w:rPr>
        <w:t xml:space="preserve"> un </w:t>
      </w:r>
      <w:r w:rsidRPr="00930237">
        <w:rPr>
          <w:rFonts w:ascii="Times New Roman" w:hAnsi="Times New Roman" w:cs="Times New Roman"/>
          <w:sz w:val="24"/>
          <w:szCs w:val="24"/>
        </w:rPr>
        <w:t xml:space="preserve">Resocializācijas </w:t>
      </w:r>
      <w:r w:rsidR="001122BA">
        <w:rPr>
          <w:rFonts w:ascii="Times New Roman" w:hAnsi="Times New Roman" w:cs="Times New Roman"/>
          <w:sz w:val="24"/>
          <w:szCs w:val="24"/>
        </w:rPr>
        <w:t xml:space="preserve">politikas </w:t>
      </w:r>
      <w:r w:rsidRPr="00930237">
        <w:rPr>
          <w:rFonts w:ascii="Times New Roman" w:hAnsi="Times New Roman" w:cs="Times New Roman"/>
          <w:sz w:val="24"/>
          <w:szCs w:val="24"/>
        </w:rPr>
        <w:t xml:space="preserve">pamatnostādnēs 2021.–2027.gadam </w:t>
      </w:r>
      <w:r w:rsidRPr="00930237">
        <w:rPr>
          <w:rFonts w:ascii="Times New Roman" w:hAnsi="Times New Roman" w:cs="Times New Roman"/>
          <w:i/>
          <w:sz w:val="24"/>
          <w:szCs w:val="24"/>
        </w:rPr>
        <w:t>(izstrādes stadijā</w:t>
      </w:r>
      <w:r w:rsidR="00577449" w:rsidRPr="00930237">
        <w:rPr>
          <w:rFonts w:ascii="Times New Roman" w:hAnsi="Times New Roman" w:cs="Times New Roman"/>
          <w:i/>
          <w:sz w:val="24"/>
          <w:szCs w:val="24"/>
        </w:rPr>
        <w:t>)</w:t>
      </w:r>
      <w:r w:rsidRPr="00930237">
        <w:rPr>
          <w:rFonts w:ascii="Times New Roman" w:hAnsi="Times New Roman" w:cs="Times New Roman"/>
          <w:sz w:val="24"/>
          <w:szCs w:val="24"/>
        </w:rPr>
        <w:t xml:space="preserve"> un attiecīgo pamatnostādņu īstenošanas plānā</w:t>
      </w:r>
      <w:r w:rsidRPr="00930237">
        <w:rPr>
          <w:rFonts w:ascii="Times New Roman" w:hAnsi="Times New Roman" w:cs="Times New Roman"/>
          <w:bCs/>
          <w:noProof/>
          <w:sz w:val="24"/>
          <w:szCs w:val="24"/>
        </w:rPr>
        <w:t xml:space="preserve"> ietvertie mērķi, pasākumi un plānotie rezultāti. </w:t>
      </w:r>
    </w:p>
    <w:p w14:paraId="0AC2428A" w14:textId="77777777" w:rsidR="00AC212B" w:rsidRPr="00930237" w:rsidRDefault="00AC212B" w:rsidP="00AC212B">
      <w:pPr>
        <w:pStyle w:val="ListParagraph"/>
        <w:spacing w:before="100" w:beforeAutospacing="1" w:after="0" w:line="240" w:lineRule="auto"/>
        <w:ind w:left="567"/>
        <w:mirrorIndents/>
        <w:jc w:val="both"/>
        <w:rPr>
          <w:rFonts w:ascii="Times New Roman" w:hAnsi="Times New Roman" w:cs="Times New Roman"/>
          <w:sz w:val="24"/>
          <w:szCs w:val="24"/>
        </w:rPr>
      </w:pPr>
    </w:p>
    <w:p w14:paraId="597F6DAA" w14:textId="13480892" w:rsidR="00AC212B" w:rsidRPr="00930237" w:rsidRDefault="00AC212B" w:rsidP="007545BD">
      <w:pPr>
        <w:pStyle w:val="Heading3"/>
        <w:numPr>
          <w:ilvl w:val="1"/>
          <w:numId w:val="57"/>
        </w:numPr>
        <w:shd w:val="clear" w:color="auto" w:fill="FFF2CC" w:themeFill="accent4" w:themeFillTint="33"/>
        <w:spacing w:after="0"/>
        <w:ind w:left="284"/>
        <w:rPr>
          <w:b/>
          <w:i w:val="0"/>
        </w:rPr>
      </w:pPr>
      <w:bookmarkStart w:id="13" w:name="_Toc69125405"/>
      <w:r w:rsidRPr="00930237">
        <w:rPr>
          <w:b/>
          <w:i w:val="0"/>
        </w:rPr>
        <w:t>Integrēti risinājumu demogrāfijas un reģionālo attīstības atšķirību izaicinājumiem</w:t>
      </w:r>
      <w:bookmarkEnd w:id="13"/>
    </w:p>
    <w:p w14:paraId="089F022E" w14:textId="61DBD0B4" w:rsidR="00AC212B" w:rsidRPr="007A4BC9" w:rsidRDefault="006B6684"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Pr>
          <w:rFonts w:ascii="Times New Roman" w:hAnsi="Times New Roman" w:cs="Times New Roman"/>
          <w:sz w:val="24"/>
          <w:szCs w:val="24"/>
        </w:rPr>
        <w:t xml:space="preserve">Iedzīvotāju skaita samazināšanās Latvijā </w:t>
      </w:r>
      <w:r w:rsidR="00AC212B" w:rsidRPr="00930237">
        <w:rPr>
          <w:rFonts w:ascii="Times New Roman" w:hAnsi="Times New Roman" w:cs="Times New Roman"/>
          <w:sz w:val="24"/>
          <w:szCs w:val="24"/>
        </w:rPr>
        <w:t xml:space="preserve">radīs izaicinājumus ekonomikas attīstībai, samazinoties darbaspēka pieejamībai, kā arī veselības un sociālai sistēmai, būtiski palielinoties pensijas vecumā esošo iedzīvotāju proporcijai sabiedrībā. </w:t>
      </w:r>
      <w:r w:rsidR="00AC212B" w:rsidRPr="003208C5">
        <w:rPr>
          <w:rFonts w:ascii="Times New Roman" w:hAnsi="Times New Roman" w:cs="Times New Roman"/>
          <w:sz w:val="24"/>
          <w:szCs w:val="24"/>
        </w:rPr>
        <w:t>Iedzīvotāju skaita izmaiņas pēdējos 10 gados būtiski atšķiras reģionāli – Pierīgas statistiskajā reģionā samazinājums ir tikai par 1%, kamēr Latgales statistiskajā reģionā iedzīvotāju skaits krities par 20%.</w:t>
      </w:r>
      <w:r w:rsidR="00AC212B" w:rsidRPr="003208C5">
        <w:rPr>
          <w:rStyle w:val="FootnoteReference"/>
          <w:rFonts w:ascii="Times New Roman" w:hAnsi="Times New Roman" w:cs="Times New Roman"/>
          <w:sz w:val="24"/>
          <w:szCs w:val="24"/>
        </w:rPr>
        <w:footnoteReference w:id="38"/>
      </w:r>
      <w:r w:rsidR="00AC212B" w:rsidRPr="003208C5">
        <w:rPr>
          <w:rFonts w:ascii="Times New Roman" w:hAnsi="Times New Roman" w:cs="Times New Roman"/>
          <w:sz w:val="24"/>
          <w:szCs w:val="24"/>
        </w:rPr>
        <w:t xml:space="preserve"> </w:t>
      </w:r>
    </w:p>
    <w:p w14:paraId="57235602" w14:textId="77F0C1A4"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3208C5">
        <w:rPr>
          <w:rFonts w:ascii="Times New Roman" w:hAnsi="Times New Roman" w:cs="Times New Roman"/>
          <w:sz w:val="24"/>
          <w:szCs w:val="24"/>
        </w:rPr>
        <w:t>Šos izaicinājumus plānots risināt Administratīvi teritoriālās reformas ieviešanas gaitā</w:t>
      </w:r>
      <w:r w:rsidR="00BE572F" w:rsidRPr="003208C5">
        <w:rPr>
          <w:rFonts w:ascii="Times New Roman" w:hAnsi="Times New Roman" w:cs="Times New Roman"/>
          <w:sz w:val="24"/>
          <w:szCs w:val="24"/>
        </w:rPr>
        <w:t>.</w:t>
      </w:r>
    </w:p>
    <w:p w14:paraId="01A76685" w14:textId="21D8E033" w:rsidR="00AC212B" w:rsidRPr="007A4BC9"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 xml:space="preserve">Latvijai ir jārod savi specifiski risinājumi, lai uzlabotu reģionos dzīvojošo iedzīvotāju dzīves kvalitāti un uzņēmējdarbības vidi. </w:t>
      </w:r>
      <w:r w:rsidRPr="00930237">
        <w:rPr>
          <w:rFonts w:ascii="Times New Roman" w:hAnsi="Times New Roman" w:cs="Times New Roman"/>
          <w:sz w:val="24"/>
          <w:szCs w:val="24"/>
          <w:lang w:eastAsia="en-US" w:bidi="ar-SA"/>
        </w:rPr>
        <w:t xml:space="preserve">Latvija plāno ilgtspējīgas pilsētu attīstības īstenošanai </w:t>
      </w:r>
      <w:r w:rsidRPr="00930237">
        <w:rPr>
          <w:rFonts w:ascii="Times New Roman" w:hAnsi="Times New Roman" w:cs="Times New Roman"/>
          <w:sz w:val="24"/>
          <w:szCs w:val="24"/>
        </w:rPr>
        <w:t xml:space="preserve">izmantot funkcionālo teritoriju </w:t>
      </w:r>
      <w:r w:rsidRPr="007A4BC9">
        <w:rPr>
          <w:rFonts w:ascii="Times New Roman" w:hAnsi="Times New Roman" w:cs="Times New Roman"/>
          <w:sz w:val="24"/>
          <w:szCs w:val="24"/>
        </w:rPr>
        <w:t>pieeju</w:t>
      </w:r>
      <w:r w:rsidRPr="003208C5">
        <w:rPr>
          <w:rFonts w:ascii="Times New Roman" w:hAnsi="Times New Roman" w:cs="Times New Roman"/>
          <w:sz w:val="24"/>
          <w:szCs w:val="24"/>
        </w:rPr>
        <w:t>.</w:t>
      </w:r>
      <w:r w:rsidRPr="003208C5">
        <w:rPr>
          <w:rFonts w:ascii="Times New Roman" w:hAnsi="Times New Roman" w:cs="Times New Roman"/>
          <w:sz w:val="24"/>
          <w:szCs w:val="24"/>
          <w:lang w:eastAsia="en-US" w:bidi="ar-SA"/>
        </w:rPr>
        <w:t xml:space="preserve"> </w:t>
      </w:r>
      <w:r w:rsidRPr="003208C5">
        <w:rPr>
          <w:rFonts w:ascii="Times New Roman" w:hAnsi="Times New Roman" w:cs="Times New Roman"/>
          <w:noProof/>
          <w:sz w:val="24"/>
          <w:szCs w:val="24"/>
        </w:rPr>
        <w:t>Ieguldījumus reģionu attīstībai plānots ieviest, balstoties uz integrētajām teritoriju attīstības stratēģijām – piecām plānošanas reģionu attīstības programmām</w:t>
      </w:r>
      <w:r w:rsidRPr="003208C5">
        <w:rPr>
          <w:rFonts w:ascii="Times New Roman" w:hAnsi="Times New Roman" w:cs="Times New Roman"/>
          <w:noProof/>
          <w:sz w:val="24"/>
          <w:szCs w:val="24"/>
          <w:vertAlign w:val="superscript"/>
        </w:rPr>
        <w:footnoteReference w:id="39"/>
      </w:r>
      <w:r w:rsidRPr="003208C5">
        <w:rPr>
          <w:rFonts w:ascii="Times New Roman" w:hAnsi="Times New Roman" w:cs="Times New Roman"/>
          <w:noProof/>
          <w:sz w:val="24"/>
          <w:szCs w:val="24"/>
        </w:rPr>
        <w:t xml:space="preserve"> un tām pakārtotām vietējo pašvaldību attīstības programmām</w:t>
      </w:r>
      <w:r w:rsidRPr="007A4BC9">
        <w:rPr>
          <w:rFonts w:ascii="Times New Roman" w:hAnsi="Times New Roman" w:cs="Times New Roman"/>
          <w:noProof/>
          <w:sz w:val="24"/>
          <w:szCs w:val="24"/>
        </w:rPr>
        <w:t xml:space="preserve">. </w:t>
      </w:r>
    </w:p>
    <w:p w14:paraId="781E70D7" w14:textId="352FB87F" w:rsidR="00B961B5" w:rsidRPr="007A4BC9" w:rsidRDefault="00B961B5"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3208C5">
        <w:rPr>
          <w:rFonts w:ascii="Times New Roman" w:hAnsi="Times New Roman" w:cs="Times New Roman"/>
          <w:sz w:val="24"/>
          <w:szCs w:val="24"/>
        </w:rPr>
        <w:t>Atbilstoši Attīstības plānošanas sistēmas likumam pašvaldības attīstības programma tiek izstrādāta, ievērojot līdzdalības principu — visām ieinteresētajām personām ir iespēja līdzdarboties attīstības plānošanas dokumenta izstrādē</w:t>
      </w:r>
      <w:r w:rsidRPr="007A4BC9">
        <w:rPr>
          <w:rFonts w:ascii="Times New Roman" w:hAnsi="Times New Roman" w:cs="Times New Roman"/>
          <w:sz w:val="24"/>
          <w:szCs w:val="24"/>
        </w:rPr>
        <w:t xml:space="preserve">. </w:t>
      </w:r>
      <w:r w:rsidR="005F6135" w:rsidRPr="007A4BC9">
        <w:rPr>
          <w:rFonts w:ascii="Times New Roman" w:hAnsi="Times New Roman" w:cs="Times New Roman"/>
          <w:sz w:val="24"/>
          <w:szCs w:val="24"/>
        </w:rPr>
        <w:t>Pašvaldības visā attīstības programmas izstrādes procesā organizē regulāras sabiedrīb</w:t>
      </w:r>
      <w:r w:rsidR="005F6135" w:rsidRPr="00AF1798">
        <w:rPr>
          <w:rFonts w:ascii="Times New Roman" w:hAnsi="Times New Roman" w:cs="Times New Roman"/>
          <w:sz w:val="24"/>
          <w:szCs w:val="24"/>
        </w:rPr>
        <w:t xml:space="preserve">as iesaistes aktivitātes, iesaistot formālās un neformālās sabiedrības grupas, kā arī fiziskas personas. Izstrādājot attīstības programmu, pašvaldība noskaidro sabiedrības viedokli par teritorijas izaicinājumiem un nepieciešamajiem risinājumiem, kā arī organizē sabiedrības līdzdalību teritorijas attīstības plānošanā. </w:t>
      </w:r>
      <w:r w:rsidRPr="00AF1798">
        <w:rPr>
          <w:rFonts w:ascii="Times New Roman" w:hAnsi="Times New Roman" w:cs="Times New Roman"/>
          <w:sz w:val="24"/>
          <w:szCs w:val="24"/>
        </w:rPr>
        <w:t xml:space="preserve">Tāpat atbilstoši Teritorijas attīstības plānošanas likumam teritorijas attīstības plānošanā </w:t>
      </w:r>
      <w:r w:rsidRPr="006235AC">
        <w:rPr>
          <w:rFonts w:ascii="Times New Roman" w:hAnsi="Times New Roman" w:cs="Times New Roman"/>
          <w:sz w:val="24"/>
          <w:szCs w:val="24"/>
        </w:rPr>
        <w:t>tiek ievērots atklātības princips — teritorijas attīstības plānošanā un dokumentu izstrādē iesaista sabiedrību un nodrošina informācijas un lēmumu pieņemšanas atklātumu</w:t>
      </w:r>
      <w:r w:rsidRPr="007A4BC9">
        <w:rPr>
          <w:rFonts w:ascii="Times New Roman" w:hAnsi="Times New Roman" w:cs="Times New Roman"/>
          <w:sz w:val="24"/>
          <w:szCs w:val="24"/>
        </w:rPr>
        <w:t>.</w:t>
      </w:r>
    </w:p>
    <w:p w14:paraId="0E149CFD" w14:textId="77777777"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AF1798">
        <w:rPr>
          <w:rFonts w:ascii="Times New Roman" w:hAnsi="Times New Roman" w:cs="Times New Roman"/>
          <w:sz w:val="24"/>
          <w:szCs w:val="24"/>
        </w:rPr>
        <w:t>Gan reģionālo atšķirību, gan demogrāfisko</w:t>
      </w:r>
      <w:r w:rsidRPr="00930237">
        <w:rPr>
          <w:rFonts w:ascii="Times New Roman" w:hAnsi="Times New Roman" w:cs="Times New Roman"/>
          <w:sz w:val="24"/>
          <w:szCs w:val="24"/>
        </w:rPr>
        <w:t xml:space="preserve"> izaicinājumu risināšanai ir nepieciešami integrēti un pārnozaru risinājumi, tāpēc tie ir integrēti visās politiku jomās.</w:t>
      </w:r>
    </w:p>
    <w:p w14:paraId="47D750E1" w14:textId="77777777" w:rsidR="00AC212B" w:rsidRPr="00930237" w:rsidRDefault="00AC212B" w:rsidP="00AC212B">
      <w:pPr>
        <w:spacing w:before="0" w:after="0"/>
        <w:mirrorIndents/>
        <w:rPr>
          <w:b/>
          <w:szCs w:val="24"/>
        </w:rPr>
      </w:pPr>
    </w:p>
    <w:p w14:paraId="2A46AB35" w14:textId="77777777" w:rsidR="00AC212B" w:rsidRPr="00930237" w:rsidRDefault="00AC212B" w:rsidP="007545BD">
      <w:pPr>
        <w:pStyle w:val="Heading3"/>
        <w:numPr>
          <w:ilvl w:val="1"/>
          <w:numId w:val="58"/>
        </w:numPr>
        <w:shd w:val="clear" w:color="auto" w:fill="FFF2CC" w:themeFill="accent4" w:themeFillTint="33"/>
        <w:spacing w:after="0"/>
        <w:ind w:left="426" w:hanging="426"/>
        <w:rPr>
          <w:b/>
          <w:i w:val="0"/>
        </w:rPr>
      </w:pPr>
      <w:bookmarkStart w:id="14" w:name="_Toc69125406"/>
      <w:r w:rsidRPr="00930237">
        <w:rPr>
          <w:b/>
          <w:i w:val="0"/>
        </w:rPr>
        <w:t>Izaicinājumi administratīvajai kapacitātei, labai pārvaldībai un vienkāršošanai</w:t>
      </w:r>
      <w:bookmarkEnd w:id="14"/>
    </w:p>
    <w:p w14:paraId="7422DBC7" w14:textId="787FEF1B"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color w:val="000000"/>
          <w:sz w:val="24"/>
          <w:szCs w:val="24"/>
        </w:rPr>
      </w:pPr>
      <w:r w:rsidRPr="00930237">
        <w:rPr>
          <w:rFonts w:ascii="Times New Roman" w:hAnsi="Times New Roman" w:cs="Times New Roman"/>
          <w:color w:val="000000"/>
          <w:sz w:val="24"/>
          <w:szCs w:val="24"/>
        </w:rPr>
        <w:t>Ikgadējās valsts rekomendācijas aicina stiprināt valsts pārvaldes pārskata</w:t>
      </w:r>
      <w:r w:rsidR="00FE1506">
        <w:rPr>
          <w:rFonts w:ascii="Times New Roman" w:hAnsi="Times New Roman" w:cs="Times New Roman"/>
          <w:color w:val="000000"/>
          <w:sz w:val="24"/>
          <w:szCs w:val="24"/>
        </w:rPr>
        <w:t xml:space="preserve"> a</w:t>
      </w:r>
      <w:r w:rsidRPr="00930237">
        <w:rPr>
          <w:rFonts w:ascii="Times New Roman" w:hAnsi="Times New Roman" w:cs="Times New Roman"/>
          <w:color w:val="000000"/>
          <w:sz w:val="24"/>
          <w:szCs w:val="24"/>
        </w:rPr>
        <w:t>tbildību un efektivitāti, it īpaši attiecībā uz pašvaldībām un valsts un pašvaldību uzņēmumiem.</w:t>
      </w:r>
      <w:r w:rsidR="00B60079" w:rsidRPr="00B60079">
        <w:t xml:space="preserve"> </w:t>
      </w:r>
      <w:r w:rsidR="00B60079" w:rsidRPr="00B60079">
        <w:rPr>
          <w:rFonts w:ascii="Times New Roman" w:hAnsi="Times New Roman" w:cs="Times New Roman"/>
          <w:color w:val="000000"/>
          <w:sz w:val="24"/>
          <w:szCs w:val="24"/>
        </w:rPr>
        <w:t>Tāpat nepieciešama vispārējas uzticības valsts pārvaldei, kā arī paļāvības uz valsts iestāžu darbību atbilstoši labai pārvaldībai stiprināšana, it īpaši uzņēmēju vidū.</w:t>
      </w:r>
    </w:p>
    <w:p w14:paraId="78566517" w14:textId="5F570606"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color w:val="000000"/>
          <w:sz w:val="24"/>
          <w:szCs w:val="24"/>
        </w:rPr>
      </w:pPr>
      <w:r w:rsidRPr="00930237">
        <w:rPr>
          <w:rFonts w:ascii="Times New Roman" w:hAnsi="Times New Roman" w:cs="Times New Roman"/>
          <w:sz w:val="24"/>
          <w:szCs w:val="24"/>
        </w:rPr>
        <w:t xml:space="preserve">Latvija ir saskārusies ar apjomīgu projektu kavēšanos un sadārdzinājumiem, it īpaši transporta un veselības </w:t>
      </w:r>
      <w:r w:rsidR="00FC0007" w:rsidRPr="00930237">
        <w:rPr>
          <w:rFonts w:ascii="Times New Roman" w:hAnsi="Times New Roman" w:cs="Times New Roman"/>
          <w:sz w:val="24"/>
          <w:szCs w:val="24"/>
        </w:rPr>
        <w:t>jom</w:t>
      </w:r>
      <w:r w:rsidR="00FC0007">
        <w:rPr>
          <w:rFonts w:ascii="Times New Roman" w:hAnsi="Times New Roman" w:cs="Times New Roman"/>
          <w:sz w:val="24"/>
          <w:szCs w:val="24"/>
        </w:rPr>
        <w:t>a</w:t>
      </w:r>
      <w:r w:rsidR="00FC0007" w:rsidRPr="00930237">
        <w:rPr>
          <w:rFonts w:ascii="Times New Roman" w:hAnsi="Times New Roman" w:cs="Times New Roman"/>
          <w:sz w:val="24"/>
          <w:szCs w:val="24"/>
        </w:rPr>
        <w:t>s</w:t>
      </w:r>
      <w:r w:rsidR="00FC0007">
        <w:rPr>
          <w:rFonts w:ascii="Times New Roman" w:hAnsi="Times New Roman" w:cs="Times New Roman"/>
          <w:sz w:val="24"/>
          <w:szCs w:val="24"/>
        </w:rPr>
        <w:t xml:space="preserve"> projektos</w:t>
      </w:r>
      <w:r w:rsidRPr="00930237">
        <w:rPr>
          <w:rFonts w:ascii="Times New Roman" w:hAnsi="Times New Roman" w:cs="Times New Roman"/>
          <w:sz w:val="24"/>
          <w:szCs w:val="24"/>
        </w:rPr>
        <w:t xml:space="preserve">. Tāpat vairāku valsts pārvaldes IKT projektu izstrādē un īstenošanā ir konstatētas problēmas saistībā ar sistēmu efektivitāti un atbilstošu funkcionalitāti, kas ir būtiski pagarinājis projektu ieviešanas termiņus. </w:t>
      </w:r>
      <w:r w:rsidR="004F5E0F" w:rsidRPr="004F5E0F">
        <w:rPr>
          <w:rFonts w:ascii="Times New Roman" w:hAnsi="Times New Roman" w:cs="Times New Roman"/>
          <w:sz w:val="24"/>
          <w:szCs w:val="24"/>
        </w:rPr>
        <w:t>Pašvaldību e-vides digitalizācija ir maz attīstīta un līdz šim nav bijusi iespēja to īstenot efektīvi</w:t>
      </w:r>
      <w:r w:rsidR="004F5E0F">
        <w:rPr>
          <w:rFonts w:ascii="Times New Roman" w:hAnsi="Times New Roman" w:cs="Times New Roman"/>
          <w:sz w:val="24"/>
          <w:szCs w:val="24"/>
        </w:rPr>
        <w:t>.</w:t>
      </w:r>
    </w:p>
    <w:p w14:paraId="257110AE" w14:textId="12740BA4"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color w:val="000000"/>
          <w:sz w:val="24"/>
          <w:szCs w:val="24"/>
        </w:rPr>
      </w:pPr>
      <w:r w:rsidRPr="00930237">
        <w:rPr>
          <w:rFonts w:ascii="Times New Roman" w:hAnsi="Times New Roman" w:cs="Times New Roman"/>
          <w:sz w:val="24"/>
          <w:szCs w:val="24"/>
        </w:rPr>
        <w:t xml:space="preserve">Tāpat ir novērojams būtiskas atšķirības pašvaldību kapacitātē veidot un īstenot attīstības </w:t>
      </w:r>
      <w:r w:rsidR="004E6451">
        <w:rPr>
          <w:rFonts w:ascii="Times New Roman" w:hAnsi="Times New Roman" w:cs="Times New Roman"/>
          <w:sz w:val="24"/>
          <w:szCs w:val="24"/>
        </w:rPr>
        <w:t xml:space="preserve">plānošanas dokumentus atbilstoši mūsdienu izaicinājumiem (piem., klimata pārmaiņas, digitalizācija, viedie risinājumi u.c.) sasaistē ar budžetu, </w:t>
      </w:r>
      <w:r w:rsidRPr="00930237">
        <w:rPr>
          <w:rFonts w:ascii="Times New Roman" w:hAnsi="Times New Roman" w:cs="Times New Roman"/>
          <w:sz w:val="24"/>
          <w:szCs w:val="24"/>
        </w:rPr>
        <w:t>nodrošināt kvalitatīvus sociālos un publiskos pakalpojumus</w:t>
      </w:r>
      <w:r w:rsidR="004E6451">
        <w:rPr>
          <w:rFonts w:ascii="Times New Roman" w:hAnsi="Times New Roman" w:cs="Times New Roman"/>
          <w:sz w:val="24"/>
          <w:szCs w:val="24"/>
        </w:rPr>
        <w:t>, iesaistīt sabiedrību teritorijas attīstībā utml</w:t>
      </w:r>
      <w:r w:rsidRPr="00930237">
        <w:rPr>
          <w:rFonts w:ascii="Times New Roman" w:hAnsi="Times New Roman" w:cs="Times New Roman"/>
          <w:sz w:val="24"/>
          <w:szCs w:val="24"/>
        </w:rPr>
        <w:t>. Uz attīstības plānošanas kapacitātes celšanas nepieciešamību norāda Valsts kontroles revīzija – pašvaldībās nereti nav to funkcijām atbilstoši speciālisti</w:t>
      </w:r>
      <w:r w:rsidRPr="00930237">
        <w:rPr>
          <w:rStyle w:val="FootnoteReference"/>
          <w:rFonts w:ascii="Times New Roman" w:hAnsi="Times New Roman" w:cs="Times New Roman"/>
          <w:sz w:val="24"/>
          <w:szCs w:val="24"/>
        </w:rPr>
        <w:footnoteReference w:id="40"/>
      </w:r>
      <w:r w:rsidRPr="00930237">
        <w:rPr>
          <w:rFonts w:ascii="Times New Roman" w:hAnsi="Times New Roman" w:cs="Times New Roman"/>
          <w:b/>
          <w:sz w:val="24"/>
          <w:szCs w:val="24"/>
        </w:rPr>
        <w:t xml:space="preserve">. </w:t>
      </w:r>
    </w:p>
    <w:p w14:paraId="7D999748" w14:textId="7AB785BD" w:rsidR="00AC212B" w:rsidRPr="00930237" w:rsidRDefault="00AC212B" w:rsidP="007545BD">
      <w:pPr>
        <w:pStyle w:val="li"/>
        <w:numPr>
          <w:ilvl w:val="0"/>
          <w:numId w:val="60"/>
        </w:numPr>
        <w:ind w:left="567" w:hanging="567"/>
        <w:mirrorIndents/>
        <w:rPr>
          <w:color w:val="000000"/>
          <w:lang w:val="lv-LV"/>
        </w:rPr>
      </w:pPr>
      <w:r w:rsidRPr="00930237">
        <w:rPr>
          <w:color w:val="000000"/>
          <w:lang w:val="lv-LV"/>
        </w:rPr>
        <w:t xml:space="preserve">Lai risinātu augstākminētos izaicinājumus, </w:t>
      </w:r>
      <w:r w:rsidR="006434E0" w:rsidRPr="006434E0">
        <w:rPr>
          <w:color w:val="000000"/>
          <w:lang w:val="lv-LV"/>
        </w:rPr>
        <w:t>VK sadarbībā ar FM</w:t>
      </w:r>
      <w:r w:rsidR="001B067E">
        <w:rPr>
          <w:color w:val="000000"/>
          <w:lang w:val="lv-LV"/>
        </w:rPr>
        <w:t xml:space="preserve"> un VARAM</w:t>
      </w:r>
      <w:r w:rsidR="006434E0" w:rsidRPr="006434E0">
        <w:rPr>
          <w:color w:val="000000"/>
          <w:lang w:val="lv-LV"/>
        </w:rPr>
        <w:t xml:space="preserve"> izstrādās administratīvās kapacitātes stiprināšanas ceļa karti Kohēzijas politikas efektīvai īstenošanai, aptverot nozīmīgākās mērķa grupas – finansējuma saņēmējus, publiskās pārvaldes iestādes, vadības un kontroles sistēmas dalībniekus, ES fondu uzraudzības komitejas pārstāvjus, nevalstiskās organizācijas un sadarbības partnerus. Investīcijas plānots atb</w:t>
      </w:r>
      <w:r w:rsidR="00893AEB">
        <w:rPr>
          <w:color w:val="000000"/>
          <w:lang w:val="lv-LV"/>
        </w:rPr>
        <w:t>alstīt, piemēram, 5.1.1.</w:t>
      </w:r>
      <w:r w:rsidR="006434E0" w:rsidRPr="006434E0">
        <w:rPr>
          <w:color w:val="000000"/>
          <w:lang w:val="lv-LV"/>
        </w:rPr>
        <w:t xml:space="preserve">, 1.3.1. </w:t>
      </w:r>
      <w:r w:rsidR="00893AEB">
        <w:rPr>
          <w:color w:val="000000"/>
          <w:lang w:val="lv-LV"/>
        </w:rPr>
        <w:t>un 6.1.1.</w:t>
      </w:r>
      <w:r w:rsidR="006434E0" w:rsidRPr="006434E0">
        <w:rPr>
          <w:color w:val="000000"/>
          <w:lang w:val="lv-LV"/>
        </w:rPr>
        <w:t>SAM un cit</w:t>
      </w:r>
      <w:r w:rsidR="001B067E">
        <w:rPr>
          <w:color w:val="000000"/>
          <w:lang w:val="lv-LV"/>
        </w:rPr>
        <w:t>u</w:t>
      </w:r>
      <w:r w:rsidR="006434E0" w:rsidRPr="006434E0">
        <w:rPr>
          <w:color w:val="000000"/>
          <w:lang w:val="lv-LV"/>
        </w:rPr>
        <w:t xml:space="preserve"> SAM</w:t>
      </w:r>
      <w:r w:rsidR="001B067E">
        <w:rPr>
          <w:color w:val="000000"/>
          <w:lang w:val="lv-LV"/>
        </w:rPr>
        <w:t xml:space="preserve"> ietvaros</w:t>
      </w:r>
      <w:r w:rsidR="006434E0" w:rsidRPr="006434E0">
        <w:rPr>
          <w:color w:val="000000"/>
          <w:lang w:val="lv-LV"/>
        </w:rPr>
        <w:t xml:space="preserve">, tam novirzot ERAF </w:t>
      </w:r>
      <w:r w:rsidR="001B067E">
        <w:rPr>
          <w:color w:val="000000"/>
          <w:lang w:val="lv-LV"/>
        </w:rPr>
        <w:t>vai</w:t>
      </w:r>
      <w:r w:rsidR="001B067E" w:rsidRPr="001B067E">
        <w:rPr>
          <w:color w:val="000000"/>
          <w:lang w:val="lv-LV"/>
        </w:rPr>
        <w:t xml:space="preserve"> ESF+, kā arī tehniskās palīdzības </w:t>
      </w:r>
      <w:r w:rsidR="006434E0" w:rsidRPr="006434E0">
        <w:rPr>
          <w:color w:val="000000"/>
          <w:lang w:val="lv-LV"/>
        </w:rPr>
        <w:t>finansējumu</w:t>
      </w:r>
      <w:r w:rsidR="006434E0">
        <w:rPr>
          <w:color w:val="000000"/>
          <w:lang w:val="lv-LV"/>
        </w:rPr>
        <w:t xml:space="preserve">. </w:t>
      </w:r>
    </w:p>
    <w:p w14:paraId="084DAE94" w14:textId="402840AC" w:rsidR="00AC212B" w:rsidRPr="00930237" w:rsidRDefault="00AC212B" w:rsidP="007545BD">
      <w:pPr>
        <w:pStyle w:val="li"/>
        <w:numPr>
          <w:ilvl w:val="0"/>
          <w:numId w:val="60"/>
        </w:numPr>
        <w:ind w:left="567" w:hanging="567"/>
        <w:mirrorIndents/>
        <w:rPr>
          <w:color w:val="000000"/>
          <w:lang w:val="lv-LV"/>
        </w:rPr>
      </w:pPr>
      <w:r w:rsidRPr="00930237">
        <w:rPr>
          <w:color w:val="000000"/>
          <w:lang w:val="lv-LV"/>
        </w:rPr>
        <w:t>Attiecībā uz vienkāršošanu ES fondu sistēmā tiek apsvērta plašāka vienkāršoto izmaksu izmantošana. Balstoties uz finansējuma saņēmēju aptaujām sistēma ir efektīva, saprotama un nodrošina labu atbalstu.</w:t>
      </w:r>
    </w:p>
    <w:p w14:paraId="272F1C57" w14:textId="77777777" w:rsidR="00AC212B" w:rsidRPr="00930237" w:rsidRDefault="00AC212B" w:rsidP="00AC212B">
      <w:pPr>
        <w:spacing w:before="0" w:after="0"/>
        <w:mirrorIndents/>
        <w:rPr>
          <w:szCs w:val="24"/>
        </w:rPr>
      </w:pPr>
    </w:p>
    <w:p w14:paraId="555EEE66" w14:textId="77777777" w:rsidR="00AC212B" w:rsidRPr="00930237" w:rsidRDefault="00AC212B" w:rsidP="007545BD">
      <w:pPr>
        <w:pStyle w:val="Heading3"/>
        <w:numPr>
          <w:ilvl w:val="1"/>
          <w:numId w:val="59"/>
        </w:numPr>
        <w:shd w:val="clear" w:color="auto" w:fill="FFF2CC" w:themeFill="accent4" w:themeFillTint="33"/>
        <w:spacing w:after="0"/>
        <w:ind w:left="426"/>
        <w:mirrorIndents/>
        <w:rPr>
          <w:b/>
          <w:i w:val="0"/>
          <w:szCs w:val="24"/>
        </w:rPr>
      </w:pPr>
      <w:bookmarkStart w:id="15" w:name="_Toc69125407"/>
      <w:r w:rsidRPr="00930237">
        <w:rPr>
          <w:b/>
          <w:i w:val="0"/>
          <w:noProof/>
          <w:szCs w:val="24"/>
        </w:rPr>
        <w:t>Sasaiste ar Eiropas Savienības Stratēģiju Baltijas jūras reģionam</w:t>
      </w:r>
      <w:bookmarkEnd w:id="15"/>
      <w:r w:rsidRPr="00930237">
        <w:rPr>
          <w:b/>
          <w:i w:val="0"/>
          <w:noProof/>
          <w:szCs w:val="24"/>
        </w:rPr>
        <w:t xml:space="preserve"> </w:t>
      </w:r>
    </w:p>
    <w:p w14:paraId="35ECB31F" w14:textId="2225EB3C" w:rsidR="00AC212B" w:rsidRPr="00D97BC4" w:rsidRDefault="00B63C82"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D97BC4">
        <w:rPr>
          <w:rFonts w:ascii="Times New Roman" w:hAnsi="Times New Roman" w:cs="Times New Roman"/>
          <w:sz w:val="24"/>
          <w:szCs w:val="24"/>
        </w:rPr>
        <w:t>D</w:t>
      </w:r>
      <w:r w:rsidR="00C011D5" w:rsidRPr="00D97BC4">
        <w:rPr>
          <w:rFonts w:ascii="Times New Roman" w:hAnsi="Times New Roman" w:cs="Times New Roman"/>
          <w:sz w:val="24"/>
          <w:szCs w:val="24"/>
        </w:rPr>
        <w:t>P</w:t>
      </w:r>
      <w:r w:rsidRPr="00D97BC4">
        <w:rPr>
          <w:rFonts w:ascii="Times New Roman" w:hAnsi="Times New Roman" w:cs="Times New Roman"/>
          <w:sz w:val="24"/>
          <w:szCs w:val="24"/>
        </w:rPr>
        <w:t xml:space="preserve"> </w:t>
      </w:r>
      <w:r w:rsidR="001B067E">
        <w:rPr>
          <w:rFonts w:ascii="Times New Roman" w:hAnsi="Times New Roman" w:cs="Times New Roman"/>
          <w:sz w:val="24"/>
          <w:szCs w:val="24"/>
        </w:rPr>
        <w:t>ietvaros</w:t>
      </w:r>
      <w:r w:rsidRPr="00D97BC4">
        <w:rPr>
          <w:rFonts w:ascii="Times New Roman" w:hAnsi="Times New Roman" w:cs="Times New Roman"/>
          <w:sz w:val="24"/>
          <w:szCs w:val="24"/>
        </w:rPr>
        <w:t xml:space="preserve"> ieguldījum</w:t>
      </w:r>
      <w:r w:rsidR="001B067E">
        <w:rPr>
          <w:rFonts w:ascii="Times New Roman" w:hAnsi="Times New Roman" w:cs="Times New Roman"/>
          <w:sz w:val="24"/>
          <w:szCs w:val="24"/>
        </w:rPr>
        <w:t>i plānoti</w:t>
      </w:r>
      <w:r w:rsidRPr="00D97BC4">
        <w:rPr>
          <w:rFonts w:ascii="Times New Roman" w:hAnsi="Times New Roman" w:cs="Times New Roman"/>
          <w:sz w:val="24"/>
          <w:szCs w:val="24"/>
        </w:rPr>
        <w:t xml:space="preserve"> </w:t>
      </w:r>
      <w:r w:rsidR="00B961B5">
        <w:rPr>
          <w:rFonts w:ascii="Times New Roman" w:hAnsi="Times New Roman" w:cs="Times New Roman"/>
          <w:sz w:val="24"/>
          <w:szCs w:val="24"/>
        </w:rPr>
        <w:t>šādās</w:t>
      </w:r>
      <w:r w:rsidRPr="00D97BC4">
        <w:rPr>
          <w:rFonts w:ascii="Times New Roman" w:hAnsi="Times New Roman" w:cs="Times New Roman"/>
          <w:sz w:val="24"/>
          <w:szCs w:val="24"/>
        </w:rPr>
        <w:t xml:space="preserve"> jomās: iekļaušanās ES pētniecības telpā un piegāžu ķēdēs, pārrobežu e-risinājumu izstrāde</w:t>
      </w:r>
      <w:r w:rsidR="001B067E">
        <w:rPr>
          <w:rFonts w:ascii="Times New Roman" w:hAnsi="Times New Roman" w:cs="Times New Roman"/>
          <w:sz w:val="24"/>
          <w:szCs w:val="24"/>
        </w:rPr>
        <w:t xml:space="preserve">, kā arī </w:t>
      </w:r>
      <w:r w:rsidRPr="00D97BC4">
        <w:rPr>
          <w:rFonts w:ascii="Times New Roman" w:hAnsi="Times New Roman" w:cs="Times New Roman"/>
          <w:sz w:val="24"/>
          <w:szCs w:val="24"/>
        </w:rPr>
        <w:t xml:space="preserve">NEKP kontekstā </w:t>
      </w:r>
      <w:r w:rsidR="001B067E">
        <w:rPr>
          <w:rFonts w:ascii="Times New Roman" w:hAnsi="Times New Roman" w:cs="Times New Roman"/>
          <w:sz w:val="24"/>
          <w:szCs w:val="24"/>
        </w:rPr>
        <w:t xml:space="preserve">plānota </w:t>
      </w:r>
      <w:r w:rsidRPr="00D97BC4">
        <w:rPr>
          <w:rFonts w:ascii="Times New Roman" w:hAnsi="Times New Roman" w:cs="Times New Roman"/>
          <w:sz w:val="24"/>
          <w:szCs w:val="24"/>
        </w:rPr>
        <w:t>koordinēta rīcība attiecībā uz transporta emisiju samazināšanu, t.sk. alternatīvo degvielu ražošanas un lietošanas veicināšana</w:t>
      </w:r>
      <w:r w:rsidR="00AC212B" w:rsidRPr="00D97BC4">
        <w:rPr>
          <w:rFonts w:ascii="Times New Roman" w:hAnsi="Times New Roman" w:cs="Times New Roman"/>
          <w:sz w:val="24"/>
          <w:szCs w:val="24"/>
        </w:rPr>
        <w:t xml:space="preserve">. </w:t>
      </w:r>
    </w:p>
    <w:p w14:paraId="647709B8" w14:textId="2FF4DD58" w:rsidR="008421CD" w:rsidRPr="00D97BC4" w:rsidRDefault="000F3EC2" w:rsidP="007545BD">
      <w:pPr>
        <w:pStyle w:val="ListParagraph"/>
        <w:numPr>
          <w:ilvl w:val="0"/>
          <w:numId w:val="60"/>
        </w:numPr>
        <w:spacing w:after="0" w:line="240" w:lineRule="auto"/>
        <w:ind w:left="567" w:hanging="567"/>
        <w:mirrorIndents/>
        <w:jc w:val="both"/>
        <w:rPr>
          <w:rFonts w:ascii="Times New Roman" w:hAnsi="Times New Roman" w:cs="Times New Roman"/>
          <w:noProof/>
          <w:sz w:val="24"/>
          <w:szCs w:val="24"/>
        </w:rPr>
      </w:pPr>
      <w:r w:rsidRPr="00D97BC4">
        <w:rPr>
          <w:rFonts w:ascii="Times New Roman" w:hAnsi="Times New Roman" w:cs="Times New Roman"/>
          <w:sz w:val="24"/>
          <w:szCs w:val="24"/>
        </w:rPr>
        <w:t xml:space="preserve">Ūdenssaimniecības pakalpojumu, tostarp notekūdeņu attīrīšanas sistēmu uzlabošanas, bioloģiskās daudzveidības saglabāšanas, aprites ekonomikā balstītas atkritumu apsaimniekošanas, vēsturiski piesārņoto vietu sanācijas un videi draudzīgas ostu infrastruktūras attīstības pasākumi sniegs ieguldījumu Baltijas jūras vides stāvokļa uzlabošanā un </w:t>
      </w:r>
      <w:r w:rsidR="00C011D5" w:rsidRPr="00D97BC4">
        <w:rPr>
          <w:rFonts w:ascii="Times New Roman" w:hAnsi="Times New Roman" w:cs="Times New Roman"/>
          <w:sz w:val="24"/>
          <w:szCs w:val="24"/>
        </w:rPr>
        <w:t>ESSBJR</w:t>
      </w:r>
      <w:r w:rsidR="001B067E">
        <w:rPr>
          <w:rFonts w:ascii="Times New Roman" w:hAnsi="Times New Roman" w:cs="Times New Roman"/>
          <w:sz w:val="24"/>
          <w:szCs w:val="24"/>
        </w:rPr>
        <w:t xml:space="preserve"> </w:t>
      </w:r>
      <w:r w:rsidRPr="00D97BC4">
        <w:rPr>
          <w:rFonts w:ascii="Times New Roman" w:hAnsi="Times New Roman" w:cs="Times New Roman"/>
          <w:sz w:val="24"/>
          <w:szCs w:val="24"/>
        </w:rPr>
        <w:t>vispārējā mērķa “Glābt jūru” un tā apakšmērķu sasniegšanā, veicinās pielāgošanos klimata pārmaiņām, risku novēršanu un pārvaldību</w:t>
      </w:r>
      <w:r w:rsidR="00AC212B" w:rsidRPr="00D97BC4">
        <w:rPr>
          <w:rFonts w:ascii="Times New Roman" w:hAnsi="Times New Roman" w:cs="Times New Roman"/>
          <w:sz w:val="24"/>
          <w:szCs w:val="24"/>
        </w:rPr>
        <w:t>.</w:t>
      </w:r>
    </w:p>
    <w:p w14:paraId="5458A860" w14:textId="3D1D251F" w:rsidR="008421CD" w:rsidRPr="00D97BC4" w:rsidRDefault="008F4155" w:rsidP="007545BD">
      <w:pPr>
        <w:pStyle w:val="ListParagraph"/>
        <w:numPr>
          <w:ilvl w:val="0"/>
          <w:numId w:val="60"/>
        </w:numPr>
        <w:spacing w:after="0" w:line="240" w:lineRule="auto"/>
        <w:ind w:left="567" w:hanging="567"/>
        <w:mirrorIndents/>
        <w:jc w:val="both"/>
        <w:rPr>
          <w:rFonts w:ascii="Times New Roman" w:hAnsi="Times New Roman" w:cs="Times New Roman"/>
          <w:noProof/>
          <w:sz w:val="24"/>
          <w:szCs w:val="24"/>
        </w:rPr>
      </w:pPr>
      <w:r w:rsidRPr="00D97BC4">
        <w:rPr>
          <w:rFonts w:ascii="Times New Roman" w:hAnsi="Times New Roman" w:cs="Times New Roman"/>
          <w:noProof/>
          <w:sz w:val="24"/>
          <w:szCs w:val="24"/>
        </w:rPr>
        <w:t xml:space="preserve">Arī zaļā iepirkuma piemērošana veicinās </w:t>
      </w:r>
      <w:r w:rsidR="00D0527C" w:rsidRPr="00D97BC4">
        <w:rPr>
          <w:rFonts w:ascii="Times New Roman" w:hAnsi="Times New Roman" w:cs="Times New Roman"/>
          <w:noProof/>
          <w:sz w:val="24"/>
          <w:szCs w:val="24"/>
        </w:rPr>
        <w:t>ESSBJR</w:t>
      </w:r>
      <w:r w:rsidR="006D4744">
        <w:rPr>
          <w:rFonts w:ascii="Times New Roman" w:hAnsi="Times New Roman" w:cs="Times New Roman"/>
          <w:noProof/>
          <w:sz w:val="24"/>
          <w:szCs w:val="24"/>
        </w:rPr>
        <w:t xml:space="preserve"> </w:t>
      </w:r>
      <w:r w:rsidRPr="00D97BC4">
        <w:rPr>
          <w:rFonts w:ascii="Times New Roman" w:hAnsi="Times New Roman" w:cs="Times New Roman"/>
          <w:noProof/>
          <w:sz w:val="24"/>
          <w:szCs w:val="24"/>
        </w:rPr>
        <w:t xml:space="preserve">vispārējā mērķa “Glābt jūru” sasniegšanu. Ievērojot tendences zaļā iepirkuma attīstībā, </w:t>
      </w:r>
      <w:r w:rsidR="00C011D5" w:rsidRPr="00D97BC4">
        <w:rPr>
          <w:rFonts w:ascii="Times New Roman" w:hAnsi="Times New Roman" w:cs="Times New Roman"/>
          <w:noProof/>
          <w:sz w:val="24"/>
          <w:szCs w:val="24"/>
        </w:rPr>
        <w:t>DP</w:t>
      </w:r>
      <w:r w:rsidRPr="00D97BC4">
        <w:rPr>
          <w:rFonts w:ascii="Times New Roman" w:hAnsi="Times New Roman" w:cs="Times New Roman"/>
          <w:noProof/>
          <w:sz w:val="24"/>
          <w:szCs w:val="24"/>
        </w:rPr>
        <w:t xml:space="preserve"> ietvaros, īstenojot</w:t>
      </w:r>
      <w:r w:rsidR="001B067E">
        <w:rPr>
          <w:rFonts w:ascii="Times New Roman" w:hAnsi="Times New Roman" w:cs="Times New Roman"/>
          <w:noProof/>
          <w:sz w:val="24"/>
          <w:szCs w:val="24"/>
        </w:rPr>
        <w:t xml:space="preserve"> </w:t>
      </w:r>
      <w:r w:rsidR="00C011D5" w:rsidRPr="00D97BC4">
        <w:rPr>
          <w:rFonts w:ascii="Times New Roman" w:hAnsi="Times New Roman" w:cs="Times New Roman"/>
          <w:noProof/>
          <w:sz w:val="24"/>
          <w:szCs w:val="24"/>
        </w:rPr>
        <w:t>SAM</w:t>
      </w:r>
      <w:r w:rsidRPr="00D97BC4">
        <w:rPr>
          <w:rFonts w:ascii="Times New Roman" w:hAnsi="Times New Roman" w:cs="Times New Roman"/>
          <w:noProof/>
          <w:sz w:val="24"/>
          <w:szCs w:val="24"/>
        </w:rPr>
        <w:t>, zaļā iepirkuma prasības</w:t>
      </w:r>
      <w:r w:rsidR="001B067E">
        <w:rPr>
          <w:rFonts w:ascii="Times New Roman" w:hAnsi="Times New Roman" w:cs="Times New Roman"/>
          <w:noProof/>
          <w:sz w:val="24"/>
          <w:szCs w:val="24"/>
        </w:rPr>
        <w:t>,</w:t>
      </w:r>
      <w:r w:rsidRPr="00D97BC4">
        <w:rPr>
          <w:rFonts w:ascii="Times New Roman" w:hAnsi="Times New Roman" w:cs="Times New Roman"/>
          <w:noProof/>
          <w:sz w:val="24"/>
          <w:szCs w:val="24"/>
        </w:rPr>
        <w:t xml:space="preserve"> obligāti tiks piemērotas aktivitātēs, kurās spēkā esošajā normatīvajā regulējumā ir noteiktas zaļā iepirkuma prasības un kritēriji.</w:t>
      </w:r>
    </w:p>
    <w:p w14:paraId="5FDBD321" w14:textId="2D3120EF" w:rsidR="008F4155" w:rsidRPr="00D97BC4" w:rsidRDefault="008F4155" w:rsidP="007545BD">
      <w:pPr>
        <w:pStyle w:val="ListParagraph"/>
        <w:numPr>
          <w:ilvl w:val="0"/>
          <w:numId w:val="60"/>
        </w:numPr>
        <w:spacing w:after="0" w:line="240" w:lineRule="auto"/>
        <w:ind w:left="567" w:hanging="567"/>
        <w:mirrorIndents/>
        <w:jc w:val="both"/>
        <w:rPr>
          <w:rFonts w:ascii="Times New Roman" w:hAnsi="Times New Roman" w:cs="Times New Roman"/>
          <w:noProof/>
          <w:sz w:val="24"/>
          <w:szCs w:val="24"/>
        </w:rPr>
      </w:pPr>
      <w:r w:rsidRPr="00D97BC4">
        <w:rPr>
          <w:rFonts w:ascii="Times New Roman" w:hAnsi="Times New Roman" w:cs="Times New Roman"/>
          <w:noProof/>
          <w:sz w:val="24"/>
          <w:szCs w:val="24"/>
        </w:rPr>
        <w:t xml:space="preserve">Lai panāktu lielāku sinerģiju un papildinātību </w:t>
      </w:r>
      <w:r w:rsidR="00C011D5" w:rsidRPr="00D97BC4">
        <w:rPr>
          <w:rFonts w:ascii="Times New Roman" w:hAnsi="Times New Roman" w:cs="Times New Roman"/>
          <w:noProof/>
          <w:sz w:val="24"/>
          <w:szCs w:val="24"/>
        </w:rPr>
        <w:t>ESSBJR</w:t>
      </w:r>
      <w:r w:rsidR="00FC7BED" w:rsidRPr="00D97BC4">
        <w:rPr>
          <w:rStyle w:val="FootnoteReference"/>
          <w:rFonts w:ascii="Times New Roman" w:hAnsi="Times New Roman" w:cs="Times New Roman"/>
          <w:noProof/>
          <w:sz w:val="24"/>
          <w:szCs w:val="24"/>
        </w:rPr>
        <w:footnoteReference w:id="41"/>
      </w:r>
      <w:r w:rsidR="001B067E">
        <w:rPr>
          <w:rFonts w:ascii="Times New Roman" w:hAnsi="Times New Roman" w:cs="Times New Roman"/>
          <w:noProof/>
          <w:sz w:val="24"/>
          <w:szCs w:val="24"/>
        </w:rPr>
        <w:t xml:space="preserve"> </w:t>
      </w:r>
      <w:r w:rsidRPr="00D97BC4">
        <w:rPr>
          <w:rFonts w:ascii="Times New Roman" w:hAnsi="Times New Roman" w:cs="Times New Roman"/>
          <w:noProof/>
          <w:sz w:val="24"/>
          <w:szCs w:val="24"/>
        </w:rPr>
        <w:t xml:space="preserve">īstenošanā tematiskā mērķa “Zaļāka Eiropa ar zemām oglekļa emisijām, veicinot tīru un taisnīgu enerģētikas pārkārtošanu, “zaļas” un “zilas” investīcijas, aprites ekonomiku, pielāgošanos klimata pārmaiņām un risku novēršanu un pārvaldību” un INTERREG mērķa </w:t>
      </w:r>
      <w:r w:rsidR="00D75C71">
        <w:rPr>
          <w:rFonts w:ascii="Times New Roman" w:hAnsi="Times New Roman" w:cs="Times New Roman"/>
          <w:noProof/>
          <w:sz w:val="24"/>
          <w:szCs w:val="24"/>
        </w:rPr>
        <w:t>“</w:t>
      </w:r>
      <w:r w:rsidRPr="00D97BC4">
        <w:rPr>
          <w:rFonts w:ascii="Times New Roman" w:hAnsi="Times New Roman" w:cs="Times New Roman"/>
          <w:noProof/>
          <w:sz w:val="24"/>
          <w:szCs w:val="24"/>
        </w:rPr>
        <w:t>Zaļāka Eiropa</w:t>
      </w:r>
      <w:r w:rsidR="00D75C71">
        <w:rPr>
          <w:rFonts w:ascii="Times New Roman" w:hAnsi="Times New Roman" w:cs="Times New Roman"/>
          <w:noProof/>
          <w:sz w:val="24"/>
          <w:szCs w:val="24"/>
        </w:rPr>
        <w:t xml:space="preserve"> ar zemu oglekļa emisiju līmeni”</w:t>
      </w:r>
      <w:r w:rsidRPr="00D97BC4">
        <w:rPr>
          <w:rFonts w:ascii="Times New Roman" w:hAnsi="Times New Roman" w:cs="Times New Roman"/>
          <w:noProof/>
          <w:sz w:val="24"/>
          <w:szCs w:val="24"/>
        </w:rPr>
        <w:t xml:space="preserve"> ietvaros, vienlaikus nodrošinot nepārklāšanos, nacionālajos normatīvajos aktos par </w:t>
      </w:r>
      <w:r w:rsidR="00C011D5" w:rsidRPr="00D97BC4">
        <w:rPr>
          <w:rFonts w:ascii="Times New Roman" w:hAnsi="Times New Roman" w:cs="Times New Roman"/>
          <w:noProof/>
          <w:sz w:val="24"/>
          <w:szCs w:val="24"/>
        </w:rPr>
        <w:t>SAM</w:t>
      </w:r>
      <w:r w:rsidRPr="00D97BC4">
        <w:rPr>
          <w:rFonts w:ascii="Times New Roman" w:hAnsi="Times New Roman" w:cs="Times New Roman"/>
          <w:noProof/>
          <w:sz w:val="24"/>
          <w:szCs w:val="24"/>
        </w:rPr>
        <w:t>u īstenošanu tiks specificētas atbalstāmās darbības, attiecināmās izmaksas un finansējuma saņēmēji, kā arī dubultā finansējuma riska novēršanas pasākumi.</w:t>
      </w:r>
    </w:p>
    <w:p w14:paraId="2E508E2C" w14:textId="4CECAAA9" w:rsidR="00D97BC4" w:rsidRDefault="00255B1F" w:rsidP="007545BD">
      <w:pPr>
        <w:pStyle w:val="ListParagraph"/>
        <w:numPr>
          <w:ilvl w:val="0"/>
          <w:numId w:val="60"/>
        </w:numPr>
        <w:spacing w:after="0" w:line="240" w:lineRule="auto"/>
        <w:ind w:left="567" w:hanging="567"/>
        <w:mirrorIndents/>
        <w:jc w:val="both"/>
        <w:rPr>
          <w:rFonts w:ascii="Times New Roman" w:hAnsi="Times New Roman" w:cs="Times New Roman"/>
          <w:noProof/>
          <w:sz w:val="24"/>
          <w:szCs w:val="24"/>
        </w:rPr>
      </w:pPr>
      <w:r w:rsidRPr="00D97BC4">
        <w:rPr>
          <w:rFonts w:ascii="Times New Roman" w:hAnsi="Times New Roman" w:cs="Times New Roman"/>
          <w:noProof/>
          <w:sz w:val="24"/>
          <w:szCs w:val="24"/>
        </w:rPr>
        <w:t xml:space="preserve">Lai reaģētu uz pieaugošo pieprasījumu pēc mērķtiecīgas starpreģionu sadarbības, sniegtu ieguldījumu </w:t>
      </w:r>
      <w:r w:rsidR="00C011D5" w:rsidRPr="00D97BC4">
        <w:rPr>
          <w:rFonts w:ascii="Times New Roman" w:hAnsi="Times New Roman" w:cs="Times New Roman"/>
          <w:noProof/>
          <w:sz w:val="24"/>
          <w:szCs w:val="24"/>
        </w:rPr>
        <w:t>RIS3</w:t>
      </w:r>
      <w:r w:rsidR="006D4744">
        <w:rPr>
          <w:rFonts w:ascii="Times New Roman" w:hAnsi="Times New Roman" w:cs="Times New Roman"/>
          <w:noProof/>
          <w:sz w:val="24"/>
          <w:szCs w:val="24"/>
        </w:rPr>
        <w:t xml:space="preserve"> </w:t>
      </w:r>
      <w:r w:rsidRPr="00D97BC4">
        <w:rPr>
          <w:rFonts w:ascii="Times New Roman" w:hAnsi="Times New Roman" w:cs="Times New Roman"/>
          <w:noProof/>
          <w:sz w:val="24"/>
          <w:szCs w:val="24"/>
        </w:rPr>
        <w:t>mērķu sasniegšanā un sekmētu ekonomikas transformāciju, D</w:t>
      </w:r>
      <w:r w:rsidR="00C011D5" w:rsidRPr="00D97BC4">
        <w:rPr>
          <w:rFonts w:ascii="Times New Roman" w:hAnsi="Times New Roman" w:cs="Times New Roman"/>
          <w:noProof/>
          <w:sz w:val="24"/>
          <w:szCs w:val="24"/>
        </w:rPr>
        <w:t>P</w:t>
      </w:r>
      <w:r w:rsidRPr="00D97BC4">
        <w:rPr>
          <w:rFonts w:ascii="Times New Roman" w:hAnsi="Times New Roman" w:cs="Times New Roman"/>
          <w:noProof/>
          <w:sz w:val="24"/>
          <w:szCs w:val="24"/>
        </w:rPr>
        <w:t xml:space="preserve"> ietvertie MV</w:t>
      </w:r>
      <w:r w:rsidR="006235AC">
        <w:rPr>
          <w:rFonts w:ascii="Times New Roman" w:hAnsi="Times New Roman" w:cs="Times New Roman"/>
          <w:noProof/>
          <w:sz w:val="24"/>
          <w:szCs w:val="24"/>
        </w:rPr>
        <w:t>U</w:t>
      </w:r>
      <w:r w:rsidRPr="00D97BC4">
        <w:rPr>
          <w:rFonts w:ascii="Times New Roman" w:hAnsi="Times New Roman" w:cs="Times New Roman"/>
          <w:noProof/>
          <w:sz w:val="24"/>
          <w:szCs w:val="24"/>
        </w:rPr>
        <w:t xml:space="preserve"> konkurētspējas, inovāciju, pētniecības un digitalizācijas atbalsta instrumenti sniegs zināmu pienesumu ESSBJR stratēģijas mērķu sasniegšanā attiecībā uz inovāciju prioritāro jomu.</w:t>
      </w:r>
      <w:r w:rsidR="00D97BC4" w:rsidRPr="00D97BC4">
        <w:rPr>
          <w:rFonts w:ascii="Times New Roman" w:hAnsi="Times New Roman" w:cs="Times New Roman"/>
          <w:noProof/>
          <w:sz w:val="24"/>
          <w:szCs w:val="24"/>
        </w:rPr>
        <w:t xml:space="preserve"> </w:t>
      </w:r>
    </w:p>
    <w:p w14:paraId="65ECFC21" w14:textId="77777777" w:rsidR="00473176" w:rsidRPr="00473176" w:rsidRDefault="00473176" w:rsidP="00356CFE">
      <w:pPr>
        <w:pStyle w:val="ListParagraph"/>
        <w:numPr>
          <w:ilvl w:val="0"/>
          <w:numId w:val="60"/>
        </w:numPr>
        <w:spacing w:after="0" w:line="240" w:lineRule="auto"/>
        <w:ind w:left="567" w:hanging="567"/>
        <w:mirrorIndents/>
        <w:jc w:val="both"/>
        <w:rPr>
          <w:noProof/>
          <w:szCs w:val="24"/>
        </w:rPr>
        <w:sectPr w:rsidR="00473176" w:rsidRPr="00473176" w:rsidSect="00C01829">
          <w:footerReference w:type="default" r:id="rId10"/>
          <w:footnotePr>
            <w:numRestart w:val="eachSect"/>
          </w:footnotePr>
          <w:pgSz w:w="11906" w:h="16838" w:code="9"/>
          <w:pgMar w:top="1418" w:right="1416" w:bottom="993" w:left="1418" w:header="454" w:footer="454" w:gutter="0"/>
          <w:cols w:space="708"/>
          <w:titlePg/>
          <w:docGrid w:linePitch="360"/>
        </w:sectPr>
      </w:pPr>
    </w:p>
    <w:p w14:paraId="7E53C70A" w14:textId="77777777" w:rsidR="00AC212B" w:rsidRPr="00930237" w:rsidRDefault="00AC212B" w:rsidP="00AC212B">
      <w:pPr>
        <w:pStyle w:val="Heading4"/>
        <w:numPr>
          <w:ilvl w:val="0"/>
          <w:numId w:val="0"/>
        </w:numPr>
        <w:rPr>
          <w:b/>
          <w:i/>
          <w:noProof/>
          <w:shd w:val="clear" w:color="auto" w:fill="FFF2CC" w:themeFill="accent4" w:themeFillTint="33"/>
        </w:rPr>
      </w:pPr>
      <w:r w:rsidRPr="00930237">
        <w:rPr>
          <w:b/>
          <w:noProof/>
          <w:shd w:val="clear" w:color="auto" w:fill="FFF2CC" w:themeFill="accent4" w:themeFillTint="33"/>
        </w:rPr>
        <w:t>1.tabula Politikas mērķi un specifiskie atbalsta mērķi</w:t>
      </w:r>
    </w:p>
    <w:p w14:paraId="067A267B" w14:textId="77777777" w:rsidR="00F10639" w:rsidRDefault="00F10639" w:rsidP="00487038">
      <w:pPr>
        <w:spacing w:before="0" w:after="0"/>
        <w:rPr>
          <w:rFonts w:eastAsia="Times New Roman"/>
          <w:iCs/>
          <w:noProof/>
          <w:sz w:val="20"/>
        </w:rPr>
        <w:sectPr w:rsidR="00F10639" w:rsidSect="00710DDA">
          <w:footnotePr>
            <w:numRestart w:val="eachSect"/>
          </w:footnotePr>
          <w:pgSz w:w="16838" w:h="11906" w:orient="landscape" w:code="9"/>
          <w:pgMar w:top="1418" w:right="1418" w:bottom="1418" w:left="1418" w:header="567" w:footer="567" w:gutter="0"/>
          <w:cols w:space="708"/>
          <w:titlePg/>
          <w:docGrid w:linePitch="360"/>
        </w:sectPr>
      </w:pPr>
    </w:p>
    <w:p w14:paraId="25A9D345" w14:textId="77777777" w:rsidR="00F10639" w:rsidRDefault="00F10639" w:rsidP="00487038">
      <w:pPr>
        <w:spacing w:before="0" w:after="0"/>
        <w:rPr>
          <w:rFonts w:eastAsia="Times New Roman"/>
          <w:iCs/>
          <w:noProof/>
          <w:sz w:val="20"/>
        </w:rPr>
        <w:sectPr w:rsidR="00F10639" w:rsidSect="00F10639">
          <w:footnotePr>
            <w:numRestart w:val="eachSect"/>
          </w:footnotePr>
          <w:type w:val="continuous"/>
          <w:pgSz w:w="16838" w:h="11906" w:orient="landscape" w:code="9"/>
          <w:pgMar w:top="1418" w:right="1418" w:bottom="1418" w:left="1418" w:header="567" w:footer="567"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1988"/>
        <w:gridCol w:w="10177"/>
      </w:tblGrid>
      <w:tr w:rsidR="00F10639" w:rsidRPr="00930237" w14:paraId="37BBC62D" w14:textId="77777777" w:rsidTr="00F10639">
        <w:trPr>
          <w:tblHeader/>
        </w:trPr>
        <w:tc>
          <w:tcPr>
            <w:tcW w:w="556" w:type="pct"/>
            <w:shd w:val="clear" w:color="auto" w:fill="BFBFBF" w:themeFill="background1" w:themeFillShade="BF"/>
            <w:vAlign w:val="center"/>
          </w:tcPr>
          <w:p w14:paraId="48304505" w14:textId="6255C9AF" w:rsidR="00F10639" w:rsidRPr="00930237" w:rsidRDefault="00F10639" w:rsidP="00F10639">
            <w:pPr>
              <w:spacing w:before="0" w:after="0"/>
              <w:jc w:val="center"/>
              <w:rPr>
                <w:rFonts w:eastAsia="Times New Roman"/>
                <w:iCs/>
                <w:noProof/>
                <w:sz w:val="20"/>
              </w:rPr>
            </w:pPr>
            <w:r w:rsidRPr="00930237">
              <w:rPr>
                <w:b/>
                <w:noProof/>
                <w:sz w:val="20"/>
              </w:rPr>
              <w:t>Politikas mērķis</w:t>
            </w:r>
          </w:p>
        </w:tc>
        <w:tc>
          <w:tcPr>
            <w:tcW w:w="759" w:type="pct"/>
            <w:shd w:val="clear" w:color="auto" w:fill="BFBFBF" w:themeFill="background1" w:themeFillShade="BF"/>
            <w:vAlign w:val="center"/>
          </w:tcPr>
          <w:p w14:paraId="7ED49D77" w14:textId="10272022" w:rsidR="00F10639" w:rsidRDefault="00F10639" w:rsidP="00F10639">
            <w:pPr>
              <w:spacing w:before="0" w:after="0"/>
              <w:jc w:val="center"/>
              <w:rPr>
                <w:rFonts w:eastAsia="Times New Roman"/>
                <w:iCs/>
                <w:noProof/>
                <w:sz w:val="20"/>
              </w:rPr>
            </w:pPr>
            <w:r w:rsidRPr="00930237">
              <w:rPr>
                <w:b/>
                <w:noProof/>
                <w:sz w:val="20"/>
              </w:rPr>
              <w:t>SAM</w:t>
            </w:r>
          </w:p>
        </w:tc>
        <w:tc>
          <w:tcPr>
            <w:tcW w:w="3685" w:type="pct"/>
            <w:shd w:val="clear" w:color="auto" w:fill="BFBFBF" w:themeFill="background1" w:themeFillShade="BF"/>
            <w:vAlign w:val="center"/>
          </w:tcPr>
          <w:p w14:paraId="355C40F8" w14:textId="77777777" w:rsidR="00F10639" w:rsidRPr="00930237" w:rsidRDefault="00F10639" w:rsidP="00F10639">
            <w:pPr>
              <w:spacing w:before="0" w:after="0"/>
              <w:jc w:val="center"/>
              <w:rPr>
                <w:b/>
                <w:noProof/>
                <w:sz w:val="20"/>
              </w:rPr>
            </w:pPr>
            <w:r w:rsidRPr="00930237">
              <w:rPr>
                <w:b/>
                <w:noProof/>
                <w:sz w:val="20"/>
              </w:rPr>
              <w:t>Pamatojums (kopsavilkums)</w:t>
            </w:r>
          </w:p>
          <w:p w14:paraId="3DA9D777" w14:textId="2F3548A8" w:rsidR="00F10639" w:rsidRPr="00930237" w:rsidRDefault="00F10639" w:rsidP="00F10639">
            <w:pPr>
              <w:spacing w:before="0" w:after="0"/>
              <w:contextualSpacing/>
              <w:jc w:val="center"/>
              <w:rPr>
                <w:rFonts w:eastAsia="Times New Roman"/>
                <w:iCs/>
                <w:noProof/>
                <w:sz w:val="20"/>
              </w:rPr>
            </w:pPr>
            <w:r w:rsidRPr="00930237">
              <w:rPr>
                <w:noProof/>
                <w:color w:val="FF0000"/>
                <w:sz w:val="20"/>
              </w:rPr>
              <w:t>[2000]</w:t>
            </w:r>
          </w:p>
        </w:tc>
      </w:tr>
      <w:tr w:rsidR="00AC212B" w:rsidRPr="00930237" w14:paraId="60DE2954" w14:textId="77777777" w:rsidTr="000E58E3">
        <w:tc>
          <w:tcPr>
            <w:tcW w:w="556" w:type="pct"/>
            <w:vMerge w:val="restart"/>
          </w:tcPr>
          <w:p w14:paraId="4872AA88" w14:textId="1348C93A" w:rsidR="00AC212B" w:rsidRPr="00930237" w:rsidRDefault="00AC212B" w:rsidP="00487038">
            <w:pPr>
              <w:spacing w:before="0" w:after="0"/>
              <w:rPr>
                <w:rFonts w:eastAsia="Times New Roman"/>
                <w:iCs/>
                <w:noProof/>
                <w:sz w:val="20"/>
              </w:rPr>
            </w:pPr>
            <w:r w:rsidRPr="00930237">
              <w:rPr>
                <w:rFonts w:eastAsia="Times New Roman"/>
                <w:iCs/>
                <w:noProof/>
                <w:sz w:val="20"/>
              </w:rPr>
              <w:t xml:space="preserve">1. </w:t>
            </w:r>
            <w:r w:rsidR="007323C7" w:rsidRPr="007323C7">
              <w:rPr>
                <w:rFonts w:eastAsia="Times New Roman"/>
                <w:iCs/>
                <w:noProof/>
                <w:sz w:val="20"/>
              </w:rPr>
              <w:t>Konkurentspējīgāka un viedāka Eiropa, veicinot inovatīvas un viedas ekonomiskās pārmaiņas un reģionālo IKT savienojamību</w:t>
            </w:r>
          </w:p>
        </w:tc>
        <w:tc>
          <w:tcPr>
            <w:tcW w:w="759" w:type="pct"/>
          </w:tcPr>
          <w:p w14:paraId="72050A0E" w14:textId="76AF2256" w:rsidR="00AC212B" w:rsidRPr="00930237" w:rsidRDefault="00D555D5" w:rsidP="00487038">
            <w:pPr>
              <w:spacing w:before="0" w:after="0"/>
              <w:jc w:val="left"/>
              <w:rPr>
                <w:rFonts w:eastAsia="Times New Roman"/>
                <w:iCs/>
                <w:noProof/>
                <w:sz w:val="20"/>
              </w:rPr>
            </w:pPr>
            <w:r>
              <w:rPr>
                <w:rFonts w:eastAsia="Times New Roman"/>
                <w:iCs/>
                <w:noProof/>
                <w:sz w:val="20"/>
              </w:rPr>
              <w:t>1.1.1.SAM</w:t>
            </w:r>
          </w:p>
          <w:p w14:paraId="2B3D56D8" w14:textId="02BF067D" w:rsidR="00E4292F" w:rsidRDefault="00AC212B" w:rsidP="00487038">
            <w:pPr>
              <w:spacing w:before="0" w:after="0"/>
              <w:jc w:val="left"/>
              <w:rPr>
                <w:sz w:val="20"/>
              </w:rPr>
            </w:pPr>
            <w:r w:rsidRPr="00930237">
              <w:rPr>
                <w:sz w:val="20"/>
              </w:rPr>
              <w:t>Pētniecības un inovāciju kapacitātes stiprināšana un pr</w:t>
            </w:r>
            <w:r w:rsidR="00E4292F">
              <w:rPr>
                <w:sz w:val="20"/>
              </w:rPr>
              <w:t>ogresīvu tehnoloģiju ieviešana</w:t>
            </w:r>
            <w:r w:rsidR="00A16FF3">
              <w:rPr>
                <w:sz w:val="20"/>
              </w:rPr>
              <w:t xml:space="preserve"> </w:t>
            </w:r>
            <w:r w:rsidR="00A16FF3" w:rsidRPr="00A16FF3">
              <w:rPr>
                <w:sz w:val="20"/>
              </w:rPr>
              <w:t>kopējā P&amp;A sistēmā</w:t>
            </w:r>
            <w:r w:rsidR="00E4292F">
              <w:rPr>
                <w:sz w:val="20"/>
              </w:rPr>
              <w:t xml:space="preserve"> /</w:t>
            </w:r>
          </w:p>
          <w:p w14:paraId="465FB572" w14:textId="44947FE4" w:rsidR="00AC212B" w:rsidRPr="00930237" w:rsidRDefault="00E4292F" w:rsidP="00487038">
            <w:pPr>
              <w:spacing w:before="0" w:after="0"/>
              <w:jc w:val="left"/>
              <w:rPr>
                <w:rFonts w:eastAsia="Times New Roman"/>
                <w:iCs/>
                <w:noProof/>
                <w:sz w:val="20"/>
              </w:rPr>
            </w:pPr>
            <w:r>
              <w:rPr>
                <w:sz w:val="20"/>
              </w:rPr>
              <w:t xml:space="preserve">1.2.1. SAM </w:t>
            </w:r>
            <w:r w:rsidRPr="00930237">
              <w:rPr>
                <w:sz w:val="20"/>
              </w:rPr>
              <w:t>Pētniecības un inovāciju kapacitātes stiprināšana un pr</w:t>
            </w:r>
            <w:r>
              <w:rPr>
                <w:sz w:val="20"/>
              </w:rPr>
              <w:t>ogresīvu tehnoloģiju ieviešana uzņēmumiem</w:t>
            </w:r>
          </w:p>
        </w:tc>
        <w:tc>
          <w:tcPr>
            <w:tcW w:w="3685" w:type="pct"/>
          </w:tcPr>
          <w:p w14:paraId="60C0A1B7" w14:textId="3A6710AB" w:rsidR="00AC212B" w:rsidRPr="00754461" w:rsidRDefault="00AC212B" w:rsidP="00487038">
            <w:pPr>
              <w:spacing w:before="0" w:after="0"/>
              <w:contextualSpacing/>
              <w:rPr>
                <w:rFonts w:eastAsia="Times New Roman"/>
                <w:iCs/>
                <w:noProof/>
                <w:sz w:val="20"/>
              </w:rPr>
            </w:pPr>
            <w:r w:rsidRPr="00754461">
              <w:rPr>
                <w:rFonts w:eastAsia="Times New Roman"/>
                <w:iCs/>
                <w:noProof/>
                <w:sz w:val="20"/>
              </w:rPr>
              <w:t xml:space="preserve">Latvijas </w:t>
            </w:r>
            <w:r w:rsidRPr="00754461">
              <w:rPr>
                <w:rFonts w:eastAsia="Times New Roman"/>
                <w:sz w:val="20"/>
              </w:rPr>
              <w:t>P&amp;I sistēmas</w:t>
            </w:r>
            <w:r w:rsidR="00EC7EA2" w:rsidRPr="00754461">
              <w:t xml:space="preserve"> </w:t>
            </w:r>
            <w:r w:rsidR="00EC7EA2" w:rsidRPr="00754461">
              <w:rPr>
                <w:rFonts w:eastAsia="Times New Roman"/>
                <w:sz w:val="20"/>
              </w:rPr>
              <w:t>pētniecības attīstības un izaugsmes temps</w:t>
            </w:r>
            <w:r w:rsidRPr="00754461">
              <w:rPr>
                <w:rFonts w:eastAsia="Times New Roman"/>
                <w:sz w:val="20"/>
              </w:rPr>
              <w:t xml:space="preserve"> ir nepietiekam</w:t>
            </w:r>
            <w:r w:rsidR="00EC7EA2" w:rsidRPr="00754461">
              <w:rPr>
                <w:rFonts w:eastAsia="Times New Roman"/>
                <w:sz w:val="20"/>
              </w:rPr>
              <w:t>s</w:t>
            </w:r>
            <w:r w:rsidRPr="00754461">
              <w:rPr>
                <w:rFonts w:eastAsia="Times New Roman"/>
                <w:sz w:val="20"/>
              </w:rPr>
              <w:t xml:space="preserve"> straujai </w:t>
            </w:r>
            <w:r w:rsidRPr="00754461">
              <w:rPr>
                <w:rFonts w:eastAsia="Times New Roman"/>
                <w:iCs/>
                <w:noProof/>
                <w:sz w:val="20"/>
              </w:rPr>
              <w:t xml:space="preserve">viedai izaugsmei, un tas ir tiešā veidā </w:t>
            </w:r>
            <w:r w:rsidRPr="00754461">
              <w:rPr>
                <w:rFonts w:eastAsia="Times New Roman"/>
                <w:sz w:val="20"/>
              </w:rPr>
              <w:t>saistīts ar zemajiem P&amp;A&amp;I ieguldījumiem</w:t>
            </w:r>
            <w:r w:rsidRPr="00754461">
              <w:rPr>
                <w:rFonts w:eastAsia="Times New Roman"/>
                <w:iCs/>
                <w:noProof/>
                <w:sz w:val="20"/>
              </w:rPr>
              <w:t xml:space="preserve"> (kopējie - 0.63 % no IKP</w:t>
            </w:r>
            <w:r w:rsidRPr="00754461">
              <w:rPr>
                <w:rStyle w:val="FootnoteReference"/>
                <w:iCs/>
                <w:noProof/>
                <w:sz w:val="20"/>
              </w:rPr>
              <w:footnoteReference w:id="42"/>
            </w:r>
            <w:r w:rsidRPr="00754461">
              <w:rPr>
                <w:rFonts w:eastAsia="Times New Roman"/>
                <w:iCs/>
                <w:noProof/>
                <w:sz w:val="20"/>
              </w:rPr>
              <w:t>; uz 1 zinātnisko darbinieku ~ 30 000 eur gadā</w:t>
            </w:r>
            <w:r w:rsidRPr="00754461">
              <w:rPr>
                <w:rStyle w:val="FootnoteReference"/>
                <w:iCs/>
                <w:noProof/>
                <w:sz w:val="20"/>
              </w:rPr>
              <w:footnoteReference w:id="43"/>
            </w:r>
            <w:r w:rsidRPr="00754461">
              <w:rPr>
                <w:rFonts w:eastAsia="Times New Roman"/>
                <w:iCs/>
                <w:noProof/>
                <w:sz w:val="20"/>
              </w:rPr>
              <w:t xml:space="preserve">) un zemo P&amp;A nodarbināto skaitu, kas veido </w:t>
            </w:r>
            <w:r w:rsidRPr="00754461">
              <w:rPr>
                <w:rFonts w:eastAsia="Times New Roman"/>
                <w:sz w:val="20"/>
              </w:rPr>
              <w:t>tikai ~ 50% no ES vidējā līmeņa</w:t>
            </w:r>
            <w:r w:rsidRPr="00754461">
              <w:rPr>
                <w:rFonts w:eastAsia="Times New Roman"/>
                <w:iCs/>
                <w:noProof/>
                <w:sz w:val="20"/>
              </w:rPr>
              <w:t xml:space="preserve">. </w:t>
            </w:r>
          </w:p>
          <w:p w14:paraId="5908D860" w14:textId="7A77F65C" w:rsidR="00AC212B" w:rsidRPr="00930237" w:rsidRDefault="00AC212B" w:rsidP="00487038">
            <w:pPr>
              <w:spacing w:before="0" w:after="0"/>
              <w:rPr>
                <w:rFonts w:eastAsia="Times New Roman"/>
                <w:iCs/>
                <w:noProof/>
                <w:sz w:val="20"/>
              </w:rPr>
            </w:pPr>
            <w:r w:rsidRPr="00754461">
              <w:rPr>
                <w:rFonts w:eastAsia="Times New Roman"/>
                <w:iCs/>
                <w:noProof/>
                <w:sz w:val="20"/>
              </w:rPr>
              <w:t>Tāpat Latvijas komersantu integrācijas līmenis globālajās vērtību ķēdēs ir viens no zemākajiem ES</w:t>
            </w:r>
            <w:r w:rsidRPr="00754461">
              <w:rPr>
                <w:rFonts w:eastAsia="Times New Roman"/>
                <w:iCs/>
                <w:noProof/>
                <w:sz w:val="20"/>
                <w:vertAlign w:val="superscript"/>
              </w:rPr>
              <w:footnoteReference w:id="44"/>
            </w:r>
            <w:r w:rsidRPr="00A603EA">
              <w:rPr>
                <w:rFonts w:eastAsia="Times New Roman"/>
                <w:iCs/>
                <w:noProof/>
                <w:sz w:val="20"/>
              </w:rPr>
              <w:t>,tāpēc</w:t>
            </w:r>
            <w:r w:rsidRPr="00930237">
              <w:rPr>
                <w:rFonts w:eastAsia="Times New Roman"/>
                <w:iCs/>
                <w:noProof/>
                <w:sz w:val="20"/>
              </w:rPr>
              <w:t xml:space="preserve"> būtiski jāveicina komersantu </w:t>
            </w:r>
            <w:r w:rsidR="00255B1F" w:rsidRPr="00255B1F">
              <w:rPr>
                <w:rFonts w:eastAsia="Times New Roman"/>
                <w:iCs/>
                <w:noProof/>
                <w:sz w:val="20"/>
              </w:rPr>
              <w:t xml:space="preserve">internacionalizācija, t.sk </w:t>
            </w:r>
            <w:r w:rsidRPr="00930237">
              <w:rPr>
                <w:rFonts w:eastAsia="Times New Roman"/>
                <w:iCs/>
                <w:noProof/>
                <w:sz w:val="20"/>
              </w:rPr>
              <w:t>dalība “Apvārsnis Eiropa”, “Digitālā Eiropa” un citās programmās, piesaistot papildus ES investīcijas inovāciju projektiem.</w:t>
            </w:r>
          </w:p>
          <w:p w14:paraId="4361AE1F" w14:textId="1EF75401" w:rsidR="00AC212B" w:rsidRPr="00930237" w:rsidRDefault="00AC212B" w:rsidP="00487038">
            <w:pPr>
              <w:spacing w:before="0" w:after="0"/>
              <w:rPr>
                <w:rFonts w:eastAsia="Times New Roman"/>
                <w:iCs/>
                <w:noProof/>
                <w:sz w:val="20"/>
              </w:rPr>
            </w:pPr>
            <w:r w:rsidRPr="00930237">
              <w:rPr>
                <w:rFonts w:eastAsia="Times New Roman"/>
                <w:iCs/>
                <w:noProof/>
                <w:sz w:val="20"/>
              </w:rPr>
              <w:t xml:space="preserve">Līdz ar to, P&amp;A&amp;I sektora galvenie izaicinājumi līdz 2027.gadam ir P&amp;I cilvēkkapitāla kvantitatīvās un kvalitatīvās jaudas palielināšana, </w:t>
            </w:r>
            <w:r w:rsidR="00EC7EA2" w:rsidRPr="00EC7EA2">
              <w:rPr>
                <w:rFonts w:eastAsia="Times New Roman"/>
                <w:iCs/>
                <w:noProof/>
                <w:sz w:val="20"/>
              </w:rPr>
              <w:t>turpmāki uzlabojumi pētniecības kvalitātes paaugstināšanai</w:t>
            </w:r>
            <w:r w:rsidRPr="00930237">
              <w:rPr>
                <w:rFonts w:eastAsia="Times New Roman"/>
                <w:iCs/>
                <w:noProof/>
                <w:sz w:val="20"/>
              </w:rPr>
              <w:t>, zināšanu un tehnoloģiju pārneses sistēmas stiprināšana un pārvaldības procesu uzlabošana, t.sk. radošo industriju un prasmju attīstība, lai veicinātu Latvijas ekonomikas transformāciju un sasniegtu RIS3 mērķus</w:t>
            </w:r>
            <w:r w:rsidR="004E6451">
              <w:rPr>
                <w:rFonts w:eastAsia="Times New Roman"/>
                <w:iCs/>
                <w:noProof/>
                <w:sz w:val="20"/>
              </w:rPr>
              <w:t xml:space="preserve">, </w:t>
            </w:r>
            <w:r w:rsidR="004E6451" w:rsidRPr="004E6451">
              <w:rPr>
                <w:rFonts w:eastAsia="Times New Roman"/>
                <w:iCs/>
                <w:noProof/>
                <w:sz w:val="20"/>
              </w:rPr>
              <w:t>t.sk. Latvijas reģionos</w:t>
            </w:r>
            <w:r w:rsidRPr="00930237">
              <w:rPr>
                <w:rFonts w:eastAsia="Times New Roman"/>
                <w:iCs/>
                <w:noProof/>
                <w:sz w:val="20"/>
              </w:rPr>
              <w:t>. Inovāciju un radošās prasmes pasaulē tiek pozicionētas kā virzītajspēks inovāciju un ekonomiskās konkurences stimulēšanai.</w:t>
            </w:r>
            <w:r w:rsidRPr="00930237">
              <w:rPr>
                <w:rStyle w:val="FootnoteReference"/>
                <w:rFonts w:eastAsia="Times New Roman"/>
                <w:iCs/>
                <w:noProof/>
                <w:sz w:val="20"/>
              </w:rPr>
              <w:footnoteReference w:id="45"/>
            </w:r>
          </w:p>
          <w:p w14:paraId="1561AD89" w14:textId="115E62B6" w:rsidR="00AC212B" w:rsidRPr="00930237" w:rsidRDefault="00AC212B" w:rsidP="00487038">
            <w:pPr>
              <w:spacing w:before="0" w:after="0"/>
              <w:rPr>
                <w:rFonts w:eastAsia="Times New Roman"/>
                <w:sz w:val="20"/>
              </w:rPr>
            </w:pPr>
            <w:r w:rsidRPr="00930237">
              <w:rPr>
                <w:rFonts w:eastAsia="Times New Roman"/>
                <w:color w:val="000000"/>
                <w:sz w:val="20"/>
              </w:rPr>
              <w:t>Lai mērķus sasniegtu, i</w:t>
            </w:r>
            <w:r w:rsidRPr="00930237">
              <w:rPr>
                <w:rFonts w:eastAsia="Times New Roman"/>
                <w:sz w:val="20"/>
              </w:rPr>
              <w:t xml:space="preserve">nvestīcijas </w:t>
            </w:r>
            <w:r w:rsidR="004E6451" w:rsidRPr="004E6451">
              <w:rPr>
                <w:rFonts w:eastAsia="Times New Roman"/>
                <w:sz w:val="20"/>
              </w:rPr>
              <w:t xml:space="preserve">nacionālā un reģionālā mērogā </w:t>
            </w:r>
            <w:r w:rsidRPr="00930237">
              <w:rPr>
                <w:rFonts w:eastAsia="Times New Roman"/>
                <w:sz w:val="20"/>
              </w:rPr>
              <w:t>tiks koncentrētas</w:t>
            </w:r>
            <w:r w:rsidRPr="00930237">
              <w:rPr>
                <w:rFonts w:eastAsia="Times New Roman"/>
                <w:sz w:val="20"/>
                <w:highlight w:val="white"/>
              </w:rPr>
              <w:t xml:space="preserve"> </w:t>
            </w:r>
            <w:r w:rsidRPr="00930237">
              <w:rPr>
                <w:rFonts w:eastAsia="Times New Roman"/>
                <w:sz w:val="20"/>
              </w:rPr>
              <w:t>cilvēkkapitāla attīstībā, tostarp doktorantūras un pēcdoktorantūras pētniecībā, pētniecībā nodarbināto skaita palielināšanai, praktiskas ievirzes pētījumiem, kā arī sadarbības ar industriju stiprināšanai P&amp;A&amp;I jomā</w:t>
            </w:r>
            <w:r w:rsidR="00EC7EA2">
              <w:rPr>
                <w:rFonts w:eastAsia="Times New Roman"/>
                <w:sz w:val="20"/>
              </w:rPr>
              <w:t xml:space="preserve">- </w:t>
            </w:r>
            <w:r w:rsidR="00EC7EA2" w:rsidRPr="00EC7EA2">
              <w:rPr>
                <w:rFonts w:eastAsia="Times New Roman"/>
                <w:sz w:val="20"/>
              </w:rPr>
              <w:t>zinātniskās darbības rezultātu kvalitātes palielināšanā un</w:t>
            </w:r>
            <w:r w:rsidRPr="00930237">
              <w:rPr>
                <w:rFonts w:eastAsia="Times New Roman"/>
                <w:sz w:val="20"/>
              </w:rPr>
              <w:t xml:space="preserve"> </w:t>
            </w:r>
            <w:r w:rsidR="00255B1F">
              <w:rPr>
                <w:rFonts w:eastAsia="Times New Roman"/>
                <w:sz w:val="20"/>
              </w:rPr>
              <w:t xml:space="preserve">komersantu </w:t>
            </w:r>
            <w:r w:rsidRPr="00930237">
              <w:rPr>
                <w:rFonts w:eastAsia="Times New Roman"/>
                <w:sz w:val="20"/>
              </w:rPr>
              <w:t xml:space="preserve">starptautiskās konkurētspējas stiprināšanā, primāri atbalstot </w:t>
            </w:r>
            <w:r w:rsidR="00255B1F" w:rsidRPr="00255B1F">
              <w:rPr>
                <w:rFonts w:eastAsia="Times New Roman"/>
                <w:sz w:val="20"/>
              </w:rPr>
              <w:t>jaunu produktu attīstību, t.sk., izstrādi</w:t>
            </w:r>
            <w:r w:rsidR="00EC7EA2">
              <w:rPr>
                <w:rFonts w:eastAsia="Times New Roman"/>
                <w:sz w:val="20"/>
              </w:rPr>
              <w:t>,</w:t>
            </w:r>
            <w:r w:rsidR="00255B1F" w:rsidRPr="00255B1F">
              <w:rPr>
                <w:rFonts w:eastAsia="Times New Roman"/>
                <w:sz w:val="20"/>
              </w:rPr>
              <w:t xml:space="preserve"> </w:t>
            </w:r>
            <w:r w:rsidRPr="00930237">
              <w:rPr>
                <w:rFonts w:eastAsia="Times New Roman"/>
                <w:sz w:val="20"/>
              </w:rPr>
              <w:t>Latvijas dalību programmā “Apvārsnis Eiropa” un kopsadarbības projektu īstenošanu ar citām zinātniskajām institūcijām un uzņēmumiem, pētniecības un inovāciju izcilības centru RIS3 jomās attīstībai un izveidei, zinātnes digitalizācijai, efektīvai integrācijai Eiropas kopējā pētniecības telpā un digitālajai transformācijai.</w:t>
            </w:r>
          </w:p>
          <w:p w14:paraId="542099EB" w14:textId="5A7DD893" w:rsidR="00AC212B" w:rsidRDefault="00AC212B" w:rsidP="00487038">
            <w:pPr>
              <w:spacing w:before="0" w:after="0"/>
              <w:rPr>
                <w:rFonts w:eastAsia="Times New Roman"/>
                <w:sz w:val="20"/>
              </w:rPr>
            </w:pPr>
            <w:r w:rsidRPr="00930237">
              <w:rPr>
                <w:rFonts w:eastAsia="Times New Roman"/>
                <w:sz w:val="20"/>
              </w:rPr>
              <w:t>SAM plānota</w:t>
            </w:r>
            <w:r w:rsidR="007E0C03">
              <w:rPr>
                <w:rFonts w:eastAsia="Times New Roman"/>
                <w:sz w:val="20"/>
              </w:rPr>
              <w:t>, gan grantu, gan</w:t>
            </w:r>
            <w:r w:rsidRPr="00930237">
              <w:rPr>
                <w:rFonts w:eastAsia="Times New Roman"/>
                <w:sz w:val="20"/>
              </w:rPr>
              <w:t xml:space="preserve"> finanšu instrumentu izmantošana</w:t>
            </w:r>
            <w:r w:rsidR="007E0C03">
              <w:rPr>
                <w:rFonts w:eastAsia="Times New Roman"/>
                <w:sz w:val="20"/>
              </w:rPr>
              <w:t xml:space="preserve">, </w:t>
            </w:r>
            <w:r w:rsidR="007E0C03" w:rsidRPr="678DA801">
              <w:rPr>
                <w:rFonts w:eastAsia="Times New Roman"/>
                <w:sz w:val="20"/>
              </w:rPr>
              <w:t>ņemot vērā identificēto tirgus nepilnību komercbanku kreditēšanā uzņēmēju investīciju projektu attīstīšanai, svarīgi ir sniegt tādus valsts atbalsta instrumentus, kas paredz P&amp;A aktivitātes stiprināšanu privātajā sektorā, tādējādi kāpinot kopējo tautsaimniecības produktivitāti un produktu ar augstāku pievienoto vērtību radīšanu, kas nereti uzņēmumiem saistās ar augsta riska investīciju projektu īstenošanu.</w:t>
            </w:r>
          </w:p>
          <w:p w14:paraId="5F4B252D" w14:textId="1A629CA8" w:rsidR="00487038" w:rsidRPr="00930237" w:rsidRDefault="00487038" w:rsidP="00487038">
            <w:pPr>
              <w:spacing w:before="0" w:after="0"/>
              <w:rPr>
                <w:rFonts w:eastAsia="Times New Roman"/>
                <w:sz w:val="20"/>
                <w:lang w:bidi="ar-SA"/>
              </w:rPr>
            </w:pPr>
          </w:p>
        </w:tc>
      </w:tr>
      <w:tr w:rsidR="00AC212B" w:rsidRPr="004652BF" w14:paraId="06CC22E2" w14:textId="77777777" w:rsidTr="000E58E3">
        <w:tc>
          <w:tcPr>
            <w:tcW w:w="556" w:type="pct"/>
            <w:vMerge/>
          </w:tcPr>
          <w:p w14:paraId="45E470A1" w14:textId="77777777" w:rsidR="00AC212B" w:rsidRPr="004652BF" w:rsidRDefault="00AC212B" w:rsidP="00487038">
            <w:pPr>
              <w:spacing w:before="0" w:after="0"/>
              <w:rPr>
                <w:rFonts w:eastAsia="Times New Roman"/>
                <w:iCs/>
                <w:noProof/>
                <w:sz w:val="20"/>
              </w:rPr>
            </w:pPr>
          </w:p>
        </w:tc>
        <w:tc>
          <w:tcPr>
            <w:tcW w:w="759" w:type="pct"/>
          </w:tcPr>
          <w:p w14:paraId="7FACC228" w14:textId="594018AC" w:rsidR="00E4292F" w:rsidRPr="004652BF" w:rsidRDefault="00AC212B" w:rsidP="00487038">
            <w:pPr>
              <w:spacing w:before="0" w:after="0"/>
              <w:rPr>
                <w:rFonts w:eastAsia="Times New Roman"/>
                <w:iCs/>
                <w:noProof/>
                <w:sz w:val="20"/>
              </w:rPr>
            </w:pPr>
            <w:r w:rsidRPr="004652BF">
              <w:rPr>
                <w:rFonts w:eastAsia="Times New Roman"/>
                <w:iCs/>
                <w:noProof/>
                <w:sz w:val="20"/>
              </w:rPr>
              <w:t xml:space="preserve">1.2.2.SAM </w:t>
            </w:r>
          </w:p>
          <w:p w14:paraId="66232675" w14:textId="5E5E0EFB" w:rsidR="00E4292F" w:rsidRPr="004652BF" w:rsidRDefault="00E4292F" w:rsidP="00487038">
            <w:pPr>
              <w:spacing w:before="0" w:after="0"/>
              <w:rPr>
                <w:rFonts w:eastAsia="Times New Roman"/>
                <w:iCs/>
                <w:noProof/>
                <w:sz w:val="20"/>
              </w:rPr>
            </w:pPr>
            <w:r w:rsidRPr="004652BF">
              <w:rPr>
                <w:rFonts w:eastAsia="Times New Roman"/>
                <w:iCs/>
                <w:noProof/>
                <w:sz w:val="20"/>
              </w:rPr>
              <w:t>Izmantot digitalizācijas priekšrocības uzņēmējdarbības attīstībai</w:t>
            </w:r>
          </w:p>
          <w:p w14:paraId="49E0FEA2" w14:textId="77777777" w:rsidR="00E4292F" w:rsidRPr="004652BF" w:rsidRDefault="00E4292F" w:rsidP="00487038">
            <w:pPr>
              <w:spacing w:before="0" w:after="0"/>
              <w:rPr>
                <w:rFonts w:eastAsia="Times New Roman"/>
                <w:iCs/>
                <w:noProof/>
                <w:sz w:val="20"/>
              </w:rPr>
            </w:pPr>
          </w:p>
          <w:p w14:paraId="0F7C1316" w14:textId="504334AB" w:rsidR="00E4292F" w:rsidRPr="004652BF" w:rsidRDefault="00D555D5" w:rsidP="00487038">
            <w:pPr>
              <w:spacing w:before="0" w:after="0"/>
              <w:rPr>
                <w:rFonts w:eastAsia="Times New Roman"/>
                <w:iCs/>
                <w:noProof/>
                <w:sz w:val="20"/>
              </w:rPr>
            </w:pPr>
            <w:r w:rsidRPr="004652BF">
              <w:rPr>
                <w:rFonts w:eastAsia="Times New Roman"/>
                <w:iCs/>
                <w:noProof/>
                <w:sz w:val="20"/>
              </w:rPr>
              <w:t>1.3.1.SAM</w:t>
            </w:r>
          </w:p>
          <w:p w14:paraId="67C1A6A7" w14:textId="106BB7EF" w:rsidR="00AC212B" w:rsidRPr="004652BF" w:rsidRDefault="00AC212B" w:rsidP="00487038">
            <w:pPr>
              <w:spacing w:before="0" w:after="0"/>
              <w:rPr>
                <w:rFonts w:eastAsia="Times New Roman"/>
                <w:iCs/>
                <w:noProof/>
                <w:sz w:val="20"/>
              </w:rPr>
            </w:pPr>
            <w:r w:rsidRPr="004652BF">
              <w:rPr>
                <w:rFonts w:eastAsia="Times New Roman"/>
                <w:iCs/>
                <w:noProof/>
                <w:sz w:val="20"/>
              </w:rPr>
              <w:t>Izmantot digitalizācijas priekšrocības pilsoņiem, uzņēmumiem un valdībām</w:t>
            </w:r>
          </w:p>
          <w:p w14:paraId="0B235087" w14:textId="77777777" w:rsidR="00AC212B" w:rsidRPr="004652BF" w:rsidRDefault="00AC212B" w:rsidP="00487038">
            <w:pPr>
              <w:spacing w:before="0" w:after="0"/>
              <w:rPr>
                <w:rFonts w:eastAsia="Times New Roman"/>
                <w:iCs/>
                <w:noProof/>
                <w:sz w:val="20"/>
              </w:rPr>
            </w:pPr>
          </w:p>
        </w:tc>
        <w:tc>
          <w:tcPr>
            <w:tcW w:w="3685" w:type="pct"/>
          </w:tcPr>
          <w:p w14:paraId="64D5082F" w14:textId="751D2EFF" w:rsidR="00AC212B" w:rsidRPr="004652BF" w:rsidRDefault="00AC212B" w:rsidP="00487038">
            <w:pPr>
              <w:spacing w:before="0" w:after="0"/>
              <w:rPr>
                <w:rFonts w:eastAsia="Times New Roman"/>
                <w:sz w:val="20"/>
              </w:rPr>
            </w:pPr>
            <w:r w:rsidRPr="004652BF">
              <w:rPr>
                <w:rFonts w:eastAsia="Times New Roman"/>
                <w:sz w:val="20"/>
              </w:rPr>
              <w:t>Lai</w:t>
            </w:r>
            <w:r w:rsidR="00FE1506">
              <w:rPr>
                <w:rFonts w:eastAsia="Times New Roman"/>
                <w:sz w:val="20"/>
              </w:rPr>
              <w:t xml:space="preserve"> </w:t>
            </w:r>
            <w:r w:rsidR="00FE1506" w:rsidRPr="00FE1506">
              <w:rPr>
                <w:rFonts w:eastAsia="Times New Roman"/>
                <w:sz w:val="20"/>
              </w:rPr>
              <w:t>sekmētu digitālo transformāciju</w:t>
            </w:r>
            <w:r w:rsidRPr="004652BF">
              <w:rPr>
                <w:rFonts w:eastAsia="Times New Roman"/>
                <w:sz w:val="20"/>
              </w:rPr>
              <w:t xml:space="preserve"> Latvijā un </w:t>
            </w:r>
            <w:r w:rsidR="00FE1506" w:rsidRPr="00FE1506">
              <w:rPr>
                <w:rFonts w:eastAsia="Times New Roman"/>
                <w:sz w:val="20"/>
              </w:rPr>
              <w:t>risinātu tās izaicinājumus</w:t>
            </w:r>
            <w:r w:rsidRPr="004652BF">
              <w:rPr>
                <w:rFonts w:eastAsia="Times New Roman"/>
                <w:sz w:val="20"/>
              </w:rPr>
              <w:t xml:space="preserve">, ir plānoti ieguldījumi 1.2.2.SAM </w:t>
            </w:r>
            <w:r w:rsidR="007421A7" w:rsidRPr="004652BF">
              <w:rPr>
                <w:rFonts w:eastAsia="Times New Roman"/>
                <w:sz w:val="20"/>
              </w:rPr>
              <w:t>ietvaros, kas cels</w:t>
            </w:r>
            <w:r w:rsidRPr="004652BF">
              <w:rPr>
                <w:rFonts w:eastAsia="Times New Roman"/>
                <w:sz w:val="20"/>
              </w:rPr>
              <w:t xml:space="preserve"> </w:t>
            </w:r>
            <w:r w:rsidR="004E6451" w:rsidRPr="004652BF">
              <w:rPr>
                <w:rFonts w:eastAsia="Times New Roman"/>
                <w:sz w:val="20"/>
              </w:rPr>
              <w:t xml:space="preserve">privātā sektora </w:t>
            </w:r>
            <w:r w:rsidRPr="004652BF">
              <w:rPr>
                <w:rFonts w:eastAsia="Times New Roman"/>
                <w:sz w:val="20"/>
              </w:rPr>
              <w:t xml:space="preserve">darbaspēka </w:t>
            </w:r>
            <w:r w:rsidR="009958E9" w:rsidRPr="004652BF">
              <w:rPr>
                <w:rFonts w:eastAsia="Times New Roman"/>
                <w:sz w:val="20"/>
              </w:rPr>
              <w:t xml:space="preserve">specializētas </w:t>
            </w:r>
            <w:r w:rsidR="00A4677E" w:rsidRPr="004652BF">
              <w:rPr>
                <w:rFonts w:eastAsia="Times New Roman"/>
                <w:sz w:val="20"/>
              </w:rPr>
              <w:t xml:space="preserve">digitālās </w:t>
            </w:r>
            <w:r w:rsidRPr="004652BF">
              <w:rPr>
                <w:rFonts w:eastAsia="Times New Roman"/>
                <w:sz w:val="20"/>
              </w:rPr>
              <w:t xml:space="preserve"> </w:t>
            </w:r>
            <w:r w:rsidR="007421A7" w:rsidRPr="004652BF">
              <w:rPr>
                <w:rFonts w:eastAsia="Times New Roman"/>
                <w:sz w:val="20"/>
              </w:rPr>
              <w:t>līmeņa prasmes</w:t>
            </w:r>
            <w:r w:rsidR="00A4677E" w:rsidRPr="004652BF">
              <w:rPr>
                <w:rFonts w:eastAsia="Times New Roman"/>
                <w:sz w:val="20"/>
              </w:rPr>
              <w:t>, kā uzņēmumu tiešsaistes tirdzniecības platformu izveide/e-komercija, datu analītika, darbības jomas specifisku lietojumprogrammu apguve un citas,</w:t>
            </w:r>
            <w:r w:rsidR="007421A7" w:rsidRPr="004652BF">
              <w:rPr>
                <w:rFonts w:eastAsia="Times New Roman"/>
                <w:sz w:val="20"/>
              </w:rPr>
              <w:t xml:space="preserve"> kā arī</w:t>
            </w:r>
            <w:r w:rsidR="00A4677E" w:rsidRPr="004652BF">
              <w:rPr>
                <w:rFonts w:eastAsia="Times New Roman"/>
                <w:sz w:val="20"/>
              </w:rPr>
              <w:t xml:space="preserve"> tiks veikti</w:t>
            </w:r>
            <w:r w:rsidR="007421A7" w:rsidRPr="004652BF">
              <w:rPr>
                <w:rFonts w:eastAsia="Times New Roman"/>
                <w:sz w:val="20"/>
              </w:rPr>
              <w:t xml:space="preserve"> ieguldījumi 1.3.1.SAM ietvaros, </w:t>
            </w:r>
            <w:r w:rsidRPr="004652BF">
              <w:rPr>
                <w:rFonts w:eastAsia="Times New Roman"/>
                <w:sz w:val="20"/>
              </w:rPr>
              <w:t xml:space="preserve">  </w:t>
            </w:r>
            <w:r w:rsidR="00FE1506">
              <w:rPr>
                <w:rFonts w:eastAsia="Times New Roman"/>
                <w:sz w:val="20"/>
              </w:rPr>
              <w:t xml:space="preserve">kas </w:t>
            </w:r>
            <w:r w:rsidRPr="004652BF">
              <w:rPr>
                <w:rFonts w:eastAsia="Times New Roman"/>
                <w:sz w:val="20"/>
              </w:rPr>
              <w:t>veicinā</w:t>
            </w:r>
            <w:r w:rsidR="00FE1506">
              <w:rPr>
                <w:rFonts w:eastAsia="Times New Roman"/>
                <w:sz w:val="20"/>
              </w:rPr>
              <w:t>s</w:t>
            </w:r>
            <w:r w:rsidRPr="004652BF">
              <w:rPr>
                <w:rFonts w:eastAsia="Times New Roman"/>
                <w:sz w:val="20"/>
              </w:rPr>
              <w:t xml:space="preserve"> digitālo tehnoloģiju pielietošan</w:t>
            </w:r>
            <w:r w:rsidR="00FE1506">
              <w:rPr>
                <w:rFonts w:eastAsia="Times New Roman"/>
                <w:sz w:val="20"/>
              </w:rPr>
              <w:t>u</w:t>
            </w:r>
            <w:r w:rsidRPr="004652BF">
              <w:rPr>
                <w:rFonts w:eastAsia="Times New Roman"/>
                <w:sz w:val="20"/>
              </w:rPr>
              <w:t xml:space="preserve"> dažādos uzņēmējdarbības procesos (automatizācija, robotizācija, mākslīgā intelekta</w:t>
            </w:r>
            <w:r w:rsidR="007421A7" w:rsidRPr="004652BF">
              <w:rPr>
                <w:rFonts w:eastAsia="Times New Roman"/>
                <w:sz w:val="20"/>
              </w:rPr>
              <w:t xml:space="preserve">. </w:t>
            </w:r>
            <w:r w:rsidR="00CB2C9E" w:rsidRPr="004652BF">
              <w:rPr>
                <w:rFonts w:eastAsia="Times New Roman"/>
                <w:sz w:val="20"/>
              </w:rPr>
              <w:t xml:space="preserve"> </w:t>
            </w:r>
            <w:r w:rsidR="00A4677E" w:rsidRPr="004652BF">
              <w:rPr>
                <w:rFonts w:eastAsia="Times New Roman"/>
                <w:sz w:val="20"/>
              </w:rPr>
              <w:t>māko</w:t>
            </w:r>
            <w:r w:rsidR="00CB2C9E" w:rsidRPr="004652BF">
              <w:rPr>
                <w:rFonts w:eastAsia="Times New Roman"/>
                <w:sz w:val="20"/>
              </w:rPr>
              <w:t>ņ</w:t>
            </w:r>
            <w:r w:rsidR="00A4677E" w:rsidRPr="004652BF">
              <w:rPr>
                <w:rFonts w:eastAsia="Times New Roman"/>
                <w:sz w:val="20"/>
              </w:rPr>
              <w:t>pakalpojumu</w:t>
            </w:r>
            <w:r w:rsidRPr="004652BF">
              <w:rPr>
                <w:rFonts w:eastAsia="Times New Roman"/>
                <w:sz w:val="20"/>
              </w:rPr>
              <w:t xml:space="preserve"> un citu rīku plašāka pielietošana), </w:t>
            </w:r>
            <w:r w:rsidR="004E6451" w:rsidRPr="004652BF">
              <w:rPr>
                <w:rFonts w:eastAsia="Times New Roman"/>
                <w:sz w:val="20"/>
              </w:rPr>
              <w:t>veicināta inovatīvu tehnoloģiju izmantošana platformu attīstībā</w:t>
            </w:r>
            <w:r w:rsidRPr="004652BF">
              <w:rPr>
                <w:rFonts w:eastAsia="Times New Roman"/>
                <w:sz w:val="20"/>
              </w:rPr>
              <w:t>, kā arī tiks veikta publisko informācijas sistēmu atvēršana izmantošanai privātajam sektoram jaunu, inovatīvu pakalpojumu veidošanai</w:t>
            </w:r>
            <w:r w:rsidR="004E6451" w:rsidRPr="004652BF">
              <w:rPr>
                <w:rFonts w:eastAsia="Times New Roman"/>
                <w:sz w:val="20"/>
              </w:rPr>
              <w:t>, t.sk. ņemot vērā ES fondu IKT jomas izvērtējumā</w:t>
            </w:r>
            <w:r w:rsidR="004E6451" w:rsidRPr="004652BF">
              <w:rPr>
                <w:rFonts w:eastAsia="Times New Roman"/>
                <w:sz w:val="20"/>
                <w:vertAlign w:val="superscript"/>
              </w:rPr>
              <w:footnoteReference w:id="46"/>
            </w:r>
            <w:r w:rsidR="004E6451" w:rsidRPr="004652BF">
              <w:rPr>
                <w:rFonts w:eastAsia="Times New Roman"/>
                <w:sz w:val="20"/>
                <w:vertAlign w:val="superscript"/>
              </w:rPr>
              <w:t xml:space="preserve"> </w:t>
            </w:r>
            <w:r w:rsidR="004E6451" w:rsidRPr="004652BF">
              <w:rPr>
                <w:rFonts w:eastAsia="Times New Roman"/>
                <w:sz w:val="20"/>
              </w:rPr>
              <w:t>rekomendēto</w:t>
            </w:r>
            <w:r w:rsidRPr="004652BF">
              <w:rPr>
                <w:rFonts w:eastAsia="Times New Roman"/>
                <w:sz w:val="20"/>
              </w:rPr>
              <w:t xml:space="preserve">. </w:t>
            </w:r>
          </w:p>
          <w:p w14:paraId="5BA7D54E" w14:textId="740F0A00" w:rsidR="00AC212B" w:rsidRPr="004652BF" w:rsidRDefault="00AC212B" w:rsidP="00487038">
            <w:pPr>
              <w:spacing w:before="0" w:after="0"/>
              <w:rPr>
                <w:rFonts w:eastAsia="Times New Roman"/>
                <w:sz w:val="20"/>
              </w:rPr>
            </w:pPr>
            <w:r w:rsidRPr="004652BF">
              <w:rPr>
                <w:rFonts w:eastAsia="Times New Roman"/>
                <w:sz w:val="20"/>
              </w:rPr>
              <w:t>Tā kā uzņēmējiem trūkst iespēju, kur izvietot savus izstrādātos risinājumus, veikt to testēšanu, trūkst platformas, ko izmantot kā bāzi pakalpojumu izvietošanai un pilnveidei</w:t>
            </w:r>
            <w:r w:rsidRPr="004652BF">
              <w:rPr>
                <w:rFonts w:eastAsia="Times New Roman"/>
                <w:sz w:val="20"/>
                <w:vertAlign w:val="superscript"/>
              </w:rPr>
              <w:footnoteReference w:id="47"/>
            </w:r>
            <w:r w:rsidRPr="004652BF">
              <w:rPr>
                <w:rFonts w:eastAsia="Times New Roman"/>
                <w:sz w:val="20"/>
              </w:rPr>
              <w:t>, nolūkā stiprināt valsts</w:t>
            </w:r>
            <w:r w:rsidR="00445E5D" w:rsidRPr="004652BF">
              <w:rPr>
                <w:rFonts w:eastAsia="Times New Roman"/>
                <w:sz w:val="20"/>
              </w:rPr>
              <w:t>,</w:t>
            </w:r>
            <w:r w:rsidRPr="004652BF">
              <w:rPr>
                <w:rFonts w:eastAsia="Times New Roman"/>
                <w:sz w:val="20"/>
              </w:rPr>
              <w:t xml:space="preserve"> </w:t>
            </w:r>
            <w:r w:rsidR="00445E5D" w:rsidRPr="004652BF">
              <w:rPr>
                <w:rFonts w:eastAsia="Times New Roman"/>
                <w:color w:val="000000"/>
                <w:sz w:val="20"/>
              </w:rPr>
              <w:t xml:space="preserve">pašvaldību un </w:t>
            </w:r>
            <w:r w:rsidRPr="004652BF">
              <w:rPr>
                <w:rFonts w:eastAsia="Times New Roman"/>
                <w:sz w:val="20"/>
              </w:rPr>
              <w:t xml:space="preserve">uzņēmumu sadarbību IKT jomā un veicināt efektivitāti, </w:t>
            </w:r>
            <w:r w:rsidR="004E6451" w:rsidRPr="004652BF">
              <w:rPr>
                <w:rFonts w:eastAsia="Times New Roman"/>
                <w:sz w:val="20"/>
              </w:rPr>
              <w:t>investīcijas tiks veiktas ar mērķi</w:t>
            </w:r>
            <w:r w:rsidRPr="004652BF">
              <w:rPr>
                <w:rFonts w:eastAsia="Times New Roman"/>
                <w:sz w:val="20"/>
              </w:rPr>
              <w:t xml:space="preserve"> attīstīt valsts</w:t>
            </w:r>
            <w:r w:rsidR="001B067E" w:rsidRPr="004652BF">
              <w:rPr>
                <w:rFonts w:eastAsia="Times New Roman"/>
                <w:sz w:val="20"/>
              </w:rPr>
              <w:t>, t.sk.</w:t>
            </w:r>
            <w:r w:rsidR="008E36A8" w:rsidRPr="004652BF">
              <w:rPr>
                <w:rFonts w:eastAsia="Times New Roman"/>
                <w:sz w:val="20"/>
              </w:rPr>
              <w:t xml:space="preserve"> pašvaldību </w:t>
            </w:r>
            <w:r w:rsidR="004E6451" w:rsidRPr="004652BF">
              <w:rPr>
                <w:rFonts w:eastAsia="Times New Roman"/>
                <w:sz w:val="20"/>
              </w:rPr>
              <w:t>digitālo</w:t>
            </w:r>
            <w:r w:rsidRPr="004652BF">
              <w:rPr>
                <w:rFonts w:eastAsia="Times New Roman"/>
                <w:sz w:val="20"/>
              </w:rPr>
              <w:t xml:space="preserve"> infrastruktūr</w:t>
            </w:r>
            <w:r w:rsidR="001B067E" w:rsidRPr="004652BF">
              <w:rPr>
                <w:rFonts w:eastAsia="Times New Roman"/>
                <w:sz w:val="20"/>
              </w:rPr>
              <w:t>u kā platformu</w:t>
            </w:r>
            <w:r w:rsidRPr="004652BF">
              <w:rPr>
                <w:rFonts w:eastAsia="Times New Roman"/>
                <w:sz w:val="20"/>
              </w:rPr>
              <w:t>,</w:t>
            </w:r>
            <w:r w:rsidR="004E6451" w:rsidRPr="004652BF">
              <w:rPr>
                <w:rFonts w:eastAsia="Times New Roman"/>
                <w:sz w:val="20"/>
              </w:rPr>
              <w:t xml:space="preserve"> piemērojot inovatīvu pieeju</w:t>
            </w:r>
            <w:r w:rsidR="00FE1506">
              <w:rPr>
                <w:rFonts w:eastAsia="Times New Roman"/>
                <w:sz w:val="20"/>
              </w:rPr>
              <w:t xml:space="preserve"> </w:t>
            </w:r>
            <w:r w:rsidR="004E6451" w:rsidRPr="004652BF">
              <w:rPr>
                <w:rFonts w:eastAsia="Times New Roman"/>
                <w:sz w:val="20"/>
              </w:rPr>
              <w:t>-</w:t>
            </w:r>
            <w:r w:rsidRPr="004652BF">
              <w:rPr>
                <w:rFonts w:eastAsia="Times New Roman"/>
                <w:sz w:val="20"/>
              </w:rPr>
              <w:t xml:space="preserve"> radot uzņēmējiem iespēju izmantot platformu risinājumu tālākai</w:t>
            </w:r>
            <w:r w:rsidR="004E6451" w:rsidRPr="004652BF">
              <w:rPr>
                <w:rFonts w:eastAsia="Times New Roman"/>
                <w:sz w:val="20"/>
              </w:rPr>
              <w:t xml:space="preserve"> inovatīvai</w:t>
            </w:r>
            <w:r w:rsidRPr="004652BF">
              <w:rPr>
                <w:rFonts w:eastAsia="Times New Roman"/>
                <w:sz w:val="20"/>
              </w:rPr>
              <w:t xml:space="preserve"> integrācijai un pilnveidošanai, jaunu un inovatīvus IKT risinājumu attīstīšanai un vienlaicīgi vienkāršojot un transformējot dažādu pārvaldes līmeņu pakalpojumu procedūras proaktīvā un </w:t>
            </w:r>
            <w:r w:rsidR="00FE1506" w:rsidRPr="004652BF">
              <w:rPr>
                <w:rFonts w:eastAsia="Times New Roman"/>
                <w:sz w:val="20"/>
              </w:rPr>
              <w:t>klient</w:t>
            </w:r>
            <w:r w:rsidR="00FE1506">
              <w:rPr>
                <w:rFonts w:eastAsia="Times New Roman"/>
                <w:sz w:val="20"/>
              </w:rPr>
              <w:t xml:space="preserve">orientētā </w:t>
            </w:r>
            <w:r w:rsidRPr="004652BF">
              <w:rPr>
                <w:rFonts w:eastAsia="Times New Roman"/>
                <w:sz w:val="20"/>
              </w:rPr>
              <w:t xml:space="preserve">veidā. Tas kopumā ļaus uzlabot </w:t>
            </w:r>
            <w:r w:rsidR="00FE1506">
              <w:rPr>
                <w:rFonts w:eastAsia="Times New Roman"/>
                <w:sz w:val="20"/>
              </w:rPr>
              <w:t>elektronisko</w:t>
            </w:r>
            <w:r w:rsidR="00FE1506" w:rsidRPr="004652BF">
              <w:rPr>
                <w:rFonts w:eastAsia="Times New Roman"/>
                <w:sz w:val="20"/>
              </w:rPr>
              <w:t xml:space="preserve"> </w:t>
            </w:r>
            <w:r w:rsidRPr="004652BF">
              <w:rPr>
                <w:rFonts w:eastAsia="Times New Roman"/>
                <w:sz w:val="20"/>
              </w:rPr>
              <w:t>pakalpojumu kvalitāti, sistēmu savietojamību un atvērto datu pieejamību un izmantošanu un tādējādi tiks sekmēta arī Latvijas nacionālā pozīciju DESI indeksā, jo tas ir būtisks investīciju piesaistes aspekts</w:t>
            </w:r>
            <w:r w:rsidRPr="004652BF">
              <w:rPr>
                <w:rFonts w:eastAsia="Times New Roman"/>
                <w:sz w:val="20"/>
                <w:vertAlign w:val="superscript"/>
              </w:rPr>
              <w:footnoteReference w:id="48"/>
            </w:r>
            <w:r w:rsidRPr="004652BF">
              <w:rPr>
                <w:rFonts w:eastAsia="Times New Roman"/>
                <w:sz w:val="20"/>
                <w:vertAlign w:val="superscript"/>
              </w:rPr>
              <w:t>.</w:t>
            </w:r>
          </w:p>
          <w:p w14:paraId="50AEF032" w14:textId="77777777" w:rsidR="00AC212B" w:rsidRPr="004652BF" w:rsidRDefault="00AC212B" w:rsidP="00487038">
            <w:pPr>
              <w:spacing w:before="0" w:after="0"/>
              <w:rPr>
                <w:rFonts w:eastAsia="Times New Roman"/>
                <w:sz w:val="20"/>
              </w:rPr>
            </w:pPr>
            <w:r w:rsidRPr="004652BF">
              <w:rPr>
                <w:rFonts w:eastAsia="Times New Roman"/>
                <w:sz w:val="20"/>
              </w:rPr>
              <w:t>Ņemot vērā identificēto tirgus nepilnību komercbanku kreditēšanā uzņēmēju investīciju projektu attīstīšanai, svarīgi ir sniegt tādus valsts atbalsta instrumentus, kas paredz digitalizācijas aktivitātes stiprināšanu privātajā sektorā, tādējādi kāpinot kopējo tautsaimniecības produktivitāti un produktu ar augstāku pievienoto vērtību radīšanu, kas nereti uzņēmumiem saistās ar augsta riska investīciju projektu īstenošanu.</w:t>
            </w:r>
          </w:p>
          <w:p w14:paraId="6241865A" w14:textId="53986932" w:rsidR="00487038" w:rsidRPr="004652BF" w:rsidRDefault="00871DCE" w:rsidP="00487038">
            <w:pPr>
              <w:spacing w:before="0" w:after="0"/>
              <w:contextualSpacing/>
              <w:rPr>
                <w:rFonts w:eastAsia="Times New Roman"/>
                <w:sz w:val="20"/>
              </w:rPr>
            </w:pPr>
            <w:r w:rsidRPr="004652BF">
              <w:rPr>
                <w:rFonts w:eastAsia="Times New Roman"/>
                <w:sz w:val="20"/>
              </w:rPr>
              <w:t>Lai tiktu nodrošināta iespēja ES mērogā tiešsaistē sniegt pakalpojumus un atbalstu iedzīvotājiem un uzņēmējiem, plānots īstenot pasākumus Eiropas Digitālās programmas 2021. - 2027. gadam un pakalpojumu pārrobežu pieejamības ieviešanai, kā arī piekļūstamības nodrošināšanai</w:t>
            </w:r>
            <w:r w:rsidR="007421A7" w:rsidRPr="004652BF">
              <w:rPr>
                <w:rFonts w:eastAsia="Times New Roman"/>
                <w:sz w:val="20"/>
              </w:rPr>
              <w:t>, kā rezultātā ir paredzēts Latvijas valsts līdzfinansējums Eiropas Digitālo inovāciju centru programmas īstenošanai un grants Latvijas uzņēmēju starptautiska līmeņa programmu pieteikumu rezultātā ieguvušo “Seal of Excellence" zīmoga atbalstam.</w:t>
            </w:r>
          </w:p>
        </w:tc>
      </w:tr>
      <w:tr w:rsidR="00AC212B" w:rsidRPr="00930237" w14:paraId="5362455F" w14:textId="77777777" w:rsidTr="000E58E3">
        <w:tc>
          <w:tcPr>
            <w:tcW w:w="556" w:type="pct"/>
            <w:vMerge/>
          </w:tcPr>
          <w:p w14:paraId="6062F910" w14:textId="77777777" w:rsidR="00AC212B" w:rsidRPr="00930237" w:rsidRDefault="00AC212B" w:rsidP="00487038">
            <w:pPr>
              <w:spacing w:before="0" w:after="0"/>
              <w:rPr>
                <w:rFonts w:eastAsia="Times New Roman"/>
                <w:iCs/>
                <w:noProof/>
                <w:sz w:val="20"/>
              </w:rPr>
            </w:pPr>
          </w:p>
        </w:tc>
        <w:tc>
          <w:tcPr>
            <w:tcW w:w="759" w:type="pct"/>
          </w:tcPr>
          <w:p w14:paraId="4FF9C728" w14:textId="5867E6A3" w:rsidR="00AC212B" w:rsidRPr="00930237" w:rsidRDefault="00AC212B" w:rsidP="00487038">
            <w:pPr>
              <w:spacing w:before="0" w:after="0"/>
              <w:rPr>
                <w:rFonts w:eastAsia="Times New Roman"/>
                <w:iCs/>
                <w:noProof/>
                <w:sz w:val="20"/>
              </w:rPr>
            </w:pPr>
            <w:r w:rsidRPr="00930237">
              <w:rPr>
                <w:rFonts w:eastAsia="Times New Roman"/>
                <w:iCs/>
                <w:noProof/>
                <w:sz w:val="20"/>
              </w:rPr>
              <w:t xml:space="preserve">1.2.3.SAM </w:t>
            </w:r>
          </w:p>
          <w:p w14:paraId="3C5A3C66" w14:textId="2C515E46" w:rsidR="00AC212B" w:rsidRPr="00930237" w:rsidRDefault="00AC212B" w:rsidP="006235AC">
            <w:pPr>
              <w:spacing w:before="0" w:after="0"/>
              <w:rPr>
                <w:rFonts w:eastAsia="Times New Roman"/>
                <w:iCs/>
                <w:noProof/>
                <w:sz w:val="20"/>
              </w:rPr>
            </w:pPr>
            <w:r w:rsidRPr="00930237">
              <w:rPr>
                <w:sz w:val="20"/>
              </w:rPr>
              <w:t xml:space="preserve">Veicināt izaugsmi, konkurētspēju un jaunu darba vietu radīšanu </w:t>
            </w:r>
            <w:r w:rsidR="00386567" w:rsidRPr="00930237">
              <w:rPr>
                <w:sz w:val="20"/>
              </w:rPr>
              <w:t>MV</w:t>
            </w:r>
            <w:r w:rsidR="006235AC">
              <w:rPr>
                <w:sz w:val="20"/>
              </w:rPr>
              <w:t>U</w:t>
            </w:r>
            <w:r w:rsidRPr="00930237">
              <w:rPr>
                <w:sz w:val="20"/>
              </w:rPr>
              <w:t>, tai skaitā caur produktivitāti veicinošām investīcijām.</w:t>
            </w:r>
          </w:p>
        </w:tc>
        <w:tc>
          <w:tcPr>
            <w:tcW w:w="3685" w:type="pct"/>
          </w:tcPr>
          <w:p w14:paraId="6CCBD9FC" w14:textId="77777777" w:rsidR="00AC212B" w:rsidRPr="00930237" w:rsidRDefault="00AC212B" w:rsidP="00487038">
            <w:pPr>
              <w:spacing w:before="0" w:after="0"/>
              <w:rPr>
                <w:rFonts w:eastAsia="Times New Roman"/>
                <w:iCs/>
                <w:noProof/>
                <w:sz w:val="20"/>
              </w:rPr>
            </w:pPr>
            <w:r w:rsidRPr="00930237">
              <w:rPr>
                <w:rFonts w:eastAsia="Times New Roman"/>
                <w:iCs/>
                <w:noProof/>
                <w:sz w:val="20"/>
              </w:rPr>
              <w:t xml:space="preserve">Lai adresētu Latvijas galvenos konkurētspējas izaicinājumus  – zemi produktivitātes rādītāji, zemas pievienotās vērtības produkti un ar to saistītais zemais privāto investīciju P&amp;A īpatsvars, zems inovatīvo komersantu īpatsvars, augstas resursu intensitātes un sadarbības un integrācijas trūkums globālajās vērtības ķēdēs, turpmāk Latvijas konkurētspējas priekšrocības balstītāmas uz inovāciju, tehnoloģiskajiem faktoriem un uzlabojumiem ražošanas produktivitātē. Latvijas ekonomikas attīstība un izaugsme ir saistīta ar iespējām iekļūt eksporta tirgos. </w:t>
            </w:r>
          </w:p>
          <w:p w14:paraId="63769CF1" w14:textId="3A20B7F2" w:rsidR="00AC212B" w:rsidRPr="00930237" w:rsidRDefault="00AC212B" w:rsidP="00487038">
            <w:pPr>
              <w:spacing w:before="0" w:after="0"/>
              <w:rPr>
                <w:rFonts w:eastAsia="Times New Roman"/>
                <w:iCs/>
                <w:noProof/>
                <w:sz w:val="20"/>
              </w:rPr>
            </w:pPr>
            <w:r w:rsidRPr="00930237">
              <w:rPr>
                <w:rFonts w:eastAsia="Times New Roman"/>
                <w:noProof/>
                <w:sz w:val="20"/>
              </w:rPr>
              <w:t xml:space="preserve">Attiecīgi nepieciešams viecināt jaunu tehnoloģiski intensīvu komersantu rašanos, motivējot tos radīt un attīstīt produktus, tehnoloģijas ar augstu pievienoto vērtību (nefinansiāls atbalsts komersantiem). Nodrošināt jaunradītu tehnoloģiki intensīvu komersantu inkubāciju, to ietvaros akcentējot P&amp;A&amp;I komponenti (atbalsts grantu veidā,  nefinansiāls atbalsts). Nepieciešams </w:t>
            </w:r>
            <w:r w:rsidRPr="00930237">
              <w:rPr>
                <w:rFonts w:eastAsia="Times New Roman"/>
                <w:iCs/>
                <w:noProof/>
                <w:sz w:val="20"/>
              </w:rPr>
              <w:t>stiprināt un pilnveidot zināšanu pārneses sistēmu,</w:t>
            </w:r>
            <w:r w:rsidR="004E6451" w:rsidRPr="004E6451">
              <w:rPr>
                <w:rFonts w:eastAsia="Times New Roman"/>
                <w:iCs/>
                <w:noProof/>
                <w:sz w:val="20"/>
              </w:rPr>
              <w:t xml:space="preserve"> t.sk. reģionālā līmenī,</w:t>
            </w:r>
            <w:r w:rsidRPr="00930237">
              <w:rPr>
                <w:rFonts w:eastAsia="Times New Roman"/>
                <w:iCs/>
                <w:noProof/>
                <w:sz w:val="20"/>
              </w:rPr>
              <w:t xml:space="preserve"> kuras galvenais mērķis ir pētniecības un uzņēmējdarbības sektora sadarbības veidošana un uzturēšana, zinātniskās darbības ciešāka sasaiste ar pieprasījumu no uzņēmējdarbības sektora puses, </w:t>
            </w:r>
            <w:r w:rsidRPr="00930237">
              <w:rPr>
                <w:rFonts w:eastAsia="Times New Roman"/>
                <w:noProof/>
                <w:sz w:val="20"/>
              </w:rPr>
              <w:t>investējot kopīgos projektos jaunu produktu un tehnoloģiju attīstīšanai, sekmētu pētniecības ideju komercializāciju (atbalsts grantu veidā, nefinansiāls atbalsts)</w:t>
            </w:r>
            <w:r w:rsidRPr="00930237">
              <w:rPr>
                <w:noProof/>
                <w:sz w:val="20"/>
              </w:rPr>
              <w:t xml:space="preserve">, kā arī </w:t>
            </w:r>
            <w:r w:rsidRPr="00930237">
              <w:rPr>
                <w:rFonts w:eastAsia="Times New Roman"/>
                <w:noProof/>
                <w:sz w:val="20"/>
              </w:rPr>
              <w:t>stiprināt zināšanu pārneses procesus. Vienlaikus nepieciešams nodrošināt uz inovācijām un zināšanām balstītu eksportspējīgu produktu un pakapojumu radīšanu, nodrošināt piekļuvi ārvalstu tirgiem (nefinansiāls atbalsts un atbalsts grantu veidā)</w:t>
            </w:r>
            <w:r w:rsidRPr="00930237">
              <w:rPr>
                <w:rFonts w:eastAsia="Times New Roman"/>
                <w:iCs/>
                <w:noProof/>
                <w:sz w:val="20"/>
              </w:rPr>
              <w:t xml:space="preserve">.  </w:t>
            </w:r>
          </w:p>
          <w:p w14:paraId="438F40CF" w14:textId="0ABB7957" w:rsidR="00AC212B" w:rsidRDefault="00AC212B" w:rsidP="00487038">
            <w:pPr>
              <w:spacing w:before="0" w:after="0"/>
              <w:rPr>
                <w:rFonts w:eastAsia="Times New Roman"/>
                <w:sz w:val="20"/>
              </w:rPr>
            </w:pPr>
            <w:r w:rsidRPr="00930237">
              <w:rPr>
                <w:rFonts w:eastAsia="Times New Roman"/>
                <w:iCs/>
                <w:noProof/>
                <w:sz w:val="20"/>
              </w:rPr>
              <w:t xml:space="preserve">Ļoti būtiski ir </w:t>
            </w:r>
            <w:r w:rsidRPr="00930237">
              <w:rPr>
                <w:rFonts w:eastAsia="Times New Roman"/>
                <w:noProof/>
                <w:sz w:val="20"/>
              </w:rPr>
              <w:t xml:space="preserve">nodrošināt atbalstu pilna uzņēmējdarbības attīstības cikla ietvaros, vienlaicīgi valsts intervenci fokusējot tieši RIS3 sfērās un pēc iespējas novēršot </w:t>
            </w:r>
            <w:r w:rsidRPr="00930237">
              <w:rPr>
                <w:rFonts w:eastAsia="Times New Roman"/>
                <w:iCs/>
                <w:noProof/>
                <w:sz w:val="20"/>
              </w:rPr>
              <w:t>pastāvošās tirgus nepilnības finansējuma pieejamībā,</w:t>
            </w:r>
            <w:r w:rsidR="004E6451">
              <w:rPr>
                <w:rFonts w:eastAsia="Times New Roman"/>
                <w:iCs/>
                <w:noProof/>
                <w:sz w:val="20"/>
              </w:rPr>
              <w:t xml:space="preserve"> t.sk. reģionos, </w:t>
            </w:r>
            <w:r w:rsidRPr="00930237">
              <w:rPr>
                <w:rFonts w:eastAsia="Times New Roman"/>
                <w:iCs/>
                <w:noProof/>
                <w:sz w:val="20"/>
              </w:rPr>
              <w:t xml:space="preserve"> kas bremžē P&amp;A&amp;I attīstību, kā arī jaunu uzņēmumu izveidi. </w:t>
            </w:r>
            <w:r w:rsidRPr="00930237">
              <w:rPr>
                <w:rFonts w:eastAsia="Times New Roman"/>
                <w:sz w:val="20"/>
              </w:rPr>
              <w:t xml:space="preserve">Plānots turpināt sniegt un izstrādāt jaunus valsts atbalsta instrumentus produktivitātes kāpināšanai un ar augstāku risku investīciju projektu atbalstīšana visos uzņēmumu attīstības līmeņos - gan </w:t>
            </w:r>
            <w:r w:rsidR="00386567" w:rsidRPr="00930237">
              <w:rPr>
                <w:rFonts w:eastAsia="Times New Roman"/>
                <w:sz w:val="20"/>
              </w:rPr>
              <w:t>MV</w:t>
            </w:r>
            <w:r w:rsidR="006235AC">
              <w:rPr>
                <w:rFonts w:eastAsia="Times New Roman"/>
                <w:sz w:val="20"/>
              </w:rPr>
              <w:t>U</w:t>
            </w:r>
            <w:r w:rsidR="008E36A8">
              <w:rPr>
                <w:rFonts w:eastAsia="Times New Roman"/>
                <w:sz w:val="20"/>
              </w:rPr>
              <w:t xml:space="preserve"> </w:t>
            </w:r>
            <w:r w:rsidR="008E36A8" w:rsidRPr="008E36A8">
              <w:rPr>
                <w:rFonts w:eastAsia="Times New Roman"/>
                <w:sz w:val="20"/>
              </w:rPr>
              <w:t>(t</w:t>
            </w:r>
            <w:r w:rsidR="00AC3040">
              <w:rPr>
                <w:rFonts w:eastAsia="Times New Roman"/>
                <w:sz w:val="20"/>
              </w:rPr>
              <w:t>.sk.,</w:t>
            </w:r>
            <w:r w:rsidR="008E36A8" w:rsidRPr="008E36A8">
              <w:rPr>
                <w:rFonts w:eastAsia="Times New Roman"/>
                <w:sz w:val="20"/>
              </w:rPr>
              <w:t>jaunuzņēmumiem),</w:t>
            </w:r>
            <w:r w:rsidRPr="00930237">
              <w:rPr>
                <w:rFonts w:eastAsia="Times New Roman"/>
                <w:sz w:val="20"/>
              </w:rPr>
              <w:t xml:space="preserve"> gan lieliem saimnieciskās darbības veicējiem. Vienlaikus tiks turpināmas iepriekšējā plānošanas periodā uzsāktās aktivitātes riska kapitāla </w:t>
            </w:r>
            <w:r w:rsidR="00D555D5" w:rsidRPr="00930237">
              <w:rPr>
                <w:rFonts w:eastAsia="Times New Roman"/>
                <w:sz w:val="20"/>
              </w:rPr>
              <w:t>instrumentu</w:t>
            </w:r>
            <w:r w:rsidRPr="00930237">
              <w:rPr>
                <w:rFonts w:eastAsia="Times New Roman"/>
                <w:sz w:val="20"/>
              </w:rPr>
              <w:t xml:space="preserve"> veidā</w:t>
            </w:r>
            <w:r w:rsidR="00690252">
              <w:rPr>
                <w:rFonts w:eastAsia="Times New Roman"/>
                <w:sz w:val="20"/>
              </w:rPr>
              <w:t xml:space="preserve"> </w:t>
            </w:r>
            <w:r w:rsidR="00690252" w:rsidRPr="678DA801">
              <w:rPr>
                <w:rFonts w:eastAsia="Times New Roman"/>
                <w:sz w:val="20"/>
              </w:rPr>
              <w:t>un MVU iesaistei kapitāla tirgū to konkurētspējas veicināšanai.</w:t>
            </w:r>
          </w:p>
          <w:p w14:paraId="586FC841" w14:textId="48280D33" w:rsidR="00487038" w:rsidRPr="00930237" w:rsidRDefault="00487038" w:rsidP="00487038">
            <w:pPr>
              <w:spacing w:before="0" w:after="0"/>
              <w:rPr>
                <w:rFonts w:eastAsia="Times New Roman"/>
                <w:iCs/>
                <w:noProof/>
                <w:sz w:val="20"/>
              </w:rPr>
            </w:pPr>
          </w:p>
        </w:tc>
      </w:tr>
      <w:tr w:rsidR="00AC212B" w:rsidRPr="00930237" w14:paraId="6E4A9E0D" w14:textId="77777777" w:rsidTr="000E58E3">
        <w:tc>
          <w:tcPr>
            <w:tcW w:w="556" w:type="pct"/>
            <w:vMerge/>
          </w:tcPr>
          <w:p w14:paraId="7C0C2C98" w14:textId="77777777" w:rsidR="00AC212B" w:rsidRPr="00930237" w:rsidRDefault="00AC212B" w:rsidP="00487038">
            <w:pPr>
              <w:spacing w:before="0" w:after="0"/>
              <w:rPr>
                <w:rFonts w:eastAsia="Times New Roman"/>
                <w:iCs/>
                <w:noProof/>
                <w:sz w:val="20"/>
              </w:rPr>
            </w:pPr>
          </w:p>
        </w:tc>
        <w:tc>
          <w:tcPr>
            <w:tcW w:w="759" w:type="pct"/>
          </w:tcPr>
          <w:p w14:paraId="7A17B050" w14:textId="565700E1" w:rsidR="00AC212B" w:rsidRPr="00930237" w:rsidRDefault="00AC212B" w:rsidP="00487038">
            <w:pPr>
              <w:spacing w:before="0" w:after="0"/>
              <w:rPr>
                <w:rFonts w:eastAsia="Times New Roman"/>
                <w:iCs/>
                <w:noProof/>
                <w:sz w:val="20"/>
              </w:rPr>
            </w:pPr>
            <w:r w:rsidRPr="00930237">
              <w:rPr>
                <w:rFonts w:eastAsia="Times New Roman"/>
                <w:iCs/>
                <w:noProof/>
                <w:sz w:val="20"/>
              </w:rPr>
              <w:t xml:space="preserve">1.1.2.SAM </w:t>
            </w:r>
          </w:p>
          <w:p w14:paraId="79D3D8E2" w14:textId="77777777" w:rsidR="00AC212B" w:rsidRPr="00930237" w:rsidRDefault="00AC212B" w:rsidP="00487038">
            <w:pPr>
              <w:spacing w:before="0" w:after="0"/>
              <w:rPr>
                <w:rFonts w:eastAsia="Times New Roman"/>
                <w:iCs/>
                <w:noProof/>
                <w:sz w:val="20"/>
              </w:rPr>
            </w:pPr>
            <w:r w:rsidRPr="00930237">
              <w:rPr>
                <w:sz w:val="20"/>
              </w:rPr>
              <w:t>Prasmju attīstīšana viedās specializācijas,  industriālās pārejas un uzņēmējdarbības veicināšanai.</w:t>
            </w:r>
          </w:p>
        </w:tc>
        <w:tc>
          <w:tcPr>
            <w:tcW w:w="3685" w:type="pct"/>
          </w:tcPr>
          <w:p w14:paraId="4F343EA0" w14:textId="77777777" w:rsidR="00AC212B" w:rsidRPr="00930237" w:rsidRDefault="00AC212B" w:rsidP="00487038">
            <w:pPr>
              <w:pStyle w:val="Normal1"/>
              <w:widowControl w:val="0"/>
              <w:spacing w:line="240" w:lineRule="auto"/>
              <w:jc w:val="both"/>
              <w:rPr>
                <w:rFonts w:ascii="Times New Roman" w:eastAsia="Times New Roman" w:hAnsi="Times New Roman" w:cs="Times New Roman"/>
                <w:b/>
                <w:sz w:val="20"/>
                <w:szCs w:val="20"/>
                <w:highlight w:val="white"/>
              </w:rPr>
            </w:pPr>
            <w:r w:rsidRPr="00930237">
              <w:rPr>
                <w:rFonts w:ascii="Times New Roman" w:eastAsia="Times New Roman" w:hAnsi="Times New Roman" w:cs="Times New Roman"/>
                <w:sz w:val="20"/>
                <w:szCs w:val="20"/>
              </w:rPr>
              <w:t>ES Padomes rekomendācijas (2019)</w:t>
            </w:r>
            <w:r w:rsidRPr="00930237">
              <w:rPr>
                <w:rStyle w:val="FootnoteReference"/>
                <w:rFonts w:ascii="Times New Roman" w:eastAsia="Times New Roman" w:hAnsi="Times New Roman" w:cs="Times New Roman"/>
                <w:sz w:val="20"/>
                <w:szCs w:val="20"/>
              </w:rPr>
              <w:footnoteReference w:id="49"/>
            </w:r>
            <w:r w:rsidRPr="00930237">
              <w:rPr>
                <w:rFonts w:ascii="Times New Roman" w:eastAsia="Times New Roman" w:hAnsi="Times New Roman" w:cs="Times New Roman"/>
                <w:sz w:val="20"/>
                <w:szCs w:val="20"/>
              </w:rPr>
              <w:t xml:space="preserve"> iesaka Latvijai </w:t>
            </w:r>
            <w:r w:rsidRPr="00930237">
              <w:rPr>
                <w:rFonts w:ascii="Times New Roman" w:eastAsia="Times New Roman" w:hAnsi="Times New Roman" w:cs="Times New Roman"/>
                <w:sz w:val="20"/>
                <w:szCs w:val="20"/>
                <w:highlight w:val="white"/>
              </w:rPr>
              <w:t>ar ieguldījumiem saistītajā ekonomikas politikā galveno uzmanību veltīt inovācijai un atbilstoša prasmju piedāvājuma nodrošināšanai.</w:t>
            </w:r>
          </w:p>
          <w:p w14:paraId="225368F4" w14:textId="4CD30D9B" w:rsidR="00AC212B" w:rsidRPr="00930237" w:rsidRDefault="00AC212B" w:rsidP="00487038">
            <w:pPr>
              <w:pStyle w:val="Normal1"/>
              <w:widowControl w:val="0"/>
              <w:spacing w:line="240" w:lineRule="auto"/>
              <w:jc w:val="both"/>
              <w:rPr>
                <w:rFonts w:ascii="Times New Roman" w:eastAsia="Times New Roman" w:hAnsi="Times New Roman" w:cs="Times New Roman"/>
                <w:sz w:val="20"/>
                <w:szCs w:val="20"/>
                <w:highlight w:val="white"/>
              </w:rPr>
            </w:pPr>
            <w:r w:rsidRPr="00930237">
              <w:rPr>
                <w:rFonts w:ascii="Times New Roman" w:eastAsia="Times New Roman" w:hAnsi="Times New Roman" w:cs="Times New Roman"/>
                <w:sz w:val="20"/>
                <w:szCs w:val="20"/>
                <w:highlight w:val="white"/>
              </w:rPr>
              <w:t>EK 2019.gada ziņojumā par Latviju</w:t>
            </w:r>
            <w:r w:rsidRPr="00930237">
              <w:rPr>
                <w:rStyle w:val="FootnoteReference"/>
                <w:rFonts w:ascii="Times New Roman" w:eastAsia="Times New Roman" w:hAnsi="Times New Roman" w:cs="Times New Roman"/>
                <w:sz w:val="20"/>
                <w:szCs w:val="20"/>
                <w:highlight w:val="white"/>
              </w:rPr>
              <w:footnoteReference w:id="50"/>
            </w:r>
            <w:r w:rsidRPr="00930237">
              <w:rPr>
                <w:rFonts w:ascii="Times New Roman" w:eastAsia="Times New Roman" w:hAnsi="Times New Roman" w:cs="Times New Roman"/>
                <w:sz w:val="20"/>
                <w:szCs w:val="20"/>
                <w:highlight w:val="white"/>
                <w:vertAlign w:val="superscript"/>
              </w:rPr>
              <w:t xml:space="preserve"> </w:t>
            </w:r>
            <w:r w:rsidRPr="00930237">
              <w:rPr>
                <w:rFonts w:ascii="Times New Roman" w:eastAsia="Times New Roman" w:hAnsi="Times New Roman" w:cs="Times New Roman"/>
                <w:sz w:val="20"/>
                <w:szCs w:val="20"/>
                <w:highlight w:val="white"/>
              </w:rPr>
              <w:t xml:space="preserve">uzsvērts, ka nepieciešams pilnveidot </w:t>
            </w:r>
            <w:r w:rsidR="006235AC">
              <w:rPr>
                <w:rFonts w:ascii="Times New Roman" w:eastAsia="Times New Roman" w:hAnsi="Times New Roman" w:cs="Times New Roman"/>
                <w:sz w:val="20"/>
                <w:szCs w:val="20"/>
              </w:rPr>
              <w:t>MVU</w:t>
            </w:r>
            <w:r w:rsidR="00386567" w:rsidRPr="00930237">
              <w:rPr>
                <w:rFonts w:ascii="Times New Roman" w:eastAsia="Times New Roman" w:hAnsi="Times New Roman" w:cs="Times New Roman"/>
                <w:sz w:val="20"/>
                <w:szCs w:val="20"/>
                <w:highlight w:val="white"/>
              </w:rPr>
              <w:t xml:space="preserve"> </w:t>
            </w:r>
            <w:r w:rsidRPr="00930237">
              <w:rPr>
                <w:rFonts w:ascii="Times New Roman" w:eastAsia="Times New Roman" w:hAnsi="Times New Roman" w:cs="Times New Roman"/>
                <w:sz w:val="20"/>
                <w:szCs w:val="20"/>
                <w:highlight w:val="white"/>
              </w:rPr>
              <w:t xml:space="preserve">prasmes RIS3 jomās ar mērķi palielināt produktivitāti. </w:t>
            </w:r>
          </w:p>
          <w:p w14:paraId="74EE1089" w14:textId="77777777" w:rsidR="00AC212B" w:rsidRPr="00930237" w:rsidRDefault="00AC212B" w:rsidP="00487038">
            <w:pPr>
              <w:pStyle w:val="Normal1"/>
              <w:spacing w:line="240" w:lineRule="auto"/>
              <w:jc w:val="both"/>
              <w:rPr>
                <w:rFonts w:ascii="Times New Roman" w:eastAsia="Times New Roman" w:hAnsi="Times New Roman" w:cs="Times New Roman"/>
                <w:sz w:val="20"/>
                <w:szCs w:val="20"/>
                <w:highlight w:val="white"/>
              </w:rPr>
            </w:pPr>
            <w:r w:rsidRPr="00930237">
              <w:rPr>
                <w:rFonts w:ascii="Times New Roman" w:eastAsia="Times New Roman" w:hAnsi="Times New Roman" w:cs="Times New Roman"/>
                <w:sz w:val="20"/>
                <w:szCs w:val="20"/>
                <w:highlight w:val="white"/>
              </w:rPr>
              <w:t>EK 2020.gada ziņojumā</w:t>
            </w:r>
            <w:r w:rsidRPr="00930237">
              <w:rPr>
                <w:rFonts w:ascii="Times New Roman" w:eastAsia="Times New Roman" w:hAnsi="Times New Roman" w:cs="Times New Roman"/>
                <w:sz w:val="20"/>
                <w:szCs w:val="20"/>
                <w:highlight w:val="white"/>
                <w:vertAlign w:val="superscript"/>
              </w:rPr>
              <w:footnoteReference w:id="51"/>
            </w:r>
            <w:r w:rsidRPr="00930237">
              <w:rPr>
                <w:rFonts w:ascii="Times New Roman" w:eastAsia="Times New Roman" w:hAnsi="Times New Roman" w:cs="Times New Roman"/>
                <w:sz w:val="20"/>
                <w:szCs w:val="20"/>
                <w:highlight w:val="white"/>
              </w:rPr>
              <w:t xml:space="preserve"> par Latviju norādīts, ka Latvijas galvenās problēmas joprojām ir prasmju trūkums un mazās pētniecības un rūpniecības iekšējās saiknes. </w:t>
            </w:r>
          </w:p>
          <w:p w14:paraId="2CDDE91D" w14:textId="5E6BB1C1" w:rsidR="005B7CC6" w:rsidRDefault="00AC212B" w:rsidP="00487038">
            <w:pPr>
              <w:spacing w:before="0" w:after="0"/>
              <w:rPr>
                <w:rFonts w:eastAsia="Times New Roman"/>
                <w:sz w:val="20"/>
              </w:rPr>
            </w:pPr>
            <w:r w:rsidRPr="00930237">
              <w:rPr>
                <w:rFonts w:eastAsia="Times New Roman"/>
                <w:sz w:val="20"/>
              </w:rPr>
              <w:t>Ņemot vērā prasmju nozīmību Latvijas attīstībā, investīcijas tiks veiktas industrijas nākotnes darbaspēka nodrošināšanai</w:t>
            </w:r>
            <w:r w:rsidR="001B0AF8">
              <w:rPr>
                <w:rFonts w:eastAsia="Times New Roman"/>
                <w:sz w:val="20"/>
              </w:rPr>
              <w:t xml:space="preserve"> RIS</w:t>
            </w:r>
            <w:r w:rsidR="00D80B05">
              <w:rPr>
                <w:rFonts w:eastAsia="Times New Roman"/>
                <w:sz w:val="20"/>
              </w:rPr>
              <w:t>3</w:t>
            </w:r>
            <w:r w:rsidR="001B0AF8">
              <w:rPr>
                <w:rFonts w:eastAsia="Times New Roman"/>
                <w:sz w:val="20"/>
              </w:rPr>
              <w:t xml:space="preserve"> jomās</w:t>
            </w:r>
            <w:r w:rsidRPr="00930237">
              <w:rPr>
                <w:rFonts w:eastAsia="Times New Roman"/>
                <w:sz w:val="20"/>
              </w:rPr>
              <w:t>, mērķtiecīgi ieguldot cilvēkkapitālā, stiprinot ekselenci IT jomā un attīstot industrijas attīstībai</w:t>
            </w:r>
            <w:r w:rsidR="00197045">
              <w:rPr>
                <w:rFonts w:eastAsia="Times New Roman"/>
                <w:sz w:val="20"/>
              </w:rPr>
              <w:t>, t.sk. reģionos,</w:t>
            </w:r>
            <w:r w:rsidR="00197045" w:rsidRPr="00930237">
              <w:rPr>
                <w:rFonts w:eastAsia="Times New Roman"/>
                <w:sz w:val="20"/>
              </w:rPr>
              <w:t xml:space="preserve"> </w:t>
            </w:r>
            <w:r w:rsidRPr="00930237">
              <w:rPr>
                <w:rFonts w:eastAsia="Times New Roman"/>
                <w:sz w:val="20"/>
              </w:rPr>
              <w:t xml:space="preserve">nepieciešamās prasmes akadēmiskajam personālam un </w:t>
            </w:r>
            <w:r w:rsidR="00242D6D" w:rsidRPr="00242D6D">
              <w:rPr>
                <w:rFonts w:eastAsia="Times New Roman"/>
                <w:sz w:val="20"/>
              </w:rPr>
              <w:t>saimnieciskās darbības veicējiem</w:t>
            </w:r>
            <w:r w:rsidRPr="00930237">
              <w:rPr>
                <w:rFonts w:eastAsia="Times New Roman"/>
                <w:sz w:val="20"/>
              </w:rPr>
              <w:t xml:space="preserve">, lai veicinātu augstāko digitālo prasmju īpatsvara pieaugumu uzņēmējdarbības </w:t>
            </w:r>
            <w:r w:rsidR="005B7CC6">
              <w:rPr>
                <w:rFonts w:eastAsia="Times New Roman"/>
                <w:sz w:val="20"/>
              </w:rPr>
              <w:t xml:space="preserve">veicināšanai. </w:t>
            </w:r>
            <w:r w:rsidR="005B7CC6" w:rsidRPr="00930237">
              <w:rPr>
                <w:rFonts w:eastAsia="Times New Roman"/>
                <w:sz w:val="20"/>
              </w:rPr>
              <w:t xml:space="preserve">Investīcijas tiks veiktas arī prasmju attīstībai inovāciju vadībā </w:t>
            </w:r>
            <w:r w:rsidR="00242D6D" w:rsidRPr="00242D6D">
              <w:rPr>
                <w:rFonts w:eastAsia="Times New Roman"/>
                <w:sz w:val="20"/>
              </w:rPr>
              <w:t>saimnieciskās darbības veicējiem</w:t>
            </w:r>
            <w:r w:rsidR="005B7CC6" w:rsidRPr="00930237">
              <w:rPr>
                <w:rFonts w:eastAsia="Times New Roman"/>
                <w:sz w:val="20"/>
              </w:rPr>
              <w:t xml:space="preserve"> </w:t>
            </w:r>
            <w:r w:rsidRPr="00930237">
              <w:rPr>
                <w:rFonts w:eastAsia="Times New Roman"/>
                <w:sz w:val="20"/>
              </w:rPr>
              <w:t>veicināšanai</w:t>
            </w:r>
            <w:r w:rsidR="005B7CC6">
              <w:rPr>
                <w:rFonts w:eastAsia="Times New Roman"/>
                <w:sz w:val="20"/>
              </w:rPr>
              <w:t>, augstākās izglītības un zinātnes institūcijām.</w:t>
            </w:r>
          </w:p>
          <w:p w14:paraId="6BFD44F0" w14:textId="313F3D8E" w:rsidR="00AC212B" w:rsidRPr="00930237" w:rsidRDefault="00AC212B" w:rsidP="00487038">
            <w:pPr>
              <w:spacing w:before="0" w:after="0"/>
              <w:rPr>
                <w:rFonts w:eastAsia="Times New Roman"/>
                <w:iCs/>
                <w:noProof/>
                <w:sz w:val="20"/>
              </w:rPr>
            </w:pPr>
          </w:p>
        </w:tc>
      </w:tr>
      <w:tr w:rsidR="00DA560F" w:rsidRPr="00930237" w14:paraId="0C8F416E" w14:textId="77777777" w:rsidTr="00DA560F">
        <w:tc>
          <w:tcPr>
            <w:tcW w:w="556" w:type="pct"/>
            <w:tcBorders>
              <w:top w:val="nil"/>
            </w:tcBorders>
          </w:tcPr>
          <w:p w14:paraId="3CD1A2FA" w14:textId="77777777" w:rsidR="00DA560F" w:rsidRPr="00930237" w:rsidRDefault="00DA560F" w:rsidP="00DA560F">
            <w:pPr>
              <w:spacing w:before="0" w:after="0"/>
              <w:rPr>
                <w:rFonts w:eastAsia="Times New Roman"/>
                <w:iCs/>
                <w:noProof/>
                <w:sz w:val="20"/>
              </w:rPr>
            </w:pPr>
          </w:p>
        </w:tc>
        <w:tc>
          <w:tcPr>
            <w:tcW w:w="759" w:type="pct"/>
          </w:tcPr>
          <w:p w14:paraId="51662E2E" w14:textId="614529DC" w:rsidR="00DA560F" w:rsidRPr="00930237" w:rsidRDefault="00DA560F" w:rsidP="00DA560F">
            <w:pPr>
              <w:spacing w:before="0" w:after="0"/>
              <w:rPr>
                <w:rFonts w:eastAsia="Times New Roman"/>
                <w:iCs/>
                <w:noProof/>
                <w:sz w:val="20"/>
              </w:rPr>
            </w:pPr>
            <w:r>
              <w:rPr>
                <w:sz w:val="20"/>
              </w:rPr>
              <w:t>1.4.1</w:t>
            </w:r>
            <w:r w:rsidRPr="00930237">
              <w:rPr>
                <w:sz w:val="20"/>
              </w:rPr>
              <w:t>.SAM Uzlabot digitālo savienotību</w:t>
            </w:r>
          </w:p>
        </w:tc>
        <w:tc>
          <w:tcPr>
            <w:tcW w:w="3685" w:type="pct"/>
          </w:tcPr>
          <w:p w14:paraId="730A6F67" w14:textId="77777777" w:rsidR="00DA560F" w:rsidRPr="00930237" w:rsidRDefault="00DA560F" w:rsidP="00DA560F">
            <w:pPr>
              <w:pBdr>
                <w:top w:val="nil"/>
                <w:left w:val="nil"/>
                <w:bottom w:val="nil"/>
                <w:right w:val="nil"/>
                <w:between w:val="nil"/>
              </w:pBdr>
              <w:spacing w:before="0" w:after="0"/>
              <w:rPr>
                <w:color w:val="000000"/>
                <w:sz w:val="20"/>
              </w:rPr>
            </w:pPr>
            <w:r w:rsidRPr="00930237">
              <w:rPr>
                <w:color w:val="000000"/>
                <w:sz w:val="20"/>
              </w:rPr>
              <w:t xml:space="preserve">Esošās tendences elektronisko sakaru jomā rāda, ka elektronisko sakaru pakalpojumu lietotāji aizvien vairāk izvēlas mobilo sakaru pakalpojumus, ievērojot to pieejamību un pārklājumu, atbilstoši </w:t>
            </w:r>
            <w:r w:rsidRPr="00930237">
              <w:rPr>
                <w:sz w:val="20"/>
              </w:rPr>
              <w:t>IKT tehnoloģiju izstrādātāja “</w:t>
            </w:r>
            <w:r w:rsidRPr="00930237">
              <w:rPr>
                <w:i/>
                <w:sz w:val="20"/>
              </w:rPr>
              <w:t>Cisco</w:t>
            </w:r>
            <w:r w:rsidRPr="00930237">
              <w:rPr>
                <w:sz w:val="20"/>
              </w:rPr>
              <w:t xml:space="preserve">” </w:t>
            </w:r>
            <w:r w:rsidRPr="00930237">
              <w:rPr>
                <w:color w:val="000000"/>
                <w:sz w:val="20"/>
              </w:rPr>
              <w:t>ikgadējā ziņojuma</w:t>
            </w:r>
            <w:r w:rsidRPr="00930237">
              <w:rPr>
                <w:rStyle w:val="FootnoteReference"/>
                <w:color w:val="000000"/>
                <w:sz w:val="20"/>
              </w:rPr>
              <w:footnoteReference w:id="52"/>
            </w:r>
            <w:r w:rsidRPr="00930237">
              <w:rPr>
                <w:color w:val="000000"/>
                <w:sz w:val="20"/>
              </w:rPr>
              <w:t xml:space="preserve"> konstatējumam, ka līdz 2023.gadam aptuveni 70% pasaules iedzīvotāju būs mobilā elektronisko sakaru tīkla balstīta savienojamība, vienlaikus ziņojumā arī norādīts, ka līdz 2023.gadam “mašīna – mašīna” (turpmāk – M2M) savienojumi sastādīs pusi no globāli savienotajām ierīcēm. M2M savienojumu daļa pieaugs no 33% 2018.gadā līdz 50% līdz 2023.gadam, paredzot, ka līdz 2023.gadam būs 14,7 miljardi M2M savienojumu.  </w:t>
            </w:r>
          </w:p>
          <w:p w14:paraId="7260AFA9" w14:textId="77777777" w:rsidR="00DA560F" w:rsidRPr="00930237" w:rsidRDefault="00DA560F" w:rsidP="00DA560F">
            <w:pPr>
              <w:pBdr>
                <w:top w:val="nil"/>
                <w:left w:val="nil"/>
                <w:bottom w:val="nil"/>
                <w:right w:val="nil"/>
                <w:between w:val="nil"/>
              </w:pBdr>
              <w:spacing w:before="0" w:after="0"/>
              <w:rPr>
                <w:color w:val="000000"/>
                <w:sz w:val="20"/>
              </w:rPr>
            </w:pPr>
            <w:r w:rsidRPr="00930237">
              <w:rPr>
                <w:color w:val="000000"/>
                <w:sz w:val="20"/>
              </w:rPr>
              <w:t xml:space="preserve">Minētais paaugstinās slodzi gan esošajiem fiksētajiem, gan mobilajiem elektronisko sakaru tīkliem. Sagaidāms, ka, ievērojot jauno mobilo sakaru, piemēram, 5.paaudzes (5G) tīklu topoloģiju,  kas sastāv gan no tradiocionālām makrošūnām, gan blīvi izvietotām mikrošūnām, un to pakalpojumu kvalitātes prasības (zema signāla aizture, nepārtraukts un viendabīgs pārklājums, lieli datu pārraides apjomi), to izvēršanai būs nepieciešamas būtiskas investīcijas mobilo sakaru tīklu infrastruktūras attīstībā, kā arī optiskās šķiedras atvilces maršrutēšanas (“vidējās jūdzes”) elektronisko sakaru tīklos, kas nodrošinās nepieciešamo kapacitāti mobilo sakaru bāzes stacijām. </w:t>
            </w:r>
          </w:p>
          <w:p w14:paraId="023FE04F" w14:textId="77777777" w:rsidR="00DA560F" w:rsidRPr="00930237" w:rsidRDefault="00DA560F" w:rsidP="00DA560F">
            <w:pPr>
              <w:pBdr>
                <w:top w:val="nil"/>
                <w:left w:val="nil"/>
                <w:bottom w:val="nil"/>
                <w:right w:val="nil"/>
                <w:between w:val="nil"/>
              </w:pBdr>
              <w:spacing w:before="0" w:after="0"/>
              <w:rPr>
                <w:sz w:val="20"/>
              </w:rPr>
            </w:pPr>
            <w:r w:rsidRPr="00930237">
              <w:rPr>
                <w:color w:val="000000"/>
                <w:sz w:val="20"/>
              </w:rPr>
              <w:t>Vienlaikus secināms, ka lauku teritorijās ir zems iedzīvotāju blīvums un maksātspēja</w:t>
            </w:r>
            <w:r w:rsidRPr="00930237">
              <w:rPr>
                <w:rStyle w:val="FootnoteReference"/>
                <w:color w:val="000000"/>
                <w:sz w:val="20"/>
              </w:rPr>
              <w:footnoteReference w:id="53"/>
            </w:r>
            <w:r w:rsidRPr="00930237">
              <w:rPr>
                <w:color w:val="000000"/>
                <w:sz w:val="20"/>
              </w:rPr>
              <w:t>, salīdzinot ar republikas pilsētām, un elektronisko sakaru komersantiem nav pietiekošas ekonomiskās iniciatīvas izvērst tajās ļoti augstas veiktspējas elektronisko sakaru tīklus</w:t>
            </w:r>
            <w:r w:rsidRPr="00930237">
              <w:rPr>
                <w:rStyle w:val="FootnoteReference"/>
                <w:color w:val="000000"/>
                <w:sz w:val="20"/>
              </w:rPr>
              <w:footnoteReference w:id="54"/>
            </w:r>
            <w:r w:rsidRPr="00930237">
              <w:rPr>
                <w:color w:val="000000"/>
                <w:sz w:val="20"/>
              </w:rPr>
              <w:t>. Jāatzīmē, ka minētā problēma bieži pastāv arī pilsētām pieguļošās teritorijās, kur trūkst vai nu nepieciešamās pasīvās elektronisko sakaru tīklu infrastruktūras vai atvilces maršrutēšanas un abonentlīniju (“pēdējās jūdzes”) tīklu. Investīciju nepietiekamība ļoti augstas veiktspējas tīklu izvēršanā rada risku iepriekšminēto mērķu sasniegšanā.</w:t>
            </w:r>
          </w:p>
          <w:p w14:paraId="678CD831" w14:textId="77777777" w:rsidR="00DA560F" w:rsidRPr="00930237" w:rsidRDefault="00DA560F" w:rsidP="00DA560F">
            <w:pPr>
              <w:spacing w:before="0" w:after="0"/>
              <w:rPr>
                <w:rFonts w:eastAsia="Times New Roman"/>
                <w:iCs/>
                <w:noProof/>
                <w:sz w:val="20"/>
              </w:rPr>
            </w:pPr>
            <w:r w:rsidRPr="00930237">
              <w:rPr>
                <w:rFonts w:eastAsia="Times New Roman"/>
                <w:iCs/>
                <w:noProof/>
                <w:sz w:val="20"/>
              </w:rPr>
              <w:t>EK  Savienojamības paziņojumā</w:t>
            </w:r>
            <w:r w:rsidRPr="00930237">
              <w:rPr>
                <w:rStyle w:val="FootnoteReference"/>
                <w:rFonts w:eastAsia="Times New Roman"/>
                <w:iCs/>
                <w:noProof/>
                <w:sz w:val="20"/>
              </w:rPr>
              <w:footnoteReference w:id="55"/>
            </w:r>
            <w:r w:rsidRPr="00930237">
              <w:rPr>
                <w:rFonts w:eastAsia="Times New Roman"/>
                <w:iCs/>
                <w:noProof/>
                <w:sz w:val="20"/>
              </w:rPr>
              <w:t xml:space="preserve"> mērķu  nolūks ir veidot gigabitu sabiedrību, kas balstīta uz ļoti augstas veiktspējas elektronisko sakaru tīkliem, tādējādi visiem nodrošinot ES digitālā vienotā tirgus priekšrocības un pārrobežu sadarbspēju. </w:t>
            </w:r>
          </w:p>
          <w:p w14:paraId="214EB110" w14:textId="77777777" w:rsidR="00DA560F" w:rsidRPr="00930237" w:rsidRDefault="00DA560F" w:rsidP="00DA560F">
            <w:pPr>
              <w:spacing w:before="0" w:after="0"/>
              <w:rPr>
                <w:rFonts w:eastAsia="Times New Roman"/>
                <w:iCs/>
                <w:noProof/>
                <w:sz w:val="20"/>
              </w:rPr>
            </w:pPr>
            <w:r w:rsidRPr="00930237">
              <w:rPr>
                <w:rFonts w:eastAsia="Times New Roman"/>
                <w:iCs/>
                <w:noProof/>
                <w:sz w:val="20"/>
              </w:rPr>
              <w:t xml:space="preserve">Savienojamības mērķu izpilde var tikt nodrošināta ar ļoti augstas veiktspējas elektronisko sakaru tīklu infrastruktūru: </w:t>
            </w:r>
            <w:r w:rsidRPr="00930237">
              <w:rPr>
                <w:rFonts w:eastAsia="Times New Roman"/>
                <w:i/>
                <w:iCs/>
                <w:noProof/>
                <w:sz w:val="20"/>
              </w:rPr>
              <w:t>5G,</w:t>
            </w:r>
            <w:r w:rsidRPr="00930237">
              <w:rPr>
                <w:rFonts w:eastAsia="Times New Roman"/>
                <w:iCs/>
                <w:noProof/>
                <w:sz w:val="20"/>
              </w:rPr>
              <w:t xml:space="preserve"> atbilstoša pārklājuma atvilces marsrutēšanas (“vidējās jūdzes”) optiskās šķiedras kabeļu tīkls. Minētie ieguldījumi nodrošinās iespēju veikt jebkuras ekonomikas nozares procesu digitalizāciju, izvēloties visoptimālāko sakaru tīkla risinājumu, turklāt industriālajiem risinājumiem būs nepieciešami būtiski augstāki mobilo sakaru pakalpojumu kvalitātes parametri (piemēram, tīkla pārklājums, nepārtrauktība, uzticamība, datu pārraides ātrums, zema signāla aizture u.c.). </w:t>
            </w:r>
          </w:p>
          <w:p w14:paraId="62EB7473" w14:textId="77777777" w:rsidR="00DA560F" w:rsidRPr="00930237" w:rsidRDefault="00DA560F" w:rsidP="00DA560F">
            <w:pPr>
              <w:spacing w:before="0" w:after="0"/>
              <w:rPr>
                <w:rFonts w:eastAsia="Times New Roman"/>
                <w:iCs/>
                <w:noProof/>
                <w:sz w:val="20"/>
              </w:rPr>
            </w:pPr>
            <w:r w:rsidRPr="00930237">
              <w:rPr>
                <w:rFonts w:eastAsia="Times New Roman"/>
                <w:iCs/>
                <w:noProof/>
                <w:sz w:val="20"/>
              </w:rPr>
              <w:t>Ievērojami pieaugošais elektronisko ierīču un lietojumu skaits, paaugstināta virtualizācijas un mākoņdatošanas izmantošana radīs papildu drošības riskus, paplašinot kiberuzbrukumu vidi. Līdz ar to ir nepieciešama spēcīga un centralizēta aizsardzība, lai nodrošinātu valsts sniegto pakalpojumu pieejamību iedzīvotājiem un uzņēmumiem , arī veicinot ilgtspējīgas transporta sistēmas attīstību.</w:t>
            </w:r>
          </w:p>
          <w:p w14:paraId="7DDF3E1C" w14:textId="77777777" w:rsidR="00DA560F" w:rsidRDefault="00DA560F" w:rsidP="00DA560F">
            <w:pPr>
              <w:spacing w:before="0" w:after="0"/>
              <w:rPr>
                <w:rFonts w:eastAsia="Times New Roman"/>
                <w:sz w:val="20"/>
                <w:lang w:eastAsia="zh-CN"/>
              </w:rPr>
            </w:pPr>
            <w:r w:rsidRPr="00930237">
              <w:rPr>
                <w:rFonts w:eastAsia="Times New Roman"/>
                <w:sz w:val="20"/>
                <w:lang w:eastAsia="zh-CN"/>
              </w:rPr>
              <w:t>Lai risinātu kiberdrošības risku jautājumu plānots izveido</w:t>
            </w:r>
            <w:r>
              <w:rPr>
                <w:rFonts w:eastAsia="Times New Roman"/>
                <w:sz w:val="20"/>
                <w:lang w:eastAsia="zh-CN"/>
              </w:rPr>
              <w:t>t</w:t>
            </w:r>
            <w:r w:rsidRPr="00930237">
              <w:rPr>
                <w:rFonts w:eastAsia="Times New Roman"/>
                <w:sz w:val="20"/>
                <w:lang w:eastAsia="zh-CN"/>
              </w:rPr>
              <w:t xml:space="preserve"> vienotu valsts iestāžu kiberdrošības risinājumu – nodrošināt vienotu koplietojamas informācijas un komunikācijas tehnoloģijas infrastruktūras izveidi, kura centralizēti spēs nodrošināt vienlīdz augstu drošības līmeni, gan valsts pārvaldes datu centros esošajiem resursiem, gan valsts pārvaldes iestādēm un to lietotājiem atbilstoši situācijai kibertelpā.</w:t>
            </w:r>
          </w:p>
          <w:p w14:paraId="580680FD" w14:textId="77777777" w:rsidR="00DA560F" w:rsidRPr="00930237" w:rsidRDefault="00DA560F" w:rsidP="00DA560F">
            <w:pPr>
              <w:keepLines/>
              <w:spacing w:before="0" w:after="0"/>
              <w:rPr>
                <w:b/>
                <w:sz w:val="20"/>
              </w:rPr>
            </w:pPr>
          </w:p>
        </w:tc>
      </w:tr>
      <w:tr w:rsidR="00DA560F" w:rsidRPr="00930237" w14:paraId="579EA280" w14:textId="77777777" w:rsidTr="000E58E3">
        <w:tc>
          <w:tcPr>
            <w:tcW w:w="556" w:type="pct"/>
            <w:vMerge w:val="restart"/>
          </w:tcPr>
          <w:p w14:paraId="3F9E4418" w14:textId="5DB23363" w:rsidR="00DA560F" w:rsidRPr="00930237" w:rsidRDefault="00DA560F" w:rsidP="006E4885">
            <w:pPr>
              <w:spacing w:before="0" w:after="0"/>
              <w:rPr>
                <w:rFonts w:eastAsia="Times New Roman"/>
                <w:iCs/>
                <w:noProof/>
                <w:sz w:val="20"/>
              </w:rPr>
            </w:pPr>
            <w:r w:rsidRPr="00930237">
              <w:rPr>
                <w:rFonts w:eastAsia="Times New Roman"/>
                <w:iCs/>
                <w:noProof/>
                <w:sz w:val="20"/>
              </w:rPr>
              <w:t xml:space="preserve">2. </w:t>
            </w:r>
            <w:r w:rsidR="007323C7" w:rsidRPr="0055161D">
              <w:rPr>
                <w:rFonts w:eastAsia="Times New Roman"/>
                <w:iCs/>
                <w:noProof/>
                <w:sz w:val="20"/>
              </w:rPr>
              <w:t>Zaļāka Eiropa ar zemām oglekļa emisijām</w:t>
            </w:r>
            <w:r w:rsidR="007323C7">
              <w:rPr>
                <w:rFonts w:eastAsia="Times New Roman"/>
                <w:iCs/>
                <w:noProof/>
                <w:sz w:val="20"/>
              </w:rPr>
              <w:t xml:space="preserve"> ceļā uz</w:t>
            </w:r>
            <w:r w:rsidR="006A3607">
              <w:rPr>
                <w:rFonts w:eastAsia="Times New Roman"/>
                <w:iCs/>
                <w:noProof/>
                <w:sz w:val="20"/>
              </w:rPr>
              <w:t>klimatneitralitāti,</w:t>
            </w:r>
            <w:r w:rsidR="007323C7" w:rsidRPr="0055161D">
              <w:rPr>
                <w:rFonts w:eastAsia="Times New Roman"/>
                <w:iCs/>
                <w:noProof/>
                <w:sz w:val="20"/>
              </w:rPr>
              <w:t xml:space="preserve"> veicinot tīru un taisnīgu enerģētikas pārkārtošanu, “zaļas” un “zilas” investīcijas, aprites ekonomiku, </w:t>
            </w:r>
            <w:r w:rsidR="007323C7">
              <w:rPr>
                <w:rFonts w:eastAsia="Times New Roman"/>
                <w:iCs/>
                <w:noProof/>
                <w:sz w:val="20"/>
              </w:rPr>
              <w:t xml:space="preserve">klimata pārmaiņu mazināšanu un pielāgošanos </w:t>
            </w:r>
            <w:r w:rsidR="006E4885">
              <w:rPr>
                <w:rFonts w:eastAsia="Times New Roman"/>
                <w:iCs/>
                <w:noProof/>
                <w:sz w:val="20"/>
              </w:rPr>
              <w:t xml:space="preserve">klimata pārmaiņām un </w:t>
            </w:r>
            <w:r w:rsidR="007323C7">
              <w:rPr>
                <w:rFonts w:eastAsia="Times New Roman"/>
                <w:iCs/>
                <w:noProof/>
                <w:sz w:val="20"/>
              </w:rPr>
              <w:t>,</w:t>
            </w:r>
            <w:r w:rsidR="007323C7" w:rsidRPr="0055161D">
              <w:rPr>
                <w:rFonts w:eastAsia="Times New Roman"/>
                <w:iCs/>
                <w:noProof/>
                <w:sz w:val="20"/>
              </w:rPr>
              <w:t xml:space="preserve"> risku novēršanu un pārvaldību</w:t>
            </w:r>
            <w:r w:rsidR="006E4885">
              <w:rPr>
                <w:rFonts w:eastAsia="Times New Roman"/>
                <w:iCs/>
                <w:noProof/>
                <w:sz w:val="20"/>
              </w:rPr>
              <w:t>,</w:t>
            </w:r>
            <w:r w:rsidR="007323C7">
              <w:rPr>
                <w:rFonts w:eastAsia="Times New Roman"/>
                <w:iCs/>
                <w:noProof/>
                <w:sz w:val="20"/>
              </w:rPr>
              <w:t xml:space="preserve"> un ilgtspējīgu pilsētas mobilitāti</w:t>
            </w:r>
          </w:p>
        </w:tc>
        <w:tc>
          <w:tcPr>
            <w:tcW w:w="759" w:type="pct"/>
          </w:tcPr>
          <w:p w14:paraId="35A731CC" w14:textId="49D7037A" w:rsidR="00DA560F" w:rsidRPr="00930237" w:rsidRDefault="00DA560F" w:rsidP="00DA560F">
            <w:pPr>
              <w:spacing w:before="0" w:after="0"/>
              <w:rPr>
                <w:rFonts w:eastAsia="Times New Roman"/>
                <w:iCs/>
                <w:noProof/>
                <w:sz w:val="20"/>
              </w:rPr>
            </w:pPr>
            <w:r w:rsidRPr="00930237">
              <w:rPr>
                <w:rFonts w:eastAsia="Times New Roman"/>
                <w:iCs/>
                <w:noProof/>
                <w:sz w:val="20"/>
              </w:rPr>
              <w:t>2.1.1.SAM Energoefektivitātes veicināšana un siltumnīcefekta gāzu emisiju samazināšana</w:t>
            </w:r>
          </w:p>
        </w:tc>
        <w:tc>
          <w:tcPr>
            <w:tcW w:w="3685" w:type="pct"/>
          </w:tcPr>
          <w:p w14:paraId="6A2E3A38" w14:textId="77777777" w:rsidR="00DA560F" w:rsidRPr="00930237" w:rsidRDefault="00DA560F" w:rsidP="004652BF">
            <w:pPr>
              <w:keepLines/>
              <w:spacing w:before="0" w:after="0"/>
              <w:rPr>
                <w:sz w:val="20"/>
              </w:rPr>
            </w:pPr>
            <w:r w:rsidRPr="00930237">
              <w:rPr>
                <w:b/>
                <w:sz w:val="20"/>
              </w:rPr>
              <w:t>Dzīvojamo ēku</w:t>
            </w:r>
            <w:r w:rsidRPr="00930237">
              <w:rPr>
                <w:sz w:val="20"/>
              </w:rPr>
              <w:t xml:space="preserve"> sektorā patērētā enerģija veido līdz 30%, savukārt </w:t>
            </w:r>
            <w:r w:rsidRPr="00930237">
              <w:rPr>
                <w:b/>
                <w:sz w:val="20"/>
              </w:rPr>
              <w:t>ražošanas sektorā</w:t>
            </w:r>
            <w:r w:rsidRPr="00930237">
              <w:rPr>
                <w:sz w:val="20"/>
              </w:rPr>
              <w:t xml:space="preserve"> 23% no visas enerģētikas jomas, tādēļ šie sektori ietver ievērojamu potenciālu kopējo energoefektivitātes mērķu sasniegšanā. Lielākajai daļai esošo ēku ir augsts energoresursu patēriņš, ņemot vērā, ka vairums šo ēku tiks ekspluatētas ievērojamu laika periodu, attiecīgi aktuāla šo ēku pakāpeniska energoefektivitātes uzlabošana. Atbilstoši VZD sniegtajiem datiem, vidējais ēku nolietojums procentos ir 40% un tas ir līdzīgs visos ēku tipos, bet vienlaikus prognozējams ievērojams ekspluatācijas laiks (atbilstoši VZD datiem, dzīvojamo māju kopējais nolietojums ir 38,9%).</w:t>
            </w:r>
          </w:p>
          <w:p w14:paraId="0A7C71C1" w14:textId="77777777" w:rsidR="00DA560F" w:rsidRPr="00930237" w:rsidRDefault="00DA560F" w:rsidP="004652BF">
            <w:pPr>
              <w:spacing w:before="0" w:after="0"/>
              <w:textAlignment w:val="baseline"/>
              <w:rPr>
                <w:color w:val="000000"/>
                <w:sz w:val="20"/>
              </w:rPr>
            </w:pPr>
            <w:r w:rsidRPr="00930237">
              <w:rPr>
                <w:b/>
                <w:color w:val="000000"/>
                <w:sz w:val="20"/>
              </w:rPr>
              <w:t>Valsts ēku</w:t>
            </w:r>
            <w:r w:rsidRPr="00930237">
              <w:rPr>
                <w:color w:val="000000"/>
                <w:sz w:val="20"/>
              </w:rPr>
              <w:t xml:space="preserve"> sektorā Direktīvas 2012/27/ES noteiktajā sarakstā, no kā aprēķināma ikgadējā 3% renovācijas norma, ietilpst 863 ēkas ar vidējo apkures enerģijas patēriņu 140 kWh/m2 gadā, no kurām 2014. – 2020.gada ES fondu plānošanas periodā plānots atjaunot vairāk kā 100 ēkas.</w:t>
            </w:r>
            <w:r w:rsidRPr="00930237">
              <w:rPr>
                <w:color w:val="000000"/>
                <w:sz w:val="20"/>
                <w:vertAlign w:val="superscript"/>
              </w:rPr>
              <w:footnoteReference w:id="56"/>
            </w:r>
          </w:p>
          <w:p w14:paraId="6324B2CE" w14:textId="2C7DB41F" w:rsidR="00DA560F" w:rsidRPr="00930237" w:rsidRDefault="00DA560F" w:rsidP="004652BF">
            <w:pPr>
              <w:spacing w:before="0" w:after="0"/>
              <w:rPr>
                <w:rFonts w:eastAsia="Times New Roman"/>
                <w:sz w:val="20"/>
              </w:rPr>
            </w:pPr>
            <w:r w:rsidRPr="00930237">
              <w:rPr>
                <w:sz w:val="20"/>
              </w:rPr>
              <w:t>Demogrāfiskās prognozes liecina, ka iedzīvotāju skaits reģionos turpinās samazināties, attiecīgi nepieciešams pārskatīt un samazināt pašvaldību izdevumus</w:t>
            </w:r>
            <w:r>
              <w:rPr>
                <w:sz w:val="20"/>
              </w:rPr>
              <w:t>.</w:t>
            </w:r>
            <w:r w:rsidRPr="00930237" w:rsidDel="001A2849">
              <w:rPr>
                <w:rFonts w:eastAsia="Times New Roman"/>
                <w:sz w:val="20"/>
              </w:rPr>
              <w:t xml:space="preserve"> </w:t>
            </w:r>
            <w:r w:rsidRPr="00930237">
              <w:rPr>
                <w:rFonts w:eastAsia="Times New Roman"/>
                <w:sz w:val="20"/>
              </w:rPr>
              <w:t>NĪVK IS reģistrētas 4 967 pašvaldībām piederošas ēkas 6,29 milj. m</w:t>
            </w:r>
            <w:r w:rsidRPr="00930237">
              <w:rPr>
                <w:rFonts w:eastAsia="Times New Roman"/>
                <w:sz w:val="20"/>
                <w:vertAlign w:val="superscript"/>
              </w:rPr>
              <w:t>2</w:t>
            </w:r>
            <w:r w:rsidRPr="00930237">
              <w:rPr>
                <w:rFonts w:eastAsia="Times New Roman"/>
                <w:sz w:val="20"/>
              </w:rPr>
              <w:t xml:space="preserve"> platībā, t.sk., izglītības un veselības aprūpes iestāžu ēkas.</w:t>
            </w:r>
            <w:r w:rsidRPr="00930237">
              <w:rPr>
                <w:sz w:val="20"/>
              </w:rPr>
              <w:t xml:space="preserve"> </w:t>
            </w:r>
            <w:r w:rsidRPr="00930237">
              <w:rPr>
                <w:rFonts w:eastAsia="Times New Roman"/>
                <w:sz w:val="20"/>
              </w:rPr>
              <w:t xml:space="preserve">Liela daļa </w:t>
            </w:r>
            <w:r w:rsidRPr="00930237">
              <w:rPr>
                <w:rFonts w:eastAsia="Times New Roman"/>
                <w:b/>
                <w:sz w:val="20"/>
              </w:rPr>
              <w:t>no pašvaldību ēkām</w:t>
            </w:r>
            <w:r w:rsidRPr="00930237">
              <w:rPr>
                <w:rFonts w:eastAsia="Times New Roman"/>
                <w:sz w:val="20"/>
              </w:rPr>
              <w:t> ir uzbūvētas pirms 2003.gada un prioritāri ir nepieciešams samazināt to enerģijas patēriņu, vienlaikus nodrošinot stabilu iekštelpu mikrovidi.</w:t>
            </w:r>
          </w:p>
          <w:p w14:paraId="11EC83CC" w14:textId="77777777" w:rsidR="00DA560F" w:rsidRPr="00930237" w:rsidRDefault="00DA560F" w:rsidP="004652BF">
            <w:pPr>
              <w:spacing w:before="0" w:after="0"/>
              <w:rPr>
                <w:rFonts w:eastAsia="Times New Roman"/>
                <w:iCs/>
                <w:noProof/>
                <w:sz w:val="20"/>
              </w:rPr>
            </w:pPr>
            <w:r w:rsidRPr="00930237">
              <w:rPr>
                <w:rFonts w:eastAsia="Times New Roman"/>
                <w:iCs/>
                <w:noProof/>
                <w:sz w:val="20"/>
              </w:rPr>
              <w:t>Ņemot to vērā noteikti šādi energoefektivitātes mērķi</w:t>
            </w:r>
            <w:r w:rsidRPr="00930237">
              <w:rPr>
                <w:rStyle w:val="FootnoteReference"/>
                <w:rFonts w:eastAsia="Times New Roman"/>
                <w:iCs/>
                <w:noProof/>
                <w:sz w:val="20"/>
              </w:rPr>
              <w:footnoteReference w:id="57"/>
            </w:r>
            <w:r w:rsidRPr="00930237">
              <w:rPr>
                <w:rFonts w:eastAsia="Times New Roman"/>
                <w:iCs/>
                <w:noProof/>
                <w:sz w:val="20"/>
              </w:rPr>
              <w:t>:</w:t>
            </w:r>
          </w:p>
          <w:p w14:paraId="3988DF5C" w14:textId="77777777" w:rsidR="00DA560F" w:rsidRPr="00930237" w:rsidRDefault="00DA560F" w:rsidP="007545BD">
            <w:pPr>
              <w:pStyle w:val="ListParagraph"/>
              <w:numPr>
                <w:ilvl w:val="0"/>
                <w:numId w:val="39"/>
              </w:numPr>
              <w:spacing w:after="0" w:line="240" w:lineRule="auto"/>
              <w:jc w:val="both"/>
              <w:rPr>
                <w:rFonts w:ascii="Times New Roman" w:eastAsia="Times New Roman" w:hAnsi="Times New Roman" w:cs="Times New Roman"/>
                <w:iCs/>
                <w:noProof/>
                <w:sz w:val="20"/>
                <w:szCs w:val="20"/>
              </w:rPr>
            </w:pPr>
            <w:r w:rsidRPr="00930237">
              <w:rPr>
                <w:rFonts w:ascii="Times New Roman" w:eastAsia="Times New Roman" w:hAnsi="Times New Roman" w:cs="Times New Roman"/>
                <w:iCs/>
                <w:noProof/>
                <w:sz w:val="20"/>
                <w:szCs w:val="20"/>
              </w:rPr>
              <w:t>valsts ēkās – katru gadu renovētas 3% no tiešās pārvaldes ēku energo-neefektīvās platības;</w:t>
            </w:r>
          </w:p>
          <w:p w14:paraId="52ED9361" w14:textId="77777777" w:rsidR="00DA560F" w:rsidRPr="00930237" w:rsidRDefault="00DA560F" w:rsidP="007545BD">
            <w:pPr>
              <w:pStyle w:val="ListParagraph"/>
              <w:numPr>
                <w:ilvl w:val="0"/>
                <w:numId w:val="39"/>
              </w:numPr>
              <w:spacing w:after="0" w:line="240" w:lineRule="auto"/>
              <w:jc w:val="both"/>
              <w:rPr>
                <w:rFonts w:ascii="Times New Roman" w:eastAsia="Times New Roman" w:hAnsi="Times New Roman" w:cs="Times New Roman"/>
                <w:iCs/>
                <w:noProof/>
                <w:sz w:val="20"/>
                <w:szCs w:val="20"/>
              </w:rPr>
            </w:pPr>
            <w:r w:rsidRPr="00930237">
              <w:rPr>
                <w:rFonts w:ascii="Times New Roman" w:eastAsia="Times New Roman" w:hAnsi="Times New Roman" w:cs="Times New Roman"/>
                <w:iCs/>
                <w:noProof/>
                <w:sz w:val="20"/>
                <w:szCs w:val="20"/>
              </w:rPr>
              <w:t>dzīvojamās ēkās – atjaunotas vismaz 2000 daudzīvokļu dzīvojamās ēkas un uzstādītas ne-emsiju tehnoloģijas;</w:t>
            </w:r>
          </w:p>
          <w:p w14:paraId="7F3BCA99" w14:textId="77777777" w:rsidR="00DA560F" w:rsidRPr="00930237" w:rsidRDefault="00DA560F" w:rsidP="007545BD">
            <w:pPr>
              <w:pStyle w:val="ListParagraph"/>
              <w:numPr>
                <w:ilvl w:val="0"/>
                <w:numId w:val="39"/>
              </w:numPr>
              <w:spacing w:after="0" w:line="240" w:lineRule="auto"/>
              <w:jc w:val="both"/>
              <w:rPr>
                <w:rFonts w:ascii="Times New Roman" w:eastAsia="Times New Roman" w:hAnsi="Times New Roman" w:cs="Times New Roman"/>
                <w:iCs/>
                <w:noProof/>
                <w:sz w:val="20"/>
                <w:szCs w:val="20"/>
              </w:rPr>
            </w:pPr>
            <w:r w:rsidRPr="00930237">
              <w:rPr>
                <w:rFonts w:ascii="Times New Roman" w:eastAsia="Times New Roman" w:hAnsi="Times New Roman" w:cs="Times New Roman"/>
                <w:iCs/>
                <w:noProof/>
                <w:sz w:val="20"/>
                <w:szCs w:val="20"/>
              </w:rPr>
              <w:t>pašvaldību publiskajās ēkās – primārās enerģijas gada samazinājums ~68 GWh/gadā;</w:t>
            </w:r>
          </w:p>
          <w:p w14:paraId="33D85209" w14:textId="77777777" w:rsidR="00DA560F" w:rsidRPr="00930237" w:rsidRDefault="00DA560F" w:rsidP="007545BD">
            <w:pPr>
              <w:pStyle w:val="ListParagraph"/>
              <w:numPr>
                <w:ilvl w:val="0"/>
                <w:numId w:val="39"/>
              </w:numPr>
              <w:spacing w:after="0" w:line="240" w:lineRule="auto"/>
              <w:jc w:val="both"/>
              <w:rPr>
                <w:rFonts w:ascii="Times New Roman" w:eastAsia="Times New Roman" w:hAnsi="Times New Roman" w:cs="Times New Roman"/>
                <w:iCs/>
                <w:noProof/>
                <w:sz w:val="20"/>
                <w:szCs w:val="20"/>
              </w:rPr>
            </w:pPr>
            <w:r w:rsidRPr="00930237">
              <w:rPr>
                <w:rFonts w:ascii="Times New Roman" w:eastAsia="Times New Roman" w:hAnsi="Times New Roman" w:cs="Times New Roman"/>
                <w:iCs/>
                <w:noProof/>
                <w:sz w:val="20"/>
                <w:szCs w:val="20"/>
              </w:rPr>
              <w:t>nodrošināt, ka īpatnējais siltumenerģijas patēriņš ēkās apkurei nepārsniedz 120 kWh/m2/gadā;</w:t>
            </w:r>
          </w:p>
          <w:p w14:paraId="0CCFDFE4" w14:textId="77777777" w:rsidR="00DA560F" w:rsidRPr="00930237" w:rsidRDefault="00DA560F" w:rsidP="007545BD">
            <w:pPr>
              <w:pStyle w:val="ListParagraph"/>
              <w:numPr>
                <w:ilvl w:val="0"/>
                <w:numId w:val="39"/>
              </w:numPr>
              <w:spacing w:after="0" w:line="240" w:lineRule="auto"/>
              <w:jc w:val="both"/>
              <w:rPr>
                <w:rFonts w:ascii="Times New Roman" w:eastAsia="Times New Roman" w:hAnsi="Times New Roman" w:cs="Times New Roman"/>
                <w:iCs/>
                <w:noProof/>
                <w:sz w:val="20"/>
                <w:szCs w:val="20"/>
              </w:rPr>
            </w:pPr>
            <w:r w:rsidRPr="00930237">
              <w:rPr>
                <w:rFonts w:ascii="Times New Roman" w:eastAsia="Times New Roman" w:hAnsi="Times New Roman" w:cs="Times New Roman"/>
                <w:iCs/>
                <w:noProof/>
                <w:sz w:val="20"/>
                <w:szCs w:val="20"/>
              </w:rPr>
              <w:t>privātmājās vai neliela skaita ēku kompleksos- atjaunotas vismaz 7500 privātmājas vai ēkas neliela skaita ēku kompleksos un uzstādītas ne-emisiju tehnoloģijas;</w:t>
            </w:r>
          </w:p>
          <w:p w14:paraId="3313A7F7" w14:textId="77777777" w:rsidR="00DA560F" w:rsidRPr="005B7CC6" w:rsidRDefault="00DA560F" w:rsidP="007545BD">
            <w:pPr>
              <w:pStyle w:val="ListParagraph"/>
              <w:numPr>
                <w:ilvl w:val="0"/>
                <w:numId w:val="39"/>
              </w:numPr>
              <w:spacing w:after="0" w:line="240" w:lineRule="auto"/>
              <w:jc w:val="both"/>
              <w:rPr>
                <w:rFonts w:ascii="Times New Roman" w:hAnsi="Times New Roman" w:cs="Times New Roman"/>
                <w:iCs/>
                <w:noProof/>
                <w:sz w:val="20"/>
                <w:szCs w:val="20"/>
              </w:rPr>
            </w:pPr>
            <w:r w:rsidRPr="00930237">
              <w:rPr>
                <w:rFonts w:ascii="Times New Roman" w:eastAsia="Times New Roman" w:hAnsi="Times New Roman" w:cs="Times New Roman"/>
                <w:iCs/>
                <w:noProof/>
                <w:sz w:val="20"/>
                <w:szCs w:val="20"/>
              </w:rPr>
              <w:t>energoefektivtātes uzlabošanu rūpniecībā un komersantos- veicinot Latvijas noteikto AER mērķu sasniegšanu, nodrošinot energoresursu ilgtspējīgu izmantošanu, kā arī atbalstītu pāreju uz AER. Lai ilgtermiņā palielinātu AER īpatsvaru, ir jāveicina energoefektivitāte centralizētajā, individuālajā un lokālajā siltumapgādē un aukstumapgādē, sniedzot atbalstu to atjaunošanai vai izbūvēšanai, uzsvaru liekot uz kompleksiem risinājumiem</w:t>
            </w:r>
            <w:r>
              <w:rPr>
                <w:rFonts w:ascii="Times New Roman" w:eastAsia="Times New Roman" w:hAnsi="Times New Roman" w:cs="Times New Roman"/>
                <w:iCs/>
                <w:noProof/>
                <w:sz w:val="20"/>
                <w:szCs w:val="20"/>
              </w:rPr>
              <w:t xml:space="preserve">, </w:t>
            </w:r>
            <w:r w:rsidRPr="00B63C82">
              <w:rPr>
                <w:rFonts w:ascii="Times New Roman" w:eastAsia="Times New Roman" w:hAnsi="Times New Roman" w:cs="Times New Roman"/>
                <w:iCs/>
                <w:noProof/>
                <w:sz w:val="20"/>
                <w:szCs w:val="20"/>
              </w:rPr>
              <w:t>t.sk. inženiertehnisko tīklu un inženiertehnisko komunikāciju modernizēšanu</w:t>
            </w:r>
            <w:r w:rsidRPr="00930237">
              <w:rPr>
                <w:rFonts w:ascii="Times New Roman" w:eastAsia="Times New Roman" w:hAnsi="Times New Roman" w:cs="Times New Roman"/>
                <w:iCs/>
                <w:noProof/>
                <w:sz w:val="20"/>
                <w:szCs w:val="20"/>
              </w:rPr>
              <w:t>.</w:t>
            </w:r>
          </w:p>
          <w:p w14:paraId="1DCCDF49" w14:textId="5AC0D762" w:rsidR="00DA560F" w:rsidRPr="00930237" w:rsidRDefault="00DA560F" w:rsidP="00DA560F">
            <w:pPr>
              <w:pStyle w:val="ListParagraph"/>
              <w:spacing w:after="0" w:line="240" w:lineRule="auto"/>
              <w:rPr>
                <w:rFonts w:ascii="Times New Roman" w:hAnsi="Times New Roman" w:cs="Times New Roman"/>
                <w:iCs/>
                <w:noProof/>
                <w:sz w:val="20"/>
                <w:szCs w:val="20"/>
              </w:rPr>
            </w:pPr>
          </w:p>
        </w:tc>
      </w:tr>
      <w:tr w:rsidR="00DA560F" w:rsidRPr="00930237" w14:paraId="483D3182" w14:textId="77777777" w:rsidTr="00487038">
        <w:trPr>
          <w:trHeight w:val="657"/>
        </w:trPr>
        <w:tc>
          <w:tcPr>
            <w:tcW w:w="556" w:type="pct"/>
            <w:vMerge/>
          </w:tcPr>
          <w:p w14:paraId="7BCCDE11" w14:textId="77777777" w:rsidR="00DA560F" w:rsidRPr="00930237" w:rsidRDefault="00DA560F" w:rsidP="00DA560F">
            <w:pPr>
              <w:spacing w:before="0" w:after="0"/>
              <w:rPr>
                <w:rFonts w:eastAsia="Times New Roman"/>
                <w:iCs/>
                <w:noProof/>
                <w:color w:val="7030A0"/>
                <w:sz w:val="20"/>
              </w:rPr>
            </w:pPr>
          </w:p>
        </w:tc>
        <w:tc>
          <w:tcPr>
            <w:tcW w:w="759" w:type="pct"/>
          </w:tcPr>
          <w:p w14:paraId="7D701CA5" w14:textId="071DB320" w:rsidR="00DA560F" w:rsidRPr="00930237" w:rsidRDefault="00DA560F" w:rsidP="00DA560F">
            <w:pPr>
              <w:spacing w:before="0" w:after="0"/>
              <w:rPr>
                <w:rFonts w:eastAsia="Times New Roman"/>
                <w:iCs/>
                <w:noProof/>
                <w:sz w:val="20"/>
              </w:rPr>
            </w:pPr>
            <w:r w:rsidRPr="00930237">
              <w:rPr>
                <w:rFonts w:eastAsia="Times New Roman"/>
                <w:iCs/>
                <w:noProof/>
                <w:sz w:val="20"/>
              </w:rPr>
              <w:t>2.1.2.SAM Atjaunojamo energoresursu enerģijas veicināšana</w:t>
            </w:r>
            <w:r w:rsidRPr="00930237">
              <w:rPr>
                <w:rStyle w:val="FootnoteReference"/>
                <w:rFonts w:eastAsia="Times New Roman"/>
                <w:iCs/>
                <w:noProof/>
                <w:sz w:val="20"/>
                <w:vertAlign w:val="baseline"/>
              </w:rPr>
              <w:t xml:space="preserve"> </w:t>
            </w:r>
          </w:p>
        </w:tc>
        <w:tc>
          <w:tcPr>
            <w:tcW w:w="3685" w:type="pct"/>
          </w:tcPr>
          <w:p w14:paraId="5107EA7D" w14:textId="656511BA" w:rsidR="00DA560F" w:rsidRPr="00930237" w:rsidRDefault="00DA560F" w:rsidP="00DA560F">
            <w:pPr>
              <w:spacing w:before="0" w:after="0"/>
              <w:rPr>
                <w:sz w:val="20"/>
              </w:rPr>
            </w:pPr>
            <w:r w:rsidRPr="00930237">
              <w:rPr>
                <w:sz w:val="20"/>
              </w:rPr>
              <w:t>ES ietvaros visām dalībvalstīm kopējs saistošs mērķis 2030.gadam no ES kopējā enerģijas gala patēriņa ir noteikts Direktīvā 2018/2001</w:t>
            </w:r>
            <w:r>
              <w:rPr>
                <w:rStyle w:val="FootnoteReference"/>
                <w:sz w:val="20"/>
              </w:rPr>
              <w:footnoteReference w:id="58"/>
            </w:r>
            <w:r w:rsidRPr="00930237">
              <w:rPr>
                <w:sz w:val="20"/>
              </w:rPr>
              <w:t xml:space="preserve"> – 32%. Visām ES dalībvalstīm ir jānosaka savi nacionālie devumi kopējā ES mērķa izpildei. Latvija nosaka, ka minimālais pieļaujamais ikgadējais AER īpatsvars enerģijas galapatēriņā 2021.–2030.gada periodam nav mazāks nekā 40%.</w:t>
            </w:r>
          </w:p>
          <w:p w14:paraId="37BBA3B0" w14:textId="77777777" w:rsidR="00DA560F" w:rsidRPr="00930237" w:rsidRDefault="00DA560F" w:rsidP="00DA560F">
            <w:pPr>
              <w:spacing w:before="0" w:after="0"/>
              <w:rPr>
                <w:sz w:val="20"/>
              </w:rPr>
            </w:pPr>
            <w:r w:rsidRPr="00930237">
              <w:rPr>
                <w:rFonts w:eastAsia="Times New Roman"/>
                <w:iCs/>
                <w:noProof/>
                <w:sz w:val="20"/>
              </w:rPr>
              <w:t xml:space="preserve">Atbilstoši NAP Latvijas noteiktais mērķis līdz 2027.gadam ir </w:t>
            </w:r>
            <w:r w:rsidRPr="00930237">
              <w:rPr>
                <w:bCs/>
                <w:sz w:val="20"/>
              </w:rPr>
              <w:t>47,5</w:t>
            </w:r>
            <w:r w:rsidRPr="00930237">
              <w:rPr>
                <w:sz w:val="20"/>
              </w:rPr>
              <w:t>%</w:t>
            </w:r>
            <w:r w:rsidRPr="00930237">
              <w:rPr>
                <w:bCs/>
                <w:sz w:val="20"/>
              </w:rPr>
              <w:t xml:space="preserve"> </w:t>
            </w:r>
            <w:r w:rsidRPr="00930237">
              <w:rPr>
                <w:sz w:val="20"/>
              </w:rPr>
              <w:t>AER saražotās enerģijas īpatsvars kopējā enerģijas galapatēriņā; 5</w:t>
            </w:r>
            <w:r w:rsidRPr="00930237">
              <w:rPr>
                <w:bCs/>
                <w:sz w:val="20"/>
              </w:rPr>
              <w:t>,85% AER saražotās enerģijas īpatsvars transportā</w:t>
            </w:r>
            <w:r w:rsidRPr="00930237">
              <w:rPr>
                <w:bCs/>
                <w:sz w:val="20"/>
                <w:vertAlign w:val="superscript"/>
              </w:rPr>
              <w:footnoteReference w:id="59"/>
            </w:r>
            <w:r w:rsidRPr="00930237">
              <w:rPr>
                <w:bCs/>
                <w:sz w:val="20"/>
              </w:rPr>
              <w:t xml:space="preserve">. </w:t>
            </w:r>
            <w:r w:rsidRPr="00930237">
              <w:rPr>
                <w:sz w:val="20"/>
              </w:rPr>
              <w:t xml:space="preserve">Latvija plāno periodam līdz 2030.gadam palielināt AER īpatsvaru </w:t>
            </w:r>
            <w:r w:rsidRPr="00930237">
              <w:rPr>
                <w:b/>
                <w:sz w:val="20"/>
              </w:rPr>
              <w:t>elektroenerģijā</w:t>
            </w:r>
            <w:r w:rsidRPr="00930237">
              <w:rPr>
                <w:sz w:val="20"/>
              </w:rPr>
              <w:t>, lai tas sasniegtu vismaz 60%.</w:t>
            </w:r>
          </w:p>
          <w:p w14:paraId="34836E74" w14:textId="0D071654" w:rsidR="00DA560F" w:rsidRPr="00930237" w:rsidRDefault="00DA560F" w:rsidP="00DA560F">
            <w:pPr>
              <w:spacing w:before="0" w:after="0"/>
              <w:rPr>
                <w:sz w:val="20"/>
              </w:rPr>
            </w:pPr>
            <w:r w:rsidRPr="00930237">
              <w:rPr>
                <w:sz w:val="20"/>
              </w:rPr>
              <w:t xml:space="preserve">Šobrīd elektroenerģijas pārvades sistēma spēj uzņemt līdz 800 MW papildu jaunas AE jaudas, kas ir aptuveni trešā daļa no visas pašreiz Latvijā uzstādītās kopējās elektriskās jaudas. Šobrīd nav attīstīta lielas jaudas </w:t>
            </w:r>
            <w:r w:rsidRPr="00930237">
              <w:rPr>
                <w:b/>
                <w:sz w:val="20"/>
              </w:rPr>
              <w:t>elektroenerģijas ražošana no</w:t>
            </w:r>
            <w:r w:rsidRPr="00930237">
              <w:rPr>
                <w:sz w:val="20"/>
              </w:rPr>
              <w:t xml:space="preserve"> </w:t>
            </w:r>
            <w:r w:rsidRPr="00930237">
              <w:rPr>
                <w:b/>
                <w:sz w:val="20"/>
              </w:rPr>
              <w:t>saules enerģijas</w:t>
            </w:r>
            <w:r w:rsidRPr="00930237">
              <w:rPr>
                <w:sz w:val="20"/>
              </w:rPr>
              <w:t xml:space="preserve">, kam Latvijā varētu būt līdzīgs potenciāls kā citās Eiropas valstīs, kur šāda ražošana ir attīstīta. Sniedzot atbalstu šādām aktivitātēm, </w:t>
            </w:r>
            <w:r w:rsidRPr="008E36A8">
              <w:rPr>
                <w:sz w:val="20"/>
              </w:rPr>
              <w:t>t</w:t>
            </w:r>
            <w:r w:rsidR="00AC3040">
              <w:rPr>
                <w:sz w:val="20"/>
              </w:rPr>
              <w:t>.sk.,</w:t>
            </w:r>
            <w:r w:rsidRPr="008E36A8">
              <w:rPr>
                <w:sz w:val="20"/>
              </w:rPr>
              <w:t xml:space="preserve"> paredzot atbalstu energokopienām </w:t>
            </w:r>
            <w:r w:rsidRPr="00930237">
              <w:rPr>
                <w:sz w:val="20"/>
              </w:rPr>
              <w:t>tiktu sniegts ieguldījums Latvijai noteiktā AER mērķa sasniegšanā 2030.gadam, kā arī SEG emisiju samazinājuma mērķu sasniegšanai.</w:t>
            </w:r>
          </w:p>
          <w:p w14:paraId="44DE620A" w14:textId="77777777" w:rsidR="00DA560F" w:rsidRDefault="00DA560F" w:rsidP="00DA560F">
            <w:pPr>
              <w:spacing w:before="0" w:after="0"/>
              <w:rPr>
                <w:rFonts w:eastAsia="Times New Roman"/>
                <w:b/>
                <w:iCs/>
                <w:noProof/>
                <w:sz w:val="20"/>
              </w:rPr>
            </w:pPr>
            <w:r w:rsidRPr="00930237">
              <w:rPr>
                <w:sz w:val="20"/>
              </w:rPr>
              <w:t xml:space="preserve">Saskaņā ar 2019. gada Ziņojumu par politikām, pasākumiem un prognozēm lauksaimniecības sektorā prognozes liecina, ka kūtsmēslu apsaimniekošanas CH4 emisijas palielināsies par 36,9% 2030. gadā, salīdzinot ar 2017. gadu. Kūtsmēslu radītais SEG jau šobrīd palielinās, tomēr veicot investīcijas tādu tehnoloģisko procesu attīstībā, kā </w:t>
            </w:r>
            <w:r w:rsidRPr="00930237">
              <w:rPr>
                <w:b/>
                <w:sz w:val="20"/>
              </w:rPr>
              <w:t>biometāna ražošana</w:t>
            </w:r>
            <w:r w:rsidRPr="00930237">
              <w:rPr>
                <w:sz w:val="20"/>
              </w:rPr>
              <w:t>, ir iespējams radīt jaunu produktu, kas veicinās AER izmantošanas veicināšanu un radīt mazāku piesārņojumu dabai.</w:t>
            </w:r>
            <w:r w:rsidRPr="00930237">
              <w:rPr>
                <w:rFonts w:eastAsia="Times New Roman"/>
                <w:iCs/>
                <w:noProof/>
                <w:sz w:val="20"/>
              </w:rPr>
              <w:t xml:space="preserve"> Biometāna iegūšana no biogāzes dod iespēju maksimāli efektīvi izlietot iegūto biogāzi, savukārt </w:t>
            </w:r>
            <w:r w:rsidRPr="00930237">
              <w:rPr>
                <w:rFonts w:eastAsia="Times New Roman"/>
                <w:b/>
                <w:iCs/>
                <w:noProof/>
                <w:sz w:val="20"/>
              </w:rPr>
              <w:t>biometāna izmantošana transportā</w:t>
            </w:r>
            <w:r w:rsidRPr="008E36A8">
              <w:rPr>
                <w:rFonts w:eastAsia="Times New Roman"/>
                <w:b/>
                <w:iCs/>
                <w:noProof/>
                <w:sz w:val="20"/>
              </w:rPr>
              <w:t>, jo īpaši sabiedriskajā un komunālajā trasnportā,</w:t>
            </w:r>
            <w:r>
              <w:rPr>
                <w:rFonts w:eastAsia="Times New Roman"/>
                <w:b/>
                <w:iCs/>
                <w:noProof/>
                <w:sz w:val="20"/>
              </w:rPr>
              <w:t xml:space="preserve"> </w:t>
            </w:r>
            <w:r w:rsidRPr="00930237">
              <w:rPr>
                <w:rFonts w:eastAsia="Times New Roman"/>
                <w:b/>
                <w:iCs/>
                <w:noProof/>
                <w:sz w:val="20"/>
              </w:rPr>
              <w:t>dod iespēju aizvietot fosilo degvielu ar atjaunojamo enerģiju.</w:t>
            </w:r>
          </w:p>
          <w:p w14:paraId="313137FA" w14:textId="4A929952" w:rsidR="00FE1506" w:rsidRPr="00930237" w:rsidRDefault="00FE1506" w:rsidP="00DA560F">
            <w:pPr>
              <w:spacing w:before="0" w:after="0"/>
              <w:rPr>
                <w:rFonts w:eastAsia="Times New Roman"/>
                <w:iCs/>
                <w:noProof/>
                <w:sz w:val="20"/>
              </w:rPr>
            </w:pPr>
            <w:r w:rsidRPr="00FE1506">
              <w:rPr>
                <w:rFonts w:eastAsia="Times New Roman"/>
                <w:iCs/>
                <w:noProof/>
                <w:sz w:val="20"/>
              </w:rPr>
              <w:t>Daļā Latvijas pašvaldību sākot ar 2021.gadu ir uzsākta bioloģisko atkritumu dalītā vākšana, kopumā Latvijas teritorijā to ieviesīs 2023.gadā. Šim bioloģisko, kā arī no kopējās sadzīves atkritumu masas atdalīto bioloģiski noārdāmo atkritumu, arī  notekūdeņu dūņu,  apjomam, kas pēc statistikas veido aptuveni 300 tūkstoši tonnu 2019.gadā, ir nepieciešama pārstrāde, lai novirzītu to no apglabāšanas poligonos</w:t>
            </w:r>
            <w:r>
              <w:rPr>
                <w:rFonts w:eastAsia="Times New Roman"/>
                <w:iCs/>
                <w:noProof/>
                <w:sz w:val="20"/>
              </w:rPr>
              <w:t xml:space="preserve">. </w:t>
            </w:r>
            <w:r w:rsidRPr="00FE1506">
              <w:rPr>
                <w:rFonts w:eastAsia="Times New Roman"/>
                <w:iCs/>
                <w:noProof/>
                <w:sz w:val="20"/>
              </w:rPr>
              <w:t>Anaerobās pārstrādes rezultātā rodas biogāze</w:t>
            </w:r>
            <w:r>
              <w:rPr>
                <w:rFonts w:eastAsia="Times New Roman"/>
                <w:iCs/>
                <w:noProof/>
                <w:sz w:val="20"/>
              </w:rPr>
              <w:t xml:space="preserve">, kuru </w:t>
            </w:r>
            <w:r w:rsidRPr="00FE1506">
              <w:rPr>
                <w:rFonts w:eastAsia="Times New Roman"/>
                <w:iCs/>
                <w:noProof/>
                <w:sz w:val="20"/>
              </w:rPr>
              <w:t>lietderīgi izmantot biometāna ražošanai.</w:t>
            </w:r>
          </w:p>
        </w:tc>
      </w:tr>
      <w:tr w:rsidR="00DA560F" w:rsidRPr="00930237" w14:paraId="1EFE9EE4" w14:textId="77777777" w:rsidTr="000E58E3">
        <w:tc>
          <w:tcPr>
            <w:tcW w:w="556" w:type="pct"/>
            <w:vMerge/>
          </w:tcPr>
          <w:p w14:paraId="6EA13133" w14:textId="77777777" w:rsidR="00DA560F" w:rsidRPr="00930237" w:rsidRDefault="00DA560F" w:rsidP="00DA560F">
            <w:pPr>
              <w:spacing w:before="0" w:after="0"/>
              <w:rPr>
                <w:rFonts w:eastAsia="Times New Roman"/>
                <w:iCs/>
                <w:noProof/>
                <w:color w:val="7030A0"/>
                <w:sz w:val="20"/>
              </w:rPr>
            </w:pPr>
          </w:p>
        </w:tc>
        <w:tc>
          <w:tcPr>
            <w:tcW w:w="759" w:type="pct"/>
          </w:tcPr>
          <w:p w14:paraId="38E95DB9" w14:textId="36B07C8C" w:rsidR="00DA560F" w:rsidRPr="00930237" w:rsidRDefault="00DA560F" w:rsidP="00DA560F">
            <w:pPr>
              <w:spacing w:before="0" w:after="0"/>
              <w:rPr>
                <w:sz w:val="20"/>
              </w:rPr>
            </w:pPr>
            <w:r w:rsidRPr="00930237">
              <w:rPr>
                <w:sz w:val="20"/>
              </w:rPr>
              <w:t>2.1.3.SAM Veicināt pielāgošanos klimata pārmaiņām, risku novēršanu un noturību pret katastrofām</w:t>
            </w:r>
          </w:p>
        </w:tc>
        <w:tc>
          <w:tcPr>
            <w:tcW w:w="3685" w:type="pct"/>
          </w:tcPr>
          <w:p w14:paraId="6BBD6722" w14:textId="63F04930" w:rsidR="00DA560F" w:rsidRPr="00930237" w:rsidRDefault="00DA560F" w:rsidP="00DA560F">
            <w:pPr>
              <w:spacing w:before="0" w:after="0"/>
              <w:rPr>
                <w:rFonts w:eastAsiaTheme="minorHAnsi"/>
                <w:sz w:val="20"/>
              </w:rPr>
            </w:pPr>
            <w:r>
              <w:rPr>
                <w:rFonts w:eastAsia="Times New Roman"/>
                <w:sz w:val="20"/>
              </w:rPr>
              <w:t>A</w:t>
            </w:r>
            <w:r w:rsidRPr="00930237">
              <w:rPr>
                <w:rFonts w:eastAsia="Times New Roman"/>
                <w:sz w:val="20"/>
              </w:rPr>
              <w:t xml:space="preserve">rī Latvijā novērotas klimata pārmaiņas – vidējās gaisa temperatūras paaugstināšanās, kopējās atmosfēras nokrišņu summas un dienu skaita ar stipriem un ļoti stipriem nokrišņiem palielināšanās, sala dienu skaita samazināšanās, garāka augšanas sezona, sniega segas samazināšanās u.c. Veicinot Latvijas klimatnoturību, plānota pielāgošanās klimata pārmaiņām pasākumu īstenošana, tostarp  </w:t>
            </w:r>
            <w:r w:rsidRPr="00E931A4">
              <w:rPr>
                <w:rFonts w:eastAsia="Times New Roman"/>
                <w:sz w:val="20"/>
              </w:rPr>
              <w:t>Pielāgošanās plānā</w:t>
            </w:r>
            <w:r>
              <w:rPr>
                <w:rStyle w:val="FootnoteReference"/>
                <w:rFonts w:eastAsia="Times New Roman"/>
                <w:sz w:val="20"/>
              </w:rPr>
              <w:footnoteReference w:id="60"/>
            </w:r>
            <w:r w:rsidR="00FE1506">
              <w:rPr>
                <w:rFonts w:eastAsia="Times New Roman"/>
                <w:sz w:val="20"/>
              </w:rPr>
              <w:t xml:space="preserve"> </w:t>
            </w:r>
            <w:r w:rsidRPr="00930237">
              <w:rPr>
                <w:rFonts w:eastAsia="Times New Roman"/>
                <w:sz w:val="20"/>
              </w:rPr>
              <w:t xml:space="preserve">paredzēto. </w:t>
            </w:r>
            <w:r>
              <w:rPr>
                <w:rFonts w:eastAsia="Times New Roman"/>
                <w:sz w:val="20"/>
              </w:rPr>
              <w:t>N</w:t>
            </w:r>
            <w:r w:rsidRPr="00930237">
              <w:rPr>
                <w:rFonts w:eastAsia="Times New Roman"/>
                <w:sz w:val="20"/>
              </w:rPr>
              <w:t xml:space="preserve">ākotnes klimata pārmaiņu scenāriju analīze demonstrē, ka klimata pārmaiņu tendences turpināsies visa gadsimta laikā. Visbūtiskākās izmaiņas skars klimatisko parametru ekstremālās vērtības – nākotnē biežāk </w:t>
            </w:r>
            <w:r>
              <w:rPr>
                <w:rFonts w:eastAsia="Times New Roman"/>
                <w:sz w:val="20"/>
              </w:rPr>
              <w:t>saskarsimies</w:t>
            </w:r>
            <w:r w:rsidRPr="00930237">
              <w:rPr>
                <w:rFonts w:eastAsia="Times New Roman"/>
                <w:sz w:val="20"/>
              </w:rPr>
              <w:t xml:space="preserve"> ar neraksturīgiem, ekstremāliem laikapstākļiem, kā arī paaugstināsies jūras līmenis</w:t>
            </w:r>
            <w:r w:rsidRPr="00930237">
              <w:rPr>
                <w:rFonts w:eastAsia="Times New Roman"/>
                <w:sz w:val="20"/>
                <w:vertAlign w:val="superscript"/>
              </w:rPr>
              <w:footnoteReference w:id="61"/>
            </w:r>
            <w:r w:rsidRPr="00930237">
              <w:rPr>
                <w:rFonts w:eastAsia="Times New Roman"/>
                <w:sz w:val="20"/>
              </w:rPr>
              <w:t xml:space="preserve">. </w:t>
            </w:r>
          </w:p>
          <w:p w14:paraId="5C2A76E4" w14:textId="290D5265" w:rsidR="00DA560F" w:rsidRPr="00930237" w:rsidRDefault="00DA560F" w:rsidP="00DA560F">
            <w:pPr>
              <w:spacing w:before="0" w:after="0"/>
              <w:rPr>
                <w:sz w:val="20"/>
              </w:rPr>
            </w:pPr>
            <w:r w:rsidRPr="00930237">
              <w:rPr>
                <w:rFonts w:eastAsia="Times New Roman"/>
                <w:sz w:val="20"/>
              </w:rPr>
              <w:t xml:space="preserve">Plūdi un krasta erozija, kā arī ugunsgrēki, intensificējoties klimata pārmaiņu ietekmē, var radīt bīstamus postījumus zaudējumus tautsaimniecībai un sabiedrībai, var ciest arī vēsturiskās un kultūras vērtības. </w:t>
            </w:r>
            <w:r w:rsidRPr="00930237">
              <w:rPr>
                <w:sz w:val="20"/>
              </w:rPr>
              <w:t xml:space="preserve">Vieni no nozīmīgākajiem klimata pārmaiņu riskiem Latvijai ir </w:t>
            </w:r>
            <w:r w:rsidRPr="00153BE9">
              <w:rPr>
                <w:sz w:val="20"/>
              </w:rPr>
              <w:t xml:space="preserve">upju, ezeru, jūras </w:t>
            </w:r>
            <w:r>
              <w:rPr>
                <w:sz w:val="20"/>
              </w:rPr>
              <w:t xml:space="preserve">krastu </w:t>
            </w:r>
            <w:r w:rsidRPr="00153BE9">
              <w:rPr>
                <w:sz w:val="20"/>
              </w:rPr>
              <w:t>eroz</w:t>
            </w:r>
            <w:r>
              <w:rPr>
                <w:sz w:val="20"/>
              </w:rPr>
              <w:t xml:space="preserve">ija un plūdi, tostarp vējuzplūdi </w:t>
            </w:r>
            <w:r w:rsidRPr="00930237">
              <w:rPr>
                <w:rStyle w:val="FootnoteReference"/>
                <w:sz w:val="20"/>
              </w:rPr>
              <w:footnoteReference w:id="62"/>
            </w:r>
            <w:r w:rsidRPr="00930237">
              <w:rPr>
                <w:sz w:val="20"/>
              </w:rPr>
              <w:t>.</w:t>
            </w:r>
            <w:r w:rsidRPr="00930237">
              <w:rPr>
                <w:rFonts w:eastAsia="Times New Roman"/>
                <w:iCs/>
                <w:sz w:val="20"/>
              </w:rPr>
              <w:t xml:space="preserve"> </w:t>
            </w:r>
            <w:r w:rsidRPr="00930237">
              <w:rPr>
                <w:sz w:val="20"/>
              </w:rPr>
              <w:t>Vienlaikus klimata pielāgošanās</w:t>
            </w:r>
            <w:r>
              <w:rPr>
                <w:sz w:val="20"/>
              </w:rPr>
              <w:t>,</w:t>
            </w:r>
            <w:r w:rsidRPr="00930237">
              <w:rPr>
                <w:sz w:val="20"/>
              </w:rPr>
              <w:t xml:space="preserve">  zaļās</w:t>
            </w:r>
            <w:r>
              <w:rPr>
                <w:sz w:val="20"/>
              </w:rPr>
              <w:t xml:space="preserve"> un zilās</w:t>
            </w:r>
            <w:r w:rsidRPr="00930237">
              <w:rPr>
                <w:sz w:val="20"/>
              </w:rPr>
              <w:t xml:space="preserve"> infrastruktūras risinājumus nepieciešams integrēt arī pašvaldību līmenī, nodrošinot sociālekonomiskos ieguvumus.</w:t>
            </w:r>
          </w:p>
          <w:p w14:paraId="641FE643" w14:textId="0DF7EAAE" w:rsidR="00DA560F" w:rsidRPr="00930237" w:rsidRDefault="00DA560F" w:rsidP="00DA560F">
            <w:pPr>
              <w:spacing w:before="0" w:after="0"/>
              <w:rPr>
                <w:rFonts w:eastAsia="Times New Roman"/>
                <w:iCs/>
                <w:sz w:val="20"/>
              </w:rPr>
            </w:pPr>
            <w:r>
              <w:rPr>
                <w:rFonts w:eastAsia="Times New Roman"/>
                <w:iCs/>
                <w:sz w:val="20"/>
              </w:rPr>
              <w:t>Ir</w:t>
            </w:r>
            <w:r w:rsidRPr="00930237">
              <w:rPr>
                <w:rFonts w:eastAsia="Times New Roman"/>
                <w:iCs/>
                <w:sz w:val="20"/>
              </w:rPr>
              <w:t xml:space="preserve"> paredzēti pasākumi  aizsardzībai pret plūdiem un krastu eroziju, lai pasargātu apdzīvotās vietas, infrastruktūru, piesārņotās teritorijas, u.c. svarīgus objektus, kā arī citi pasākumi, kas paredzēti </w:t>
            </w:r>
            <w:r>
              <w:rPr>
                <w:rFonts w:eastAsia="Times New Roman"/>
                <w:iCs/>
                <w:sz w:val="20"/>
              </w:rPr>
              <w:t>vietējā</w:t>
            </w:r>
            <w:r w:rsidRPr="00930237">
              <w:rPr>
                <w:rFonts w:eastAsia="Times New Roman"/>
                <w:iCs/>
                <w:sz w:val="20"/>
              </w:rPr>
              <w:t xml:space="preserve"> līmeņa pielāgošanās klimata pārmaiņu stratēģijās (pašvaldību attīstības programmu sastāvdaļa). Pasākumu ieviešanā tiks izmantoti zaļie</w:t>
            </w:r>
            <w:r w:rsidR="00FE1506">
              <w:rPr>
                <w:rFonts w:eastAsia="Times New Roman"/>
                <w:iCs/>
                <w:sz w:val="20"/>
              </w:rPr>
              <w:t xml:space="preserve"> un zilie</w:t>
            </w:r>
            <w:r w:rsidRPr="00930237">
              <w:rPr>
                <w:rFonts w:eastAsia="Times New Roman"/>
                <w:iCs/>
                <w:sz w:val="20"/>
              </w:rPr>
              <w:t xml:space="preserve"> risinājumi, jo tie mazinās “siltuma salas” efektu, </w:t>
            </w:r>
            <w:r w:rsidRPr="00197045">
              <w:rPr>
                <w:rFonts w:eastAsia="Times New Roman"/>
                <w:iCs/>
                <w:sz w:val="20"/>
              </w:rPr>
              <w:t>mazinās plūdus, krastu eroziju u.c. klimata pārmaiņu izraisītos riskus un ietekmes</w:t>
            </w:r>
            <w:r w:rsidRPr="00930237">
              <w:rPr>
                <w:rFonts w:eastAsia="Times New Roman"/>
                <w:iCs/>
                <w:sz w:val="20"/>
              </w:rPr>
              <w:t xml:space="preserve">. </w:t>
            </w:r>
          </w:p>
          <w:p w14:paraId="2F015FF5" w14:textId="7AF2BF05" w:rsidR="00DA560F" w:rsidRDefault="00DA560F" w:rsidP="00DA560F">
            <w:pPr>
              <w:spacing w:before="0" w:after="0"/>
              <w:rPr>
                <w:color w:val="000000" w:themeColor="text1"/>
                <w:sz w:val="20"/>
              </w:rPr>
            </w:pPr>
            <w:r>
              <w:rPr>
                <w:color w:val="000000" w:themeColor="text1"/>
                <w:sz w:val="20"/>
              </w:rPr>
              <w:t>Ņ</w:t>
            </w:r>
            <w:r w:rsidRPr="00930237">
              <w:rPr>
                <w:color w:val="000000" w:themeColor="text1"/>
                <w:sz w:val="20"/>
              </w:rPr>
              <w:t xml:space="preserve">emot vērā esošās un nākotnē prognozētās katastrofas, to atkārtošanās biežumu un radītās sekas, plānots uzlabot katastrofas pārvaldīšanas (preventīvos, gatavības, reaģēšanas un seku likvidēšanas) </w:t>
            </w:r>
            <w:r w:rsidR="00FE1506">
              <w:rPr>
                <w:color w:val="000000" w:themeColor="text1"/>
                <w:sz w:val="20"/>
              </w:rPr>
              <w:t>kapacitāti</w:t>
            </w:r>
            <w:r w:rsidRPr="00930237">
              <w:rPr>
                <w:color w:val="000000" w:themeColor="text1"/>
                <w:sz w:val="20"/>
              </w:rPr>
              <w:t>.</w:t>
            </w:r>
          </w:p>
          <w:p w14:paraId="36D18596" w14:textId="672FC765" w:rsidR="00DA560F" w:rsidRPr="00930237" w:rsidRDefault="00DA560F" w:rsidP="00DA560F">
            <w:pPr>
              <w:spacing w:before="0" w:after="0"/>
              <w:rPr>
                <w:rFonts w:eastAsia="Times New Roman"/>
                <w:iCs/>
                <w:noProof/>
                <w:sz w:val="20"/>
              </w:rPr>
            </w:pPr>
          </w:p>
        </w:tc>
      </w:tr>
      <w:tr w:rsidR="00DA560F" w:rsidRPr="00930237" w14:paraId="0A14E0FF" w14:textId="77777777" w:rsidTr="000E58E3">
        <w:tc>
          <w:tcPr>
            <w:tcW w:w="556" w:type="pct"/>
            <w:vMerge/>
          </w:tcPr>
          <w:p w14:paraId="29224AAD" w14:textId="77777777" w:rsidR="00DA560F" w:rsidRPr="00930237" w:rsidRDefault="00DA560F" w:rsidP="00DA560F">
            <w:pPr>
              <w:spacing w:before="0" w:after="0"/>
              <w:rPr>
                <w:rFonts w:eastAsia="Times New Roman"/>
                <w:iCs/>
                <w:noProof/>
                <w:color w:val="7030A0"/>
                <w:sz w:val="20"/>
              </w:rPr>
            </w:pPr>
          </w:p>
        </w:tc>
        <w:tc>
          <w:tcPr>
            <w:tcW w:w="759" w:type="pct"/>
          </w:tcPr>
          <w:p w14:paraId="23978B04" w14:textId="1B5E47C1" w:rsidR="00DA560F" w:rsidRPr="00930237" w:rsidRDefault="00DA560F" w:rsidP="00DA560F">
            <w:pPr>
              <w:spacing w:before="0" w:after="0"/>
              <w:rPr>
                <w:sz w:val="20"/>
              </w:rPr>
            </w:pPr>
            <w:r w:rsidRPr="00930237">
              <w:rPr>
                <w:sz w:val="20"/>
              </w:rPr>
              <w:t>2.2.1.SAM Veicināt ilgtspējīgu ūdenssaimniecību</w:t>
            </w:r>
          </w:p>
        </w:tc>
        <w:tc>
          <w:tcPr>
            <w:tcW w:w="3685" w:type="pct"/>
          </w:tcPr>
          <w:p w14:paraId="3589934C" w14:textId="431FD748" w:rsidR="00DA560F" w:rsidRPr="00930237" w:rsidRDefault="00DA560F" w:rsidP="00DA560F">
            <w:pPr>
              <w:spacing w:before="0" w:after="0"/>
              <w:rPr>
                <w:rFonts w:eastAsia="Times New Roman"/>
                <w:iCs/>
                <w:noProof/>
                <w:sz w:val="20"/>
              </w:rPr>
            </w:pPr>
            <w:r w:rsidRPr="00930237">
              <w:rPr>
                <w:rFonts w:eastAsia="Times New Roman"/>
                <w:iCs/>
                <w:noProof/>
                <w:sz w:val="20"/>
              </w:rPr>
              <w:t xml:space="preserve">Lai </w:t>
            </w:r>
            <w:r w:rsidRPr="00197045">
              <w:rPr>
                <w:rFonts w:eastAsia="Times New Roman"/>
                <w:iCs/>
                <w:noProof/>
                <w:sz w:val="20"/>
              </w:rPr>
              <w:t xml:space="preserve">nodrošinātu </w:t>
            </w:r>
            <w:r>
              <w:rPr>
                <w:rFonts w:eastAsia="Times New Roman"/>
                <w:iCs/>
                <w:noProof/>
                <w:sz w:val="20"/>
              </w:rPr>
              <w:t xml:space="preserve">notekūdeņu </w:t>
            </w:r>
            <w:r w:rsidRPr="00197045">
              <w:rPr>
                <w:rFonts w:eastAsia="Times New Roman"/>
                <w:iCs/>
                <w:noProof/>
                <w:sz w:val="20"/>
              </w:rPr>
              <w:t>negatīvās ietekmes uz vidi samazināšanu</w:t>
            </w:r>
            <w:r>
              <w:rPr>
                <w:rFonts w:eastAsia="Times New Roman"/>
                <w:iCs/>
                <w:noProof/>
                <w:sz w:val="20"/>
              </w:rPr>
              <w:t>,</w:t>
            </w:r>
            <w:r>
              <w:t xml:space="preserve"> </w:t>
            </w:r>
            <w:r w:rsidRPr="00E931A4">
              <w:rPr>
                <w:rFonts w:eastAsia="Times New Roman"/>
                <w:iCs/>
                <w:noProof/>
                <w:sz w:val="20"/>
              </w:rPr>
              <w:t>ņemot vērā virzību</w:t>
            </w:r>
            <w:r w:rsidR="00FE1506">
              <w:rPr>
                <w:rFonts w:eastAsia="Times New Roman"/>
                <w:iCs/>
                <w:noProof/>
                <w:sz w:val="20"/>
              </w:rPr>
              <w:t xml:space="preserve"> uz</w:t>
            </w:r>
            <w:r w:rsidRPr="00E931A4">
              <w:rPr>
                <w:rFonts w:eastAsia="Times New Roman"/>
                <w:iCs/>
                <w:noProof/>
                <w:sz w:val="20"/>
              </w:rPr>
              <w:t xml:space="preserve"> “nulles piesārņojumu” (zero pollution)</w:t>
            </w:r>
            <w:r w:rsidRPr="00197045">
              <w:rPr>
                <w:rFonts w:eastAsia="Times New Roman"/>
                <w:iCs/>
                <w:noProof/>
                <w:sz w:val="20"/>
              </w:rPr>
              <w:t xml:space="preserve"> un </w:t>
            </w:r>
            <w:r w:rsidRPr="00930237">
              <w:rPr>
                <w:rFonts w:eastAsia="Times New Roman"/>
                <w:iCs/>
                <w:noProof/>
                <w:sz w:val="20"/>
              </w:rPr>
              <w:t xml:space="preserve">uz klimatneitralitātes mērķiem, </w:t>
            </w:r>
            <w:r w:rsidRPr="00E931A4">
              <w:rPr>
                <w:rFonts w:eastAsia="Times New Roman"/>
                <w:iCs/>
                <w:noProof/>
                <w:sz w:val="20"/>
              </w:rPr>
              <w:t xml:space="preserve">atbilstoši NAIP 2021 - 2027 plānots </w:t>
            </w:r>
            <w:r w:rsidRPr="00930237">
              <w:rPr>
                <w:rFonts w:eastAsia="Times New Roman"/>
                <w:iCs/>
                <w:noProof/>
                <w:sz w:val="20"/>
              </w:rPr>
              <w:t>uzlabot ūdenssaimniecības pakalpojumu efektivitāt</w:t>
            </w:r>
            <w:r>
              <w:rPr>
                <w:rFonts w:eastAsia="Times New Roman"/>
                <w:iCs/>
                <w:noProof/>
                <w:sz w:val="20"/>
              </w:rPr>
              <w:t>i</w:t>
            </w:r>
            <w:r w:rsidRPr="00930237">
              <w:rPr>
                <w:rFonts w:eastAsia="Times New Roman"/>
                <w:iCs/>
                <w:noProof/>
                <w:sz w:val="20"/>
              </w:rPr>
              <w:t>, nodrošinot atbilstošas infrastruktūras jaudas</w:t>
            </w:r>
            <w:r>
              <w:rPr>
                <w:rFonts w:eastAsia="Times New Roman"/>
                <w:iCs/>
                <w:noProof/>
                <w:sz w:val="20"/>
              </w:rPr>
              <w:t>,</w:t>
            </w:r>
            <w:r w:rsidRPr="00930237">
              <w:rPr>
                <w:rFonts w:eastAsia="Times New Roman"/>
                <w:iCs/>
                <w:noProof/>
                <w:sz w:val="20"/>
              </w:rPr>
              <w:t xml:space="preserve"> uzlabojot darbības efektivitāti un energoefektivitāti</w:t>
            </w:r>
            <w:r>
              <w:rPr>
                <w:rFonts w:eastAsia="Times New Roman"/>
                <w:iCs/>
                <w:noProof/>
                <w:sz w:val="20"/>
              </w:rPr>
              <w:t xml:space="preserve">, </w:t>
            </w:r>
            <w:r w:rsidRPr="00E931A4">
              <w:rPr>
                <w:rFonts w:eastAsia="Times New Roman"/>
                <w:iCs/>
                <w:noProof/>
                <w:sz w:val="20"/>
              </w:rPr>
              <w:t>kā arī samazinot piesārņojumu</w:t>
            </w:r>
            <w:r w:rsidRPr="00930237">
              <w:rPr>
                <w:rFonts w:eastAsia="Times New Roman"/>
                <w:iCs/>
                <w:noProof/>
                <w:sz w:val="20"/>
              </w:rPr>
              <w:t xml:space="preserve">. </w:t>
            </w:r>
            <w:r w:rsidRPr="00E931A4">
              <w:rPr>
                <w:rFonts w:eastAsia="Times New Roman"/>
                <w:iCs/>
                <w:noProof/>
                <w:sz w:val="20"/>
              </w:rPr>
              <w:t>Minētās prioritātes izvēlētas</w:t>
            </w:r>
            <w:r>
              <w:rPr>
                <w:rFonts w:eastAsia="Times New Roman"/>
                <w:iCs/>
                <w:noProof/>
                <w:sz w:val="20"/>
              </w:rPr>
              <w:t>, jo k</w:t>
            </w:r>
            <w:r w:rsidRPr="00930237">
              <w:rPr>
                <w:rFonts w:eastAsia="Times New Roman"/>
                <w:iCs/>
                <w:noProof/>
                <w:sz w:val="20"/>
              </w:rPr>
              <w:t>limata pārmaiņu radītie intensīvie nokrišņi lietus ūdeņu un gruntsūdeņu veidā rada būtisku papildu slodzi novecojušajām, energoneefektīvajām notekūdeņu attīrīšanas iekārtām</w:t>
            </w:r>
            <w:r>
              <w:rPr>
                <w:rFonts w:eastAsia="Times New Roman"/>
                <w:iCs/>
                <w:noProof/>
                <w:sz w:val="20"/>
              </w:rPr>
              <w:t xml:space="preserve"> </w:t>
            </w:r>
            <w:r w:rsidRPr="00E931A4">
              <w:rPr>
                <w:rFonts w:eastAsia="Times New Roman"/>
                <w:iCs/>
                <w:noProof/>
                <w:sz w:val="20"/>
              </w:rPr>
              <w:t>(NAI), kā arī NAI jaudas, attīrīšanas efektivitāte un izlaides atsevišķos gadījumos nav atbilstošas aktuālajai aglomerācijas notekūdeņu slodzei un saņemošās teritorijas vai ūdensobjekta stāvoklim</w:t>
            </w:r>
            <w:r w:rsidRPr="00930237">
              <w:rPr>
                <w:rFonts w:eastAsia="Times New Roman"/>
                <w:iCs/>
                <w:noProof/>
                <w:sz w:val="20"/>
              </w:rPr>
              <w:t xml:space="preserve">. </w:t>
            </w:r>
          </w:p>
          <w:p w14:paraId="79E4A126" w14:textId="6704F487" w:rsidR="00DA560F" w:rsidRPr="00930237" w:rsidRDefault="00DA560F" w:rsidP="00DA560F">
            <w:pPr>
              <w:spacing w:before="0" w:after="0"/>
              <w:rPr>
                <w:rFonts w:eastAsia="Times New Roman"/>
                <w:iCs/>
                <w:noProof/>
                <w:sz w:val="20"/>
              </w:rPr>
            </w:pPr>
            <w:r w:rsidRPr="00930237">
              <w:rPr>
                <w:rFonts w:eastAsia="Times New Roman"/>
                <w:iCs/>
                <w:noProof/>
                <w:sz w:val="20"/>
              </w:rPr>
              <w:t>Turklāt notekūdeņu attīrīšanas procesā rodas daudz notekūdeņu dūņu, tām ir ierobežota pielietojamība, bet neatbilstoša to uzglabāšana un apsaimniekošana</w:t>
            </w:r>
            <w:r>
              <w:rPr>
                <w:rFonts w:eastAsia="Times New Roman"/>
                <w:iCs/>
                <w:noProof/>
                <w:sz w:val="20"/>
              </w:rPr>
              <w:t>,</w:t>
            </w:r>
            <w:r>
              <w:t xml:space="preserve"> </w:t>
            </w:r>
            <w:r w:rsidRPr="00E931A4">
              <w:rPr>
                <w:rFonts w:eastAsia="Times New Roman"/>
                <w:iCs/>
                <w:noProof/>
                <w:sz w:val="20"/>
              </w:rPr>
              <w:t>kā kons</w:t>
            </w:r>
            <w:r w:rsidR="00FE1506">
              <w:rPr>
                <w:rFonts w:eastAsia="Times New Roman"/>
                <w:iCs/>
                <w:noProof/>
                <w:sz w:val="20"/>
              </w:rPr>
              <w:t>t</w:t>
            </w:r>
            <w:r w:rsidRPr="00E931A4">
              <w:rPr>
                <w:rFonts w:eastAsia="Times New Roman"/>
                <w:iCs/>
                <w:noProof/>
                <w:sz w:val="20"/>
              </w:rPr>
              <w:t>atēts nacionālajos ziņojumos</w:t>
            </w:r>
            <w:r>
              <w:rPr>
                <w:rFonts w:eastAsia="Times New Roman"/>
                <w:iCs/>
                <w:noProof/>
                <w:sz w:val="20"/>
              </w:rPr>
              <w:t>,</w:t>
            </w:r>
            <w:r w:rsidRPr="00930237">
              <w:rPr>
                <w:rFonts w:eastAsia="Times New Roman"/>
                <w:iCs/>
                <w:noProof/>
                <w:sz w:val="20"/>
              </w:rPr>
              <w:t xml:space="preserve"> </w:t>
            </w:r>
            <w:r>
              <w:rPr>
                <w:rFonts w:eastAsia="Times New Roman"/>
                <w:iCs/>
                <w:noProof/>
                <w:sz w:val="20"/>
              </w:rPr>
              <w:t>rada</w:t>
            </w:r>
            <w:r w:rsidRPr="00930237">
              <w:rPr>
                <w:rFonts w:eastAsia="Times New Roman"/>
                <w:iCs/>
                <w:noProof/>
                <w:sz w:val="20"/>
              </w:rPr>
              <w:t xml:space="preserve"> vides piesārņojuma risku. Lai dūņu apsaimniekošanā veicinātu pāreju uz aprites ekonomikas principiem, atbilstoši Notekūdeņu dūņu apsaimniekošanas stratēģijai tiks investēts atbilstošas dūņu apstrādes infrastruktūras izveidē, t.sk. nodrošinot atbilstošu dūņu uzglabāšanu un atūdeņošanu.</w:t>
            </w:r>
          </w:p>
          <w:p w14:paraId="32F0F6BE" w14:textId="4D970A4B" w:rsidR="00DA560F" w:rsidRPr="00930237" w:rsidRDefault="00DA560F" w:rsidP="00DA560F">
            <w:pPr>
              <w:spacing w:before="0" w:after="0"/>
              <w:rPr>
                <w:rFonts w:eastAsia="Times New Roman"/>
                <w:iCs/>
                <w:noProof/>
                <w:sz w:val="20"/>
              </w:rPr>
            </w:pPr>
            <w:r w:rsidRPr="00930237">
              <w:rPr>
                <w:rFonts w:eastAsia="Times New Roman"/>
                <w:iCs/>
                <w:noProof/>
                <w:sz w:val="20"/>
              </w:rPr>
              <w:t xml:space="preserve">Savukārt sausuma periodos novecojušo un korodējušo kanalizācijas tīklu dēļ var rasties notekūdeņu eksfiltrācija vidē, radot piesārņojumu. Tādēļ </w:t>
            </w:r>
            <w:r>
              <w:rPr>
                <w:rFonts w:eastAsia="Times New Roman"/>
                <w:iCs/>
                <w:noProof/>
                <w:sz w:val="20"/>
              </w:rPr>
              <w:t xml:space="preserve">2.2.1.SAM ietvaros tiek paredzētas iespējas arī </w:t>
            </w:r>
            <w:r w:rsidRPr="00930237">
              <w:rPr>
                <w:rFonts w:eastAsia="Times New Roman"/>
                <w:iCs/>
                <w:noProof/>
                <w:sz w:val="20"/>
              </w:rPr>
              <w:t>tīklu atjaunošan</w:t>
            </w:r>
            <w:r>
              <w:rPr>
                <w:rFonts w:eastAsia="Times New Roman"/>
                <w:iCs/>
                <w:noProof/>
                <w:sz w:val="20"/>
              </w:rPr>
              <w:t>i piesārņojuma samazināšanai</w:t>
            </w:r>
            <w:r w:rsidRPr="00930237">
              <w:rPr>
                <w:rFonts w:eastAsia="Times New Roman"/>
                <w:iCs/>
                <w:noProof/>
                <w:sz w:val="20"/>
              </w:rPr>
              <w:t>, gan paplašināšana</w:t>
            </w:r>
            <w:r>
              <w:rPr>
                <w:rFonts w:eastAsia="Times New Roman"/>
                <w:iCs/>
                <w:noProof/>
                <w:sz w:val="20"/>
              </w:rPr>
              <w:t>i</w:t>
            </w:r>
            <w:r w:rsidRPr="00930237">
              <w:rPr>
                <w:rFonts w:eastAsia="Times New Roman"/>
                <w:iCs/>
                <w:noProof/>
                <w:sz w:val="20"/>
              </w:rPr>
              <w:t>, lai pēc iespējas vairāk mājsaimniecību var pies</w:t>
            </w:r>
            <w:r>
              <w:rPr>
                <w:rFonts w:eastAsia="Times New Roman"/>
                <w:iCs/>
                <w:noProof/>
                <w:sz w:val="20"/>
              </w:rPr>
              <w:t>l</w:t>
            </w:r>
            <w:r w:rsidRPr="00930237">
              <w:rPr>
                <w:rFonts w:eastAsia="Times New Roman"/>
                <w:iCs/>
                <w:noProof/>
                <w:sz w:val="20"/>
              </w:rPr>
              <w:t>ēgties centralizētajai sistēmai.</w:t>
            </w:r>
          </w:p>
          <w:p w14:paraId="6136B043" w14:textId="147068E4" w:rsidR="00DA560F" w:rsidRPr="00930237" w:rsidRDefault="00DA560F" w:rsidP="00146A12">
            <w:pPr>
              <w:spacing w:before="0" w:after="0"/>
              <w:rPr>
                <w:rFonts w:eastAsia="Times New Roman"/>
                <w:iCs/>
                <w:noProof/>
                <w:sz w:val="20"/>
              </w:rPr>
            </w:pPr>
          </w:p>
        </w:tc>
      </w:tr>
      <w:tr w:rsidR="00DA560F" w:rsidRPr="00930237" w14:paraId="1D49E50B" w14:textId="77777777" w:rsidTr="000E58E3">
        <w:tc>
          <w:tcPr>
            <w:tcW w:w="556" w:type="pct"/>
            <w:vMerge/>
          </w:tcPr>
          <w:p w14:paraId="5E084444" w14:textId="77777777" w:rsidR="00DA560F" w:rsidRPr="00930237" w:rsidRDefault="00DA560F" w:rsidP="00DA560F">
            <w:pPr>
              <w:spacing w:before="0" w:after="0"/>
              <w:rPr>
                <w:rFonts w:eastAsia="Times New Roman"/>
                <w:iCs/>
                <w:noProof/>
                <w:color w:val="7030A0"/>
                <w:sz w:val="20"/>
              </w:rPr>
            </w:pPr>
          </w:p>
        </w:tc>
        <w:tc>
          <w:tcPr>
            <w:tcW w:w="759" w:type="pct"/>
          </w:tcPr>
          <w:p w14:paraId="7E2FD64A" w14:textId="6273610E" w:rsidR="00DA560F" w:rsidRPr="00930237" w:rsidRDefault="00DA560F" w:rsidP="00DA560F">
            <w:pPr>
              <w:spacing w:before="0" w:after="0"/>
              <w:rPr>
                <w:sz w:val="20"/>
              </w:rPr>
            </w:pPr>
            <w:r w:rsidRPr="00930237">
              <w:rPr>
                <w:sz w:val="20"/>
              </w:rPr>
              <w:t>2.2.2.SAM Pārejas uz aprites ekonomiku veicināšana</w:t>
            </w:r>
          </w:p>
        </w:tc>
        <w:tc>
          <w:tcPr>
            <w:tcW w:w="3685" w:type="pct"/>
          </w:tcPr>
          <w:p w14:paraId="0C3CE32D" w14:textId="60048EC8" w:rsidR="00DA560F" w:rsidRPr="00930237" w:rsidRDefault="00DA560F" w:rsidP="00DA560F">
            <w:pPr>
              <w:spacing w:before="0" w:after="0"/>
              <w:rPr>
                <w:rFonts w:eastAsia="Times New Roman"/>
                <w:iCs/>
                <w:noProof/>
                <w:sz w:val="20"/>
              </w:rPr>
            </w:pPr>
            <w:r w:rsidRPr="00930237">
              <w:rPr>
                <w:rFonts w:eastAsia="Times New Roman"/>
                <w:iCs/>
                <w:noProof/>
                <w:sz w:val="20"/>
              </w:rPr>
              <w:t>Saskaņā ar ESAO</w:t>
            </w:r>
            <w:r w:rsidRPr="00930237">
              <w:rPr>
                <w:rStyle w:val="FootnoteReference"/>
                <w:rFonts w:eastAsia="Times New Roman"/>
                <w:iCs/>
                <w:noProof/>
                <w:sz w:val="20"/>
              </w:rPr>
              <w:footnoteReference w:id="63"/>
            </w:r>
            <w:r w:rsidRPr="00930237">
              <w:rPr>
                <w:rFonts w:eastAsia="Times New Roman"/>
                <w:iCs/>
                <w:noProof/>
                <w:sz w:val="20"/>
              </w:rPr>
              <w:t xml:space="preserve"> un EK Ziņojumu par Latviju</w:t>
            </w:r>
            <w:r w:rsidRPr="00930237">
              <w:rPr>
                <w:rStyle w:val="FootnoteReference"/>
                <w:rFonts w:eastAsia="Times New Roman"/>
                <w:iCs/>
                <w:noProof/>
                <w:sz w:val="20"/>
              </w:rPr>
              <w:footnoteReference w:id="64"/>
            </w:r>
            <w:r w:rsidRPr="00930237">
              <w:rPr>
                <w:rFonts w:eastAsia="Times New Roman"/>
                <w:iCs/>
                <w:noProof/>
                <w:sz w:val="20"/>
              </w:rPr>
              <w:t xml:space="preserve"> Latvijā jāpalielina atkritumu pārstrāde, jāuzlabo dalītas atkritumu savākšanas efektivitāte un tai sekojošā šķirošanas kvalitāte, kā arī jāveicina aprites ekonomikas pamata radīšana, lai noteiktā apjomā un termiņā sasniegtu atkritumu direktīvās</w:t>
            </w:r>
            <w:r w:rsidRPr="00930237">
              <w:rPr>
                <w:rStyle w:val="FootnoteReference"/>
                <w:rFonts w:eastAsia="Times New Roman"/>
                <w:iCs/>
                <w:noProof/>
                <w:sz w:val="20"/>
              </w:rPr>
              <w:footnoteReference w:id="65"/>
            </w:r>
            <w:r w:rsidRPr="00930237">
              <w:rPr>
                <w:rFonts w:eastAsia="Times New Roman"/>
                <w:iCs/>
                <w:noProof/>
                <w:sz w:val="20"/>
              </w:rPr>
              <w:t xml:space="preserve"> un Latvijas tiesību aktos</w:t>
            </w:r>
            <w:r w:rsidRPr="00930237">
              <w:rPr>
                <w:rStyle w:val="FootnoteReference"/>
                <w:rFonts w:eastAsia="Times New Roman"/>
                <w:iCs/>
                <w:noProof/>
                <w:sz w:val="20"/>
              </w:rPr>
              <w:footnoteReference w:id="66"/>
            </w:r>
            <w:r w:rsidRPr="00930237">
              <w:rPr>
                <w:rFonts w:eastAsia="Times New Roman"/>
                <w:iCs/>
                <w:noProof/>
                <w:sz w:val="20"/>
              </w:rPr>
              <w:t xml:space="preserve"> izvirzītos mērķus. Nepietiekamu pārstrādes jaudu dēļ pastāv risks, ka Latvija var nesasniegt 2020.gada</w:t>
            </w:r>
            <w:r>
              <w:rPr>
                <w:rFonts w:eastAsia="Times New Roman"/>
                <w:iCs/>
                <w:noProof/>
                <w:sz w:val="20"/>
              </w:rPr>
              <w:t xml:space="preserve"> un </w:t>
            </w:r>
            <w:r w:rsidRPr="00930237">
              <w:rPr>
                <w:rFonts w:eastAsia="Times New Roman"/>
                <w:iCs/>
                <w:noProof/>
                <w:sz w:val="20"/>
              </w:rPr>
              <w:t>2025.–2035.gadam izvirzītos pārstrādes mērķus vairākām atkritumu plūsmām, kā arī nodrošināt poligonos apglabāto sadzīves atkritumu apjomu ne vairāk kā 10% apmērā. Tāpat ir jānodrošina ES Direktīvas 2018/851</w:t>
            </w:r>
            <w:r w:rsidRPr="00930237">
              <w:rPr>
                <w:rStyle w:val="FootnoteReference"/>
                <w:rFonts w:eastAsia="Times New Roman"/>
                <w:iCs/>
                <w:noProof/>
                <w:sz w:val="20"/>
              </w:rPr>
              <w:footnoteReference w:id="67"/>
            </w:r>
            <w:r w:rsidRPr="00930237">
              <w:rPr>
                <w:rFonts w:eastAsia="Times New Roman"/>
                <w:iCs/>
                <w:noProof/>
                <w:sz w:val="20"/>
              </w:rPr>
              <w:t xml:space="preserve"> prasības attiecībā uz dalītu atkritumu savākšanu arī bioloģiski noārdāmajiem (no 2023.gada), tekstila (no 2025.gada) un bīstamajiem sadzīves (no 2025.gada) atkritumiem.</w:t>
            </w:r>
          </w:p>
          <w:p w14:paraId="400BBC77" w14:textId="6C8989B2" w:rsidR="00DA560F" w:rsidRPr="00930237" w:rsidRDefault="00DA560F" w:rsidP="007323C7">
            <w:pPr>
              <w:spacing w:before="0" w:after="0"/>
              <w:rPr>
                <w:rFonts w:eastAsia="Times New Roman"/>
                <w:iCs/>
                <w:noProof/>
                <w:sz w:val="20"/>
              </w:rPr>
            </w:pPr>
            <w:r w:rsidRPr="00930237">
              <w:rPr>
                <w:rFonts w:eastAsia="Times New Roman"/>
                <w:iCs/>
                <w:noProof/>
                <w:sz w:val="20"/>
              </w:rPr>
              <w:t>Eiropas Zaļā kursa un aprites ekonomikas pakotnes ieviešanai Latvijā</w:t>
            </w:r>
            <w:r>
              <w:rPr>
                <w:rFonts w:eastAsia="Times New Roman"/>
                <w:iCs/>
                <w:noProof/>
                <w:sz w:val="20"/>
              </w:rPr>
              <w:t xml:space="preserve"> </w:t>
            </w:r>
            <w:r w:rsidRPr="006127E5">
              <w:rPr>
                <w:rFonts w:eastAsia="Times New Roman"/>
                <w:iCs/>
                <w:noProof/>
                <w:sz w:val="20"/>
              </w:rPr>
              <w:t>un pārstrādes mērķu s</w:t>
            </w:r>
            <w:r>
              <w:rPr>
                <w:rFonts w:eastAsia="Times New Roman"/>
                <w:iCs/>
                <w:noProof/>
                <w:sz w:val="20"/>
              </w:rPr>
              <w:t xml:space="preserve">asniegšanai plānots nodrošināt </w:t>
            </w:r>
            <w:r w:rsidRPr="006127E5">
              <w:rPr>
                <w:rFonts w:eastAsia="Times New Roman"/>
                <w:iCs/>
                <w:noProof/>
                <w:sz w:val="20"/>
              </w:rPr>
              <w:t>visaptverošu aprites ekonomikas atkritumu apsaimniekošanas hierarhijais principu ievērošanu radīto un apglabāto atkritumu apjoma samazināšanai, otrreizējo izvielu izmantošanas palielināšanai, pārstrādes attīstībai.</w:t>
            </w:r>
            <w:r w:rsidRPr="00930237">
              <w:rPr>
                <w:rFonts w:eastAsia="Times New Roman"/>
                <w:iCs/>
                <w:noProof/>
                <w:sz w:val="20"/>
              </w:rPr>
              <w:t xml:space="preserve"> </w:t>
            </w:r>
            <w:r w:rsidR="00A21383" w:rsidRPr="3AA3B30C">
              <w:rPr>
                <w:rFonts w:eastAsia="Times New Roman"/>
                <w:sz w:val="20"/>
              </w:rPr>
              <w:t>Steidzami nepieciešama aprites ekonomikas principu ieviešana, jo d</w:t>
            </w:r>
            <w:r w:rsidR="00A21383" w:rsidRPr="00982DA7">
              <w:rPr>
                <w:rFonts w:eastAsia="Times New Roman"/>
                <w:sz w:val="20"/>
              </w:rPr>
              <w:t>abas resursu izmantošana Latvijas tautsaimniecībā nav pietiekami efektīva un nav panākta materiālo resursu patēriņa atsaiste no ekonomiskās attīstības. Resursu produktivitāte svārstās ap 0,9 euro/kg, kamēr ES vidējā vērtība ir 2 euro/kg</w:t>
            </w:r>
            <w:r w:rsidR="00A21383">
              <w:rPr>
                <w:rStyle w:val="FootnoteReference"/>
                <w:rFonts w:eastAsia="Times New Roman"/>
                <w:iCs/>
                <w:noProof/>
                <w:sz w:val="20"/>
              </w:rPr>
              <w:footnoteReference w:id="68"/>
            </w:r>
            <w:r w:rsidR="00A21383" w:rsidRPr="00982DA7">
              <w:rPr>
                <w:rFonts w:eastAsia="Times New Roman"/>
                <w:sz w:val="20"/>
              </w:rPr>
              <w:t xml:space="preserve">. Savukārt materiālo resursu patēriņa līmenis valstī arvien palielinās – vidējais resursu patēriņš </w:t>
            </w:r>
            <w:r w:rsidR="00A21383" w:rsidRPr="00095493">
              <w:rPr>
                <w:rFonts w:eastAsia="Times New Roman"/>
                <w:sz w:val="20"/>
              </w:rPr>
              <w:t>12 t/iedz., līdzīgi kā ES vidēji</w:t>
            </w:r>
            <w:r w:rsidR="00A21383" w:rsidRPr="00982DA7">
              <w:rPr>
                <w:rFonts w:eastAsia="Times New Roman"/>
                <w:sz w:val="20"/>
              </w:rPr>
              <w:t xml:space="preserve"> </w:t>
            </w:r>
            <w:r w:rsidR="00A21383" w:rsidRPr="00095493">
              <w:rPr>
                <w:rFonts w:eastAsia="Times New Roman"/>
                <w:noProof/>
                <w:sz w:val="20"/>
              </w:rPr>
              <w:t>-</w:t>
            </w:r>
            <w:r w:rsidR="00A21383" w:rsidRPr="00982DA7">
              <w:rPr>
                <w:rFonts w:eastAsia="Times New Roman"/>
                <w:sz w:val="20"/>
              </w:rPr>
              <w:t>13 t/iedz</w:t>
            </w:r>
            <w:r w:rsidR="00A21383" w:rsidRPr="00095493">
              <w:rPr>
                <w:rFonts w:eastAsia="Times New Roman"/>
                <w:sz w:val="20"/>
              </w:rPr>
              <w:t>.</w:t>
            </w:r>
            <w:r w:rsidR="00A21383" w:rsidRPr="00982DA7">
              <w:rPr>
                <w:rFonts w:eastAsia="Times New Roman"/>
                <w:sz w:val="20"/>
              </w:rPr>
              <w:t xml:space="preserve"> </w:t>
            </w:r>
            <w:r w:rsidR="00A21383" w:rsidRPr="742911B9">
              <w:rPr>
                <w:rFonts w:eastAsia="Times New Roman"/>
                <w:noProof/>
                <w:sz w:val="20"/>
              </w:rPr>
              <w:t>ES mērogā</w:t>
            </w:r>
            <w:r w:rsidR="00A21383" w:rsidRPr="742911B9">
              <w:rPr>
                <w:rFonts w:eastAsia="Times New Roman"/>
                <w:sz w:val="20"/>
              </w:rPr>
              <w:t xml:space="preserve"> </w:t>
            </w:r>
            <w:r w:rsidR="00A21383" w:rsidRPr="00982DA7">
              <w:rPr>
                <w:rFonts w:eastAsia="Times New Roman"/>
                <w:sz w:val="20"/>
              </w:rPr>
              <w:t>Latvijas MVU attiecībā uz resursu efektivitātes pasākumu ieviešanu ierindojas pēdējā desmitniekā</w:t>
            </w:r>
            <w:r w:rsidR="00A21383" w:rsidRPr="00982DA7">
              <w:rPr>
                <w:rFonts w:eastAsia="Times New Roman"/>
                <w:iCs/>
                <w:noProof/>
                <w:sz w:val="20"/>
              </w:rPr>
              <w:t>.</w:t>
            </w:r>
            <w:r w:rsidR="00A21383" w:rsidRPr="00982DA7">
              <w:rPr>
                <w:rFonts w:eastAsia="Times New Roman"/>
                <w:sz w:val="20"/>
              </w:rPr>
              <w:t xml:space="preserve"> 2019.gadā otrreizējo izejvielu izmantošana Latvijā sastādīja 4,7% no kopējā izejvielu apjoma, salīdzinājumā ES vidējais rādītājs ir 11,9</w:t>
            </w:r>
            <w:r w:rsidR="00A21383" w:rsidRPr="742911B9">
              <w:rPr>
                <w:rFonts w:eastAsia="Times New Roman"/>
                <w:noProof/>
                <w:sz w:val="20"/>
              </w:rPr>
              <w:t>%</w:t>
            </w:r>
            <w:r w:rsidR="00A21383">
              <w:rPr>
                <w:rStyle w:val="FootnoteReference"/>
                <w:rFonts w:eastAsia="Times New Roman"/>
                <w:noProof/>
                <w:sz w:val="20"/>
              </w:rPr>
              <w:footnoteReference w:id="69"/>
            </w:r>
            <w:r w:rsidR="00A21383" w:rsidRPr="742911B9">
              <w:rPr>
                <w:rFonts w:eastAsia="Times New Roman"/>
                <w:noProof/>
                <w:sz w:val="20"/>
              </w:rPr>
              <w:t>.</w:t>
            </w:r>
          </w:p>
        </w:tc>
      </w:tr>
      <w:tr w:rsidR="00DA560F" w:rsidRPr="00930237" w14:paraId="4F3CA0EC" w14:textId="77777777" w:rsidTr="000E58E3">
        <w:tc>
          <w:tcPr>
            <w:tcW w:w="556" w:type="pct"/>
            <w:vMerge/>
          </w:tcPr>
          <w:p w14:paraId="36E4993C" w14:textId="77777777" w:rsidR="00DA560F" w:rsidRPr="00930237" w:rsidRDefault="00DA560F" w:rsidP="00DA560F">
            <w:pPr>
              <w:spacing w:before="0" w:after="0"/>
              <w:rPr>
                <w:rFonts w:eastAsia="Times New Roman"/>
                <w:iCs/>
                <w:noProof/>
                <w:sz w:val="20"/>
              </w:rPr>
            </w:pPr>
          </w:p>
        </w:tc>
        <w:tc>
          <w:tcPr>
            <w:tcW w:w="759" w:type="pct"/>
          </w:tcPr>
          <w:p w14:paraId="7AD75C26" w14:textId="6A64FD1E" w:rsidR="00DA560F" w:rsidRPr="00930237" w:rsidRDefault="00DA560F" w:rsidP="00DA560F">
            <w:pPr>
              <w:spacing w:before="0" w:after="0"/>
              <w:rPr>
                <w:sz w:val="20"/>
              </w:rPr>
            </w:pPr>
            <w:r w:rsidRPr="00930237">
              <w:rPr>
                <w:sz w:val="20"/>
              </w:rPr>
              <w:t>2.2.3.SAM Uzlabot dabas aizsardzību un bioloģisko daudzveidību, “zaļo” infrastruktūru, it īpaši pilsētvidē, un samazināt piesārņojumu</w:t>
            </w:r>
          </w:p>
        </w:tc>
        <w:tc>
          <w:tcPr>
            <w:tcW w:w="3685" w:type="pct"/>
          </w:tcPr>
          <w:p w14:paraId="4B3B3FED" w14:textId="1751ED83" w:rsidR="00DA560F" w:rsidRPr="00930237" w:rsidRDefault="00DA560F" w:rsidP="00DA560F">
            <w:pPr>
              <w:spacing w:before="0" w:after="0"/>
              <w:rPr>
                <w:rFonts w:eastAsia="Times New Roman"/>
                <w:noProof/>
                <w:sz w:val="20"/>
              </w:rPr>
            </w:pPr>
            <w:r w:rsidRPr="00930237">
              <w:rPr>
                <w:rFonts w:eastAsia="Times New Roman"/>
                <w:noProof/>
                <w:sz w:val="20"/>
              </w:rPr>
              <w:t>Dabisk</w:t>
            </w:r>
            <w:r>
              <w:rPr>
                <w:rFonts w:eastAsia="Times New Roman"/>
                <w:noProof/>
                <w:sz w:val="20"/>
              </w:rPr>
              <w:t>u</w:t>
            </w:r>
            <w:r w:rsidRPr="00930237">
              <w:rPr>
                <w:rFonts w:eastAsia="Times New Roman"/>
                <w:noProof/>
                <w:sz w:val="20"/>
              </w:rPr>
              <w:t xml:space="preserve"> ekosistēmu saglabāšana un atjaunošana ir galvenie nosacījumi, lai palielinātu pielāgošanās spēju klimata pārmaiņām un mazinātu bioloģiskus riskus sabiedrības un vides veselībai. Latvijai jāturpina ĪADT apsaimniekošanas plānu izstrāde un īstenošana, kā arī risinājumu ieviešana ārpus ĪADT, lai apturētu bioloģiskās daudzveidības samazināšanos un uzlabotu sugu un biotopu aizsardzības statusu. Sociāli ekonomiskajā novērtējumā</w:t>
            </w:r>
            <w:r>
              <w:rPr>
                <w:rStyle w:val="FootnoteReference"/>
                <w:rFonts w:eastAsia="Times New Roman"/>
                <w:noProof/>
                <w:sz w:val="20"/>
              </w:rPr>
              <w:footnoteReference w:id="70"/>
            </w:r>
            <w:r w:rsidRPr="00930237">
              <w:rPr>
                <w:rFonts w:eastAsia="Times New Roman"/>
                <w:noProof/>
                <w:sz w:val="20"/>
              </w:rPr>
              <w:t xml:space="preserve"> ir pamatots, ka pasākumi dzīvotņu atjaunošanā ir lietderīgi un izmaksu efektīvi.</w:t>
            </w:r>
          </w:p>
          <w:p w14:paraId="3B105638" w14:textId="557AA0CF" w:rsidR="00DA560F" w:rsidRPr="00930237" w:rsidRDefault="00DA560F" w:rsidP="00DA560F">
            <w:pPr>
              <w:spacing w:before="0" w:after="0"/>
              <w:rPr>
                <w:rFonts w:eastAsia="Times New Roman"/>
                <w:noProof/>
                <w:sz w:val="20"/>
              </w:rPr>
            </w:pPr>
            <w:r w:rsidRPr="00930237">
              <w:rPr>
                <w:rFonts w:eastAsia="Times New Roman"/>
                <w:noProof/>
                <w:sz w:val="20"/>
              </w:rPr>
              <w:t>Saskaņā ar ESAO</w:t>
            </w:r>
            <w:r w:rsidR="00A21383">
              <w:rPr>
                <w:rFonts w:eastAsia="Times New Roman"/>
                <w:noProof/>
                <w:sz w:val="20"/>
                <w:vertAlign w:val="superscript"/>
              </w:rPr>
              <w:t>56</w:t>
            </w:r>
            <w:r w:rsidRPr="00930237">
              <w:rPr>
                <w:rFonts w:eastAsia="Times New Roman"/>
                <w:noProof/>
                <w:sz w:val="20"/>
              </w:rPr>
              <w:t xml:space="preserve"> </w:t>
            </w:r>
            <w:r>
              <w:rPr>
                <w:rFonts w:eastAsia="Times New Roman"/>
                <w:noProof/>
                <w:sz w:val="20"/>
              </w:rPr>
              <w:t xml:space="preserve">ir </w:t>
            </w:r>
            <w:r w:rsidRPr="00930237">
              <w:rPr>
                <w:rFonts w:eastAsia="Times New Roman"/>
                <w:noProof/>
                <w:sz w:val="20"/>
              </w:rPr>
              <w:t>jāpaātrina vēsturiski piesārņoto vietu sanācija. Latvijā apkopoti dati par vairāk nekā 3500 piesārņotām un potenciāli piesārņotām vietām. Sanācijas pasākumu īstenošana nodrošinās vides kvalitātes uzlabošanos, teritoriju atgriešanu saimnieciskajā apritē, mazinās risku veselībai</w:t>
            </w:r>
            <w:r w:rsidRPr="006127E5">
              <w:rPr>
                <w:rFonts w:eastAsia="Times New Roman"/>
                <w:noProof/>
                <w:sz w:val="20"/>
              </w:rPr>
              <w:t xml:space="preserve">, ievērojot piesārņojuma migrācijas pastiprināšanos klimata pārmaiņu ietekmē </w:t>
            </w:r>
            <w:r w:rsidRPr="00930237">
              <w:rPr>
                <w:rFonts w:eastAsia="Times New Roman"/>
                <w:noProof/>
                <w:sz w:val="20"/>
              </w:rPr>
              <w:t>u.tml.</w:t>
            </w:r>
          </w:p>
          <w:p w14:paraId="7CC86F97" w14:textId="1A6BFD69" w:rsidR="00DA560F" w:rsidRPr="00930237" w:rsidRDefault="00DA560F" w:rsidP="00DA560F">
            <w:pPr>
              <w:spacing w:before="0" w:after="0"/>
              <w:rPr>
                <w:rFonts w:eastAsia="Times New Roman"/>
                <w:noProof/>
                <w:sz w:val="20"/>
              </w:rPr>
            </w:pPr>
            <w:r w:rsidRPr="00930237">
              <w:rPr>
                <w:rFonts w:eastAsia="Times New Roman"/>
                <w:noProof/>
                <w:sz w:val="20"/>
              </w:rPr>
              <w:t xml:space="preserve">Slikta gaisa kvalitāte </w:t>
            </w:r>
            <w:r w:rsidRPr="002C0949">
              <w:rPr>
                <w:rFonts w:eastAsia="Times New Roman"/>
                <w:noProof/>
                <w:sz w:val="20"/>
              </w:rPr>
              <w:t>negatīvi ietekmē dzīves kvalitāti</w:t>
            </w:r>
            <w:r>
              <w:rPr>
                <w:rFonts w:eastAsia="Times New Roman"/>
                <w:noProof/>
                <w:sz w:val="20"/>
              </w:rPr>
              <w:t xml:space="preserve">, </w:t>
            </w:r>
            <w:r w:rsidRPr="00D463CF">
              <w:rPr>
                <w:rFonts w:eastAsia="Times New Roman"/>
                <w:noProof/>
                <w:sz w:val="20"/>
              </w:rPr>
              <w:t>ekosistēm</w:t>
            </w:r>
            <w:r>
              <w:rPr>
                <w:rFonts w:eastAsia="Times New Roman"/>
                <w:noProof/>
                <w:sz w:val="20"/>
              </w:rPr>
              <w:t>as,</w:t>
            </w:r>
            <w:r w:rsidRPr="00D463CF">
              <w:rPr>
                <w:rFonts w:eastAsia="Times New Roman"/>
                <w:noProof/>
                <w:sz w:val="20"/>
              </w:rPr>
              <w:t xml:space="preserve"> </w:t>
            </w:r>
            <w:r w:rsidRPr="004102B6">
              <w:rPr>
                <w:rFonts w:eastAsia="Times New Roman"/>
                <w:noProof/>
                <w:sz w:val="20"/>
              </w:rPr>
              <w:t>palielin</w:t>
            </w:r>
            <w:r>
              <w:rPr>
                <w:rFonts w:eastAsia="Times New Roman"/>
                <w:noProof/>
                <w:sz w:val="20"/>
              </w:rPr>
              <w:t>a</w:t>
            </w:r>
            <w:r w:rsidRPr="004102B6">
              <w:rPr>
                <w:rFonts w:eastAsia="Times New Roman"/>
                <w:noProof/>
                <w:sz w:val="20"/>
              </w:rPr>
              <w:t xml:space="preserve"> veselības aprūpes izmaksas</w:t>
            </w:r>
            <w:r>
              <w:rPr>
                <w:rFonts w:eastAsia="Times New Roman"/>
                <w:noProof/>
                <w:sz w:val="20"/>
              </w:rPr>
              <w:t>,</w:t>
            </w:r>
            <w:r w:rsidRPr="004102B6">
              <w:rPr>
                <w:rFonts w:eastAsia="Times New Roman"/>
                <w:noProof/>
                <w:sz w:val="20"/>
              </w:rPr>
              <w:t xml:space="preserve"> </w:t>
            </w:r>
            <w:r w:rsidRPr="002C0949">
              <w:rPr>
                <w:rFonts w:eastAsia="Times New Roman"/>
                <w:noProof/>
                <w:sz w:val="20"/>
              </w:rPr>
              <w:t>var izraisīt elpceļu, sirds un asinsvadu slimības</w:t>
            </w:r>
            <w:r>
              <w:rPr>
                <w:rFonts w:eastAsia="Times New Roman"/>
                <w:noProof/>
                <w:sz w:val="20"/>
              </w:rPr>
              <w:t>, tā ir</w:t>
            </w:r>
            <w:r w:rsidRPr="00D463CF">
              <w:rPr>
                <w:rFonts w:eastAsia="Times New Roman"/>
                <w:noProof/>
                <w:sz w:val="20"/>
              </w:rPr>
              <w:t xml:space="preserve"> galvenais priekšlaicīgas nāves cēlonis ES</w:t>
            </w:r>
            <w:r>
              <w:rPr>
                <w:rStyle w:val="FootnoteReference"/>
                <w:rFonts w:eastAsia="Times New Roman"/>
                <w:noProof/>
                <w:sz w:val="20"/>
              </w:rPr>
              <w:footnoteReference w:id="71"/>
            </w:r>
            <w:r>
              <w:rPr>
                <w:rFonts w:eastAsia="Times New Roman"/>
                <w:noProof/>
                <w:sz w:val="20"/>
              </w:rPr>
              <w:t>.</w:t>
            </w:r>
            <w:r w:rsidRPr="00930237">
              <w:rPr>
                <w:rFonts w:eastAsia="Times New Roman"/>
                <w:noProof/>
                <w:sz w:val="20"/>
              </w:rPr>
              <w:t xml:space="preserve"> Gaisa kvalitātes jautājumi jāskata  integratīvi ar klimata aspektiem. Atbilstoši Plānam</w:t>
            </w:r>
            <w:r>
              <w:rPr>
                <w:rStyle w:val="FootnoteReference"/>
                <w:rFonts w:eastAsia="Times New Roman"/>
                <w:noProof/>
                <w:sz w:val="20"/>
              </w:rPr>
              <w:footnoteReference w:id="72"/>
            </w:r>
            <w:r w:rsidRPr="00930237">
              <w:rPr>
                <w:rFonts w:eastAsia="Times New Roman"/>
                <w:noProof/>
                <w:sz w:val="20"/>
              </w:rPr>
              <w:t xml:space="preserve"> paredzētas investīcijas gaisa kvalitātes uzlabošanai pilsētās un blīvi apdzīvotās vietās, mazinot piesārņojuma normatīvu pārsniegumus.</w:t>
            </w:r>
          </w:p>
          <w:p w14:paraId="53145CE5" w14:textId="2D19246A" w:rsidR="00DA560F" w:rsidRPr="00930237" w:rsidRDefault="00DA560F" w:rsidP="00DA560F">
            <w:pPr>
              <w:spacing w:before="0" w:after="0"/>
              <w:rPr>
                <w:rFonts w:eastAsia="Times New Roman"/>
                <w:iCs/>
                <w:noProof/>
                <w:sz w:val="20"/>
              </w:rPr>
            </w:pPr>
            <w:r w:rsidRPr="00930237">
              <w:rPr>
                <w:rFonts w:eastAsia="Times New Roman"/>
                <w:noProof/>
                <w:sz w:val="20"/>
              </w:rPr>
              <w:t>Klimata pārmaiņu rezultātā pieaug nepieciešamība pēc precīzākas un harmonizētas vides datu informācijas, tāpēc ir jāturpina vides monitoringa tīkla paplašināšana un pilnveidošana visās jomās. EK vērtējumā gaisa monitoringa tīkls ir viens no mazākajiem ES</w:t>
            </w:r>
            <w:r>
              <w:rPr>
                <w:rStyle w:val="FootnoteReference"/>
                <w:rFonts w:eastAsia="Times New Roman"/>
                <w:noProof/>
                <w:sz w:val="20"/>
              </w:rPr>
              <w:footnoteReference w:id="73"/>
            </w:r>
            <w:r w:rsidRPr="00930237">
              <w:rPr>
                <w:rFonts w:eastAsia="Times New Roman"/>
                <w:noProof/>
                <w:sz w:val="20"/>
              </w:rPr>
              <w:t xml:space="preserve">, kā arī jāuzlabo </w:t>
            </w:r>
            <w:r w:rsidR="00A21383">
              <w:rPr>
                <w:rFonts w:eastAsia="Times New Roman"/>
                <w:noProof/>
                <w:sz w:val="20"/>
              </w:rPr>
              <w:t xml:space="preserve">virszemes </w:t>
            </w:r>
            <w:r w:rsidRPr="00930237">
              <w:rPr>
                <w:rFonts w:eastAsia="Times New Roman"/>
                <w:noProof/>
                <w:sz w:val="20"/>
              </w:rPr>
              <w:t>ūdens ķīmiskās kvalitātes monitorings</w:t>
            </w:r>
            <w:r>
              <w:rPr>
                <w:rStyle w:val="FootnoteReference"/>
                <w:rFonts w:eastAsia="Times New Roman"/>
                <w:noProof/>
                <w:sz w:val="20"/>
              </w:rPr>
              <w:footnoteReference w:id="74"/>
            </w:r>
            <w:r w:rsidR="00A21383">
              <w:rPr>
                <w:rFonts w:eastAsia="Times New Roman"/>
                <w:noProof/>
                <w:sz w:val="20"/>
              </w:rPr>
              <w:t xml:space="preserve"> </w:t>
            </w:r>
            <w:r w:rsidR="00A21383" w:rsidRPr="00A21383">
              <w:rPr>
                <w:rFonts w:eastAsia="Times New Roman"/>
                <w:noProof/>
                <w:sz w:val="20"/>
              </w:rPr>
              <w:t>un dzeramā ūdens monitoringa programma</w:t>
            </w:r>
            <w:r w:rsidRPr="00930237">
              <w:rPr>
                <w:rFonts w:eastAsia="Times New Roman"/>
                <w:noProof/>
                <w:sz w:val="20"/>
              </w:rPr>
              <w:t>. Viena no ESAO</w:t>
            </w:r>
            <w:r>
              <w:rPr>
                <w:rFonts w:eastAsia="Times New Roman"/>
                <w:noProof/>
                <w:sz w:val="20"/>
                <w:vertAlign w:val="superscript"/>
              </w:rPr>
              <w:t>5</w:t>
            </w:r>
            <w:r w:rsidR="00A21383">
              <w:rPr>
                <w:rFonts w:eastAsia="Times New Roman"/>
                <w:noProof/>
                <w:sz w:val="20"/>
                <w:vertAlign w:val="superscript"/>
              </w:rPr>
              <w:t>6</w:t>
            </w:r>
            <w:r w:rsidRPr="00930237">
              <w:rPr>
                <w:rFonts w:eastAsia="Times New Roman"/>
                <w:noProof/>
                <w:sz w:val="20"/>
              </w:rPr>
              <w:t xml:space="preserve"> rekomendācijām Latvijai ir </w:t>
            </w:r>
            <w:r w:rsidR="00A21383">
              <w:rPr>
                <w:rFonts w:eastAsia="Times New Roman"/>
                <w:noProof/>
                <w:sz w:val="20"/>
              </w:rPr>
              <w:t>jāpaplašina</w:t>
            </w:r>
            <w:r w:rsidR="00A21383" w:rsidRPr="00930237">
              <w:rPr>
                <w:rFonts w:eastAsia="Times New Roman"/>
                <w:noProof/>
                <w:sz w:val="20"/>
              </w:rPr>
              <w:t xml:space="preserve"> </w:t>
            </w:r>
            <w:r w:rsidRPr="00930237">
              <w:rPr>
                <w:rFonts w:eastAsia="Times New Roman"/>
                <w:noProof/>
                <w:sz w:val="20"/>
              </w:rPr>
              <w:t xml:space="preserve">sabiedrības informētību </w:t>
            </w:r>
            <w:r>
              <w:rPr>
                <w:rFonts w:eastAsia="Times New Roman"/>
                <w:noProof/>
                <w:sz w:val="20"/>
              </w:rPr>
              <w:t xml:space="preserve">vides jautājumos, kā arī </w:t>
            </w:r>
            <w:r w:rsidRPr="00930237">
              <w:rPr>
                <w:rFonts w:eastAsia="Times New Roman"/>
                <w:noProof/>
                <w:sz w:val="20"/>
              </w:rPr>
              <w:t>līdzdalīb</w:t>
            </w:r>
            <w:r>
              <w:rPr>
                <w:rFonts w:eastAsia="Times New Roman"/>
                <w:noProof/>
                <w:sz w:val="20"/>
              </w:rPr>
              <w:t>u</w:t>
            </w:r>
            <w:r w:rsidRPr="00930237">
              <w:rPr>
                <w:rFonts w:eastAsia="Times New Roman"/>
                <w:noProof/>
                <w:sz w:val="20"/>
              </w:rPr>
              <w:t>. Socioloģiskās aptaujas un pētījumi</w:t>
            </w:r>
            <w:r>
              <w:rPr>
                <w:rStyle w:val="FootnoteReference"/>
                <w:rFonts w:eastAsia="Times New Roman"/>
                <w:noProof/>
                <w:sz w:val="20"/>
              </w:rPr>
              <w:footnoteReference w:id="75"/>
            </w:r>
            <w:r w:rsidRPr="00930237">
              <w:rPr>
                <w:rFonts w:eastAsia="Times New Roman"/>
                <w:noProof/>
                <w:sz w:val="20"/>
              </w:rPr>
              <w:t xml:space="preserve">  apliecina vides jautājumu nozīmi, vienlaikus parādot sabiedrības nepietiekamo informētību.</w:t>
            </w:r>
          </w:p>
        </w:tc>
      </w:tr>
      <w:tr w:rsidR="00DA560F" w:rsidRPr="00930237" w14:paraId="6C42FDC4" w14:textId="77777777" w:rsidTr="000E58E3">
        <w:tc>
          <w:tcPr>
            <w:tcW w:w="556" w:type="pct"/>
            <w:vMerge/>
          </w:tcPr>
          <w:p w14:paraId="63F64E81" w14:textId="77777777" w:rsidR="00DA560F" w:rsidRPr="00930237" w:rsidRDefault="00DA560F" w:rsidP="00DA560F">
            <w:pPr>
              <w:spacing w:before="0" w:after="0"/>
              <w:rPr>
                <w:rFonts w:eastAsia="Times New Roman"/>
                <w:iCs/>
                <w:noProof/>
                <w:sz w:val="20"/>
              </w:rPr>
            </w:pPr>
          </w:p>
        </w:tc>
        <w:tc>
          <w:tcPr>
            <w:tcW w:w="759" w:type="pct"/>
          </w:tcPr>
          <w:p w14:paraId="7B2EA3B8" w14:textId="0FC05BE6" w:rsidR="00DA560F" w:rsidRPr="00930237" w:rsidRDefault="00DA560F" w:rsidP="00DA560F">
            <w:pPr>
              <w:spacing w:before="0" w:after="0"/>
              <w:rPr>
                <w:sz w:val="20"/>
              </w:rPr>
            </w:pPr>
            <w:r w:rsidRPr="00930237">
              <w:rPr>
                <w:sz w:val="20"/>
              </w:rPr>
              <w:t xml:space="preserve">2.3.1.SAM </w:t>
            </w:r>
          </w:p>
          <w:p w14:paraId="474BC985" w14:textId="77777777" w:rsidR="00DA560F" w:rsidRPr="00930237" w:rsidRDefault="00DA560F" w:rsidP="00DA560F">
            <w:pPr>
              <w:spacing w:before="0" w:after="0"/>
              <w:rPr>
                <w:rFonts w:eastAsia="Times New Roman"/>
                <w:iCs/>
                <w:noProof/>
                <w:sz w:val="20"/>
              </w:rPr>
            </w:pPr>
            <w:r w:rsidRPr="00930237">
              <w:rPr>
                <w:sz w:val="20"/>
              </w:rPr>
              <w:t>Veicināt ilgtspējīgu daudzveidu mobilitāti pilsētās</w:t>
            </w:r>
          </w:p>
        </w:tc>
        <w:tc>
          <w:tcPr>
            <w:tcW w:w="3685" w:type="pct"/>
          </w:tcPr>
          <w:p w14:paraId="417EE0F0" w14:textId="40D1A8A8" w:rsidR="00DA560F" w:rsidRPr="00930237" w:rsidRDefault="00DA560F" w:rsidP="00DA560F">
            <w:pPr>
              <w:spacing w:before="0" w:after="0"/>
              <w:rPr>
                <w:rFonts w:eastAsia="Times New Roman"/>
                <w:iCs/>
                <w:noProof/>
                <w:sz w:val="20"/>
                <w:highlight w:val="yellow"/>
              </w:rPr>
            </w:pPr>
            <w:r w:rsidRPr="00930237">
              <w:rPr>
                <w:rFonts w:eastAsia="Times New Roman"/>
                <w:iCs/>
                <w:noProof/>
                <w:sz w:val="20"/>
              </w:rPr>
              <w:t>Latvijā 2018. gadā transports radīja 29% no kopējām SEG emisijām</w:t>
            </w:r>
            <w:r w:rsidRPr="00930237">
              <w:rPr>
                <w:rStyle w:val="FootnoteReference"/>
                <w:rFonts w:eastAsia="Times New Roman"/>
                <w:iCs/>
                <w:noProof/>
                <w:sz w:val="20"/>
              </w:rPr>
              <w:footnoteReference w:id="76"/>
            </w:r>
            <w:r w:rsidRPr="00930237">
              <w:rPr>
                <w:rFonts w:eastAsia="Times New Roman"/>
                <w:iCs/>
                <w:noProof/>
                <w:sz w:val="20"/>
              </w:rPr>
              <w:t xml:space="preserve">. </w:t>
            </w:r>
            <w:r w:rsidR="00A21383" w:rsidRPr="00A21383">
              <w:rPr>
                <w:rFonts w:eastAsia="Times New Roman"/>
                <w:iCs/>
                <w:noProof/>
                <w:sz w:val="20"/>
              </w:rPr>
              <w:t xml:space="preserve">Transports ir arī būtisks gaisa piesārņojuma avots. </w:t>
            </w:r>
            <w:r w:rsidRPr="00930237">
              <w:rPr>
                <w:rFonts w:eastAsia="Times New Roman"/>
                <w:iCs/>
                <w:noProof/>
                <w:sz w:val="20"/>
              </w:rPr>
              <w:t>Ilgtermiņa virzībā uz klimatneitralitāti 2050.gadā, līdz 2030.gadam ne-ETS SEG radītās emisijas jāsamazina par 6% salīdzinājumā ar 2005.gadu</w:t>
            </w:r>
            <w:r w:rsidRPr="00930237">
              <w:rPr>
                <w:rStyle w:val="FootnoteReference"/>
                <w:rFonts w:eastAsia="Times New Roman"/>
                <w:iCs/>
                <w:noProof/>
                <w:sz w:val="20"/>
              </w:rPr>
              <w:footnoteReference w:id="77"/>
            </w:r>
            <w:r w:rsidRPr="00930237">
              <w:rPr>
                <w:rFonts w:eastAsia="Times New Roman"/>
                <w:iCs/>
                <w:noProof/>
                <w:sz w:val="20"/>
              </w:rPr>
              <w:t>. Valstī jāattīsta ilgtspējīgi</w:t>
            </w:r>
            <w:r>
              <w:rPr>
                <w:rFonts w:eastAsia="Times New Roman"/>
                <w:iCs/>
                <w:noProof/>
                <w:sz w:val="20"/>
              </w:rPr>
              <w:t xml:space="preserve"> un </w:t>
            </w:r>
            <w:r w:rsidRPr="00930237">
              <w:rPr>
                <w:rFonts w:eastAsia="Times New Roman"/>
                <w:iCs/>
                <w:noProof/>
                <w:sz w:val="20"/>
              </w:rPr>
              <w:t>inovatīvi transporta risinājumi</w:t>
            </w:r>
            <w:r>
              <w:rPr>
                <w:rFonts w:eastAsia="Times New Roman"/>
                <w:iCs/>
                <w:noProof/>
                <w:sz w:val="20"/>
              </w:rPr>
              <w:t>.</w:t>
            </w:r>
            <w:r w:rsidRPr="00930237">
              <w:rPr>
                <w:rFonts w:eastAsia="Times New Roman"/>
                <w:iCs/>
                <w:noProof/>
                <w:sz w:val="20"/>
              </w:rPr>
              <w:t xml:space="preserve"> </w:t>
            </w:r>
            <w:r>
              <w:rPr>
                <w:rFonts w:eastAsia="Times New Roman"/>
                <w:iCs/>
                <w:noProof/>
                <w:sz w:val="20"/>
              </w:rPr>
              <w:t>I</w:t>
            </w:r>
            <w:r w:rsidRPr="00930237">
              <w:rPr>
                <w:rFonts w:eastAsia="Times New Roman"/>
                <w:iCs/>
                <w:noProof/>
                <w:sz w:val="20"/>
              </w:rPr>
              <w:t>lgtspējīgs transports nozīmē, ka transporta lietotājiem tiek piedāvātas izmaksu ziņā pieņemamas, pieejamākas un  klimatam draudzīgākas mobilitātes paradumu alternatīvas.</w:t>
            </w:r>
          </w:p>
          <w:p w14:paraId="714F5C6A" w14:textId="345AAE61" w:rsidR="00DA560F" w:rsidRDefault="00DA560F" w:rsidP="00FC29FC">
            <w:pPr>
              <w:spacing w:before="0" w:after="0"/>
              <w:rPr>
                <w:rFonts w:eastAsia="Times New Roman"/>
                <w:iCs/>
                <w:noProof/>
                <w:sz w:val="20"/>
              </w:rPr>
            </w:pPr>
            <w:r w:rsidRPr="00930237">
              <w:rPr>
                <w:rFonts w:eastAsia="Times New Roman"/>
                <w:iCs/>
                <w:noProof/>
                <w:sz w:val="20"/>
              </w:rPr>
              <w:t xml:space="preserve">Viens no </w:t>
            </w:r>
            <w:r w:rsidRPr="00930237">
              <w:rPr>
                <w:rFonts w:eastAsia="Times New Roman"/>
                <w:i/>
                <w:noProof/>
                <w:sz w:val="20"/>
              </w:rPr>
              <w:t>Eiropas Zaļā kursa</w:t>
            </w:r>
            <w:r w:rsidRPr="00930237">
              <w:rPr>
                <w:rStyle w:val="FootnoteReference"/>
                <w:rFonts w:eastAsia="Times New Roman"/>
                <w:i/>
                <w:noProof/>
                <w:sz w:val="20"/>
              </w:rPr>
              <w:footnoteReference w:id="78"/>
            </w:r>
            <w:r w:rsidRPr="00930237">
              <w:rPr>
                <w:rFonts w:eastAsia="Times New Roman"/>
                <w:iCs/>
                <w:noProof/>
                <w:sz w:val="20"/>
              </w:rPr>
              <w:t xml:space="preserve"> uzstādījumiem ir radīt spēcīgu stimulu multimodālajam transportam, kas uzlabotu transporta sistēmas efektivitāti. Lai mazinātu sastrēgumus un piesārņojumu</w:t>
            </w:r>
            <w:r w:rsidR="00A21383">
              <w:rPr>
                <w:rFonts w:eastAsia="Times New Roman"/>
                <w:iCs/>
                <w:noProof/>
                <w:sz w:val="20"/>
              </w:rPr>
              <w:t>, t.sk., gaisa piesārņojumu</w:t>
            </w:r>
            <w:r w:rsidRPr="00930237">
              <w:rPr>
                <w:rFonts w:eastAsia="Times New Roman"/>
                <w:iCs/>
                <w:noProof/>
                <w:sz w:val="20"/>
              </w:rPr>
              <w:t xml:space="preserve">, īpaši pilsētu teritorijās, svarīga ir multimodālo punktu attīstība, vienlaikus veicinot veloinfrastruktūras attīstību. ES fondu 2014.–2020.gada plānošanas perioda ietvaros tiek īstenots videi draudzīga sabiedriskā transporta attīstības pasākums, </w:t>
            </w:r>
            <w:r>
              <w:rPr>
                <w:rFonts w:eastAsia="Times New Roman"/>
                <w:iCs/>
                <w:noProof/>
                <w:sz w:val="20"/>
              </w:rPr>
              <w:t xml:space="preserve">kas paredz </w:t>
            </w:r>
            <w:r w:rsidRPr="00930237">
              <w:rPr>
                <w:rFonts w:eastAsia="Times New Roman"/>
                <w:iCs/>
                <w:noProof/>
                <w:sz w:val="20"/>
              </w:rPr>
              <w:t>nacionālas nozīmes attīstības centros līdz 2023.gadam nomain</w:t>
            </w:r>
            <w:r>
              <w:rPr>
                <w:rFonts w:eastAsia="Times New Roman"/>
                <w:iCs/>
                <w:noProof/>
                <w:sz w:val="20"/>
              </w:rPr>
              <w:t>ī</w:t>
            </w:r>
            <w:r w:rsidRPr="00930237">
              <w:rPr>
                <w:rFonts w:eastAsia="Times New Roman"/>
                <w:iCs/>
                <w:noProof/>
                <w:sz w:val="20"/>
              </w:rPr>
              <w:t xml:space="preserve">t vairāk kā 60 autobusus, </w:t>
            </w:r>
            <w:r>
              <w:rPr>
                <w:rFonts w:eastAsia="Times New Roman"/>
                <w:iCs/>
                <w:noProof/>
                <w:sz w:val="20"/>
              </w:rPr>
              <w:t xml:space="preserve">tādējādi </w:t>
            </w:r>
            <w:r w:rsidRPr="00930237">
              <w:rPr>
                <w:rFonts w:eastAsia="Times New Roman"/>
                <w:iCs/>
                <w:noProof/>
                <w:sz w:val="20"/>
              </w:rPr>
              <w:t>nodrošinot autobusu parku atbilstību videi draudzīgā sabiedriskā transporta kritērijiem. Turpmāka šāda veida investīciju nepieciešamība vērtējama atbilstoši jaunajām EK rekomendācijām un stratēģijām klimatneitralitātes nodrošināšanai.</w:t>
            </w:r>
            <w:r>
              <w:rPr>
                <w:rFonts w:eastAsia="Times New Roman"/>
                <w:iCs/>
                <w:noProof/>
                <w:sz w:val="20"/>
              </w:rPr>
              <w:t xml:space="preserve"> Tāpat ES fondu 2014.-2020.gada plānošanas perioda ietvaros tiek plānots izveidot 139 elektrotransportlīdzekļu uzlādes stacijas. Plānots, ka turpmāku elektrotransportlīdzekļu uzlādes infrastruktūras attīstību nodrošinās privātais sektors, ko veicina nacionālā likumdošana un tirgus attīstības tendences.</w:t>
            </w:r>
          </w:p>
          <w:p w14:paraId="3723320A" w14:textId="6784BF8C" w:rsidR="00FC29FC" w:rsidRPr="00930237" w:rsidRDefault="00FC29FC" w:rsidP="00FC29FC">
            <w:pPr>
              <w:spacing w:before="0" w:after="0"/>
              <w:rPr>
                <w:rFonts w:eastAsia="Times New Roman"/>
                <w:iCs/>
                <w:noProof/>
                <w:sz w:val="20"/>
              </w:rPr>
            </w:pPr>
            <w:r w:rsidRPr="00FC29FC">
              <w:rPr>
                <w:rFonts w:eastAsia="Times New Roman"/>
                <w:iCs/>
                <w:noProof/>
                <w:sz w:val="20"/>
              </w:rPr>
              <w:t>Pieaugoša loma drošības un drošuma nodrošināšanā transporta nozarē ir digitalizācijai un jaunajām tehnoloģijām. Eiropas Zaļais kurss norāda, ka arvien lielāka nozīme būs automatizētai un satīklotai multimodālai mobilitātei, kā arī viedām satiksmes vadības sistēmām un intermodāliem pakalpojumiem, ko nodrošinās digitalizācijas risinājumu ieviešana. ES transporta sistēmu un infrastruktūru plānots sagatavot jauniem ilgtspējīgas mobilitātes pakalpojumiem, kas var samazināt sastrēgumus un piesārņojumu, jo īpaši pilsētu teritorijās.</w:t>
            </w:r>
          </w:p>
          <w:p w14:paraId="41C496B8" w14:textId="63D92BE2" w:rsidR="00DA560F" w:rsidRDefault="00DA560F" w:rsidP="00DA560F">
            <w:pPr>
              <w:spacing w:before="0" w:after="0"/>
              <w:rPr>
                <w:rFonts w:eastAsia="Times New Roman"/>
                <w:iCs/>
                <w:noProof/>
                <w:sz w:val="20"/>
              </w:rPr>
            </w:pPr>
            <w:r w:rsidRPr="00930237">
              <w:rPr>
                <w:rFonts w:eastAsia="Times New Roman"/>
                <w:iCs/>
                <w:noProof/>
                <w:sz w:val="20"/>
              </w:rPr>
              <w:t xml:space="preserve">NEKP paredz vairākus kompleksus pasākumus klimata pārmaiņu samazināšanai transporta sektorā, kas tiks risināti ar ES fondu atbalstu: park&amp;ride sistēma, veloceļi </w:t>
            </w:r>
            <w:r>
              <w:rPr>
                <w:rFonts w:eastAsia="Times New Roman"/>
                <w:iCs/>
                <w:noProof/>
                <w:sz w:val="20"/>
              </w:rPr>
              <w:t>un citi</w:t>
            </w:r>
            <w:r w:rsidRPr="00930237">
              <w:rPr>
                <w:rFonts w:eastAsia="Times New Roman"/>
                <w:iCs/>
                <w:noProof/>
                <w:sz w:val="20"/>
              </w:rPr>
              <w:t xml:space="preserve"> pasākumi atbilstoši </w:t>
            </w:r>
            <w:r>
              <w:rPr>
                <w:rFonts w:eastAsia="Times New Roman"/>
                <w:iCs/>
                <w:noProof/>
                <w:sz w:val="20"/>
              </w:rPr>
              <w:t xml:space="preserve">reģionu un </w:t>
            </w:r>
            <w:r w:rsidRPr="00930237">
              <w:rPr>
                <w:rFonts w:eastAsia="Times New Roman"/>
                <w:iCs/>
                <w:noProof/>
                <w:sz w:val="20"/>
              </w:rPr>
              <w:t xml:space="preserve">pašvaldību teritoriālajiem un satiksmes infrastruktūras attīstības plāniem), </w:t>
            </w:r>
            <w:r w:rsidR="00FC29FC">
              <w:rPr>
                <w:rFonts w:eastAsia="Times New Roman"/>
                <w:iCs/>
                <w:noProof/>
                <w:sz w:val="20"/>
              </w:rPr>
              <w:t>kā arī</w:t>
            </w:r>
            <w:r w:rsidRPr="00930237">
              <w:rPr>
                <w:rFonts w:eastAsia="Times New Roman"/>
                <w:iCs/>
                <w:noProof/>
                <w:sz w:val="20"/>
              </w:rPr>
              <w:t xml:space="preserve"> viedo tehnoloģiju ieviešana satiksmes plūsmas regulēšanai vides jautājumu risināšanai. </w:t>
            </w:r>
          </w:p>
          <w:p w14:paraId="21BCD2E3" w14:textId="4B89FDD7" w:rsidR="00FC29FC" w:rsidRDefault="00FC29FC" w:rsidP="00DA560F">
            <w:pPr>
              <w:spacing w:before="0" w:after="0"/>
              <w:rPr>
                <w:rFonts w:eastAsia="Times New Roman"/>
                <w:iCs/>
                <w:noProof/>
                <w:sz w:val="20"/>
              </w:rPr>
            </w:pPr>
            <w:r w:rsidRPr="00FC29FC">
              <w:rPr>
                <w:rFonts w:eastAsia="Times New Roman"/>
                <w:iCs/>
                <w:noProof/>
                <w:sz w:val="20"/>
              </w:rPr>
              <w:t>Ņemot vērā augstāk minēto un lai sekmētu nacionāla līmeņa plānošanas dokumentā – Transporta attīstības pamatnostādnēs 2021.-2027.gadam – noteikto politikas rezultātu: samazināts transporta radītais gaisa piesārņojums, SEG emisijas un uzlabota vides kvalitāte un paaugstināta transporta drošība un drošums, 2.3.1.SAM ietvaros paredzēts izbūvēt viedo tehnoloģiju infrastruktūru satiksmes plūsmas regulēšanai vides jautājumu risināšanai, izveidot multimodālu transporta mezglu, mobilitātes punktu, “Park &amp; ride” infrastruktūru, kā arī izbūvēt veloceļus gar autoceļiem un pašvaldību teritorijās.</w:t>
            </w:r>
          </w:p>
          <w:p w14:paraId="0C9932EA" w14:textId="278586BA" w:rsidR="00DA560F" w:rsidRPr="00930237" w:rsidRDefault="00A21383" w:rsidP="006235AC">
            <w:pPr>
              <w:spacing w:before="0" w:after="0"/>
              <w:rPr>
                <w:rFonts w:eastAsia="Times New Roman"/>
                <w:iCs/>
                <w:noProof/>
                <w:sz w:val="20"/>
              </w:rPr>
            </w:pPr>
            <w:r w:rsidRPr="00A21383">
              <w:rPr>
                <w:rFonts w:eastAsia="Times New Roman"/>
                <w:iCs/>
                <w:noProof/>
                <w:sz w:val="20"/>
              </w:rPr>
              <w:t>Vienlaikus, lai uzlabotu gaisa kvalitāti konkrētās pilsētās, tiek izstrādāti pašvaldību gaisa kvalitātes uzlabošanas plāni, piemēram, “Rīgas gaisa kvalit</w:t>
            </w:r>
            <w:r w:rsidR="007323C7">
              <w:rPr>
                <w:rFonts w:eastAsia="Times New Roman"/>
                <w:iCs/>
                <w:noProof/>
                <w:sz w:val="20"/>
              </w:rPr>
              <w:t>ātes uzlabošanas rīcības plāns”</w:t>
            </w:r>
            <w:r w:rsidRPr="00A21383">
              <w:rPr>
                <w:rFonts w:eastAsia="Times New Roman"/>
                <w:iCs/>
                <w:noProof/>
                <w:sz w:val="20"/>
              </w:rPr>
              <w:t>, kurā tiek iekļauti arī pasākumi transporta radītā gaisa piesārņojuma samazināšanai.</w:t>
            </w:r>
          </w:p>
        </w:tc>
      </w:tr>
      <w:tr w:rsidR="00081FE4" w:rsidRPr="00930237" w14:paraId="6DE508DA" w14:textId="77777777" w:rsidTr="000E58E3">
        <w:tc>
          <w:tcPr>
            <w:tcW w:w="556" w:type="pct"/>
            <w:vMerge w:val="restart"/>
          </w:tcPr>
          <w:p w14:paraId="610E4256" w14:textId="608EBEEE" w:rsidR="00081FE4" w:rsidRPr="00930237" w:rsidRDefault="00081FE4" w:rsidP="00DA560F">
            <w:pPr>
              <w:spacing w:before="0" w:after="0"/>
              <w:rPr>
                <w:rFonts w:eastAsia="Times New Roman"/>
                <w:iCs/>
                <w:noProof/>
                <w:sz w:val="20"/>
              </w:rPr>
            </w:pPr>
            <w:r w:rsidRPr="00930237">
              <w:rPr>
                <w:rFonts w:eastAsia="Times New Roman"/>
                <w:iCs/>
                <w:noProof/>
                <w:sz w:val="20"/>
              </w:rPr>
              <w:t xml:space="preserve">3. </w:t>
            </w:r>
            <w:r w:rsidR="007323C7" w:rsidRPr="0055161D">
              <w:rPr>
                <w:rFonts w:eastAsia="Times New Roman"/>
                <w:iCs/>
                <w:noProof/>
                <w:sz w:val="20"/>
              </w:rPr>
              <w:t>Ciešāk savienota Eiropa, uzlabojot mobilitāti</w:t>
            </w:r>
          </w:p>
        </w:tc>
        <w:tc>
          <w:tcPr>
            <w:tcW w:w="759" w:type="pct"/>
          </w:tcPr>
          <w:p w14:paraId="02497F3F" w14:textId="77777777" w:rsidR="00081FE4" w:rsidRDefault="00847DA7" w:rsidP="00DA560F">
            <w:pPr>
              <w:spacing w:before="0" w:after="0"/>
              <w:rPr>
                <w:sz w:val="20"/>
              </w:rPr>
            </w:pPr>
            <w:r w:rsidRPr="00930237">
              <w:rPr>
                <w:sz w:val="20"/>
              </w:rPr>
              <w:t>3.</w:t>
            </w:r>
            <w:r>
              <w:rPr>
                <w:sz w:val="20"/>
              </w:rPr>
              <w:t>1</w:t>
            </w:r>
            <w:r w:rsidRPr="00930237">
              <w:rPr>
                <w:sz w:val="20"/>
              </w:rPr>
              <w:t>.1.SAM Attīstīt ilgtspējīgu, pret klimatu izturīgu, inteliģentu, drošu un vairākveidu TEN-T infrastruktūru</w:t>
            </w:r>
          </w:p>
          <w:p w14:paraId="2B1898D7" w14:textId="77777777" w:rsidR="00847DA7" w:rsidRDefault="00847DA7" w:rsidP="00DA560F">
            <w:pPr>
              <w:spacing w:before="0" w:after="0"/>
              <w:rPr>
                <w:sz w:val="20"/>
              </w:rPr>
            </w:pPr>
          </w:p>
          <w:p w14:paraId="36039727" w14:textId="78F9BD1C" w:rsidR="00847DA7" w:rsidRDefault="00847DA7" w:rsidP="00DA560F">
            <w:pPr>
              <w:spacing w:before="0" w:after="0"/>
              <w:rPr>
                <w:sz w:val="20"/>
              </w:rPr>
            </w:pPr>
          </w:p>
          <w:p w14:paraId="1FD8DF1F" w14:textId="55485C10" w:rsidR="00852CFA" w:rsidRDefault="00852CFA" w:rsidP="00DA560F">
            <w:pPr>
              <w:spacing w:before="0" w:after="0"/>
              <w:rPr>
                <w:sz w:val="20"/>
              </w:rPr>
            </w:pPr>
          </w:p>
          <w:p w14:paraId="5400BFBB" w14:textId="43A8BDA6" w:rsidR="00852CFA" w:rsidRDefault="00852CFA" w:rsidP="00DA560F">
            <w:pPr>
              <w:spacing w:before="0" w:after="0"/>
              <w:rPr>
                <w:sz w:val="20"/>
              </w:rPr>
            </w:pPr>
          </w:p>
          <w:p w14:paraId="3B805429" w14:textId="7B904041" w:rsidR="00852CFA" w:rsidRDefault="00852CFA" w:rsidP="00DA560F">
            <w:pPr>
              <w:spacing w:before="0" w:after="0"/>
              <w:rPr>
                <w:sz w:val="20"/>
              </w:rPr>
            </w:pPr>
          </w:p>
          <w:p w14:paraId="67FDE5D6" w14:textId="36588FF6" w:rsidR="00852CFA" w:rsidRDefault="00852CFA" w:rsidP="00DA560F">
            <w:pPr>
              <w:spacing w:before="0" w:after="0"/>
              <w:rPr>
                <w:sz w:val="20"/>
              </w:rPr>
            </w:pPr>
          </w:p>
          <w:p w14:paraId="7E97B37E" w14:textId="40F537B1" w:rsidR="00852CFA" w:rsidRDefault="00852CFA" w:rsidP="00DA560F">
            <w:pPr>
              <w:spacing w:before="0" w:after="0"/>
              <w:rPr>
                <w:sz w:val="20"/>
              </w:rPr>
            </w:pPr>
          </w:p>
          <w:p w14:paraId="1A664A95" w14:textId="2DF641A5" w:rsidR="00852CFA" w:rsidRDefault="00852CFA" w:rsidP="00DA560F">
            <w:pPr>
              <w:spacing w:before="0" w:after="0"/>
              <w:rPr>
                <w:sz w:val="20"/>
              </w:rPr>
            </w:pPr>
          </w:p>
          <w:p w14:paraId="5B4123F7" w14:textId="398037E3" w:rsidR="00852CFA" w:rsidRDefault="00852CFA" w:rsidP="00DA560F">
            <w:pPr>
              <w:spacing w:before="0" w:after="0"/>
              <w:rPr>
                <w:sz w:val="20"/>
              </w:rPr>
            </w:pPr>
          </w:p>
          <w:p w14:paraId="06ECCC45" w14:textId="515A473F" w:rsidR="00852CFA" w:rsidRDefault="00852CFA" w:rsidP="00DA560F">
            <w:pPr>
              <w:spacing w:before="0" w:after="0"/>
              <w:rPr>
                <w:sz w:val="20"/>
              </w:rPr>
            </w:pPr>
          </w:p>
          <w:p w14:paraId="0F6C2491" w14:textId="1D347044" w:rsidR="00852CFA" w:rsidRDefault="00852CFA" w:rsidP="00DA560F">
            <w:pPr>
              <w:spacing w:before="0" w:after="0"/>
              <w:rPr>
                <w:sz w:val="20"/>
              </w:rPr>
            </w:pPr>
          </w:p>
          <w:p w14:paraId="7FC3AABB" w14:textId="2D50C073" w:rsidR="00852CFA" w:rsidRDefault="00852CFA" w:rsidP="00DA560F">
            <w:pPr>
              <w:spacing w:before="0" w:after="0"/>
              <w:rPr>
                <w:sz w:val="20"/>
              </w:rPr>
            </w:pPr>
          </w:p>
          <w:p w14:paraId="0DF3B5DA" w14:textId="10D7F453" w:rsidR="00852CFA" w:rsidRDefault="00852CFA" w:rsidP="00DA560F">
            <w:pPr>
              <w:spacing w:before="0" w:after="0"/>
              <w:rPr>
                <w:sz w:val="20"/>
              </w:rPr>
            </w:pPr>
          </w:p>
          <w:p w14:paraId="47C4C11C" w14:textId="49F6DFAD" w:rsidR="00852CFA" w:rsidRDefault="00852CFA" w:rsidP="00DA560F">
            <w:pPr>
              <w:spacing w:before="0" w:after="0"/>
              <w:rPr>
                <w:sz w:val="20"/>
              </w:rPr>
            </w:pPr>
          </w:p>
          <w:p w14:paraId="1EEFBC0D" w14:textId="7605CA43" w:rsidR="00852CFA" w:rsidRDefault="00852CFA" w:rsidP="00DA560F">
            <w:pPr>
              <w:spacing w:before="0" w:after="0"/>
              <w:rPr>
                <w:sz w:val="20"/>
              </w:rPr>
            </w:pPr>
          </w:p>
          <w:p w14:paraId="572D6DAA" w14:textId="0BE9B80D" w:rsidR="00852CFA" w:rsidRDefault="00852CFA" w:rsidP="00DA560F">
            <w:pPr>
              <w:spacing w:before="0" w:after="0"/>
              <w:rPr>
                <w:sz w:val="20"/>
              </w:rPr>
            </w:pPr>
          </w:p>
          <w:p w14:paraId="20466EFD" w14:textId="47524ED5" w:rsidR="00852CFA" w:rsidRDefault="00852CFA" w:rsidP="00DA560F">
            <w:pPr>
              <w:spacing w:before="0" w:after="0"/>
              <w:rPr>
                <w:sz w:val="20"/>
              </w:rPr>
            </w:pPr>
          </w:p>
          <w:p w14:paraId="3BA71CB8" w14:textId="4614C94B" w:rsidR="00852CFA" w:rsidRDefault="00852CFA" w:rsidP="00DA560F">
            <w:pPr>
              <w:spacing w:before="0" w:after="0"/>
              <w:rPr>
                <w:sz w:val="20"/>
              </w:rPr>
            </w:pPr>
          </w:p>
          <w:p w14:paraId="267B14F8" w14:textId="73F9FD39" w:rsidR="00852CFA" w:rsidRDefault="00852CFA" w:rsidP="00DA560F">
            <w:pPr>
              <w:spacing w:before="0" w:after="0"/>
              <w:rPr>
                <w:sz w:val="20"/>
              </w:rPr>
            </w:pPr>
          </w:p>
          <w:p w14:paraId="58746E97" w14:textId="77777777" w:rsidR="00852CFA" w:rsidRDefault="00852CFA" w:rsidP="00DA560F">
            <w:pPr>
              <w:spacing w:before="0" w:after="0"/>
              <w:rPr>
                <w:sz w:val="20"/>
              </w:rPr>
            </w:pPr>
          </w:p>
          <w:p w14:paraId="7B13BA13" w14:textId="33B15B2D" w:rsidR="00847DA7" w:rsidRPr="00930237" w:rsidRDefault="00847DA7" w:rsidP="00DA560F">
            <w:pPr>
              <w:spacing w:before="0" w:after="0"/>
              <w:rPr>
                <w:rFonts w:eastAsia="Times New Roman"/>
                <w:i/>
                <w:iCs/>
                <w:noProof/>
                <w:sz w:val="20"/>
              </w:rPr>
            </w:pPr>
          </w:p>
        </w:tc>
        <w:tc>
          <w:tcPr>
            <w:tcW w:w="3685" w:type="pct"/>
            <w:vMerge w:val="restart"/>
          </w:tcPr>
          <w:p w14:paraId="220ED78E" w14:textId="77777777" w:rsidR="00081FE4" w:rsidRPr="00930237" w:rsidRDefault="00081FE4" w:rsidP="00DA560F">
            <w:pPr>
              <w:spacing w:before="0" w:after="0"/>
              <w:rPr>
                <w:rFonts w:eastAsia="Times New Roman"/>
                <w:iCs/>
                <w:noProof/>
                <w:sz w:val="20"/>
              </w:rPr>
            </w:pPr>
            <w:r w:rsidRPr="00930237">
              <w:rPr>
                <w:rFonts w:eastAsia="Times New Roman"/>
                <w:iCs/>
                <w:noProof/>
                <w:sz w:val="20"/>
              </w:rPr>
              <w:t xml:space="preserve">Transporta nozares būtiskākie izaicinājumi, raugoties no infrastruktūras viedokļa, ir nodrošināt pilnvērtīgu integrēšanos TEN-T tīklā, uzlabojot gan savienojamību, gan drošību. </w:t>
            </w:r>
          </w:p>
          <w:p w14:paraId="2E701BE8" w14:textId="1D757A9C" w:rsidR="00081FE4" w:rsidRDefault="00081FE4" w:rsidP="00DA560F">
            <w:pPr>
              <w:spacing w:before="0" w:after="0"/>
              <w:rPr>
                <w:rFonts w:eastAsia="Times New Roman"/>
                <w:iCs/>
                <w:noProof/>
                <w:sz w:val="20"/>
              </w:rPr>
            </w:pPr>
            <w:r w:rsidRPr="00930237">
              <w:rPr>
                <w:rFonts w:eastAsia="Times New Roman"/>
                <w:iCs/>
                <w:noProof/>
                <w:sz w:val="20"/>
              </w:rPr>
              <w:t xml:space="preserve">Dzelzceļa tīkla infrastruktūras modernizācija ir būtiska konkurētspējas un ilgtspējības nodrošinātāja. Nepieciešams attīstīt dzelzceļa infrastruktūru, nodrošinot </w:t>
            </w:r>
            <w:r>
              <w:rPr>
                <w:rFonts w:eastAsia="Times New Roman"/>
                <w:iCs/>
                <w:noProof/>
                <w:sz w:val="20"/>
              </w:rPr>
              <w:t>pieprasījuma apmierināšanu lietotāju segmentos</w:t>
            </w:r>
            <w:r w:rsidRPr="00930237">
              <w:rPr>
                <w:rFonts w:eastAsia="Times New Roman"/>
                <w:iCs/>
                <w:noProof/>
                <w:sz w:val="20"/>
              </w:rPr>
              <w:t>, kur</w:t>
            </w:r>
            <w:r>
              <w:rPr>
                <w:rFonts w:eastAsia="Times New Roman"/>
                <w:iCs/>
                <w:noProof/>
                <w:sz w:val="20"/>
              </w:rPr>
              <w:t>os</w:t>
            </w:r>
            <w:r w:rsidRPr="00930237">
              <w:rPr>
                <w:rFonts w:eastAsia="Times New Roman"/>
                <w:iCs/>
                <w:noProof/>
                <w:sz w:val="20"/>
              </w:rPr>
              <w:t xml:space="preserve"> ir vērojams pieaugums</w:t>
            </w:r>
            <w:r>
              <w:rPr>
                <w:rFonts w:eastAsia="Times New Roman"/>
                <w:iCs/>
                <w:noProof/>
                <w:sz w:val="20"/>
              </w:rPr>
              <w:t>.</w:t>
            </w:r>
            <w:r w:rsidRPr="00930237">
              <w:rPr>
                <w:rFonts w:eastAsia="Times New Roman"/>
                <w:iCs/>
                <w:noProof/>
                <w:sz w:val="20"/>
              </w:rPr>
              <w:t xml:space="preserve"> </w:t>
            </w:r>
            <w:r>
              <w:rPr>
                <w:rFonts w:eastAsia="Times New Roman"/>
                <w:iCs/>
                <w:noProof/>
                <w:sz w:val="20"/>
              </w:rPr>
              <w:t>Šāds pieprasījums vērojams pasažieru pārvadājumu segmentā. Vienlaikus jānodrošina arī</w:t>
            </w:r>
            <w:r w:rsidRPr="00930237">
              <w:rPr>
                <w:rFonts w:eastAsia="Times New Roman"/>
                <w:iCs/>
                <w:noProof/>
                <w:sz w:val="20"/>
              </w:rPr>
              <w:t xml:space="preserve"> dzelzceļa infrastruktūras atbilstīb</w:t>
            </w:r>
            <w:r>
              <w:rPr>
                <w:rFonts w:eastAsia="Times New Roman"/>
                <w:iCs/>
                <w:noProof/>
                <w:sz w:val="20"/>
              </w:rPr>
              <w:t>as vajadzības</w:t>
            </w:r>
            <w:r w:rsidRPr="00930237">
              <w:rPr>
                <w:rFonts w:eastAsia="Times New Roman"/>
                <w:iCs/>
                <w:noProof/>
                <w:sz w:val="20"/>
              </w:rPr>
              <w:t xml:space="preserve"> dzelzceļa kravu tirgus attīstības tendencēm (kravas segmentu dažādošana, kravu pārvadājumu piesaistīšana jauniem tirgiem, jaunu pakalpojumu attīstība). </w:t>
            </w:r>
          </w:p>
          <w:p w14:paraId="1DEB6B66" w14:textId="65D42948" w:rsidR="00081FE4" w:rsidRPr="00930237" w:rsidRDefault="00081FE4" w:rsidP="00DA560F">
            <w:pPr>
              <w:spacing w:before="0" w:after="0"/>
              <w:rPr>
                <w:rFonts w:eastAsia="Times New Roman"/>
                <w:iCs/>
                <w:noProof/>
                <w:sz w:val="20"/>
              </w:rPr>
            </w:pPr>
            <w:r w:rsidRPr="00633368">
              <w:rPr>
                <w:rFonts w:eastAsia="Times New Roman"/>
                <w:iCs/>
                <w:noProof/>
                <w:sz w:val="20"/>
              </w:rPr>
              <w:t xml:space="preserve">TEN-T dzelzceļa tīklā </w:t>
            </w:r>
            <w:r>
              <w:rPr>
                <w:rFonts w:eastAsia="Times New Roman"/>
                <w:iCs/>
                <w:noProof/>
                <w:sz w:val="20"/>
              </w:rPr>
              <w:t xml:space="preserve">šobrīd </w:t>
            </w:r>
            <w:r w:rsidRPr="00633368">
              <w:rPr>
                <w:rFonts w:eastAsia="Times New Roman"/>
                <w:iCs/>
                <w:noProof/>
                <w:sz w:val="20"/>
              </w:rPr>
              <w:t>iztrūkst Rail Baltica savienojums</w:t>
            </w:r>
            <w:r>
              <w:rPr>
                <w:rFonts w:eastAsia="Times New Roman"/>
                <w:iCs/>
                <w:noProof/>
                <w:sz w:val="20"/>
              </w:rPr>
              <w:t>.</w:t>
            </w:r>
            <w:r w:rsidRPr="00633368">
              <w:rPr>
                <w:rFonts w:eastAsia="Times New Roman"/>
                <w:iCs/>
                <w:noProof/>
                <w:sz w:val="20"/>
              </w:rPr>
              <w:t xml:space="preserve"> </w:t>
            </w:r>
            <w:r>
              <w:rPr>
                <w:rFonts w:eastAsia="Times New Roman"/>
                <w:iCs/>
                <w:noProof/>
                <w:sz w:val="20"/>
              </w:rPr>
              <w:t xml:space="preserve">Šis jautājums tiek risināts, </w:t>
            </w:r>
            <w:r w:rsidRPr="009B03EF">
              <w:rPr>
                <w:rFonts w:eastAsia="Times New Roman"/>
                <w:iCs/>
                <w:noProof/>
                <w:sz w:val="20"/>
              </w:rPr>
              <w:t>Rail Baltica reģionālās stacijas projekt</w:t>
            </w:r>
            <w:r>
              <w:rPr>
                <w:rFonts w:eastAsia="Times New Roman"/>
                <w:iCs/>
                <w:noProof/>
                <w:sz w:val="20"/>
              </w:rPr>
              <w:t>ējot</w:t>
            </w:r>
            <w:r w:rsidRPr="009B03EF">
              <w:rPr>
                <w:rFonts w:eastAsia="Times New Roman"/>
                <w:iCs/>
                <w:noProof/>
                <w:sz w:val="20"/>
              </w:rPr>
              <w:t xml:space="preserve"> </w:t>
            </w:r>
            <w:r>
              <w:rPr>
                <w:rFonts w:eastAsia="Times New Roman"/>
                <w:iCs/>
                <w:noProof/>
                <w:sz w:val="20"/>
              </w:rPr>
              <w:t>EISI</w:t>
            </w:r>
            <w:r w:rsidRPr="009B03EF">
              <w:rPr>
                <w:rFonts w:eastAsia="Times New Roman"/>
                <w:iCs/>
                <w:noProof/>
                <w:sz w:val="20"/>
              </w:rPr>
              <w:t xml:space="preserve"> ietvaros. Projektēšanu plānots pabeigt līdz 2023.-2024.gadam. </w:t>
            </w:r>
            <w:r>
              <w:rPr>
                <w:rFonts w:eastAsia="Times New Roman"/>
                <w:iCs/>
                <w:noProof/>
                <w:sz w:val="20"/>
              </w:rPr>
              <w:t>D</w:t>
            </w:r>
            <w:r w:rsidRPr="009B03EF">
              <w:rPr>
                <w:rFonts w:eastAsia="Times New Roman"/>
                <w:iCs/>
                <w:noProof/>
                <w:sz w:val="20"/>
              </w:rPr>
              <w:t>zelzceļa būvniecība ti</w:t>
            </w:r>
            <w:r>
              <w:rPr>
                <w:rFonts w:eastAsia="Times New Roman"/>
                <w:iCs/>
                <w:noProof/>
                <w:sz w:val="20"/>
              </w:rPr>
              <w:t>ks</w:t>
            </w:r>
            <w:r w:rsidRPr="009B03EF">
              <w:rPr>
                <w:rFonts w:eastAsia="Times New Roman"/>
                <w:iCs/>
                <w:noProof/>
                <w:sz w:val="20"/>
              </w:rPr>
              <w:t xml:space="preserve"> veikta pakāpenisk</w:t>
            </w:r>
            <w:r>
              <w:rPr>
                <w:rFonts w:eastAsia="Times New Roman"/>
                <w:iCs/>
                <w:noProof/>
                <w:sz w:val="20"/>
              </w:rPr>
              <w:t>i, pa posmiem, un to plānots sākt pēc 2023.</w:t>
            </w:r>
            <w:r w:rsidRPr="009B03EF">
              <w:rPr>
                <w:rFonts w:eastAsia="Times New Roman"/>
                <w:iCs/>
                <w:noProof/>
                <w:sz w:val="20"/>
              </w:rPr>
              <w:t xml:space="preserve">gada. </w:t>
            </w:r>
            <w:r>
              <w:rPr>
                <w:rFonts w:eastAsia="Times New Roman"/>
                <w:iCs/>
                <w:noProof/>
                <w:sz w:val="20"/>
              </w:rPr>
              <w:t>Taču galvenos dzelzceļa maršruta būvdarbus plānots sākt</w:t>
            </w:r>
            <w:r w:rsidRPr="009B03EF">
              <w:rPr>
                <w:rFonts w:eastAsia="Times New Roman"/>
                <w:iCs/>
                <w:noProof/>
                <w:sz w:val="20"/>
              </w:rPr>
              <w:t xml:space="preserve"> ne agrāk kā 2026. gadā. </w:t>
            </w:r>
            <w:r w:rsidR="00FC29FC">
              <w:rPr>
                <w:rFonts w:eastAsia="Times New Roman"/>
                <w:iCs/>
                <w:noProof/>
                <w:sz w:val="20"/>
              </w:rPr>
              <w:t>Līdz ar to</w:t>
            </w:r>
            <w:r>
              <w:rPr>
                <w:rFonts w:eastAsia="Times New Roman"/>
                <w:iCs/>
                <w:noProof/>
                <w:sz w:val="20"/>
              </w:rPr>
              <w:t xml:space="preserve"> reģionālo staciju būvniecīb</w:t>
            </w:r>
            <w:r w:rsidR="00FC29FC">
              <w:rPr>
                <w:rFonts w:eastAsia="Times New Roman"/>
                <w:iCs/>
                <w:noProof/>
                <w:sz w:val="20"/>
              </w:rPr>
              <w:t>a</w:t>
            </w:r>
            <w:r w:rsidRPr="009B03EF">
              <w:rPr>
                <w:rFonts w:eastAsia="Times New Roman"/>
                <w:iCs/>
                <w:noProof/>
                <w:sz w:val="20"/>
              </w:rPr>
              <w:t xml:space="preserve"> nav plānota agrāk kā 2026. – 2027.</w:t>
            </w:r>
            <w:r w:rsidR="00FC29FC">
              <w:rPr>
                <w:rFonts w:eastAsia="Times New Roman"/>
                <w:iCs/>
                <w:noProof/>
                <w:sz w:val="20"/>
              </w:rPr>
              <w:t>gadā.</w:t>
            </w:r>
            <w:r w:rsidRPr="009B03EF">
              <w:rPr>
                <w:rFonts w:eastAsia="Times New Roman"/>
                <w:iCs/>
                <w:noProof/>
                <w:sz w:val="20"/>
              </w:rPr>
              <w:t xml:space="preserve"> Lēmum</w:t>
            </w:r>
            <w:r w:rsidR="00FC29FC">
              <w:rPr>
                <w:rFonts w:eastAsia="Times New Roman"/>
                <w:iCs/>
                <w:noProof/>
                <w:sz w:val="20"/>
              </w:rPr>
              <w:t>i</w:t>
            </w:r>
            <w:r w:rsidRPr="009B03EF">
              <w:rPr>
                <w:rFonts w:eastAsia="Times New Roman"/>
                <w:iCs/>
                <w:noProof/>
                <w:sz w:val="20"/>
              </w:rPr>
              <w:t xml:space="preserve"> par reģionāl</w:t>
            </w:r>
            <w:r w:rsidR="00FC29FC">
              <w:rPr>
                <w:rFonts w:eastAsia="Times New Roman"/>
                <w:iCs/>
                <w:noProof/>
                <w:sz w:val="20"/>
              </w:rPr>
              <w:t>o</w:t>
            </w:r>
            <w:r w:rsidRPr="009B03EF">
              <w:rPr>
                <w:rFonts w:eastAsia="Times New Roman"/>
                <w:iCs/>
                <w:noProof/>
                <w:sz w:val="20"/>
              </w:rPr>
              <w:t xml:space="preserve"> stacij</w:t>
            </w:r>
            <w:r w:rsidR="00FC29FC">
              <w:rPr>
                <w:rFonts w:eastAsia="Times New Roman"/>
                <w:iCs/>
                <w:noProof/>
                <w:sz w:val="20"/>
              </w:rPr>
              <w:t>u</w:t>
            </w:r>
            <w:r w:rsidRPr="009B03EF">
              <w:rPr>
                <w:rFonts w:eastAsia="Times New Roman"/>
                <w:iCs/>
                <w:noProof/>
                <w:sz w:val="20"/>
              </w:rPr>
              <w:t xml:space="preserve"> būvniecību tiks pieņemt</w:t>
            </w:r>
            <w:r w:rsidR="00FC29FC">
              <w:rPr>
                <w:rFonts w:eastAsia="Times New Roman"/>
                <w:iCs/>
                <w:noProof/>
                <w:sz w:val="20"/>
              </w:rPr>
              <w:t>i</w:t>
            </w:r>
            <w:r w:rsidRPr="009B03EF">
              <w:rPr>
                <w:rFonts w:eastAsia="Times New Roman"/>
                <w:iCs/>
                <w:noProof/>
                <w:sz w:val="20"/>
              </w:rPr>
              <w:t>, kad būs zināma staciju atrašanās vieta un</w:t>
            </w:r>
            <w:r>
              <w:rPr>
                <w:rFonts w:eastAsia="Times New Roman"/>
                <w:iCs/>
                <w:noProof/>
                <w:sz w:val="20"/>
              </w:rPr>
              <w:t xml:space="preserve"> prioritāte, un šos būvdarbus nav plānots veikt no KF līdzekļiem.</w:t>
            </w:r>
            <w:r w:rsidR="00FC29FC">
              <w:t xml:space="preserve"> </w:t>
            </w:r>
            <w:r w:rsidR="00FC29FC" w:rsidRPr="00FC29FC">
              <w:rPr>
                <w:rFonts w:eastAsia="Times New Roman"/>
                <w:iCs/>
                <w:noProof/>
                <w:sz w:val="20"/>
              </w:rPr>
              <w:t>Reģionālo staciju izbūves jautājums tiks pārskatīts vidusposma izvērtējuma ietvaros</w:t>
            </w:r>
            <w:r w:rsidR="00FC29FC">
              <w:rPr>
                <w:rFonts w:eastAsia="Times New Roman"/>
                <w:iCs/>
                <w:noProof/>
                <w:sz w:val="20"/>
              </w:rPr>
              <w:t>.</w:t>
            </w:r>
          </w:p>
          <w:p w14:paraId="6B83F2E8" w14:textId="247DB1A9" w:rsidR="00081FE4" w:rsidRPr="00930237" w:rsidRDefault="00081FE4" w:rsidP="00DA560F">
            <w:pPr>
              <w:spacing w:before="0" w:after="0"/>
              <w:rPr>
                <w:rFonts w:eastAsia="Times New Roman"/>
                <w:iCs/>
                <w:noProof/>
                <w:sz w:val="20"/>
              </w:rPr>
            </w:pPr>
            <w:r w:rsidRPr="00930237">
              <w:rPr>
                <w:rFonts w:eastAsia="Times New Roman"/>
                <w:iCs/>
                <w:noProof/>
                <w:sz w:val="20"/>
              </w:rPr>
              <w:t>Autoceļu apakšnozarē būtiskākais izaicinājums ir uzlabot autoceļu kvalitāti un drošību. Iemesls joprojām lielajam negadījumu skaitam uz Latvijas autoceļiem ir mūsdienu satiksmes intensitātei un vajadzībām neatbilstoša</w:t>
            </w:r>
            <w:r>
              <w:rPr>
                <w:rFonts w:eastAsia="Times New Roman"/>
                <w:iCs/>
                <w:noProof/>
                <w:sz w:val="20"/>
              </w:rPr>
              <w:t xml:space="preserve"> autoceļu</w:t>
            </w:r>
            <w:r w:rsidRPr="00930237">
              <w:rPr>
                <w:rFonts w:eastAsia="Times New Roman"/>
                <w:iCs/>
                <w:noProof/>
                <w:sz w:val="20"/>
              </w:rPr>
              <w:t xml:space="preserve"> kapacitāte. Pēdējo gadu laikā valsts galveno autoceļu tehniskais stāvoklis ir uzlabojies, tomēr 95% no tiem ir ar vienu brauktuvi</w:t>
            </w:r>
            <w:r>
              <w:rPr>
                <w:rFonts w:eastAsia="Times New Roman"/>
                <w:iCs/>
                <w:noProof/>
                <w:sz w:val="20"/>
              </w:rPr>
              <w:t xml:space="preserve">, kuru, dalot ar </w:t>
            </w:r>
            <w:r w:rsidRPr="00930237">
              <w:rPr>
                <w:rFonts w:eastAsia="Times New Roman"/>
                <w:iCs/>
                <w:noProof/>
                <w:sz w:val="20"/>
              </w:rPr>
              <w:t>tranzīta satiksmes plūsm</w:t>
            </w:r>
            <w:r>
              <w:rPr>
                <w:rFonts w:eastAsia="Times New Roman"/>
                <w:iCs/>
                <w:noProof/>
                <w:sz w:val="20"/>
              </w:rPr>
              <w:t>u,</w:t>
            </w:r>
            <w:r w:rsidRPr="00930237">
              <w:rPr>
                <w:rFonts w:eastAsia="Times New Roman"/>
                <w:iCs/>
                <w:noProof/>
                <w:sz w:val="20"/>
              </w:rPr>
              <w:t xml:space="preserve"> tie </w:t>
            </w:r>
            <w:r w:rsidR="00FC29FC">
              <w:rPr>
                <w:rFonts w:eastAsia="Times New Roman"/>
                <w:iCs/>
                <w:noProof/>
                <w:sz w:val="20"/>
              </w:rPr>
              <w:t>vairs</w:t>
            </w:r>
            <w:r w:rsidR="00FC29FC" w:rsidRPr="00930237">
              <w:rPr>
                <w:rFonts w:eastAsia="Times New Roman"/>
                <w:iCs/>
                <w:noProof/>
                <w:sz w:val="20"/>
              </w:rPr>
              <w:t xml:space="preserve"> </w:t>
            </w:r>
            <w:r w:rsidRPr="00930237">
              <w:rPr>
                <w:rFonts w:eastAsia="Times New Roman"/>
                <w:iCs/>
                <w:noProof/>
                <w:sz w:val="20"/>
              </w:rPr>
              <w:t>neatbilst ekonomiskas, drošas, komfortablas un videi draudzīgas satiksmes vajadzībām</w:t>
            </w:r>
            <w:r w:rsidRPr="00930237">
              <w:rPr>
                <w:rStyle w:val="FootnoteReference"/>
                <w:rFonts w:eastAsia="Times New Roman"/>
                <w:iCs/>
                <w:noProof/>
                <w:sz w:val="20"/>
              </w:rPr>
              <w:footnoteReference w:id="79"/>
            </w:r>
            <w:r w:rsidRPr="00930237">
              <w:rPr>
                <w:rFonts w:eastAsia="Times New Roman"/>
                <w:iCs/>
                <w:noProof/>
                <w:sz w:val="20"/>
              </w:rPr>
              <w:t>. Tehniskajiem parametriem neatbilstoši ceļi katru gadu tautsaimniecībai nodara apjomīgus zaudējumus – pieaug autotransporta ekspluatācijas izmaksas, brauciena ilgums, degvielas patēriņš un tiek radīts kaitērjums CO</w:t>
            </w:r>
            <w:r w:rsidRPr="00930237">
              <w:rPr>
                <w:rFonts w:eastAsia="Times New Roman"/>
                <w:iCs/>
                <w:noProof/>
                <w:sz w:val="20"/>
                <w:vertAlign w:val="subscript"/>
              </w:rPr>
              <w:t>2</w:t>
            </w:r>
            <w:r w:rsidRPr="00930237">
              <w:rPr>
                <w:rFonts w:eastAsia="Times New Roman"/>
                <w:iCs/>
                <w:noProof/>
                <w:sz w:val="20"/>
              </w:rPr>
              <w:t xml:space="preserve"> </w:t>
            </w:r>
            <w:r>
              <w:rPr>
                <w:rFonts w:eastAsia="Times New Roman"/>
                <w:iCs/>
                <w:noProof/>
                <w:sz w:val="20"/>
              </w:rPr>
              <w:t>emisiju</w:t>
            </w:r>
            <w:r w:rsidRPr="00930237">
              <w:rPr>
                <w:rFonts w:eastAsia="Times New Roman"/>
                <w:iCs/>
                <w:noProof/>
                <w:sz w:val="20"/>
              </w:rPr>
              <w:t xml:space="preserve"> koncenrācijas veidā. </w:t>
            </w:r>
          </w:p>
          <w:p w14:paraId="400A99BB" w14:textId="214A60A3" w:rsidR="00081FE4" w:rsidRDefault="00081FE4" w:rsidP="00DA560F">
            <w:pPr>
              <w:spacing w:before="0" w:after="0"/>
              <w:rPr>
                <w:rFonts w:eastAsia="Times New Roman"/>
                <w:iCs/>
                <w:noProof/>
                <w:sz w:val="20"/>
              </w:rPr>
            </w:pPr>
            <w:r w:rsidRPr="00930237">
              <w:rPr>
                <w:rFonts w:eastAsia="Times New Roman"/>
                <w:iCs/>
                <w:noProof/>
                <w:sz w:val="20"/>
              </w:rPr>
              <w:t>Stratēģijā “Latvija 2030”</w:t>
            </w:r>
            <w:r w:rsidRPr="00930237">
              <w:rPr>
                <w:rStyle w:val="FootnoteReference"/>
                <w:rFonts w:eastAsia="Times New Roman"/>
                <w:iCs/>
                <w:noProof/>
                <w:sz w:val="20"/>
              </w:rPr>
              <w:footnoteReference w:id="80"/>
            </w:r>
            <w:r w:rsidRPr="00930237">
              <w:rPr>
                <w:rFonts w:eastAsia="Times New Roman"/>
                <w:iCs/>
                <w:noProof/>
                <w:sz w:val="20"/>
              </w:rPr>
              <w:t xml:space="preserve"> kā viena no nacionālo interešu telpām ir definēta Rīgas metropoles areāla teritorija</w:t>
            </w:r>
            <w:r>
              <w:rPr>
                <w:rFonts w:eastAsia="Times New Roman"/>
                <w:iCs/>
                <w:noProof/>
                <w:sz w:val="20"/>
              </w:rPr>
              <w:t xml:space="preserve">, kur </w:t>
            </w:r>
            <w:r w:rsidRPr="00930237">
              <w:rPr>
                <w:rFonts w:eastAsia="Times New Roman"/>
                <w:iCs/>
                <w:noProof/>
                <w:sz w:val="20"/>
              </w:rPr>
              <w:t>tieši transport</w:t>
            </w:r>
            <w:r w:rsidR="00FC29FC">
              <w:rPr>
                <w:rFonts w:eastAsia="Times New Roman"/>
                <w:iCs/>
                <w:noProof/>
                <w:sz w:val="20"/>
              </w:rPr>
              <w:t>a infrastruktūra</w:t>
            </w:r>
            <w:r w:rsidRPr="00930237">
              <w:rPr>
                <w:rFonts w:eastAsia="Times New Roman"/>
                <w:iCs/>
                <w:noProof/>
                <w:sz w:val="20"/>
              </w:rPr>
              <w:t xml:space="preserve"> rada priekšnosacījumus metropoles areāla funkciju pilnvērtīgai nodrošināšanai. </w:t>
            </w:r>
            <w:r w:rsidR="00FC29FC" w:rsidRPr="00FC29FC">
              <w:rPr>
                <w:rFonts w:eastAsia="Times New Roman"/>
                <w:iCs/>
                <w:noProof/>
                <w:sz w:val="20"/>
              </w:rPr>
              <w:t>Finansēšanai no Atveseļošanas un noturības mehānisma ir pieteikta reforma Rīgas metropoles areāla transporta zaļināšanai, tādējādi nodrošinot papildinātību ar Darbības programmā paredzētajām investīcijām.</w:t>
            </w:r>
            <w:r w:rsidR="00FC29FC">
              <w:rPr>
                <w:rFonts w:eastAsia="Times New Roman"/>
                <w:iCs/>
                <w:noProof/>
                <w:sz w:val="20"/>
              </w:rPr>
              <w:t xml:space="preserve"> L</w:t>
            </w:r>
            <w:r w:rsidRPr="00930237">
              <w:rPr>
                <w:rFonts w:eastAsia="Times New Roman"/>
                <w:iCs/>
                <w:noProof/>
                <w:sz w:val="20"/>
              </w:rPr>
              <w:t>ai nodrošinātu starptautisko savienojamību un iekļaušanos TEN-T tīklā, ir jāturpina nacionālo nozīmes centru transporta infrastruktūras attīstība.</w:t>
            </w:r>
          </w:p>
          <w:p w14:paraId="7A896BF1" w14:textId="5CAE6F99" w:rsidR="00FC29FC" w:rsidRPr="00930237" w:rsidRDefault="00FC29FC" w:rsidP="00DA560F">
            <w:pPr>
              <w:spacing w:before="0" w:after="0"/>
              <w:rPr>
                <w:rFonts w:eastAsia="Times New Roman"/>
                <w:iCs/>
                <w:noProof/>
                <w:sz w:val="20"/>
              </w:rPr>
            </w:pPr>
            <w:r w:rsidRPr="00FC29FC">
              <w:rPr>
                <w:rFonts w:eastAsia="Times New Roman"/>
                <w:iCs/>
                <w:noProof/>
                <w:sz w:val="20"/>
              </w:rPr>
              <w:t>Ņemot vērā minēto un lai sekmētu nacionāla līmeņa plānošanas dokumentā – Transporta attīstības pamatnostādnēs 2021.-2027.gadam – noteikto politikas rezultātu: samazināts transporta radītais gaisa piesārņojums, SEG emisijas un uzlabota vides kvalitāte un uzlabotas mobilitātes iespējas, 3.1.1.SAM ietvaros paredzēts pārbūvēt valsts galvenos autoceļus TEN-T tīklā, uzlabojot ceļu satiksmes drošību, izbūvēt jaunus valsts galveno autoceļu posmus, modernizēt Eiropas transporta tīklā esošo dzelzceļa infrastruktūru un izveidot jaunu, modernizēt dzelzceļa pasažieru infrastruktūru, izbūvēt / pārbūvēt / atjaunot Rīgas pilsētas transporta infrastruktūru, nodrošinot integrētas transporta sistēmas veidošanu, uzlabojot transporta infrastruktūras tehniskos parametrus un satiksmes drošību, kā arī attīstīt nacionālās nozīmes centru maģistrālās ielas un esošos maršrutus, kas nodrošina atsevišķu pilsētu daļu efektīvu savstarpējo sasaisti un sasaisti ar TEN-T tīklu, izbūvēt / pārbūvēt / modernizēt alternatīvus kravas ceļus.</w:t>
            </w:r>
          </w:p>
          <w:p w14:paraId="71B860B0" w14:textId="77777777" w:rsidR="00081FE4" w:rsidRDefault="00081FE4" w:rsidP="00DA560F">
            <w:pPr>
              <w:spacing w:before="0" w:after="0"/>
              <w:rPr>
                <w:rFonts w:eastAsia="Times New Roman"/>
                <w:iCs/>
                <w:noProof/>
                <w:sz w:val="20"/>
              </w:rPr>
            </w:pPr>
            <w:r w:rsidRPr="00930237">
              <w:rPr>
                <w:rFonts w:eastAsia="Times New Roman"/>
                <w:iCs/>
                <w:noProof/>
                <w:sz w:val="20"/>
              </w:rPr>
              <w:t>Ieguldījumi muitas kontroles punktos ļaus samazināt pārrobežu caurlaidspējas nepietiekamību, uzlabos infrastruktūru un vienkāršos pārrobežu transporta operācijas gan uzņēmumiem, gan pasažieriem, sekmējot Eiropas transporta tīkla (TEN-T) izveides pamatnostādņu īstenošanu. Samazinot robežšķērsošanai nepieciešamo laiku, tiks samazināts CO</w:t>
            </w:r>
            <w:r w:rsidRPr="00CD3901">
              <w:rPr>
                <w:rFonts w:eastAsia="Times New Roman"/>
                <w:iCs/>
                <w:noProof/>
                <w:sz w:val="20"/>
                <w:vertAlign w:val="subscript"/>
              </w:rPr>
              <w:t>2</w:t>
            </w:r>
            <w:r w:rsidRPr="00930237">
              <w:rPr>
                <w:rFonts w:eastAsia="Times New Roman"/>
                <w:iCs/>
                <w:noProof/>
                <w:sz w:val="20"/>
              </w:rPr>
              <w:t xml:space="preserve"> </w:t>
            </w:r>
            <w:r>
              <w:rPr>
                <w:rFonts w:eastAsia="Times New Roman"/>
                <w:iCs/>
                <w:noProof/>
                <w:sz w:val="20"/>
              </w:rPr>
              <w:t>emisiju</w:t>
            </w:r>
            <w:r w:rsidRPr="00930237">
              <w:rPr>
                <w:rFonts w:eastAsia="Times New Roman"/>
                <w:iCs/>
                <w:noProof/>
                <w:sz w:val="20"/>
              </w:rPr>
              <w:t xml:space="preserve"> daudzums, kas ar fosilajiem degvielas veidiem darbināmam kravu transportam rodas ilgstošas dīkstāves laikā. </w:t>
            </w:r>
          </w:p>
          <w:p w14:paraId="3ACD37DE" w14:textId="2F51FA6F" w:rsidR="00081FE4" w:rsidRPr="00930237" w:rsidRDefault="00081FE4" w:rsidP="00DA560F">
            <w:pPr>
              <w:spacing w:before="0" w:after="0"/>
              <w:rPr>
                <w:rFonts w:eastAsia="Times New Roman"/>
                <w:iCs/>
                <w:noProof/>
                <w:sz w:val="20"/>
              </w:rPr>
            </w:pPr>
          </w:p>
        </w:tc>
      </w:tr>
      <w:tr w:rsidR="00081FE4" w:rsidRPr="00930237" w14:paraId="5A8ED4BE" w14:textId="77777777" w:rsidTr="000E58E3">
        <w:tc>
          <w:tcPr>
            <w:tcW w:w="556" w:type="pct"/>
            <w:vMerge/>
          </w:tcPr>
          <w:p w14:paraId="06917ECC" w14:textId="77777777" w:rsidR="00081FE4" w:rsidRPr="00930237" w:rsidRDefault="00081FE4" w:rsidP="00DA560F">
            <w:pPr>
              <w:spacing w:before="0" w:after="0"/>
              <w:rPr>
                <w:rFonts w:eastAsia="Times New Roman"/>
                <w:iCs/>
                <w:noProof/>
                <w:sz w:val="20"/>
              </w:rPr>
            </w:pPr>
          </w:p>
        </w:tc>
        <w:tc>
          <w:tcPr>
            <w:tcW w:w="759" w:type="pct"/>
          </w:tcPr>
          <w:p w14:paraId="16BA054B" w14:textId="3D7CD2CA" w:rsidR="00081FE4" w:rsidRPr="00930237" w:rsidRDefault="00081FE4" w:rsidP="00DA560F">
            <w:pPr>
              <w:spacing w:before="0" w:after="0"/>
              <w:rPr>
                <w:sz w:val="20"/>
              </w:rPr>
            </w:pPr>
          </w:p>
        </w:tc>
        <w:tc>
          <w:tcPr>
            <w:tcW w:w="3685" w:type="pct"/>
            <w:vMerge/>
          </w:tcPr>
          <w:p w14:paraId="2919B704" w14:textId="052E0FE8" w:rsidR="00081FE4" w:rsidRPr="00930237" w:rsidRDefault="00081FE4" w:rsidP="00DA560F">
            <w:pPr>
              <w:spacing w:before="0" w:after="0"/>
              <w:rPr>
                <w:rFonts w:eastAsia="Times New Roman"/>
                <w:iCs/>
                <w:noProof/>
                <w:sz w:val="20"/>
              </w:rPr>
            </w:pPr>
          </w:p>
        </w:tc>
      </w:tr>
      <w:tr w:rsidR="00DA560F" w:rsidRPr="00930237" w14:paraId="43B848E6" w14:textId="77777777" w:rsidTr="000E58E3">
        <w:tc>
          <w:tcPr>
            <w:tcW w:w="556" w:type="pct"/>
            <w:vMerge/>
          </w:tcPr>
          <w:p w14:paraId="34845105" w14:textId="77777777" w:rsidR="00DA560F" w:rsidRPr="00930237" w:rsidRDefault="00DA560F" w:rsidP="00DA560F">
            <w:pPr>
              <w:spacing w:before="0" w:after="0"/>
              <w:rPr>
                <w:rFonts w:eastAsia="Times New Roman"/>
                <w:iCs/>
                <w:noProof/>
                <w:sz w:val="20"/>
              </w:rPr>
            </w:pPr>
          </w:p>
        </w:tc>
        <w:tc>
          <w:tcPr>
            <w:tcW w:w="759" w:type="pct"/>
          </w:tcPr>
          <w:p w14:paraId="5324F80B" w14:textId="3E42D98A" w:rsidR="00DA560F" w:rsidRPr="00930237" w:rsidRDefault="00DA560F" w:rsidP="00DA560F">
            <w:pPr>
              <w:spacing w:before="0" w:after="0"/>
              <w:rPr>
                <w:sz w:val="20"/>
              </w:rPr>
            </w:pPr>
            <w:r w:rsidRPr="00930237">
              <w:rPr>
                <w:sz w:val="20"/>
              </w:rPr>
              <w:t>3.</w:t>
            </w:r>
            <w:r>
              <w:rPr>
                <w:sz w:val="20"/>
              </w:rPr>
              <w:t>1</w:t>
            </w:r>
            <w:r w:rsidRPr="00930237">
              <w:rPr>
                <w:sz w:val="20"/>
              </w:rPr>
              <w:t xml:space="preserve">.2.SAM </w:t>
            </w:r>
          </w:p>
          <w:p w14:paraId="4C4CA5EC" w14:textId="13BD117A" w:rsidR="00DA560F" w:rsidRPr="00930237" w:rsidRDefault="00DA560F" w:rsidP="00DA560F">
            <w:pPr>
              <w:spacing w:before="0" w:after="0"/>
              <w:rPr>
                <w:sz w:val="20"/>
              </w:rPr>
            </w:pPr>
            <w:r w:rsidRPr="00930237">
              <w:rPr>
                <w:sz w:val="20"/>
              </w:rPr>
              <w:t>Attīstīt un uzlabot ilgtspējīgu, klimatnoturīgu, inteliģentu un intermodālu mobilitāti nacionālā, reģionālā līmenī,</w:t>
            </w:r>
            <w:r>
              <w:rPr>
                <w:sz w:val="20"/>
              </w:rPr>
              <w:t xml:space="preserve"> ietverot uzlabotu piekļuvi     TEN-T</w:t>
            </w:r>
            <w:r w:rsidRPr="00930237">
              <w:rPr>
                <w:sz w:val="20"/>
              </w:rPr>
              <w:t xml:space="preserve"> un pārrobežu mobilitāti</w:t>
            </w:r>
          </w:p>
        </w:tc>
        <w:tc>
          <w:tcPr>
            <w:tcW w:w="3685" w:type="pct"/>
          </w:tcPr>
          <w:p w14:paraId="4D2B51CC" w14:textId="77777777" w:rsidR="00AA4FFA" w:rsidRPr="00AA4FFA" w:rsidRDefault="00DA560F" w:rsidP="00AA4FFA">
            <w:pPr>
              <w:spacing w:before="0" w:after="0"/>
              <w:rPr>
                <w:rFonts w:eastAsia="Times New Roman"/>
                <w:iCs/>
                <w:noProof/>
                <w:sz w:val="20"/>
              </w:rPr>
            </w:pPr>
            <w:r w:rsidRPr="00930237">
              <w:rPr>
                <w:rFonts w:eastAsia="Times New Roman"/>
                <w:iCs/>
                <w:noProof/>
                <w:sz w:val="20"/>
              </w:rPr>
              <w:t>RPP kā vienu no uzdevumiem izvirza reģionālās sasniedzamības nodrošināšanu, kas jārisina izstrādājot un ieviešot TAP2027. TAP2027 uzdevumi paredz būvdarbus uz valsts reģionāliem autoceļiem, kā arī reģionālās nozīmes centru savienošanu ar TEN-T tīklu, kas reģionu iedzīvotājiem nodrošinās mobilitātes iespējas attīstības centru sasniegšanai. 3.</w:t>
            </w:r>
            <w:r w:rsidR="00FC29FC">
              <w:rPr>
                <w:rFonts w:eastAsia="Times New Roman"/>
                <w:iCs/>
                <w:noProof/>
                <w:sz w:val="20"/>
              </w:rPr>
              <w:t>1</w:t>
            </w:r>
            <w:r w:rsidRPr="00930237">
              <w:rPr>
                <w:rFonts w:eastAsia="Times New Roman"/>
                <w:iCs/>
                <w:noProof/>
                <w:sz w:val="20"/>
              </w:rPr>
              <w:t>.2.</w:t>
            </w:r>
            <w:r w:rsidRPr="00930237">
              <w:rPr>
                <w:sz w:val="20"/>
              </w:rPr>
              <w:t>SAM ietvaros paredzētie pasākumi attīstīs mobilitāti,</w:t>
            </w:r>
            <w:r w:rsidRPr="00930237">
              <w:rPr>
                <w:rFonts w:eastAsiaTheme="minorHAnsi"/>
                <w:sz w:val="20"/>
              </w:rPr>
              <w:t xml:space="preserve"> uzlabojot </w:t>
            </w:r>
            <w:r w:rsidRPr="00930237">
              <w:rPr>
                <w:sz w:val="20"/>
              </w:rPr>
              <w:t xml:space="preserve">reģionālās nozīmes centru transporta infrastruktūru piekļuvei TEN-T un reģionālo autoceļu kvalitāti. </w:t>
            </w:r>
          </w:p>
          <w:p w14:paraId="11EDE0E5" w14:textId="77777777" w:rsidR="00AA4FFA" w:rsidRPr="00AA4FFA" w:rsidRDefault="00AA4FFA" w:rsidP="00AA4FFA">
            <w:pPr>
              <w:spacing w:before="0" w:after="0"/>
              <w:rPr>
                <w:rFonts w:eastAsia="Times New Roman"/>
                <w:iCs/>
                <w:noProof/>
                <w:sz w:val="20"/>
              </w:rPr>
            </w:pPr>
            <w:r w:rsidRPr="00AA4FFA">
              <w:rPr>
                <w:rFonts w:eastAsia="Times New Roman"/>
                <w:iCs/>
                <w:noProof/>
                <w:sz w:val="20"/>
              </w:rPr>
              <w:t xml:space="preserve">TAP2027 koncentrējas uz sasniedzamības un mobilitātes iespēju uzlabošanu visiem Latvijas iedzīvotājiem, neatkarīgi no to dzīvesvietas, materiālā vai veselības stāvokļa. </w:t>
            </w:r>
            <w:bookmarkStart w:id="16" w:name="_Hlk48747454"/>
            <w:r w:rsidRPr="00AA4FFA">
              <w:rPr>
                <w:rFonts w:eastAsia="Times New Roman"/>
                <w:iCs/>
                <w:noProof/>
                <w:sz w:val="20"/>
              </w:rPr>
              <w:t xml:space="preserve">Teritoriālās sasniedzamības uzlabošana tiek paredzēta veicot ieguldījumus autoceļu kvalitātes paaugstināšanā, par pamatu izvirzot drošu pārvietošanos. </w:t>
            </w:r>
            <w:bookmarkEnd w:id="16"/>
          </w:p>
          <w:p w14:paraId="6DD9663D" w14:textId="77777777" w:rsidR="00AA4FFA" w:rsidRPr="00052395" w:rsidRDefault="00AA4FFA" w:rsidP="00AA4FFA">
            <w:pPr>
              <w:spacing w:before="0" w:after="0"/>
              <w:rPr>
                <w:rFonts w:eastAsia="Times New Roman"/>
                <w:iCs/>
                <w:noProof/>
                <w:sz w:val="20"/>
              </w:rPr>
            </w:pPr>
            <w:r w:rsidRPr="00052395">
              <w:rPr>
                <w:rFonts w:eastAsia="Times New Roman"/>
                <w:iCs/>
                <w:noProof/>
                <w:sz w:val="20"/>
              </w:rPr>
              <w:t>Ceļu tīkla attīstība ir svarīga prioritāte darba vietu un pakalpojumu sasniedzamībai administratīvi teritoriālās reformas kontekstā. Aktivitāte, kas paredz valsts reģionālo un valsts vietējo autoceļu pārbūvi un atjaunošanu ATR kontekstā, iekļauta Reģionālās politikas pamatnostādnēs 2021.-2027. gadam un arī TAP2027.</w:t>
            </w:r>
          </w:p>
          <w:p w14:paraId="48342314" w14:textId="77777777" w:rsidR="00AA4FFA" w:rsidRPr="00AA4FFA" w:rsidRDefault="00AA4FFA" w:rsidP="00AA4FFA">
            <w:pPr>
              <w:spacing w:before="0" w:after="0"/>
              <w:rPr>
                <w:rFonts w:eastAsia="Times New Roman"/>
                <w:iCs/>
                <w:noProof/>
                <w:sz w:val="20"/>
              </w:rPr>
            </w:pPr>
            <w:r w:rsidRPr="00AA4FFA">
              <w:rPr>
                <w:rFonts w:eastAsia="Times New Roman"/>
                <w:iCs/>
                <w:noProof/>
                <w:sz w:val="20"/>
              </w:rPr>
              <w:t>Ir uzsākts darbs pie Latvijas valsts ceļu attīstības stratēģijas 2020-2040, kas paredz veidot ātrgaitas valsts ceļu "mugurkaulu" starp lielākajām Latvijas pilsētām un arī attīstīt reģionālo autoceļu tīklu. Stratēģijas mērķis ir panākt lai Rīgas apvedceļš no jebkuras vietas Latvijā ir sasniedzams ne ilgāk kā divu stundu laikā, savukārt Rīgas aglomerācijā apvedceļu varētu sasniegt pusstundas laikā.</w:t>
            </w:r>
          </w:p>
          <w:p w14:paraId="3386261A" w14:textId="1C289CB6" w:rsidR="00DA560F" w:rsidRPr="00930237" w:rsidRDefault="00AA4FFA" w:rsidP="00AA4FFA">
            <w:pPr>
              <w:spacing w:before="0" w:after="0"/>
              <w:rPr>
                <w:rFonts w:eastAsia="Times New Roman"/>
                <w:iCs/>
                <w:noProof/>
                <w:sz w:val="20"/>
              </w:rPr>
            </w:pPr>
            <w:r w:rsidRPr="00052395">
              <w:rPr>
                <w:rFonts w:eastAsia="Times New Roman"/>
                <w:iCs/>
                <w:noProof/>
                <w:sz w:val="20"/>
              </w:rPr>
              <w:t xml:space="preserve"> </w:t>
            </w:r>
            <w:r w:rsidRPr="00AA4FFA">
              <w:rPr>
                <w:rFonts w:eastAsia="Times New Roman"/>
                <w:iCs/>
                <w:noProof/>
                <w:sz w:val="20"/>
              </w:rPr>
              <w:t>Efektīvas investīcijas transporta infrastruktūrā reģionos, ne tikai nodrošinās ērtu un drošu sasaisti ar TEN-T, bet arī samazinās sastrēgumus un piesārņojumu.</w:t>
            </w:r>
          </w:p>
          <w:p w14:paraId="37B6B5F2" w14:textId="33207DC1" w:rsidR="00DA560F" w:rsidRDefault="00DA560F" w:rsidP="00DA560F">
            <w:pPr>
              <w:spacing w:before="0" w:after="0"/>
              <w:rPr>
                <w:rFonts w:eastAsia="Times New Roman"/>
                <w:iCs/>
                <w:noProof/>
                <w:sz w:val="20"/>
              </w:rPr>
            </w:pPr>
            <w:r w:rsidRPr="00930237">
              <w:rPr>
                <w:rFonts w:eastAsia="Times New Roman"/>
                <w:iCs/>
                <w:noProof/>
                <w:sz w:val="20"/>
              </w:rPr>
              <w:t>Ir jāturpina ostu publiskās infrastruktūras attīstība, tādējādi sekmējot TEN-T koridora drošu sasniedzamību, videi draudzīgu un efektīvu izmantošanu. Investīcijas ostās tiek rūpīgi izvērtētas, nodrošinot, ka</w:t>
            </w:r>
            <w:r w:rsidRPr="00BA3728">
              <w:rPr>
                <w:rFonts w:eastAsia="Times New Roman"/>
                <w:iCs/>
                <w:noProof/>
                <w:sz w:val="20"/>
              </w:rPr>
              <w:t xml:space="preserve"> tiek atbalstītas investīcijas publiskas infrastruktūras attīstībā, kas ir vitāli svarīgas ostas darbības nodrošināšanai</w:t>
            </w:r>
            <w:r>
              <w:rPr>
                <w:rFonts w:eastAsia="Times New Roman"/>
                <w:iCs/>
                <w:noProof/>
                <w:sz w:val="20"/>
              </w:rPr>
              <w:t xml:space="preserve"> (</w:t>
            </w:r>
            <w:r w:rsidRPr="00930237">
              <w:rPr>
                <w:rFonts w:eastAsia="Times New Roman"/>
                <w:iCs/>
                <w:noProof/>
                <w:sz w:val="20"/>
              </w:rPr>
              <w:t>investīcijas komercdarbības attīstībai netiek atbalstītas</w:t>
            </w:r>
            <w:r>
              <w:rPr>
                <w:rFonts w:eastAsia="Times New Roman"/>
                <w:iCs/>
                <w:noProof/>
                <w:sz w:val="20"/>
              </w:rPr>
              <w:t>)</w:t>
            </w:r>
            <w:r w:rsidRPr="00930237">
              <w:rPr>
                <w:rFonts w:eastAsia="Times New Roman"/>
                <w:iCs/>
                <w:noProof/>
                <w:sz w:val="20"/>
              </w:rPr>
              <w:t xml:space="preserve">. Atbilstoši Ziemeļjūras – Baltijas pamattīkla koridora 4.darba plānam ostas ir daudzu pilsētu neatņemama pilsētvides daļa un efektīvi ostu savienojumi ar iekšzemi, jo īpaši pa dzelzceļu, ir galvenā Ziemeļjūras – Baltijas pamattīkla koridora prioritāte. Lai mazinātu ostu ietekmi uz pilsētvidi, klimatu un uzlabotu ostu drošību un drošumu, Latvijas ostu infrastruktūra ir jāpilnveido, </w:t>
            </w:r>
            <w:r w:rsidRPr="00BF015F">
              <w:rPr>
                <w:rFonts w:eastAsia="Times New Roman"/>
                <w:iCs/>
                <w:noProof/>
                <w:sz w:val="20"/>
              </w:rPr>
              <w:t xml:space="preserve">risinot </w:t>
            </w:r>
            <w:r>
              <w:rPr>
                <w:rFonts w:eastAsia="Times New Roman"/>
                <w:iCs/>
                <w:noProof/>
                <w:sz w:val="20"/>
              </w:rPr>
              <w:t xml:space="preserve">jautājumu par </w:t>
            </w:r>
            <w:r w:rsidRPr="00BF015F">
              <w:rPr>
                <w:rFonts w:eastAsia="Times New Roman"/>
                <w:iCs/>
                <w:noProof/>
                <w:sz w:val="20"/>
              </w:rPr>
              <w:t>alternatīvo degvielu pieejamību ostās, elektrotīkla pieslēgumus pie piestātnēm, kā arī modernizējot hidrotehniskās būves</w:t>
            </w:r>
            <w:r>
              <w:rPr>
                <w:rFonts w:eastAsia="Times New Roman"/>
                <w:iCs/>
                <w:noProof/>
                <w:sz w:val="20"/>
              </w:rPr>
              <w:t>.</w:t>
            </w:r>
            <w:r w:rsidRPr="00930237">
              <w:rPr>
                <w:rFonts w:eastAsia="Times New Roman"/>
                <w:iCs/>
                <w:noProof/>
                <w:sz w:val="20"/>
              </w:rPr>
              <w:t xml:space="preserve"> Atbilstoši Jūras maģistrāļu detalizētajam ieviešanas plānam</w:t>
            </w:r>
            <w:r w:rsidRPr="00930237">
              <w:rPr>
                <w:rFonts w:eastAsia="Times New Roman"/>
                <w:iCs/>
                <w:noProof/>
                <w:sz w:val="20"/>
                <w:vertAlign w:val="superscript"/>
              </w:rPr>
              <w:footnoteReference w:id="81"/>
            </w:r>
            <w:r w:rsidRPr="00930237">
              <w:rPr>
                <w:rFonts w:eastAsia="Times New Roman"/>
                <w:iCs/>
                <w:noProof/>
                <w:sz w:val="20"/>
              </w:rPr>
              <w:t xml:space="preserve"> jūras nozarei kā tirdzniecības veicinātājai strauji mainīgajā pasaulē ir jānodrošina, lai tā savlaicīgi ieviestu jaunākās tehnoloģijas, </w:t>
            </w:r>
            <w:r>
              <w:rPr>
                <w:rFonts w:eastAsia="Times New Roman"/>
                <w:iCs/>
                <w:noProof/>
                <w:sz w:val="20"/>
              </w:rPr>
              <w:t>tādējādi saglabājot</w:t>
            </w:r>
            <w:r w:rsidRPr="00930237">
              <w:rPr>
                <w:rFonts w:eastAsia="Times New Roman"/>
                <w:iCs/>
                <w:noProof/>
                <w:sz w:val="20"/>
              </w:rPr>
              <w:t xml:space="preserve"> konkurētspēju un pievilcību uzņēmumiem un pasažieriem. </w:t>
            </w:r>
            <w:r>
              <w:rPr>
                <w:rFonts w:eastAsia="Times New Roman"/>
                <w:iCs/>
                <w:noProof/>
                <w:sz w:val="20"/>
              </w:rPr>
              <w:t>Digitalizācijas nepieciešamība</w:t>
            </w:r>
            <w:r w:rsidRPr="00930237">
              <w:rPr>
                <w:rFonts w:eastAsia="Times New Roman"/>
                <w:iCs/>
                <w:noProof/>
                <w:sz w:val="20"/>
              </w:rPr>
              <w:t xml:space="preserve"> </w:t>
            </w:r>
            <w:r>
              <w:rPr>
                <w:rFonts w:eastAsia="Times New Roman"/>
                <w:iCs/>
                <w:noProof/>
                <w:sz w:val="20"/>
              </w:rPr>
              <w:t>uzsvērta</w:t>
            </w:r>
            <w:r w:rsidRPr="00930237">
              <w:rPr>
                <w:rFonts w:eastAsia="Times New Roman"/>
                <w:iCs/>
                <w:noProof/>
                <w:sz w:val="20"/>
              </w:rPr>
              <w:t xml:space="preserve"> arī ES ilgtermiņa stratēģijā “Zilā izaugsme”</w:t>
            </w:r>
            <w:r w:rsidRPr="00930237">
              <w:rPr>
                <w:rFonts w:eastAsia="Times New Roman"/>
                <w:iCs/>
                <w:noProof/>
                <w:sz w:val="20"/>
                <w:vertAlign w:val="superscript"/>
              </w:rPr>
              <w:footnoteReference w:id="82"/>
            </w:r>
            <w:r w:rsidRPr="00930237">
              <w:rPr>
                <w:rFonts w:eastAsia="Times New Roman"/>
                <w:iCs/>
                <w:noProof/>
                <w:sz w:val="20"/>
              </w:rPr>
              <w:t>, kuras mērķis ir panākt gudru, ilgtspējīgu un iekļaujošu izaugsmi.</w:t>
            </w:r>
          </w:p>
          <w:p w14:paraId="56828519" w14:textId="0085321A" w:rsidR="00FC29FC" w:rsidRPr="00FC29FC" w:rsidRDefault="00FC29FC" w:rsidP="00FC29FC">
            <w:pPr>
              <w:spacing w:before="0" w:after="0"/>
              <w:rPr>
                <w:rFonts w:eastAsia="Times New Roman"/>
                <w:iCs/>
                <w:noProof/>
                <w:sz w:val="20"/>
              </w:rPr>
            </w:pPr>
            <w:r w:rsidRPr="00FC29FC">
              <w:rPr>
                <w:rFonts w:eastAsia="Times New Roman"/>
                <w:iCs/>
                <w:noProof/>
                <w:sz w:val="20"/>
              </w:rPr>
              <w:t>Ņemot vērā minēto un lai sekmētu nacionāla līmeņa plānošanas dokumentā – Transporta attīstības pamatnostādnēs 2021.-2027.gadam – uzlabotas mobilitātes iespējas un nodrošināta konkurētspējīga transporta un loģistikas infrastruktūra un pakalpojumi, 3.1.2.SAM ietvaros paredzēts pārbūvēt reģionālos autoceļus, kas savieno starptautiskas, nacionālas un reģionālas nozīmes attīstības centrus ar TEN-T autoceļu tīklu, attīstīt reģionālās nozīmes centru maģistrālās ielas un esošos maršrutus, kas nodrošina atsevišķu pilsētu daļu efektīvu savstarpējo sasaisti un sasaisti ar TEN-T tīklu, attīstīt lielo ostu publisko infrastruktūru, t</w:t>
            </w:r>
            <w:r w:rsidR="00AC3040">
              <w:rPr>
                <w:rFonts w:eastAsia="Times New Roman"/>
                <w:iCs/>
                <w:noProof/>
                <w:sz w:val="20"/>
              </w:rPr>
              <w:t>.sk.</w:t>
            </w:r>
            <w:r w:rsidRPr="00FC29FC">
              <w:rPr>
                <w:rFonts w:eastAsia="Times New Roman"/>
                <w:iCs/>
                <w:noProof/>
                <w:sz w:val="20"/>
              </w:rPr>
              <w:t>, attīstīt videi draudzīgas ostas infrastruktūru.</w:t>
            </w:r>
          </w:p>
          <w:p w14:paraId="112BE811" w14:textId="6838EC51" w:rsidR="00FC29FC" w:rsidRDefault="00FC29FC" w:rsidP="00FC29FC">
            <w:pPr>
              <w:spacing w:before="0" w:after="0"/>
              <w:rPr>
                <w:rFonts w:eastAsia="Times New Roman"/>
                <w:iCs/>
                <w:noProof/>
                <w:sz w:val="20"/>
              </w:rPr>
            </w:pPr>
            <w:r w:rsidRPr="00FC29FC">
              <w:rPr>
                <w:rFonts w:eastAsia="Times New Roman"/>
                <w:iCs/>
                <w:noProof/>
                <w:sz w:val="20"/>
              </w:rPr>
              <w:t>Darbības programmas ietvaros plānotās investīcijas valsts reģionālo autoceļu pābūvē tiks papildinātas ar ieguldījumiem no valsts budžeta un Atveseļošanas un noturības mehānisma finansējuma, veicot valsts reģionālās un vietējās nozīmes autoceļu pārbūvi un atjaunošanu administratīvi teritoriālās reformas īstenošanai, kas reģionu iedzīvotājiem nodrošinās mobilitātes iespējas attīstības centru sasniegšanai.</w:t>
            </w:r>
          </w:p>
          <w:p w14:paraId="3C708558" w14:textId="43611A32" w:rsidR="00DA560F" w:rsidRPr="00930237" w:rsidRDefault="00DA560F" w:rsidP="00052395">
            <w:pPr>
              <w:spacing w:before="0" w:after="0"/>
              <w:rPr>
                <w:rFonts w:eastAsia="Times New Roman"/>
                <w:iCs/>
                <w:noProof/>
                <w:sz w:val="20"/>
              </w:rPr>
            </w:pPr>
            <w:r w:rsidRPr="004E0BF1">
              <w:rPr>
                <w:rFonts w:eastAsia="Times New Roman"/>
                <w:iCs/>
                <w:noProof/>
                <w:sz w:val="20"/>
              </w:rPr>
              <w:t xml:space="preserve">Latvijas nacionālās intereses atbilst </w:t>
            </w:r>
            <w:r w:rsidRPr="005D56F4">
              <w:rPr>
                <w:rFonts w:eastAsia="Times New Roman"/>
                <w:iCs/>
                <w:noProof/>
                <w:sz w:val="20"/>
              </w:rPr>
              <w:t>ESSBJR</w:t>
            </w:r>
            <w:r w:rsidRPr="004E0BF1">
              <w:rPr>
                <w:rFonts w:eastAsia="Times New Roman"/>
                <w:iCs/>
                <w:noProof/>
                <w:sz w:val="20"/>
              </w:rPr>
              <w:t xml:space="preserve"> mērķiem vairākās jomās, t.sk. tīra un droša kuģošana, labi </w:t>
            </w:r>
            <w:r>
              <w:rPr>
                <w:rFonts w:eastAsia="Times New Roman"/>
                <w:iCs/>
                <w:noProof/>
                <w:sz w:val="20"/>
              </w:rPr>
              <w:t xml:space="preserve">satiksmes </w:t>
            </w:r>
            <w:r w:rsidRPr="004E0BF1">
              <w:rPr>
                <w:rFonts w:eastAsia="Times New Roman"/>
                <w:iCs/>
                <w:noProof/>
                <w:sz w:val="20"/>
              </w:rPr>
              <w:t>apstākļi utt.</w:t>
            </w:r>
          </w:p>
        </w:tc>
      </w:tr>
      <w:tr w:rsidR="00DA560F" w:rsidRPr="00930237" w14:paraId="677FAE6C" w14:textId="77777777" w:rsidTr="000E58E3">
        <w:tc>
          <w:tcPr>
            <w:tcW w:w="556" w:type="pct"/>
            <w:vMerge w:val="restart"/>
          </w:tcPr>
          <w:p w14:paraId="2816D92F" w14:textId="601D8E5B" w:rsidR="00DA560F" w:rsidRPr="00930237" w:rsidRDefault="00DA560F" w:rsidP="00DA560F">
            <w:pPr>
              <w:spacing w:before="0" w:after="0"/>
              <w:rPr>
                <w:rFonts w:eastAsia="Times New Roman"/>
                <w:iCs/>
                <w:noProof/>
                <w:sz w:val="20"/>
              </w:rPr>
            </w:pPr>
            <w:r w:rsidRPr="00930237">
              <w:rPr>
                <w:rFonts w:eastAsia="Times New Roman"/>
                <w:iCs/>
                <w:noProof/>
                <w:sz w:val="20"/>
              </w:rPr>
              <w:t xml:space="preserve">4. </w:t>
            </w:r>
            <w:r w:rsidR="007323C7" w:rsidRPr="0055161D">
              <w:rPr>
                <w:rFonts w:eastAsia="Times New Roman"/>
                <w:iCs/>
                <w:noProof/>
                <w:sz w:val="20"/>
              </w:rPr>
              <w:t xml:space="preserve">Sociālāka </w:t>
            </w:r>
            <w:r w:rsidR="007323C7">
              <w:rPr>
                <w:rFonts w:eastAsia="Times New Roman"/>
                <w:iCs/>
                <w:noProof/>
                <w:sz w:val="20"/>
              </w:rPr>
              <w:t xml:space="preserve">un iekļaujošāka </w:t>
            </w:r>
            <w:r w:rsidR="007323C7" w:rsidRPr="0055161D">
              <w:rPr>
                <w:rFonts w:eastAsia="Times New Roman"/>
                <w:iCs/>
                <w:noProof/>
                <w:sz w:val="20"/>
              </w:rPr>
              <w:t>Eiropa, īstenojot Eiropas sociālo tiesību pīlāru</w:t>
            </w:r>
            <w:r w:rsidR="007323C7" w:rsidRPr="00930237">
              <w:rPr>
                <w:rFonts w:eastAsia="Times New Roman"/>
                <w:iCs/>
                <w:noProof/>
                <w:sz w:val="20"/>
              </w:rPr>
              <w:t xml:space="preserve"> </w:t>
            </w:r>
          </w:p>
          <w:p w14:paraId="0F96A995" w14:textId="77777777" w:rsidR="00DA560F" w:rsidRPr="00930237" w:rsidRDefault="00DA560F" w:rsidP="00DA560F">
            <w:pPr>
              <w:spacing w:before="0" w:after="0"/>
              <w:rPr>
                <w:rFonts w:eastAsia="Times New Roman"/>
                <w:iCs/>
                <w:noProof/>
                <w:sz w:val="20"/>
              </w:rPr>
            </w:pPr>
          </w:p>
          <w:p w14:paraId="21F473E0" w14:textId="77777777" w:rsidR="00DA560F" w:rsidRPr="00930237" w:rsidRDefault="00DA560F" w:rsidP="00DA560F">
            <w:pPr>
              <w:spacing w:before="0" w:after="0"/>
              <w:rPr>
                <w:rFonts w:eastAsia="Times New Roman"/>
                <w:iCs/>
                <w:noProof/>
                <w:sz w:val="20"/>
              </w:rPr>
            </w:pPr>
          </w:p>
        </w:tc>
        <w:tc>
          <w:tcPr>
            <w:tcW w:w="759" w:type="pct"/>
          </w:tcPr>
          <w:p w14:paraId="3A0E1B70" w14:textId="74BEBC9D" w:rsidR="00DA560F" w:rsidRPr="00930237" w:rsidRDefault="00DA560F" w:rsidP="00DA560F">
            <w:pPr>
              <w:spacing w:before="0" w:after="0"/>
              <w:rPr>
                <w:sz w:val="20"/>
              </w:rPr>
            </w:pPr>
            <w:r w:rsidRPr="00930237">
              <w:rPr>
                <w:sz w:val="20"/>
              </w:rPr>
              <w:t xml:space="preserve">4.1.1.SAM Nodrošināt vienlīdzīgu piekļuvi veselības aprūpei un stiprināt veselības sistēmu. </w:t>
            </w:r>
          </w:p>
          <w:p w14:paraId="4A3F60F8" w14:textId="6782E703" w:rsidR="00DA560F" w:rsidRPr="00930237" w:rsidRDefault="00DA560F" w:rsidP="00DA560F">
            <w:pPr>
              <w:spacing w:before="0" w:after="0"/>
              <w:rPr>
                <w:rFonts w:eastAsia="Times New Roman"/>
                <w:i/>
                <w:iCs/>
                <w:noProof/>
                <w:sz w:val="20"/>
              </w:rPr>
            </w:pPr>
          </w:p>
        </w:tc>
        <w:tc>
          <w:tcPr>
            <w:tcW w:w="3685" w:type="pct"/>
          </w:tcPr>
          <w:p w14:paraId="7C77D64B" w14:textId="04FC851F" w:rsidR="00DA560F" w:rsidRPr="00930237" w:rsidRDefault="00DA560F" w:rsidP="00DA560F">
            <w:pPr>
              <w:spacing w:before="0" w:after="0"/>
              <w:rPr>
                <w:rFonts w:eastAsia="Times New Roman"/>
                <w:iCs/>
                <w:noProof/>
                <w:sz w:val="20"/>
              </w:rPr>
            </w:pPr>
            <w:r w:rsidRPr="00930237">
              <w:rPr>
                <w:rFonts w:eastAsia="Times New Roman"/>
                <w:iCs/>
                <w:noProof/>
                <w:sz w:val="20"/>
              </w:rPr>
              <w:t>Būtiskākais izaicinājums veselības aprūpes jomā – mūsdienīga un droša veselības aprūpes infrastruktūra t</w:t>
            </w:r>
            <w:r w:rsidR="00AC3040">
              <w:rPr>
                <w:rFonts w:eastAsia="Times New Roman"/>
                <w:iCs/>
                <w:noProof/>
                <w:sz w:val="20"/>
              </w:rPr>
              <w:t>.sk.,</w:t>
            </w:r>
            <w:r w:rsidRPr="00930237">
              <w:rPr>
                <w:rFonts w:eastAsia="Times New Roman"/>
                <w:iCs/>
                <w:noProof/>
                <w:sz w:val="20"/>
              </w:rPr>
              <w:t xml:space="preserve"> IKT risinājumi, lai nodrošinātu savlaicīgus,  kvalitatīvus un izmaksu efektīvus pakalpojumus, kā arī tādus darba vides apstākļus, kas veicina efektīvāku ārstniecības personu piesaisti un noturēšanu valsts apmaksātajā veselības aprūpes sektorā. Ņemot vērā nepieciešamību operatīvi reaģēt uz COVID-19 krīzi un risināt situāciju veselības jomā, lai nodrošinātu COVID-19 vīrusa izplatību un gatavību citu potenciālo sabiedrības veselības krīžu ierobežošanai, nepieciešams veikt attiecīgus ieguldījumus ar šo pakalpojumu sniegšanu saistītajā infrastruktūrā.</w:t>
            </w:r>
          </w:p>
          <w:p w14:paraId="1C64F109" w14:textId="272DBB9C" w:rsidR="00DA560F" w:rsidRPr="00930237" w:rsidRDefault="00DA560F" w:rsidP="009D78F5">
            <w:pPr>
              <w:spacing w:before="0" w:after="0"/>
              <w:rPr>
                <w:rFonts w:eastAsia="Times New Roman"/>
                <w:iCs/>
                <w:noProof/>
                <w:sz w:val="20"/>
              </w:rPr>
            </w:pPr>
            <w:r w:rsidRPr="00930237">
              <w:rPr>
                <w:rFonts w:eastAsia="Times New Roman"/>
                <w:iCs/>
                <w:noProof/>
                <w:sz w:val="20"/>
              </w:rPr>
              <w:t xml:space="preserve">Lai nodrošinātu investīciju pēctecību un piekļuves uzlabošanu kvalitatīviem veselības aprūpes pakalpojumiem, nepieciešami tālāki būtiski ieguldījumi veselības aprūpes infrastruktūras uzlabošanā neatliekamās medicīniskās palīdzības, primārās, sekundārās un terciārās veselības aprūpes pakalpojumu pieejamībai, īpaši lielajās universitātes slimnīcās, kā arī digitālo veselības risinājumu plašākai izmantošanai veselības aprūpē. </w:t>
            </w:r>
            <w:r w:rsidRPr="0075172A">
              <w:rPr>
                <w:rFonts w:eastAsia="Times New Roman"/>
                <w:iCs/>
                <w:noProof/>
                <w:sz w:val="20"/>
              </w:rPr>
              <w:t>Lai nodrošinātu ieguldījumu koncentrāciju</w:t>
            </w:r>
            <w:r>
              <w:rPr>
                <w:rFonts w:eastAsia="Times New Roman"/>
                <w:iCs/>
                <w:noProof/>
                <w:sz w:val="20"/>
              </w:rPr>
              <w:t>,</w:t>
            </w:r>
            <w:r w:rsidRPr="0075172A">
              <w:rPr>
                <w:rFonts w:eastAsia="Times New Roman"/>
                <w:iCs/>
                <w:noProof/>
                <w:sz w:val="20"/>
              </w:rPr>
              <w:t xml:space="preserve"> </w:t>
            </w:r>
            <w:r>
              <w:rPr>
                <w:rFonts w:eastAsia="Times New Roman"/>
                <w:iCs/>
                <w:noProof/>
                <w:sz w:val="20"/>
              </w:rPr>
              <w:t>p</w:t>
            </w:r>
            <w:r w:rsidRPr="00930237">
              <w:rPr>
                <w:rFonts w:eastAsia="Times New Roman"/>
                <w:iCs/>
                <w:noProof/>
                <w:sz w:val="20"/>
              </w:rPr>
              <w:t xml:space="preserve">rioritāri atbalstu </w:t>
            </w:r>
            <w:r>
              <w:rPr>
                <w:rFonts w:eastAsia="Times New Roman"/>
                <w:iCs/>
                <w:noProof/>
                <w:sz w:val="20"/>
              </w:rPr>
              <w:t xml:space="preserve">nepieciešams </w:t>
            </w:r>
            <w:r w:rsidRPr="00930237">
              <w:rPr>
                <w:rFonts w:eastAsia="Times New Roman"/>
                <w:iCs/>
                <w:noProof/>
                <w:sz w:val="20"/>
              </w:rPr>
              <w:t>novirz</w:t>
            </w:r>
            <w:r>
              <w:rPr>
                <w:rFonts w:eastAsia="Times New Roman"/>
                <w:iCs/>
                <w:noProof/>
                <w:sz w:val="20"/>
              </w:rPr>
              <w:t>ī</w:t>
            </w:r>
            <w:r w:rsidRPr="00930237">
              <w:rPr>
                <w:rFonts w:eastAsia="Times New Roman"/>
                <w:iCs/>
                <w:noProof/>
                <w:sz w:val="20"/>
              </w:rPr>
              <w:t>t jomām, kurām ir būtiska ietekme uz priekšlaicīgu mirstību un darbspēju zudumu – primārajā, sekundārajā un terciārajā veselības aprūpē, kā arī rehabilitācijā un hronisko pacientu aprūpē</w:t>
            </w:r>
            <w:r>
              <w:rPr>
                <w:rFonts w:eastAsia="Times New Roman"/>
                <w:iCs/>
                <w:noProof/>
                <w:sz w:val="20"/>
              </w:rPr>
              <w:t>,</w:t>
            </w:r>
            <w:r>
              <w:t xml:space="preserve"> </w:t>
            </w:r>
            <w:r w:rsidRPr="0075172A">
              <w:rPr>
                <w:rFonts w:eastAsia="Times New Roman"/>
                <w:iCs/>
                <w:noProof/>
                <w:sz w:val="20"/>
              </w:rPr>
              <w:t>ņemot vērā nepieciešamību primārās un ambulatorās aprūpes pakalpojumus nodrošināt iespējami tuvu pacienta dzīvesvietai, savukārt, augstāka līmeņa pakalpojumus, kā arī integretus dažādu līmeņa veselības aprūpes pakalpojumu nodrošinot veselības aprūpes cilvēkresursu un pamata infrastruktūras pieejamības vietās. Vienlaicīgi, īstenojot pasākumus 4.1.2.</w:t>
            </w:r>
            <w:r w:rsidR="00F536CD" w:rsidRPr="0075172A">
              <w:rPr>
                <w:rFonts w:eastAsia="Times New Roman"/>
                <w:iCs/>
                <w:noProof/>
                <w:sz w:val="20"/>
              </w:rPr>
              <w:t xml:space="preserve"> SAM</w:t>
            </w:r>
            <w:r w:rsidRPr="0075172A">
              <w:rPr>
                <w:rFonts w:eastAsia="Times New Roman"/>
                <w:iCs/>
                <w:noProof/>
                <w:sz w:val="20"/>
              </w:rPr>
              <w:t xml:space="preserve"> ietvaros, uzlabojot veselības stāvokli iedzīvotājiem, tiks mazināts slogs uz veselības aprūpes sistēmu.</w:t>
            </w:r>
          </w:p>
        </w:tc>
      </w:tr>
      <w:tr w:rsidR="00DA560F" w:rsidRPr="00930237" w14:paraId="1B4029EE" w14:textId="77777777" w:rsidTr="000E58E3">
        <w:tc>
          <w:tcPr>
            <w:tcW w:w="556" w:type="pct"/>
            <w:vMerge/>
          </w:tcPr>
          <w:p w14:paraId="2853625E" w14:textId="77777777" w:rsidR="00DA560F" w:rsidRPr="00930237" w:rsidRDefault="00DA560F" w:rsidP="00DA560F">
            <w:pPr>
              <w:spacing w:before="0" w:after="0"/>
              <w:rPr>
                <w:rFonts w:eastAsia="Times New Roman"/>
                <w:iCs/>
                <w:noProof/>
                <w:sz w:val="20"/>
              </w:rPr>
            </w:pPr>
          </w:p>
        </w:tc>
        <w:tc>
          <w:tcPr>
            <w:tcW w:w="759" w:type="pct"/>
          </w:tcPr>
          <w:p w14:paraId="21F170AA" w14:textId="12BF7D8B" w:rsidR="00DA560F" w:rsidRPr="00930237" w:rsidRDefault="00DA560F" w:rsidP="00DA560F">
            <w:pPr>
              <w:spacing w:before="0" w:after="0"/>
              <w:rPr>
                <w:sz w:val="20"/>
              </w:rPr>
            </w:pPr>
            <w:r w:rsidRPr="00930237">
              <w:rPr>
                <w:sz w:val="20"/>
              </w:rPr>
              <w:t>4.1.2.SAM Veicināt darba ņēmēju, darba devēju un uzņēmumu pielāgošanos pārmaiņām, aktīvu un veselīgu novecošanos, kā arī veicināt veselīgu un labi pielāgotu darba vidi veselības risku novēršanai.</w:t>
            </w:r>
          </w:p>
          <w:p w14:paraId="467BEC4B" w14:textId="0BD4B6A9" w:rsidR="00DA560F" w:rsidRPr="00930237" w:rsidRDefault="00DA560F" w:rsidP="00DA560F">
            <w:pPr>
              <w:spacing w:before="0" w:after="0"/>
              <w:rPr>
                <w:sz w:val="20"/>
              </w:rPr>
            </w:pPr>
            <w:r w:rsidRPr="00930237">
              <w:rPr>
                <w:sz w:val="20"/>
              </w:rPr>
              <w:t xml:space="preserve"> </w:t>
            </w:r>
          </w:p>
        </w:tc>
        <w:tc>
          <w:tcPr>
            <w:tcW w:w="3685" w:type="pct"/>
          </w:tcPr>
          <w:p w14:paraId="1B24DE7A" w14:textId="77777777" w:rsidR="00DA560F" w:rsidRPr="00930237" w:rsidRDefault="00DA560F" w:rsidP="00DA560F">
            <w:pPr>
              <w:spacing w:before="0" w:after="0"/>
              <w:rPr>
                <w:sz w:val="20"/>
              </w:rPr>
            </w:pPr>
            <w:r w:rsidRPr="00930237">
              <w:rPr>
                <w:sz w:val="20"/>
              </w:rPr>
              <w:t>Lai veicinātu aktīvu un veselīgu novecošanos, kas ir arī svarīgs darba spēka nodrošināšanas aspekts, būtiski uzlabot Latvijas iedzīvotāju veselību visos vecumposmos un pagarināt labā veselībā nodzīvotos mūža gadus un novērst priekšlaicīgu mirstību.</w:t>
            </w:r>
          </w:p>
          <w:p w14:paraId="7077B101" w14:textId="77777777" w:rsidR="00DA560F" w:rsidRPr="00930237" w:rsidRDefault="00DA560F" w:rsidP="00DA560F">
            <w:pPr>
              <w:spacing w:before="0" w:after="0"/>
              <w:rPr>
                <w:sz w:val="20"/>
              </w:rPr>
            </w:pPr>
            <w:r w:rsidRPr="00930237">
              <w:rPr>
                <w:sz w:val="20"/>
              </w:rPr>
              <w:t>Latvijas iedzīvotāju paredzamais mūža ilgums ir būtiski palielinājies kopš 2000.gada, tomēr tas aizvien ir otrs mazākais ES.  Neinfekcijas slimības ir galvenais nāves cēlonis arī Latvijā – no visiem nāves cēloņiem 55% ir sirds un asinsvadu slimības (SAS), otrs biežākais nāves cēlonis Latvijā ir onkoloģiskās slimības</w:t>
            </w:r>
            <w:r w:rsidRPr="00930237">
              <w:rPr>
                <w:rStyle w:val="FootnoteReference"/>
                <w:sz w:val="20"/>
              </w:rPr>
              <w:footnoteReference w:id="83"/>
            </w:r>
            <w:r w:rsidRPr="00930237">
              <w:rPr>
                <w:sz w:val="20"/>
              </w:rPr>
              <w:t>. Būtiska loma neinfekcijas slimību izplatībā ir ar dzīvesveidu saistītiem riska faktoriem, piemēram kā neveselīgam uzturam, mazkustīgam dzīvesveidam, smēķēšanai, alkohola, narkotiku un psihotropo vielu lietošanai, kā arī aizraušanās ar atkarību izraisošajiem procesiem un dažādām modernām tehnoloģijām.  Visi iepriekš minētie dzīvesveida faktori noved pie psihiskām saslimšanām, liekās ķermeņa masas, paaugstināta arteriāla asinsspiediena, paaugstināta holesterīna un cukura līmeņa asinīs un tālāk pie nopietnas saslimšanas.</w:t>
            </w:r>
          </w:p>
          <w:p w14:paraId="33AC2735" w14:textId="241C79AC" w:rsidR="00DA560F" w:rsidRPr="00487038" w:rsidRDefault="00DA560F" w:rsidP="007545BD">
            <w:pPr>
              <w:pStyle w:val="ListParagraph"/>
              <w:numPr>
                <w:ilvl w:val="0"/>
                <w:numId w:val="40"/>
              </w:numPr>
              <w:spacing w:after="0" w:line="240" w:lineRule="auto"/>
              <w:ind w:left="0" w:hanging="629"/>
              <w:contextualSpacing w:val="0"/>
              <w:jc w:val="both"/>
              <w:rPr>
                <w:rFonts w:ascii="Times New Roman" w:eastAsia="Times New Roman" w:hAnsi="Times New Roman" w:cs="Times New Roman"/>
                <w:iCs/>
                <w:noProof/>
                <w:sz w:val="20"/>
                <w:szCs w:val="20"/>
              </w:rPr>
            </w:pPr>
            <w:r w:rsidRPr="00930237">
              <w:rPr>
                <w:rFonts w:ascii="Times New Roman" w:hAnsi="Times New Roman" w:cs="Times New Roman"/>
                <w:sz w:val="20"/>
                <w:szCs w:val="20"/>
              </w:rPr>
              <w:t xml:space="preserve">Attiecīgi </w:t>
            </w:r>
            <w:r>
              <w:rPr>
                <w:rFonts w:ascii="Times New Roman" w:hAnsi="Times New Roman" w:cs="Times New Roman"/>
                <w:sz w:val="20"/>
                <w:szCs w:val="20"/>
              </w:rPr>
              <w:t xml:space="preserve">prioritāri </w:t>
            </w:r>
            <w:r w:rsidRPr="00930237">
              <w:rPr>
                <w:rFonts w:ascii="Times New Roman" w:hAnsi="Times New Roman" w:cs="Times New Roman"/>
                <w:sz w:val="20"/>
                <w:szCs w:val="20"/>
              </w:rPr>
              <w:t>tiek paredzētas veselības veicināšanas un slimību profilakses aktivitātes visiem Latvijas iedzīvotājiem, t.sk. paredzot pasākumus saistībā ar veselības krīžu ierobežošanu, kas uzlabotu iedzīvotāju dzīvesveida paradumus un ilgtermiņā  uzlabotu iedzīvotāju veselības stāvokli. Tādējādi tiktu ne tikai mazināta veselības nevienlīdzība (health inequality), bet arī palielināsies darbaspējīgo iedzīvotāju skaits, paaugstinot nodarbinātību un veicinot ekonomikas attīstību, nodrošinot Latvijas iedzīvotāju dzīves ilguma pietuvināšanos vidējam ES rādītājam, kas ļautu nodrošināt arī ekonomiskās izaugsmes un labklājības līmeņa tuvināšanos ES vidējiem rādītājiem.</w:t>
            </w:r>
          </w:p>
          <w:p w14:paraId="3ACE6687" w14:textId="782EBA40" w:rsidR="00DA560F" w:rsidRPr="00930237" w:rsidRDefault="00DA560F" w:rsidP="007545BD">
            <w:pPr>
              <w:pStyle w:val="ListParagraph"/>
              <w:numPr>
                <w:ilvl w:val="0"/>
                <w:numId w:val="40"/>
              </w:numPr>
              <w:spacing w:after="0" w:line="240" w:lineRule="auto"/>
              <w:ind w:left="0" w:hanging="629"/>
              <w:contextualSpacing w:val="0"/>
              <w:jc w:val="both"/>
              <w:rPr>
                <w:rFonts w:ascii="Times New Roman" w:eastAsia="Times New Roman" w:hAnsi="Times New Roman" w:cs="Times New Roman"/>
                <w:iCs/>
                <w:noProof/>
                <w:sz w:val="20"/>
                <w:szCs w:val="20"/>
              </w:rPr>
            </w:pPr>
          </w:p>
        </w:tc>
      </w:tr>
      <w:tr w:rsidR="00DA560F" w:rsidRPr="00930237" w14:paraId="13B846B8" w14:textId="77777777" w:rsidTr="000E58E3">
        <w:tc>
          <w:tcPr>
            <w:tcW w:w="556" w:type="pct"/>
            <w:vMerge/>
          </w:tcPr>
          <w:p w14:paraId="07953D9F" w14:textId="77777777" w:rsidR="00DA560F" w:rsidRPr="00930237" w:rsidRDefault="00DA560F" w:rsidP="00DA560F">
            <w:pPr>
              <w:spacing w:before="0" w:after="0"/>
              <w:rPr>
                <w:rFonts w:eastAsia="Times New Roman"/>
                <w:iCs/>
                <w:noProof/>
                <w:sz w:val="20"/>
              </w:rPr>
            </w:pPr>
          </w:p>
        </w:tc>
        <w:tc>
          <w:tcPr>
            <w:tcW w:w="759" w:type="pct"/>
          </w:tcPr>
          <w:p w14:paraId="0369AC0C" w14:textId="7DA9F027" w:rsidR="00DA560F" w:rsidRPr="00930237" w:rsidRDefault="00DA560F" w:rsidP="00DA560F">
            <w:pPr>
              <w:spacing w:before="0" w:after="0"/>
              <w:rPr>
                <w:sz w:val="20"/>
              </w:rPr>
            </w:pPr>
            <w:r w:rsidRPr="00930237">
              <w:rPr>
                <w:sz w:val="20"/>
              </w:rPr>
              <w:t xml:space="preserve">4.1.3.SAM </w:t>
            </w:r>
            <w:r w:rsidRPr="004E7884">
              <w:rPr>
                <w:sz w:val="20"/>
              </w:rPr>
              <w:t>Uzlabot vienlīdzīgu un savlaicīgu piekļuvi kvalitatīviem, ilgtspējīgiem un izmaksu ziņā pieejamiem veselības aprūpes pakalpojumiem, uzlabojot veselības aprūpes sistēmu efektivitāti un izturētspēju</w:t>
            </w:r>
            <w:r>
              <w:rPr>
                <w:sz w:val="20"/>
              </w:rPr>
              <w:t xml:space="preserve">. </w:t>
            </w:r>
          </w:p>
          <w:p w14:paraId="07F9ED14" w14:textId="7DCA93EC" w:rsidR="00DA560F" w:rsidRPr="00930237" w:rsidRDefault="00DA560F" w:rsidP="00DA560F">
            <w:pPr>
              <w:spacing w:before="0" w:after="0"/>
              <w:rPr>
                <w:sz w:val="20"/>
              </w:rPr>
            </w:pPr>
            <w:r w:rsidRPr="00930237">
              <w:rPr>
                <w:sz w:val="20"/>
              </w:rPr>
              <w:t xml:space="preserve"> </w:t>
            </w:r>
          </w:p>
        </w:tc>
        <w:tc>
          <w:tcPr>
            <w:tcW w:w="3685" w:type="pct"/>
          </w:tcPr>
          <w:p w14:paraId="1A08CBE5" w14:textId="77777777" w:rsidR="00DA560F" w:rsidRPr="00930237" w:rsidRDefault="00DA560F" w:rsidP="00DA560F">
            <w:pPr>
              <w:spacing w:before="0" w:after="0"/>
              <w:rPr>
                <w:rFonts w:eastAsia="Times New Roman"/>
                <w:iCs/>
                <w:noProof/>
                <w:sz w:val="20"/>
              </w:rPr>
            </w:pPr>
            <w:r w:rsidRPr="00930237">
              <w:rPr>
                <w:rFonts w:eastAsia="Times New Roman"/>
                <w:iCs/>
                <w:noProof/>
                <w:sz w:val="20"/>
              </w:rPr>
              <w:t xml:space="preserve">Esošais ārstniecības personu nodrošinājums ir nepietiekams visās ārstniecības personu grupās, 33% ārstu un 28% zobārstu jau ir vai pēc 7 gadiem būs pensijas vecumā, radot nopietnu apdraudējumu veselības aprūpes pakalpojumu nodrošināšanai. Tiek prognozēsts, ka līdz 2025.gadam veidosies ap 3050 māsu iztrūkums. 2017.gadā uz 100 000 iedzīvotajiem bija 320,5 ārstu, tikmēr ES vidēji – 363,6. </w:t>
            </w:r>
          </w:p>
          <w:p w14:paraId="5E82C96F" w14:textId="77777777" w:rsidR="00DA560F" w:rsidRPr="00930237" w:rsidRDefault="00DA560F" w:rsidP="00DA560F">
            <w:pPr>
              <w:spacing w:before="0" w:after="0"/>
              <w:rPr>
                <w:rFonts w:eastAsia="Times New Roman"/>
                <w:iCs/>
                <w:noProof/>
                <w:sz w:val="20"/>
              </w:rPr>
            </w:pPr>
            <w:r w:rsidRPr="00930237">
              <w:rPr>
                <w:rFonts w:eastAsia="Times New Roman"/>
                <w:iCs/>
                <w:noProof/>
                <w:sz w:val="20"/>
              </w:rPr>
              <w:t>Mūsdienās ir vērojama strauja ārstniecības iespēju attīstība, kas ļauj palielināt izārstēšanas vai dzīves kvalitātes uzlabošanas iespējas, vienlaikus medicīna kļūst sarežģītāka ne tikai pielietoto tehnoloģiju un nepieciešamo zināšanu dēļ – sarežģītāka ir resursu plānošana, pakalpojumu koordinēšana, intensitātes vadīšana, sadarbība starp dažādām disciplīnām, kā arī komunikācija starp visiem ārstniecības procesā iesaistītajiem, tādējādi pieaugot riskam nodarīt pacientam kaitējumu.</w:t>
            </w:r>
          </w:p>
          <w:p w14:paraId="5A769ED5" w14:textId="5CA12964" w:rsidR="00DA560F" w:rsidRPr="00930237" w:rsidRDefault="00DA560F" w:rsidP="00DA560F">
            <w:pPr>
              <w:spacing w:before="0" w:after="0"/>
              <w:rPr>
                <w:rFonts w:eastAsia="Times New Roman"/>
                <w:iCs/>
                <w:noProof/>
                <w:sz w:val="20"/>
              </w:rPr>
            </w:pPr>
            <w:r w:rsidRPr="00930237">
              <w:rPr>
                <w:rFonts w:eastAsia="Times New Roman"/>
                <w:iCs/>
                <w:noProof/>
                <w:sz w:val="20"/>
              </w:rPr>
              <w:t xml:space="preserve">Tāpat nepieciešams nodrošināt ārstniecības iestāžu gatavību un rīcībspēju potenciālo sabiedrības veselības krīžu ierobežošanai. Līdz ar to nepieciešami būtiski ieguldījumi cilvēkresursu piesaistei veselības nozarei, ārstniecības </w:t>
            </w:r>
            <w:r w:rsidRPr="008C6118">
              <w:rPr>
                <w:rFonts w:eastAsia="Times New Roman"/>
                <w:iCs/>
                <w:noProof/>
                <w:sz w:val="20"/>
              </w:rPr>
              <w:t xml:space="preserve">un ārstniecības atbalsta </w:t>
            </w:r>
            <w:r w:rsidRPr="00930237">
              <w:rPr>
                <w:rFonts w:eastAsia="Times New Roman"/>
                <w:iCs/>
                <w:noProof/>
                <w:sz w:val="20"/>
              </w:rPr>
              <w:t>personu izglītošanai, kvalifikācijai un pārkvalifikācijai. Lai nodrošinātu kvalitatīvu veselības aprūpes pakalpojumu pieejamību, svarīgi turpināt attīstīt kvalitātes nodrošināšanas sistēmu, t.sk. uzlabojot pacientu drošības aspektus.</w:t>
            </w:r>
          </w:p>
        </w:tc>
      </w:tr>
      <w:tr w:rsidR="00DA560F" w:rsidRPr="00930237" w14:paraId="74FAA271" w14:textId="77777777" w:rsidTr="000E58E3">
        <w:tc>
          <w:tcPr>
            <w:tcW w:w="556" w:type="pct"/>
            <w:vMerge/>
          </w:tcPr>
          <w:p w14:paraId="1F7DC58E" w14:textId="77777777" w:rsidR="00DA560F" w:rsidRPr="00930237" w:rsidRDefault="00DA560F" w:rsidP="00DA560F">
            <w:pPr>
              <w:spacing w:before="0" w:after="0"/>
              <w:rPr>
                <w:rFonts w:eastAsia="Times New Roman"/>
                <w:iCs/>
                <w:noProof/>
                <w:sz w:val="20"/>
              </w:rPr>
            </w:pPr>
          </w:p>
        </w:tc>
        <w:tc>
          <w:tcPr>
            <w:tcW w:w="759" w:type="pct"/>
          </w:tcPr>
          <w:p w14:paraId="3710A1B8" w14:textId="12047325" w:rsidR="00DA560F" w:rsidRPr="00930237" w:rsidRDefault="00DA560F" w:rsidP="00DA560F">
            <w:pPr>
              <w:spacing w:before="0" w:after="0"/>
              <w:rPr>
                <w:sz w:val="20"/>
              </w:rPr>
            </w:pPr>
            <w:r w:rsidRPr="00930237">
              <w:rPr>
                <w:sz w:val="20"/>
              </w:rPr>
              <w:t>4.2.1.SAM Uzlabot piekļuvi iekļaujošiem un kvalitatīviem pakalpojumiem izglītībā, mācībās un mūžizglītībā, attīstot infrastruktūru, tostarp stiprinot tālmācību, tiešsaistes izglītību un mācības.</w:t>
            </w:r>
          </w:p>
          <w:p w14:paraId="1418CE1D" w14:textId="41B49D8F" w:rsidR="00DA560F" w:rsidRPr="00930237" w:rsidRDefault="00DA560F" w:rsidP="00DA560F">
            <w:pPr>
              <w:spacing w:before="0" w:after="0"/>
              <w:rPr>
                <w:rFonts w:eastAsia="Times New Roman"/>
                <w:i/>
                <w:iCs/>
                <w:noProof/>
                <w:sz w:val="20"/>
              </w:rPr>
            </w:pPr>
            <w:r w:rsidRPr="00930237">
              <w:rPr>
                <w:sz w:val="20"/>
              </w:rPr>
              <w:t xml:space="preserve"> </w:t>
            </w:r>
          </w:p>
        </w:tc>
        <w:tc>
          <w:tcPr>
            <w:tcW w:w="3685" w:type="pct"/>
          </w:tcPr>
          <w:p w14:paraId="16A7DFD7" w14:textId="77777777" w:rsidR="00DA560F" w:rsidRPr="00930237" w:rsidRDefault="00DA560F" w:rsidP="00DA560F">
            <w:pPr>
              <w:spacing w:before="0" w:after="0"/>
              <w:rPr>
                <w:rFonts w:eastAsia="Times New Roman"/>
                <w:iCs/>
                <w:noProof/>
                <w:sz w:val="20"/>
              </w:rPr>
            </w:pPr>
            <w:r w:rsidRPr="00930237">
              <w:rPr>
                <w:rFonts w:eastAsia="Times New Roman"/>
                <w:iCs/>
                <w:noProof/>
                <w:sz w:val="20"/>
              </w:rPr>
              <w:t>Vispārējā izglītībā pilnveidots izglītības saturs, norit tā pakāpeniska ieviešana, veiktas būtiskas investīcijas mācību infrastruktūras attīstībā. Lai nodrošinātu pilnvērtīgu kompetenču pieejā balstīta vispārējās izglītības satura ieviešanu, veicinātu izglītības iestāžu spēju reaģēt uz krīzes situācijām, nepieciešami mūsdienīgi IKT resursi – digitālu un attālinātu mācību IT risinājumi, zinošs personāls, audiovizuālie mācību rīki, datortehnika u.c.</w:t>
            </w:r>
          </w:p>
          <w:p w14:paraId="41430283" w14:textId="724058EF" w:rsidR="00DA560F" w:rsidRDefault="00DA560F" w:rsidP="00DA560F">
            <w:pPr>
              <w:spacing w:before="0" w:after="0"/>
              <w:rPr>
                <w:rFonts w:eastAsia="Times New Roman"/>
                <w:iCs/>
                <w:noProof/>
                <w:sz w:val="20"/>
              </w:rPr>
            </w:pPr>
            <w:r w:rsidRPr="00930237">
              <w:rPr>
                <w:rFonts w:eastAsia="Times New Roman"/>
                <w:iCs/>
                <w:noProof/>
                <w:sz w:val="20"/>
              </w:rPr>
              <w:t xml:space="preserve">Profesionālajā izglītībā pilnveidota nozaru kvalifikācijas sistēma, notikusi pāreja uz modulārām izglītības programmām, ieviestas darba vidē balstītas mācības. Līdzšinējie ieguldījumi infrastruktūrā un mācību satura pilnveidošanā būtiski cēluši profesionālās izglītības atpazīstamību un prestižu, stiprināta </w:t>
            </w:r>
            <w:r w:rsidR="00242D6D" w:rsidRPr="00242D6D">
              <w:rPr>
                <w:rFonts w:eastAsia="Times New Roman"/>
                <w:iCs/>
                <w:noProof/>
                <w:sz w:val="20"/>
              </w:rPr>
              <w:t xml:space="preserve">profesionālās izglītības kompetences centru </w:t>
            </w:r>
            <w:r w:rsidRPr="00930237">
              <w:rPr>
                <w:rFonts w:eastAsia="Times New Roman"/>
                <w:iCs/>
                <w:noProof/>
                <w:sz w:val="20"/>
              </w:rPr>
              <w:t xml:space="preserve">kapacitāte. Lai nostiprinātu </w:t>
            </w:r>
            <w:r w:rsidR="00242D6D" w:rsidRPr="00242D6D">
              <w:rPr>
                <w:rFonts w:eastAsia="Times New Roman"/>
                <w:iCs/>
                <w:noProof/>
                <w:sz w:val="20"/>
              </w:rPr>
              <w:t>profesionālās izglītības iestādes</w:t>
            </w:r>
            <w:r w:rsidRPr="00930237">
              <w:rPr>
                <w:rFonts w:eastAsia="Times New Roman"/>
                <w:iCs/>
                <w:noProof/>
                <w:sz w:val="20"/>
              </w:rPr>
              <w:t xml:space="preserve"> un koledžas kā nozaru izcilības un inovāciju centrus, nepieciešams investēt audzēkņu inovāciju, uzņēmējspēju, tehnoloģiju un radošuma prasmju attīstīšanā</w:t>
            </w:r>
            <w:r w:rsidRPr="000343B5">
              <w:rPr>
                <w:rFonts w:eastAsia="Times New Roman"/>
                <w:iCs/>
                <w:noProof/>
                <w:sz w:val="20"/>
              </w:rPr>
              <w:t>, t.sk. sasaistē ar reģionu attīstības iespējām</w:t>
            </w:r>
            <w:r w:rsidRPr="00930237">
              <w:rPr>
                <w:rFonts w:eastAsia="Times New Roman"/>
                <w:iCs/>
                <w:noProof/>
                <w:sz w:val="20"/>
              </w:rPr>
              <w:t>.</w:t>
            </w:r>
            <w:r>
              <w:t xml:space="preserve"> </w:t>
            </w:r>
            <w:r w:rsidRPr="008749D8">
              <w:rPr>
                <w:rFonts w:eastAsia="Times New Roman"/>
                <w:iCs/>
                <w:noProof/>
                <w:sz w:val="20"/>
              </w:rPr>
              <w:t>Ieguldījumi profesionālās izglītības iestāžu māc</w:t>
            </w:r>
            <w:r w:rsidR="00242D6D">
              <w:rPr>
                <w:rFonts w:eastAsia="Times New Roman"/>
                <w:iCs/>
                <w:noProof/>
                <w:sz w:val="20"/>
              </w:rPr>
              <w:t>ī</w:t>
            </w:r>
            <w:r w:rsidRPr="008749D8">
              <w:rPr>
                <w:rFonts w:eastAsia="Times New Roman"/>
                <w:iCs/>
                <w:noProof/>
                <w:sz w:val="20"/>
              </w:rPr>
              <w:t>bu vides sakārtošanā sekmēs arī iekļaujošu izglītību, jauniešu iesaisti izglītībā, kā arī veidos priekšnosacījumus iegūtās izglītības un prasmju atbilstībai darba tirgus prasībām, ļaujot jauniešiem turpināt izglītību vai iesaistīties darba tirgū</w:t>
            </w:r>
            <w:r>
              <w:rPr>
                <w:rFonts w:eastAsia="Times New Roman"/>
                <w:iCs/>
                <w:noProof/>
                <w:sz w:val="20"/>
              </w:rPr>
              <w:t>.</w:t>
            </w:r>
          </w:p>
          <w:p w14:paraId="3F58A56D" w14:textId="29A0C7D4" w:rsidR="00DA560F" w:rsidRPr="00930237" w:rsidRDefault="00DA560F" w:rsidP="00DA560F">
            <w:pPr>
              <w:spacing w:before="0" w:after="0"/>
              <w:rPr>
                <w:rFonts w:eastAsia="Times New Roman"/>
                <w:iCs/>
                <w:noProof/>
                <w:sz w:val="20"/>
              </w:rPr>
            </w:pPr>
            <w:r w:rsidRPr="008749D8">
              <w:rPr>
                <w:rFonts w:eastAsia="Times New Roman"/>
                <w:iCs/>
                <w:noProof/>
                <w:sz w:val="20"/>
              </w:rPr>
              <w:t>Savukārt augstākajā izglītībā nepieciešams investēt studiju vides attīstībā, lai nostiprinātu augstskolas kā zināšanu radīšanas, tehnoloģiju pārneses un inovācijas centrus gudrai izaugsmei.</w:t>
            </w:r>
          </w:p>
          <w:p w14:paraId="42C43966" w14:textId="2F7BAE4E" w:rsidR="00DA560F" w:rsidRPr="00930237" w:rsidRDefault="00DA560F" w:rsidP="00DA560F">
            <w:pPr>
              <w:spacing w:before="0" w:after="0"/>
              <w:rPr>
                <w:rFonts w:eastAsia="Times New Roman"/>
                <w:iCs/>
                <w:noProof/>
                <w:sz w:val="20"/>
              </w:rPr>
            </w:pPr>
            <w:r w:rsidRPr="00930237">
              <w:rPr>
                <w:rFonts w:eastAsia="Times New Roman"/>
                <w:iCs/>
                <w:noProof/>
                <w:sz w:val="20"/>
              </w:rPr>
              <w:t>Būtisks izaicinājums – nepietiekams pirm</w:t>
            </w:r>
            <w:r>
              <w:rPr>
                <w:rFonts w:eastAsia="Times New Roman"/>
                <w:iCs/>
                <w:noProof/>
                <w:sz w:val="20"/>
              </w:rPr>
              <w:t>s</w:t>
            </w:r>
            <w:r w:rsidRPr="00930237">
              <w:rPr>
                <w:rFonts w:eastAsia="Times New Roman"/>
                <w:iCs/>
                <w:noProof/>
                <w:sz w:val="20"/>
              </w:rPr>
              <w:t>skolas izglītības iestāžu skaits</w:t>
            </w:r>
            <w:r>
              <w:rPr>
                <w:rFonts w:eastAsia="Times New Roman"/>
                <w:iCs/>
                <w:noProof/>
                <w:sz w:val="20"/>
              </w:rPr>
              <w:t xml:space="preserve"> un kapacitāte</w:t>
            </w:r>
            <w:r w:rsidRPr="00930237">
              <w:rPr>
                <w:rFonts w:eastAsia="Times New Roman"/>
                <w:iCs/>
                <w:noProof/>
                <w:sz w:val="20"/>
              </w:rPr>
              <w:t>. Kopējā rinda uz pašvaldības pirmsskolas izglītības iestādēm 20</w:t>
            </w:r>
            <w:r>
              <w:rPr>
                <w:rFonts w:eastAsia="Times New Roman"/>
                <w:iCs/>
                <w:noProof/>
                <w:sz w:val="20"/>
              </w:rPr>
              <w:t>20</w:t>
            </w:r>
            <w:r w:rsidRPr="00930237">
              <w:rPr>
                <w:rFonts w:eastAsia="Times New Roman"/>
                <w:iCs/>
                <w:noProof/>
                <w:sz w:val="20"/>
              </w:rPr>
              <w:t xml:space="preserve">.gada oktobrī bija </w:t>
            </w:r>
            <w:r>
              <w:rPr>
                <w:rFonts w:eastAsia="Times New Roman"/>
                <w:iCs/>
                <w:noProof/>
                <w:sz w:val="20"/>
              </w:rPr>
              <w:t>10 000</w:t>
            </w:r>
            <w:r w:rsidRPr="00930237">
              <w:rPr>
                <w:rFonts w:eastAsia="Times New Roman"/>
                <w:iCs/>
                <w:noProof/>
                <w:sz w:val="20"/>
              </w:rPr>
              <w:t xml:space="preserve"> bērni, atsevišķās pašvaldībās rindās ir 40-50% no visiem pirmsskolas vecuma bērniem. Visaktuālākā problēma ir Rīgā un Pierīgā. No 2010. līdz 2019.gadam pirmskolas vecuma bērnu skaits pieaudzis par 18 728 bērniem, tādēļ nepieciešams investēt pirmsskolas izglītības pieejamības veicināšanā.</w:t>
            </w:r>
          </w:p>
          <w:p w14:paraId="7CDAE7C6" w14:textId="55DF1B84" w:rsidR="00DA560F" w:rsidRPr="00930237" w:rsidRDefault="00DA560F" w:rsidP="00DA560F">
            <w:pPr>
              <w:spacing w:before="0" w:after="0"/>
              <w:rPr>
                <w:rFonts w:eastAsia="Times New Roman"/>
                <w:iCs/>
                <w:noProof/>
                <w:sz w:val="20"/>
              </w:rPr>
            </w:pPr>
            <w:r w:rsidRPr="00930237">
              <w:rPr>
                <w:rFonts w:eastAsia="Times New Roman"/>
                <w:iCs/>
                <w:noProof/>
                <w:sz w:val="20"/>
              </w:rPr>
              <w:t xml:space="preserve">Latvijā darbojas 51 speciālā izglītības iestāde, kurās kopā mācās 6750 izglītojamie. </w:t>
            </w:r>
            <w:r w:rsidRPr="008749D8">
              <w:rPr>
                <w:rFonts w:eastAsia="Times New Roman"/>
                <w:iCs/>
                <w:noProof/>
                <w:sz w:val="20"/>
              </w:rPr>
              <w:t>Vienlaikus notiek pakāpeniska izglītojamo ar speciālām vajadzībām integrācija vispārējās izglītībās iestādēs. Plānotie ieguldījumi speciālās izglītības iestāžu tīkla sakārtošanā veicinās kvalitatīvas izglītības piedāvājumu sociālās atstumtības riskam visvairāk pakļautajām grupām.</w:t>
            </w:r>
            <w:r w:rsidRPr="00930237" w:rsidDel="008749D8">
              <w:rPr>
                <w:rFonts w:eastAsia="Times New Roman"/>
                <w:iCs/>
                <w:noProof/>
                <w:sz w:val="20"/>
              </w:rPr>
              <w:t xml:space="preserve"> </w:t>
            </w:r>
          </w:p>
        </w:tc>
      </w:tr>
      <w:tr w:rsidR="00DA560F" w:rsidRPr="00930237" w14:paraId="006C1F13" w14:textId="77777777" w:rsidTr="000E58E3">
        <w:tc>
          <w:tcPr>
            <w:tcW w:w="556" w:type="pct"/>
            <w:vMerge/>
          </w:tcPr>
          <w:p w14:paraId="4E36D1A5" w14:textId="77777777" w:rsidR="00DA560F" w:rsidRPr="00930237" w:rsidRDefault="00DA560F" w:rsidP="00DA560F">
            <w:pPr>
              <w:spacing w:before="0" w:after="0"/>
              <w:rPr>
                <w:rFonts w:eastAsia="Times New Roman"/>
                <w:iCs/>
                <w:noProof/>
                <w:sz w:val="20"/>
              </w:rPr>
            </w:pPr>
          </w:p>
        </w:tc>
        <w:tc>
          <w:tcPr>
            <w:tcW w:w="759" w:type="pct"/>
          </w:tcPr>
          <w:p w14:paraId="281585E1" w14:textId="46792A63" w:rsidR="00DA560F" w:rsidRPr="00930237" w:rsidRDefault="00DA560F" w:rsidP="00DA560F">
            <w:pPr>
              <w:spacing w:before="0" w:after="0"/>
              <w:rPr>
                <w:sz w:val="20"/>
              </w:rPr>
            </w:pPr>
            <w:r w:rsidRPr="00930237">
              <w:rPr>
                <w:sz w:val="20"/>
              </w:rPr>
              <w:t>4.2.2.SAM Uzlabot izglītības un mācību sistēmu kvalitāti, efektivitāti un atbilstību darba tirgum, lai atbalstītu pamatprasmju, tostarp digitālo prasmju, apguvi.</w:t>
            </w:r>
          </w:p>
          <w:p w14:paraId="5CBDC188" w14:textId="1B8BE4FF" w:rsidR="00DA560F" w:rsidRPr="00930237" w:rsidRDefault="00DA560F" w:rsidP="00DA560F">
            <w:pPr>
              <w:spacing w:before="0" w:after="0"/>
              <w:rPr>
                <w:sz w:val="20"/>
              </w:rPr>
            </w:pPr>
            <w:r w:rsidRPr="00930237">
              <w:rPr>
                <w:sz w:val="20"/>
              </w:rPr>
              <w:t xml:space="preserve"> </w:t>
            </w:r>
          </w:p>
        </w:tc>
        <w:tc>
          <w:tcPr>
            <w:tcW w:w="3685" w:type="pct"/>
          </w:tcPr>
          <w:p w14:paraId="76B67278" w14:textId="49145E3A" w:rsidR="00DA560F" w:rsidRDefault="00DA560F" w:rsidP="00DA560F">
            <w:pPr>
              <w:spacing w:before="0" w:after="0"/>
              <w:rPr>
                <w:rFonts w:eastAsia="Times New Roman"/>
                <w:iCs/>
                <w:noProof/>
                <w:sz w:val="20"/>
              </w:rPr>
            </w:pPr>
            <w:r w:rsidRPr="00930237">
              <w:rPr>
                <w:rFonts w:eastAsia="Times New Roman"/>
                <w:iCs/>
                <w:noProof/>
                <w:sz w:val="20"/>
              </w:rPr>
              <w:t xml:space="preserve">Latvijā ir neliels izglītojamo īpatsvars ar augstiem mācību rezultātiem. Vienlaikus izglītojamo īpatsvars ar zemiem mācību sasniegumiem saglabājas augstā līmenī - </w:t>
            </w:r>
            <w:r w:rsidRPr="002834E0">
              <w:rPr>
                <w:rFonts w:eastAsia="Times New Roman"/>
                <w:iCs/>
                <w:noProof/>
                <w:sz w:val="20"/>
              </w:rPr>
              <w:t>22,4% lasītprasmē, 17,3% matemātikā un 18,5% dabaszinātnēs (OECD PISA 2018)</w:t>
            </w:r>
            <w:r>
              <w:rPr>
                <w:rFonts w:eastAsia="Times New Roman"/>
                <w:iCs/>
                <w:noProof/>
                <w:sz w:val="20"/>
              </w:rPr>
              <w:t>.</w:t>
            </w:r>
            <w:r w:rsidRPr="002834E0">
              <w:rPr>
                <w:rFonts w:eastAsia="Times New Roman"/>
                <w:iCs/>
                <w:noProof/>
                <w:sz w:val="20"/>
              </w:rPr>
              <w:t xml:space="preserve"> </w:t>
            </w:r>
            <w:r w:rsidRPr="00930237">
              <w:rPr>
                <w:rFonts w:eastAsia="Times New Roman"/>
                <w:iCs/>
                <w:noProof/>
                <w:sz w:val="20"/>
              </w:rPr>
              <w:t xml:space="preserve">Profesionālās izglītības pievilcīgums joprojām </w:t>
            </w:r>
            <w:r>
              <w:rPr>
                <w:rFonts w:eastAsia="Times New Roman"/>
                <w:iCs/>
                <w:noProof/>
                <w:sz w:val="20"/>
              </w:rPr>
              <w:t>ir nepietiekams</w:t>
            </w:r>
            <w:r w:rsidRPr="00930237">
              <w:rPr>
                <w:rFonts w:eastAsia="Times New Roman"/>
                <w:iCs/>
                <w:noProof/>
                <w:sz w:val="20"/>
              </w:rPr>
              <w:t>, mazāk nekā 40% izglītojamo izvēlas profesionālās izglītības programmas, neseno absolventu nodarbinātības līmenis atpaliek no ES vidējā rādītāja (75,8% salīdzinājumā ar 79,5% ES 2018.gadā). Darba tirgū nepieciešamās prasmes mainās, tāpēc būtiska</w:t>
            </w:r>
            <w:r>
              <w:rPr>
                <w:rFonts w:eastAsia="Times New Roman"/>
                <w:iCs/>
                <w:noProof/>
                <w:sz w:val="20"/>
              </w:rPr>
              <w:t xml:space="preserve"> ir kvalitatīva</w:t>
            </w:r>
            <w:r w:rsidRPr="00930237">
              <w:rPr>
                <w:rFonts w:eastAsia="Times New Roman"/>
                <w:iCs/>
                <w:noProof/>
                <w:sz w:val="20"/>
              </w:rPr>
              <w:t xml:space="preserve"> prasmju apguves iespēju un piedāvājuma nodrošināšana. Gan pasaules, gan Eiropas mērogā arvien vairāk tiek uzsvērta talantu un radošuma attīstības nozīme sabiedrībā un tautsaimniecības attīstībā. 2020.gadā publicētajā Pasaules Ekonomikas foruma pētījumā “Nākotnes skola”</w:t>
            </w:r>
            <w:r w:rsidRPr="00930237">
              <w:rPr>
                <w:rFonts w:eastAsia="Times New Roman"/>
                <w:iCs/>
                <w:noProof/>
                <w:sz w:val="20"/>
                <w:vertAlign w:val="superscript"/>
              </w:rPr>
              <w:t xml:space="preserve"> </w:t>
            </w:r>
            <w:r w:rsidRPr="00930237">
              <w:rPr>
                <w:rFonts w:eastAsia="Times New Roman"/>
                <w:iCs/>
                <w:noProof/>
                <w:sz w:val="20"/>
              </w:rPr>
              <w:t xml:space="preserve">kā viena no svarīgākajām pamatprasmēm norādīta inovāciju un radošās prasmes. </w:t>
            </w:r>
            <w:r w:rsidRPr="002834E0">
              <w:rPr>
                <w:rFonts w:eastAsia="Times New Roman"/>
                <w:iCs/>
                <w:noProof/>
                <w:sz w:val="20"/>
              </w:rPr>
              <w:t>Tāpat būtiska STEM un digitālo prasmju apguve, kā arī izglītības iespēju dažādošana atbilstoši izglītojamo vajadzībām.</w:t>
            </w:r>
          </w:p>
          <w:p w14:paraId="50524D4B" w14:textId="0DC18957" w:rsidR="00DA560F" w:rsidRPr="00930237" w:rsidRDefault="00DA560F" w:rsidP="00DA560F">
            <w:pPr>
              <w:spacing w:before="0" w:after="0"/>
              <w:rPr>
                <w:rFonts w:eastAsia="Times New Roman"/>
                <w:iCs/>
                <w:noProof/>
                <w:sz w:val="20"/>
              </w:rPr>
            </w:pPr>
            <w:r w:rsidRPr="00930237">
              <w:rPr>
                <w:rFonts w:eastAsia="Times New Roman"/>
                <w:iCs/>
                <w:noProof/>
                <w:sz w:val="20"/>
              </w:rPr>
              <w:t>Ieguldījumi plānoti izglītības kvalitātes, atbilstības</w:t>
            </w:r>
            <w:r>
              <w:rPr>
                <w:rFonts w:eastAsia="Times New Roman"/>
                <w:iCs/>
                <w:noProof/>
                <w:sz w:val="20"/>
              </w:rPr>
              <w:t xml:space="preserve">, </w:t>
            </w:r>
            <w:r w:rsidRPr="00930237">
              <w:rPr>
                <w:rFonts w:eastAsia="Times New Roman"/>
                <w:iCs/>
                <w:noProof/>
                <w:sz w:val="20"/>
              </w:rPr>
              <w:t xml:space="preserve"> pieejamības</w:t>
            </w:r>
            <w:r>
              <w:rPr>
                <w:rFonts w:eastAsia="Times New Roman"/>
                <w:iCs/>
                <w:noProof/>
                <w:sz w:val="20"/>
              </w:rPr>
              <w:t xml:space="preserve"> un atbalsta</w:t>
            </w:r>
            <w:r w:rsidRPr="00930237">
              <w:rPr>
                <w:rFonts w:eastAsia="Times New Roman"/>
                <w:iCs/>
                <w:noProof/>
                <w:sz w:val="20"/>
              </w:rPr>
              <w:t xml:space="preserve"> stiprināšanai, t.sk., </w:t>
            </w:r>
            <w:sdt>
              <w:sdtPr>
                <w:rPr>
                  <w:sz w:val="20"/>
                </w:rPr>
                <w:tag w:val="goog_rdk_11"/>
                <w:id w:val="1258399638"/>
              </w:sdtPr>
              <w:sdtEndPr/>
              <w:sdtContent>
                <w:r w:rsidRPr="00930237">
                  <w:rPr>
                    <w:rFonts w:eastAsia="Times New Roman"/>
                    <w:sz w:val="20"/>
                  </w:rPr>
                  <w:t>paredzot pedagogu profesionālās kompetences pilnveidi,</w:t>
                </w:r>
                <w:r w:rsidRPr="00930237">
                  <w:rPr>
                    <w:rFonts w:eastAsia="Times New Roman"/>
                    <w:sz w:val="20"/>
                    <w:highlight w:val="white"/>
                  </w:rPr>
                  <w:t xml:space="preserve"> iekļaujošas izglītības attīstību, mācību izcilības, attīstības</w:t>
                </w:r>
                <w:r>
                  <w:rPr>
                    <w:rFonts w:eastAsia="Times New Roman"/>
                    <w:sz w:val="20"/>
                    <w:highlight w:val="white"/>
                  </w:rPr>
                  <w:t xml:space="preserve"> un atbalsta</w:t>
                </w:r>
                <w:r w:rsidRPr="00930237">
                  <w:rPr>
                    <w:rFonts w:eastAsia="Times New Roman"/>
                    <w:sz w:val="20"/>
                    <w:highlight w:val="white"/>
                  </w:rPr>
                  <w:t xml:space="preserve"> iniciatīvas</w:t>
                </w:r>
                <w:r w:rsidRPr="00930237">
                  <w:rPr>
                    <w:rFonts w:eastAsia="Times New Roman"/>
                    <w:sz w:val="20"/>
                  </w:rPr>
                  <w:t xml:space="preserve">, </w:t>
                </w:r>
              </w:sdtContent>
            </w:sdt>
            <w:r w:rsidRPr="00930237">
              <w:rPr>
                <w:rFonts w:eastAsia="Times New Roman"/>
                <w:sz w:val="20"/>
              </w:rPr>
              <w:t>stiprinot darba vidē balstītas mācības</w:t>
            </w:r>
            <w:sdt>
              <w:sdtPr>
                <w:rPr>
                  <w:sz w:val="20"/>
                </w:rPr>
                <w:tag w:val="goog_rdk_12"/>
                <w:id w:val="2114703022"/>
              </w:sdtPr>
              <w:sdtEndPr/>
              <w:sdtContent>
                <w:r w:rsidRPr="00930237">
                  <w:rPr>
                    <w:sz w:val="20"/>
                  </w:rPr>
                  <w:t>,</w:t>
                </w:r>
                <w:r w:rsidRPr="00930237">
                  <w:rPr>
                    <w:rFonts w:eastAsia="Times New Roman"/>
                    <w:sz w:val="20"/>
                  </w:rPr>
                  <w:t xml:space="preserve"> veicinot profesionālās un profesionālās ievirzes izglītības digitālizāciju</w:t>
                </w:r>
              </w:sdtContent>
            </w:sdt>
            <w:sdt>
              <w:sdtPr>
                <w:rPr>
                  <w:sz w:val="20"/>
                </w:rPr>
                <w:tag w:val="goog_rdk_13"/>
                <w:id w:val="1276454112"/>
              </w:sdtPr>
              <w:sdtEndPr/>
              <w:sdtContent>
                <w:r w:rsidRPr="00930237">
                  <w:rPr>
                    <w:sz w:val="20"/>
                  </w:rPr>
                  <w:t>,</w:t>
                </w:r>
                <w:r w:rsidRPr="00930237">
                  <w:rPr>
                    <w:rFonts w:eastAsia="Times New Roman"/>
                    <w:sz w:val="20"/>
                  </w:rPr>
                  <w:t xml:space="preserve"> stiprinot </w:t>
                </w:r>
              </w:sdtContent>
            </w:sdt>
            <w:r w:rsidRPr="00930237">
              <w:rPr>
                <w:sz w:val="20"/>
              </w:rPr>
              <w:t>pārmaiņu vadību</w:t>
            </w:r>
            <w:r w:rsidRPr="00930237">
              <w:rPr>
                <w:rFonts w:eastAsia="Times New Roman"/>
                <w:sz w:val="20"/>
              </w:rPr>
              <w:t xml:space="preserve">, </w:t>
            </w:r>
            <w:r w:rsidRPr="00930237">
              <w:rPr>
                <w:rFonts w:eastAsia="Times New Roman"/>
                <w:iCs/>
                <w:noProof/>
                <w:sz w:val="20"/>
              </w:rPr>
              <w:t xml:space="preserve">veicinot pāreju uz ciklisku institucionālo akreditāciju augstākajā izglītībā, </w:t>
            </w:r>
            <w:r w:rsidRPr="002834E0">
              <w:rPr>
                <w:rFonts w:eastAsia="Times New Roman"/>
                <w:iCs/>
                <w:noProof/>
                <w:sz w:val="20"/>
              </w:rPr>
              <w:t xml:space="preserve">ieviešot akdēmiskās karjeras sistēmas reformu, digitalizējot studiju procesu, </w:t>
            </w:r>
            <w:r w:rsidRPr="00930237">
              <w:rPr>
                <w:rFonts w:eastAsia="Times New Roman"/>
                <w:iCs/>
                <w:noProof/>
                <w:sz w:val="20"/>
              </w:rPr>
              <w:t xml:space="preserve">nodrošinot viedāku pārvaldību, izglītības kvalitātes monitoringu, kā arī stiprinot izglītības pētniecību un kvalitātes uzraudzību. </w:t>
            </w:r>
            <w:r w:rsidRPr="002834E0">
              <w:rPr>
                <w:rFonts w:eastAsia="Times New Roman"/>
                <w:iCs/>
                <w:noProof/>
                <w:sz w:val="20"/>
              </w:rPr>
              <w:t xml:space="preserve">Tiks veicināta izglītojamo sasniegumu paaugstināšanās </w:t>
            </w:r>
            <w:r w:rsidRPr="00930237">
              <w:rPr>
                <w:rFonts w:eastAsia="Times New Roman"/>
                <w:iCs/>
                <w:noProof/>
                <w:sz w:val="20"/>
              </w:rPr>
              <w:t>OECD PISA mērījumos lasītprasmē, matemātikā un dabaszinātnēs</w:t>
            </w:r>
            <w:r>
              <w:rPr>
                <w:rFonts w:eastAsia="Times New Roman"/>
                <w:iCs/>
                <w:noProof/>
                <w:sz w:val="20"/>
              </w:rPr>
              <w:t>.</w:t>
            </w:r>
            <w:r w:rsidRPr="00930237">
              <w:rPr>
                <w:rFonts w:eastAsia="Times New Roman"/>
                <w:iCs/>
                <w:noProof/>
                <w:sz w:val="20"/>
              </w:rPr>
              <w:t xml:space="preserve"> Tiks sekmēta izglītības atbilstība darba tirgus prasībām</w:t>
            </w:r>
            <w:r>
              <w:rPr>
                <w:rFonts w:eastAsia="Times New Roman"/>
                <w:iCs/>
                <w:noProof/>
                <w:sz w:val="20"/>
              </w:rPr>
              <w:t>, t.sk. reģionālā griezumā</w:t>
            </w:r>
            <w:r w:rsidRPr="00930237">
              <w:rPr>
                <w:rFonts w:eastAsia="Times New Roman"/>
                <w:iCs/>
                <w:noProof/>
                <w:sz w:val="20"/>
              </w:rPr>
              <w:t>, palielināta līdzdalība profesionālajā izglītībā un pieaugušo izglītībā, t.sk. veicinātas elastīgas prasmju pilnveides un pārkvalifikācijas iespējas.</w:t>
            </w:r>
          </w:p>
        </w:tc>
      </w:tr>
      <w:tr w:rsidR="00DA560F" w:rsidRPr="00930237" w14:paraId="6EEAF682" w14:textId="77777777" w:rsidTr="000E58E3">
        <w:tc>
          <w:tcPr>
            <w:tcW w:w="556" w:type="pct"/>
            <w:vMerge/>
          </w:tcPr>
          <w:p w14:paraId="4EF0D3CC" w14:textId="77777777" w:rsidR="00DA560F" w:rsidRPr="00930237" w:rsidRDefault="00DA560F" w:rsidP="00DA560F">
            <w:pPr>
              <w:spacing w:before="0" w:after="0"/>
              <w:rPr>
                <w:rFonts w:eastAsia="Times New Roman"/>
                <w:iCs/>
                <w:noProof/>
                <w:sz w:val="20"/>
              </w:rPr>
            </w:pPr>
          </w:p>
        </w:tc>
        <w:tc>
          <w:tcPr>
            <w:tcW w:w="759" w:type="pct"/>
          </w:tcPr>
          <w:p w14:paraId="07FA2649" w14:textId="7A9EBD92" w:rsidR="00DA560F" w:rsidRPr="00930237" w:rsidRDefault="00DA560F" w:rsidP="00DA560F">
            <w:pPr>
              <w:spacing w:before="0" w:after="0"/>
              <w:rPr>
                <w:sz w:val="20"/>
              </w:rPr>
            </w:pPr>
            <w:r w:rsidRPr="00930237">
              <w:rPr>
                <w:sz w:val="20"/>
              </w:rPr>
              <w:t>4.2.3.SAM Veicināt vienlīdzīgu piekļuvi kvalitatīvai un iekļaujošai izglītībai un mācībām un to pabeigšanu, jo īpaši nelabvēlīgā situācijā esošām grupām, sākot no agrīnās pirmsskolas izglītības un aprūpes līdz pat vispārējai, profesionālajai un augstākajai izglītībai, kā arī pieaugušo izglītībā un mācībās, tostarp veicinot mācību mobilitāti visiem.</w:t>
            </w:r>
          </w:p>
          <w:p w14:paraId="229B700D" w14:textId="19D7C054" w:rsidR="00DA560F" w:rsidRPr="00930237" w:rsidRDefault="00DA560F" w:rsidP="00DA560F">
            <w:pPr>
              <w:spacing w:before="0" w:after="0"/>
              <w:rPr>
                <w:sz w:val="20"/>
              </w:rPr>
            </w:pPr>
            <w:r w:rsidRPr="00930237">
              <w:rPr>
                <w:sz w:val="20"/>
              </w:rPr>
              <w:t xml:space="preserve"> </w:t>
            </w:r>
          </w:p>
        </w:tc>
        <w:tc>
          <w:tcPr>
            <w:tcW w:w="3685" w:type="pct"/>
          </w:tcPr>
          <w:p w14:paraId="402658AC" w14:textId="479B1993" w:rsidR="00DA560F" w:rsidRDefault="00DA560F" w:rsidP="00DA560F">
            <w:pPr>
              <w:spacing w:before="0" w:after="0"/>
              <w:rPr>
                <w:rFonts w:eastAsia="Times New Roman"/>
                <w:iCs/>
                <w:noProof/>
                <w:sz w:val="20"/>
              </w:rPr>
            </w:pPr>
            <w:r w:rsidRPr="00930237">
              <w:rPr>
                <w:rFonts w:eastAsia="Times New Roman"/>
                <w:iCs/>
                <w:noProof/>
                <w:sz w:val="20"/>
              </w:rPr>
              <w:t>2019.gadā 8,7% jauniešu (18 - 24 gadi) priekšlaicīgi pārtrauc izglītības ieguvi, t.sk. 10,5% vīrieši, 6,8% sievietes; pilsētās 6,2%, bet laukos 13,4%. OECD PISA 2018 pētījuma secinājumi liecina, ka viens no faktoriem, kas visvairāk ietekmē nevienlīdzīgu pieeju labai izglītībai, ir ģimenes sociāli-ekonomiskais stāvoklis un vecāku izglītības līmenis, kas ietekmē arī mobinga risku un tālākās karjeras izvēli.</w:t>
            </w:r>
          </w:p>
          <w:p w14:paraId="1A248FEF" w14:textId="3B94564A" w:rsidR="00DA560F" w:rsidRPr="00930237" w:rsidRDefault="00DA560F" w:rsidP="00DA560F">
            <w:pPr>
              <w:spacing w:before="0" w:after="0"/>
              <w:rPr>
                <w:rFonts w:eastAsia="Times New Roman"/>
                <w:iCs/>
                <w:noProof/>
                <w:sz w:val="20"/>
              </w:rPr>
            </w:pPr>
            <w:r w:rsidRPr="002834E0">
              <w:rPr>
                <w:rFonts w:eastAsia="Times New Roman"/>
                <w:iCs/>
                <w:noProof/>
                <w:sz w:val="20"/>
              </w:rPr>
              <w:t>Lai mazinātu sociālo atstumtību un COVID-19 krīzes ietekmi uz izglītības pieejamību, plānots paplašināt piekļuvi kvalitatīvai izglītībai, tostarp attīstot neformālās izglītības iespējas, īpaši bērniem un jauniešiem ar ierobežotām iespējām: ar speciālām vajadzībām, mācīšanās traucējumiem un mācību grūtībām, nabadzības riskam pakļautajiem, ilgstoši slimojošajiem, remigrantiem, imigrantiem u.c., mazinot priekšlaicīgas mācību pamešanas un NEET risku. Plānots atbalsts pilsoniskās iniciatīvas attīstībai, skolas kā kopienas centra stiprināšanai, sadarbībai ar vecākiem un sabiedrības izpratnes veicināšanai par iekļaujošu izglītību.</w:t>
            </w:r>
          </w:p>
          <w:p w14:paraId="07B28850" w14:textId="77777777" w:rsidR="00DA560F" w:rsidRPr="00930237" w:rsidRDefault="00DA560F" w:rsidP="00DA560F">
            <w:pPr>
              <w:spacing w:before="0" w:after="0"/>
              <w:rPr>
                <w:rFonts w:eastAsia="Times New Roman"/>
                <w:iCs/>
                <w:noProof/>
                <w:sz w:val="20"/>
              </w:rPr>
            </w:pPr>
            <w:r w:rsidRPr="00930237">
              <w:rPr>
                <w:rFonts w:eastAsia="Times New Roman"/>
                <w:iCs/>
                <w:noProof/>
                <w:sz w:val="20"/>
              </w:rPr>
              <w:t>Zems izglītības līmenis ir būtisks riska faktors jauniešiem nokļūt NEET situācijā. 2018.gadā Latvijā 12,7% jauniešu vecumā no 15-34 gadiem (11,6% 15-29 gadi) atradās NEET situācijā un nesniedza ieguldījumu valsts ekonomikā. Latvijā ir augsts tādu jauniešu īpatsvars, kuriem ir nepietiekams izglītības līmenis un kuri neturpina mācības.</w:t>
            </w:r>
          </w:p>
          <w:p w14:paraId="67241949" w14:textId="41796EED" w:rsidR="00DA560F" w:rsidRPr="00930237" w:rsidRDefault="00DA560F" w:rsidP="00DA560F">
            <w:pPr>
              <w:spacing w:before="0" w:after="0"/>
              <w:rPr>
                <w:rFonts w:eastAsia="Times New Roman"/>
                <w:iCs/>
                <w:noProof/>
                <w:sz w:val="20"/>
              </w:rPr>
            </w:pPr>
            <w:r w:rsidRPr="002834E0">
              <w:rPr>
                <w:sz w:val="20"/>
              </w:rPr>
              <w:t xml:space="preserve">Lai veicinātu iekļaujošu izglītību, piekļuvi kvalitatīvai izglītībai un mazinātu COVID-19 krīzes ietekmi, paredzēts īstenot preventīvus pasākumus izglītības pārtraukšanas riska mazināšanai, kā arī sociālās iekļaušanas, brīvā laika un bērnu pieskatīšanas pakalpojumu pieejamības veicināšanai. Specifisks atbalsts paredzēts NEET jauniešiem un personām ar invaliditāti, veicinot arī neformālās izglītības ieguvi. Minētie pasākumi sekmēs </w:t>
            </w:r>
            <w:r w:rsidRPr="00930237">
              <w:rPr>
                <w:sz w:val="20"/>
              </w:rPr>
              <w:t xml:space="preserve"> līdzdalību izglītībā, kā arī sniegs ieguldījumu jauniešu kopējai labbūtībai, mazinot nabadzības un sociālās atstumtības risku nākotnē</w:t>
            </w:r>
            <w:r>
              <w:rPr>
                <w:sz w:val="20"/>
              </w:rPr>
              <w:t>, sekmējot jauniešu palikšanu reģionos</w:t>
            </w:r>
            <w:r w:rsidRPr="00930237">
              <w:rPr>
                <w:sz w:val="20"/>
              </w:rPr>
              <w:t>.</w:t>
            </w:r>
          </w:p>
        </w:tc>
      </w:tr>
      <w:tr w:rsidR="00DA560F" w:rsidRPr="00930237" w14:paraId="3A73E019" w14:textId="77777777" w:rsidTr="000E58E3">
        <w:trPr>
          <w:trHeight w:val="657"/>
        </w:trPr>
        <w:tc>
          <w:tcPr>
            <w:tcW w:w="556" w:type="pct"/>
            <w:vMerge/>
          </w:tcPr>
          <w:p w14:paraId="46FFD622" w14:textId="77777777" w:rsidR="00DA560F" w:rsidRPr="00930237" w:rsidRDefault="00DA560F" w:rsidP="00DA560F">
            <w:pPr>
              <w:spacing w:before="0" w:after="0"/>
              <w:rPr>
                <w:rFonts w:eastAsia="Times New Roman"/>
                <w:iCs/>
                <w:noProof/>
                <w:sz w:val="20"/>
              </w:rPr>
            </w:pPr>
          </w:p>
        </w:tc>
        <w:tc>
          <w:tcPr>
            <w:tcW w:w="759" w:type="pct"/>
          </w:tcPr>
          <w:p w14:paraId="5FC6A865" w14:textId="66FE1826" w:rsidR="00DA560F" w:rsidRPr="00930237" w:rsidRDefault="00DA560F" w:rsidP="00DA560F">
            <w:pPr>
              <w:spacing w:before="0" w:after="0"/>
              <w:rPr>
                <w:sz w:val="20"/>
              </w:rPr>
            </w:pPr>
            <w:r w:rsidRPr="00930237">
              <w:rPr>
                <w:sz w:val="20"/>
              </w:rPr>
              <w:t>4.2.4.SAM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veicinot profesionālo mobilitāti.</w:t>
            </w:r>
          </w:p>
          <w:p w14:paraId="633726EC" w14:textId="3A22AE08" w:rsidR="00DA560F" w:rsidRPr="00930237" w:rsidRDefault="00DA560F" w:rsidP="00DA560F">
            <w:pPr>
              <w:spacing w:before="0" w:after="0"/>
              <w:rPr>
                <w:sz w:val="20"/>
              </w:rPr>
            </w:pPr>
            <w:r w:rsidRPr="00930237">
              <w:rPr>
                <w:sz w:val="20"/>
              </w:rPr>
              <w:t xml:space="preserve"> </w:t>
            </w:r>
          </w:p>
        </w:tc>
        <w:tc>
          <w:tcPr>
            <w:tcW w:w="3685" w:type="pct"/>
          </w:tcPr>
          <w:p w14:paraId="55DD0BB7" w14:textId="54BE8753" w:rsidR="00DA560F" w:rsidRDefault="00DA560F" w:rsidP="00DA560F">
            <w:pPr>
              <w:spacing w:before="0" w:after="0"/>
              <w:rPr>
                <w:rFonts w:eastAsia="Times New Roman"/>
                <w:iCs/>
                <w:noProof/>
                <w:sz w:val="20"/>
              </w:rPr>
            </w:pPr>
            <w:r w:rsidRPr="00930237">
              <w:rPr>
                <w:rFonts w:eastAsia="Times New Roman"/>
                <w:iCs/>
                <w:noProof/>
                <w:sz w:val="20"/>
              </w:rPr>
              <w:t>Iedzīvotāju iesaiste pieaugušo izglītībā Latvijā joprojām ir zema (2018.gadā – 6,7%) un vairāk nekā divas reizes atpaliek no noteiktā mērķa līdz 2020.gadam sasniegt 15% iedzīvotāju vecumā no 25-64 gadiem iesaisti pieaugušo izglītības pasākumos. Vienlaikus darba tirgū trūkst augsti kvalificēta darbaspēka, un mazkvalificētu darba ņēmēju piedāvājums pārsniedz pieprasījumu. Tāpat tikai 43% Latvijas iedzīvotāju vecumā no 16 līdz 74 gadiem ir digitālās pamatprasmes (ES vidēji - 58%), kas ir būtisks priekšnosacījums iedzīvotāju sekmīgai iekļaušanai sabiedrības pamatprocesos, kas arvien plašākā mērā notiek tikai digitālā vidē</w:t>
            </w:r>
            <w:r>
              <w:rPr>
                <w:rFonts w:eastAsia="Times New Roman"/>
                <w:iCs/>
                <w:noProof/>
                <w:sz w:val="20"/>
              </w:rPr>
              <w:t>.</w:t>
            </w:r>
          </w:p>
          <w:p w14:paraId="1C175F79" w14:textId="68A29579" w:rsidR="00DA560F" w:rsidRPr="00930237" w:rsidRDefault="00DA560F" w:rsidP="00DA560F">
            <w:pPr>
              <w:spacing w:before="0" w:after="0"/>
              <w:rPr>
                <w:rFonts w:eastAsia="Times New Roman"/>
                <w:iCs/>
                <w:noProof/>
                <w:sz w:val="20"/>
              </w:rPr>
            </w:pPr>
            <w:r w:rsidRPr="001B0AF8">
              <w:rPr>
                <w:rFonts w:eastAsia="Times New Roman"/>
                <w:iCs/>
                <w:noProof/>
                <w:sz w:val="20"/>
              </w:rPr>
              <w:t xml:space="preserve">Tehnoloģiju attīstība, digitalizācija, automatizācija un rada </w:t>
            </w:r>
            <w:r w:rsidR="00A21383">
              <w:rPr>
                <w:rFonts w:eastAsia="Times New Roman"/>
                <w:iCs/>
                <w:noProof/>
                <w:sz w:val="20"/>
              </w:rPr>
              <w:t xml:space="preserve">konkurenci un </w:t>
            </w:r>
            <w:r w:rsidRPr="001B0AF8">
              <w:rPr>
                <w:rFonts w:eastAsia="Times New Roman"/>
                <w:iCs/>
                <w:noProof/>
                <w:sz w:val="20"/>
              </w:rPr>
              <w:t>nepieciešamīb</w:t>
            </w:r>
            <w:r w:rsidR="00A21383">
              <w:rPr>
                <w:rFonts w:eastAsia="Times New Roman"/>
                <w:iCs/>
                <w:noProof/>
                <w:sz w:val="20"/>
              </w:rPr>
              <w:t>u</w:t>
            </w:r>
            <w:r w:rsidRPr="001B0AF8">
              <w:rPr>
                <w:rFonts w:eastAsia="Times New Roman"/>
                <w:iCs/>
                <w:noProof/>
                <w:sz w:val="20"/>
              </w:rPr>
              <w:t xml:space="preserve"> pēc jaunām prasmēm, pēc kvalificēta darbaspēka, kas iedzīvotājiem nozīmē nepārtrauktu personīgo attīstību – gan celt personiskās pr</w:t>
            </w:r>
            <w:r>
              <w:rPr>
                <w:rFonts w:eastAsia="Times New Roman"/>
                <w:iCs/>
                <w:noProof/>
                <w:sz w:val="20"/>
              </w:rPr>
              <w:t>a</w:t>
            </w:r>
            <w:r w:rsidRPr="001B0AF8">
              <w:rPr>
                <w:rFonts w:eastAsia="Times New Roman"/>
                <w:iCs/>
                <w:noProof/>
                <w:sz w:val="20"/>
              </w:rPr>
              <w:t>smes, gan profesionālās kompetences</w:t>
            </w:r>
            <w:r>
              <w:rPr>
                <w:rFonts w:eastAsia="Times New Roman"/>
                <w:iCs/>
                <w:noProof/>
                <w:sz w:val="20"/>
              </w:rPr>
              <w:t>.</w:t>
            </w:r>
            <w:r w:rsidR="00A21383">
              <w:rPr>
                <w:rFonts w:eastAsia="Times New Roman"/>
                <w:iCs/>
                <w:noProof/>
                <w:sz w:val="20"/>
              </w:rPr>
              <w:t xml:space="preserve"> </w:t>
            </w:r>
            <w:r w:rsidRPr="00930237">
              <w:rPr>
                <w:rFonts w:eastAsia="Times New Roman"/>
                <w:iCs/>
                <w:noProof/>
                <w:sz w:val="20"/>
              </w:rPr>
              <w:t xml:space="preserve">Plānots atbalstīt nozaru un </w:t>
            </w:r>
            <w:r>
              <w:rPr>
                <w:rFonts w:eastAsia="Times New Roman"/>
                <w:iCs/>
                <w:noProof/>
                <w:sz w:val="20"/>
              </w:rPr>
              <w:t>nodarbināto</w:t>
            </w:r>
            <w:r w:rsidRPr="00930237">
              <w:rPr>
                <w:rFonts w:eastAsia="Times New Roman"/>
                <w:iCs/>
                <w:noProof/>
                <w:sz w:val="20"/>
              </w:rPr>
              <w:t xml:space="preserve"> individuālajās vajadzībās balstītu pieaugušo izglītību</w:t>
            </w:r>
            <w:r>
              <w:rPr>
                <w:rFonts w:eastAsia="Times New Roman"/>
                <w:iCs/>
                <w:noProof/>
                <w:sz w:val="20"/>
              </w:rPr>
              <w:t>, t.sk. sasaistē ar reģionu darba tirgus specifiku,</w:t>
            </w:r>
            <w:r>
              <w:t xml:space="preserve"> </w:t>
            </w:r>
            <w:r w:rsidRPr="001B0AF8">
              <w:rPr>
                <w:rFonts w:eastAsia="Times New Roman"/>
                <w:iCs/>
                <w:noProof/>
                <w:sz w:val="20"/>
              </w:rPr>
              <w:t>ceļot nodarbināto personisko un profesionālo kapacitāti</w:t>
            </w:r>
            <w:r>
              <w:rPr>
                <w:rFonts w:eastAsia="Times New Roman"/>
                <w:iCs/>
                <w:noProof/>
                <w:sz w:val="20"/>
              </w:rPr>
              <w:t>,</w:t>
            </w:r>
            <w:r w:rsidRPr="00930237">
              <w:rPr>
                <w:rFonts w:eastAsia="Times New Roman"/>
                <w:iCs/>
                <w:noProof/>
                <w:sz w:val="20"/>
              </w:rPr>
              <w:t xml:space="preserve"> digitālo prasmju attīstību </w:t>
            </w:r>
            <w:r>
              <w:rPr>
                <w:rFonts w:eastAsia="Times New Roman"/>
                <w:iCs/>
                <w:noProof/>
                <w:sz w:val="20"/>
              </w:rPr>
              <w:t>(</w:t>
            </w:r>
            <w:r w:rsidRPr="00930237">
              <w:rPr>
                <w:rFonts w:eastAsia="Times New Roman"/>
                <w:iCs/>
                <w:noProof/>
                <w:sz w:val="20"/>
              </w:rPr>
              <w:t>piemēram, digitālo prasmju mācību programmas īstenošana</w:t>
            </w:r>
            <w:r w:rsidR="00736BAE">
              <w:rPr>
                <w:rFonts w:eastAsia="Times New Roman"/>
                <w:iCs/>
                <w:noProof/>
                <w:sz w:val="20"/>
              </w:rPr>
              <w:t>)</w:t>
            </w:r>
            <w:r w:rsidRPr="00930237">
              <w:rPr>
                <w:rFonts w:eastAsia="Times New Roman"/>
                <w:iCs/>
                <w:noProof/>
                <w:sz w:val="20"/>
              </w:rPr>
              <w:t xml:space="preserve">, </w:t>
            </w:r>
            <w:r w:rsidR="00736BAE">
              <w:rPr>
                <w:rFonts w:eastAsia="Times New Roman"/>
                <w:iCs/>
                <w:noProof/>
                <w:sz w:val="20"/>
              </w:rPr>
              <w:t>nodrošinot</w:t>
            </w:r>
            <w:r w:rsidRPr="00930237">
              <w:rPr>
                <w:rFonts w:eastAsia="Times New Roman"/>
                <w:iCs/>
                <w:noProof/>
                <w:sz w:val="20"/>
              </w:rPr>
              <w:t xml:space="preserve"> digitālo aģentu un mentoru </w:t>
            </w:r>
            <w:r w:rsidR="00736BAE">
              <w:rPr>
                <w:rFonts w:eastAsia="Times New Roman"/>
                <w:iCs/>
                <w:noProof/>
                <w:sz w:val="20"/>
              </w:rPr>
              <w:t>atbalstu digitālo prasmju</w:t>
            </w:r>
            <w:r w:rsidR="00736BAE" w:rsidRPr="00930237">
              <w:rPr>
                <w:rFonts w:eastAsia="Times New Roman"/>
                <w:iCs/>
                <w:noProof/>
                <w:sz w:val="20"/>
              </w:rPr>
              <w:t xml:space="preserve"> </w:t>
            </w:r>
            <w:r w:rsidRPr="00930237">
              <w:rPr>
                <w:rFonts w:eastAsia="Times New Roman"/>
                <w:iCs/>
                <w:noProof/>
                <w:sz w:val="20"/>
              </w:rPr>
              <w:t>kompetenču attīstīb</w:t>
            </w:r>
            <w:r w:rsidR="00736BAE">
              <w:rPr>
                <w:rFonts w:eastAsia="Times New Roman"/>
                <w:iCs/>
                <w:noProof/>
                <w:sz w:val="20"/>
              </w:rPr>
              <w:t>ai</w:t>
            </w:r>
            <w:r w:rsidRPr="00930237">
              <w:rPr>
                <w:rFonts w:eastAsia="Times New Roman"/>
                <w:iCs/>
                <w:noProof/>
                <w:sz w:val="20"/>
              </w:rPr>
              <w:t>, uz sabiedrību un uzņēmējiem orientēto digitālo iespēju un platformu izmantošanas veicināšanu</w:t>
            </w:r>
            <w:r w:rsidR="00736BAE">
              <w:rPr>
                <w:rFonts w:eastAsia="Times New Roman"/>
                <w:iCs/>
                <w:noProof/>
                <w:sz w:val="20"/>
              </w:rPr>
              <w:t xml:space="preserve">, </w:t>
            </w:r>
            <w:r w:rsidRPr="00930237">
              <w:rPr>
                <w:rFonts w:eastAsia="Times New Roman"/>
                <w:iCs/>
                <w:noProof/>
                <w:sz w:val="20"/>
              </w:rPr>
              <w:t xml:space="preserve"> </w:t>
            </w:r>
            <w:r w:rsidR="00736BAE" w:rsidRPr="00736BAE">
              <w:rPr>
                <w:rFonts w:eastAsia="Times New Roman"/>
                <w:iCs/>
                <w:noProof/>
                <w:sz w:val="20"/>
              </w:rPr>
              <w:t>tādējādi paaugstinot IKT iespēju izmantošanu un mazinot digitālo plaisu sabiedrībā</w:t>
            </w:r>
            <w:r w:rsidRPr="00930237">
              <w:rPr>
                <w:rFonts w:eastAsia="Times New Roman"/>
                <w:iCs/>
                <w:noProof/>
                <w:sz w:val="20"/>
              </w:rPr>
              <w:t>.</w:t>
            </w:r>
          </w:p>
          <w:p w14:paraId="47B65F53" w14:textId="64D25830" w:rsidR="00DA560F" w:rsidRPr="00930237" w:rsidRDefault="00DA560F" w:rsidP="00DA560F">
            <w:pPr>
              <w:spacing w:before="0" w:after="0"/>
              <w:rPr>
                <w:rFonts w:eastAsia="Times New Roman"/>
                <w:iCs/>
                <w:noProof/>
                <w:sz w:val="20"/>
              </w:rPr>
            </w:pPr>
            <w:r w:rsidRPr="00930237">
              <w:rPr>
                <w:rFonts w:eastAsia="Times New Roman"/>
                <w:iCs/>
                <w:noProof/>
                <w:sz w:val="20"/>
              </w:rPr>
              <w:t xml:space="preserve">Ieguldījumi uzlabos </w:t>
            </w:r>
            <w:r w:rsidRPr="001B0AF8">
              <w:rPr>
                <w:rFonts w:eastAsia="Times New Roman"/>
                <w:iCs/>
                <w:noProof/>
                <w:sz w:val="20"/>
              </w:rPr>
              <w:t>darba spēka kvalitāti, efektivitāti un arī produktivitāti</w:t>
            </w:r>
            <w:r>
              <w:rPr>
                <w:rFonts w:eastAsia="Times New Roman"/>
                <w:iCs/>
                <w:noProof/>
                <w:sz w:val="20"/>
              </w:rPr>
              <w:t xml:space="preserve">, </w:t>
            </w:r>
            <w:r w:rsidRPr="00930237">
              <w:rPr>
                <w:rFonts w:eastAsia="Times New Roman"/>
                <w:iCs/>
                <w:noProof/>
                <w:sz w:val="20"/>
              </w:rPr>
              <w:t xml:space="preserve"> palielinot līdzdalību pieaugušo izglītībā, paredzot elastīgas iespējas prasmju pilnveidei un pārkvalifikācijai,</w:t>
            </w:r>
            <w:r>
              <w:rPr>
                <w:rFonts w:eastAsia="Times New Roman"/>
                <w:iCs/>
                <w:noProof/>
                <w:sz w:val="20"/>
              </w:rPr>
              <w:t xml:space="preserve"> </w:t>
            </w:r>
            <w:r w:rsidRPr="001B0AF8">
              <w:rPr>
                <w:rFonts w:eastAsia="Times New Roman"/>
                <w:iCs/>
                <w:noProof/>
                <w:sz w:val="20"/>
              </w:rPr>
              <w:t>tādejādi nodrošinot darba spēju celšanu un iedzīvotāju noturību darba tirgū</w:t>
            </w:r>
            <w:r>
              <w:rPr>
                <w:rFonts w:eastAsia="Times New Roman"/>
                <w:iCs/>
                <w:noProof/>
                <w:sz w:val="20"/>
              </w:rPr>
              <w:t>.</w:t>
            </w:r>
            <w:r w:rsidRPr="001B0AF8">
              <w:rPr>
                <w:rFonts w:eastAsia="Times New Roman"/>
                <w:iCs/>
                <w:noProof/>
                <w:sz w:val="20"/>
              </w:rPr>
              <w:t xml:space="preserve"> </w:t>
            </w:r>
            <w:r w:rsidRPr="00930237">
              <w:rPr>
                <w:rFonts w:eastAsia="Times New Roman"/>
                <w:iCs/>
                <w:noProof/>
                <w:sz w:val="20"/>
              </w:rPr>
              <w:t>Mācību veicināšana starp mazkvalificētiem darba ņēmējiem palīdzēs sasniegt Eiropas sociālo tiesību pīlāra 1.principu, tādejādi arī veicinot virzību uz ANO ilgtspējīgas attīstības 4. un 8. mērķi</w:t>
            </w:r>
            <w:r w:rsidRPr="00930237">
              <w:rPr>
                <w:rFonts w:eastAsia="Times New Roman"/>
                <w:iCs/>
                <w:noProof/>
                <w:sz w:val="20"/>
                <w:vertAlign w:val="superscript"/>
              </w:rPr>
              <w:footnoteReference w:id="84"/>
            </w:r>
            <w:r w:rsidRPr="00930237">
              <w:rPr>
                <w:rFonts w:eastAsia="Times New Roman"/>
                <w:iCs/>
                <w:noProof/>
                <w:sz w:val="20"/>
              </w:rPr>
              <w:t>.</w:t>
            </w:r>
          </w:p>
        </w:tc>
      </w:tr>
      <w:tr w:rsidR="00DA560F" w:rsidRPr="00930237" w14:paraId="56A1AFA7" w14:textId="77777777" w:rsidTr="000E58E3">
        <w:tc>
          <w:tcPr>
            <w:tcW w:w="556" w:type="pct"/>
            <w:vMerge/>
          </w:tcPr>
          <w:p w14:paraId="0A68FCF9" w14:textId="77777777" w:rsidR="00DA560F" w:rsidRPr="00930237" w:rsidRDefault="00DA560F" w:rsidP="00DA560F">
            <w:pPr>
              <w:spacing w:before="0" w:after="0"/>
              <w:rPr>
                <w:rFonts w:eastAsia="Times New Roman"/>
                <w:iCs/>
                <w:noProof/>
                <w:sz w:val="20"/>
              </w:rPr>
            </w:pPr>
          </w:p>
        </w:tc>
        <w:tc>
          <w:tcPr>
            <w:tcW w:w="759" w:type="pct"/>
          </w:tcPr>
          <w:p w14:paraId="78BD806B" w14:textId="10B48666" w:rsidR="00DA560F" w:rsidRPr="00930237" w:rsidRDefault="00DA560F" w:rsidP="00DA560F">
            <w:pPr>
              <w:spacing w:before="0" w:after="0"/>
              <w:rPr>
                <w:sz w:val="20"/>
              </w:rPr>
            </w:pPr>
            <w:r w:rsidRPr="00930237">
              <w:rPr>
                <w:sz w:val="20"/>
              </w:rPr>
              <w:t>4.3.1.SAM Veicināt sociāli atstumto kopienu, migrantu un nelabvēlīgā situācijā esošo grupu sociāli ekonomisko integrāciju, izmantojot integrētus pasākumus, tostarp mājokļu un sociālo pakalpojumu jomā.</w:t>
            </w:r>
          </w:p>
          <w:p w14:paraId="18F49045" w14:textId="5C30573B" w:rsidR="00DA560F" w:rsidRPr="00930237" w:rsidRDefault="00DA560F" w:rsidP="00DA560F">
            <w:pPr>
              <w:spacing w:before="0" w:after="0"/>
              <w:rPr>
                <w:sz w:val="20"/>
              </w:rPr>
            </w:pPr>
            <w:r w:rsidRPr="00930237">
              <w:rPr>
                <w:sz w:val="20"/>
              </w:rPr>
              <w:t xml:space="preserve"> </w:t>
            </w:r>
          </w:p>
        </w:tc>
        <w:tc>
          <w:tcPr>
            <w:tcW w:w="3685" w:type="pct"/>
          </w:tcPr>
          <w:p w14:paraId="4F1EF8E6" w14:textId="4A029AFD" w:rsidR="00DA560F" w:rsidRPr="00342E79" w:rsidRDefault="00DA560F" w:rsidP="00DA560F">
            <w:pPr>
              <w:spacing w:before="0" w:after="0"/>
              <w:rPr>
                <w:rFonts w:eastAsia="Times New Roman"/>
                <w:sz w:val="20"/>
              </w:rPr>
            </w:pPr>
            <w:r w:rsidRPr="00342E79">
              <w:rPr>
                <w:rFonts w:eastAsia="Times New Roman"/>
                <w:sz w:val="20"/>
              </w:rPr>
              <w:t>Neraugoties uz uzsākto pāreju no institucionālās aprūpes uz aprūpi kopienā,  liels skaits personu joprojām dzīvo institucionā</w:t>
            </w:r>
            <w:r>
              <w:rPr>
                <w:rFonts w:eastAsia="Times New Roman"/>
                <w:sz w:val="20"/>
              </w:rPr>
              <w:t xml:space="preserve">lajā vidē – 5010 (2019.gadā). </w:t>
            </w:r>
            <w:r w:rsidRPr="00342E79">
              <w:rPr>
                <w:rFonts w:eastAsia="Times New Roman"/>
                <w:sz w:val="20"/>
              </w:rPr>
              <w:t xml:space="preserve"> </w:t>
            </w:r>
          </w:p>
          <w:p w14:paraId="723F723C" w14:textId="77777777" w:rsidR="00DA560F" w:rsidRPr="00342E79" w:rsidRDefault="00DA560F" w:rsidP="00DA560F">
            <w:pPr>
              <w:spacing w:before="0" w:after="0"/>
              <w:rPr>
                <w:rFonts w:eastAsia="Times New Roman"/>
                <w:sz w:val="20"/>
              </w:rPr>
            </w:pPr>
            <w:r w:rsidRPr="00342E79">
              <w:rPr>
                <w:rFonts w:eastAsia="Times New Roman"/>
                <w:sz w:val="20"/>
              </w:rPr>
              <w:t>Ieguldījumi plānoti ģimeniskai videi pietuvinātu pakalpojumu infrastruktūras izveidei, izveidojot infrastruktūru jaunai valsts sociālās aprūpes centru pakalpojumu formai (5 pakalpojumu sniegšanas vietas x 24 bērni), tuvinot tos kopienā sniegtajiem pakalpojumiem. Atbalsts palielinās pakalpojuma pieejamību, kvalitāti un efektivitāti, sekmējot cilvēka neatkarīgas dzīves iespējas un dzīves kvalitātes saglabāšanu vai uzlabošanu, nodrošinot nepieciešamo atbalstu un vidi ārpusģimenes aprūpē esošiem bērniem un jauniešiem.</w:t>
            </w:r>
          </w:p>
          <w:p w14:paraId="070E4A1B" w14:textId="404D3453" w:rsidR="00DA560F" w:rsidRPr="00342E79" w:rsidRDefault="00DA560F" w:rsidP="00DA560F">
            <w:pPr>
              <w:spacing w:before="0" w:after="0"/>
              <w:rPr>
                <w:rFonts w:eastAsia="Times New Roman"/>
                <w:sz w:val="20"/>
              </w:rPr>
            </w:pPr>
            <w:r w:rsidRPr="00342E79">
              <w:rPr>
                <w:rFonts w:eastAsia="Times New Roman"/>
                <w:sz w:val="20"/>
              </w:rPr>
              <w:t>Kvalitatīvu mājokļu pieejamība par pieņemamu cenu ir svarīga cilvēku pamattiesību nodrošināšanai, nodarbinātības sasniedzamībai, mājsaimniecību labklājības līmeņa celšanai un demogrāfijas izaicinājumu risināšanai. Trūkst sociālo mājokļu, kas būtu piemēroti dzīvošanai un izvietoti tuvu darbavietām. Sociālie mājokļi 2016.gadā veidoja tikai 0,4% no mājokļu fonda (ES vidēji 8%). Personas, kuras reģistrētas pašvaldības palīdzības reģistrā mājokļa jautājuma risināšanai 2018.gadā ir 7215. Savukārt mājsaimniecību īpatsvars, kurām kopējie ar mājokli saistītie izdevumi sagādā finansiālas grūtības (ļoti apgrūtinoši/nedaudz apgrūtinoši) – 75,6%. Ieguldījumi plānoti jaunu sociālo</w:t>
            </w:r>
            <w:r w:rsidR="00AD0436">
              <w:rPr>
                <w:rFonts w:eastAsia="Times New Roman"/>
                <w:sz w:val="20"/>
              </w:rPr>
              <w:t xml:space="preserve"> </w:t>
            </w:r>
            <w:r w:rsidR="00AD0436" w:rsidRPr="505909CE">
              <w:rPr>
                <w:rFonts w:eastAsia="Times New Roman"/>
                <w:sz w:val="20"/>
              </w:rPr>
              <w:t xml:space="preserve">vai </w:t>
            </w:r>
            <w:r w:rsidR="00AD0436" w:rsidRPr="06647948">
              <w:rPr>
                <w:rFonts w:eastAsia="Times New Roman"/>
                <w:sz w:val="20"/>
              </w:rPr>
              <w:t xml:space="preserve">pašvaldības īres </w:t>
            </w:r>
            <w:r w:rsidR="00AD0436" w:rsidRPr="34067C1D">
              <w:rPr>
                <w:rFonts w:eastAsia="Times New Roman"/>
                <w:sz w:val="20"/>
              </w:rPr>
              <w:t>mājokļu</w:t>
            </w:r>
            <w:r w:rsidRPr="00342E79">
              <w:rPr>
                <w:rFonts w:eastAsia="Times New Roman"/>
                <w:sz w:val="20"/>
              </w:rPr>
              <w:t xml:space="preserve"> veidošanai, teritorijās ar nodarbinātības iespējām un sliktā tehniskā stāvoklī esošo sociālo</w:t>
            </w:r>
            <w:r w:rsidR="00BE3A03">
              <w:rPr>
                <w:rFonts w:eastAsia="Times New Roman"/>
                <w:sz w:val="20"/>
              </w:rPr>
              <w:t xml:space="preserve"> </w:t>
            </w:r>
            <w:r w:rsidR="00BE3A03" w:rsidRPr="34067C1D">
              <w:rPr>
                <w:rFonts w:eastAsia="Times New Roman"/>
                <w:sz w:val="20"/>
              </w:rPr>
              <w:t>vai pašvaldības īres</w:t>
            </w:r>
            <w:r w:rsidRPr="00342E79">
              <w:rPr>
                <w:rFonts w:eastAsia="Times New Roman"/>
                <w:sz w:val="20"/>
              </w:rPr>
              <w:t xml:space="preserve"> mājokļu atjaunošanai, ņemot vērā dažādu vecuma grupu un sociālo grupu mājokļu vajadzības.</w:t>
            </w:r>
            <w:r w:rsidR="00AD0436">
              <w:rPr>
                <w:rFonts w:eastAsia="Times New Roman"/>
                <w:sz w:val="20"/>
              </w:rPr>
              <w:t xml:space="preserve"> </w:t>
            </w:r>
            <w:r w:rsidR="00AD0436" w:rsidRPr="65C14514">
              <w:rPr>
                <w:rFonts w:eastAsia="Times New Roman"/>
                <w:sz w:val="20"/>
              </w:rPr>
              <w:t>Programmas ietvaros izveidotie mājokļi būtu pieejami mazaizsargātākajiem iedzīvotājiem atbilstoši likumam “Par palīdzību dzīvokļa jautājumu risināšanā" un likumam “Par sociālajiem dzīvokļiem un sociālajām dzīvojamām mājām".</w:t>
            </w:r>
            <w:r w:rsidR="00AD0436" w:rsidRPr="788C71D0">
              <w:rPr>
                <w:rFonts w:eastAsia="Times New Roman"/>
                <w:sz w:val="20"/>
              </w:rPr>
              <w:t xml:space="preserve"> </w:t>
            </w:r>
            <w:r w:rsidR="00AD0436" w:rsidRPr="34067C1D">
              <w:rPr>
                <w:rFonts w:eastAsia="Times New Roman"/>
                <w:sz w:val="20"/>
              </w:rPr>
              <w:t xml:space="preserve">Paredzams, ka šāds atbalsts prioritāri tiktu sniegts pašvaldībām, kuru teritorijā tiek </w:t>
            </w:r>
            <w:r w:rsidR="00AD0436" w:rsidRPr="788C71D0">
              <w:rPr>
                <w:rFonts w:eastAsia="Times New Roman"/>
                <w:sz w:val="20"/>
              </w:rPr>
              <w:t>nodrošināta sabiedrībā balstītu sociālo pakalpojumu sniegšana.</w:t>
            </w:r>
          </w:p>
          <w:p w14:paraId="0D0F57BA" w14:textId="77777777" w:rsidR="00DA560F" w:rsidRDefault="00DA560F" w:rsidP="00DA560F">
            <w:pPr>
              <w:spacing w:before="0" w:after="0"/>
              <w:rPr>
                <w:rFonts w:eastAsia="Times New Roman"/>
                <w:sz w:val="20"/>
              </w:rPr>
            </w:pPr>
            <w:r w:rsidRPr="00342E79">
              <w:rPr>
                <w:rFonts w:eastAsia="Times New Roman"/>
                <w:sz w:val="20"/>
              </w:rPr>
              <w:t>Cilvēki ar invaliditāti joprojām saskaras ar šķēršļiem, kas kavē tiesību uz patstāvīgu dzīvi īstenošanu un līdzdalību sabiedriskajos procesos. Ieguldījumi plānoti Labklājības ministrijas infrastruktūras fiziskās piekļuves nodrošināšanai,  mājokļu piemērošanai cilvēkiem ar invaliditāti, nodrošinot ANO Konvencijā par personu ar invaliditāti tiesībām noteikto, lai cilvēki ar invaliditāti varētu īstenot visas cilvēktiesības un pamatbrīvības, veicinot tām piemītošās cieņas ievērošanu</w:t>
            </w:r>
            <w:r w:rsidRPr="00930237">
              <w:rPr>
                <w:rFonts w:eastAsia="Times New Roman"/>
                <w:sz w:val="20"/>
              </w:rPr>
              <w:t>.</w:t>
            </w:r>
          </w:p>
          <w:p w14:paraId="67983E7A" w14:textId="03EBEDD3" w:rsidR="00DA560F" w:rsidRPr="00930237" w:rsidRDefault="00DA560F" w:rsidP="00DA560F">
            <w:pPr>
              <w:spacing w:before="0" w:after="0"/>
              <w:rPr>
                <w:rFonts w:eastAsia="Times New Roman"/>
                <w:iCs/>
                <w:noProof/>
                <w:sz w:val="20"/>
              </w:rPr>
            </w:pPr>
          </w:p>
        </w:tc>
      </w:tr>
      <w:tr w:rsidR="00DA560F" w:rsidRPr="00930237" w14:paraId="17A5D3D9" w14:textId="77777777" w:rsidTr="000E58E3">
        <w:tc>
          <w:tcPr>
            <w:tcW w:w="556" w:type="pct"/>
            <w:vMerge/>
          </w:tcPr>
          <w:p w14:paraId="13DC71A3" w14:textId="77777777" w:rsidR="00DA560F" w:rsidRPr="00930237" w:rsidRDefault="00DA560F" w:rsidP="00DA560F">
            <w:pPr>
              <w:spacing w:before="0" w:after="0"/>
              <w:rPr>
                <w:rFonts w:eastAsia="Times New Roman"/>
                <w:iCs/>
                <w:noProof/>
                <w:sz w:val="20"/>
              </w:rPr>
            </w:pPr>
          </w:p>
        </w:tc>
        <w:tc>
          <w:tcPr>
            <w:tcW w:w="759" w:type="pct"/>
          </w:tcPr>
          <w:p w14:paraId="0B003723" w14:textId="27706561" w:rsidR="00DA560F" w:rsidRPr="00930237" w:rsidRDefault="00DA560F" w:rsidP="00DA560F">
            <w:pPr>
              <w:spacing w:before="0" w:after="0"/>
              <w:rPr>
                <w:sz w:val="20"/>
              </w:rPr>
            </w:pPr>
            <w:r w:rsidRPr="00930237">
              <w:rPr>
                <w:sz w:val="20"/>
              </w:rPr>
              <w:t xml:space="preserve">4.3.2. SAM Kultūras un tūrisma lomas palielināšana ekonomiskajā attīstībā, sociālajā iekļaušanā un sociālajās inovācijās </w:t>
            </w:r>
          </w:p>
        </w:tc>
        <w:tc>
          <w:tcPr>
            <w:tcW w:w="3685" w:type="pct"/>
          </w:tcPr>
          <w:p w14:paraId="546B40CC" w14:textId="6CDD272C" w:rsidR="00303BA8" w:rsidRPr="00303BA8" w:rsidRDefault="00303BA8" w:rsidP="00303BA8">
            <w:pPr>
              <w:spacing w:before="0" w:after="0"/>
              <w:rPr>
                <w:rFonts w:eastAsia="Times New Roman"/>
                <w:iCs/>
                <w:noProof/>
                <w:sz w:val="20"/>
                <w:lang w:eastAsia="en-US" w:bidi="ar-SA"/>
              </w:rPr>
            </w:pPr>
            <w:r w:rsidRPr="00303BA8">
              <w:rPr>
                <w:rFonts w:eastAsia="Times New Roman"/>
                <w:iCs/>
                <w:noProof/>
                <w:sz w:val="20"/>
                <w:lang w:eastAsia="en-US" w:bidi="ar-SA"/>
              </w:rPr>
              <w:t>Kultūras nozarē kopumā strādā 45 244 nodokļu maksātāji (t</w:t>
            </w:r>
            <w:r w:rsidR="00AC3040">
              <w:rPr>
                <w:rFonts w:eastAsia="Times New Roman"/>
                <w:iCs/>
                <w:noProof/>
                <w:sz w:val="20"/>
                <w:lang w:eastAsia="en-US" w:bidi="ar-SA"/>
              </w:rPr>
              <w:t>.sk.</w:t>
            </w:r>
            <w:r w:rsidRPr="00303BA8">
              <w:rPr>
                <w:rFonts w:eastAsia="Times New Roman"/>
                <w:iCs/>
                <w:noProof/>
                <w:sz w:val="20"/>
                <w:lang w:eastAsia="en-US" w:bidi="ar-SA"/>
              </w:rPr>
              <w:t xml:space="preserve"> pašnodarbinātās personas un saimnieciskā darba veicēji), tāpat kultūras jomā darbojas 3 397 nevalstiskās organizācijas, kuru mērķis ir dažādu nekomerciālu kultūras pakalpojumu sniegšana. Pieejamie dati norāda, ka COVID-19 izplatības ierobežošanai noteiktie pasākumi ir radījuši smagu ietekmi uz kultūras nozari, kas rada risku augsti kvalificētu profesionāļu aizplūšana no nozares. Publiskās pulcēšanās ierobežojumi ietekmējuši kultūras pasākumu organizēšanu un norisi, savukārt slēgto valsts robežu dēļ cietis arī kultūrtūrisms, kurā kultūras patēriņš ir tūrisma mērķis. Atbilstoši publiskajā vidē izskanējušām prognozēm, nozare paredz, ka Latvijā 2020.gada ieņēmumu kritums varētu būt – 75% pret 2019.gada rādītājiem. </w:t>
            </w:r>
          </w:p>
          <w:p w14:paraId="31A1BE02" w14:textId="2DEC8B54" w:rsidR="00303BA8" w:rsidRPr="00303BA8" w:rsidRDefault="00303BA8" w:rsidP="00303BA8">
            <w:pPr>
              <w:spacing w:before="0" w:after="0"/>
              <w:rPr>
                <w:rFonts w:eastAsia="Times New Roman"/>
                <w:iCs/>
                <w:noProof/>
                <w:sz w:val="20"/>
                <w:lang w:eastAsia="en-US" w:bidi="ar-SA"/>
              </w:rPr>
            </w:pPr>
            <w:r w:rsidRPr="00303BA8">
              <w:rPr>
                <w:rFonts w:eastAsia="Times New Roman"/>
                <w:iCs/>
                <w:noProof/>
                <w:sz w:val="20"/>
                <w:lang w:eastAsia="en-US" w:bidi="ar-SA"/>
              </w:rPr>
              <w:t>Lai risinātu identificētos jautājumus, plānoti pasākumi kultūras organizāciju kapacitātes stiprināšanai, ļaujot saglabāt darba vietas</w:t>
            </w:r>
            <w:r w:rsidR="00B54ABA">
              <w:rPr>
                <w:rFonts w:eastAsia="Times New Roman"/>
                <w:iCs/>
                <w:noProof/>
                <w:sz w:val="20"/>
                <w:lang w:eastAsia="en-US" w:bidi="ar-SA"/>
              </w:rPr>
              <w:t>, t</w:t>
            </w:r>
            <w:r w:rsidR="00AC3040">
              <w:rPr>
                <w:rFonts w:eastAsia="Times New Roman"/>
                <w:iCs/>
                <w:noProof/>
                <w:sz w:val="20"/>
                <w:lang w:eastAsia="en-US" w:bidi="ar-SA"/>
              </w:rPr>
              <w:t>.sk.,</w:t>
            </w:r>
            <w:r w:rsidR="00B54ABA">
              <w:rPr>
                <w:rFonts w:eastAsia="Times New Roman"/>
                <w:iCs/>
                <w:noProof/>
                <w:sz w:val="20"/>
                <w:lang w:eastAsia="en-US" w:bidi="ar-SA"/>
              </w:rPr>
              <w:t xml:space="preserve"> tiem,</w:t>
            </w:r>
            <w:r w:rsidR="00B54ABA" w:rsidRPr="000341BD">
              <w:rPr>
                <w:rFonts w:eastAsia="Times New Roman"/>
                <w:iCs/>
                <w:noProof/>
                <w:sz w:val="20"/>
                <w:lang w:eastAsia="en-US" w:bidi="ar-SA"/>
              </w:rPr>
              <w:t xml:space="preserve"> kurus skārusi Covid-19 krīze</w:t>
            </w:r>
            <w:r w:rsidR="00B54ABA">
              <w:rPr>
                <w:rFonts w:eastAsia="Times New Roman"/>
                <w:iCs/>
                <w:noProof/>
                <w:sz w:val="20"/>
                <w:lang w:eastAsia="en-US" w:bidi="ar-SA"/>
              </w:rPr>
              <w:t xml:space="preserve">, </w:t>
            </w:r>
            <w:r w:rsidRPr="00303BA8">
              <w:rPr>
                <w:rFonts w:eastAsia="Times New Roman"/>
                <w:iCs/>
                <w:noProof/>
                <w:sz w:val="20"/>
                <w:lang w:eastAsia="en-US" w:bidi="ar-SA"/>
              </w:rPr>
              <w:t xml:space="preserve">un sektora ekonomisko aktivitāti, kā arī mazinot darba spēka aizplūšanas risku, vienlaikus attīstot kultūras organizāciju nozīmi kopienas centra funkciju īstenošanā. </w:t>
            </w:r>
          </w:p>
          <w:p w14:paraId="25031BC9" w14:textId="2044C840" w:rsidR="00303BA8" w:rsidRPr="00303BA8" w:rsidRDefault="00303BA8" w:rsidP="00303BA8">
            <w:pPr>
              <w:spacing w:before="0" w:after="0"/>
              <w:rPr>
                <w:rFonts w:eastAsia="Times New Roman"/>
                <w:iCs/>
                <w:noProof/>
                <w:sz w:val="20"/>
                <w:lang w:eastAsia="en-US" w:bidi="ar-SA"/>
              </w:rPr>
            </w:pPr>
            <w:r w:rsidRPr="00303BA8">
              <w:rPr>
                <w:rFonts w:eastAsia="Times New Roman"/>
                <w:iCs/>
                <w:noProof/>
                <w:sz w:val="20"/>
                <w:lang w:eastAsia="en-US" w:bidi="ar-SA"/>
              </w:rPr>
              <w:t>Nepieciešams stiprināt kultūras resursu nozīmi inovāciju, labbūtības, veselības, mūžizglītības un sociālā kapitāla veicināšanā. Lai to panāktu, atbalstāma kultūras līdzdalība, veidojot jaunus kultūras produktus un pakalpojumus, vienlaikus, kuru attīstīšana ļautu veidot arī jaunas darba vietas.Izmantojot</w:t>
            </w:r>
            <w:r w:rsidR="00B54ABA">
              <w:rPr>
                <w:rFonts w:eastAsia="Times New Roman"/>
                <w:iCs/>
                <w:noProof/>
                <w:sz w:val="20"/>
                <w:lang w:eastAsia="en-US" w:bidi="ar-SA"/>
              </w:rPr>
              <w:t xml:space="preserve"> radošo nozaru,</w:t>
            </w:r>
            <w:r w:rsidRPr="00303BA8">
              <w:rPr>
                <w:rFonts w:eastAsia="Times New Roman"/>
                <w:iCs/>
                <w:noProof/>
                <w:sz w:val="20"/>
                <w:lang w:eastAsia="en-US" w:bidi="ar-SA"/>
              </w:rPr>
              <w:t xml:space="preserve"> kultūras kapitāla, inovāciju un tehnoloģiju sniegtās iespējas, plānots attīstīt jaunus satura virzienus un pakalpojumus, tādejādi nodrošinot kultūras pakalpojumu auditorijas attīstību, t</w:t>
            </w:r>
            <w:r w:rsidR="00AC3040">
              <w:rPr>
                <w:rFonts w:eastAsia="Times New Roman"/>
                <w:iCs/>
                <w:noProof/>
                <w:sz w:val="20"/>
                <w:lang w:eastAsia="en-US" w:bidi="ar-SA"/>
              </w:rPr>
              <w:t>.sk.,</w:t>
            </w:r>
            <w:r w:rsidRPr="00303BA8">
              <w:rPr>
                <w:rFonts w:eastAsia="Times New Roman"/>
                <w:iCs/>
                <w:noProof/>
                <w:sz w:val="20"/>
                <w:lang w:eastAsia="en-US" w:bidi="ar-SA"/>
              </w:rPr>
              <w:t xml:space="preserve"> nodrošinot dialogu ar mazākaizsargāto sabiedrības daļu.</w:t>
            </w:r>
          </w:p>
          <w:p w14:paraId="4552E19B" w14:textId="245F5966" w:rsidR="00DA560F" w:rsidRPr="00930237" w:rsidRDefault="00303BA8" w:rsidP="00303BA8">
            <w:pPr>
              <w:spacing w:before="0" w:after="0"/>
              <w:rPr>
                <w:rFonts w:eastAsia="Times New Roman"/>
                <w:iCs/>
                <w:noProof/>
                <w:sz w:val="20"/>
                <w:lang w:eastAsia="en-US" w:bidi="ar-SA"/>
              </w:rPr>
            </w:pPr>
            <w:r w:rsidRPr="00303BA8">
              <w:rPr>
                <w:rFonts w:eastAsia="Times New Roman"/>
                <w:iCs/>
                <w:noProof/>
                <w:sz w:val="20"/>
                <w:lang w:eastAsia="en-US" w:bidi="ar-SA"/>
              </w:rPr>
              <w:t>Minētie ieguldījumi, iesaistot uzņēmējus un nevalstisko sektoru, nodrošinās plašāku kultūras pakalpojumu pieejamību, sabiedrībai radot jaunus sociālus apstākļus (mazinot izolāciju, stiprinot elastību un noturību pret dažādām krīzēm), attīstot radošumu, veicinot sociālo iekļaušanos un stiprinot demokrātiskās vērtības un veicinot tautsaimniecības attīstību</w:t>
            </w:r>
            <w:r w:rsidR="00B54ABA">
              <w:rPr>
                <w:rFonts w:eastAsia="Times New Roman"/>
                <w:iCs/>
                <w:noProof/>
                <w:sz w:val="20"/>
                <w:lang w:eastAsia="en-US" w:bidi="ar-SA"/>
              </w:rPr>
              <w:t xml:space="preserve"> un </w:t>
            </w:r>
            <w:r w:rsidR="00B54ABA" w:rsidRPr="0098486B">
              <w:rPr>
                <w:rFonts w:eastAsia="Times New Roman"/>
                <w:iCs/>
                <w:noProof/>
                <w:sz w:val="20"/>
                <w:lang w:eastAsia="en-US" w:bidi="ar-SA"/>
              </w:rPr>
              <w:t>veikto ieguldījumu ilgtspēj</w:t>
            </w:r>
            <w:r w:rsidR="00B54ABA">
              <w:rPr>
                <w:rFonts w:eastAsia="Times New Roman"/>
                <w:iCs/>
                <w:noProof/>
                <w:sz w:val="20"/>
                <w:lang w:eastAsia="en-US" w:bidi="ar-SA"/>
              </w:rPr>
              <w:t>u</w:t>
            </w:r>
            <w:r w:rsidRPr="00303BA8">
              <w:rPr>
                <w:rFonts w:eastAsia="Times New Roman"/>
                <w:iCs/>
                <w:noProof/>
                <w:sz w:val="20"/>
                <w:lang w:eastAsia="en-US" w:bidi="ar-SA"/>
              </w:rPr>
              <w:t>. Tiks veidots sabiedrības priekšstats par kultūras telpu kā atvērtu, daudzveidīgu, starpdisciplināru platformu, kur tiek īstenotas programmas sabiedrības izglītošanai un integrācijas procesu veicināšanai, vienlaikus esot atvērtiem  arī radošiem eksperimentiem un inovatīvām idejām.</w:t>
            </w:r>
          </w:p>
        </w:tc>
      </w:tr>
      <w:tr w:rsidR="00DA560F" w:rsidRPr="00930237" w14:paraId="749F3A62" w14:textId="77777777" w:rsidTr="000E58E3">
        <w:trPr>
          <w:trHeight w:val="516"/>
        </w:trPr>
        <w:tc>
          <w:tcPr>
            <w:tcW w:w="556" w:type="pct"/>
            <w:vMerge/>
          </w:tcPr>
          <w:p w14:paraId="4FBCEBD2" w14:textId="77777777" w:rsidR="00DA560F" w:rsidRPr="00930237" w:rsidRDefault="00DA560F" w:rsidP="00DA560F">
            <w:pPr>
              <w:spacing w:before="0" w:after="0"/>
              <w:rPr>
                <w:rFonts w:eastAsia="Times New Roman"/>
                <w:iCs/>
                <w:noProof/>
                <w:sz w:val="20"/>
              </w:rPr>
            </w:pPr>
          </w:p>
        </w:tc>
        <w:tc>
          <w:tcPr>
            <w:tcW w:w="759" w:type="pct"/>
          </w:tcPr>
          <w:p w14:paraId="1DAFB5C7" w14:textId="1964B2E2" w:rsidR="00DA560F" w:rsidRPr="00930237" w:rsidRDefault="00DA560F" w:rsidP="00DA560F">
            <w:pPr>
              <w:spacing w:before="0" w:after="0"/>
              <w:rPr>
                <w:sz w:val="20"/>
              </w:rPr>
            </w:pPr>
            <w:r w:rsidRPr="00930237">
              <w:rPr>
                <w:sz w:val="20"/>
              </w:rPr>
              <w:t>4.3.3.SAM Uzlabot visu darba meklētāju, jo īpaši jauniešu, ilgstošo bezdarbnieku un nelabvēlīgā situācijā esošu grupu, kā arī neaktīvo personu piekļuvi nodarbinātībai, veicināt pašnodarbinātību un sociālo ekonomiku.</w:t>
            </w:r>
          </w:p>
          <w:p w14:paraId="78DD48A4" w14:textId="50B7870C" w:rsidR="00DA560F" w:rsidRPr="00930237" w:rsidRDefault="00DA560F" w:rsidP="00DA560F">
            <w:pPr>
              <w:spacing w:before="0" w:after="0"/>
              <w:rPr>
                <w:rFonts w:eastAsia="Times New Roman"/>
                <w:i/>
                <w:iCs/>
                <w:noProof/>
                <w:sz w:val="20"/>
              </w:rPr>
            </w:pPr>
          </w:p>
        </w:tc>
        <w:tc>
          <w:tcPr>
            <w:tcW w:w="3685" w:type="pct"/>
          </w:tcPr>
          <w:p w14:paraId="64452DB5" w14:textId="4205884D" w:rsidR="00237DBA" w:rsidRPr="00237DBA" w:rsidRDefault="00237DBA" w:rsidP="00237DBA">
            <w:pPr>
              <w:spacing w:before="0" w:after="0"/>
              <w:rPr>
                <w:rFonts w:eastAsia="Times New Roman"/>
                <w:sz w:val="20"/>
              </w:rPr>
            </w:pPr>
            <w:r w:rsidRPr="00237DBA">
              <w:rPr>
                <w:rFonts w:eastAsia="Times New Roman"/>
                <w:sz w:val="20"/>
              </w:rPr>
              <w:t xml:space="preserve">Pirms Covid-19 nodarbinātības līmenis bija augsts un palielinājās, bet nodarbināto skaitu ietekmēja nelabvēlīga demogrāfiskā attīstība un emigrācija. 2019.gadā bezdarba līmenis bija </w:t>
            </w:r>
            <w:r w:rsidR="00056643" w:rsidRPr="00237DBA">
              <w:rPr>
                <w:rFonts w:eastAsia="Times New Roman"/>
                <w:sz w:val="20"/>
              </w:rPr>
              <w:t>6,3%</w:t>
            </w:r>
            <w:r w:rsidR="00056643">
              <w:rPr>
                <w:rFonts w:eastAsia="Times New Roman"/>
                <w:sz w:val="20"/>
              </w:rPr>
              <w:t xml:space="preserve">, </w:t>
            </w:r>
            <w:r w:rsidR="00473176" w:rsidRPr="00356CFE">
              <w:rPr>
                <w:sz w:val="20"/>
              </w:rPr>
              <w:t>be</w:t>
            </w:r>
            <w:r w:rsidR="00056643" w:rsidRPr="00356CFE">
              <w:rPr>
                <w:sz w:val="20"/>
              </w:rPr>
              <w:t>t 2020.gadā sasniedza 8,1% (15-74 gadi). T</w:t>
            </w:r>
            <w:r w:rsidR="00473176" w:rsidRPr="00356CFE">
              <w:rPr>
                <w:sz w:val="20"/>
              </w:rPr>
              <w:t>aču</w:t>
            </w:r>
            <w:r w:rsidR="00056643" w:rsidRPr="00356CFE">
              <w:rPr>
                <w:sz w:val="20"/>
              </w:rPr>
              <w:t xml:space="preserve"> ilgstošo bezdarbnieku, kuri nevar atrast darbu 12 mēnešus un ilgāk, skaits </w:t>
            </w:r>
            <w:r w:rsidR="00410119" w:rsidRPr="00356CFE">
              <w:rPr>
                <w:sz w:val="20"/>
              </w:rPr>
              <w:t>2020.gadā</w:t>
            </w:r>
            <w:r w:rsidR="00410119" w:rsidRPr="00356CFE" w:rsidDel="00473176">
              <w:rPr>
                <w:sz w:val="20"/>
              </w:rPr>
              <w:t xml:space="preserve"> </w:t>
            </w:r>
            <w:r w:rsidR="00056643" w:rsidRPr="00356CFE">
              <w:rPr>
                <w:sz w:val="20"/>
              </w:rPr>
              <w:t>samazinājās</w:t>
            </w:r>
            <w:r w:rsidR="00473176" w:rsidRPr="00356CFE">
              <w:rPr>
                <w:sz w:val="20"/>
              </w:rPr>
              <w:t xml:space="preserve"> </w:t>
            </w:r>
            <w:r w:rsidR="00056643" w:rsidRPr="00356CFE">
              <w:rPr>
                <w:sz w:val="20"/>
              </w:rPr>
              <w:t>līdz 27,3%. 30,1% iedzīvotāju vecumā 15</w:t>
            </w:r>
            <w:r w:rsidR="00473176" w:rsidRPr="00356CFE">
              <w:rPr>
                <w:sz w:val="20"/>
              </w:rPr>
              <w:t>-</w:t>
            </w:r>
            <w:r w:rsidR="00056643" w:rsidRPr="00356CFE">
              <w:rPr>
                <w:sz w:val="20"/>
              </w:rPr>
              <w:t>74 gadiem bija ekonomiski neaktīvi</w:t>
            </w:r>
            <w:r w:rsidR="00473176" w:rsidRPr="00356CFE">
              <w:rPr>
                <w:sz w:val="20"/>
              </w:rPr>
              <w:t>.</w:t>
            </w:r>
            <w:r w:rsidR="00056643" w:rsidRPr="00356CFE">
              <w:rPr>
                <w:sz w:val="20"/>
              </w:rPr>
              <w:t xml:space="preserve"> </w:t>
            </w:r>
            <w:r w:rsidR="00C35A13" w:rsidRPr="00356CFE">
              <w:rPr>
                <w:sz w:val="20"/>
              </w:rPr>
              <w:t>J</w:t>
            </w:r>
            <w:r w:rsidR="00056643" w:rsidRPr="00356CFE">
              <w:rPr>
                <w:sz w:val="20"/>
              </w:rPr>
              <w:t>auniešu bezdarba līmenis</w:t>
            </w:r>
            <w:r w:rsidR="00C35A13" w:rsidRPr="00356CFE">
              <w:rPr>
                <w:sz w:val="20"/>
              </w:rPr>
              <w:t xml:space="preserve"> -</w:t>
            </w:r>
            <w:r w:rsidR="00056643" w:rsidRPr="00356CFE">
              <w:rPr>
                <w:sz w:val="20"/>
              </w:rPr>
              <w:t>14,9%</w:t>
            </w:r>
            <w:r w:rsidR="00C35A13" w:rsidRPr="00356CFE">
              <w:rPr>
                <w:sz w:val="20"/>
              </w:rPr>
              <w:t>.</w:t>
            </w:r>
            <w:r w:rsidR="00056643" w:rsidRPr="00356CFE">
              <w:rPr>
                <w:sz w:val="20"/>
              </w:rPr>
              <w:t>(2019.gadā – 12,4 %)</w:t>
            </w:r>
            <w:r w:rsidR="00056643" w:rsidRPr="0069140A">
              <w:rPr>
                <w:rFonts w:eastAsia="Times New Roman"/>
                <w:sz w:val="20"/>
              </w:rPr>
              <w:t xml:space="preserve">. </w:t>
            </w:r>
            <w:r w:rsidRPr="00237DBA">
              <w:rPr>
                <w:rFonts w:eastAsia="Times New Roman"/>
                <w:sz w:val="20"/>
              </w:rPr>
              <w:t xml:space="preserve">Nodarbinātības līmenis atšķīrās dažādos </w:t>
            </w:r>
            <w:r w:rsidRPr="0069140A">
              <w:rPr>
                <w:rFonts w:eastAsia="Times New Roman"/>
                <w:sz w:val="20"/>
              </w:rPr>
              <w:t>reģionos (</w:t>
            </w:r>
            <w:r w:rsidR="00056643" w:rsidRPr="00356CFE">
              <w:rPr>
                <w:sz w:val="20"/>
              </w:rPr>
              <w:t>Pierīgas 67,5%, Rīgas 66,7%, Latgales 56,6%</w:t>
            </w:r>
            <w:r w:rsidRPr="0069140A">
              <w:rPr>
                <w:rFonts w:eastAsia="Times New Roman"/>
                <w:sz w:val="20"/>
              </w:rPr>
              <w:t xml:space="preserve">). </w:t>
            </w:r>
            <w:r w:rsidRPr="00237DBA">
              <w:rPr>
                <w:rFonts w:eastAsia="Times New Roman"/>
                <w:sz w:val="20"/>
              </w:rPr>
              <w:t xml:space="preserve">Vecāka gadagājuma cilvēki ar novecojušām prasmēm saskaras ar vairāk grūtībām. Pieaugušo līdzdalība izglītībā un bezdarbnieku iesaiste aktīvajos nodarbinātības pasākumos zemāka nekā vidēji ES. </w:t>
            </w:r>
            <w:r w:rsidR="00056643" w:rsidRPr="00356CFE">
              <w:rPr>
                <w:sz w:val="20"/>
              </w:rPr>
              <w:t xml:space="preserve">NVA dati uz 06.04.2021. </w:t>
            </w:r>
            <w:r w:rsidR="00410119" w:rsidRPr="00356CFE">
              <w:rPr>
                <w:sz w:val="20"/>
              </w:rPr>
              <w:t>liecina par</w:t>
            </w:r>
            <w:r w:rsidR="00056643" w:rsidRPr="00356CFE">
              <w:rPr>
                <w:sz w:val="20"/>
              </w:rPr>
              <w:t xml:space="preserve"> bezdarba līmeni 8,2%</w:t>
            </w:r>
            <w:r w:rsidRPr="0069140A">
              <w:rPr>
                <w:rFonts w:eastAsia="Times New Roman"/>
                <w:sz w:val="20"/>
              </w:rPr>
              <w:t xml:space="preserve">. </w:t>
            </w:r>
            <w:r w:rsidRPr="00237DBA">
              <w:rPr>
                <w:rFonts w:eastAsia="Times New Roman"/>
                <w:sz w:val="20"/>
              </w:rPr>
              <w:t>2019.gadā veikts arī OECD pētījums</w:t>
            </w:r>
            <w:r>
              <w:rPr>
                <w:rStyle w:val="FootnoteReference"/>
                <w:rFonts w:eastAsia="Times New Roman"/>
                <w:sz w:val="20"/>
              </w:rPr>
              <w:footnoteReference w:id="85"/>
            </w:r>
            <w:r w:rsidRPr="00237DBA">
              <w:rPr>
                <w:rFonts w:eastAsia="Times New Roman"/>
                <w:sz w:val="20"/>
              </w:rPr>
              <w:t>, kur sniegta analīze un rekomendācijas darba tirgus politikas pilnveidei.</w:t>
            </w:r>
          </w:p>
          <w:p w14:paraId="03ABE5E5" w14:textId="4CF76ACB" w:rsidR="00DA560F" w:rsidRPr="00930237" w:rsidRDefault="00237DBA" w:rsidP="00237DBA">
            <w:pPr>
              <w:spacing w:before="0" w:after="0"/>
              <w:rPr>
                <w:rFonts w:eastAsia="Times New Roman"/>
                <w:sz w:val="20"/>
              </w:rPr>
            </w:pPr>
            <w:r w:rsidRPr="00237DBA">
              <w:rPr>
                <w:rFonts w:eastAsia="Times New Roman"/>
                <w:sz w:val="20"/>
              </w:rPr>
              <w:t>Plānotie ieguldījumi veicinās bezdarbnieku, darba meklētāju un bezdarba riskam pakļauto personu konkurētspēju darba tirgū ar aktīvo nodarbinātības pasākumu atbalstu (t.sk. gados vecāku nodarbināto personu darbspēju saglabāšanai un nodarbinātībai), nelabvēlīgākā situācijā esošu bezdarbnieku un ekonomiski neaktīvo iedzīvotāju iekļaušanos sabiedrībā un darba tirgū, mazinot sociālās atstumtības riskus un veicinot vienlīdzīgas iespējas, kā arī nodrošinot vienlīdzību un kvalitatīvas darbavietas. Lai palielinātu nodarbinātību, plānots sniegt atbalstu sociālo uzņēmumu izveidei un ilgtspējīgai attīstībai, EURES tīkla darbības nodrošināšanai, kā arī darba tirgus institūciju veiktspējas stiprināšanai, sniegto pakalpojumu kvalitātes un izmaksu efektivitātes uzlabošanai, kontroles, uzraudzības, preventīvās kultūras  darba tiesību un darba aizsardzības jomā sekmēšanai, t.sk. attīstot mūsdienīgas uz IT risinājumiem balstītas darba metodes.</w:t>
            </w:r>
          </w:p>
        </w:tc>
      </w:tr>
      <w:tr w:rsidR="00DA560F" w:rsidRPr="00930237" w14:paraId="06512A93" w14:textId="77777777" w:rsidTr="000E58E3">
        <w:tc>
          <w:tcPr>
            <w:tcW w:w="556" w:type="pct"/>
            <w:vMerge/>
          </w:tcPr>
          <w:p w14:paraId="1B8FCAA6" w14:textId="77777777" w:rsidR="00DA560F" w:rsidRPr="00930237" w:rsidRDefault="00DA560F" w:rsidP="00DA560F">
            <w:pPr>
              <w:spacing w:before="0" w:after="0"/>
              <w:rPr>
                <w:rFonts w:eastAsia="Times New Roman"/>
                <w:iCs/>
                <w:noProof/>
                <w:sz w:val="20"/>
              </w:rPr>
            </w:pPr>
          </w:p>
        </w:tc>
        <w:tc>
          <w:tcPr>
            <w:tcW w:w="759" w:type="pct"/>
          </w:tcPr>
          <w:p w14:paraId="765DFE52" w14:textId="719DEA9B" w:rsidR="00DA560F" w:rsidRPr="00930237" w:rsidRDefault="00DA560F" w:rsidP="00DA560F">
            <w:pPr>
              <w:spacing w:before="0" w:after="0"/>
              <w:rPr>
                <w:rFonts w:eastAsia="Times New Roman"/>
                <w:i/>
                <w:iCs/>
                <w:noProof/>
                <w:sz w:val="20"/>
              </w:rPr>
            </w:pPr>
            <w:r w:rsidRPr="00930237">
              <w:rPr>
                <w:sz w:val="20"/>
              </w:rPr>
              <w:t xml:space="preserve">4.3.4.SAM Sekmēt aktīvu iekļaušanu, lai veicinātu vienlīdzīgas iespējas un aktīvu līdzdalību, kā arī uzlabotu nodarbinātību. </w:t>
            </w:r>
          </w:p>
        </w:tc>
        <w:tc>
          <w:tcPr>
            <w:tcW w:w="3685" w:type="pct"/>
          </w:tcPr>
          <w:p w14:paraId="21C801E1" w14:textId="56BAF784" w:rsidR="00DA560F" w:rsidRPr="00930237" w:rsidRDefault="00DA560F" w:rsidP="00DA560F">
            <w:pPr>
              <w:spacing w:before="0" w:after="0"/>
              <w:rPr>
                <w:rFonts w:eastAsia="Times New Roman"/>
                <w:sz w:val="20"/>
                <w:lang w:bidi="ar-SA"/>
              </w:rPr>
            </w:pPr>
            <w:r w:rsidRPr="00930237">
              <w:rPr>
                <w:rFonts w:eastAsia="Times New Roman"/>
                <w:sz w:val="20"/>
              </w:rPr>
              <w:t>Latvijā joprojām viens no augstākajiem ienākumu nevienlīdzības rādītājiem ES. Līdzdalība aktīvajos nodarbinātības pasākumos salīdzinoši zema (5,8 uz 100 000 iedzīvotāju). 201</w:t>
            </w:r>
            <w:r w:rsidR="00601AA2">
              <w:rPr>
                <w:rFonts w:eastAsia="Times New Roman"/>
                <w:sz w:val="20"/>
              </w:rPr>
              <w:t>9</w:t>
            </w:r>
            <w:r w:rsidRPr="00930237">
              <w:rPr>
                <w:rFonts w:eastAsia="Times New Roman"/>
                <w:sz w:val="20"/>
              </w:rPr>
              <w:t>.gadā nabadzības vai sociālās atstumtības riskam bija pakļaut</w:t>
            </w:r>
            <w:r w:rsidR="00601AA2">
              <w:rPr>
                <w:rFonts w:eastAsia="Times New Roman"/>
                <w:sz w:val="20"/>
              </w:rPr>
              <w:t>i</w:t>
            </w:r>
            <w:r w:rsidRPr="00930237">
              <w:rPr>
                <w:rFonts w:eastAsia="Times New Roman"/>
                <w:sz w:val="20"/>
              </w:rPr>
              <w:t xml:space="preserve"> 29,6% sieviešu un 24,6% vīriešu.</w:t>
            </w:r>
            <w:r>
              <w:rPr>
                <w:rFonts w:eastAsia="Times New Roman"/>
                <w:sz w:val="20"/>
              </w:rPr>
              <w:t xml:space="preserve"> </w:t>
            </w:r>
            <w:r w:rsidRPr="00CF66E6">
              <w:rPr>
                <w:rFonts w:eastAsia="Times New Roman"/>
                <w:sz w:val="20"/>
              </w:rPr>
              <w:t>Attiecībā uz sociālās atstumtības un diskriminācijas pieredzi, personas ar invaliditāti ir tā Latvijas iedzīvotāju grupa, kas saskaras ar sociālo atstumtību un diskrimināciju gandrīz ik dienas. Personām ar invaliditāti ir arī negatīva pieredze ar dažādu pakalpojumu saņemšanu, īpaši tas attiecas uz cieņpilnas attieksmes un empātijas trūkumu pret personām ar invaliditāti. Personas ar invaliditāti, kas nestrādā un kuriem nav atbalsts tuvinieku vidū, ir pakļauti augstam nabadzības riskam. Personas ar kustību ierobežojumiem saskaras ar vides pieejamības trūkumu un vientulību.  Augstam nabadzības riskam pakļauti arī invaliditātes pensijas saņēmēji vecumā no 18-64 gadiem (33%). Savukārt  49% Latvijas iedzīvotāju uzskata, ka Latvijā ir izplatīta diskriminācija pēc vecuma, īpaši personām virs 55 gadiem. Ar tiešu vecuma diskrimināciju iedzīvotāji sāk biežāk sastapties jau pēc 40 gadu vecuma. Vecums, kad iezīmējas nevienlīdzīga attieksme, ir 45 gadi. Ilgstoša bezdarba un neveiksmīga darba meklēšanas pieredze 50 un vairāk gadu vecumā rada nomāktības un bezcerības sajūtu, veicina mērķa grupas pašizolēšanos un uz sevi vērstiem noniecinošiem uzskatiem, t.i., pašdiskrimināciju.</w:t>
            </w:r>
            <w:r w:rsidRPr="00930237">
              <w:rPr>
                <w:rFonts w:eastAsia="Times New Roman"/>
                <w:sz w:val="20"/>
              </w:rPr>
              <w:t xml:space="preserve"> Nepietiekamas latviešu valodas zināšanas ir viens no šķēršļiem trešo valstu pilsoņiem aktīvai sabiedriskajai darbībai pastāvīgo iedzīvotāju veidotās organizācijās un aktivitātēs</w:t>
            </w:r>
            <w:r w:rsidRPr="00930237">
              <w:rPr>
                <w:rStyle w:val="FootnoteReference"/>
                <w:rFonts w:eastAsia="Times New Roman"/>
                <w:sz w:val="20"/>
              </w:rPr>
              <w:footnoteReference w:id="86"/>
            </w:r>
            <w:r w:rsidRPr="00930237">
              <w:rPr>
                <w:rFonts w:eastAsia="Times New Roman"/>
                <w:sz w:val="20"/>
              </w:rPr>
              <w:t xml:space="preserve">, kas primāri negatīvi ietekmē informācijas pieejamību par līdzdalības iespējam. Nepieciešams nodrošināt informāciju par dažādiem pakalpojumiem. Nepietiekama pilsoniskās sabiedrības sadarbība ar publiskās pārvaldes institūcijām, trūkst konstruktīvas diskusijas un atgriezeniskās saites, attiecīgi zūd motivācija iesaistīties. Pilsoniskās sabiedrības un sociālo partneru ierobežotā kapacitāte neļauj jēgpilni un savlaicīgi nodrošināt nepieciešamo iesaisti. </w:t>
            </w:r>
          </w:p>
          <w:p w14:paraId="10FCDE52" w14:textId="77777777" w:rsidR="00DA560F" w:rsidRPr="00930237" w:rsidRDefault="00DA560F" w:rsidP="00DA560F">
            <w:pPr>
              <w:spacing w:before="0" w:after="0"/>
              <w:rPr>
                <w:rFonts w:eastAsia="Times New Roman"/>
                <w:sz w:val="20"/>
              </w:rPr>
            </w:pPr>
            <w:r w:rsidRPr="00930237">
              <w:rPr>
                <w:rFonts w:eastAsia="Times New Roman"/>
                <w:sz w:val="20"/>
              </w:rPr>
              <w:t>Atbalsts plānots diskriminācijas riskam pakļautajām grupām (t.sk. ieslodzīto, bijušo ieslodzīto un probācijas klientiem), dzimumu līdztiesības un vienlīdzīgu iespēju un tiesību realizēšanai dažādās dzīves jomās, uzlabojot nodarbinātību, vienlaikus tiks nodrošināta sabiedrības izpratnes paaugstināšana par diskriminācijas novēršanu un savu tiesību īstenošanu, kā arī atbalsts ģimenes un darba dzīves saskaņošanas iespēju pilnveidošanai.</w:t>
            </w:r>
          </w:p>
          <w:p w14:paraId="79DAFF9E" w14:textId="1C961DC3" w:rsidR="00DA560F" w:rsidRDefault="00DA560F" w:rsidP="00DA560F">
            <w:pPr>
              <w:spacing w:before="0" w:after="0"/>
              <w:rPr>
                <w:rFonts w:eastAsia="Times New Roman"/>
                <w:sz w:val="20"/>
              </w:rPr>
            </w:pPr>
            <w:r w:rsidRPr="00930237">
              <w:rPr>
                <w:rFonts w:eastAsia="Times New Roman"/>
                <w:sz w:val="20"/>
              </w:rPr>
              <w:t xml:space="preserve">Plānoti pasākumi, t, lai radītu dažādām sabiedrības grupām pieejamus līdzvērtīgus produktus un pakalpojumus,  kas uzlabos pilsonisko izglītību, veicinās dažādu sociālo un profesionālo grupu pārstāvniecības nostiprināšanos, jaunu līdzdalības metožu un rīku izstrādi, nodrošinot sociālo partneru un pilsoniskās sabiedrības pārstāvniecības organizāciju kapacitātes stiprināšanu, kvalitatīvi uzlabojot sabiedrības iesaisti </w:t>
            </w:r>
            <w:r w:rsidRPr="00EC0A68">
              <w:rPr>
                <w:rFonts w:eastAsia="Times New Roman"/>
                <w:sz w:val="20"/>
              </w:rPr>
              <w:t xml:space="preserve">teritorijas attīstībā un </w:t>
            </w:r>
            <w:r w:rsidRPr="00930237">
              <w:rPr>
                <w:rFonts w:eastAsia="Times New Roman"/>
                <w:sz w:val="20"/>
              </w:rPr>
              <w:t>lēmumu pieņemšanā.</w:t>
            </w:r>
          </w:p>
          <w:p w14:paraId="0500E1C2" w14:textId="36D95784" w:rsidR="00DA560F" w:rsidRPr="00930237" w:rsidRDefault="00DA560F" w:rsidP="00DA560F">
            <w:pPr>
              <w:spacing w:before="0" w:after="0"/>
              <w:rPr>
                <w:sz w:val="20"/>
              </w:rPr>
            </w:pPr>
            <w:r w:rsidRPr="00CF66E6">
              <w:rPr>
                <w:sz w:val="20"/>
              </w:rPr>
              <w:t>Plānoti pasākumi ģimenes un darba dzīves saskaņošanai, lai atbalstītu cilvēkkapitāla attīstību, sekmētu darbinieku spēju savienot darba pienākumus ar ģimenes dzīvi, kā arī atbalsta pasākumi diskriminācijas riskam pakļautajām grupām vienlīdzīgu iespēju un tiesību realizēšanai dažādās dzīves jomās, lai mazinātu sociālus, ekonomiskus, kulturālus un politiskus šķēršļus un veicinātu vienlīdzīgu iespēju un tiesību nodrošināšanu un īstenošanu dažādās sabiedrības grupās, vēl tiks nodrošināti informatīvi, izglītojoši un metodisk</w:t>
            </w:r>
            <w:r w:rsidR="00601AA2">
              <w:rPr>
                <w:sz w:val="20"/>
              </w:rPr>
              <w:t>ā</w:t>
            </w:r>
            <w:r w:rsidRPr="00CF66E6">
              <w:rPr>
                <w:sz w:val="20"/>
              </w:rPr>
              <w:t xml:space="preserve"> atbalst</w:t>
            </w:r>
            <w:r w:rsidR="00601AA2">
              <w:rPr>
                <w:sz w:val="20"/>
              </w:rPr>
              <w:t>a</w:t>
            </w:r>
            <w:r w:rsidRPr="00CF66E6">
              <w:rPr>
                <w:sz w:val="20"/>
              </w:rPr>
              <w:t xml:space="preserve"> pasākumi politikas veidotājiem, darba devējiem un sabiedrībai, veicinot, vienlīdzīgas iespējas un nediskrimināciju.  </w:t>
            </w:r>
          </w:p>
          <w:p w14:paraId="618D570B" w14:textId="77777777" w:rsidR="00DA560F" w:rsidRPr="00930237" w:rsidRDefault="00DA560F" w:rsidP="00DA560F">
            <w:pPr>
              <w:spacing w:before="0" w:after="0"/>
              <w:rPr>
                <w:rFonts w:eastAsia="Times New Roman"/>
                <w:iCs/>
                <w:noProof/>
                <w:sz w:val="20"/>
              </w:rPr>
            </w:pPr>
          </w:p>
        </w:tc>
      </w:tr>
      <w:tr w:rsidR="00DA560F" w:rsidRPr="00930237" w14:paraId="230C77C9" w14:textId="77777777" w:rsidTr="000E58E3">
        <w:tc>
          <w:tcPr>
            <w:tcW w:w="556" w:type="pct"/>
            <w:vMerge/>
          </w:tcPr>
          <w:p w14:paraId="72DAFA41" w14:textId="77777777" w:rsidR="00DA560F" w:rsidRPr="00930237" w:rsidRDefault="00DA560F" w:rsidP="00DA560F">
            <w:pPr>
              <w:spacing w:before="0" w:after="0"/>
              <w:rPr>
                <w:rFonts w:eastAsia="Times New Roman"/>
                <w:iCs/>
                <w:noProof/>
                <w:sz w:val="20"/>
              </w:rPr>
            </w:pPr>
          </w:p>
        </w:tc>
        <w:tc>
          <w:tcPr>
            <w:tcW w:w="759" w:type="pct"/>
          </w:tcPr>
          <w:p w14:paraId="55BF79EF" w14:textId="2BDB94CE" w:rsidR="00DA560F" w:rsidRPr="00930237" w:rsidRDefault="00DA560F" w:rsidP="00DA560F">
            <w:pPr>
              <w:spacing w:before="0" w:after="0"/>
              <w:rPr>
                <w:sz w:val="20"/>
              </w:rPr>
            </w:pPr>
            <w:r w:rsidRPr="00930237">
              <w:rPr>
                <w:sz w:val="20"/>
              </w:rPr>
              <w:t>4.3.5.SAM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w:t>
            </w:r>
          </w:p>
          <w:p w14:paraId="2DB5BC70" w14:textId="3C0918FD" w:rsidR="00DA560F" w:rsidRPr="00930237" w:rsidRDefault="00DA560F" w:rsidP="00DA560F">
            <w:pPr>
              <w:spacing w:before="0" w:after="0"/>
              <w:rPr>
                <w:sz w:val="20"/>
              </w:rPr>
            </w:pPr>
            <w:r w:rsidRPr="00930237">
              <w:rPr>
                <w:sz w:val="20"/>
              </w:rPr>
              <w:t xml:space="preserve"> </w:t>
            </w:r>
          </w:p>
        </w:tc>
        <w:tc>
          <w:tcPr>
            <w:tcW w:w="3685" w:type="pct"/>
          </w:tcPr>
          <w:p w14:paraId="0F31AE4C" w14:textId="77777777" w:rsidR="00DA560F" w:rsidRPr="00930237" w:rsidRDefault="00DA560F" w:rsidP="00DA560F">
            <w:pPr>
              <w:spacing w:before="0" w:after="0"/>
              <w:rPr>
                <w:rFonts w:eastAsia="Times New Roman"/>
                <w:sz w:val="20"/>
                <w:lang w:bidi="ar-SA"/>
              </w:rPr>
            </w:pPr>
            <w:r w:rsidRPr="00930237">
              <w:rPr>
                <w:rFonts w:eastAsia="Times New Roman"/>
                <w:sz w:val="20"/>
              </w:rPr>
              <w:t xml:space="preserve">Liela daļa mājsaimniecību saskaras ar grūtībām sociālo pakalpojumu pieejamībā  (2016.gadā 7,9% iedzīvotāju). Profesionālus sociālās aprūpes pakalpojumus neizmanto 37,9% finansiālu apsvērumu dēļ un 16,2%, jo aprūpes pakalpojumi nav pieejami. Sociālās aizsardzības izdevumi 2016.gadā - 15,2% no IKP (ES - 28,2%). Vienlaikus joprojām saglabājas viens no augstākajiem ienākumu nevienlīdzības rādītājiem ES. 2019.gadā trūcīgas ģimenes (personas) statuss bija spēkā 10 349 bērniem, savukārt maznodrošinātas ģimenes (personas) statuss – 6512 bērniem.  </w:t>
            </w:r>
          </w:p>
          <w:p w14:paraId="0787961D" w14:textId="3B0E7D77" w:rsidR="00DA560F" w:rsidRPr="00930237" w:rsidRDefault="00DA560F" w:rsidP="00DA560F">
            <w:pPr>
              <w:spacing w:before="0" w:after="0"/>
              <w:rPr>
                <w:rFonts w:eastAsia="Times New Roman"/>
                <w:iCs/>
                <w:noProof/>
                <w:sz w:val="20"/>
                <w:lang w:eastAsia="en-US" w:bidi="ar-SA"/>
              </w:rPr>
            </w:pPr>
            <w:r w:rsidRPr="00930237">
              <w:rPr>
                <w:rFonts w:eastAsia="Times New Roman"/>
                <w:sz w:val="20"/>
              </w:rPr>
              <w:t xml:space="preserve">Lai attīstītu sociālās aizsardzības sistēmu, plānots palielināt sabiedrībā balstītu sociālo pakalpojumu pieejamību un efektivitāti, t.sk. ģimenēm, cilvēkiem ar invaliditāti, pensijas vecuma cilvēkiem, cilvēkiem, kuri ir atkarīgi no atkarību izraisošām vielām un procesiem un citām visvairāk sociālās atstumtības riskam pakļautajām mērķa grupām, un attīstīt aprūpes tīklu, dažādojot un nodrošinot atbalstu cilvēka dzīvesvietā, t.sk. ģimenes locekļiem un neformālajiem aprūpētājiem, nodrošināt efektīvu atbalstu un starpnozaru aprūpi paliatīvās aprūpes pacientiem un viņu ģimenes locekļiem, </w:t>
            </w:r>
            <w:r>
              <w:rPr>
                <w:rFonts w:eastAsia="Times New Roman"/>
                <w:sz w:val="20"/>
              </w:rPr>
              <w:t>jomas</w:t>
            </w:r>
            <w:r w:rsidRPr="00930237">
              <w:rPr>
                <w:rFonts w:eastAsia="Times New Roman"/>
                <w:sz w:val="20"/>
              </w:rPr>
              <w:t xml:space="preserve"> darbinieku, pakalpojumu sniedzēju motivācij</w:t>
            </w:r>
            <w:r w:rsidR="005670B4">
              <w:rPr>
                <w:rFonts w:eastAsia="Times New Roman"/>
                <w:sz w:val="20"/>
              </w:rPr>
              <w:t>u</w:t>
            </w:r>
            <w:r w:rsidRPr="00930237">
              <w:rPr>
                <w:rFonts w:eastAsia="Times New Roman"/>
                <w:sz w:val="20"/>
              </w:rPr>
              <w:t xml:space="preserve"> un profesionālo kompetenci un informācijas sistēmas, sniedzot atbalstu prognozējamās invaliditātes un invaliditātes ekspertīzes noteikšanas institūcijas veiktspējas stiprināšanai, nodrošinot pieeju tiesiskumam, sekmējot neatkarīgas dzīves iespējas un kvalitātes saglabāšanu vai uzlabošanu, neierobežotu darbspējas vecuma cilvēku, nodarbinātības un produktivitātes izredzes</w:t>
            </w:r>
            <w:r>
              <w:rPr>
                <w:rFonts w:eastAsia="Times New Roman"/>
                <w:sz w:val="20"/>
              </w:rPr>
              <w:t xml:space="preserve"> neatkarīgi no dzīvesvietas</w:t>
            </w:r>
            <w:r w:rsidRPr="00930237">
              <w:rPr>
                <w:rFonts w:eastAsia="Times New Roman"/>
                <w:sz w:val="20"/>
              </w:rPr>
              <w:t>.</w:t>
            </w:r>
          </w:p>
          <w:p w14:paraId="2BC4415E" w14:textId="466E68EA" w:rsidR="00DA560F" w:rsidRPr="00930237" w:rsidRDefault="00DA560F" w:rsidP="007545BD">
            <w:pPr>
              <w:pStyle w:val="ListParagraph"/>
              <w:numPr>
                <w:ilvl w:val="0"/>
                <w:numId w:val="40"/>
              </w:numPr>
              <w:spacing w:after="0" w:line="240" w:lineRule="auto"/>
              <w:ind w:left="0" w:hanging="629"/>
              <w:contextualSpacing w:val="0"/>
              <w:jc w:val="both"/>
              <w:rPr>
                <w:rFonts w:ascii="Times New Roman" w:eastAsia="Times New Roman" w:hAnsi="Times New Roman" w:cs="Times New Roman"/>
                <w:iCs/>
                <w:noProof/>
                <w:sz w:val="20"/>
                <w:szCs w:val="20"/>
              </w:rPr>
            </w:pPr>
          </w:p>
        </w:tc>
      </w:tr>
      <w:tr w:rsidR="00DA560F" w:rsidRPr="00930237" w14:paraId="4827DEC0" w14:textId="77777777" w:rsidTr="00056643">
        <w:trPr>
          <w:trHeight w:val="1366"/>
        </w:trPr>
        <w:tc>
          <w:tcPr>
            <w:tcW w:w="556" w:type="pct"/>
            <w:vMerge/>
          </w:tcPr>
          <w:p w14:paraId="305C1C2F" w14:textId="77777777" w:rsidR="00DA560F" w:rsidRPr="00930237" w:rsidRDefault="00DA560F" w:rsidP="00DA560F">
            <w:pPr>
              <w:spacing w:before="0" w:after="0"/>
              <w:rPr>
                <w:rFonts w:eastAsia="Times New Roman"/>
                <w:iCs/>
                <w:noProof/>
                <w:sz w:val="20"/>
              </w:rPr>
            </w:pPr>
          </w:p>
        </w:tc>
        <w:tc>
          <w:tcPr>
            <w:tcW w:w="759" w:type="pct"/>
          </w:tcPr>
          <w:p w14:paraId="3EBBFB29" w14:textId="7EFF63D6" w:rsidR="00DA560F" w:rsidRPr="00930237" w:rsidRDefault="00DA560F" w:rsidP="00557CDC">
            <w:pPr>
              <w:spacing w:before="0" w:after="0"/>
              <w:rPr>
                <w:sz w:val="20"/>
              </w:rPr>
            </w:pPr>
            <w:r w:rsidRPr="00930237">
              <w:rPr>
                <w:sz w:val="20"/>
              </w:rPr>
              <w:t>4.3.6.SAM Veicināt nabadzības vai sociālās atstumtības riskam pakļauto cilvēku, tostarp vistrūcīgāko un bērnu, sociālo integrāciju.</w:t>
            </w:r>
          </w:p>
        </w:tc>
        <w:tc>
          <w:tcPr>
            <w:tcW w:w="3685" w:type="pct"/>
          </w:tcPr>
          <w:p w14:paraId="3DB7A434" w14:textId="435BCE71" w:rsidR="00DA560F" w:rsidRPr="00930237" w:rsidRDefault="00DA560F" w:rsidP="00DA560F">
            <w:pPr>
              <w:spacing w:before="0" w:after="0"/>
              <w:rPr>
                <w:rFonts w:eastAsia="Times New Roman"/>
                <w:sz w:val="20"/>
                <w:lang w:bidi="ar-SA"/>
              </w:rPr>
            </w:pPr>
            <w:r w:rsidRPr="00930237">
              <w:rPr>
                <w:rFonts w:eastAsia="Times New Roman"/>
                <w:sz w:val="20"/>
              </w:rPr>
              <w:t>Latvijā teju katrs piektais bērns ir pakļauts nabadzības riskam (201</w:t>
            </w:r>
            <w:r w:rsidR="00601AA2">
              <w:rPr>
                <w:rFonts w:eastAsia="Times New Roman"/>
                <w:sz w:val="20"/>
              </w:rPr>
              <w:t>9</w:t>
            </w:r>
            <w:r w:rsidRPr="00930237">
              <w:rPr>
                <w:rFonts w:eastAsia="Times New Roman"/>
                <w:sz w:val="20"/>
              </w:rPr>
              <w:t xml:space="preserve">.gadā – </w:t>
            </w:r>
            <w:r w:rsidR="00601AA2">
              <w:rPr>
                <w:rFonts w:eastAsia="Times New Roman"/>
                <w:sz w:val="20"/>
              </w:rPr>
              <w:t>15.8</w:t>
            </w:r>
            <w:r w:rsidRPr="00930237">
              <w:rPr>
                <w:rFonts w:eastAsia="Times New Roman"/>
                <w:sz w:val="20"/>
              </w:rPr>
              <w:t>% bērnu vecumā līdz 17 gadiem ). Visbiežāk nabadzības riskam pakļautas mājsaimniecības, kurās tikai viens no vecākiem audzina apgādībā esošos bērnus (3</w:t>
            </w:r>
            <w:r w:rsidR="00601AA2">
              <w:rPr>
                <w:rFonts w:eastAsia="Times New Roman"/>
                <w:sz w:val="20"/>
              </w:rPr>
              <w:t>0</w:t>
            </w:r>
            <w:r w:rsidRPr="00930237">
              <w:rPr>
                <w:rFonts w:eastAsia="Times New Roman"/>
                <w:sz w:val="20"/>
              </w:rPr>
              <w:t>,6%)</w:t>
            </w:r>
            <w:r w:rsidR="00601AA2">
              <w:rPr>
                <w:rFonts w:eastAsia="Times New Roman"/>
                <w:sz w:val="20"/>
              </w:rPr>
              <w:t xml:space="preserve">. </w:t>
            </w:r>
            <w:r w:rsidRPr="00930237">
              <w:rPr>
                <w:rFonts w:eastAsia="Times New Roman"/>
                <w:sz w:val="20"/>
              </w:rPr>
              <w:t xml:space="preserve">Ņemot to vērā, Latvijas viens no stratēģiskiem mērķiem paredz līdz minimumam mazināt nabadzības risku bērniem, darot visu, lai pārtrauktu nabadzības atražošanos paaudzēs un, lai neatkarīgi no ģimenes ienākumiem, sociālā statusa vai speciālām vajadzībām, nodrošinātu vienlīdzīgas iespējas visiem bērniem viņu pieaugšanas ceļā. </w:t>
            </w:r>
          </w:p>
          <w:p w14:paraId="49232626" w14:textId="614F7B6D" w:rsidR="00DA560F" w:rsidRPr="00930237" w:rsidRDefault="00DA560F" w:rsidP="00DA560F">
            <w:pPr>
              <w:spacing w:before="0" w:after="0"/>
              <w:rPr>
                <w:rFonts w:eastAsia="Times New Roman"/>
                <w:sz w:val="20"/>
              </w:rPr>
            </w:pPr>
            <w:r w:rsidRPr="00930237">
              <w:rPr>
                <w:rFonts w:eastAsia="Times New Roman"/>
                <w:sz w:val="20"/>
              </w:rPr>
              <w:t xml:space="preserve">Nabadzība un sociālā atstumtība bieži saistīta ar pārciestām krīzēm, kuras ietekmē ikviena emocionālo un psiholoģisko veselību, kā rezultātā cieš darbspējas, produktivitāte, ienākumi, attiecības un spēja iekļauties sabiedrībā, plānots būtiski paplašināt ģimenēm pieejamo pakalpojumu klāstu, t.sk. attīstot universālo, agrīno un selektīvo prevenciju, veidojot pierādījumos balstītus inovatīvus pakalpojumus, īpaši bērnu un jauniešu emocionālās un psiholoģiskās veselības stiprināšanai. </w:t>
            </w:r>
            <w:r w:rsidRPr="00CF66E6">
              <w:rPr>
                <w:rFonts w:eastAsia="Times New Roman"/>
                <w:sz w:val="20"/>
              </w:rPr>
              <w:t xml:space="preserve">Mūsdienu sabiedrībā šobrīd notiek vērienīgas pārmaiņas praktiski visās sistēmās – tautsaimniecībā, ekonomikā, inženiertehnoloģijās, informācijas un komunikāciju tehnoloģijās, izglītības sistēmā, valsts  demogrāfiskajā situācijā u.c. sistēmās. Pastāvošā mainība objektīvi ietekmē katru Latvijas ģimeni, kā arī rada pilnīgi jaunus riskus un izaicinājumus bērnu attīstības procesa norisēs un bērnu iekļaujošai integrācijai sabiedrībā. Kā galvenie riski ir uzskatāmi – bērnu sociālā stratifikācija, ģimenes kā vērtības nozīmes mazināšanās, bērnu un pusaudžu psihiskās attīstības līmeņu polarizācija, pirmsskolas vecuma bērnu intelektuālās attīstības forsēšana un socializācijas grūtības. Prevencijas pakalpojumu trūkums, iepriekšminēto risku un citu apstākļu mijiedarbība rada negatīvas sekas sabiedrībā, piemēram, ārpusģimenes aprūpē esošo bērnu skaita pieaugums vai disfunkcionālu ģimeņu skaita pieaugums. </w:t>
            </w:r>
            <w:r w:rsidRPr="00930237">
              <w:rPr>
                <w:rFonts w:eastAsia="Times New Roman"/>
                <w:sz w:val="20"/>
              </w:rPr>
              <w:t>Aktivitātes pozitīvi ietekmēs iekļaujošas izglītības nostiprināšanos, uzlabos bērnu sasniegumus, dzīves kvalitāti un veselību, kā arī mazinās sociālās atstumtības, priekšlaicīgas skolas pamešanas riskus.</w:t>
            </w:r>
          </w:p>
          <w:p w14:paraId="647B4FAD" w14:textId="3AA51BFA" w:rsidR="00DA560F" w:rsidRPr="00930237" w:rsidRDefault="00DA560F" w:rsidP="00DA560F">
            <w:pPr>
              <w:spacing w:before="0" w:after="0"/>
              <w:rPr>
                <w:rFonts w:eastAsia="Times New Roman"/>
                <w:sz w:val="20"/>
              </w:rPr>
            </w:pPr>
            <w:r w:rsidRPr="00930237">
              <w:rPr>
                <w:rFonts w:eastAsia="Times New Roman"/>
                <w:sz w:val="20"/>
              </w:rPr>
              <w:t>Plānots arī attīstīt bērnu labklājības sistēmā iesaistīto speciālistu motivāciju un profesionālo kompetenci, sniegt psihoemocionālo, psiholoģisko un sociālo atbalstu ģimenēm, t.sk. bērniem ar smagu diagnozi un to likumiskajiem pārstāvjiem, veikt atbalsta instrumentu izstrādi un ieviešanu ģimenes funkcionalitātes stiprināšanai, t</w:t>
            </w:r>
            <w:r w:rsidR="00AC3040">
              <w:rPr>
                <w:rFonts w:eastAsia="Times New Roman"/>
                <w:sz w:val="20"/>
              </w:rPr>
              <w:t>.sk.,</w:t>
            </w:r>
            <w:r w:rsidRPr="00930237">
              <w:rPr>
                <w:rFonts w:eastAsia="Times New Roman"/>
                <w:sz w:val="20"/>
              </w:rPr>
              <w:t xml:space="preserve"> atbalsta pakalpojumu attīstībai ģimenēm ar bērniem, īstenot prevencijas, diagnostikas un sociālās rehabiliācijas atbalsta pasākumus ģimenēm ar bērniem psiholoģiskās un emocionālās labklājības veicināšanai, sniegt atbalstu prognozējamās invaliditātes un invaliditātes ekspertīzes noteikšanas institūcijas veiktspējas stiprināšanai, kā arī veidot informatīvo platformu informācijas uzkrāšanai un apmaiņai, kas svarīga preventīvā darba ar bērniem organizēšanai.</w:t>
            </w:r>
          </w:p>
          <w:p w14:paraId="22A5A7EC" w14:textId="7D4752FD" w:rsidR="00DA560F" w:rsidRPr="00930237" w:rsidRDefault="00DA560F" w:rsidP="00DA560F">
            <w:pPr>
              <w:spacing w:before="0" w:after="0"/>
              <w:rPr>
                <w:rFonts w:eastAsia="Times New Roman"/>
                <w:iCs/>
                <w:noProof/>
                <w:sz w:val="20"/>
              </w:rPr>
            </w:pPr>
            <w:r w:rsidRPr="00930237">
              <w:rPr>
                <w:rFonts w:eastAsia="Times New Roman"/>
                <w:sz w:val="20"/>
              </w:rPr>
              <w:t>Risinot pirmsskolas izglītības iestāžu nepietiekamību, papildus pašvaldību nodrošinātajiem pakalpojumiem, paredzēts atbalsts bērnu pieskatīšanas un pirmsskolas izglītības pakalpojumu attīstībai privātajā sektorā, sniedzot pozitīvu ietekmi arī uz remigrāciju.</w:t>
            </w:r>
            <w:r w:rsidR="00056643">
              <w:rPr>
                <w:rFonts w:eastAsia="Times New Roman"/>
                <w:sz w:val="20"/>
              </w:rPr>
              <w:t xml:space="preserve"> </w:t>
            </w:r>
          </w:p>
        </w:tc>
      </w:tr>
      <w:tr w:rsidR="00BC1535" w:rsidRPr="00930237" w14:paraId="7D362AB6" w14:textId="77777777" w:rsidTr="001D668C">
        <w:trPr>
          <w:trHeight w:val="2359"/>
        </w:trPr>
        <w:tc>
          <w:tcPr>
            <w:tcW w:w="556" w:type="pct"/>
          </w:tcPr>
          <w:p w14:paraId="5E727604" w14:textId="77777777" w:rsidR="00BC1535" w:rsidRPr="00930237" w:rsidRDefault="00BC1535" w:rsidP="00DA560F">
            <w:pPr>
              <w:spacing w:before="0" w:after="0"/>
              <w:rPr>
                <w:rFonts w:eastAsia="Times New Roman"/>
                <w:iCs/>
                <w:noProof/>
                <w:sz w:val="20"/>
              </w:rPr>
            </w:pPr>
          </w:p>
        </w:tc>
        <w:tc>
          <w:tcPr>
            <w:tcW w:w="759" w:type="pct"/>
          </w:tcPr>
          <w:p w14:paraId="68267029" w14:textId="26276C11" w:rsidR="00BC1535" w:rsidRPr="00930237" w:rsidRDefault="00BC1535" w:rsidP="00557CDC">
            <w:pPr>
              <w:spacing w:before="0" w:after="0"/>
              <w:rPr>
                <w:sz w:val="20"/>
              </w:rPr>
            </w:pPr>
            <w:r>
              <w:rPr>
                <w:sz w:val="20"/>
              </w:rPr>
              <w:t>4.4.1.SAM</w:t>
            </w:r>
            <w:r w:rsidR="007348E1">
              <w:rPr>
                <w:sz w:val="20"/>
              </w:rPr>
              <w:t xml:space="preserve"> </w:t>
            </w:r>
            <w:r w:rsidR="007348E1" w:rsidRPr="007348E1">
              <w:rPr>
                <w:sz w:val="20"/>
              </w:rPr>
              <w:t>Veicināt nabadzības vai sociālās atstumtības riskam pakļauto personu sociālo integrāciju, izmantojot sociālās inovācijas</w:t>
            </w:r>
          </w:p>
        </w:tc>
        <w:tc>
          <w:tcPr>
            <w:tcW w:w="3685" w:type="pct"/>
          </w:tcPr>
          <w:p w14:paraId="64963993" w14:textId="7E2C329A" w:rsidR="00326250" w:rsidRPr="00356CFE" w:rsidRDefault="00DF7DD6" w:rsidP="00DF7DD6">
            <w:pPr>
              <w:spacing w:before="0" w:after="0"/>
              <w:rPr>
                <w:rFonts w:eastAsia="Times New Roman"/>
                <w:sz w:val="20"/>
              </w:rPr>
            </w:pPr>
            <w:r w:rsidRPr="00356CFE">
              <w:rPr>
                <w:rFonts w:eastAsia="Times New Roman"/>
                <w:sz w:val="20"/>
              </w:rPr>
              <w:t xml:space="preserve">Sociālās inovācijas </w:t>
            </w:r>
            <w:r w:rsidR="00056643" w:rsidRPr="00356CFE">
              <w:rPr>
                <w:rFonts w:eastAsia="Times New Roman"/>
                <w:sz w:val="20"/>
              </w:rPr>
              <w:t xml:space="preserve">Latvijas </w:t>
            </w:r>
            <w:r w:rsidRPr="00356CFE">
              <w:rPr>
                <w:rFonts w:eastAsia="Times New Roman"/>
                <w:sz w:val="20"/>
              </w:rPr>
              <w:t xml:space="preserve">sabiedrībai </w:t>
            </w:r>
            <w:r w:rsidR="008F52C9" w:rsidRPr="00356CFE">
              <w:rPr>
                <w:rFonts w:eastAsia="Times New Roman"/>
                <w:sz w:val="20"/>
              </w:rPr>
              <w:t>un</w:t>
            </w:r>
            <w:r w:rsidRPr="00356CFE">
              <w:rPr>
                <w:rFonts w:eastAsia="Times New Roman"/>
                <w:sz w:val="20"/>
              </w:rPr>
              <w:t xml:space="preserve"> politikas veidotājiem ir salīdzinoši jauns jēdziens</w:t>
            </w:r>
            <w:r w:rsidR="00056643" w:rsidRPr="00356CFE">
              <w:rPr>
                <w:rFonts w:eastAsia="Times New Roman"/>
                <w:sz w:val="20"/>
              </w:rPr>
              <w:t xml:space="preserve">, taču uzskatāms par </w:t>
            </w:r>
            <w:r w:rsidR="00326250" w:rsidRPr="00356CFE">
              <w:rPr>
                <w:rFonts w:eastAsia="Times New Roman"/>
                <w:sz w:val="20"/>
              </w:rPr>
              <w:t>būtisk</w:t>
            </w:r>
            <w:r w:rsidRPr="00356CFE">
              <w:rPr>
                <w:rFonts w:eastAsia="Times New Roman"/>
                <w:sz w:val="20"/>
              </w:rPr>
              <w:t>u</w:t>
            </w:r>
            <w:r w:rsidR="00326250" w:rsidRPr="00356CFE">
              <w:rPr>
                <w:rFonts w:eastAsia="Times New Roman"/>
                <w:sz w:val="20"/>
              </w:rPr>
              <w:t xml:space="preserve"> instrument</w:t>
            </w:r>
            <w:r w:rsidRPr="00356CFE">
              <w:rPr>
                <w:rFonts w:eastAsia="Times New Roman"/>
                <w:sz w:val="20"/>
              </w:rPr>
              <w:t>u</w:t>
            </w:r>
            <w:r w:rsidR="00326250" w:rsidRPr="00356CFE">
              <w:rPr>
                <w:rFonts w:eastAsia="Times New Roman"/>
                <w:sz w:val="20"/>
              </w:rPr>
              <w:t xml:space="preserve"> Eiropa 2020 stratēģijas mērķu sasniegšanā.</w:t>
            </w:r>
            <w:r w:rsidRPr="00356CFE">
              <w:rPr>
                <w:rFonts w:eastAsia="Times New Roman"/>
                <w:sz w:val="20"/>
              </w:rPr>
              <w:t xml:space="preserve"> Arī “Latvijas ilgtspējīgas attīstības stratēģija līdz 2030.gadam”</w:t>
            </w:r>
            <w:r w:rsidRPr="00356CFE">
              <w:rPr>
                <w:rStyle w:val="FootnoteReference"/>
                <w:rFonts w:eastAsia="Times New Roman"/>
                <w:sz w:val="20"/>
              </w:rPr>
              <w:footnoteReference w:id="87"/>
            </w:r>
            <w:r w:rsidRPr="00356CFE">
              <w:rPr>
                <w:rFonts w:eastAsia="Times New Roman"/>
                <w:sz w:val="20"/>
              </w:rPr>
              <w:t xml:space="preserve"> runā par</w:t>
            </w:r>
            <w:r w:rsidR="00056643" w:rsidRPr="00356CFE">
              <w:rPr>
                <w:rFonts w:eastAsia="Times New Roman"/>
                <w:sz w:val="20"/>
              </w:rPr>
              <w:t xml:space="preserve"> jēdzienu</w:t>
            </w:r>
            <w:r w:rsidRPr="00356CFE">
              <w:rPr>
                <w:rFonts w:eastAsia="Times New Roman"/>
                <w:sz w:val="20"/>
              </w:rPr>
              <w:t xml:space="preserve"> “sabiedriskās inovācijas”</w:t>
            </w:r>
            <w:r w:rsidR="00056643" w:rsidRPr="00356CFE">
              <w:rPr>
                <w:rFonts w:eastAsia="Times New Roman"/>
                <w:sz w:val="20"/>
              </w:rPr>
              <w:t xml:space="preserve">, kura </w:t>
            </w:r>
            <w:r w:rsidRPr="00356CFE">
              <w:rPr>
                <w:rFonts w:eastAsia="Times New Roman"/>
                <w:sz w:val="20"/>
              </w:rPr>
              <w:t>jēdzieniskā izpratne ir sociālās inovācijas.</w:t>
            </w:r>
          </w:p>
          <w:p w14:paraId="36D31F05" w14:textId="33047F18" w:rsidR="00DF7DD6" w:rsidRPr="00356CFE" w:rsidRDefault="00DF7DD6" w:rsidP="00DF7DD6">
            <w:pPr>
              <w:spacing w:before="0" w:after="0"/>
              <w:rPr>
                <w:rFonts w:eastAsia="Times New Roman"/>
                <w:sz w:val="20"/>
              </w:rPr>
            </w:pPr>
            <w:r w:rsidRPr="00356CFE">
              <w:rPr>
                <w:rFonts w:eastAsia="Times New Roman"/>
                <w:sz w:val="20"/>
              </w:rPr>
              <w:t>Lai efektīvāk risinātu problēmas sociālo lietu jomās un meklētu jaunus risinājumus ilgstošām problēmām, ir paredzēts</w:t>
            </w:r>
            <w:r w:rsidR="008F52C9" w:rsidRPr="00356CFE">
              <w:rPr>
                <w:rFonts w:eastAsia="Times New Roman"/>
                <w:sz w:val="20"/>
              </w:rPr>
              <w:t xml:space="preserve"> veicināt sociālo inovāciju, </w:t>
            </w:r>
            <w:r w:rsidR="00056643" w:rsidRPr="00356CFE">
              <w:rPr>
                <w:rFonts w:eastAsia="Times New Roman"/>
                <w:sz w:val="20"/>
              </w:rPr>
              <w:t>īstenojot</w:t>
            </w:r>
            <w:r w:rsidR="006A01A4">
              <w:rPr>
                <w:rFonts w:eastAsia="Times New Roman"/>
                <w:sz w:val="20"/>
              </w:rPr>
              <w:t xml:space="preserve"> </w:t>
            </w:r>
            <w:r w:rsidRPr="00356CFE">
              <w:rPr>
                <w:rFonts w:eastAsia="Times New Roman"/>
                <w:sz w:val="20"/>
              </w:rPr>
              <w:t>noteiktas intervences, izmantojot novatoriskus</w:t>
            </w:r>
            <w:r w:rsidR="00056643" w:rsidRPr="00356CFE">
              <w:rPr>
                <w:rFonts w:eastAsia="Times New Roman"/>
                <w:sz w:val="20"/>
              </w:rPr>
              <w:t xml:space="preserve"> un</w:t>
            </w:r>
            <w:r w:rsidRPr="00356CFE">
              <w:rPr>
                <w:rFonts w:eastAsia="Times New Roman"/>
                <w:sz w:val="20"/>
              </w:rPr>
              <w:t xml:space="preserve"> efektīvus pakalpojumus</w:t>
            </w:r>
            <w:r w:rsidR="00056643" w:rsidRPr="00356CFE">
              <w:rPr>
                <w:rFonts w:eastAsia="Times New Roman"/>
                <w:sz w:val="20"/>
              </w:rPr>
              <w:t xml:space="preserve"> un risinājumus</w:t>
            </w:r>
            <w:r w:rsidRPr="00356CFE">
              <w:rPr>
                <w:rFonts w:eastAsia="Times New Roman"/>
                <w:sz w:val="20"/>
              </w:rPr>
              <w:t xml:space="preserve">, uz </w:t>
            </w:r>
            <w:r w:rsidR="00056643" w:rsidRPr="00356CFE">
              <w:rPr>
                <w:rFonts w:eastAsia="Times New Roman"/>
                <w:sz w:val="20"/>
              </w:rPr>
              <w:t>individuāliem</w:t>
            </w:r>
            <w:r w:rsidRPr="00356CFE">
              <w:rPr>
                <w:rFonts w:eastAsia="Times New Roman"/>
                <w:sz w:val="20"/>
              </w:rPr>
              <w:t xml:space="preserve"> pakalpojumiem vērstus novatoriskus pakalpojumu sniegšanas modeļus.</w:t>
            </w:r>
          </w:p>
          <w:p w14:paraId="25A9C6A3" w14:textId="04F1D728" w:rsidR="000E38EA" w:rsidRPr="00930237" w:rsidRDefault="00DF7DD6" w:rsidP="00056643">
            <w:pPr>
              <w:spacing w:before="0" w:after="0"/>
              <w:rPr>
                <w:rFonts w:eastAsia="Times New Roman"/>
                <w:sz w:val="20"/>
              </w:rPr>
            </w:pPr>
            <w:r w:rsidRPr="00356CFE">
              <w:rPr>
                <w:rFonts w:eastAsia="Times New Roman"/>
                <w:sz w:val="20"/>
              </w:rPr>
              <w:t xml:space="preserve">Sociālo pakalpojumu pieejamība, daudzveidība un kvalitāte </w:t>
            </w:r>
            <w:r w:rsidR="00056643" w:rsidRPr="00356CFE">
              <w:rPr>
                <w:rFonts w:eastAsia="Times New Roman"/>
                <w:sz w:val="20"/>
              </w:rPr>
              <w:t xml:space="preserve">Latvijā </w:t>
            </w:r>
            <w:r w:rsidRPr="00356CFE">
              <w:rPr>
                <w:rFonts w:eastAsia="Times New Roman"/>
                <w:sz w:val="20"/>
              </w:rPr>
              <w:t xml:space="preserve">joprojām ir nepietiekama, un iedzīvotāju pieaugošās sociālās vajadzības mudina meklēt jaunus un efektīvākus veidus, kā uz tiem reaģēt. Tāpēc plānots stiprināt </w:t>
            </w:r>
            <w:r w:rsidR="00056643" w:rsidRPr="00356CFE">
              <w:rPr>
                <w:rFonts w:eastAsia="Times New Roman"/>
                <w:sz w:val="20"/>
              </w:rPr>
              <w:t xml:space="preserve">sociālo </w:t>
            </w:r>
            <w:r w:rsidRPr="00356CFE">
              <w:rPr>
                <w:rFonts w:eastAsia="Times New Roman"/>
                <w:sz w:val="20"/>
              </w:rPr>
              <w:t xml:space="preserve">pakalpojumu </w:t>
            </w:r>
            <w:r w:rsidR="00056643" w:rsidRPr="00356CFE">
              <w:rPr>
                <w:rFonts w:eastAsia="Times New Roman"/>
                <w:sz w:val="20"/>
              </w:rPr>
              <w:t>jomu</w:t>
            </w:r>
            <w:r w:rsidRPr="00356CFE">
              <w:rPr>
                <w:rFonts w:eastAsia="Times New Roman"/>
                <w:sz w:val="20"/>
              </w:rPr>
              <w:t>, ieguldot inovācijās sociālajos pakalpojumos, kas palielina pakalpojumu pārklājumu, daudzveidību un kvalitāti</w:t>
            </w:r>
            <w:r w:rsidR="00840CAD">
              <w:rPr>
                <w:rFonts w:eastAsia="Times New Roman"/>
                <w:sz w:val="20"/>
              </w:rPr>
              <w:t xml:space="preserve">, t.sk. </w:t>
            </w:r>
            <w:r w:rsidR="00C73CEB" w:rsidRPr="00356CFE">
              <w:rPr>
                <w:rFonts w:eastAsia="Times New Roman"/>
                <w:sz w:val="20"/>
              </w:rPr>
              <w:t>l</w:t>
            </w:r>
            <w:r w:rsidR="008B1A10" w:rsidRPr="00356CFE">
              <w:rPr>
                <w:rFonts w:eastAsia="Times New Roman"/>
                <w:sz w:val="20"/>
              </w:rPr>
              <w:t xml:space="preserve">ai palielinātu piekļuvi </w:t>
            </w:r>
            <w:r w:rsidR="00840CAD">
              <w:rPr>
                <w:rFonts w:eastAsia="Times New Roman"/>
                <w:sz w:val="20"/>
              </w:rPr>
              <w:t xml:space="preserve">sociālajiem </w:t>
            </w:r>
            <w:r w:rsidR="008B1A10" w:rsidRPr="00356CFE">
              <w:rPr>
                <w:rFonts w:eastAsia="Times New Roman"/>
                <w:sz w:val="20"/>
              </w:rPr>
              <w:t>pakalpojumiem cilvēkiem, kuri cieš no sociālās atstumtības.</w:t>
            </w:r>
          </w:p>
        </w:tc>
      </w:tr>
      <w:tr w:rsidR="00DA560F" w:rsidRPr="00930237" w14:paraId="58E96227" w14:textId="77777777" w:rsidTr="00487038">
        <w:trPr>
          <w:trHeight w:val="1792"/>
        </w:trPr>
        <w:tc>
          <w:tcPr>
            <w:tcW w:w="556" w:type="pct"/>
          </w:tcPr>
          <w:p w14:paraId="3C9959AC" w14:textId="77777777" w:rsidR="00DA560F" w:rsidRPr="00930237" w:rsidRDefault="00DA560F" w:rsidP="00DA560F">
            <w:pPr>
              <w:spacing w:before="0" w:after="0"/>
              <w:rPr>
                <w:rFonts w:eastAsia="Times New Roman"/>
                <w:iCs/>
                <w:noProof/>
                <w:sz w:val="20"/>
              </w:rPr>
            </w:pPr>
            <w:r w:rsidRPr="00930237">
              <w:rPr>
                <w:rFonts w:eastAsia="Times New Roman"/>
                <w:iCs/>
                <w:noProof/>
                <w:sz w:val="20"/>
              </w:rPr>
              <w:t>5.</w:t>
            </w:r>
          </w:p>
          <w:p w14:paraId="6211E0DE" w14:textId="3FE46793" w:rsidR="00DA560F" w:rsidRPr="00930237" w:rsidRDefault="007323C7" w:rsidP="00DA560F">
            <w:pPr>
              <w:spacing w:before="0" w:after="0"/>
              <w:rPr>
                <w:rFonts w:eastAsia="Times New Roman"/>
                <w:iCs/>
                <w:noProof/>
                <w:sz w:val="20"/>
              </w:rPr>
            </w:pPr>
            <w:r w:rsidRPr="0055161D">
              <w:rPr>
                <w:rFonts w:eastAsia="Times New Roman"/>
                <w:iCs/>
                <w:noProof/>
                <w:sz w:val="20"/>
              </w:rPr>
              <w:t xml:space="preserve">Pilsoņiem tuvāka Eiropa, veicinot ilgtspējīgu un integrētu </w:t>
            </w:r>
            <w:r>
              <w:rPr>
                <w:rFonts w:eastAsia="Times New Roman"/>
                <w:iCs/>
                <w:noProof/>
                <w:sz w:val="20"/>
              </w:rPr>
              <w:t xml:space="preserve">visu teritoriju </w:t>
            </w:r>
            <w:r w:rsidRPr="0055161D">
              <w:rPr>
                <w:rFonts w:eastAsia="Times New Roman"/>
                <w:iCs/>
                <w:noProof/>
                <w:sz w:val="20"/>
              </w:rPr>
              <w:t>attīstību un vietējās iniciatīvas</w:t>
            </w:r>
          </w:p>
        </w:tc>
        <w:tc>
          <w:tcPr>
            <w:tcW w:w="759" w:type="pct"/>
          </w:tcPr>
          <w:p w14:paraId="62EC8621" w14:textId="61B6216B" w:rsidR="00DA560F" w:rsidRPr="00930237" w:rsidRDefault="00DA560F" w:rsidP="00DA560F">
            <w:pPr>
              <w:spacing w:before="0" w:after="0"/>
              <w:rPr>
                <w:sz w:val="20"/>
              </w:rPr>
            </w:pPr>
            <w:r w:rsidRPr="00930237">
              <w:rPr>
                <w:sz w:val="20"/>
              </w:rPr>
              <w:t>5.1.1.SAM Vietējās teritorijas integrētās sociālās, ekonomiskās un vides attīstības un kultūras mantojuma, tūrisma un drošības veicināšana</w:t>
            </w:r>
          </w:p>
          <w:p w14:paraId="26E285E5" w14:textId="2FFCE929" w:rsidR="00DA560F" w:rsidRPr="00930237" w:rsidRDefault="00DA560F" w:rsidP="00DA560F">
            <w:pPr>
              <w:spacing w:before="0" w:after="0"/>
              <w:rPr>
                <w:sz w:val="20"/>
              </w:rPr>
            </w:pPr>
          </w:p>
        </w:tc>
        <w:tc>
          <w:tcPr>
            <w:tcW w:w="3685" w:type="pct"/>
          </w:tcPr>
          <w:p w14:paraId="750C50B9" w14:textId="0ABBBE1D" w:rsidR="00DA560F" w:rsidRPr="001324F8" w:rsidRDefault="00DA560F" w:rsidP="00DA560F">
            <w:pPr>
              <w:spacing w:before="0" w:after="0"/>
              <w:rPr>
                <w:sz w:val="20"/>
              </w:rPr>
            </w:pPr>
            <w:r w:rsidRPr="00930237">
              <w:rPr>
                <w:sz w:val="20"/>
              </w:rPr>
              <w:t xml:space="preserve">Latvijā ir trešās augstākās reģionālās attīstības atšķirības starp OECD valstīm, IKP uz vienu iedzīvotāju starp reģioniem atšķiroties līdz pat 3 reizēm. Augsto ekonomisko atšķirību rezultātā, Pierīgā pēdējos 10 gados iedzīvotāju skaits samazinājies tikai par 1%; Latgales reģionā – par 20%. </w:t>
            </w:r>
            <w:r w:rsidRPr="00366594">
              <w:rPr>
                <w:sz w:val="20"/>
              </w:rPr>
              <w:t xml:space="preserve">Atšķirības reģionālajā attīstībā veido būtiski atšķirīgs kapitālo ieguldījumu apmērs, kurš līdzīgi kā IKP un pievienotā vērtība atšķiras vairāk kā 2 reizes - augstākie </w:t>
            </w:r>
            <w:r w:rsidRPr="115DE3B7">
              <w:rPr>
                <w:sz w:val="20"/>
              </w:rPr>
              <w:t xml:space="preserve">rādītāji uz vienu nodarbināto ir </w:t>
            </w:r>
            <w:r w:rsidRPr="3A1D1A8A">
              <w:rPr>
                <w:sz w:val="20"/>
              </w:rPr>
              <w:t xml:space="preserve">Pierīgā, bet zemākie ir Latgalē. </w:t>
            </w:r>
            <w:r w:rsidRPr="6053B090">
              <w:rPr>
                <w:sz w:val="20"/>
              </w:rPr>
              <w:t xml:space="preserve">Rīgas plānošanas reģions piesaista lielāko nefinanšu investīciju apjomu valstī - 76%. </w:t>
            </w:r>
            <w:r w:rsidRPr="00454209">
              <w:rPr>
                <w:sz w:val="20"/>
              </w:rPr>
              <w:t>Vienlaikus, kaut arī Rīga un Rīgas reģions dominē daudzos sociālekonomiskajos rādītājos, nepieciešams stiprināt Rīgas reģiona starptautisko konkurētspēju</w:t>
            </w:r>
            <w:r>
              <w:rPr>
                <w:sz w:val="20"/>
              </w:rPr>
              <w:t xml:space="preserve">. </w:t>
            </w:r>
            <w:r w:rsidRPr="00930237">
              <w:rPr>
                <w:sz w:val="20"/>
              </w:rPr>
              <w:t xml:space="preserve">Tāpēc nepieciešamas integrētas investīcijas ilgtspējīgai un līdzsvarotai reģionu attīstībai, lai ar </w:t>
            </w:r>
            <w:r>
              <w:rPr>
                <w:sz w:val="20"/>
              </w:rPr>
              <w:t xml:space="preserve">teritoriāli </w:t>
            </w:r>
            <w:r w:rsidRPr="00930237">
              <w:rPr>
                <w:sz w:val="20"/>
              </w:rPr>
              <w:t xml:space="preserve">specifiskiem, pielāgotiem risinājumiem attīstītu pakalpojumus, atbilstošu infrastruktūru, uzlabotu dzīves kvalitāti un uzņēmējdarbības vidi. </w:t>
            </w:r>
            <w:r w:rsidRPr="00C66517">
              <w:rPr>
                <w:sz w:val="20"/>
              </w:rPr>
              <w:t>Kultūras komponente ir būtiska vietējās attīstības veicināšanā, darbavietu, eksporta un ienākumu radīšanā, piesaistot iedzīvotājus un tūristus; reģionu kultūrvēsturiskās atšķirības, dažādība un pieejamā infrastruktūra ļauj piedāvāt atšķirīgu saturu un biznesa iespējas</w:t>
            </w:r>
            <w:r w:rsidRPr="00C66517">
              <w:rPr>
                <w:sz w:val="20"/>
                <w:vertAlign w:val="superscript"/>
              </w:rPr>
              <w:t>.</w:t>
            </w:r>
            <w:r w:rsidRPr="00C66517">
              <w:rPr>
                <w:sz w:val="20"/>
                <w:vertAlign w:val="superscript"/>
              </w:rPr>
              <w:footnoteReference w:id="88"/>
            </w:r>
            <w:r w:rsidRPr="00C66517">
              <w:rPr>
                <w:sz w:val="20"/>
                <w:vertAlign w:val="superscript"/>
              </w:rPr>
              <w:t xml:space="preserve"> </w:t>
            </w:r>
            <w:r w:rsidRPr="00C66517">
              <w:rPr>
                <w:sz w:val="20"/>
              </w:rPr>
              <w:t>Dabas un kultūrvēsturiskās, ainaviski vērtīgās teritorijas, unikāls Eiropas līmeņa mantojums, to saglabātība un pieejamība nākotnē būs viens no galvenajiem dzīves vides augstas kvalitātes rādītājiem, kas sekmēs dzīves vietas izvēli.</w:t>
            </w:r>
            <w:r w:rsidRPr="00C66517">
              <w:rPr>
                <w:sz w:val="20"/>
                <w:vertAlign w:val="superscript"/>
              </w:rPr>
              <w:footnoteReference w:id="89"/>
            </w:r>
            <w:r w:rsidRPr="009964A8">
              <w:rPr>
                <w:sz w:val="20"/>
              </w:rPr>
              <w:t xml:space="preserve">  </w:t>
            </w:r>
          </w:p>
          <w:p w14:paraId="2DE58343" w14:textId="25D157FA" w:rsidR="00DA560F" w:rsidRPr="00930237" w:rsidRDefault="00DA560F" w:rsidP="00DA560F">
            <w:pPr>
              <w:spacing w:before="0" w:after="0"/>
              <w:rPr>
                <w:rFonts w:eastAsia="Times New Roman"/>
                <w:iCs/>
                <w:noProof/>
                <w:sz w:val="20"/>
              </w:rPr>
            </w:pPr>
            <w:r w:rsidRPr="00930237">
              <w:rPr>
                <w:sz w:val="20"/>
              </w:rPr>
              <w:t>Būtisks izaicinājums – saikne starp pilsētām un funkcionālām pilsētteritorijām. No pašvaldību kopbudžeta faktiskajiem izdevumiem 18,8% ir kapitālie izdevumi, bet 81,2% ir uzturēšanas izdevumi</w:t>
            </w:r>
            <w:r w:rsidRPr="00CD3901">
              <w:rPr>
                <w:sz w:val="20"/>
                <w:vertAlign w:val="superscript"/>
              </w:rPr>
              <w:footnoteReference w:id="90"/>
            </w:r>
            <w:r>
              <w:rPr>
                <w:sz w:val="20"/>
              </w:rPr>
              <w:t>.</w:t>
            </w:r>
            <w:r w:rsidRPr="00930237">
              <w:rPr>
                <w:sz w:val="20"/>
              </w:rPr>
              <w:t xml:space="preserve"> Nepieciešams arī kompleksi paaugstināt kapacitāti </w:t>
            </w:r>
            <w:r>
              <w:rPr>
                <w:sz w:val="20"/>
              </w:rPr>
              <w:t xml:space="preserve">plānošanas </w:t>
            </w:r>
            <w:r w:rsidRPr="00930237">
              <w:rPr>
                <w:sz w:val="20"/>
              </w:rPr>
              <w:t>reģioniem un ATR rezultātā izveidotajām pašvaldībām</w:t>
            </w:r>
            <w:r w:rsidR="00736BAE">
              <w:rPr>
                <w:sz w:val="20"/>
              </w:rPr>
              <w:t>.</w:t>
            </w:r>
            <w:r w:rsidRPr="00930237">
              <w:rPr>
                <w:sz w:val="20"/>
              </w:rPr>
              <w:t xml:space="preserve"> Lai risinātu NAP un RPP identificētos izaicinājumus, plānots ES fondu atbalstu fokusēt integrēto attīstības stratēģiju ieviešanai, primāri attīstot pašvaldību uzņēmējdarbības un pakalpojumu atbalsta infrastruktūru,</w:t>
            </w:r>
            <w:r>
              <w:rPr>
                <w:color w:val="000000"/>
                <w:sz w:val="20"/>
              </w:rPr>
              <w:t xml:space="preserve"> </w:t>
            </w:r>
            <w:r w:rsidRPr="00FF2462">
              <w:rPr>
                <w:sz w:val="20"/>
              </w:rPr>
              <w:t>t</w:t>
            </w:r>
            <w:r w:rsidR="00AC3040">
              <w:rPr>
                <w:sz w:val="20"/>
              </w:rPr>
              <w:t xml:space="preserve">.sk., </w:t>
            </w:r>
            <w:r w:rsidRPr="00FF2462">
              <w:rPr>
                <w:sz w:val="20"/>
              </w:rPr>
              <w:t>stiprinot ilgtspējīgas attīstības kultūras dimensiju, nodrošināt kultūras mantojuma saglabāšanu un aizsardzību un kultūras infrastruktūras izveidi</w:t>
            </w:r>
            <w:r>
              <w:rPr>
                <w:sz w:val="20"/>
              </w:rPr>
              <w:t xml:space="preserve"> </w:t>
            </w:r>
            <w:r w:rsidRPr="00930237">
              <w:rPr>
                <w:sz w:val="20"/>
              </w:rPr>
              <w:t xml:space="preserve">atbilstoši </w:t>
            </w:r>
            <w:r>
              <w:rPr>
                <w:sz w:val="20"/>
              </w:rPr>
              <w:t xml:space="preserve">reģionu un pašvaldību </w:t>
            </w:r>
            <w:r w:rsidRPr="00930237">
              <w:rPr>
                <w:sz w:val="20"/>
              </w:rPr>
              <w:t>teritoriju attīstības plānošanas dokumentos noteiktaj</w:t>
            </w:r>
            <w:r>
              <w:rPr>
                <w:sz w:val="20"/>
              </w:rPr>
              <w:t>ām</w:t>
            </w:r>
            <w:r w:rsidRPr="00930237">
              <w:rPr>
                <w:sz w:val="20"/>
              </w:rPr>
              <w:t xml:space="preserve"> </w:t>
            </w:r>
            <w:r>
              <w:rPr>
                <w:sz w:val="20"/>
              </w:rPr>
              <w:t>prioritātēm</w:t>
            </w:r>
            <w:r w:rsidRPr="00930237">
              <w:rPr>
                <w:sz w:val="20"/>
              </w:rPr>
              <w:t xml:space="preserve"> un aktuālajam</w:t>
            </w:r>
            <w:r>
              <w:rPr>
                <w:sz w:val="20"/>
              </w:rPr>
              <w:t xml:space="preserve"> speciālistu, </w:t>
            </w:r>
            <w:r w:rsidRPr="00930237">
              <w:rPr>
                <w:sz w:val="20"/>
              </w:rPr>
              <w:t>iedzīvotāju, komersantu pieprasījumam</w:t>
            </w:r>
            <w:r>
              <w:rPr>
                <w:sz w:val="20"/>
              </w:rPr>
              <w:t>, ievērojot teritoriju sociāli ekonomiskās situācijas specifiku</w:t>
            </w:r>
            <w:r w:rsidR="00736BAE">
              <w:rPr>
                <w:sz w:val="20"/>
              </w:rPr>
              <w:t>.</w:t>
            </w:r>
            <w:r w:rsidRPr="00930237">
              <w:rPr>
                <w:sz w:val="20"/>
              </w:rPr>
              <w:t xml:space="preserve"> Plānots atbalsts arī publisko pakalpojumu uzlabošanai atbilstoši iedzīvotāju skaita dinamikai, ieviešot viedos risinājumus pašvaldību funkciju un pakalpojumu efektīvai īstenošanai, vietējo teritoriju attīstībā iesaistīto pušu kapacitātes un administratīvo procesu uzlabošanai, kā arī publisk</w:t>
            </w:r>
            <w:r>
              <w:rPr>
                <w:sz w:val="20"/>
              </w:rPr>
              <w:t>ās</w:t>
            </w:r>
            <w:r w:rsidRPr="00930237">
              <w:rPr>
                <w:sz w:val="20"/>
              </w:rPr>
              <w:t xml:space="preserve"> ārtelpa</w:t>
            </w:r>
            <w:r>
              <w:rPr>
                <w:sz w:val="20"/>
              </w:rPr>
              <w:t>s attīstībai</w:t>
            </w:r>
            <w:r w:rsidRPr="00930237">
              <w:rPr>
                <w:sz w:val="20"/>
              </w:rPr>
              <w:t>.</w:t>
            </w:r>
            <w:r>
              <w:rPr>
                <w:sz w:val="20"/>
              </w:rPr>
              <w:t xml:space="preserve"> Ieguldījumi tiks veikti pilsētu funkcionālajās teritorijās, kas </w:t>
            </w:r>
            <w:r w:rsidRPr="006314B3">
              <w:rPr>
                <w:sz w:val="20"/>
              </w:rPr>
              <w:t>ir nacionālas un reģionālas nozīmes attīstības centri atbilstoši stratēģijā “Latvija 2030” noteiktajam un to apkārtējās teritorijas, starp kurām ir ikdienas darbaspēka migrācija vai kopīgs pakalpojumu tīkls</w:t>
            </w:r>
            <w:r>
              <w:rPr>
                <w:sz w:val="20"/>
              </w:rPr>
              <w:t>.</w:t>
            </w:r>
          </w:p>
        </w:tc>
      </w:tr>
      <w:tr w:rsidR="00DA560F" w:rsidRPr="00930237" w14:paraId="4A23DE71" w14:textId="77777777" w:rsidTr="00DA560F">
        <w:trPr>
          <w:trHeight w:val="1083"/>
        </w:trPr>
        <w:tc>
          <w:tcPr>
            <w:tcW w:w="556" w:type="pct"/>
          </w:tcPr>
          <w:p w14:paraId="35AF4739" w14:textId="40BC547F" w:rsidR="00DA560F" w:rsidRPr="00930237" w:rsidRDefault="00DA560F" w:rsidP="00DA560F">
            <w:pPr>
              <w:spacing w:before="0" w:after="0"/>
              <w:rPr>
                <w:rFonts w:eastAsia="Times New Roman"/>
                <w:iCs/>
                <w:noProof/>
                <w:sz w:val="20"/>
              </w:rPr>
            </w:pPr>
            <w:r w:rsidRPr="00AF13D4">
              <w:rPr>
                <w:rFonts w:eastAsia="Times New Roman"/>
                <w:iCs/>
                <w:noProof/>
                <w:sz w:val="20"/>
              </w:rPr>
              <w:t>Taisnīg</w:t>
            </w:r>
            <w:r>
              <w:rPr>
                <w:rFonts w:eastAsia="Times New Roman"/>
                <w:iCs/>
                <w:noProof/>
                <w:sz w:val="20"/>
              </w:rPr>
              <w:t>a</w:t>
            </w:r>
            <w:r w:rsidRPr="00873731">
              <w:rPr>
                <w:rFonts w:eastAsia="Times New Roman"/>
                <w:sz w:val="20"/>
              </w:rPr>
              <w:t>s pārkārtošanās fonda investīcijas</w:t>
            </w:r>
          </w:p>
        </w:tc>
        <w:tc>
          <w:tcPr>
            <w:tcW w:w="759" w:type="pct"/>
          </w:tcPr>
          <w:p w14:paraId="30A372C1" w14:textId="77777777" w:rsidR="00DA560F" w:rsidRPr="00893AEB" w:rsidRDefault="00DA560F" w:rsidP="00DA560F">
            <w:pPr>
              <w:spacing w:before="0" w:after="0"/>
              <w:rPr>
                <w:sz w:val="20"/>
              </w:rPr>
            </w:pPr>
            <w:r w:rsidRPr="00893AEB">
              <w:rPr>
                <w:sz w:val="20"/>
              </w:rPr>
              <w:t xml:space="preserve">6.1.1. </w:t>
            </w:r>
            <w:r>
              <w:rPr>
                <w:sz w:val="20"/>
              </w:rPr>
              <w:t>SAM</w:t>
            </w:r>
          </w:p>
          <w:p w14:paraId="204C1BEB" w14:textId="0976197A" w:rsidR="00DA560F" w:rsidRPr="00930237" w:rsidRDefault="00DA560F" w:rsidP="00DA560F">
            <w:pPr>
              <w:spacing w:before="0" w:after="0"/>
              <w:rPr>
                <w:sz w:val="20"/>
              </w:rPr>
            </w:pPr>
            <w:r w:rsidRPr="00893AEB">
              <w:rPr>
                <w:sz w:val="20"/>
              </w:rPr>
              <w:t>Pārejas uz klimatneitralitāti radīto ekonomisko, sociālo un vides seku mazināšana visvairāk skartajos reģionos</w:t>
            </w:r>
          </w:p>
        </w:tc>
        <w:tc>
          <w:tcPr>
            <w:tcW w:w="3685" w:type="pct"/>
          </w:tcPr>
          <w:p w14:paraId="22D7C16B" w14:textId="334E93DE" w:rsidR="00DA560F" w:rsidRPr="00930237" w:rsidRDefault="00DA560F" w:rsidP="005A1EAB">
            <w:pPr>
              <w:spacing w:before="0" w:after="0"/>
              <w:rPr>
                <w:sz w:val="20"/>
              </w:rPr>
            </w:pPr>
            <w:r>
              <w:rPr>
                <w:sz w:val="20"/>
              </w:rPr>
              <w:t xml:space="preserve">Klimatneitrālas ekonomikas sasniegšanai, </w:t>
            </w:r>
            <w:r w:rsidRPr="00FB09FF">
              <w:rPr>
                <w:sz w:val="20"/>
              </w:rPr>
              <w:t>lai risinātu pārstruktu</w:t>
            </w:r>
            <w:r>
              <w:rPr>
                <w:sz w:val="20"/>
              </w:rPr>
              <w:t>rēšanas jautājumus, ir nepieciešams noteikt</w:t>
            </w:r>
            <w:r w:rsidRPr="00FB09FF">
              <w:rPr>
                <w:sz w:val="20"/>
              </w:rPr>
              <w:t xml:space="preserve"> prioritārās ieguldījumu vajadzības, kas dažādotu un padarītu reģionu ekonomiku </w:t>
            </w:r>
            <w:r>
              <w:rPr>
                <w:sz w:val="20"/>
              </w:rPr>
              <w:t xml:space="preserve">“zaļāku”, </w:t>
            </w:r>
            <w:r w:rsidRPr="00FB09FF">
              <w:rPr>
                <w:sz w:val="20"/>
              </w:rPr>
              <w:t>mūsdienīgāku un konkurētspējīgāku, kā arī samazinātu pā</w:t>
            </w:r>
            <w:r>
              <w:rPr>
                <w:sz w:val="20"/>
              </w:rPr>
              <w:t xml:space="preserve">rejas sociālekonomisko ietekmi. Taisnīgas pārkārtošanās fonda investīciju virzieni identificēti Taisnīgas pārkārtošanās teritoriālā plāna Latvijai ietvaros un nosaka </w:t>
            </w:r>
            <w:r w:rsidRPr="00AC3271">
              <w:rPr>
                <w:sz w:val="20"/>
              </w:rPr>
              <w:t>prioritāros pasākumus pāre</w:t>
            </w:r>
            <w:r>
              <w:rPr>
                <w:sz w:val="20"/>
              </w:rPr>
              <w:t xml:space="preserve">jas </w:t>
            </w:r>
            <w:r w:rsidRPr="00AC3271">
              <w:rPr>
                <w:sz w:val="20"/>
              </w:rPr>
              <w:t xml:space="preserve">uz klimatneitrālu ekonomiku </w:t>
            </w:r>
            <w:r>
              <w:rPr>
                <w:sz w:val="20"/>
              </w:rPr>
              <w:t xml:space="preserve">sociālo, ekonomisko un </w:t>
            </w:r>
            <w:r w:rsidRPr="57AD42CB">
              <w:rPr>
                <w:sz w:val="20"/>
              </w:rPr>
              <w:t>vides</w:t>
            </w:r>
            <w:r w:rsidRPr="00AC3271">
              <w:rPr>
                <w:sz w:val="20"/>
              </w:rPr>
              <w:t xml:space="preserve"> problēmu mazināšanai visvairāk </w:t>
            </w:r>
            <w:r>
              <w:rPr>
                <w:sz w:val="20"/>
              </w:rPr>
              <w:t>skartajās Latvijas teritorijās. Būtisks izaicinājums ir SEG</w:t>
            </w:r>
            <w:r w:rsidRPr="1276DB6F">
              <w:rPr>
                <w:sz w:val="20"/>
              </w:rPr>
              <w:t xml:space="preserve"> emisiju</w:t>
            </w:r>
            <w:r w:rsidRPr="00B5290D">
              <w:rPr>
                <w:sz w:val="20"/>
              </w:rPr>
              <w:t> samazināšan</w:t>
            </w:r>
            <w:r>
              <w:rPr>
                <w:sz w:val="20"/>
              </w:rPr>
              <w:t>a</w:t>
            </w:r>
            <w:r w:rsidRPr="00B5290D">
              <w:rPr>
                <w:sz w:val="20"/>
              </w:rPr>
              <w:t xml:space="preserve"> un oglekļa dioksīda</w:t>
            </w:r>
            <w:r>
              <w:rPr>
                <w:sz w:val="20"/>
              </w:rPr>
              <w:t xml:space="preserve"> (CO</w:t>
            </w:r>
            <w:r w:rsidRPr="00B5290D">
              <w:rPr>
                <w:sz w:val="20"/>
                <w:vertAlign w:val="subscript"/>
              </w:rPr>
              <w:t>2</w:t>
            </w:r>
            <w:r>
              <w:rPr>
                <w:sz w:val="20"/>
              </w:rPr>
              <w:t>)</w:t>
            </w:r>
            <w:r w:rsidRPr="00B5290D">
              <w:rPr>
                <w:sz w:val="20"/>
              </w:rPr>
              <w:t> </w:t>
            </w:r>
            <w:r w:rsidRPr="1276DB6F">
              <w:rPr>
                <w:sz w:val="20"/>
              </w:rPr>
              <w:t>piesaistes</w:t>
            </w:r>
            <w:r>
              <w:rPr>
                <w:sz w:val="20"/>
              </w:rPr>
              <w:t xml:space="preserve"> palielināšana</w:t>
            </w:r>
            <w:r w:rsidRPr="1276DB6F">
              <w:rPr>
                <w:sz w:val="20"/>
              </w:rPr>
              <w:t>.</w:t>
            </w:r>
            <w:r>
              <w:rPr>
                <w:sz w:val="20"/>
              </w:rPr>
              <w:t xml:space="preserve"> </w:t>
            </w:r>
            <w:r w:rsidR="00736BAE">
              <w:rPr>
                <w:sz w:val="20"/>
              </w:rPr>
              <w:t xml:space="preserve">Atbalsta </w:t>
            </w:r>
            <w:r>
              <w:rPr>
                <w:sz w:val="20"/>
              </w:rPr>
              <w:t xml:space="preserve">ietvaros plānoti SEG samazinoši </w:t>
            </w:r>
            <w:r w:rsidRPr="57AD42CB">
              <w:rPr>
                <w:sz w:val="20"/>
              </w:rPr>
              <w:t>pasākumi</w:t>
            </w:r>
            <w:r>
              <w:rPr>
                <w:sz w:val="20"/>
              </w:rPr>
              <w:t xml:space="preserve">, piemēram, tādos virzienos kā </w:t>
            </w:r>
            <w:r w:rsidR="00736BAE" w:rsidRPr="00736BAE">
              <w:rPr>
                <w:sz w:val="20"/>
              </w:rPr>
              <w:t xml:space="preserve">bezizmešu mobilitāte, </w:t>
            </w:r>
            <w:r>
              <w:rPr>
                <w:sz w:val="20"/>
              </w:rPr>
              <w:t>energoefektīvi risinājumi uzņēmējdarbībai nepieciešamās infrastruktūras attīstībai un produktu attīstībai,</w:t>
            </w:r>
            <w:r w:rsidR="00736BAE">
              <w:rPr>
                <w:sz w:val="20"/>
              </w:rPr>
              <w:t xml:space="preserve"> </w:t>
            </w:r>
            <w:r w:rsidR="00736BAE" w:rsidRPr="00736BAE">
              <w:rPr>
                <w:sz w:val="20"/>
              </w:rPr>
              <w:t>t.sk. inovāciju pasākumi “zaļās ekonomikas” veicināšanai.</w:t>
            </w:r>
            <w:r>
              <w:rPr>
                <w:sz w:val="20"/>
              </w:rPr>
              <w:t xml:space="preserve"> </w:t>
            </w:r>
            <w:r w:rsidR="005A1EAB" w:rsidRPr="005A1EAB">
              <w:rPr>
                <w:sz w:val="20"/>
              </w:rPr>
              <w:t>Tāpat plānoti  inovāciju  pasākumi “zaļas” ekonomikas veicināšanai.</w:t>
            </w:r>
            <w:r w:rsidRPr="57AD42CB">
              <w:rPr>
                <w:sz w:val="20"/>
              </w:rPr>
              <w:t>CO</w:t>
            </w:r>
            <w:r w:rsidRPr="57AD42CB">
              <w:rPr>
                <w:sz w:val="20"/>
                <w:vertAlign w:val="subscript"/>
              </w:rPr>
              <w:t>2</w:t>
            </w:r>
            <w:r w:rsidRPr="57AD42CB">
              <w:rPr>
                <w:sz w:val="20"/>
              </w:rPr>
              <w:t> piesaisti veicinoši pasākumi</w:t>
            </w:r>
            <w:r w:rsidR="005A1EAB">
              <w:rPr>
                <w:sz w:val="20"/>
              </w:rPr>
              <w:t xml:space="preserve"> </w:t>
            </w:r>
            <w:r w:rsidR="005A1EAB" w:rsidRPr="005A1EAB">
              <w:rPr>
                <w:sz w:val="20"/>
              </w:rPr>
              <w:t>tiks nodrošināti ar degradēto purvu (t.sk. nerekultivēto vēsturisko kūdras ieguves vietu)</w:t>
            </w:r>
            <w:r w:rsidRPr="57AD42CB">
              <w:rPr>
                <w:sz w:val="20"/>
              </w:rPr>
              <w:t xml:space="preserve"> rekultivācij</w:t>
            </w:r>
            <w:r w:rsidR="005A1EAB">
              <w:rPr>
                <w:sz w:val="20"/>
              </w:rPr>
              <w:t>u</w:t>
            </w:r>
            <w:r w:rsidRPr="57AD42CB">
              <w:rPr>
                <w:sz w:val="20"/>
              </w:rPr>
              <w:t>, t.sk. atgriežot teritorijas ekonomiskajā apritē</w:t>
            </w:r>
            <w:r w:rsidR="005A1EAB">
              <w:rPr>
                <w:sz w:val="20"/>
              </w:rPr>
              <w:t xml:space="preserve">. </w:t>
            </w:r>
            <w:r w:rsidR="005A1EAB" w:rsidRPr="005A1EAB">
              <w:rPr>
                <w:sz w:val="20"/>
              </w:rPr>
              <w:t>Pētniecības aktivitātēs kūdras nozarē un vispārēj</w:t>
            </w:r>
            <w:r w:rsidR="005A1EAB">
              <w:rPr>
                <w:sz w:val="20"/>
              </w:rPr>
              <w:t>o prasmju</w:t>
            </w:r>
            <w:r>
              <w:rPr>
                <w:sz w:val="20"/>
              </w:rPr>
              <w:t xml:space="preserve"> </w:t>
            </w:r>
            <w:r w:rsidR="005A1EAB" w:rsidRPr="005A1EAB">
              <w:rPr>
                <w:sz w:val="20"/>
              </w:rPr>
              <w:t>attīstība nodrošinās netiešu emisiju samazinājumu</w:t>
            </w:r>
            <w:r w:rsidR="005A1EAB">
              <w:rPr>
                <w:sz w:val="20"/>
              </w:rPr>
              <w:t>.</w:t>
            </w:r>
            <w:r w:rsidR="005A1EAB" w:rsidRPr="005A1EAB">
              <w:rPr>
                <w:sz w:val="20"/>
              </w:rPr>
              <w:t xml:space="preserve"> </w:t>
            </w:r>
            <w:r>
              <w:rPr>
                <w:sz w:val="20"/>
              </w:rPr>
              <w:t xml:space="preserve">Ne mazāk svarīgs izaicinājums ir </w:t>
            </w:r>
            <w:r w:rsidRPr="1276DB6F">
              <w:rPr>
                <w:sz w:val="20"/>
              </w:rPr>
              <w:t>nodarbinātība</w:t>
            </w:r>
            <w:r>
              <w:rPr>
                <w:sz w:val="20"/>
              </w:rPr>
              <w:t xml:space="preserve">, jo </w:t>
            </w:r>
            <w:r w:rsidRPr="00873731">
              <w:rPr>
                <w:sz w:val="20"/>
              </w:rPr>
              <w:t>pārkārtošanās uz klimatneitrāl</w:t>
            </w:r>
            <w:r>
              <w:rPr>
                <w:sz w:val="20"/>
              </w:rPr>
              <w:t>u</w:t>
            </w:r>
            <w:r w:rsidRPr="00873731">
              <w:rPr>
                <w:sz w:val="20"/>
              </w:rPr>
              <w:t> ekonomik</w:t>
            </w:r>
            <w:r>
              <w:rPr>
                <w:sz w:val="20"/>
              </w:rPr>
              <w:t>u</w:t>
            </w:r>
            <w:r w:rsidRPr="00873731">
              <w:rPr>
                <w:sz w:val="20"/>
              </w:rPr>
              <w:t xml:space="preserve"> rezultātā nākotnē prognozējamas strukturālās izmaiņas darba tirgū</w:t>
            </w:r>
            <w:r>
              <w:rPr>
                <w:sz w:val="20"/>
              </w:rPr>
              <w:t>.</w:t>
            </w:r>
            <w:r w:rsidRPr="00873731">
              <w:rPr>
                <w:sz w:val="20"/>
              </w:rPr>
              <w:t xml:space="preserve"> </w:t>
            </w:r>
            <w:r>
              <w:rPr>
                <w:sz w:val="20"/>
              </w:rPr>
              <w:t>S</w:t>
            </w:r>
            <w:r w:rsidRPr="00873731">
              <w:rPr>
                <w:sz w:val="20"/>
              </w:rPr>
              <w:t>traujā tehnoloģiju attīstība mainīs iedzīvotāju dzīves stilu un profesionālās darbības jomas. Virkne profesij</w:t>
            </w:r>
            <w:r w:rsidRPr="00901922">
              <w:rPr>
                <w:sz w:val="20"/>
              </w:rPr>
              <w:t>u pazudīs, bet to viet</w:t>
            </w:r>
            <w:r>
              <w:rPr>
                <w:sz w:val="20"/>
              </w:rPr>
              <w:t xml:space="preserve">ā </w:t>
            </w:r>
            <w:r w:rsidRPr="00873731">
              <w:rPr>
                <w:sz w:val="20"/>
              </w:rPr>
              <w:t>radīsies tādas, kas vēl pašlaik neeksistē</w:t>
            </w:r>
            <w:r>
              <w:rPr>
                <w:sz w:val="20"/>
              </w:rPr>
              <w:t xml:space="preserve">, tādejādi, lai nepasliktinātu iedzīvotāju dzīves līmeni, nepieciešams atbalsts </w:t>
            </w:r>
            <w:r w:rsidRPr="00901922">
              <w:rPr>
                <w:sz w:val="20"/>
              </w:rPr>
              <w:t>atbilstoš</w:t>
            </w:r>
            <w:r>
              <w:rPr>
                <w:sz w:val="20"/>
              </w:rPr>
              <w:t>a</w:t>
            </w:r>
            <w:r w:rsidRPr="00873731">
              <w:rPr>
                <w:sz w:val="20"/>
              </w:rPr>
              <w:t> pārkvalifikācijas un prasmju pilnveides piedāvājum</w:t>
            </w:r>
            <w:r>
              <w:rPr>
                <w:sz w:val="20"/>
              </w:rPr>
              <w:t>a izveidei. Vienlaikus Taisnīgas pārkārtošanas fonda investīciju plānošanai un ieguldījumu veikšanai ir būtiska reģionu un pašvaldību kapacitāte, piedāvājot integrētos risinājumus p</w:t>
            </w:r>
            <w:r w:rsidRPr="00930237">
              <w:rPr>
                <w:rFonts w:eastAsia="Times New Roman"/>
                <w:noProof/>
                <w:sz w:val="20"/>
              </w:rPr>
              <w:t>āreja</w:t>
            </w:r>
            <w:r>
              <w:rPr>
                <w:rFonts w:eastAsia="Times New Roman"/>
                <w:noProof/>
                <w:sz w:val="20"/>
              </w:rPr>
              <w:t>s</w:t>
            </w:r>
            <w:r w:rsidRPr="00930237">
              <w:rPr>
                <w:rFonts w:eastAsia="Times New Roman"/>
                <w:noProof/>
                <w:sz w:val="20"/>
              </w:rPr>
              <w:t xml:space="preserve"> uz klimatneitralitāti </w:t>
            </w:r>
            <w:r>
              <w:rPr>
                <w:rFonts w:eastAsia="Times New Roman"/>
                <w:noProof/>
                <w:sz w:val="20"/>
              </w:rPr>
              <w:t xml:space="preserve">radīto </w:t>
            </w:r>
            <w:r w:rsidRPr="00930237">
              <w:rPr>
                <w:rFonts w:eastAsia="Times New Roman"/>
                <w:noProof/>
                <w:sz w:val="20"/>
              </w:rPr>
              <w:t>ekonomisk</w:t>
            </w:r>
            <w:r>
              <w:rPr>
                <w:rFonts w:eastAsia="Times New Roman"/>
                <w:noProof/>
                <w:sz w:val="20"/>
              </w:rPr>
              <w:t>o, sociālo</w:t>
            </w:r>
            <w:r w:rsidRPr="00930237">
              <w:rPr>
                <w:rFonts w:eastAsia="Times New Roman"/>
                <w:noProof/>
                <w:sz w:val="20"/>
              </w:rPr>
              <w:t xml:space="preserve"> un vides sek</w:t>
            </w:r>
            <w:r>
              <w:rPr>
                <w:rFonts w:eastAsia="Times New Roman"/>
                <w:noProof/>
                <w:sz w:val="20"/>
              </w:rPr>
              <w:t>u mazināšanai</w:t>
            </w:r>
            <w:r>
              <w:rPr>
                <w:sz w:val="20"/>
              </w:rPr>
              <w:t>.</w:t>
            </w:r>
          </w:p>
        </w:tc>
      </w:tr>
    </w:tbl>
    <w:p w14:paraId="0C675095" w14:textId="4340FF8C" w:rsidR="00AC212B" w:rsidRDefault="00AC212B" w:rsidP="00AC212B">
      <w:pPr>
        <w:spacing w:before="0" w:after="0"/>
        <w:rPr>
          <w:rFonts w:eastAsia="Times New Roman"/>
          <w:b/>
          <w:i/>
          <w:iCs/>
          <w:noProof/>
          <w:color w:val="FF0000"/>
          <w:sz w:val="20"/>
        </w:rPr>
      </w:pPr>
    </w:p>
    <w:p w14:paraId="2F986531" w14:textId="1C9A03DC" w:rsidR="00B65AEC" w:rsidRDefault="00B65AEC" w:rsidP="00AC212B">
      <w:pPr>
        <w:spacing w:before="0" w:after="0"/>
        <w:rPr>
          <w:rFonts w:eastAsia="Times New Roman"/>
          <w:b/>
          <w:i/>
          <w:iCs/>
          <w:noProof/>
          <w:color w:val="FF0000"/>
          <w:sz w:val="20"/>
        </w:rPr>
      </w:pPr>
    </w:p>
    <w:p w14:paraId="5B92CC5D" w14:textId="61F4E230" w:rsidR="00B65AEC" w:rsidRDefault="00B65AEC" w:rsidP="00AC212B">
      <w:pPr>
        <w:spacing w:before="0" w:after="0"/>
        <w:rPr>
          <w:rFonts w:eastAsia="Times New Roman"/>
          <w:b/>
          <w:i/>
          <w:iCs/>
          <w:noProof/>
          <w:color w:val="FF0000"/>
          <w:sz w:val="20"/>
        </w:rPr>
      </w:pPr>
    </w:p>
    <w:p w14:paraId="0A963DDB" w14:textId="7A1EAD97" w:rsidR="00B65AEC" w:rsidRDefault="00B65AEC" w:rsidP="00AC212B">
      <w:pPr>
        <w:spacing w:before="0" w:after="0"/>
        <w:rPr>
          <w:rFonts w:eastAsia="Times New Roman"/>
          <w:b/>
          <w:i/>
          <w:iCs/>
          <w:noProof/>
          <w:color w:val="FF0000"/>
          <w:sz w:val="20"/>
        </w:rPr>
      </w:pPr>
    </w:p>
    <w:p w14:paraId="05F683A7" w14:textId="5B8A5826" w:rsidR="00B65AEC" w:rsidRDefault="00B65AEC" w:rsidP="00AC212B">
      <w:pPr>
        <w:spacing w:before="0" w:after="0"/>
        <w:rPr>
          <w:rFonts w:eastAsia="Times New Roman"/>
          <w:b/>
          <w:i/>
          <w:iCs/>
          <w:noProof/>
          <w:color w:val="FF0000"/>
          <w:sz w:val="20"/>
        </w:rPr>
      </w:pPr>
    </w:p>
    <w:p w14:paraId="65649A45" w14:textId="6A134D9B" w:rsidR="00B65AEC" w:rsidRDefault="00B65AEC" w:rsidP="00AC212B">
      <w:pPr>
        <w:spacing w:before="0" w:after="0"/>
        <w:rPr>
          <w:rFonts w:eastAsia="Times New Roman"/>
          <w:b/>
          <w:i/>
          <w:iCs/>
          <w:noProof/>
          <w:color w:val="FF0000"/>
          <w:sz w:val="20"/>
        </w:rPr>
      </w:pPr>
    </w:p>
    <w:p w14:paraId="01952E58" w14:textId="7D79EFE9" w:rsidR="00B65AEC" w:rsidRDefault="00B65AEC" w:rsidP="00AC212B">
      <w:pPr>
        <w:spacing w:before="0" w:after="0"/>
        <w:rPr>
          <w:rFonts w:eastAsia="Times New Roman"/>
          <w:b/>
          <w:i/>
          <w:iCs/>
          <w:noProof/>
          <w:color w:val="FF0000"/>
          <w:sz w:val="20"/>
        </w:rPr>
      </w:pPr>
    </w:p>
    <w:p w14:paraId="35757ADB" w14:textId="79F80B1F" w:rsidR="007C1084" w:rsidRPr="00930237" w:rsidRDefault="007C1084" w:rsidP="00AC212B">
      <w:pPr>
        <w:spacing w:before="0" w:after="0"/>
        <w:rPr>
          <w:rFonts w:eastAsia="Times New Roman"/>
          <w:i/>
          <w:noProof/>
          <w:sz w:val="20"/>
        </w:rPr>
        <w:sectPr w:rsidR="007C1084" w:rsidRPr="00930237" w:rsidSect="00F10639">
          <w:type w:val="continuous"/>
          <w:pgSz w:w="16838" w:h="11906" w:orient="landscape" w:code="9"/>
          <w:pgMar w:top="1418" w:right="1418" w:bottom="1418" w:left="1418" w:header="567" w:footer="567" w:gutter="0"/>
          <w:cols w:space="708"/>
          <w:titlePg/>
          <w:docGrid w:linePitch="360"/>
        </w:sectPr>
      </w:pPr>
    </w:p>
    <w:p w14:paraId="10D40135" w14:textId="77777777" w:rsidR="00AC212B" w:rsidRPr="00930237" w:rsidRDefault="00AC212B" w:rsidP="00AC212B">
      <w:pPr>
        <w:spacing w:before="0" w:after="0"/>
        <w:rPr>
          <w:rFonts w:eastAsia="Times New Roman"/>
          <w:i/>
          <w:noProof/>
          <w:sz w:val="20"/>
        </w:rPr>
      </w:pPr>
    </w:p>
    <w:p w14:paraId="303EFCEF" w14:textId="47F93793" w:rsidR="00AC212B" w:rsidRPr="00930237" w:rsidRDefault="00AC212B" w:rsidP="00AC212B">
      <w:pPr>
        <w:pStyle w:val="Heading3"/>
        <w:numPr>
          <w:ilvl w:val="0"/>
          <w:numId w:val="0"/>
        </w:numPr>
        <w:shd w:val="clear" w:color="auto" w:fill="FFF2CC" w:themeFill="accent4" w:themeFillTint="33"/>
        <w:spacing w:after="0"/>
        <w:rPr>
          <w:b/>
          <w:i w:val="0"/>
          <w:noProof/>
        </w:rPr>
      </w:pPr>
      <w:bookmarkStart w:id="17" w:name="_Toc69125408"/>
      <w:r w:rsidRPr="00930237">
        <w:rPr>
          <w:b/>
          <w:i w:val="0"/>
          <w:noProof/>
        </w:rPr>
        <w:t>1.politikas mērķis “</w:t>
      </w:r>
      <w:r w:rsidR="00FF3FE8" w:rsidRPr="00FF3FE8">
        <w:rPr>
          <w:b/>
          <w:i w:val="0"/>
          <w:noProof/>
        </w:rPr>
        <w:t>Konkurentspējīgāka un viedāka Eiropa, veicinot inovatīvas un viedas ekonomiskās pārmaiņas un reģionālo IKT savienojamību</w:t>
      </w:r>
      <w:r w:rsidRPr="00930237">
        <w:rPr>
          <w:b/>
          <w:i w:val="0"/>
          <w:noProof/>
        </w:rPr>
        <w:t>”</w:t>
      </w:r>
      <w:bookmarkEnd w:id="17"/>
    </w:p>
    <w:p w14:paraId="7B7A3CE1" w14:textId="77777777" w:rsidR="00AC212B" w:rsidRPr="00930237" w:rsidRDefault="00AC212B" w:rsidP="00AC212B">
      <w:pPr>
        <w:spacing w:before="0" w:after="0"/>
      </w:pPr>
    </w:p>
    <w:p w14:paraId="1B7E7EB3" w14:textId="77777777" w:rsidR="00AC212B" w:rsidRPr="00930237" w:rsidRDefault="00AC212B" w:rsidP="00AC212B">
      <w:pPr>
        <w:pStyle w:val="Heading4"/>
        <w:numPr>
          <w:ilvl w:val="0"/>
          <w:numId w:val="0"/>
        </w:numPr>
        <w:shd w:val="clear" w:color="auto" w:fill="F7CAAC" w:themeFill="accent2" w:themeFillTint="66"/>
        <w:spacing w:after="0"/>
        <w:rPr>
          <w:b/>
          <w:szCs w:val="24"/>
        </w:rPr>
      </w:pPr>
      <w:r w:rsidRPr="00930237">
        <w:rPr>
          <w:b/>
          <w:szCs w:val="24"/>
        </w:rPr>
        <w:t>1.1.prioritāte “Pētniecība un prasmes”</w:t>
      </w:r>
    </w:p>
    <w:p w14:paraId="5ECF4F59" w14:textId="40BAE6AB" w:rsidR="00AC212B" w:rsidRPr="00930237" w:rsidRDefault="00AC212B" w:rsidP="00AC212B">
      <w:pPr>
        <w:pStyle w:val="Heading4"/>
        <w:numPr>
          <w:ilvl w:val="0"/>
          <w:numId w:val="0"/>
        </w:numPr>
        <w:shd w:val="clear" w:color="auto" w:fill="FBE4D5" w:themeFill="accent2" w:themeFillTint="33"/>
        <w:spacing w:after="0"/>
        <w:rPr>
          <w:b/>
          <w:szCs w:val="24"/>
        </w:rPr>
      </w:pPr>
      <w:r w:rsidRPr="00930237">
        <w:rPr>
          <w:b/>
          <w:noProof/>
          <w:szCs w:val="24"/>
        </w:rPr>
        <w:t>1.1.1. SAM “</w:t>
      </w:r>
      <w:r w:rsidRPr="00930237">
        <w:rPr>
          <w:b/>
          <w:szCs w:val="24"/>
        </w:rPr>
        <w:t>Pētniecības un inovāciju kapacitātes stiprināšana un progresīvu tehnoloģiju ieviešana</w:t>
      </w:r>
      <w:r w:rsidR="00A16FF3">
        <w:rPr>
          <w:b/>
          <w:szCs w:val="24"/>
        </w:rPr>
        <w:t xml:space="preserve"> </w:t>
      </w:r>
      <w:r w:rsidR="00A16FF3" w:rsidRPr="00D555D5">
        <w:rPr>
          <w:b/>
          <w:bCs/>
          <w:sz w:val="22"/>
          <w:szCs w:val="22"/>
        </w:rPr>
        <w:t>kopējā</w:t>
      </w:r>
      <w:r w:rsidR="00A16FF3" w:rsidRPr="00D555D5">
        <w:rPr>
          <w:sz w:val="22"/>
          <w:szCs w:val="22"/>
        </w:rPr>
        <w:t xml:space="preserve"> </w:t>
      </w:r>
      <w:r w:rsidR="00A16FF3" w:rsidRPr="00D555D5">
        <w:rPr>
          <w:b/>
          <w:bCs/>
          <w:sz w:val="22"/>
          <w:szCs w:val="22"/>
        </w:rPr>
        <w:t>P&amp;A sistēmā</w:t>
      </w:r>
      <w:r w:rsidRPr="00930237">
        <w:rPr>
          <w:b/>
          <w:szCs w:val="24"/>
        </w:rPr>
        <w:t>”</w:t>
      </w:r>
    </w:p>
    <w:p w14:paraId="5223FD9F" w14:textId="77777777" w:rsidR="00AC212B" w:rsidRPr="00930237" w:rsidRDefault="00AC212B" w:rsidP="007545BD">
      <w:pPr>
        <w:pStyle w:val="Normal1"/>
        <w:numPr>
          <w:ilvl w:val="0"/>
          <w:numId w:val="60"/>
        </w:numPr>
        <w:spacing w:line="240" w:lineRule="auto"/>
        <w:ind w:left="567" w:hanging="567"/>
        <w:rPr>
          <w:rFonts w:ascii="Times New Roman" w:eastAsia="Times New Roman" w:hAnsi="Times New Roman" w:cs="Times New Roman"/>
          <w:b/>
          <w:sz w:val="24"/>
          <w:szCs w:val="24"/>
        </w:rPr>
      </w:pPr>
      <w:r w:rsidRPr="00930237">
        <w:rPr>
          <w:rFonts w:ascii="Times New Roman" w:hAnsi="Times New Roman" w:cs="Times New Roman"/>
          <w:b/>
          <w:noProof/>
          <w:sz w:val="24"/>
          <w:szCs w:val="24"/>
        </w:rPr>
        <w:t xml:space="preserve">Atbalstāmās darbības: </w:t>
      </w:r>
    </w:p>
    <w:p w14:paraId="49C59301" w14:textId="77777777" w:rsidR="00AC212B" w:rsidRPr="00930237" w:rsidRDefault="00AC212B" w:rsidP="007545BD">
      <w:pPr>
        <w:pStyle w:val="Normal1"/>
        <w:numPr>
          <w:ilvl w:val="0"/>
          <w:numId w:val="60"/>
        </w:numPr>
        <w:spacing w:line="240" w:lineRule="auto"/>
        <w:ind w:left="567" w:hanging="567"/>
        <w:jc w:val="both"/>
        <w:rPr>
          <w:rFonts w:ascii="Times New Roman" w:eastAsia="Times New Roman" w:hAnsi="Times New Roman" w:cs="Times New Roman"/>
          <w:sz w:val="24"/>
          <w:szCs w:val="24"/>
        </w:rPr>
      </w:pPr>
      <w:r w:rsidRPr="00930237">
        <w:rPr>
          <w:rFonts w:ascii="Times New Roman" w:eastAsia="Times New Roman" w:hAnsi="Times New Roman" w:cs="Times New Roman"/>
          <w:b/>
          <w:sz w:val="24"/>
          <w:szCs w:val="24"/>
        </w:rPr>
        <w:t>Pētniecības un inovācijas cilvēkkapitāla kvantitatīvas un kvalitatīvas jaudas palielināšana publiskajā un privātajā sektorā</w:t>
      </w:r>
      <w:r w:rsidRPr="00930237">
        <w:rPr>
          <w:rFonts w:ascii="Times New Roman" w:eastAsia="Times New Roman" w:hAnsi="Times New Roman" w:cs="Times New Roman"/>
          <w:sz w:val="24"/>
          <w:szCs w:val="24"/>
        </w:rPr>
        <w:t>:</w:t>
      </w:r>
    </w:p>
    <w:p w14:paraId="3BA569D3" w14:textId="77777777" w:rsidR="00AC212B" w:rsidRPr="00A82BFD" w:rsidRDefault="00AC212B" w:rsidP="007545BD">
      <w:pPr>
        <w:pStyle w:val="Normal1"/>
        <w:numPr>
          <w:ilvl w:val="1"/>
          <w:numId w:val="52"/>
        </w:numPr>
        <w:spacing w:line="240" w:lineRule="auto"/>
        <w:ind w:left="1134"/>
        <w:jc w:val="both"/>
        <w:rPr>
          <w:rFonts w:ascii="Times New Roman" w:eastAsia="Times New Roman" w:hAnsi="Times New Roman" w:cs="Times New Roman"/>
          <w:sz w:val="24"/>
          <w:szCs w:val="24"/>
        </w:rPr>
      </w:pPr>
      <w:r w:rsidRPr="00930237">
        <w:rPr>
          <w:rFonts w:ascii="Times New Roman" w:eastAsia="Times New Roman" w:hAnsi="Times New Roman" w:cs="Times New Roman"/>
          <w:sz w:val="24"/>
          <w:szCs w:val="24"/>
        </w:rPr>
        <w:t xml:space="preserve">investīcijas doktorantūras un pēcdoktorantūras pētniecības grantos un doktorantūras skolu kapacitātes un sadarbības stiprināšanā, izcila ārvalstu akadēmiskā un zinātniskā personāla piesaistei Latvijas zinātnisko institūciju stratēģiskās specializācijas stiprināšanai, cilvēkresursu atjaunotnei un starptautiskai konkurētspējai </w:t>
      </w:r>
      <w:r w:rsidRPr="00A82BFD">
        <w:rPr>
          <w:rFonts w:ascii="Times New Roman" w:eastAsia="Times New Roman" w:hAnsi="Times New Roman" w:cs="Times New Roman"/>
          <w:sz w:val="24"/>
          <w:szCs w:val="24"/>
        </w:rPr>
        <w:t xml:space="preserve">un zināšanu apmaiņai, tostarp pārcelšanās pabalstiem ārvalstu doktorantiem un pēcdoktorantiem; </w:t>
      </w:r>
    </w:p>
    <w:p w14:paraId="5F5072E0" w14:textId="688B7E11" w:rsidR="00AC212B" w:rsidRPr="00A82BFD" w:rsidRDefault="00AC212B" w:rsidP="007545BD">
      <w:pPr>
        <w:pStyle w:val="Normal1"/>
        <w:numPr>
          <w:ilvl w:val="1"/>
          <w:numId w:val="52"/>
        </w:numPr>
        <w:spacing w:line="240" w:lineRule="auto"/>
        <w:ind w:left="1134"/>
        <w:jc w:val="both"/>
        <w:rPr>
          <w:rFonts w:ascii="Times New Roman" w:eastAsia="Times New Roman" w:hAnsi="Times New Roman" w:cs="Times New Roman"/>
          <w:sz w:val="24"/>
          <w:szCs w:val="24"/>
        </w:rPr>
      </w:pPr>
      <w:r w:rsidRPr="00A82BFD">
        <w:rPr>
          <w:rFonts w:ascii="Times New Roman" w:eastAsia="Times New Roman" w:hAnsi="Times New Roman" w:cs="Times New Roman"/>
          <w:sz w:val="24"/>
          <w:szCs w:val="24"/>
        </w:rPr>
        <w:t>zinātnieku un doktorantu mobilitātes, pieredzes apmaiņas un starptautisko sadarbību veicinošas aktivitātes, kas nodrošina pieredzes pārņemšanu, ārvalstu speciālistu un pieredzējušu zinātnieku piesaisti darbam Latvijas zinātnē un kopsadarbības projektu izstrādi un īstenošanu</w:t>
      </w:r>
      <w:r w:rsidR="001B0AF8" w:rsidRPr="00A82BFD">
        <w:rPr>
          <w:rFonts w:ascii="Times New Roman" w:eastAsia="Times New Roman" w:hAnsi="Times New Roman" w:cs="Times New Roman"/>
          <w:sz w:val="24"/>
          <w:szCs w:val="24"/>
        </w:rPr>
        <w:t>, t</w:t>
      </w:r>
      <w:r w:rsidR="00AC3040">
        <w:rPr>
          <w:rFonts w:ascii="Times New Roman" w:eastAsia="Times New Roman" w:hAnsi="Times New Roman" w:cs="Times New Roman"/>
          <w:sz w:val="24"/>
          <w:szCs w:val="24"/>
        </w:rPr>
        <w:t>.sk.,</w:t>
      </w:r>
      <w:r w:rsidR="001B0AF8" w:rsidRPr="00A82BFD">
        <w:rPr>
          <w:rFonts w:ascii="Times New Roman" w:eastAsia="Times New Roman" w:hAnsi="Times New Roman" w:cs="Times New Roman"/>
          <w:sz w:val="24"/>
          <w:szCs w:val="24"/>
        </w:rPr>
        <w:t xml:space="preserve"> veicinot projektu iesniegumu sagatavošanu un iesniegšanu programmā “Apvārsnis Eiropa”, “Digitālā Eiropa” un citās ES programmās;</w:t>
      </w:r>
    </w:p>
    <w:p w14:paraId="2C53D6B7" w14:textId="60E45947" w:rsidR="00AC212B" w:rsidRPr="00A82BFD" w:rsidRDefault="00AC212B" w:rsidP="007545BD">
      <w:pPr>
        <w:pStyle w:val="Normal1"/>
        <w:numPr>
          <w:ilvl w:val="1"/>
          <w:numId w:val="52"/>
        </w:numPr>
        <w:spacing w:line="240" w:lineRule="auto"/>
        <w:ind w:left="1134"/>
        <w:jc w:val="both"/>
        <w:rPr>
          <w:rFonts w:ascii="Times New Roman" w:eastAsia="Times New Roman" w:hAnsi="Times New Roman" w:cs="Times New Roman"/>
          <w:sz w:val="24"/>
          <w:szCs w:val="24"/>
        </w:rPr>
      </w:pPr>
      <w:r w:rsidRPr="00A82BFD">
        <w:rPr>
          <w:rFonts w:ascii="Times New Roman" w:eastAsia="Times New Roman" w:hAnsi="Times New Roman" w:cs="Times New Roman"/>
          <w:sz w:val="24"/>
          <w:szCs w:val="24"/>
        </w:rPr>
        <w:t>investīcijas studentu inovācijas, uzņēmējspēju, tehnoloģiju un radošo prasmju pilnveidei kopsadarbībā ar industriju, fokusējoties uz zināšanu ietilpīgu produktu un pakalpojumu izstrādi, lai sekmētu radošumu un spējas inovācijas un uzņēmējdarbības jomā un nostiprinātu augstskolu kā zināšanu radīšanas, tehnoloģiju pārneses un inovācijas centrus gudrai izaugsmei.</w:t>
      </w:r>
    </w:p>
    <w:p w14:paraId="2760EE11" w14:textId="01AE5D32" w:rsidR="00AC212B" w:rsidRPr="00A82BFD" w:rsidRDefault="00AC212B" w:rsidP="007545BD">
      <w:pPr>
        <w:pStyle w:val="Normal1"/>
        <w:numPr>
          <w:ilvl w:val="0"/>
          <w:numId w:val="60"/>
        </w:numPr>
        <w:spacing w:line="240" w:lineRule="auto"/>
        <w:ind w:left="567" w:hanging="567"/>
        <w:jc w:val="both"/>
        <w:rPr>
          <w:rFonts w:ascii="Times New Roman" w:eastAsia="Times New Roman" w:hAnsi="Times New Roman" w:cs="Times New Roman"/>
          <w:sz w:val="24"/>
          <w:szCs w:val="24"/>
        </w:rPr>
      </w:pPr>
      <w:r w:rsidRPr="00A82BFD">
        <w:rPr>
          <w:rFonts w:ascii="Times New Roman" w:eastAsia="Times New Roman" w:hAnsi="Times New Roman" w:cs="Times New Roman"/>
          <w:b/>
          <w:sz w:val="24"/>
          <w:szCs w:val="24"/>
        </w:rPr>
        <w:t xml:space="preserve">Pētniecības </w:t>
      </w:r>
      <w:r w:rsidR="002834E0" w:rsidRPr="002834E0">
        <w:rPr>
          <w:rFonts w:ascii="Times New Roman" w:eastAsia="Times New Roman" w:hAnsi="Times New Roman" w:cs="Times New Roman"/>
          <w:b/>
          <w:sz w:val="24"/>
          <w:szCs w:val="24"/>
        </w:rPr>
        <w:t>kvalitātes paaugstināšana</w:t>
      </w:r>
      <w:r w:rsidRPr="00A82BFD">
        <w:rPr>
          <w:rFonts w:ascii="Times New Roman" w:eastAsia="Times New Roman" w:hAnsi="Times New Roman" w:cs="Times New Roman"/>
          <w:b/>
          <w:sz w:val="24"/>
          <w:szCs w:val="24"/>
        </w:rPr>
        <w:t>:</w:t>
      </w:r>
    </w:p>
    <w:p w14:paraId="4C99D5DF" w14:textId="5E882BD0" w:rsidR="00AC212B" w:rsidRPr="00930237" w:rsidRDefault="00AC212B" w:rsidP="007545BD">
      <w:pPr>
        <w:pStyle w:val="Normal1"/>
        <w:numPr>
          <w:ilvl w:val="0"/>
          <w:numId w:val="53"/>
        </w:numPr>
        <w:spacing w:line="240" w:lineRule="auto"/>
        <w:ind w:left="1134"/>
        <w:jc w:val="both"/>
        <w:rPr>
          <w:rFonts w:ascii="Times New Roman" w:eastAsia="Times New Roman" w:hAnsi="Times New Roman" w:cs="Times New Roman"/>
          <w:sz w:val="24"/>
          <w:szCs w:val="24"/>
        </w:rPr>
      </w:pPr>
      <w:r w:rsidRPr="00A82BFD">
        <w:rPr>
          <w:rFonts w:ascii="Times New Roman" w:eastAsia="Times New Roman" w:hAnsi="Times New Roman" w:cs="Times New Roman"/>
          <w:sz w:val="24"/>
          <w:szCs w:val="24"/>
        </w:rPr>
        <w:t>investīcijas Latvijas pilnvērtīgai dalībai programmā “Apvārsnis Eiropa”, nodrošinot kompleksu atbalsta pasākumu klāstu starptautiskās sadarbības veicināšanai un sasaisti ar RIS3 specializācijas jomu attīstīšanu, tostarp līdzfinansējuma</w:t>
      </w:r>
      <w:r w:rsidRPr="00930237">
        <w:rPr>
          <w:rFonts w:ascii="Times New Roman" w:eastAsia="Times New Roman" w:hAnsi="Times New Roman" w:cs="Times New Roman"/>
          <w:sz w:val="24"/>
          <w:szCs w:val="24"/>
        </w:rPr>
        <w:t xml:space="preserve"> nodrošināšanu, resursu pārvietošanu, investīcijas dalībai Eiropas Partnerībās atbilstoši Latvijas stratēģiskajām prioritātēm, kā arī citas ar “Apvārsnis Eiropa” sinerģiskas un papildinošas</w:t>
      </w:r>
      <w:sdt>
        <w:sdtPr>
          <w:rPr>
            <w:rFonts w:ascii="Times New Roman" w:hAnsi="Times New Roman" w:cs="Times New Roman"/>
            <w:sz w:val="24"/>
            <w:szCs w:val="24"/>
          </w:rPr>
          <w:tag w:val="goog_rdk_8"/>
          <w:id w:val="2114017025"/>
        </w:sdtPr>
        <w:sdtEndPr/>
        <w:sdtContent/>
      </w:sdt>
      <w:r w:rsidRPr="00930237">
        <w:rPr>
          <w:rFonts w:ascii="Times New Roman" w:eastAsia="Times New Roman" w:hAnsi="Times New Roman" w:cs="Times New Roman"/>
          <w:sz w:val="24"/>
          <w:szCs w:val="24"/>
        </w:rPr>
        <w:t xml:space="preserve"> aktivitātes projektu mērogošanai un rezultātu ietekmes, aptveres paplašināšanai.</w:t>
      </w:r>
    </w:p>
    <w:p w14:paraId="44AEA1BB" w14:textId="4C127249" w:rsidR="00AC212B" w:rsidRPr="00930237" w:rsidRDefault="00AC212B" w:rsidP="00AC212B">
      <w:pPr>
        <w:pStyle w:val="Normal1"/>
        <w:spacing w:line="240" w:lineRule="auto"/>
        <w:ind w:left="1134"/>
        <w:jc w:val="both"/>
        <w:rPr>
          <w:rFonts w:ascii="Times New Roman" w:hAnsi="Times New Roman" w:cs="Times New Roman"/>
          <w:sz w:val="24"/>
          <w:szCs w:val="24"/>
        </w:rPr>
      </w:pPr>
      <w:r w:rsidRPr="00930237">
        <w:rPr>
          <w:rFonts w:ascii="Times New Roman" w:hAnsi="Times New Roman" w:cs="Times New Roman"/>
          <w:sz w:val="24"/>
          <w:szCs w:val="24"/>
        </w:rPr>
        <w:t xml:space="preserve">Lai nodrošinātu ES pētniecības un inovācijas programmu savstarpēju sinerģiju, </w:t>
      </w:r>
      <w:r w:rsidR="00242D6D" w:rsidRPr="00242D6D">
        <w:rPr>
          <w:rFonts w:ascii="Times New Roman" w:hAnsi="Times New Roman" w:cs="Times New Roman"/>
          <w:sz w:val="24"/>
          <w:szCs w:val="24"/>
        </w:rPr>
        <w:t xml:space="preserve">daļu ESI fondu pētniecības un inovācijas finansējuma plānots izmantot ES pētniecības pamatprogrammas “Apvārsnis Eiropa” projektu pieteikumu pilnīgai vai daļējai pārfinansēšanai, tai skaitā </w:t>
      </w:r>
      <w:r w:rsidRPr="00930237">
        <w:rPr>
          <w:rFonts w:ascii="Times New Roman" w:hAnsi="Times New Roman" w:cs="Times New Roman"/>
          <w:sz w:val="24"/>
          <w:szCs w:val="24"/>
        </w:rPr>
        <w:t>daļu ESI fondu finansējuma paredz</w:t>
      </w:r>
      <w:r w:rsidR="00242D6D">
        <w:rPr>
          <w:rFonts w:ascii="Times New Roman" w:hAnsi="Times New Roman" w:cs="Times New Roman"/>
          <w:sz w:val="24"/>
          <w:szCs w:val="24"/>
        </w:rPr>
        <w:t>ot</w:t>
      </w:r>
      <w:r w:rsidRPr="00930237">
        <w:rPr>
          <w:rFonts w:ascii="Times New Roman" w:hAnsi="Times New Roman" w:cs="Times New Roman"/>
          <w:sz w:val="24"/>
          <w:szCs w:val="24"/>
        </w:rPr>
        <w:t xml:space="preserve"> pārvirzīt uz ES pētniecības pamatprogrammu “</w:t>
      </w:r>
      <w:r w:rsidRPr="00930237">
        <w:rPr>
          <w:rFonts w:ascii="Times New Roman" w:hAnsi="Times New Roman" w:cs="Times New Roman"/>
          <w:iCs/>
          <w:sz w:val="24"/>
          <w:szCs w:val="24"/>
        </w:rPr>
        <w:t xml:space="preserve">Apvārsnis Eiropa” </w:t>
      </w:r>
      <w:r w:rsidRPr="00930237">
        <w:rPr>
          <w:rFonts w:ascii="Times New Roman" w:hAnsi="Times New Roman" w:cs="Times New Roman"/>
          <w:sz w:val="24"/>
          <w:szCs w:val="24"/>
        </w:rPr>
        <w:t>saskaņā ar Kopīgo noteikumu priekšlikuma Regulas 21. pantā un “</w:t>
      </w:r>
      <w:r w:rsidRPr="00930237">
        <w:rPr>
          <w:rFonts w:ascii="Times New Roman" w:hAnsi="Times New Roman" w:cs="Times New Roman"/>
          <w:iCs/>
          <w:sz w:val="24"/>
          <w:szCs w:val="24"/>
        </w:rPr>
        <w:t>Apvārsnis Eiropa”</w:t>
      </w:r>
      <w:r w:rsidRPr="00930237">
        <w:rPr>
          <w:rFonts w:ascii="Times New Roman" w:hAnsi="Times New Roman" w:cs="Times New Roman"/>
          <w:sz w:val="24"/>
          <w:szCs w:val="24"/>
        </w:rPr>
        <w:t xml:space="preserve"> Regulas priekšlikuma 9.panta 8.punktā noteikto. </w:t>
      </w:r>
      <w:r w:rsidR="00242D6D" w:rsidRPr="00242D6D">
        <w:rPr>
          <w:rFonts w:ascii="Times New Roman" w:hAnsi="Times New Roman" w:cs="Times New Roman"/>
          <w:sz w:val="24"/>
          <w:szCs w:val="24"/>
        </w:rPr>
        <w:t xml:space="preserve">Uz ES pētniecības pamatprogrammu “Apvārsnis Eiropa” pārvirzītais </w:t>
      </w:r>
      <w:r w:rsidR="00242D6D">
        <w:rPr>
          <w:rFonts w:ascii="Times New Roman" w:hAnsi="Times New Roman" w:cs="Times New Roman"/>
          <w:sz w:val="24"/>
          <w:szCs w:val="24"/>
        </w:rPr>
        <w:t>f</w:t>
      </w:r>
      <w:r w:rsidRPr="00930237">
        <w:rPr>
          <w:rFonts w:ascii="Times New Roman" w:hAnsi="Times New Roman" w:cs="Times New Roman"/>
          <w:sz w:val="24"/>
          <w:szCs w:val="24"/>
        </w:rPr>
        <w:t>inansējums paredzēts rezerves sarakstā iekļautu Latvijas dalībnieku projektu finansēšanai, kam “Apvārsnis Eiropa” finansējums pieejams daļēji.</w:t>
      </w:r>
    </w:p>
    <w:p w14:paraId="7A7F54FA" w14:textId="36030717" w:rsidR="00AC212B" w:rsidRPr="00930237" w:rsidRDefault="00AC212B" w:rsidP="00AC212B">
      <w:pPr>
        <w:pStyle w:val="Normal1"/>
        <w:spacing w:line="240" w:lineRule="auto"/>
        <w:ind w:left="1134"/>
        <w:jc w:val="both"/>
        <w:rPr>
          <w:rFonts w:ascii="Times New Roman" w:eastAsia="Times New Roman" w:hAnsi="Times New Roman" w:cs="Times New Roman"/>
          <w:sz w:val="24"/>
          <w:szCs w:val="24"/>
        </w:rPr>
      </w:pPr>
      <w:r w:rsidRPr="00930237">
        <w:rPr>
          <w:rFonts w:ascii="Times New Roman" w:hAnsi="Times New Roman" w:cs="Times New Roman"/>
          <w:sz w:val="24"/>
          <w:szCs w:val="24"/>
        </w:rPr>
        <w:t xml:space="preserve">P&amp;I finansējuma pārvirzīšana plānota </w:t>
      </w:r>
      <w:r w:rsidR="005A6AAE">
        <w:rPr>
          <w:rFonts w:ascii="Times New Roman" w:hAnsi="Times New Roman" w:cs="Times New Roman"/>
          <w:sz w:val="24"/>
          <w:szCs w:val="24"/>
        </w:rPr>
        <w:t xml:space="preserve">indikatīvi </w:t>
      </w:r>
      <w:r w:rsidRPr="00930237">
        <w:rPr>
          <w:rFonts w:ascii="Times New Roman" w:hAnsi="Times New Roman" w:cs="Times New Roman"/>
          <w:sz w:val="24"/>
          <w:szCs w:val="24"/>
        </w:rPr>
        <w:t xml:space="preserve">ESI fondu 2014.-2020.gadu plānošanas perioda </w:t>
      </w:r>
      <w:r w:rsidR="005A6AAE">
        <w:rPr>
          <w:rFonts w:ascii="Times New Roman" w:hAnsi="Times New Roman" w:cs="Times New Roman"/>
          <w:sz w:val="24"/>
          <w:szCs w:val="24"/>
        </w:rPr>
        <w:t xml:space="preserve">pārfinansēto projektu </w:t>
      </w:r>
      <w:r w:rsidRPr="00930237">
        <w:rPr>
          <w:rFonts w:ascii="Times New Roman" w:hAnsi="Times New Roman" w:cs="Times New Roman"/>
          <w:sz w:val="24"/>
          <w:szCs w:val="24"/>
        </w:rPr>
        <w:t>apmērā ar nelielu pozitīvu tendenci, ņemot vērā, ka pētniecības pamatprogramma “</w:t>
      </w:r>
      <w:r w:rsidRPr="00930237">
        <w:rPr>
          <w:rFonts w:ascii="Times New Roman" w:hAnsi="Times New Roman" w:cs="Times New Roman"/>
          <w:iCs/>
          <w:sz w:val="24"/>
          <w:szCs w:val="24"/>
        </w:rPr>
        <w:t>Apvārsnis Eiropa”</w:t>
      </w:r>
      <w:r w:rsidRPr="00930237">
        <w:rPr>
          <w:rFonts w:ascii="Times New Roman" w:hAnsi="Times New Roman" w:cs="Times New Roman"/>
          <w:sz w:val="24"/>
          <w:szCs w:val="24"/>
        </w:rPr>
        <w:t xml:space="preserve"> paredzama finansiāli apjomīgāka salīdzinājumā ar pašreizējo pamatprogrammu </w:t>
      </w:r>
      <w:r w:rsidRPr="00930237">
        <w:rPr>
          <w:rFonts w:ascii="Times New Roman" w:hAnsi="Times New Roman" w:cs="Times New Roman"/>
          <w:iCs/>
          <w:sz w:val="24"/>
          <w:szCs w:val="24"/>
        </w:rPr>
        <w:t>Apvārsnis 2020</w:t>
      </w:r>
      <w:r w:rsidRPr="00930237">
        <w:rPr>
          <w:rStyle w:val="FootnoteReference"/>
          <w:rFonts w:ascii="Times New Roman" w:hAnsi="Times New Roman" w:cs="Times New Roman"/>
          <w:iCs/>
          <w:sz w:val="24"/>
          <w:szCs w:val="24"/>
        </w:rPr>
        <w:footnoteReference w:id="91"/>
      </w:r>
      <w:r w:rsidRPr="00930237">
        <w:rPr>
          <w:rFonts w:ascii="Times New Roman" w:hAnsi="Times New Roman" w:cs="Times New Roman"/>
          <w:sz w:val="24"/>
          <w:szCs w:val="24"/>
        </w:rPr>
        <w:t xml:space="preserve">, kā arī, ņemot vērā Latvijas progresu programmā </w:t>
      </w:r>
      <w:r w:rsidRPr="00930237">
        <w:rPr>
          <w:rFonts w:ascii="Times New Roman" w:hAnsi="Times New Roman" w:cs="Times New Roman"/>
          <w:iCs/>
          <w:sz w:val="24"/>
          <w:szCs w:val="24"/>
        </w:rPr>
        <w:t xml:space="preserve">Apvārsnis 2020 </w:t>
      </w:r>
      <w:r w:rsidRPr="00930237">
        <w:rPr>
          <w:rFonts w:ascii="Times New Roman" w:hAnsi="Times New Roman" w:cs="Times New Roman"/>
          <w:sz w:val="24"/>
          <w:szCs w:val="24"/>
        </w:rPr>
        <w:t>– divas reizes palielinājies pieteikumu skaits salīdzinājumā ar 7.IP un vairāk kā par 50% palielinājies piesaistītais finansējums</w:t>
      </w:r>
      <w:r w:rsidRPr="00930237">
        <w:rPr>
          <w:rStyle w:val="FootnoteReference"/>
          <w:rFonts w:ascii="Times New Roman" w:hAnsi="Times New Roman" w:cs="Times New Roman"/>
          <w:sz w:val="24"/>
          <w:szCs w:val="24"/>
        </w:rPr>
        <w:footnoteReference w:id="92"/>
      </w:r>
      <w:r w:rsidRPr="00930237">
        <w:rPr>
          <w:rFonts w:ascii="Times New Roman" w:hAnsi="Times New Roman" w:cs="Times New Roman"/>
          <w:sz w:val="24"/>
          <w:szCs w:val="24"/>
        </w:rPr>
        <w:t>.</w:t>
      </w:r>
    </w:p>
    <w:p w14:paraId="01EBF70E" w14:textId="7F51FE84" w:rsidR="00AC212B" w:rsidRPr="00930237" w:rsidRDefault="00AC212B" w:rsidP="007545BD">
      <w:pPr>
        <w:pStyle w:val="Normal1"/>
        <w:numPr>
          <w:ilvl w:val="0"/>
          <w:numId w:val="53"/>
        </w:numPr>
        <w:spacing w:line="240" w:lineRule="auto"/>
        <w:ind w:left="1134"/>
        <w:jc w:val="both"/>
        <w:rPr>
          <w:rFonts w:ascii="Times New Roman" w:eastAsia="Times New Roman" w:hAnsi="Times New Roman" w:cs="Times New Roman"/>
          <w:sz w:val="24"/>
          <w:szCs w:val="24"/>
        </w:rPr>
      </w:pPr>
      <w:r w:rsidRPr="00930237">
        <w:rPr>
          <w:rFonts w:ascii="Times New Roman" w:eastAsia="Times New Roman" w:hAnsi="Times New Roman" w:cs="Times New Roman"/>
          <w:sz w:val="24"/>
          <w:szCs w:val="24"/>
        </w:rPr>
        <w:t xml:space="preserve">investīcijas P&amp;I pārvaldības un analītiskajā kapacitātē RIS3 vadībai un ieviešanas efektīvam monitoringam, tostarp stiprinot </w:t>
      </w:r>
      <w:r w:rsidR="00EC0A68" w:rsidRPr="00EC0A68">
        <w:rPr>
          <w:rFonts w:ascii="Times New Roman" w:eastAsia="Times New Roman" w:hAnsi="Times New Roman" w:cs="Times New Roman"/>
          <w:sz w:val="24"/>
          <w:szCs w:val="24"/>
        </w:rPr>
        <w:t xml:space="preserve">reģionālo dimensiju, </w:t>
      </w:r>
      <w:r w:rsidRPr="00930237">
        <w:rPr>
          <w:rFonts w:ascii="Times New Roman" w:eastAsia="Times New Roman" w:hAnsi="Times New Roman" w:cs="Times New Roman"/>
          <w:sz w:val="24"/>
          <w:szCs w:val="24"/>
        </w:rPr>
        <w:t>starptautiskos sakarus un pārstāvniecību, kā arī stratēģisko komunikāciju, t</w:t>
      </w:r>
      <w:r w:rsidR="00F65811">
        <w:rPr>
          <w:rFonts w:ascii="Times New Roman" w:eastAsia="Times New Roman" w:hAnsi="Times New Roman" w:cs="Times New Roman"/>
          <w:sz w:val="24"/>
          <w:szCs w:val="24"/>
        </w:rPr>
        <w:t>.</w:t>
      </w:r>
      <w:r w:rsidRPr="00930237">
        <w:rPr>
          <w:rFonts w:ascii="Times New Roman" w:eastAsia="Times New Roman" w:hAnsi="Times New Roman" w:cs="Times New Roman"/>
          <w:sz w:val="24"/>
          <w:szCs w:val="24"/>
        </w:rPr>
        <w:t>sk</w:t>
      </w:r>
      <w:r w:rsidR="00F65811">
        <w:rPr>
          <w:rFonts w:ascii="Times New Roman" w:eastAsia="Times New Roman" w:hAnsi="Times New Roman" w:cs="Times New Roman"/>
          <w:sz w:val="24"/>
          <w:szCs w:val="24"/>
        </w:rPr>
        <w:t>.</w:t>
      </w:r>
      <w:r w:rsidRPr="00930237">
        <w:rPr>
          <w:rFonts w:ascii="Times New Roman" w:eastAsia="Times New Roman" w:hAnsi="Times New Roman" w:cs="Times New Roman"/>
          <w:sz w:val="24"/>
          <w:szCs w:val="24"/>
        </w:rPr>
        <w:t xml:space="preserve"> ar ieinteresētajām pusēm un plašāku sabiedrību; </w:t>
      </w:r>
    </w:p>
    <w:p w14:paraId="54718DDB" w14:textId="58258CF0" w:rsidR="00AC212B" w:rsidRPr="00930237" w:rsidRDefault="00AC212B" w:rsidP="007545BD">
      <w:pPr>
        <w:pStyle w:val="Normal1"/>
        <w:numPr>
          <w:ilvl w:val="0"/>
          <w:numId w:val="53"/>
        </w:numPr>
        <w:spacing w:line="240" w:lineRule="auto"/>
        <w:ind w:left="1134"/>
        <w:jc w:val="both"/>
        <w:rPr>
          <w:rFonts w:ascii="Times New Roman" w:eastAsia="Times New Roman" w:hAnsi="Times New Roman" w:cs="Times New Roman"/>
          <w:sz w:val="24"/>
          <w:szCs w:val="24"/>
        </w:rPr>
      </w:pPr>
      <w:r w:rsidRPr="00930237">
        <w:rPr>
          <w:rFonts w:ascii="Times New Roman" w:eastAsia="Times New Roman" w:hAnsi="Times New Roman" w:cs="Times New Roman"/>
          <w:sz w:val="24"/>
          <w:szCs w:val="24"/>
        </w:rPr>
        <w:t>RIS3 pētniecības un inovācijas izcilības centru attīstībai un izveidei</w:t>
      </w:r>
      <w:r w:rsidR="001B0AF8">
        <w:rPr>
          <w:rStyle w:val="FootnoteReference"/>
          <w:rFonts w:ascii="Times New Roman" w:eastAsia="Times New Roman" w:hAnsi="Times New Roman" w:cs="Times New Roman"/>
          <w:sz w:val="24"/>
          <w:szCs w:val="24"/>
        </w:rPr>
        <w:footnoteReference w:id="93"/>
      </w:r>
      <w:r w:rsidRPr="00930237">
        <w:rPr>
          <w:rFonts w:ascii="Times New Roman" w:eastAsia="Times New Roman" w:hAnsi="Times New Roman" w:cs="Times New Roman"/>
          <w:sz w:val="24"/>
          <w:szCs w:val="24"/>
        </w:rPr>
        <w:t xml:space="preserve">, </w:t>
      </w:r>
      <w:sdt>
        <w:sdtPr>
          <w:rPr>
            <w:rFonts w:ascii="Times New Roman" w:hAnsi="Times New Roman" w:cs="Times New Roman"/>
          </w:rPr>
          <w:tag w:val="goog_rdk_83"/>
          <w:id w:val="-343009468"/>
        </w:sdtPr>
        <w:sdtEndPr/>
        <w:sdtContent>
          <w:r w:rsidRPr="00930237">
            <w:rPr>
              <w:rFonts w:ascii="Times New Roman" w:eastAsia="Times New Roman" w:hAnsi="Times New Roman" w:cs="Times New Roman"/>
              <w:color w:val="000000"/>
              <w:sz w:val="24"/>
              <w:szCs w:val="24"/>
            </w:rPr>
            <w:t>attīstot izcilības centrus arī citās RIS3 jomās, līdzīgi kā 2014.-2020.gadu plānošanas periodā tika izveidoti BBEC un CAMART2</w:t>
          </w:r>
        </w:sdtContent>
      </w:sdt>
      <w:r w:rsidRPr="00930237">
        <w:rPr>
          <w:rFonts w:ascii="Times New Roman" w:eastAsia="Times New Roman" w:hAnsi="Times New Roman" w:cs="Times New Roman"/>
          <w:sz w:val="24"/>
          <w:szCs w:val="24"/>
        </w:rPr>
        <w:t>, investējot zinātnisko institūciju P&amp;I infrastruktūras attīstīšanā, tostarp demonstrācijas un testēšanas risinājumos, sadarbības un tīklošanās pasākumos RIS3 specializācijas jomu un horizontālo prioritāšu (t</w:t>
      </w:r>
      <w:r w:rsidR="00AC3040">
        <w:rPr>
          <w:rFonts w:ascii="Times New Roman" w:eastAsia="Times New Roman" w:hAnsi="Times New Roman" w:cs="Times New Roman"/>
          <w:sz w:val="24"/>
          <w:szCs w:val="24"/>
        </w:rPr>
        <w:t>.sk.</w:t>
      </w:r>
      <w:r w:rsidRPr="00930237">
        <w:rPr>
          <w:rFonts w:ascii="Times New Roman" w:eastAsia="Times New Roman" w:hAnsi="Times New Roman" w:cs="Times New Roman"/>
          <w:sz w:val="24"/>
          <w:szCs w:val="24"/>
        </w:rPr>
        <w:t xml:space="preserve"> radošo industriju) izaugsmei, balstoties starptautiska līmeņa zinātniskā ekselencē un starptautiskos </w:t>
      </w:r>
      <w:r w:rsidR="00423E1D" w:rsidRPr="00423E1D">
        <w:rPr>
          <w:rFonts w:ascii="Times New Roman" w:eastAsia="Times New Roman" w:hAnsi="Times New Roman" w:cs="Times New Roman"/>
          <w:sz w:val="24"/>
          <w:szCs w:val="24"/>
        </w:rPr>
        <w:t>pētniecības un inovāciju</w:t>
      </w:r>
      <w:r w:rsidR="00423E1D">
        <w:rPr>
          <w:rFonts w:eastAsia="Times New Roman"/>
          <w:color w:val="000000"/>
          <w:szCs w:val="24"/>
        </w:rPr>
        <w:t xml:space="preserve"> </w:t>
      </w:r>
      <w:r w:rsidRPr="00930237">
        <w:rPr>
          <w:rFonts w:ascii="Times New Roman" w:eastAsia="Times New Roman" w:hAnsi="Times New Roman" w:cs="Times New Roman"/>
          <w:sz w:val="24"/>
          <w:szCs w:val="24"/>
        </w:rPr>
        <w:t>sadarbības tīklos.</w:t>
      </w:r>
    </w:p>
    <w:p w14:paraId="235BE620" w14:textId="09FE89B2" w:rsidR="00AC212B" w:rsidRPr="00930237" w:rsidRDefault="00AC212B" w:rsidP="007545BD">
      <w:pPr>
        <w:pStyle w:val="Normal1"/>
        <w:numPr>
          <w:ilvl w:val="0"/>
          <w:numId w:val="60"/>
        </w:numPr>
        <w:spacing w:line="240" w:lineRule="auto"/>
        <w:ind w:left="567" w:hanging="567"/>
        <w:jc w:val="both"/>
        <w:rPr>
          <w:rFonts w:ascii="Times New Roman" w:eastAsia="Times New Roman" w:hAnsi="Times New Roman" w:cs="Times New Roman"/>
          <w:sz w:val="24"/>
          <w:szCs w:val="24"/>
        </w:rPr>
      </w:pPr>
      <w:r w:rsidRPr="00930237">
        <w:rPr>
          <w:rFonts w:ascii="Times New Roman" w:eastAsia="Times New Roman" w:hAnsi="Times New Roman" w:cs="Times New Roman"/>
          <w:b/>
          <w:sz w:val="24"/>
          <w:szCs w:val="24"/>
        </w:rPr>
        <w:t>Pētījumi sabiedrības un ekonomikas transformācijai:</w:t>
      </w:r>
      <w:r w:rsidRPr="00930237">
        <w:rPr>
          <w:rFonts w:ascii="Times New Roman" w:eastAsia="Times New Roman" w:hAnsi="Times New Roman" w:cs="Times New Roman"/>
          <w:sz w:val="24"/>
          <w:szCs w:val="24"/>
        </w:rPr>
        <w:t xml:space="preserve"> investīcijas praktiskas ievirzes un sadarbības pētījumos</w:t>
      </w:r>
      <w:r w:rsidR="00C13D47">
        <w:rPr>
          <w:rStyle w:val="FootnoteReference"/>
          <w:rFonts w:ascii="Times New Roman" w:eastAsia="Times New Roman" w:hAnsi="Times New Roman" w:cs="Times New Roman"/>
          <w:sz w:val="24"/>
          <w:szCs w:val="24"/>
        </w:rPr>
        <w:footnoteReference w:id="94"/>
      </w:r>
      <w:r w:rsidRPr="00930237">
        <w:rPr>
          <w:rFonts w:ascii="Times New Roman" w:eastAsia="Times New Roman" w:hAnsi="Times New Roman" w:cs="Times New Roman"/>
          <w:sz w:val="24"/>
          <w:szCs w:val="24"/>
        </w:rPr>
        <w:t>, kas virza Latvijas RIS3 specializācijas jomu attīstību un tautsaimniecības transformāciju par labu produktiem ar augstu pievienoto vērtību, kā arī risina sabiedrības izaicinājumus globālo izaicinājumu kontekstā.</w:t>
      </w:r>
    </w:p>
    <w:p w14:paraId="179822C2" w14:textId="77777777" w:rsidR="00AC212B" w:rsidRPr="00930237" w:rsidRDefault="00AC212B" w:rsidP="007545BD">
      <w:pPr>
        <w:pStyle w:val="Normal1"/>
        <w:numPr>
          <w:ilvl w:val="0"/>
          <w:numId w:val="60"/>
        </w:numPr>
        <w:spacing w:line="240" w:lineRule="auto"/>
        <w:ind w:left="567" w:hanging="567"/>
        <w:jc w:val="both"/>
        <w:rPr>
          <w:rFonts w:ascii="Times New Roman" w:eastAsia="Times New Roman" w:hAnsi="Times New Roman" w:cs="Times New Roman"/>
          <w:sz w:val="24"/>
          <w:szCs w:val="24"/>
        </w:rPr>
      </w:pPr>
      <w:r w:rsidRPr="00930237">
        <w:rPr>
          <w:rFonts w:ascii="Times New Roman" w:eastAsia="Times New Roman" w:hAnsi="Times New Roman" w:cs="Times New Roman"/>
          <w:b/>
          <w:sz w:val="24"/>
          <w:szCs w:val="24"/>
        </w:rPr>
        <w:t xml:space="preserve">Zinātniskās darbības digitalizācija un dalība Eiropas Atvērtajā zinātnes mākonī: </w:t>
      </w:r>
      <w:r w:rsidRPr="00930237">
        <w:rPr>
          <w:rFonts w:ascii="Times New Roman" w:eastAsia="Times New Roman" w:hAnsi="Times New Roman" w:cs="Times New Roman"/>
          <w:sz w:val="24"/>
          <w:szCs w:val="24"/>
        </w:rPr>
        <w:t>investīcijas vietējo digitālo infrastruktūru modernizācijā un dalībā Eiropas Atvērtajā zinātnes mākonī, attālināto pakalpojumu iegādē, kompetenču pilnveidē un digitalizācijas veicināšanas pasākumos, kā arī Eiropas Atvērtā zinātnes mākoņa Partnerībās un dalībai Eiropas reģionālos kopprojektos.</w:t>
      </w:r>
    </w:p>
    <w:p w14:paraId="427A2ABE" w14:textId="59045055" w:rsidR="00AC212B" w:rsidRPr="00930237" w:rsidRDefault="00AC212B" w:rsidP="007545BD">
      <w:pPr>
        <w:pStyle w:val="Normal1"/>
        <w:numPr>
          <w:ilvl w:val="0"/>
          <w:numId w:val="60"/>
        </w:numPr>
        <w:spacing w:line="240" w:lineRule="auto"/>
        <w:ind w:left="567" w:hanging="567"/>
        <w:jc w:val="both"/>
        <w:rPr>
          <w:rFonts w:ascii="Times New Roman" w:eastAsia="Times New Roman" w:hAnsi="Times New Roman" w:cs="Times New Roman"/>
          <w:sz w:val="24"/>
          <w:szCs w:val="24"/>
        </w:rPr>
      </w:pPr>
      <w:r w:rsidRPr="00930237">
        <w:rPr>
          <w:rFonts w:ascii="Times New Roman" w:eastAsia="Times New Roman" w:hAnsi="Times New Roman" w:cs="Times New Roman"/>
          <w:b/>
          <w:sz w:val="24"/>
          <w:szCs w:val="24"/>
        </w:rPr>
        <w:t>Galvenās mērķgrupas:</w:t>
      </w:r>
      <w:r w:rsidRPr="00930237">
        <w:rPr>
          <w:rFonts w:ascii="Times New Roman" w:eastAsia="Times New Roman" w:hAnsi="Times New Roman" w:cs="Times New Roman"/>
          <w:sz w:val="24"/>
          <w:szCs w:val="24"/>
        </w:rPr>
        <w:t xml:space="preserve"> </w:t>
      </w:r>
      <w:r w:rsidR="00DD69EB">
        <w:rPr>
          <w:rFonts w:ascii="Times New Roman" w:eastAsia="Times New Roman" w:hAnsi="Times New Roman" w:cs="Times New Roman"/>
          <w:sz w:val="24"/>
          <w:szCs w:val="24"/>
        </w:rPr>
        <w:t>Augstskolas</w:t>
      </w:r>
      <w:r w:rsidRPr="00930237">
        <w:rPr>
          <w:rFonts w:ascii="Times New Roman" w:eastAsia="Times New Roman" w:hAnsi="Times New Roman" w:cs="Times New Roman"/>
          <w:sz w:val="24"/>
          <w:szCs w:val="24"/>
        </w:rPr>
        <w:t xml:space="preserve">, </w:t>
      </w:r>
      <w:r w:rsidR="00DD69EB">
        <w:rPr>
          <w:rFonts w:ascii="Times New Roman" w:eastAsia="Times New Roman" w:hAnsi="Times New Roman" w:cs="Times New Roman"/>
          <w:sz w:val="24"/>
          <w:szCs w:val="24"/>
        </w:rPr>
        <w:t xml:space="preserve">koledžas, </w:t>
      </w:r>
      <w:r w:rsidRPr="00930237">
        <w:rPr>
          <w:rFonts w:ascii="Times New Roman" w:eastAsia="Times New Roman" w:hAnsi="Times New Roman" w:cs="Times New Roman"/>
          <w:sz w:val="24"/>
          <w:szCs w:val="24"/>
        </w:rPr>
        <w:t xml:space="preserve">studējošie, akadēmiskais personāls, zinātniskais personāls, zinātniskās institūcijas, </w:t>
      </w:r>
      <w:r w:rsidR="00DD69EB">
        <w:rPr>
          <w:rFonts w:ascii="Times New Roman" w:eastAsia="Times New Roman" w:hAnsi="Times New Roman" w:cs="Times New Roman"/>
          <w:sz w:val="24"/>
          <w:szCs w:val="24"/>
        </w:rPr>
        <w:t>saimnieciskās darbības veicēji</w:t>
      </w:r>
      <w:r w:rsidRPr="00930237">
        <w:rPr>
          <w:rFonts w:ascii="Times New Roman" w:eastAsia="Times New Roman" w:hAnsi="Times New Roman" w:cs="Times New Roman"/>
          <w:sz w:val="24"/>
          <w:szCs w:val="24"/>
        </w:rPr>
        <w:t>, pētniecības un inovācijas izcilības centri, pētniecībā un inovācijās strādājošās personas, par P&amp;I politikas plānošanu un ieviešanu atbildīgās iestādes.</w:t>
      </w:r>
    </w:p>
    <w:p w14:paraId="63C692B0" w14:textId="34D4E284" w:rsidR="00AC212B" w:rsidRPr="00930237" w:rsidRDefault="00AC212B" w:rsidP="007545BD">
      <w:pPr>
        <w:pStyle w:val="Normal1"/>
        <w:numPr>
          <w:ilvl w:val="0"/>
          <w:numId w:val="60"/>
        </w:numPr>
        <w:spacing w:line="240" w:lineRule="auto"/>
        <w:ind w:left="567" w:hanging="567"/>
        <w:jc w:val="both"/>
        <w:rPr>
          <w:rFonts w:ascii="Times New Roman" w:eastAsia="Times New Roman" w:hAnsi="Times New Roman" w:cs="Times New Roman"/>
          <w:b/>
          <w:sz w:val="24"/>
          <w:szCs w:val="24"/>
        </w:rPr>
      </w:pPr>
      <w:r w:rsidRPr="00930237">
        <w:rPr>
          <w:rFonts w:ascii="Times New Roman" w:hAnsi="Times New Roman" w:cs="Times New Roman"/>
          <w:b/>
          <w:noProof/>
          <w:sz w:val="24"/>
          <w:szCs w:val="24"/>
        </w:rPr>
        <w:t xml:space="preserve">Darbības, kas nodrošina vienlīdzību, iekļaušanu un nediskrimināciju: </w:t>
      </w:r>
      <w:r w:rsidR="00DD69EB" w:rsidRPr="00DD69EB">
        <w:rPr>
          <w:rFonts w:ascii="Times New Roman" w:hAnsi="Times New Roman" w:cs="Times New Roman"/>
          <w:noProof/>
          <w:sz w:val="24"/>
          <w:szCs w:val="24"/>
        </w:rPr>
        <w:t xml:space="preserve">Projektu vadībā un pasākumu īstenošanā tiks nodrošināta nediskriminācija un SAM ietvaros īstenoto darbību kopums tiks vērsts uz informācijas un vides pieejamības, nediskriminācijas pēc vecuma, dzimuma, etniskās piederības u.c. pazīmēm un vienlīdzīgu iespēju principu ievērošanu visām personu grupām. </w:t>
      </w:r>
    </w:p>
    <w:p w14:paraId="53F657B5" w14:textId="463CEFB8" w:rsidR="00AC212B" w:rsidRPr="00930237" w:rsidRDefault="00AC212B" w:rsidP="007545BD">
      <w:pPr>
        <w:pStyle w:val="Normal1"/>
        <w:numPr>
          <w:ilvl w:val="0"/>
          <w:numId w:val="60"/>
        </w:numPr>
        <w:spacing w:line="240" w:lineRule="auto"/>
        <w:ind w:left="567" w:hanging="567"/>
        <w:jc w:val="both"/>
        <w:rPr>
          <w:rFonts w:ascii="Times New Roman" w:eastAsia="Times New Roman" w:hAnsi="Times New Roman" w:cs="Times New Roman"/>
          <w:b/>
          <w:sz w:val="24"/>
          <w:szCs w:val="24"/>
        </w:rPr>
      </w:pPr>
      <w:r w:rsidRPr="00930237">
        <w:rPr>
          <w:rFonts w:ascii="Times New Roman" w:hAnsi="Times New Roman" w:cs="Times New Roman"/>
          <w:b/>
          <w:noProof/>
          <w:sz w:val="24"/>
          <w:szCs w:val="24"/>
        </w:rPr>
        <w:t xml:space="preserve">Mērķteritorijas, t. sk. plānotais teritoriālo rīku izmantojums: </w:t>
      </w:r>
      <w:r w:rsidRPr="00930237">
        <w:rPr>
          <w:rFonts w:ascii="Times New Roman" w:hAnsi="Times New Roman" w:cs="Times New Roman"/>
          <w:sz w:val="24"/>
          <w:szCs w:val="24"/>
          <w:shd w:val="clear" w:color="auto" w:fill="FFFFFF"/>
        </w:rPr>
        <w:t>Visa Latvijas teritorija</w:t>
      </w:r>
      <w:r w:rsidR="00EC0A68" w:rsidRPr="00EC0A68">
        <w:rPr>
          <w:rFonts w:ascii="Times New Roman" w:hAnsi="Times New Roman" w:cs="Times New Roman"/>
          <w:sz w:val="24"/>
          <w:szCs w:val="24"/>
        </w:rPr>
        <w:t xml:space="preserve"> </w:t>
      </w:r>
      <w:r w:rsidR="00EC0A68" w:rsidRPr="1ACA9DC0">
        <w:rPr>
          <w:rFonts w:ascii="Times New Roman" w:hAnsi="Times New Roman" w:cs="Times New Roman"/>
          <w:sz w:val="24"/>
          <w:szCs w:val="24"/>
        </w:rPr>
        <w:t>t.sk. zinātnes un inovāciju attīstībā piemērojot teritoriālo pieeju atbalsta sniegšanā, balstoties uz reģionu attīstības plānošanas dokumentiem</w:t>
      </w:r>
      <w:r w:rsidRPr="00930237">
        <w:rPr>
          <w:rFonts w:ascii="Times New Roman" w:hAnsi="Times New Roman" w:cs="Times New Roman"/>
          <w:sz w:val="24"/>
          <w:szCs w:val="24"/>
          <w:shd w:val="clear" w:color="auto" w:fill="FFFFFF"/>
        </w:rPr>
        <w:t>. Iespējama sadarbība ar ārvalsts zinātniskajām institūcijām un augstākās izglītības institūcijām gan ES mērogā, gan pasaules mērogā.</w:t>
      </w:r>
    </w:p>
    <w:p w14:paraId="2C8F9891" w14:textId="339CB126" w:rsidR="00AC212B" w:rsidRPr="00930237" w:rsidRDefault="00AC212B" w:rsidP="007545BD">
      <w:pPr>
        <w:pStyle w:val="Normal1"/>
        <w:numPr>
          <w:ilvl w:val="0"/>
          <w:numId w:val="60"/>
        </w:numPr>
        <w:spacing w:line="240" w:lineRule="auto"/>
        <w:ind w:left="567" w:hanging="567"/>
        <w:jc w:val="both"/>
        <w:rPr>
          <w:rFonts w:ascii="Times New Roman" w:eastAsia="Times New Roman" w:hAnsi="Times New Roman" w:cs="Times New Roman"/>
          <w:b/>
          <w:sz w:val="24"/>
          <w:szCs w:val="24"/>
        </w:rPr>
      </w:pPr>
      <w:r w:rsidRPr="00930237">
        <w:rPr>
          <w:rFonts w:ascii="Times New Roman" w:hAnsi="Times New Roman" w:cs="Times New Roman"/>
          <w:b/>
          <w:noProof/>
          <w:sz w:val="24"/>
          <w:szCs w:val="24"/>
        </w:rPr>
        <w:t xml:space="preserve">Starpreģionālās, pārrobežu un transnacionālās darbības: </w:t>
      </w:r>
      <w:r w:rsidRPr="00930237">
        <w:rPr>
          <w:rFonts w:ascii="Times New Roman" w:hAnsi="Times New Roman" w:cs="Times New Roman"/>
          <w:sz w:val="24"/>
          <w:szCs w:val="24"/>
          <w:shd w:val="clear" w:color="auto" w:fill="FFFFFF"/>
        </w:rPr>
        <w:t>Projektu īstenošanā iespējama  sadarbība ar ārvalsts zinātniskajām institūcijām un augstākās izglītības institūcijām ES mērogā, t</w:t>
      </w:r>
      <w:r w:rsidR="00AC3040">
        <w:rPr>
          <w:rFonts w:ascii="Times New Roman" w:hAnsi="Times New Roman" w:cs="Times New Roman"/>
          <w:sz w:val="24"/>
          <w:szCs w:val="24"/>
          <w:shd w:val="clear" w:color="auto" w:fill="FFFFFF"/>
        </w:rPr>
        <w:t>.sk.</w:t>
      </w:r>
      <w:r w:rsidRPr="00930237">
        <w:rPr>
          <w:rFonts w:ascii="Times New Roman" w:hAnsi="Times New Roman" w:cs="Times New Roman"/>
          <w:sz w:val="24"/>
          <w:szCs w:val="24"/>
          <w:shd w:val="clear" w:color="auto" w:fill="FFFFFF"/>
        </w:rPr>
        <w:t xml:space="preserve"> Baltijas reģionā, kā arī pasaules mērogā.</w:t>
      </w:r>
    </w:p>
    <w:p w14:paraId="1BDCB60A" w14:textId="53AB5A71" w:rsidR="00AC212B" w:rsidRPr="00930237" w:rsidRDefault="0002461B" w:rsidP="007545BD">
      <w:pPr>
        <w:pStyle w:val="Normal1"/>
        <w:numPr>
          <w:ilvl w:val="0"/>
          <w:numId w:val="60"/>
        </w:numPr>
        <w:spacing w:line="240" w:lineRule="auto"/>
        <w:ind w:left="567" w:hanging="567"/>
        <w:jc w:val="both"/>
        <w:rPr>
          <w:rFonts w:ascii="Times New Roman" w:eastAsia="Times New Roman" w:hAnsi="Times New Roman" w:cs="Times New Roman"/>
          <w:b/>
          <w:sz w:val="24"/>
          <w:szCs w:val="24"/>
        </w:rPr>
      </w:pPr>
      <w:r>
        <w:rPr>
          <w:rFonts w:ascii="Times New Roman" w:hAnsi="Times New Roman" w:cs="Times New Roman"/>
          <w:b/>
          <w:noProof/>
          <w:sz w:val="24"/>
          <w:szCs w:val="24"/>
        </w:rPr>
        <w:t>F</w:t>
      </w:r>
      <w:r w:rsidR="00AC212B" w:rsidRPr="00930237">
        <w:rPr>
          <w:rFonts w:ascii="Times New Roman" w:hAnsi="Times New Roman" w:cs="Times New Roman"/>
          <w:b/>
          <w:noProof/>
          <w:sz w:val="24"/>
          <w:szCs w:val="24"/>
        </w:rPr>
        <w:t xml:space="preserve">inanšu instrumenti: </w:t>
      </w:r>
      <w:r w:rsidR="002834E0">
        <w:rPr>
          <w:rFonts w:ascii="Times New Roman" w:hAnsi="Times New Roman" w:cs="Times New Roman"/>
          <w:noProof/>
          <w:sz w:val="24"/>
          <w:szCs w:val="24"/>
        </w:rPr>
        <w:t>N/A</w:t>
      </w:r>
    </w:p>
    <w:p w14:paraId="7D405C6B" w14:textId="77777777" w:rsidR="00AC212B" w:rsidRPr="00930237" w:rsidRDefault="00AC212B" w:rsidP="00AC212B">
      <w:pPr>
        <w:spacing w:before="0" w:after="0"/>
        <w:rPr>
          <w:noProof/>
          <w:color w:val="FF0000"/>
          <w:szCs w:val="24"/>
        </w:rPr>
      </w:pPr>
    </w:p>
    <w:p w14:paraId="29267D51" w14:textId="77777777" w:rsidR="00AC212B" w:rsidRPr="00930237" w:rsidRDefault="00AC212B" w:rsidP="00AC212B">
      <w:pPr>
        <w:spacing w:before="0" w:after="0"/>
        <w:rPr>
          <w:b/>
          <w:noProof/>
          <w:szCs w:val="24"/>
        </w:rPr>
      </w:pPr>
    </w:p>
    <w:p w14:paraId="44A25D6C" w14:textId="50304C9D" w:rsidR="00AC212B" w:rsidRPr="00930237" w:rsidRDefault="00AC212B" w:rsidP="00AC212B">
      <w:pPr>
        <w:pStyle w:val="Heading4"/>
        <w:numPr>
          <w:ilvl w:val="0"/>
          <w:numId w:val="0"/>
        </w:numPr>
        <w:shd w:val="clear" w:color="auto" w:fill="FBE4D5" w:themeFill="accent2" w:themeFillTint="33"/>
        <w:spacing w:after="0"/>
        <w:rPr>
          <w:b/>
          <w:szCs w:val="24"/>
        </w:rPr>
      </w:pPr>
      <w:r w:rsidRPr="00930237">
        <w:rPr>
          <w:b/>
          <w:szCs w:val="24"/>
        </w:rPr>
        <w:t>1.1.2.SAM “Prasmju attīstīšana viedās specializācijas,  industriālās pārejas un uzņēmējdarbības veicināšanai”</w:t>
      </w:r>
    </w:p>
    <w:p w14:paraId="23E6DFA3" w14:textId="77777777" w:rsidR="00AC212B" w:rsidRPr="00930237" w:rsidRDefault="00AC212B" w:rsidP="007545BD">
      <w:pPr>
        <w:pStyle w:val="Normal1"/>
        <w:numPr>
          <w:ilvl w:val="0"/>
          <w:numId w:val="60"/>
        </w:numPr>
        <w:spacing w:line="240" w:lineRule="auto"/>
        <w:ind w:left="567" w:hanging="567"/>
        <w:rPr>
          <w:rFonts w:ascii="Times New Roman" w:eastAsia="Times New Roman" w:hAnsi="Times New Roman" w:cs="Times New Roman"/>
          <w:b/>
          <w:sz w:val="24"/>
          <w:szCs w:val="24"/>
        </w:rPr>
      </w:pPr>
      <w:r w:rsidRPr="00930237">
        <w:rPr>
          <w:rFonts w:ascii="Times New Roman" w:hAnsi="Times New Roman" w:cs="Times New Roman"/>
          <w:b/>
          <w:noProof/>
          <w:sz w:val="24"/>
          <w:szCs w:val="24"/>
        </w:rPr>
        <w:t xml:space="preserve">Atbalstāmās darbības: </w:t>
      </w:r>
    </w:p>
    <w:p w14:paraId="792EDC3A" w14:textId="392141B7" w:rsidR="007C1FBC" w:rsidRDefault="00AC212B" w:rsidP="007545BD">
      <w:pPr>
        <w:pStyle w:val="Normal1"/>
        <w:numPr>
          <w:ilvl w:val="0"/>
          <w:numId w:val="60"/>
        </w:numPr>
        <w:spacing w:line="240" w:lineRule="auto"/>
        <w:ind w:left="567" w:hanging="567"/>
        <w:jc w:val="both"/>
        <w:rPr>
          <w:rFonts w:ascii="Times New Roman" w:eastAsia="Times New Roman" w:hAnsi="Times New Roman" w:cs="Times New Roman"/>
          <w:sz w:val="24"/>
          <w:szCs w:val="24"/>
        </w:rPr>
      </w:pPr>
      <w:r w:rsidRPr="00930237">
        <w:rPr>
          <w:rFonts w:ascii="Times New Roman" w:eastAsia="Times New Roman" w:hAnsi="Times New Roman" w:cs="Times New Roman"/>
          <w:b/>
          <w:sz w:val="24"/>
          <w:szCs w:val="24"/>
        </w:rPr>
        <w:t>Digitālās ekselences centra iniciatīva</w:t>
      </w:r>
      <w:r w:rsidRPr="00930237">
        <w:rPr>
          <w:rFonts w:ascii="Times New Roman" w:eastAsia="Times New Roman" w:hAnsi="Times New Roman" w:cs="Times New Roman"/>
          <w:sz w:val="24"/>
          <w:szCs w:val="24"/>
        </w:rPr>
        <w:t xml:space="preserve"> augsta līmeņa digitālo prasmju nodrošināšanai</w:t>
      </w:r>
      <w:r w:rsidR="00DD69EB">
        <w:rPr>
          <w:rFonts w:ascii="Times New Roman" w:eastAsia="Times New Roman" w:hAnsi="Times New Roman" w:cs="Times New Roman"/>
          <w:sz w:val="24"/>
          <w:szCs w:val="24"/>
        </w:rPr>
        <w:t xml:space="preserve"> RIS3 jomās</w:t>
      </w:r>
      <w:r w:rsidR="00FC5A1B">
        <w:rPr>
          <w:rFonts w:ascii="Times New Roman" w:eastAsia="Times New Roman" w:hAnsi="Times New Roman" w:cs="Times New Roman"/>
          <w:sz w:val="24"/>
          <w:szCs w:val="24"/>
        </w:rPr>
        <w:t>, t.sk.</w:t>
      </w:r>
      <w:r w:rsidRPr="00930237">
        <w:rPr>
          <w:rFonts w:ascii="Times New Roman" w:eastAsia="Times New Roman" w:hAnsi="Times New Roman" w:cs="Times New Roman"/>
          <w:sz w:val="24"/>
          <w:szCs w:val="24"/>
        </w:rPr>
        <w:t xml:space="preserve"> investīcijas Latvijas digitālās kapacitātes stiprināšanā. </w:t>
      </w:r>
      <w:r w:rsidR="00FC5A1B">
        <w:rPr>
          <w:rFonts w:ascii="Times New Roman" w:eastAsia="Times New Roman" w:hAnsi="Times New Roman" w:cs="Times New Roman"/>
          <w:sz w:val="24"/>
          <w:szCs w:val="24"/>
        </w:rPr>
        <w:t>Šīs iniciatīvas</w:t>
      </w:r>
      <w:r w:rsidRPr="00930237">
        <w:rPr>
          <w:rFonts w:ascii="Times New Roman" w:eastAsia="Times New Roman" w:hAnsi="Times New Roman" w:cs="Times New Roman"/>
          <w:sz w:val="24"/>
          <w:szCs w:val="24"/>
        </w:rPr>
        <w:t xml:space="preserve"> ietvaros </w:t>
      </w:r>
      <w:r w:rsidR="00FC5A1B" w:rsidRPr="00FC5A1B">
        <w:rPr>
          <w:rFonts w:ascii="Times New Roman" w:eastAsia="Times New Roman" w:hAnsi="Times New Roman" w:cs="Times New Roman"/>
          <w:sz w:val="24"/>
          <w:szCs w:val="24"/>
        </w:rPr>
        <w:t xml:space="preserve">akadēmiskajam un zinātniskajam sektoram </w:t>
      </w:r>
      <w:r w:rsidRPr="00930237">
        <w:rPr>
          <w:rFonts w:ascii="Times New Roman" w:eastAsia="Times New Roman" w:hAnsi="Times New Roman" w:cs="Times New Roman"/>
          <w:sz w:val="24"/>
          <w:szCs w:val="24"/>
        </w:rPr>
        <w:t>kopsadarbībā ar industriju, nodrošinot mācību atbalstu augsta līmeņa digitālo prasmju apguvei starptautiska līmeņa datorzinātņu studiju programmās, kā arī īsāka cikla specializēto digitālo prasmju apguves moduļos uzņēmējiem u</w:t>
      </w:r>
      <w:r w:rsidR="007903C4">
        <w:rPr>
          <w:rFonts w:ascii="Times New Roman" w:eastAsia="Times New Roman" w:hAnsi="Times New Roman" w:cs="Times New Roman"/>
          <w:sz w:val="24"/>
          <w:szCs w:val="24"/>
        </w:rPr>
        <w:t>.c.</w:t>
      </w:r>
      <w:r w:rsidRPr="00930237">
        <w:rPr>
          <w:rFonts w:ascii="Times New Roman" w:eastAsia="Times New Roman" w:hAnsi="Times New Roman" w:cs="Times New Roman"/>
          <w:sz w:val="24"/>
          <w:szCs w:val="24"/>
        </w:rPr>
        <w:t xml:space="preserve"> speciālistiem, investīcijas mācībspēku digitālo kompetenču pilnveidei, tostarp bioinformātikas, kiberdrošības un mākslīgā intelekta jomā. Tas nodrošinātu arī tālāku augstskolu mācībspēku  augsta līmeņa digitālo prasmju pārnesi izglītības sistēmā, mācot vispārējās un profesionālās izglītības iestāžu pedagogus, kā arī integrējot digitālās kompetences visu kvalifikāciju studiju programmās.</w:t>
      </w:r>
      <w:r w:rsidR="007C1FBC">
        <w:rPr>
          <w:rFonts w:ascii="Times New Roman" w:eastAsia="Times New Roman" w:hAnsi="Times New Roman" w:cs="Times New Roman"/>
          <w:sz w:val="24"/>
          <w:szCs w:val="24"/>
        </w:rPr>
        <w:t xml:space="preserve"> Stiprinot</w:t>
      </w:r>
      <w:r w:rsidR="007C1FBC" w:rsidRPr="007C1FBC">
        <w:rPr>
          <w:rFonts w:ascii="Times New Roman" w:eastAsia="Times New Roman" w:hAnsi="Times New Roman" w:cs="Times New Roman"/>
          <w:sz w:val="24"/>
          <w:szCs w:val="24"/>
        </w:rPr>
        <w:t xml:space="preserve"> </w:t>
      </w:r>
      <w:r w:rsidR="007C1FBC" w:rsidRPr="00930237">
        <w:rPr>
          <w:rFonts w:ascii="Times New Roman" w:eastAsia="Times New Roman" w:hAnsi="Times New Roman" w:cs="Times New Roman"/>
          <w:sz w:val="24"/>
          <w:szCs w:val="24"/>
        </w:rPr>
        <w:t>Latvijas kapacitāti augsta līmeņa digitālo prasmju jomā, tiktu palielināts speciālistu skaits, kuriem ir labas IKT kompetences, kā arī tas palīdzētu sasniegt mērķi par ikgadēji sagatavotiem 3000 IKT</w:t>
      </w:r>
      <w:r w:rsidR="007C1FBC">
        <w:rPr>
          <w:rFonts w:ascii="Times New Roman" w:eastAsia="Times New Roman" w:hAnsi="Times New Roman" w:cs="Times New Roman"/>
          <w:sz w:val="24"/>
          <w:szCs w:val="24"/>
        </w:rPr>
        <w:t xml:space="preserve"> speciālistiem.</w:t>
      </w:r>
      <w:r w:rsidR="002834E0" w:rsidRPr="002834E0">
        <w:rPr>
          <w:rFonts w:ascii="Times New Roman" w:eastAsia="Times New Roman" w:hAnsi="Times New Roman" w:cs="Times New Roman"/>
          <w:sz w:val="24"/>
          <w:szCs w:val="24"/>
        </w:rPr>
        <w:t xml:space="preserve"> 1.1.2.SAM investīcijas veicinās arī sadarbību starp universitātēm un uzņēmumiem, stiprinot cilvēkresursu kapacitāti un nodrošinot iespējas attīstīt augsta līmeņa digitālās prasmes un to pielietošanu praksē. Augsta līmeņa digitālo prasmju apguves iniciatīva sagatavos izcilus speciālistus un līdz ar to palielinās gan Digitālās inovācijas centru, gan Eiropas Digitālās inovācijas centru cilvēkresursu kapacitāti, uzlabos Latvijas spējas veiksmīgi piedalīties programmā “Digitālā Eiropa” un citās programmās.</w:t>
      </w:r>
    </w:p>
    <w:p w14:paraId="021D6302" w14:textId="08E11D4E" w:rsidR="00AC212B" w:rsidRPr="007C1FBC" w:rsidRDefault="00AC212B" w:rsidP="007545BD">
      <w:pPr>
        <w:pStyle w:val="Normal1"/>
        <w:numPr>
          <w:ilvl w:val="0"/>
          <w:numId w:val="60"/>
        </w:numPr>
        <w:spacing w:line="240" w:lineRule="auto"/>
        <w:ind w:left="567" w:hanging="567"/>
        <w:jc w:val="both"/>
        <w:rPr>
          <w:rFonts w:ascii="Times New Roman" w:eastAsia="Times New Roman" w:hAnsi="Times New Roman" w:cs="Times New Roman"/>
          <w:sz w:val="24"/>
          <w:szCs w:val="24"/>
        </w:rPr>
      </w:pPr>
      <w:r w:rsidRPr="007C1FBC">
        <w:rPr>
          <w:rFonts w:ascii="Times New Roman" w:eastAsia="Times New Roman" w:hAnsi="Times New Roman" w:cs="Times New Roman"/>
          <w:sz w:val="24"/>
          <w:szCs w:val="24"/>
        </w:rPr>
        <w:t xml:space="preserve"> </w:t>
      </w:r>
      <w:r w:rsidRPr="007C1FBC">
        <w:rPr>
          <w:rFonts w:ascii="Times New Roman" w:eastAsia="Times New Roman" w:hAnsi="Times New Roman" w:cs="Times New Roman"/>
          <w:b/>
          <w:color w:val="000000"/>
          <w:sz w:val="24"/>
          <w:szCs w:val="24"/>
        </w:rPr>
        <w:t>Inovāciju vadība</w:t>
      </w:r>
      <w:r w:rsidR="00DD69EB" w:rsidRPr="007C1FBC">
        <w:rPr>
          <w:rFonts w:ascii="Times New Roman" w:eastAsia="Times New Roman" w:hAnsi="Times New Roman" w:cs="Times New Roman"/>
          <w:b/>
          <w:color w:val="000000"/>
          <w:sz w:val="24"/>
          <w:szCs w:val="24"/>
        </w:rPr>
        <w:t xml:space="preserve"> RIS3 jomās</w:t>
      </w:r>
      <w:r w:rsidRPr="007C1FBC">
        <w:rPr>
          <w:rFonts w:ascii="Times New Roman" w:eastAsia="Times New Roman" w:hAnsi="Times New Roman" w:cs="Times New Roman"/>
          <w:b/>
          <w:color w:val="000000"/>
          <w:sz w:val="24"/>
          <w:szCs w:val="24"/>
        </w:rPr>
        <w:t>:</w:t>
      </w:r>
      <w:r w:rsidRPr="007C1FBC">
        <w:rPr>
          <w:rFonts w:ascii="Times New Roman" w:eastAsia="Times New Roman" w:hAnsi="Times New Roman" w:cs="Times New Roman"/>
          <w:color w:val="000000"/>
          <w:sz w:val="24"/>
          <w:szCs w:val="24"/>
        </w:rPr>
        <w:t xml:space="preserve"> investīcijas prasmju attīstībai inovāciju vadībā specializētu mācību veidā </w:t>
      </w:r>
      <w:r w:rsidR="00242D6D" w:rsidRPr="00242D6D">
        <w:rPr>
          <w:rFonts w:ascii="Times New Roman" w:eastAsia="Times New Roman" w:hAnsi="Times New Roman" w:cs="Times New Roman"/>
          <w:color w:val="000000"/>
          <w:sz w:val="24"/>
          <w:szCs w:val="24"/>
        </w:rPr>
        <w:t>saimnieciskās darbības veicējiem</w:t>
      </w:r>
      <w:r w:rsidRPr="007C1FBC">
        <w:rPr>
          <w:rFonts w:ascii="Times New Roman" w:eastAsia="Times New Roman" w:hAnsi="Times New Roman" w:cs="Times New Roman"/>
          <w:color w:val="000000"/>
          <w:sz w:val="24"/>
          <w:szCs w:val="24"/>
        </w:rPr>
        <w:t xml:space="preserve">, augstākās izglītības un zinātnes institūcijām, lai palielinātu to spēju piedalīties interaktīvos un atvērtos inovāciju procesos, un nodrošinātu to inovētspēju. </w:t>
      </w:r>
    </w:p>
    <w:p w14:paraId="3C6BE2D3" w14:textId="3F2DF2A8" w:rsidR="00AC212B" w:rsidRPr="00930237" w:rsidRDefault="00AC212B" w:rsidP="007545BD">
      <w:pPr>
        <w:pStyle w:val="Normal1"/>
        <w:numPr>
          <w:ilvl w:val="0"/>
          <w:numId w:val="60"/>
        </w:numPr>
        <w:spacing w:line="240" w:lineRule="auto"/>
        <w:ind w:left="567" w:hanging="567"/>
        <w:jc w:val="both"/>
        <w:rPr>
          <w:rFonts w:ascii="Times New Roman" w:eastAsia="Times New Roman" w:hAnsi="Times New Roman" w:cs="Times New Roman"/>
          <w:sz w:val="24"/>
          <w:szCs w:val="24"/>
        </w:rPr>
      </w:pPr>
      <w:r w:rsidRPr="00930237">
        <w:rPr>
          <w:rFonts w:ascii="Times New Roman" w:eastAsia="Times New Roman" w:hAnsi="Times New Roman" w:cs="Times New Roman"/>
          <w:b/>
          <w:sz w:val="24"/>
          <w:szCs w:val="24"/>
        </w:rPr>
        <w:t>Galvenās mērķgrupas:</w:t>
      </w:r>
      <w:r w:rsidRPr="00930237">
        <w:rPr>
          <w:rFonts w:ascii="Times New Roman" w:eastAsia="Times New Roman" w:hAnsi="Times New Roman" w:cs="Times New Roman"/>
          <w:sz w:val="24"/>
          <w:szCs w:val="24"/>
        </w:rPr>
        <w:t xml:space="preserve"> </w:t>
      </w:r>
      <w:r w:rsidR="00DD69EB">
        <w:rPr>
          <w:rFonts w:ascii="Times New Roman" w:eastAsia="Times New Roman" w:hAnsi="Times New Roman" w:cs="Times New Roman"/>
          <w:sz w:val="24"/>
          <w:szCs w:val="24"/>
        </w:rPr>
        <w:t>Augstskolas</w:t>
      </w:r>
      <w:r w:rsidRPr="00930237">
        <w:rPr>
          <w:rFonts w:ascii="Times New Roman" w:eastAsia="Times New Roman" w:hAnsi="Times New Roman" w:cs="Times New Roman"/>
          <w:sz w:val="24"/>
          <w:szCs w:val="24"/>
        </w:rPr>
        <w:t xml:space="preserve">, zinātniskās institūcijas, zinātniskais personāls, akadēmiskais personāls, studējošie, </w:t>
      </w:r>
      <w:r w:rsidR="00242D6D" w:rsidRPr="00242D6D">
        <w:rPr>
          <w:rFonts w:ascii="Times New Roman" w:eastAsia="Times New Roman" w:hAnsi="Times New Roman" w:cs="Times New Roman"/>
          <w:sz w:val="24"/>
          <w:szCs w:val="24"/>
        </w:rPr>
        <w:t>saimnieciskās darbības veicēji</w:t>
      </w:r>
      <w:r w:rsidRPr="00930237">
        <w:rPr>
          <w:rFonts w:ascii="Times New Roman" w:eastAsia="Times New Roman" w:hAnsi="Times New Roman" w:cs="Times New Roman"/>
          <w:sz w:val="24"/>
          <w:szCs w:val="24"/>
        </w:rPr>
        <w:t>.</w:t>
      </w:r>
    </w:p>
    <w:p w14:paraId="11E97ABF" w14:textId="42643734" w:rsidR="00AC212B" w:rsidRPr="00930237" w:rsidRDefault="00AC212B" w:rsidP="007545BD">
      <w:pPr>
        <w:pStyle w:val="Normal1"/>
        <w:numPr>
          <w:ilvl w:val="0"/>
          <w:numId w:val="60"/>
        </w:numPr>
        <w:spacing w:line="240" w:lineRule="auto"/>
        <w:ind w:left="567" w:hanging="567"/>
        <w:jc w:val="both"/>
        <w:rPr>
          <w:rFonts w:ascii="Times New Roman" w:eastAsia="Times New Roman" w:hAnsi="Times New Roman" w:cs="Times New Roman"/>
          <w:b/>
          <w:sz w:val="24"/>
          <w:szCs w:val="24"/>
        </w:rPr>
      </w:pPr>
      <w:r w:rsidRPr="00930237">
        <w:rPr>
          <w:rFonts w:ascii="Times New Roman" w:hAnsi="Times New Roman" w:cs="Times New Roman"/>
          <w:b/>
          <w:noProof/>
          <w:sz w:val="24"/>
          <w:szCs w:val="24"/>
        </w:rPr>
        <w:t xml:space="preserve">Darbības, kas nodrošina vienlīdzību, iekļaušanu un nediskrimināciju: </w:t>
      </w:r>
      <w:r w:rsidR="00DD69EB" w:rsidRPr="00DD69EB">
        <w:rPr>
          <w:rFonts w:ascii="Times New Roman" w:hAnsi="Times New Roman" w:cs="Times New Roman"/>
          <w:noProof/>
          <w:sz w:val="24"/>
          <w:szCs w:val="24"/>
        </w:rPr>
        <w:t>Projektu vadībā un pasākumu īstenošanā tiks nodrošināta nediskriminācija un SAM ietvaros īstenoto darbību kopums tiks vērsts uz informācijas un vides pieejamības, nediskriminācijas pēc vecuma, dzimuma, etniskās piederības u.c. pazīmēm un vienlīdzīgu iespēju principu ievērošanu visām personu grupām</w:t>
      </w:r>
      <w:r w:rsidR="00DD69EB">
        <w:rPr>
          <w:rFonts w:ascii="Times New Roman" w:hAnsi="Times New Roman" w:cs="Times New Roman"/>
          <w:b/>
          <w:noProof/>
          <w:sz w:val="24"/>
          <w:szCs w:val="24"/>
        </w:rPr>
        <w:t>.</w:t>
      </w:r>
    </w:p>
    <w:p w14:paraId="45169D72" w14:textId="1A6B939F" w:rsidR="00AC212B" w:rsidRPr="00930237" w:rsidRDefault="00AC212B" w:rsidP="007545BD">
      <w:pPr>
        <w:pStyle w:val="Normal1"/>
        <w:numPr>
          <w:ilvl w:val="0"/>
          <w:numId w:val="60"/>
        </w:numPr>
        <w:spacing w:line="240" w:lineRule="auto"/>
        <w:ind w:left="567" w:hanging="567"/>
        <w:jc w:val="both"/>
        <w:rPr>
          <w:rFonts w:ascii="Times New Roman" w:eastAsia="Times New Roman" w:hAnsi="Times New Roman" w:cs="Times New Roman"/>
          <w:b/>
          <w:sz w:val="24"/>
          <w:szCs w:val="24"/>
        </w:rPr>
      </w:pPr>
      <w:r w:rsidRPr="00930237">
        <w:rPr>
          <w:rFonts w:ascii="Times New Roman" w:hAnsi="Times New Roman" w:cs="Times New Roman"/>
          <w:b/>
          <w:noProof/>
          <w:sz w:val="24"/>
          <w:szCs w:val="24"/>
        </w:rPr>
        <w:t xml:space="preserve">Mērķteritorijas, t. sk. plānotais teritoriālo rīku izmantojums: </w:t>
      </w:r>
      <w:r w:rsidRPr="00930237">
        <w:rPr>
          <w:rFonts w:ascii="Times New Roman" w:hAnsi="Times New Roman" w:cs="Times New Roman"/>
          <w:sz w:val="24"/>
          <w:szCs w:val="24"/>
          <w:shd w:val="clear" w:color="auto" w:fill="FFFFFF"/>
        </w:rPr>
        <w:t>Visa Latvijas teritorija</w:t>
      </w:r>
      <w:r w:rsidR="00EC0A68">
        <w:rPr>
          <w:rFonts w:ascii="Times New Roman" w:hAnsi="Times New Roman" w:cs="Times New Roman"/>
          <w:sz w:val="24"/>
          <w:szCs w:val="24"/>
          <w:shd w:val="clear" w:color="auto" w:fill="FFFFFF"/>
        </w:rPr>
        <w:t xml:space="preserve">, </w:t>
      </w:r>
      <w:r w:rsidR="00EC0A68" w:rsidRPr="1ACA9DC0">
        <w:rPr>
          <w:rFonts w:ascii="Times New Roman" w:hAnsi="Times New Roman" w:cs="Times New Roman"/>
          <w:sz w:val="24"/>
          <w:szCs w:val="24"/>
        </w:rPr>
        <w:t xml:space="preserve">t.sk. </w:t>
      </w:r>
      <w:r w:rsidR="00EC0A68" w:rsidRPr="00400888">
        <w:rPr>
          <w:rFonts w:ascii="Times New Roman" w:hAnsi="Times New Roman" w:cs="Times New Roman"/>
          <w:sz w:val="24"/>
          <w:szCs w:val="24"/>
        </w:rPr>
        <w:t>piemērojot teritoriālo pieeju atbalsta sniegšanā, balstoties uz reģionu attīstības plānošanas dokumentiem</w:t>
      </w:r>
      <w:r w:rsidRPr="00930237">
        <w:rPr>
          <w:rFonts w:ascii="Times New Roman" w:hAnsi="Times New Roman" w:cs="Times New Roman"/>
          <w:sz w:val="24"/>
          <w:szCs w:val="24"/>
          <w:shd w:val="clear" w:color="auto" w:fill="FFFFFF"/>
        </w:rPr>
        <w:t>. </w:t>
      </w:r>
    </w:p>
    <w:p w14:paraId="0FA2F0C3" w14:textId="77777777" w:rsidR="00AC212B" w:rsidRPr="00930237" w:rsidRDefault="00AC212B" w:rsidP="007545BD">
      <w:pPr>
        <w:pStyle w:val="Normal1"/>
        <w:numPr>
          <w:ilvl w:val="0"/>
          <w:numId w:val="60"/>
        </w:numPr>
        <w:spacing w:line="240" w:lineRule="auto"/>
        <w:ind w:left="567" w:hanging="567"/>
        <w:jc w:val="both"/>
        <w:rPr>
          <w:rFonts w:ascii="Times New Roman" w:eastAsia="Times New Roman" w:hAnsi="Times New Roman" w:cs="Times New Roman"/>
          <w:b/>
          <w:sz w:val="24"/>
          <w:szCs w:val="24"/>
        </w:rPr>
      </w:pPr>
      <w:r w:rsidRPr="00930237">
        <w:rPr>
          <w:rFonts w:ascii="Times New Roman" w:hAnsi="Times New Roman" w:cs="Times New Roman"/>
          <w:b/>
          <w:noProof/>
          <w:sz w:val="24"/>
          <w:szCs w:val="24"/>
        </w:rPr>
        <w:t>Starpreģionālās, pārrobežu un transnacionālās darbības:</w:t>
      </w:r>
      <w:r w:rsidRPr="00930237">
        <w:rPr>
          <w:rFonts w:ascii="Times New Roman" w:hAnsi="Times New Roman" w:cs="Times New Roman"/>
          <w:noProof/>
          <w:sz w:val="24"/>
          <w:szCs w:val="24"/>
        </w:rPr>
        <w:t xml:space="preserve"> N/A</w:t>
      </w:r>
    </w:p>
    <w:p w14:paraId="78FB3437" w14:textId="22F0579D" w:rsidR="00AC212B" w:rsidRPr="00930237" w:rsidRDefault="0002461B" w:rsidP="007545BD">
      <w:pPr>
        <w:pStyle w:val="Normal1"/>
        <w:numPr>
          <w:ilvl w:val="0"/>
          <w:numId w:val="60"/>
        </w:numPr>
        <w:spacing w:line="240" w:lineRule="auto"/>
        <w:ind w:left="567" w:hanging="567"/>
        <w:jc w:val="both"/>
        <w:rPr>
          <w:rFonts w:ascii="Times New Roman" w:eastAsia="Times New Roman" w:hAnsi="Times New Roman" w:cs="Times New Roman"/>
          <w:b/>
          <w:sz w:val="24"/>
          <w:szCs w:val="24"/>
        </w:rPr>
      </w:pPr>
      <w:r>
        <w:rPr>
          <w:rFonts w:ascii="Times New Roman" w:hAnsi="Times New Roman" w:cs="Times New Roman"/>
          <w:b/>
          <w:noProof/>
          <w:sz w:val="24"/>
          <w:szCs w:val="24"/>
        </w:rPr>
        <w:t>F</w:t>
      </w:r>
      <w:r w:rsidR="00AC212B" w:rsidRPr="00930237">
        <w:rPr>
          <w:rFonts w:ascii="Times New Roman" w:hAnsi="Times New Roman" w:cs="Times New Roman"/>
          <w:b/>
          <w:noProof/>
          <w:sz w:val="24"/>
          <w:szCs w:val="24"/>
        </w:rPr>
        <w:t xml:space="preserve">inanšu instrumenti: </w:t>
      </w:r>
      <w:r w:rsidR="00AC212B" w:rsidRPr="00930237">
        <w:rPr>
          <w:rFonts w:ascii="Times New Roman" w:hAnsi="Times New Roman" w:cs="Times New Roman"/>
          <w:noProof/>
          <w:sz w:val="24"/>
          <w:szCs w:val="24"/>
        </w:rPr>
        <w:t>N/A</w:t>
      </w:r>
    </w:p>
    <w:p w14:paraId="580F17D7" w14:textId="77777777" w:rsidR="00AC212B" w:rsidRPr="00930237" w:rsidRDefault="00AC212B" w:rsidP="00AC212B">
      <w:pPr>
        <w:spacing w:before="0" w:after="0"/>
        <w:rPr>
          <w:b/>
          <w:noProof/>
          <w:szCs w:val="24"/>
        </w:rPr>
      </w:pPr>
    </w:p>
    <w:p w14:paraId="561288AB" w14:textId="77777777" w:rsidR="00AC212B" w:rsidRPr="00930237" w:rsidRDefault="00AC212B" w:rsidP="00AC212B">
      <w:pPr>
        <w:spacing w:before="0" w:after="0"/>
        <w:rPr>
          <w:b/>
          <w:noProof/>
          <w:szCs w:val="24"/>
        </w:rPr>
      </w:pPr>
    </w:p>
    <w:p w14:paraId="2011E1BD" w14:textId="77777777" w:rsidR="00AC212B" w:rsidRPr="00930237" w:rsidRDefault="00AC212B" w:rsidP="00AC212B">
      <w:pPr>
        <w:pStyle w:val="Heading4"/>
        <w:numPr>
          <w:ilvl w:val="0"/>
          <w:numId w:val="0"/>
        </w:numPr>
        <w:shd w:val="clear" w:color="auto" w:fill="F7CAAC" w:themeFill="accent2" w:themeFillTint="66"/>
        <w:spacing w:after="0"/>
        <w:rPr>
          <w:b/>
          <w:szCs w:val="24"/>
        </w:rPr>
      </w:pPr>
      <w:r w:rsidRPr="00930237">
        <w:rPr>
          <w:b/>
          <w:szCs w:val="24"/>
        </w:rPr>
        <w:t>1.2.prioritāte “Atbalsts uzņēmējdarbībai”</w:t>
      </w:r>
    </w:p>
    <w:p w14:paraId="690DCC6D" w14:textId="7034489A" w:rsidR="00AC212B" w:rsidRPr="00930237" w:rsidRDefault="00AC212B" w:rsidP="00AC212B">
      <w:pPr>
        <w:pStyle w:val="Heading4"/>
        <w:numPr>
          <w:ilvl w:val="0"/>
          <w:numId w:val="0"/>
        </w:numPr>
        <w:shd w:val="clear" w:color="auto" w:fill="FBE4D5" w:themeFill="accent2" w:themeFillTint="33"/>
        <w:spacing w:after="0"/>
        <w:rPr>
          <w:b/>
          <w:szCs w:val="24"/>
        </w:rPr>
      </w:pPr>
      <w:r w:rsidRPr="00930237">
        <w:rPr>
          <w:b/>
          <w:noProof/>
          <w:szCs w:val="24"/>
        </w:rPr>
        <w:t>1.2.1. SAM “</w:t>
      </w:r>
      <w:r w:rsidRPr="00930237">
        <w:rPr>
          <w:b/>
          <w:szCs w:val="24"/>
        </w:rPr>
        <w:t>Pētniecības un inovāciju kapacitātes stiprināšana un progresīvu tehnoloģiju ieviešana</w:t>
      </w:r>
      <w:r w:rsidR="00E4292F">
        <w:rPr>
          <w:b/>
          <w:szCs w:val="24"/>
        </w:rPr>
        <w:t xml:space="preserve"> </w:t>
      </w:r>
      <w:r w:rsidR="00E4292F" w:rsidRPr="00E4292F">
        <w:rPr>
          <w:b/>
          <w:szCs w:val="24"/>
        </w:rPr>
        <w:t>uzņēmumiem</w:t>
      </w:r>
      <w:r w:rsidRPr="00930237">
        <w:rPr>
          <w:b/>
          <w:szCs w:val="24"/>
        </w:rPr>
        <w:t>”</w:t>
      </w:r>
    </w:p>
    <w:p w14:paraId="66B06C65" w14:textId="26635BBD" w:rsidR="001B7FC7" w:rsidRPr="00BF507F" w:rsidRDefault="00AC212B" w:rsidP="007545BD">
      <w:pPr>
        <w:pStyle w:val="Normal1"/>
        <w:numPr>
          <w:ilvl w:val="0"/>
          <w:numId w:val="60"/>
        </w:numPr>
        <w:spacing w:line="240" w:lineRule="auto"/>
        <w:ind w:left="567" w:hanging="567"/>
        <w:jc w:val="both"/>
        <w:rPr>
          <w:rFonts w:ascii="Times New Roman" w:eastAsia="Times New Roman" w:hAnsi="Times New Roman" w:cs="Times New Roman"/>
          <w:b/>
          <w:bCs/>
          <w:sz w:val="24"/>
          <w:szCs w:val="24"/>
        </w:rPr>
      </w:pPr>
      <w:r w:rsidRPr="00BF507F">
        <w:rPr>
          <w:rFonts w:ascii="Times New Roman" w:hAnsi="Times New Roman" w:cs="Times New Roman"/>
          <w:b/>
          <w:noProof/>
          <w:sz w:val="24"/>
          <w:szCs w:val="24"/>
        </w:rPr>
        <w:t xml:space="preserve">Atbalstāmās darbības: </w:t>
      </w:r>
      <w:r w:rsidR="008E36A8" w:rsidRPr="00BF507F">
        <w:rPr>
          <w:rFonts w:ascii="Times New Roman" w:hAnsi="Times New Roman" w:cs="Times New Roman"/>
          <w:b/>
          <w:bCs/>
          <w:sz w:val="24"/>
          <w:szCs w:val="24"/>
        </w:rPr>
        <w:t xml:space="preserve">Ekosistēmu stratēģiskā vadība </w:t>
      </w:r>
      <w:r w:rsidRPr="00BF507F">
        <w:rPr>
          <w:rFonts w:ascii="Times New Roman" w:hAnsi="Times New Roman" w:cs="Times New Roman"/>
          <w:b/>
          <w:sz w:val="24"/>
          <w:szCs w:val="24"/>
        </w:rPr>
        <w:t xml:space="preserve">RIS3 jomās: </w:t>
      </w:r>
      <w:r w:rsidR="005C0BB9" w:rsidRPr="00BF507F">
        <w:rPr>
          <w:rFonts w:ascii="Times New Roman" w:hAnsi="Times New Roman" w:cs="Times New Roman"/>
          <w:sz w:val="24"/>
          <w:szCs w:val="24"/>
        </w:rPr>
        <w:t xml:space="preserve">Pilnvērtīgas pētniecības un inovāciju pārvaldības ieviešana </w:t>
      </w:r>
      <w:r w:rsidR="008E36A8" w:rsidRPr="00BF507F">
        <w:rPr>
          <w:rFonts w:ascii="Times New Roman" w:hAnsi="Times New Roman" w:cs="Times New Roman"/>
          <w:sz w:val="24"/>
          <w:szCs w:val="24"/>
        </w:rPr>
        <w:t xml:space="preserve">RIS3 </w:t>
      </w:r>
      <w:r w:rsidR="005C0BB9" w:rsidRPr="00BF507F">
        <w:rPr>
          <w:rFonts w:ascii="Times New Roman" w:hAnsi="Times New Roman" w:cs="Times New Roman"/>
          <w:sz w:val="24"/>
          <w:szCs w:val="24"/>
        </w:rPr>
        <w:t>specializācijas jomās, t</w:t>
      </w:r>
      <w:r w:rsidR="00F65811">
        <w:rPr>
          <w:rFonts w:ascii="Times New Roman" w:hAnsi="Times New Roman" w:cs="Times New Roman"/>
          <w:sz w:val="24"/>
          <w:szCs w:val="24"/>
        </w:rPr>
        <w:t>.</w:t>
      </w:r>
      <w:r w:rsidR="005C0BB9" w:rsidRPr="00BF507F">
        <w:rPr>
          <w:rFonts w:ascii="Times New Roman" w:hAnsi="Times New Roman" w:cs="Times New Roman"/>
          <w:sz w:val="24"/>
          <w:szCs w:val="24"/>
        </w:rPr>
        <w:t>sk</w:t>
      </w:r>
      <w:r w:rsidR="00F65811">
        <w:rPr>
          <w:rFonts w:ascii="Times New Roman" w:hAnsi="Times New Roman" w:cs="Times New Roman"/>
          <w:sz w:val="24"/>
          <w:szCs w:val="24"/>
        </w:rPr>
        <w:t>.</w:t>
      </w:r>
      <w:r w:rsidR="005C0BB9" w:rsidRPr="00BF507F">
        <w:rPr>
          <w:rFonts w:ascii="Times New Roman" w:hAnsi="Times New Roman" w:cs="Times New Roman"/>
          <w:sz w:val="24"/>
          <w:szCs w:val="24"/>
        </w:rPr>
        <w:t xml:space="preserve"> RIS3 vērtības ķēžu </w:t>
      </w:r>
      <w:r w:rsidR="008E36A8" w:rsidRPr="00BF507F">
        <w:rPr>
          <w:rFonts w:ascii="Times New Roman" w:hAnsi="Times New Roman" w:cs="Times New Roman"/>
          <w:sz w:val="24"/>
          <w:szCs w:val="24"/>
        </w:rPr>
        <w:t xml:space="preserve">ekosistēmu </w:t>
      </w:r>
      <w:r w:rsidR="005C0BB9" w:rsidRPr="00BF507F">
        <w:rPr>
          <w:rFonts w:ascii="Times New Roman" w:hAnsi="Times New Roman" w:cs="Times New Roman"/>
          <w:sz w:val="24"/>
          <w:szCs w:val="24"/>
        </w:rPr>
        <w:t>identificēšana un  attīstīšana, iesaistot visus ar trīskāršās spirāles mijiedarbības modeļa konceptu (turpmāk – triple-helix)</w:t>
      </w:r>
      <w:r w:rsidR="00C36EA7">
        <w:rPr>
          <w:rStyle w:val="FootnoteReference"/>
          <w:rFonts w:ascii="Times New Roman" w:hAnsi="Times New Roman" w:cs="Times New Roman"/>
          <w:sz w:val="24"/>
          <w:szCs w:val="24"/>
        </w:rPr>
        <w:footnoteReference w:id="95"/>
      </w:r>
      <w:r w:rsidR="005C0BB9" w:rsidRPr="00BF507F">
        <w:rPr>
          <w:rFonts w:ascii="Times New Roman" w:hAnsi="Times New Roman" w:cs="Times New Roman"/>
          <w:sz w:val="24"/>
          <w:szCs w:val="24"/>
        </w:rPr>
        <w:t xml:space="preserve"> saistītos pārstāvjus. RIS3 specializācijas jomu </w:t>
      </w:r>
      <w:r w:rsidR="008E36A8" w:rsidRPr="00BF507F">
        <w:rPr>
          <w:rFonts w:ascii="Times New Roman" w:hAnsi="Times New Roman" w:cs="Times New Roman"/>
          <w:sz w:val="24"/>
          <w:szCs w:val="24"/>
        </w:rPr>
        <w:t>ekosistēmu</w:t>
      </w:r>
      <w:r w:rsidRPr="00BF507F">
        <w:rPr>
          <w:rFonts w:ascii="Times New Roman" w:hAnsi="Times New Roman" w:cs="Times New Roman"/>
          <w:sz w:val="24"/>
          <w:szCs w:val="24"/>
        </w:rPr>
        <w:t xml:space="preserve"> </w:t>
      </w:r>
      <w:r w:rsidR="005C0BB9" w:rsidRPr="00BF507F">
        <w:rPr>
          <w:rFonts w:ascii="Times New Roman" w:hAnsi="Times New Roman" w:cs="Times New Roman"/>
          <w:sz w:val="24"/>
          <w:szCs w:val="24"/>
        </w:rPr>
        <w:t xml:space="preserve">stratēģiju izstrāde, balstoties uz kurām tiks noteiktas stratēģiskās prioritātes (nozīmīgākās jomā pastāvošās iespējas un izaicinājumi) katrā no specializācijas jomām, un izstrādāto stratēģiju </w:t>
      </w:r>
      <w:r w:rsidRPr="00BF507F">
        <w:rPr>
          <w:rFonts w:ascii="Times New Roman" w:hAnsi="Times New Roman" w:cs="Times New Roman"/>
          <w:sz w:val="24"/>
          <w:szCs w:val="24"/>
        </w:rPr>
        <w:t xml:space="preserve">ieviešanas </w:t>
      </w:r>
      <w:r w:rsidR="005C0BB9" w:rsidRPr="00BF507F">
        <w:rPr>
          <w:rFonts w:ascii="Times New Roman" w:hAnsi="Times New Roman" w:cs="Times New Roman"/>
          <w:sz w:val="24"/>
          <w:szCs w:val="24"/>
        </w:rPr>
        <w:t xml:space="preserve"> procesa nodrošināšana.  </w:t>
      </w:r>
      <w:r w:rsidRPr="00BF507F">
        <w:rPr>
          <w:rFonts w:ascii="Times New Roman" w:hAnsi="Times New Roman" w:cs="Times New Roman"/>
          <w:sz w:val="24"/>
          <w:szCs w:val="24"/>
        </w:rPr>
        <w:t>LIAA būs šo procesu nodrošinātājs</w:t>
      </w:r>
      <w:r w:rsidR="007D2CD0" w:rsidRPr="00BF507F">
        <w:rPr>
          <w:rFonts w:ascii="Times New Roman" w:hAnsi="Times New Roman" w:cs="Times New Roman"/>
          <w:sz w:val="24"/>
          <w:szCs w:val="24"/>
        </w:rPr>
        <w:t>, t.sk. sadarbībā ar plānošanas reģioniem</w:t>
      </w:r>
      <w:r w:rsidR="00904B79" w:rsidRPr="00BF507F">
        <w:rPr>
          <w:rFonts w:ascii="Times New Roman" w:hAnsi="Times New Roman" w:cs="Times New Roman"/>
          <w:sz w:val="24"/>
          <w:szCs w:val="24"/>
        </w:rPr>
        <w:t xml:space="preserve">. </w:t>
      </w:r>
      <w:r w:rsidR="001B7FC7" w:rsidRPr="00BF507F">
        <w:rPr>
          <w:rFonts w:ascii="Times New Roman" w:eastAsia="Times New Roman" w:hAnsi="Times New Roman" w:cs="Times New Roman"/>
          <w:b/>
          <w:bCs/>
          <w:sz w:val="24"/>
          <w:szCs w:val="24"/>
        </w:rPr>
        <w:t>RIS3 analītiskās kapacitātes stiprināšana</w:t>
      </w:r>
      <w:r w:rsidR="001B7FC7" w:rsidRPr="00BF507F">
        <w:rPr>
          <w:rFonts w:ascii="Times New Roman" w:eastAsia="Times New Roman" w:hAnsi="Times New Roman" w:cs="Times New Roman"/>
          <w:sz w:val="24"/>
          <w:szCs w:val="24"/>
        </w:rPr>
        <w:t xml:space="preserve">, jo īpaši uzņēmējdarbības sektora ietvaros,  kas sniegtu datos balstītu informāciju par uzņēmumu ekonomiskajiem rādītājiem, RIS3 aktivitāšu novērtējumu u.c. būtisku informāciju. Tādā veidā tiks nodrošinātas mērķētas publiskās investīcijas pētniecībā </w:t>
      </w:r>
      <w:r w:rsidR="00904B79" w:rsidRPr="00BF507F">
        <w:rPr>
          <w:rFonts w:ascii="Times New Roman" w:eastAsia="Times New Roman" w:hAnsi="Times New Roman" w:cs="Times New Roman"/>
          <w:sz w:val="24"/>
          <w:szCs w:val="24"/>
        </w:rPr>
        <w:t xml:space="preserve">un attīstībā RIS3 jomu ietvaros </w:t>
      </w:r>
      <w:r w:rsidR="001B7FC7" w:rsidRPr="00BF507F">
        <w:rPr>
          <w:rFonts w:ascii="Times New Roman" w:eastAsia="Times New Roman" w:hAnsi="Times New Roman" w:cs="Times New Roman"/>
          <w:sz w:val="24"/>
          <w:szCs w:val="24"/>
        </w:rPr>
        <w:t>un paaugstināta publisko investīciju atdeve.</w:t>
      </w:r>
      <w:r w:rsidR="001B7FC7" w:rsidRPr="00BF507F">
        <w:rPr>
          <w:rFonts w:ascii="Times New Roman" w:eastAsia="Times New Roman" w:hAnsi="Times New Roman" w:cs="Times New Roman"/>
          <w:b/>
          <w:bCs/>
          <w:sz w:val="24"/>
          <w:szCs w:val="24"/>
        </w:rPr>
        <w:t xml:space="preserve"> </w:t>
      </w:r>
    </w:p>
    <w:p w14:paraId="022860D7" w14:textId="4AF24358" w:rsidR="001B7FC7" w:rsidRPr="00CB2C9E" w:rsidRDefault="001B7FC7"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BE69D7">
        <w:rPr>
          <w:rFonts w:ascii="Times New Roman" w:hAnsi="Times New Roman" w:cs="Times New Roman"/>
          <w:b/>
          <w:sz w:val="24"/>
          <w:szCs w:val="24"/>
        </w:rPr>
        <w:t xml:space="preserve">Atbalsts komersantiem jaunu produktu attīstībai un internacionalizācijai. </w:t>
      </w:r>
      <w:r w:rsidRPr="00BE69D7">
        <w:rPr>
          <w:rFonts w:ascii="Times New Roman" w:hAnsi="Times New Roman" w:cs="Times New Roman"/>
          <w:sz w:val="24"/>
          <w:szCs w:val="24"/>
        </w:rPr>
        <w:t xml:space="preserve">Pilna inovāciju cikla atbalsta nodrošināšana RIS3 specializācijas jomu ietvaros </w:t>
      </w:r>
      <w:r w:rsidRPr="00BE69D7">
        <w:rPr>
          <w:rFonts w:ascii="Times New Roman" w:eastAsia="Times New Roman" w:hAnsi="Times New Roman" w:cs="Times New Roman"/>
          <w:sz w:val="24"/>
          <w:szCs w:val="24"/>
        </w:rPr>
        <w:t>ar mērķi veicināt sadarbību starp triple-helix pārstāvjiem inovācijas procesa ietvaros, tādā veidā paaugstinot privāto P&amp;A investīciju apjomu. Atbalsta nodrošināšana jaunu un inovatīvu produktu izstrādei un attīstībai, sadarbības veicināšanas aktivitātēm starp uzņēmējdarbības un pētniecības sektoru, internacionalizācijas aktivitātēm, t.sk. dalības veicināšanai ES līmeņa pētniecības programmās, u.c. atbalsts aktivitātēm, kas sekmēs inovāciju kapacitāti uzņēmējdarbības sektorā. Atbalsts komersantiem (internacionalizācijas, sadarbības veicināšanas u.c. aktivitātes) ekosistēmu ietvaros, kurās ir</w:t>
      </w:r>
      <w:r>
        <w:rPr>
          <w:rFonts w:ascii="Times New Roman" w:eastAsia="Times New Roman" w:hAnsi="Times New Roman" w:cs="Times New Roman"/>
          <w:sz w:val="24"/>
          <w:szCs w:val="24"/>
        </w:rPr>
        <w:t xml:space="preserve"> n</w:t>
      </w:r>
      <w:r w:rsidRPr="00BE69D7">
        <w:rPr>
          <w:rFonts w:ascii="Times New Roman" w:eastAsia="Times New Roman" w:hAnsi="Times New Roman" w:cs="Times New Roman"/>
          <w:sz w:val="24"/>
          <w:szCs w:val="24"/>
        </w:rPr>
        <w:t>ovērojamas inovāciju kapacitātes pieauguma tendences.</w:t>
      </w:r>
    </w:p>
    <w:p w14:paraId="2AEBE4CC" w14:textId="6D71CC6D" w:rsidR="00AC212B" w:rsidRPr="001B7FC7" w:rsidRDefault="001B7FC7"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D2081C">
        <w:rPr>
          <w:rFonts w:ascii="Times New Roman" w:hAnsi="Times New Roman" w:cs="Times New Roman"/>
          <w:sz w:val="24"/>
          <w:szCs w:val="24"/>
        </w:rPr>
        <w:t>Būtisks rādītājs, kurš atspoguļo komersantu inovācijas kapacitātes līmeni un potenciālu ir komersantu sadarbības intensitāte ar citiem komersantiem un pētniecības organizācijām inovāciju procesu ietvaros. Balstoties uz Eiropas Inovāciju pārskata (</w:t>
      </w:r>
      <w:r w:rsidRPr="00D2081C">
        <w:rPr>
          <w:rFonts w:ascii="Times New Roman" w:eastAsia="Times New Roman" w:hAnsi="Times New Roman" w:cs="Times New Roman"/>
          <w:sz w:val="24"/>
          <w:szCs w:val="24"/>
        </w:rPr>
        <w:t>European Innovation Scoreboard</w:t>
      </w:r>
      <w:r w:rsidRPr="00D2081C">
        <w:rPr>
          <w:rFonts w:ascii="Times New Roman" w:hAnsi="Times New Roman" w:cs="Times New Roman"/>
          <w:sz w:val="24"/>
          <w:szCs w:val="24"/>
        </w:rPr>
        <w:t>) datiem, tikai 5,6% no Latvijas inovatīvajiem MVU inovācijas procesā ir sadarbojušies ar citām organizācijām</w:t>
      </w:r>
      <w:r w:rsidRPr="00E70187">
        <w:rPr>
          <w:rFonts w:ascii="Times New Roman" w:eastAsia="Times New Roman" w:hAnsi="Times New Roman" w:cs="Times New Roman"/>
          <w:sz w:val="24"/>
          <w:szCs w:val="24"/>
          <w:vertAlign w:val="superscript"/>
        </w:rPr>
        <w:footnoteReference w:id="96"/>
      </w:r>
      <w:r w:rsidRPr="00D2081C">
        <w:rPr>
          <w:rFonts w:ascii="Times New Roman" w:hAnsi="Times New Roman" w:cs="Times New Roman"/>
          <w:sz w:val="24"/>
          <w:szCs w:val="24"/>
        </w:rPr>
        <w:t>.Tāpat atbalsts pieminētajām aktivitātēm ir nepieciešams</w:t>
      </w:r>
      <w:r w:rsidR="00AC4D30">
        <w:rPr>
          <w:rFonts w:ascii="Times New Roman" w:hAnsi="Times New Roman" w:cs="Times New Roman"/>
          <w:sz w:val="24"/>
          <w:szCs w:val="24"/>
        </w:rPr>
        <w:t>,</w:t>
      </w:r>
      <w:r w:rsidRPr="00D2081C">
        <w:rPr>
          <w:rFonts w:ascii="Times New Roman" w:hAnsi="Times New Roman" w:cs="Times New Roman"/>
          <w:sz w:val="24"/>
          <w:szCs w:val="24"/>
        </w:rPr>
        <w:t xml:space="preserve"> ņemot vērā Latvijas komersantu rādītājus, kuri attiecās uz internacionalizācijas kapacitāti - </w:t>
      </w:r>
      <w:r w:rsidRPr="00D2081C">
        <w:rPr>
          <w:rFonts w:ascii="Times New Roman" w:eastAsia="Times New Roman" w:hAnsi="Times New Roman" w:cs="Times New Roman"/>
          <w:sz w:val="24"/>
          <w:szCs w:val="24"/>
        </w:rPr>
        <w:t>Latvijas komersantu integrācijas līmenis globālajās vērtību ķēdēs ir viens no zemākajiem ES</w:t>
      </w:r>
      <w:r w:rsidRPr="00E70187">
        <w:rPr>
          <w:rFonts w:ascii="Times New Roman" w:eastAsia="Times New Roman" w:hAnsi="Times New Roman" w:cs="Times New Roman"/>
          <w:sz w:val="24"/>
          <w:szCs w:val="24"/>
          <w:vertAlign w:val="superscript"/>
        </w:rPr>
        <w:footnoteReference w:id="97"/>
      </w:r>
      <w:r w:rsidRPr="00D2081C">
        <w:rPr>
          <w:rFonts w:ascii="Times New Roman" w:eastAsia="Times New Roman" w:hAnsi="Times New Roman" w:cs="Times New Roman"/>
          <w:sz w:val="24"/>
          <w:szCs w:val="24"/>
        </w:rPr>
        <w:t>, savukārt dalība</w:t>
      </w:r>
      <w:r>
        <w:rPr>
          <w:rFonts w:ascii="Times New Roman" w:eastAsia="Times New Roman" w:hAnsi="Times New Roman" w:cs="Times New Roman"/>
          <w:sz w:val="24"/>
          <w:szCs w:val="24"/>
        </w:rPr>
        <w:t xml:space="preserve"> </w:t>
      </w:r>
      <w:r w:rsidRPr="00D2081C">
        <w:rPr>
          <w:rFonts w:ascii="Times New Roman" w:eastAsia="Times New Roman" w:hAnsi="Times New Roman" w:cs="Times New Roman"/>
          <w:sz w:val="24"/>
          <w:szCs w:val="24"/>
        </w:rPr>
        <w:t>ES līmeņa pētniecības programmās ir ļoti zema. Kā</w:t>
      </w:r>
      <w:r w:rsidR="00AC4D30">
        <w:rPr>
          <w:rFonts w:ascii="Times New Roman" w:eastAsia="Times New Roman" w:hAnsi="Times New Roman" w:cs="Times New Roman"/>
          <w:sz w:val="24"/>
          <w:szCs w:val="24"/>
        </w:rPr>
        <w:t>,</w:t>
      </w:r>
      <w:r w:rsidRPr="00D2081C">
        <w:rPr>
          <w:rFonts w:ascii="Times New Roman" w:eastAsia="Times New Roman" w:hAnsi="Times New Roman" w:cs="Times New Roman"/>
          <w:sz w:val="24"/>
          <w:szCs w:val="24"/>
        </w:rPr>
        <w:t xml:space="preserve"> piemēram</w:t>
      </w:r>
      <w:r w:rsidR="00AC4D30">
        <w:rPr>
          <w:rFonts w:ascii="Times New Roman" w:eastAsia="Times New Roman" w:hAnsi="Times New Roman" w:cs="Times New Roman"/>
          <w:sz w:val="24"/>
          <w:szCs w:val="24"/>
        </w:rPr>
        <w:t>,</w:t>
      </w:r>
      <w:r w:rsidRPr="00D2081C">
        <w:rPr>
          <w:rFonts w:ascii="Times New Roman" w:eastAsia="Times New Roman" w:hAnsi="Times New Roman" w:cs="Times New Roman"/>
          <w:sz w:val="24"/>
          <w:szCs w:val="24"/>
        </w:rPr>
        <w:t xml:space="preserve"> pro</w:t>
      </w:r>
      <w:r>
        <w:rPr>
          <w:rFonts w:ascii="Times New Roman" w:eastAsia="Times New Roman" w:hAnsi="Times New Roman" w:cs="Times New Roman"/>
          <w:sz w:val="24"/>
          <w:szCs w:val="24"/>
        </w:rPr>
        <w:t>g</w:t>
      </w:r>
      <w:r w:rsidRPr="00D2081C">
        <w:rPr>
          <w:rFonts w:ascii="Times New Roman" w:eastAsia="Times New Roman" w:hAnsi="Times New Roman" w:cs="Times New Roman"/>
          <w:sz w:val="24"/>
          <w:szCs w:val="24"/>
        </w:rPr>
        <w:t>rammas</w:t>
      </w:r>
      <w:r>
        <w:rPr>
          <w:rFonts w:ascii="Times New Roman" w:eastAsia="Times New Roman" w:hAnsi="Times New Roman" w:cs="Times New Roman"/>
          <w:sz w:val="24"/>
          <w:szCs w:val="24"/>
        </w:rPr>
        <w:t xml:space="preserve"> </w:t>
      </w:r>
      <w:r w:rsidR="00AC212B" w:rsidRPr="00BF507F">
        <w:rPr>
          <w:rFonts w:ascii="Times New Roman" w:hAnsi="Times New Roman" w:cs="Times New Roman"/>
          <w:sz w:val="24"/>
          <w:szCs w:val="24"/>
        </w:rPr>
        <w:t>“Apvārsnis 2020” ietvaros no visiem projektiem, kuros dalību ņēma Latvijas organizācijas, tikai 19.8% gadījumu to darīja komersanti (ES vidējais rādītājs – 29.0%; Igaunijai – 32.6%; Lietuvai – 37%)</w:t>
      </w:r>
      <w:r w:rsidR="00AC212B" w:rsidRPr="00930237">
        <w:rPr>
          <w:rStyle w:val="FootnoteReference"/>
          <w:rFonts w:ascii="Times New Roman" w:hAnsi="Times New Roman" w:cs="Times New Roman"/>
          <w:sz w:val="24"/>
          <w:szCs w:val="24"/>
        </w:rPr>
        <w:footnoteReference w:id="98"/>
      </w:r>
      <w:r w:rsidR="00AC212B" w:rsidRPr="001B7FC7">
        <w:rPr>
          <w:rFonts w:ascii="Times New Roman" w:hAnsi="Times New Roman" w:cs="Times New Roman"/>
          <w:sz w:val="24"/>
          <w:szCs w:val="24"/>
        </w:rPr>
        <w:t xml:space="preserve">. </w:t>
      </w:r>
    </w:p>
    <w:p w14:paraId="61DC0507" w14:textId="70004FDE" w:rsidR="00AC212B" w:rsidRPr="00930237" w:rsidRDefault="00181B3A"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Pr="00D2081C">
        <w:rPr>
          <w:rFonts w:ascii="Times New Roman" w:hAnsi="Times New Roman" w:cs="Times New Roman"/>
          <w:sz w:val="24"/>
          <w:szCs w:val="24"/>
        </w:rPr>
        <w:t>Internacionalizācijas kapacitātes stiprināšana uzlabos arī Latvijas uzņēmumu inovāciju kapacitāti, piesaistot papildus līdzekļus P&amp;A</w:t>
      </w:r>
      <w:r w:rsidRPr="00930237">
        <w:rPr>
          <w:rFonts w:ascii="Times New Roman" w:hAnsi="Times New Roman" w:cs="Times New Roman"/>
          <w:sz w:val="24"/>
          <w:szCs w:val="24"/>
        </w:rPr>
        <w:t xml:space="preserve"> </w:t>
      </w:r>
      <w:r w:rsidR="00AC212B" w:rsidRPr="00930237">
        <w:rPr>
          <w:rFonts w:ascii="Times New Roman" w:hAnsi="Times New Roman" w:cs="Times New Roman"/>
          <w:sz w:val="24"/>
          <w:szCs w:val="24"/>
        </w:rPr>
        <w:t xml:space="preserve">veicinās zināšanu pārnesi starptautiskā līmenī, kā arī radīs labvēlīgus apstākļus ciešākai integrācijai globālās vērtību ķēdēs. </w:t>
      </w:r>
    </w:p>
    <w:p w14:paraId="3F60BEBE" w14:textId="0C89E480" w:rsidR="00AC212B" w:rsidRPr="00930237" w:rsidRDefault="00AC212B" w:rsidP="007545BD">
      <w:pPr>
        <w:pStyle w:val="ListParagraph"/>
        <w:numPr>
          <w:ilvl w:val="0"/>
          <w:numId w:val="60"/>
        </w:numPr>
        <w:spacing w:after="0" w:line="240" w:lineRule="auto"/>
        <w:ind w:left="567" w:hanging="567"/>
        <w:jc w:val="both"/>
        <w:rPr>
          <w:rFonts w:ascii="Times New Roman" w:eastAsiaTheme="minorEastAsia" w:hAnsi="Times New Roman" w:cs="Times New Roman"/>
          <w:sz w:val="24"/>
          <w:szCs w:val="24"/>
        </w:rPr>
      </w:pPr>
      <w:r w:rsidRPr="00930237">
        <w:rPr>
          <w:rFonts w:ascii="Times New Roman" w:eastAsia="Times New Roman" w:hAnsi="Times New Roman" w:cs="Times New Roman"/>
          <w:b/>
          <w:bCs/>
          <w:sz w:val="24"/>
          <w:szCs w:val="24"/>
        </w:rPr>
        <w:t xml:space="preserve">Atbalsts uzņēmumu pētniecības un inovācijas aktivitātei: </w:t>
      </w:r>
      <w:r w:rsidRPr="00930237">
        <w:rPr>
          <w:rFonts w:ascii="Times New Roman" w:eastAsia="Times New Roman" w:hAnsi="Times New Roman" w:cs="Times New Roman"/>
          <w:sz w:val="24"/>
          <w:szCs w:val="24"/>
        </w:rPr>
        <w:t>lai veicinātu P&amp;I mērķu sasniegšanu un ņemot vērā finanšu tirgus nepilnību, plānots sniegt finanšu instrumentus uzņēmumu inovatīvu tehnoloģiju attīstībai.</w:t>
      </w:r>
      <w:r w:rsidR="00E42F4E">
        <w:rPr>
          <w:rFonts w:ascii="Times New Roman" w:eastAsia="Times New Roman" w:hAnsi="Times New Roman" w:cs="Times New Roman"/>
          <w:sz w:val="24"/>
          <w:szCs w:val="24"/>
        </w:rPr>
        <w:t xml:space="preserve"> </w:t>
      </w:r>
      <w:r w:rsidR="00E42F4E" w:rsidRPr="00E42F4E">
        <w:rPr>
          <w:rFonts w:ascii="Times New Roman" w:eastAsia="Times New Roman" w:hAnsi="Times New Roman" w:cs="Times New Roman"/>
          <w:sz w:val="24"/>
          <w:szCs w:val="24"/>
        </w:rPr>
        <w:t>Finanšu instrumentu pakalpojumu nepieciešamību pamato tirgus nepilnību analīze finanšu pieejamības jomā</w:t>
      </w:r>
      <w:r w:rsidR="00904B79">
        <w:rPr>
          <w:rFonts w:ascii="Times New Roman" w:eastAsia="Times New Roman" w:hAnsi="Times New Roman" w:cs="Times New Roman"/>
          <w:sz w:val="24"/>
          <w:szCs w:val="24"/>
        </w:rPr>
        <w:t>, t.sk. reģionos</w:t>
      </w:r>
      <w:r w:rsidR="00E42F4E">
        <w:rPr>
          <w:rFonts w:ascii="Times New Roman" w:eastAsia="Times New Roman" w:hAnsi="Times New Roman" w:cs="Times New Roman"/>
          <w:sz w:val="24"/>
          <w:szCs w:val="24"/>
        </w:rPr>
        <w:t>.</w:t>
      </w:r>
    </w:p>
    <w:p w14:paraId="7D82545D" w14:textId="67C105B6"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eastAsia="Times New Roman" w:hAnsi="Times New Roman" w:cs="Times New Roman"/>
          <w:b/>
          <w:sz w:val="24"/>
          <w:szCs w:val="24"/>
        </w:rPr>
        <w:t>Galvenās mērķgrupas:</w:t>
      </w:r>
      <w:r w:rsidRPr="00930237">
        <w:rPr>
          <w:rFonts w:ascii="Times New Roman" w:eastAsia="Times New Roman" w:hAnsi="Times New Roman" w:cs="Times New Roman"/>
          <w:sz w:val="24"/>
          <w:szCs w:val="24"/>
        </w:rPr>
        <w:t xml:space="preserve"> </w:t>
      </w:r>
      <w:r w:rsidRPr="00930237">
        <w:rPr>
          <w:rFonts w:ascii="Times New Roman" w:hAnsi="Times New Roman" w:cs="Times New Roman"/>
          <w:noProof/>
          <w:sz w:val="24"/>
          <w:szCs w:val="24"/>
        </w:rPr>
        <w:t>Mazie un vidējie komersanti,</w:t>
      </w:r>
      <w:r w:rsidR="00181B3A">
        <w:rPr>
          <w:rFonts w:ascii="Times New Roman" w:hAnsi="Times New Roman" w:cs="Times New Roman"/>
          <w:noProof/>
          <w:sz w:val="24"/>
          <w:szCs w:val="24"/>
        </w:rPr>
        <w:t xml:space="preserve"> </w:t>
      </w:r>
      <w:r w:rsidR="00E509CA">
        <w:rPr>
          <w:rFonts w:ascii="Times New Roman" w:hAnsi="Times New Roman" w:cs="Times New Roman"/>
          <w:noProof/>
          <w:sz w:val="24"/>
          <w:szCs w:val="24"/>
        </w:rPr>
        <w:t>vidējās kapitalizācijas sabiedrības (</w:t>
      </w:r>
      <w:r w:rsidR="00181B3A" w:rsidRPr="00BE69D7">
        <w:rPr>
          <w:rFonts w:ascii="Times New Roman" w:hAnsi="Times New Roman" w:cs="Times New Roman"/>
          <w:i/>
          <w:iCs/>
          <w:noProof/>
          <w:sz w:val="24"/>
          <w:szCs w:val="24"/>
        </w:rPr>
        <w:t>mid-caps</w:t>
      </w:r>
      <w:r w:rsidR="00E509CA">
        <w:rPr>
          <w:rFonts w:ascii="Times New Roman" w:hAnsi="Times New Roman" w:cs="Times New Roman"/>
          <w:noProof/>
          <w:sz w:val="24"/>
          <w:szCs w:val="24"/>
        </w:rPr>
        <w:t>, ar darbinieku skaitu līdz 3000)</w:t>
      </w:r>
      <w:r w:rsidR="00181B3A" w:rsidRPr="00D2081C">
        <w:rPr>
          <w:rFonts w:ascii="Times New Roman" w:hAnsi="Times New Roman" w:cs="Times New Roman"/>
          <w:noProof/>
          <w:sz w:val="24"/>
          <w:szCs w:val="24"/>
        </w:rPr>
        <w:t xml:space="preserve">, </w:t>
      </w:r>
      <w:r w:rsidRPr="00930237">
        <w:rPr>
          <w:rFonts w:ascii="Times New Roman" w:hAnsi="Times New Roman" w:cs="Times New Roman"/>
          <w:noProof/>
          <w:sz w:val="24"/>
          <w:szCs w:val="24"/>
        </w:rPr>
        <w:t>lielie saimnieciskās darbības veicēji (t</w:t>
      </w:r>
      <w:r w:rsidR="00F65811">
        <w:rPr>
          <w:rFonts w:ascii="Times New Roman" w:hAnsi="Times New Roman" w:cs="Times New Roman"/>
          <w:noProof/>
          <w:sz w:val="24"/>
          <w:szCs w:val="24"/>
        </w:rPr>
        <w:t>.</w:t>
      </w:r>
      <w:r w:rsidRPr="00930237">
        <w:rPr>
          <w:rFonts w:ascii="Times New Roman" w:hAnsi="Times New Roman" w:cs="Times New Roman"/>
          <w:noProof/>
          <w:sz w:val="24"/>
          <w:szCs w:val="24"/>
        </w:rPr>
        <w:t>sk</w:t>
      </w:r>
      <w:r w:rsidR="00F65811">
        <w:rPr>
          <w:rFonts w:ascii="Times New Roman" w:hAnsi="Times New Roman" w:cs="Times New Roman"/>
          <w:noProof/>
          <w:sz w:val="24"/>
          <w:szCs w:val="24"/>
        </w:rPr>
        <w:t>.</w:t>
      </w:r>
      <w:r w:rsidRPr="00930237">
        <w:rPr>
          <w:rFonts w:ascii="Times New Roman" w:hAnsi="Times New Roman" w:cs="Times New Roman"/>
          <w:noProof/>
          <w:sz w:val="24"/>
          <w:szCs w:val="24"/>
        </w:rPr>
        <w:t xml:space="preserve"> pašvaldību un valsts kapitālsabiedrības),</w:t>
      </w:r>
      <w:r w:rsidR="00E42F4E" w:rsidRPr="00E42F4E">
        <w:rPr>
          <w:rFonts w:ascii="Times New Roman" w:hAnsi="Times New Roman" w:cs="Times New Roman"/>
          <w:noProof/>
          <w:sz w:val="24"/>
          <w:szCs w:val="24"/>
        </w:rPr>
        <w:t>inovāciju</w:t>
      </w:r>
      <w:r w:rsidR="00181B3A">
        <w:rPr>
          <w:rFonts w:ascii="Times New Roman" w:hAnsi="Times New Roman" w:cs="Times New Roman"/>
          <w:noProof/>
          <w:sz w:val="24"/>
          <w:szCs w:val="24"/>
        </w:rPr>
        <w:t xml:space="preserve"> </w:t>
      </w:r>
      <w:r w:rsidR="00181B3A" w:rsidRPr="00D2081C">
        <w:rPr>
          <w:rFonts w:ascii="Times New Roman" w:hAnsi="Times New Roman" w:cs="Times New Roman"/>
          <w:noProof/>
          <w:sz w:val="24"/>
          <w:szCs w:val="24"/>
        </w:rPr>
        <w:t>klasteri, par inovācijas politikas izstrādi un īstenošanu atbildīgās iestādes,</w:t>
      </w:r>
      <w:r w:rsidR="00E42F4E" w:rsidRPr="00E42F4E">
        <w:rPr>
          <w:rFonts w:ascii="Times New Roman" w:hAnsi="Times New Roman" w:cs="Times New Roman"/>
          <w:noProof/>
          <w:sz w:val="24"/>
          <w:szCs w:val="24"/>
        </w:rPr>
        <w:t xml:space="preserve"> zinātniskās un pētniecības institūcijas, tehnoloģiju pārneses institūcijas</w:t>
      </w:r>
      <w:r w:rsidRPr="00930237">
        <w:rPr>
          <w:rFonts w:ascii="Times New Roman" w:hAnsi="Times New Roman" w:cs="Times New Roman"/>
          <w:noProof/>
          <w:sz w:val="24"/>
          <w:szCs w:val="24"/>
        </w:rPr>
        <w:t>.</w:t>
      </w:r>
    </w:p>
    <w:p w14:paraId="0BEB6FB8" w14:textId="1D44D01B"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noProof/>
          <w:sz w:val="24"/>
          <w:szCs w:val="24"/>
        </w:rPr>
        <w:t xml:space="preserve">Darbības, kas nodrošina vienlīdzību, iekļaušanu un nediskrimināciju: </w:t>
      </w:r>
      <w:r w:rsidRPr="00930237">
        <w:rPr>
          <w:rFonts w:ascii="Times New Roman" w:hAnsi="Times New Roman" w:cs="Times New Roman"/>
          <w:sz w:val="24"/>
          <w:szCs w:val="24"/>
        </w:rPr>
        <w:t xml:space="preserve">Uzņēmējdarbības un inovāciju atbalsta programmās tiks piemēroti vispārējie </w:t>
      </w:r>
      <w:r w:rsidR="00601AA2">
        <w:rPr>
          <w:rFonts w:ascii="Times New Roman" w:hAnsi="Times New Roman" w:cs="Times New Roman"/>
          <w:sz w:val="24"/>
          <w:szCs w:val="24"/>
        </w:rPr>
        <w:t>vienlīdzīgu iespēju</w:t>
      </w:r>
      <w:r w:rsidRPr="00930237">
        <w:rPr>
          <w:rFonts w:ascii="Times New Roman" w:hAnsi="Times New Roman" w:cs="Times New Roman"/>
          <w:sz w:val="24"/>
          <w:szCs w:val="24"/>
        </w:rPr>
        <w:t xml:space="preserve"> principi. Visi finanšu instrumenti un plānotās uzņēmējdarbības atbalsta programmas ir vērstas uz biznesa projektu īstenošanu, atbilstoši to sagatavotības pakāpei – no idejas līdz biznesa paplašināšanai un izejai ārvalstu tirgos. Atbalsts būs pieejams dzīvotspējīgu un pamatotu biznesa plānu īstenošanai. </w:t>
      </w:r>
    </w:p>
    <w:p w14:paraId="6229AA1A" w14:textId="3E00C779"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noProof/>
          <w:sz w:val="24"/>
          <w:szCs w:val="24"/>
        </w:rPr>
        <w:t xml:space="preserve">Mērķteritorijas, t. sk. plānotais teritoriālo rīku izmantojums: </w:t>
      </w:r>
      <w:r w:rsidRPr="00930237">
        <w:rPr>
          <w:rFonts w:ascii="Times New Roman" w:eastAsia="Times New Roman" w:hAnsi="Times New Roman" w:cs="Times New Roman"/>
          <w:sz w:val="24"/>
          <w:szCs w:val="24"/>
        </w:rPr>
        <w:t>Atbalsts tiks sniegts bez teritoriāliem ierobežojumiem</w:t>
      </w:r>
      <w:r w:rsidR="00EC0A68">
        <w:rPr>
          <w:rFonts w:ascii="Times New Roman" w:eastAsia="Times New Roman" w:hAnsi="Times New Roman" w:cs="Times New Roman"/>
          <w:sz w:val="24"/>
          <w:szCs w:val="24"/>
        </w:rPr>
        <w:t>, vienlaikus, ja attiecināms, atbalsts tiks balstīts uz reģionu</w:t>
      </w:r>
      <w:r w:rsidR="00C34225">
        <w:rPr>
          <w:rFonts w:ascii="Times New Roman" w:eastAsia="Times New Roman" w:hAnsi="Times New Roman" w:cs="Times New Roman"/>
          <w:sz w:val="24"/>
          <w:szCs w:val="24"/>
        </w:rPr>
        <w:t xml:space="preserve"> un pašvaldību attīstības plānošanas dokumentiem, nodrošinot sasaisti ar ieguldījumiem uzņēmējdarbības atbalsta infrastruktūras attīstībai reģionos</w:t>
      </w:r>
      <w:r w:rsidR="00C34225" w:rsidRPr="6A4C46FA">
        <w:rPr>
          <w:rFonts w:ascii="Times New Roman" w:eastAsia="Times New Roman" w:hAnsi="Times New Roman" w:cs="Times New Roman"/>
          <w:sz w:val="24"/>
          <w:szCs w:val="24"/>
        </w:rPr>
        <w:t xml:space="preserve">. </w:t>
      </w:r>
      <w:r w:rsidR="00B63611" w:rsidRPr="678DA801">
        <w:rPr>
          <w:rFonts w:ascii="Times New Roman" w:eastAsia="Times New Roman" w:hAnsi="Times New Roman" w:cs="Times New Roman"/>
          <w:sz w:val="24"/>
          <w:szCs w:val="24"/>
        </w:rPr>
        <w:t xml:space="preserve"> </w:t>
      </w:r>
    </w:p>
    <w:p w14:paraId="736F937D" w14:textId="0C079B2D"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noProof/>
          <w:sz w:val="24"/>
          <w:szCs w:val="24"/>
        </w:rPr>
        <w:t xml:space="preserve">Starpreģionālās, pārrobežu un transnacionālās darbības: </w:t>
      </w:r>
      <w:r w:rsidRPr="00930237">
        <w:rPr>
          <w:rFonts w:ascii="Times New Roman" w:eastAsia="Times New Roman" w:hAnsi="Times New Roman" w:cs="Times New Roman"/>
          <w:sz w:val="24"/>
          <w:szCs w:val="24"/>
        </w:rPr>
        <w:t>Pasākuma</w:t>
      </w:r>
      <w:r w:rsidR="00E42F4E">
        <w:rPr>
          <w:rFonts w:ascii="Times New Roman" w:eastAsia="Times New Roman" w:hAnsi="Times New Roman" w:cs="Times New Roman"/>
          <w:sz w:val="24"/>
          <w:szCs w:val="24"/>
        </w:rPr>
        <w:t xml:space="preserve"> </w:t>
      </w:r>
      <w:r w:rsidR="00E42F4E" w:rsidRPr="00E42F4E">
        <w:rPr>
          <w:rFonts w:ascii="Times New Roman" w:eastAsia="Times New Roman" w:hAnsi="Times New Roman" w:cs="Times New Roman"/>
          <w:sz w:val="24"/>
          <w:szCs w:val="24"/>
        </w:rPr>
        <w:t xml:space="preserve">“Atbalsts komersantiem jaunu produktu attīstībai un </w:t>
      </w:r>
      <w:r w:rsidR="00DB0DB5">
        <w:rPr>
          <w:rFonts w:ascii="Times New Roman" w:eastAsia="Times New Roman" w:hAnsi="Times New Roman" w:cs="Times New Roman"/>
          <w:sz w:val="24"/>
          <w:szCs w:val="24"/>
        </w:rPr>
        <w:t>internacionalizācijai</w:t>
      </w:r>
      <w:r w:rsidR="00DB0DB5" w:rsidRPr="678DA801">
        <w:rPr>
          <w:rFonts w:ascii="Times New Roman" w:eastAsia="Times New Roman" w:hAnsi="Times New Roman" w:cs="Times New Roman"/>
          <w:sz w:val="24"/>
          <w:szCs w:val="24"/>
        </w:rPr>
        <w:t xml:space="preserve">” </w:t>
      </w:r>
      <w:r w:rsidRPr="00930237">
        <w:rPr>
          <w:rFonts w:ascii="Times New Roman" w:eastAsia="Times New Roman" w:hAnsi="Times New Roman" w:cs="Times New Roman"/>
          <w:sz w:val="24"/>
          <w:szCs w:val="24"/>
        </w:rPr>
        <w:t>ietvaros tiks veicināta Latvijas komersantu starpreģionālā sadarbība ES ietvaros, kā arī tiks veicināta starpreģionālā pieredzes apmaiņa.</w:t>
      </w:r>
    </w:p>
    <w:p w14:paraId="1A7A1FC5" w14:textId="07535CDF" w:rsidR="00AC212B" w:rsidRPr="00930237" w:rsidRDefault="00DB0DB5" w:rsidP="007545BD">
      <w:pPr>
        <w:pStyle w:val="ListParagraph"/>
        <w:numPr>
          <w:ilvl w:val="0"/>
          <w:numId w:val="60"/>
        </w:numPr>
        <w:spacing w:after="0" w:line="240" w:lineRule="auto"/>
        <w:ind w:left="567" w:hanging="567"/>
        <w:jc w:val="both"/>
        <w:rPr>
          <w:rFonts w:ascii="Times New Roman" w:eastAsia="Times New Roman" w:hAnsi="Times New Roman" w:cs="Times New Roman"/>
          <w:sz w:val="24"/>
          <w:szCs w:val="24"/>
        </w:rPr>
      </w:pPr>
      <w:r>
        <w:rPr>
          <w:rFonts w:ascii="Times New Roman" w:hAnsi="Times New Roman" w:cs="Times New Roman"/>
          <w:b/>
          <w:noProof/>
          <w:sz w:val="24"/>
          <w:szCs w:val="24"/>
        </w:rPr>
        <w:t>F</w:t>
      </w:r>
      <w:r w:rsidR="00AC212B" w:rsidRPr="00930237">
        <w:rPr>
          <w:rFonts w:ascii="Times New Roman" w:hAnsi="Times New Roman" w:cs="Times New Roman"/>
          <w:b/>
          <w:noProof/>
          <w:sz w:val="24"/>
          <w:szCs w:val="24"/>
        </w:rPr>
        <w:t xml:space="preserve">inanšu instrumenti: </w:t>
      </w:r>
      <w:r w:rsidR="00AC212B" w:rsidRPr="00930237">
        <w:rPr>
          <w:rFonts w:ascii="Times New Roman" w:eastAsia="Times New Roman" w:hAnsi="Times New Roman" w:cs="Times New Roman"/>
          <w:sz w:val="24"/>
          <w:szCs w:val="24"/>
        </w:rPr>
        <w:t xml:space="preserve">Lai nodrošinātu uzņēmumu P&amp;A projektu īstenošanu, tiks nodrošināti </w:t>
      </w:r>
      <w:r w:rsidR="00DC325B" w:rsidRPr="00DC325B">
        <w:rPr>
          <w:rFonts w:ascii="Times New Roman" w:eastAsia="Times New Roman" w:hAnsi="Times New Roman" w:cs="Times New Roman"/>
          <w:sz w:val="24"/>
          <w:szCs w:val="24"/>
        </w:rPr>
        <w:t>granti jaunu produktu attīstībai,</w:t>
      </w:r>
      <w:r w:rsidR="00DC325B">
        <w:rPr>
          <w:rFonts w:ascii="Times New Roman" w:eastAsia="Times New Roman" w:hAnsi="Times New Roman" w:cs="Times New Roman"/>
          <w:sz w:val="24"/>
          <w:szCs w:val="24"/>
        </w:rPr>
        <w:t xml:space="preserve"> </w:t>
      </w:r>
      <w:r w:rsidR="00AC212B" w:rsidRPr="00930237">
        <w:rPr>
          <w:rFonts w:ascii="Times New Roman" w:eastAsia="Times New Roman" w:hAnsi="Times New Roman" w:cs="Times New Roman"/>
          <w:sz w:val="24"/>
          <w:szCs w:val="24"/>
        </w:rPr>
        <w:t xml:space="preserve">aizdevumi jaunu iekārtu un tehnoloģiju ieviešanai un tehnoloģiju pārnešanai, kombinētie aizdevumi inovatīvām iekārtām, aizdevumi P&amp;A darbībām (tehnoloģiju attīstībai, prototipēšanai) un aizdevumi modernu tehnoloģiju pārnešanai. Inovatīvu iekārtu ieviešanas projektiem plānots sniegt kombinēto aizdevumu, kas paredz pamatsummas dzēšanu līdz </w:t>
      </w:r>
      <w:r w:rsidR="00DC325B" w:rsidRPr="00DC325B">
        <w:rPr>
          <w:rFonts w:ascii="Times New Roman" w:eastAsia="Times New Roman" w:hAnsi="Times New Roman" w:cs="Times New Roman"/>
          <w:sz w:val="24"/>
          <w:szCs w:val="24"/>
        </w:rPr>
        <w:t>noteiktam apmēram</w:t>
      </w:r>
      <w:r w:rsidR="00AC212B" w:rsidRPr="00930237">
        <w:rPr>
          <w:rFonts w:ascii="Times New Roman" w:eastAsia="Times New Roman" w:hAnsi="Times New Roman" w:cs="Times New Roman"/>
          <w:sz w:val="24"/>
          <w:szCs w:val="24"/>
        </w:rPr>
        <w:t xml:space="preserve"> no aizdevuma summas vai % likmju subsīdij</w:t>
      </w:r>
      <w:r w:rsidR="00DC325B">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w:t>
      </w:r>
      <w:r w:rsidRPr="678DA801">
        <w:rPr>
          <w:rFonts w:ascii="Times New Roman" w:eastAsia="Times New Roman" w:hAnsi="Times New Roman" w:cs="Times New Roman"/>
          <w:sz w:val="24"/>
          <w:szCs w:val="24"/>
        </w:rPr>
        <w:t>(risinājums tiks lemts atbalsta programmas izstrādes stadijā).</w:t>
      </w:r>
      <w:r w:rsidR="00AC212B" w:rsidRPr="00930237">
        <w:rPr>
          <w:rFonts w:ascii="Times New Roman" w:eastAsia="Times New Roman" w:hAnsi="Times New Roman" w:cs="Times New Roman"/>
          <w:sz w:val="24"/>
          <w:szCs w:val="24"/>
        </w:rPr>
        <w:t xml:space="preserve"> </w:t>
      </w:r>
      <w:r w:rsidR="00DC325B" w:rsidRPr="00DC325B">
        <w:rPr>
          <w:rFonts w:ascii="Times New Roman" w:eastAsia="Times New Roman" w:hAnsi="Times New Roman" w:cs="Times New Roman"/>
          <w:sz w:val="24"/>
          <w:szCs w:val="24"/>
        </w:rPr>
        <w:t>Finanšu instrumentu pakalpojumu nepieciešamību pamato tirgus nepilnību analīze finanšu pieejamības jomā</w:t>
      </w:r>
      <w:r w:rsidR="000343B5">
        <w:rPr>
          <w:rFonts w:ascii="Times New Roman" w:eastAsia="Times New Roman" w:hAnsi="Times New Roman" w:cs="Times New Roman"/>
          <w:sz w:val="24"/>
          <w:szCs w:val="24"/>
        </w:rPr>
        <w:t>, t.sk. reģionos</w:t>
      </w:r>
      <w:r w:rsidR="00DC325B" w:rsidRPr="00DC325B">
        <w:rPr>
          <w:rFonts w:ascii="Times New Roman" w:eastAsia="Times New Roman" w:hAnsi="Times New Roman" w:cs="Times New Roman"/>
          <w:sz w:val="24"/>
          <w:szCs w:val="24"/>
        </w:rPr>
        <w:t>.</w:t>
      </w:r>
      <w:r w:rsidR="00DC325B">
        <w:rPr>
          <w:rFonts w:ascii="Times New Roman" w:eastAsia="Times New Roman" w:hAnsi="Times New Roman" w:cs="Times New Roman"/>
          <w:sz w:val="24"/>
          <w:szCs w:val="24"/>
        </w:rPr>
        <w:t xml:space="preserve"> </w:t>
      </w:r>
      <w:r w:rsidR="00AC212B" w:rsidRPr="00930237">
        <w:rPr>
          <w:rFonts w:ascii="Times New Roman" w:eastAsia="Times New Roman" w:hAnsi="Times New Roman" w:cs="Times New Roman"/>
          <w:sz w:val="24"/>
          <w:szCs w:val="24"/>
        </w:rPr>
        <w:t xml:space="preserve">Finanšu instrumentu valsts atbalsta pasākumu līdzīgi kā 2014.-2020.gada </w:t>
      </w:r>
      <w:r w:rsidR="00DC325B" w:rsidRPr="00930237">
        <w:rPr>
          <w:rFonts w:ascii="Times New Roman" w:eastAsia="Times New Roman" w:hAnsi="Times New Roman" w:cs="Times New Roman"/>
          <w:sz w:val="24"/>
          <w:szCs w:val="24"/>
        </w:rPr>
        <w:t>plānošanas</w:t>
      </w:r>
      <w:r w:rsidR="00AC212B" w:rsidRPr="00930237">
        <w:rPr>
          <w:rFonts w:ascii="Times New Roman" w:eastAsia="Times New Roman" w:hAnsi="Times New Roman" w:cs="Times New Roman"/>
          <w:sz w:val="24"/>
          <w:szCs w:val="24"/>
        </w:rPr>
        <w:t xml:space="preserve"> periodā īstenos ALTUM</w:t>
      </w:r>
      <w:r w:rsidR="000343B5" w:rsidRPr="000343B5">
        <w:rPr>
          <w:rFonts w:ascii="Times New Roman" w:eastAsia="Times New Roman" w:hAnsi="Times New Roman" w:cs="Times New Roman"/>
          <w:sz w:val="24"/>
          <w:szCs w:val="24"/>
        </w:rPr>
        <w:t>, t.sk. piemērojot teritoriāli diferencētus atbalsta pasākumus</w:t>
      </w:r>
      <w:r w:rsidR="00AC212B" w:rsidRPr="00930237">
        <w:rPr>
          <w:rFonts w:ascii="Times New Roman" w:eastAsia="Times New Roman" w:hAnsi="Times New Roman" w:cs="Times New Roman"/>
          <w:sz w:val="24"/>
          <w:szCs w:val="24"/>
        </w:rPr>
        <w:t>.</w:t>
      </w:r>
    </w:p>
    <w:p w14:paraId="5A2177B2" w14:textId="77777777" w:rsidR="00AC212B" w:rsidRPr="00930237" w:rsidRDefault="00AC212B" w:rsidP="00AC212B">
      <w:pPr>
        <w:spacing w:before="0" w:after="0"/>
        <w:rPr>
          <w:b/>
          <w:noProof/>
          <w:szCs w:val="24"/>
        </w:rPr>
      </w:pPr>
    </w:p>
    <w:p w14:paraId="50F9CB2B" w14:textId="77777777" w:rsidR="00AC212B" w:rsidRPr="00930237" w:rsidRDefault="00AC212B" w:rsidP="00AC212B">
      <w:pPr>
        <w:spacing w:before="0" w:after="0"/>
        <w:rPr>
          <w:b/>
          <w:noProof/>
          <w:szCs w:val="24"/>
        </w:rPr>
      </w:pPr>
    </w:p>
    <w:p w14:paraId="19F412DB" w14:textId="25F2556F" w:rsidR="00AC212B" w:rsidRPr="00D555D5" w:rsidRDefault="00AC212B" w:rsidP="00AC212B">
      <w:pPr>
        <w:pStyle w:val="Heading4"/>
        <w:numPr>
          <w:ilvl w:val="0"/>
          <w:numId w:val="0"/>
        </w:numPr>
        <w:shd w:val="clear" w:color="auto" w:fill="FBE4D5" w:themeFill="accent2" w:themeFillTint="33"/>
        <w:spacing w:after="0"/>
        <w:rPr>
          <w:b/>
          <w:noProof/>
          <w:szCs w:val="24"/>
        </w:rPr>
      </w:pPr>
      <w:r w:rsidRPr="00930237">
        <w:rPr>
          <w:b/>
          <w:noProof/>
          <w:szCs w:val="24"/>
        </w:rPr>
        <w:t xml:space="preserve">1.2.2. </w:t>
      </w:r>
      <w:r w:rsidRPr="00D555D5">
        <w:rPr>
          <w:b/>
          <w:noProof/>
          <w:szCs w:val="24"/>
        </w:rPr>
        <w:t xml:space="preserve">SAM “Izmantot digitalizācijas priekšrocības </w:t>
      </w:r>
      <w:r w:rsidR="00364645" w:rsidRPr="00D555D5">
        <w:rPr>
          <w:b/>
          <w:bCs/>
          <w:szCs w:val="24"/>
          <w:lang w:eastAsia="en-US"/>
        </w:rPr>
        <w:t>uzņēmējdarbības attīstībai</w:t>
      </w:r>
      <w:r w:rsidRPr="00D555D5">
        <w:rPr>
          <w:b/>
          <w:noProof/>
          <w:szCs w:val="24"/>
        </w:rPr>
        <w:t>”</w:t>
      </w:r>
    </w:p>
    <w:p w14:paraId="3D023547" w14:textId="15524877" w:rsidR="00AC212B" w:rsidRPr="00D13CBC" w:rsidRDefault="00AC212B" w:rsidP="007545BD">
      <w:pPr>
        <w:pStyle w:val="Normal1"/>
        <w:numPr>
          <w:ilvl w:val="0"/>
          <w:numId w:val="60"/>
        </w:numPr>
        <w:spacing w:line="240" w:lineRule="auto"/>
        <w:ind w:left="567" w:hanging="567"/>
        <w:jc w:val="both"/>
        <w:rPr>
          <w:rFonts w:ascii="Times New Roman" w:eastAsia="Times New Roman" w:hAnsi="Times New Roman" w:cs="Times New Roman"/>
          <w:noProof/>
          <w:sz w:val="24"/>
          <w:szCs w:val="24"/>
        </w:rPr>
      </w:pPr>
      <w:r w:rsidRPr="00930237">
        <w:rPr>
          <w:rFonts w:ascii="Times New Roman" w:hAnsi="Times New Roman" w:cs="Times New Roman"/>
          <w:b/>
          <w:sz w:val="24"/>
          <w:szCs w:val="24"/>
        </w:rPr>
        <w:t>Atbalstāmās darbības:</w:t>
      </w:r>
      <w:r w:rsidRPr="00930237">
        <w:rPr>
          <w:rFonts w:ascii="Times New Roman" w:eastAsia="Times New Roman" w:hAnsi="Times New Roman" w:cs="Times New Roman"/>
          <w:b/>
          <w:sz w:val="24"/>
          <w:szCs w:val="24"/>
        </w:rPr>
        <w:t xml:space="preserve"> </w:t>
      </w:r>
      <w:r w:rsidRPr="00581F62">
        <w:rPr>
          <w:rFonts w:ascii="Times New Roman" w:eastAsia="Times New Roman" w:hAnsi="Times New Roman" w:cs="Times New Roman"/>
          <w:b/>
          <w:sz w:val="24"/>
          <w:szCs w:val="24"/>
        </w:rPr>
        <w:t xml:space="preserve">Atbalsts uzņēmumiem dažādās digitalizācijas pakāpēs. </w:t>
      </w:r>
      <w:r w:rsidRPr="00581F62">
        <w:rPr>
          <w:rFonts w:ascii="Times New Roman" w:eastAsia="Times New Roman" w:hAnsi="Times New Roman" w:cs="Times New Roman"/>
          <w:sz w:val="24"/>
          <w:szCs w:val="24"/>
        </w:rPr>
        <w:t>Lai 2027.gadā sasniegtu izvirzīto mērķi 17.vieta DESI indeksa rādītājā “Digitālo tehnoloģiju integrācija”, ir nepieciešams konce</w:t>
      </w:r>
      <w:r w:rsidRPr="00895282">
        <w:rPr>
          <w:rFonts w:ascii="Times New Roman" w:eastAsia="Times New Roman" w:hAnsi="Times New Roman" w:cs="Times New Roman"/>
          <w:sz w:val="24"/>
          <w:szCs w:val="24"/>
        </w:rPr>
        <w:t>ntrēties uz uzņēmumu, īpaši MV</w:t>
      </w:r>
      <w:r w:rsidR="006235AC">
        <w:rPr>
          <w:rFonts w:ascii="Times New Roman" w:eastAsia="Times New Roman" w:hAnsi="Times New Roman" w:cs="Times New Roman"/>
          <w:sz w:val="24"/>
          <w:szCs w:val="24"/>
        </w:rPr>
        <w:t>U</w:t>
      </w:r>
      <w:r w:rsidRPr="00D13CBC">
        <w:rPr>
          <w:rFonts w:ascii="Times New Roman" w:eastAsia="Times New Roman" w:hAnsi="Times New Roman" w:cs="Times New Roman"/>
          <w:sz w:val="24"/>
          <w:szCs w:val="24"/>
        </w:rPr>
        <w:t xml:space="preserve">, izpratnes veicināšanu par digitalizācijas pozitīvo ietekmi uz uzņēmuma ilgtspēju un produktivitāti, konsultāciju pieejamību visā Latvijas teritorijā un tehnoloģiju testēšanu un ieviešanas vadību uzņēmumiem ar dažādu digitalizācijas līmeni. </w:t>
      </w:r>
    </w:p>
    <w:p w14:paraId="18C2B69E" w14:textId="7795A710" w:rsidR="00AC212B" w:rsidRPr="00930237" w:rsidRDefault="00AC212B" w:rsidP="007545BD">
      <w:pPr>
        <w:pStyle w:val="Normal1"/>
        <w:numPr>
          <w:ilvl w:val="0"/>
          <w:numId w:val="60"/>
        </w:numPr>
        <w:spacing w:line="240" w:lineRule="auto"/>
        <w:ind w:left="567" w:hanging="567"/>
        <w:jc w:val="both"/>
        <w:rPr>
          <w:rFonts w:ascii="Times New Roman" w:eastAsia="Times New Roman" w:hAnsi="Times New Roman" w:cs="Times New Roman"/>
          <w:noProof/>
          <w:sz w:val="24"/>
          <w:szCs w:val="24"/>
        </w:rPr>
      </w:pPr>
      <w:r w:rsidRPr="00930237">
        <w:rPr>
          <w:rFonts w:ascii="Times New Roman" w:eastAsia="Times New Roman" w:hAnsi="Times New Roman" w:cs="Times New Roman"/>
          <w:noProof/>
          <w:sz w:val="24"/>
          <w:szCs w:val="24"/>
        </w:rPr>
        <w:t>ES tikai katrs piektais MV</w:t>
      </w:r>
      <w:r w:rsidR="006235AC">
        <w:rPr>
          <w:rFonts w:ascii="Times New Roman" w:eastAsia="Times New Roman" w:hAnsi="Times New Roman" w:cs="Times New Roman"/>
          <w:noProof/>
          <w:sz w:val="24"/>
          <w:szCs w:val="24"/>
        </w:rPr>
        <w:t>U</w:t>
      </w:r>
      <w:r w:rsidRPr="00930237">
        <w:rPr>
          <w:rFonts w:ascii="Times New Roman" w:eastAsia="Times New Roman" w:hAnsi="Times New Roman" w:cs="Times New Roman"/>
          <w:noProof/>
          <w:sz w:val="24"/>
          <w:szCs w:val="24"/>
        </w:rPr>
        <w:t xml:space="preserve"> ir ar augstu digitalizācijas brieduma pakāpi, Latvijā ir 99.4% MV</w:t>
      </w:r>
      <w:r w:rsidR="006235AC">
        <w:rPr>
          <w:rFonts w:ascii="Times New Roman" w:eastAsia="Times New Roman" w:hAnsi="Times New Roman" w:cs="Times New Roman"/>
          <w:noProof/>
          <w:sz w:val="24"/>
          <w:szCs w:val="24"/>
        </w:rPr>
        <w:t>U</w:t>
      </w:r>
      <w:r w:rsidRPr="00930237">
        <w:rPr>
          <w:rFonts w:ascii="Times New Roman" w:eastAsia="Times New Roman" w:hAnsi="Times New Roman" w:cs="Times New Roman"/>
          <w:noProof/>
          <w:sz w:val="24"/>
          <w:szCs w:val="24"/>
        </w:rPr>
        <w:t xml:space="preserve"> un viens no sliktākajiem rādītājiem Eiropā attiecībā uz digitālo tehnoloģiju integrāciju uzņēmumos (DESI indekss, 24.vieta). Līdz ar to, tiks veidota komunikācijas stratēģija ar ikgadēju aktivitāšu plānu, ietverot tādās aktivitātes kā mārketings, izglītojoši pasākumi, sociālo tīklu satura veidošana, labās prakses pārneses veicināšana. </w:t>
      </w:r>
    </w:p>
    <w:p w14:paraId="00E48C5E" w14:textId="19360ED0" w:rsidR="00AC212B" w:rsidRPr="00930237" w:rsidRDefault="00AC212B" w:rsidP="007545BD">
      <w:pPr>
        <w:pStyle w:val="Normal1"/>
        <w:numPr>
          <w:ilvl w:val="0"/>
          <w:numId w:val="60"/>
        </w:numPr>
        <w:spacing w:line="240" w:lineRule="auto"/>
        <w:ind w:left="567" w:hanging="567"/>
        <w:jc w:val="both"/>
        <w:rPr>
          <w:rFonts w:ascii="Times New Roman" w:eastAsia="Times New Roman" w:hAnsi="Times New Roman" w:cs="Times New Roman"/>
          <w:noProof/>
          <w:sz w:val="24"/>
          <w:szCs w:val="24"/>
        </w:rPr>
      </w:pPr>
      <w:r w:rsidRPr="00930237">
        <w:rPr>
          <w:rFonts w:ascii="Times New Roman" w:eastAsia="Times New Roman" w:hAnsi="Times New Roman" w:cs="Times New Roman"/>
          <w:noProof/>
          <w:sz w:val="24"/>
          <w:szCs w:val="24"/>
        </w:rPr>
        <w:t>Lai nodrošinātu jebkādu investīciju (piem. apmācību granti, finanšu instrumenti) efektīvu un jēgpilnu izmantošanu, uzņēmumiem tiks piedāvāts veikt digitālā brieduma novērtējumu, kas tiks nodrošināts ar  kvalificētu digitālo aģentu starpniecību visā Latvijas teritorijā vai uzņēmumam griežoties pie</w:t>
      </w:r>
      <w:r w:rsidRPr="00930237">
        <w:rPr>
          <w:rFonts w:ascii="Times New Roman" w:hAnsi="Times New Roman" w:cs="Times New Roman"/>
          <w:sz w:val="24"/>
          <w:szCs w:val="24"/>
        </w:rPr>
        <w:t xml:space="preserve"> </w:t>
      </w:r>
      <w:r w:rsidRPr="00930237">
        <w:rPr>
          <w:rFonts w:ascii="Times New Roman" w:eastAsia="Times New Roman" w:hAnsi="Times New Roman" w:cs="Times New Roman"/>
          <w:noProof/>
          <w:sz w:val="24"/>
          <w:szCs w:val="24"/>
        </w:rPr>
        <w:t>DIC</w:t>
      </w:r>
      <w:r w:rsidR="000343B5" w:rsidRPr="000343B5">
        <w:t xml:space="preserve"> </w:t>
      </w:r>
      <w:r w:rsidR="000343B5" w:rsidRPr="000343B5">
        <w:rPr>
          <w:rFonts w:ascii="Times New Roman" w:eastAsia="Times New Roman" w:hAnsi="Times New Roman" w:cs="Times New Roman"/>
          <w:noProof/>
          <w:sz w:val="24"/>
          <w:szCs w:val="24"/>
        </w:rPr>
        <w:t>vai reģionu uzņēmējdarbības centru</w:t>
      </w:r>
      <w:r w:rsidRPr="00930237">
        <w:rPr>
          <w:rFonts w:ascii="Times New Roman" w:eastAsia="Times New Roman" w:hAnsi="Times New Roman" w:cs="Times New Roman"/>
          <w:noProof/>
          <w:sz w:val="24"/>
          <w:szCs w:val="24"/>
        </w:rPr>
        <w:t xml:space="preserve"> ekspertiem. DIC nodrošinās satura sagatavošanu un apmācības</w:t>
      </w:r>
      <w:r w:rsidRPr="00930237">
        <w:rPr>
          <w:rFonts w:ascii="Times New Roman" w:hAnsi="Times New Roman" w:cs="Times New Roman"/>
          <w:sz w:val="24"/>
          <w:szCs w:val="24"/>
        </w:rPr>
        <w:t xml:space="preserve"> </w:t>
      </w:r>
      <w:r w:rsidRPr="00930237">
        <w:rPr>
          <w:rFonts w:ascii="Times New Roman" w:eastAsia="Times New Roman" w:hAnsi="Times New Roman" w:cs="Times New Roman"/>
          <w:noProof/>
          <w:sz w:val="24"/>
          <w:szCs w:val="24"/>
        </w:rPr>
        <w:t xml:space="preserve">digitālajiem aģentiem, t.sk. tiks organizēta digitālo aģentu apmācība un pieejamība reģionos. Digitālo aģentu un DIC pamatmērķis ir veikt pirmreizējo uzņēmumu novērtējumu, kā rezultātā tiks piedāvāti standartizēti risinājumi, vai sniegta iespēja izstrādāt personalizētu digitālās transformācijas ceļa karti, kas būs atkarīga no uzņēmuma izmēra un digitālā brieduma līmeņa. Piedāvātie risinājumi (personalizēti vai standarta) nodrošinās mērķtiecīgu rīcības plānu, iekļaujot apmācību un sadarbību ar vietēja mēroga jomas ekspertiem, tālākas sadarbības procesā ar Digitālo inovāciju centru un tā pieejamajiem ekspertiem, kā arī izmantojot pieejamos finanšu instrumentus investēt uzņēmuma digitālajā infrastruktūrā. </w:t>
      </w:r>
    </w:p>
    <w:p w14:paraId="5AE991C4" w14:textId="7ECFEE96" w:rsidR="00AC212B" w:rsidRPr="00930237" w:rsidRDefault="00AC212B" w:rsidP="007545BD">
      <w:pPr>
        <w:pStyle w:val="Normal1"/>
        <w:numPr>
          <w:ilvl w:val="0"/>
          <w:numId w:val="60"/>
        </w:numPr>
        <w:spacing w:line="240" w:lineRule="auto"/>
        <w:ind w:left="567" w:hanging="567"/>
        <w:jc w:val="both"/>
        <w:rPr>
          <w:rFonts w:ascii="Times New Roman" w:eastAsia="Times New Roman" w:hAnsi="Times New Roman" w:cs="Times New Roman"/>
          <w:noProof/>
          <w:sz w:val="24"/>
          <w:szCs w:val="24"/>
        </w:rPr>
      </w:pPr>
      <w:bookmarkStart w:id="18" w:name="_Hlk64467774"/>
      <w:bookmarkStart w:id="19" w:name="_Hlk61620107"/>
      <w:r w:rsidRPr="00930237">
        <w:rPr>
          <w:rFonts w:ascii="Times New Roman" w:eastAsia="Times New Roman" w:hAnsi="Times New Roman" w:cs="Times New Roman"/>
          <w:noProof/>
          <w:sz w:val="24"/>
          <w:szCs w:val="24"/>
        </w:rPr>
        <w:t xml:space="preserve">Balstoties uz uzņēmuma </w:t>
      </w:r>
      <w:r w:rsidR="00A4677E">
        <w:rPr>
          <w:rFonts w:ascii="Times New Roman" w:eastAsia="Times New Roman" w:hAnsi="Times New Roman" w:cs="Times New Roman"/>
          <w:noProof/>
          <w:sz w:val="24"/>
          <w:szCs w:val="24"/>
        </w:rPr>
        <w:t xml:space="preserve">digitālā brieduma </w:t>
      </w:r>
      <w:r w:rsidRPr="00930237">
        <w:rPr>
          <w:rFonts w:ascii="Times New Roman" w:eastAsia="Times New Roman" w:hAnsi="Times New Roman" w:cs="Times New Roman"/>
          <w:noProof/>
          <w:sz w:val="24"/>
          <w:szCs w:val="24"/>
        </w:rPr>
        <w:t>novērtējumu un identificētajām vajadzībām,</w:t>
      </w:r>
      <w:r w:rsidRPr="00930237" w:rsidDel="00B640A8">
        <w:rPr>
          <w:rFonts w:ascii="Times New Roman" w:eastAsia="Times New Roman" w:hAnsi="Times New Roman" w:cs="Times New Roman"/>
          <w:noProof/>
          <w:sz w:val="24"/>
          <w:szCs w:val="24"/>
        </w:rPr>
        <w:t xml:space="preserve"> </w:t>
      </w:r>
      <w:r w:rsidRPr="00930237">
        <w:rPr>
          <w:rFonts w:ascii="Times New Roman" w:eastAsia="Times New Roman" w:hAnsi="Times New Roman" w:cs="Times New Roman"/>
          <w:noProof/>
          <w:sz w:val="24"/>
          <w:szCs w:val="24"/>
        </w:rPr>
        <w:t>uzņēmum</w:t>
      </w:r>
      <w:r w:rsidR="00A4677E">
        <w:rPr>
          <w:rFonts w:ascii="Times New Roman" w:eastAsia="Times New Roman" w:hAnsi="Times New Roman" w:cs="Times New Roman"/>
          <w:noProof/>
          <w:sz w:val="24"/>
          <w:szCs w:val="24"/>
        </w:rPr>
        <w:t>iem un to</w:t>
      </w:r>
      <w:r w:rsidRPr="00930237">
        <w:rPr>
          <w:rFonts w:ascii="Times New Roman" w:eastAsia="Times New Roman" w:hAnsi="Times New Roman" w:cs="Times New Roman"/>
          <w:noProof/>
          <w:sz w:val="24"/>
          <w:szCs w:val="24"/>
        </w:rPr>
        <w:t xml:space="preserve"> darbiniekiem tiks nodrošināta</w:t>
      </w:r>
      <w:r w:rsidR="009958E9">
        <w:rPr>
          <w:rFonts w:ascii="Times New Roman" w:eastAsia="Times New Roman" w:hAnsi="Times New Roman" w:cs="Times New Roman"/>
          <w:noProof/>
          <w:sz w:val="24"/>
          <w:szCs w:val="24"/>
        </w:rPr>
        <w:t xml:space="preserve">s </w:t>
      </w:r>
      <w:r w:rsidR="009958E9" w:rsidRPr="003651D6">
        <w:rPr>
          <w:rFonts w:ascii="Times New Roman" w:eastAsia="Times New Roman" w:hAnsi="Times New Roman" w:cs="Times New Roman"/>
          <w:noProof/>
          <w:sz w:val="24"/>
          <w:szCs w:val="24"/>
        </w:rPr>
        <w:t>specializētas</w:t>
      </w:r>
      <w:r w:rsidR="002A601A" w:rsidRPr="003651D6">
        <w:rPr>
          <w:rFonts w:ascii="Times New Roman" w:eastAsia="Times New Roman" w:hAnsi="Times New Roman" w:cs="Times New Roman"/>
          <w:noProof/>
          <w:sz w:val="24"/>
          <w:szCs w:val="24"/>
        </w:rPr>
        <w:t xml:space="preserve"> </w:t>
      </w:r>
      <w:r w:rsidR="00A4677E" w:rsidRPr="003651D6">
        <w:rPr>
          <w:rFonts w:ascii="Times New Roman" w:eastAsia="Times New Roman" w:hAnsi="Times New Roman" w:cs="Times New Roman"/>
          <w:noProof/>
          <w:sz w:val="24"/>
          <w:szCs w:val="24"/>
        </w:rPr>
        <w:t>digitāl</w:t>
      </w:r>
      <w:r w:rsidR="009958E9" w:rsidRPr="003651D6">
        <w:rPr>
          <w:rFonts w:ascii="Times New Roman" w:eastAsia="Times New Roman" w:hAnsi="Times New Roman" w:cs="Times New Roman"/>
          <w:noProof/>
          <w:sz w:val="24"/>
          <w:szCs w:val="24"/>
        </w:rPr>
        <w:t>o</w:t>
      </w:r>
      <w:r w:rsidR="00A4677E" w:rsidRPr="003651D6">
        <w:rPr>
          <w:rFonts w:ascii="Times New Roman" w:eastAsia="Times New Roman" w:hAnsi="Times New Roman" w:cs="Times New Roman"/>
          <w:noProof/>
          <w:sz w:val="24"/>
          <w:szCs w:val="24"/>
        </w:rPr>
        <w:t xml:space="preserve"> </w:t>
      </w:r>
      <w:r w:rsidR="002A601A" w:rsidRPr="003651D6">
        <w:rPr>
          <w:rFonts w:ascii="Times New Roman" w:eastAsia="Times New Roman" w:hAnsi="Times New Roman" w:cs="Times New Roman"/>
          <w:noProof/>
          <w:sz w:val="24"/>
          <w:szCs w:val="24"/>
        </w:rPr>
        <w:t xml:space="preserve"> </w:t>
      </w:r>
      <w:r w:rsidRPr="003651D6">
        <w:rPr>
          <w:rFonts w:ascii="Times New Roman" w:eastAsia="Times New Roman" w:hAnsi="Times New Roman" w:cs="Times New Roman"/>
          <w:noProof/>
          <w:sz w:val="24"/>
          <w:szCs w:val="24"/>
        </w:rPr>
        <w:t>prasmju apmācības</w:t>
      </w:r>
      <w:r w:rsidR="009958E9" w:rsidRPr="003651D6">
        <w:rPr>
          <w:rFonts w:ascii="Times New Roman" w:eastAsia="Times New Roman" w:hAnsi="Times New Roman" w:cs="Times New Roman"/>
          <w:noProof/>
          <w:sz w:val="24"/>
          <w:szCs w:val="24"/>
        </w:rPr>
        <w:t>,</w:t>
      </w:r>
      <w:r w:rsidRPr="003651D6">
        <w:rPr>
          <w:rFonts w:ascii="Times New Roman" w:eastAsia="Times New Roman" w:hAnsi="Times New Roman" w:cs="Times New Roman"/>
          <w:noProof/>
          <w:sz w:val="24"/>
          <w:szCs w:val="24"/>
        </w:rPr>
        <w:t xml:space="preserve"> kas ietver zināšanu apguvi ar mērķi veicināt uzņēmumu</w:t>
      </w:r>
      <w:r w:rsidRPr="00930237">
        <w:rPr>
          <w:rFonts w:ascii="Times New Roman" w:eastAsia="Times New Roman" w:hAnsi="Times New Roman" w:cs="Times New Roman"/>
          <w:noProof/>
          <w:sz w:val="24"/>
          <w:szCs w:val="24"/>
        </w:rPr>
        <w:t xml:space="preserve"> konkurētspēju un efektivitāti caur darbinieku prasmju pilnveidošanu mūsdienīgu digitālo analītikas rīku, sistēmu un programmatūru izmantošanā</w:t>
      </w:r>
      <w:r w:rsidR="00A4677E">
        <w:rPr>
          <w:rFonts w:ascii="Times New Roman" w:eastAsia="Times New Roman" w:hAnsi="Times New Roman" w:cs="Times New Roman"/>
          <w:noProof/>
          <w:sz w:val="24"/>
          <w:szCs w:val="24"/>
        </w:rPr>
        <w:t xml:space="preserve">, </w:t>
      </w:r>
      <w:r w:rsidR="00A4677E" w:rsidRPr="00A4677E">
        <w:rPr>
          <w:rFonts w:ascii="Times New Roman" w:eastAsia="Times New Roman" w:hAnsi="Times New Roman" w:cs="Times New Roman"/>
          <w:noProof/>
          <w:sz w:val="24"/>
          <w:szCs w:val="24"/>
        </w:rPr>
        <w:t>kā piemēram uzņēmuma specifisku lietojumprogrammu apguve, datu analītikas kursi, e-komercijas prasmes, digitālais mārketings u.c</w:t>
      </w:r>
      <w:r w:rsidRPr="00930237">
        <w:rPr>
          <w:rFonts w:ascii="Times New Roman" w:eastAsia="Times New Roman" w:hAnsi="Times New Roman" w:cs="Times New Roman"/>
          <w:noProof/>
          <w:sz w:val="24"/>
          <w:szCs w:val="24"/>
        </w:rPr>
        <w:t>.</w:t>
      </w:r>
    </w:p>
    <w:bookmarkEnd w:id="18"/>
    <w:p w14:paraId="4D89FF12" w14:textId="731017FC" w:rsidR="00AC212B" w:rsidRDefault="00AC212B" w:rsidP="007545BD">
      <w:pPr>
        <w:pStyle w:val="Normal1"/>
        <w:numPr>
          <w:ilvl w:val="0"/>
          <w:numId w:val="60"/>
        </w:numPr>
        <w:spacing w:line="240" w:lineRule="auto"/>
        <w:ind w:left="567" w:hanging="567"/>
        <w:jc w:val="both"/>
        <w:rPr>
          <w:rFonts w:ascii="Times New Roman" w:eastAsia="Times New Roman" w:hAnsi="Times New Roman" w:cs="Times New Roman"/>
          <w:noProof/>
          <w:sz w:val="24"/>
          <w:szCs w:val="24"/>
        </w:rPr>
      </w:pPr>
      <w:r w:rsidRPr="00930237">
        <w:rPr>
          <w:rFonts w:ascii="Times New Roman" w:eastAsia="Times New Roman" w:hAnsi="Times New Roman" w:cs="Times New Roman"/>
          <w:noProof/>
          <w:sz w:val="24"/>
          <w:szCs w:val="24"/>
        </w:rPr>
        <w:t xml:space="preserve">Lai nodrošinātu Latvijas uzņēmumu konkurētspējas pieaugumu, </w:t>
      </w:r>
      <w:r w:rsidR="002A601A" w:rsidRPr="7BE450C1">
        <w:rPr>
          <w:rFonts w:ascii="Times New Roman" w:eastAsia="Times New Roman" w:hAnsi="Times New Roman" w:cs="Times New Roman"/>
          <w:noProof/>
          <w:sz w:val="24"/>
          <w:szCs w:val="24"/>
        </w:rPr>
        <w:t xml:space="preserve">Izglītības un zinātnes ministrija papildinās Ekonomikas ministrijas atbalsta instrumentus un </w:t>
      </w:r>
      <w:r w:rsidRPr="00930237">
        <w:rPr>
          <w:rFonts w:ascii="Times New Roman" w:eastAsia="Times New Roman" w:hAnsi="Times New Roman" w:cs="Times New Roman"/>
          <w:noProof/>
          <w:sz w:val="24"/>
          <w:szCs w:val="24"/>
        </w:rPr>
        <w:t xml:space="preserve"> veido</w:t>
      </w:r>
      <w:r w:rsidR="00A4677E">
        <w:rPr>
          <w:rFonts w:ascii="Times New Roman" w:eastAsia="Times New Roman" w:hAnsi="Times New Roman" w:cs="Times New Roman"/>
          <w:noProof/>
          <w:sz w:val="24"/>
          <w:szCs w:val="24"/>
        </w:rPr>
        <w:t>s</w:t>
      </w:r>
      <w:r w:rsidRPr="00930237">
        <w:rPr>
          <w:rFonts w:ascii="Times New Roman" w:eastAsia="Times New Roman" w:hAnsi="Times New Roman" w:cs="Times New Roman"/>
          <w:noProof/>
          <w:sz w:val="24"/>
          <w:szCs w:val="24"/>
        </w:rPr>
        <w:t xml:space="preserve"> digitālās ekselences starpnozaru apmācības programm</w:t>
      </w:r>
      <w:r w:rsidR="002A601A">
        <w:rPr>
          <w:rFonts w:ascii="Times New Roman" w:eastAsia="Times New Roman" w:hAnsi="Times New Roman" w:cs="Times New Roman"/>
          <w:noProof/>
          <w:sz w:val="24"/>
          <w:szCs w:val="24"/>
        </w:rPr>
        <w:t>u</w:t>
      </w:r>
      <w:r w:rsidRPr="00930237">
        <w:rPr>
          <w:rFonts w:ascii="Times New Roman" w:eastAsia="Times New Roman" w:hAnsi="Times New Roman" w:cs="Times New Roman"/>
          <w:noProof/>
          <w:sz w:val="24"/>
          <w:szCs w:val="24"/>
        </w:rPr>
        <w:t xml:space="preserve">, koncentrējoties uz digitālo tehnoloģiju </w:t>
      </w:r>
      <w:r w:rsidR="00A4677E" w:rsidRPr="00930237">
        <w:rPr>
          <w:rFonts w:ascii="Times New Roman" w:eastAsia="Times New Roman" w:hAnsi="Times New Roman" w:cs="Times New Roman"/>
          <w:noProof/>
          <w:sz w:val="24"/>
          <w:szCs w:val="24"/>
        </w:rPr>
        <w:t>integrācij</w:t>
      </w:r>
      <w:r w:rsidR="00A4677E">
        <w:rPr>
          <w:rFonts w:ascii="Times New Roman" w:eastAsia="Times New Roman" w:hAnsi="Times New Roman" w:cs="Times New Roman"/>
          <w:noProof/>
          <w:sz w:val="24"/>
          <w:szCs w:val="24"/>
        </w:rPr>
        <w:t>u</w:t>
      </w:r>
      <w:r w:rsidR="00A4677E" w:rsidRPr="00930237">
        <w:rPr>
          <w:rFonts w:ascii="Times New Roman" w:eastAsia="Times New Roman" w:hAnsi="Times New Roman" w:cs="Times New Roman"/>
          <w:noProof/>
          <w:sz w:val="24"/>
          <w:szCs w:val="24"/>
        </w:rPr>
        <w:t xml:space="preserve"> </w:t>
      </w:r>
      <w:r w:rsidRPr="00930237">
        <w:rPr>
          <w:rFonts w:ascii="Times New Roman" w:eastAsia="Times New Roman" w:hAnsi="Times New Roman" w:cs="Times New Roman"/>
          <w:noProof/>
          <w:sz w:val="24"/>
          <w:szCs w:val="24"/>
        </w:rPr>
        <w:t xml:space="preserve">uzņēmuma </w:t>
      </w:r>
      <w:r w:rsidR="00A4677E">
        <w:rPr>
          <w:rFonts w:ascii="Times New Roman" w:eastAsia="Times New Roman" w:hAnsi="Times New Roman" w:cs="Times New Roman"/>
          <w:noProof/>
          <w:sz w:val="24"/>
          <w:szCs w:val="24"/>
        </w:rPr>
        <w:t xml:space="preserve">pārvaldības </w:t>
      </w:r>
      <w:r w:rsidRPr="00930237">
        <w:rPr>
          <w:rFonts w:ascii="Times New Roman" w:eastAsia="Times New Roman" w:hAnsi="Times New Roman" w:cs="Times New Roman"/>
          <w:noProof/>
          <w:sz w:val="24"/>
          <w:szCs w:val="24"/>
        </w:rPr>
        <w:t>procesos</w:t>
      </w:r>
      <w:r w:rsidR="002A601A">
        <w:rPr>
          <w:rFonts w:ascii="Times New Roman" w:eastAsia="Times New Roman" w:hAnsi="Times New Roman" w:cs="Times New Roman"/>
          <w:noProof/>
          <w:sz w:val="24"/>
          <w:szCs w:val="24"/>
        </w:rPr>
        <w:t xml:space="preserve">, </w:t>
      </w:r>
      <w:r w:rsidR="002A601A" w:rsidRPr="7BE450C1">
        <w:rPr>
          <w:rFonts w:ascii="Times New Roman" w:eastAsia="Times New Roman" w:hAnsi="Times New Roman" w:cs="Times New Roman"/>
          <w:noProof/>
          <w:sz w:val="24"/>
          <w:szCs w:val="24"/>
        </w:rPr>
        <w:t>nodroši</w:t>
      </w:r>
      <w:r w:rsidR="00A4677E">
        <w:rPr>
          <w:rFonts w:ascii="Times New Roman" w:eastAsia="Times New Roman" w:hAnsi="Times New Roman" w:cs="Times New Roman"/>
          <w:noProof/>
          <w:sz w:val="24"/>
          <w:szCs w:val="24"/>
        </w:rPr>
        <w:t>n</w:t>
      </w:r>
      <w:r w:rsidR="002A601A" w:rsidRPr="7BE450C1">
        <w:rPr>
          <w:rFonts w:ascii="Times New Roman" w:eastAsia="Times New Roman" w:hAnsi="Times New Roman" w:cs="Times New Roman"/>
          <w:noProof/>
          <w:sz w:val="24"/>
          <w:szCs w:val="24"/>
        </w:rPr>
        <w:t>ot augsta līmeņa digitālo prasmju apmācīb</w:t>
      </w:r>
      <w:r w:rsidR="00A4677E">
        <w:rPr>
          <w:rFonts w:ascii="Times New Roman" w:eastAsia="Times New Roman" w:hAnsi="Times New Roman" w:cs="Times New Roman"/>
          <w:noProof/>
          <w:sz w:val="24"/>
          <w:szCs w:val="24"/>
        </w:rPr>
        <w:t>as</w:t>
      </w:r>
      <w:r w:rsidRPr="00930237">
        <w:rPr>
          <w:rFonts w:ascii="Times New Roman" w:eastAsia="Times New Roman" w:hAnsi="Times New Roman" w:cs="Times New Roman"/>
          <w:noProof/>
          <w:sz w:val="24"/>
          <w:szCs w:val="24"/>
        </w:rPr>
        <w:t xml:space="preserve"> vadošajiem darbiniekiem </w:t>
      </w:r>
      <w:r w:rsidR="00A4677E">
        <w:rPr>
          <w:rFonts w:ascii="Times New Roman" w:eastAsia="Times New Roman" w:hAnsi="Times New Roman" w:cs="Times New Roman"/>
          <w:noProof/>
          <w:sz w:val="24"/>
          <w:szCs w:val="24"/>
        </w:rPr>
        <w:t>uzņēmumos</w:t>
      </w:r>
      <w:r w:rsidRPr="00930237">
        <w:rPr>
          <w:rFonts w:ascii="Times New Roman" w:eastAsia="Times New Roman" w:hAnsi="Times New Roman" w:cs="Times New Roman"/>
          <w:noProof/>
          <w:sz w:val="24"/>
          <w:szCs w:val="24"/>
        </w:rPr>
        <w:t xml:space="preserve"> ar augstu vai vidēju digitalizācijas brieduma pakāpi. </w:t>
      </w:r>
    </w:p>
    <w:bookmarkEnd w:id="19"/>
    <w:p w14:paraId="6A62C8FC" w14:textId="559AEBE1" w:rsidR="00DC325B" w:rsidRPr="00CD3901" w:rsidRDefault="00DC325B" w:rsidP="007545BD">
      <w:pPr>
        <w:pStyle w:val="ListParagraph"/>
        <w:numPr>
          <w:ilvl w:val="0"/>
          <w:numId w:val="60"/>
        </w:numPr>
        <w:spacing w:after="0" w:line="240" w:lineRule="auto"/>
        <w:ind w:left="567" w:hanging="567"/>
        <w:jc w:val="both"/>
        <w:rPr>
          <w:rFonts w:ascii="Times New Roman" w:eastAsia="Times New Roman" w:hAnsi="Times New Roman" w:cs="Times New Roman"/>
          <w:noProof/>
          <w:sz w:val="24"/>
          <w:szCs w:val="24"/>
        </w:rPr>
      </w:pPr>
      <w:r w:rsidRPr="00DC325B">
        <w:rPr>
          <w:rFonts w:ascii="Times New Roman" w:eastAsia="Times New Roman" w:hAnsi="Times New Roman" w:cs="Times New Roman"/>
          <w:noProof/>
          <w:sz w:val="24"/>
          <w:szCs w:val="24"/>
          <w:lang w:eastAsia="en-US" w:bidi="ar-SA"/>
        </w:rPr>
        <w:t>Lai veicinātu jaunu digitālo produktu un pakalpojumu rašanos komersantiem tiks sniegts atbalsts starptautisku projektu, kā “Apvārsnis Eiropa”, “Digitālā Eiropa” un citu programmu ietvaros. Programma “Digitālā Eiropa” sniegs finansējumu projektiem piecās būtiskās jomās, t.i. – augstas veiktspējas datošana, mākslīgais intelekts, kiberdrošība, padziļinātas digitālās prasmes un plašas digitālo spēju izmantošanas nodrošināšana ekonomikā un sabiedrībā. Ņemot vērā, ka atbalsts Latvijas komersantiem tiks sniegts projektu ietvaros, kuri atbilst kādai no piecām ES prioritārajām jomām 2021. – 2027.gada plānošanas periodā, tiks veicināta Latvijas komersantu iesaiste Eiropas digitālo inovāciju ekosistēmā. Pasākuma ietvaros tiks nodrošināts līdzfinansējums Latvijas komersantiem tādu inovāciju projektu īstenošanā, kuriem būs pieprasījums tirgū. Gadījumā, ja Latvijas komersanta projekts atbildīs “Apvārsnis Eiropa”, “Digitālā Eiropa” un citu programmu projektu atlases kritērijiem, taču tam netiks piešķirts finansējums (pamatojums – ierobežoti līdzekļi projektu uzsaukuma/apakšprogrammas ietvaros), tiks izvērtēta Latvijas komersanta projekta līdzfinansēšana šīs aktivitātes ietvaros.</w:t>
      </w:r>
    </w:p>
    <w:p w14:paraId="420B25F0" w14:textId="320FFC1E" w:rsidR="00AC212B" w:rsidRPr="00930237"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noProof/>
          <w:sz w:val="24"/>
          <w:szCs w:val="24"/>
        </w:rPr>
      </w:pPr>
      <w:r w:rsidRPr="00930237">
        <w:rPr>
          <w:rFonts w:ascii="Times New Roman" w:eastAsia="Times New Roman" w:hAnsi="Times New Roman" w:cs="Times New Roman"/>
          <w:b/>
          <w:bCs/>
          <w:sz w:val="24"/>
          <w:szCs w:val="24"/>
        </w:rPr>
        <w:t xml:space="preserve">Atbalsts uzņēmumu digitalizācijai: </w:t>
      </w:r>
      <w:r w:rsidRPr="00930237">
        <w:rPr>
          <w:rFonts w:ascii="Times New Roman" w:eastAsia="Times New Roman" w:hAnsi="Times New Roman" w:cs="Times New Roman"/>
          <w:sz w:val="24"/>
          <w:szCs w:val="24"/>
        </w:rPr>
        <w:t xml:space="preserve">lai veicinātu digitālo mērķu sasniegšanu un ņemot vērā finanšu tirgus nepilnību, plānots sniegt finanšu instrumentus </w:t>
      </w:r>
      <w:r w:rsidR="00DC325B" w:rsidRPr="00DC325B">
        <w:rPr>
          <w:rFonts w:ascii="Times New Roman" w:eastAsia="Times New Roman" w:hAnsi="Times New Roman" w:cs="Times New Roman"/>
          <w:sz w:val="24"/>
          <w:szCs w:val="24"/>
        </w:rPr>
        <w:t xml:space="preserve">un apmācību grantus </w:t>
      </w:r>
      <w:r w:rsidRPr="00930237">
        <w:rPr>
          <w:rFonts w:ascii="Times New Roman" w:eastAsia="Times New Roman" w:hAnsi="Times New Roman" w:cs="Times New Roman"/>
          <w:sz w:val="24"/>
          <w:szCs w:val="24"/>
        </w:rPr>
        <w:t>uzņēmumu digitalizācijai.</w:t>
      </w:r>
      <w:r w:rsidR="00DC325B" w:rsidRPr="00DC325B">
        <w:t xml:space="preserve"> </w:t>
      </w:r>
      <w:r w:rsidR="00DC325B" w:rsidRPr="00DC325B">
        <w:rPr>
          <w:rFonts w:ascii="Times New Roman" w:eastAsia="Times New Roman" w:hAnsi="Times New Roman" w:cs="Times New Roman"/>
          <w:sz w:val="24"/>
          <w:szCs w:val="24"/>
        </w:rPr>
        <w:t>Finanšu instrumentu pakalpojumu nepieciešamību pamato tirgus nepilnību analīze finanšu pieejamības jomā</w:t>
      </w:r>
      <w:r w:rsidR="000343B5">
        <w:rPr>
          <w:rFonts w:ascii="Times New Roman" w:eastAsia="Times New Roman" w:hAnsi="Times New Roman" w:cs="Times New Roman"/>
          <w:sz w:val="24"/>
          <w:szCs w:val="24"/>
        </w:rPr>
        <w:t>, t.sk. reģionos</w:t>
      </w:r>
      <w:r w:rsidR="00DC325B" w:rsidRPr="00DC325B">
        <w:rPr>
          <w:rFonts w:ascii="Times New Roman" w:eastAsia="Times New Roman" w:hAnsi="Times New Roman" w:cs="Times New Roman"/>
          <w:sz w:val="24"/>
          <w:szCs w:val="24"/>
        </w:rPr>
        <w:t>.</w:t>
      </w:r>
    </w:p>
    <w:p w14:paraId="40BB3E35" w14:textId="6AB30D13" w:rsidR="00AC212B" w:rsidRPr="00930237"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noProof/>
          <w:sz w:val="24"/>
          <w:szCs w:val="24"/>
        </w:rPr>
      </w:pPr>
      <w:r w:rsidRPr="00930237">
        <w:rPr>
          <w:rFonts w:ascii="Times New Roman" w:eastAsia="Times New Roman" w:hAnsi="Times New Roman" w:cs="Times New Roman"/>
          <w:b/>
          <w:sz w:val="24"/>
          <w:szCs w:val="24"/>
        </w:rPr>
        <w:t>Galvenās mērķ</w:t>
      </w:r>
      <w:r w:rsidR="00E509CA">
        <w:rPr>
          <w:rFonts w:ascii="Times New Roman" w:eastAsia="Times New Roman" w:hAnsi="Times New Roman" w:cs="Times New Roman"/>
          <w:b/>
          <w:sz w:val="24"/>
          <w:szCs w:val="24"/>
        </w:rPr>
        <w:t xml:space="preserve">a </w:t>
      </w:r>
      <w:r w:rsidRPr="00930237">
        <w:rPr>
          <w:rFonts w:ascii="Times New Roman" w:eastAsia="Times New Roman" w:hAnsi="Times New Roman" w:cs="Times New Roman"/>
          <w:b/>
          <w:sz w:val="24"/>
          <w:szCs w:val="24"/>
        </w:rPr>
        <w:t>grupas:</w:t>
      </w:r>
      <w:r w:rsidRPr="00930237">
        <w:rPr>
          <w:rFonts w:ascii="Times New Roman" w:eastAsia="Times New Roman" w:hAnsi="Times New Roman" w:cs="Times New Roman"/>
          <w:sz w:val="24"/>
          <w:szCs w:val="24"/>
        </w:rPr>
        <w:t xml:space="preserve"> </w:t>
      </w:r>
      <w:r w:rsidRPr="00930237">
        <w:rPr>
          <w:rFonts w:ascii="Times New Roman" w:eastAsia="Times New Roman" w:hAnsi="Times New Roman" w:cs="Times New Roman"/>
          <w:noProof/>
          <w:sz w:val="24"/>
          <w:szCs w:val="24"/>
        </w:rPr>
        <w:t>Sabiedrība un saimnieciskās darbības veicēji</w:t>
      </w:r>
      <w:r w:rsidR="00DD2938">
        <w:rPr>
          <w:rFonts w:ascii="Times New Roman" w:eastAsia="Times New Roman" w:hAnsi="Times New Roman" w:cs="Times New Roman"/>
          <w:noProof/>
          <w:sz w:val="24"/>
          <w:szCs w:val="24"/>
        </w:rPr>
        <w:t xml:space="preserve"> (mazie, vidējie un lielie)</w:t>
      </w:r>
      <w:r w:rsidRPr="00930237">
        <w:rPr>
          <w:rFonts w:ascii="Times New Roman" w:eastAsia="Times New Roman" w:hAnsi="Times New Roman" w:cs="Times New Roman"/>
          <w:noProof/>
          <w:sz w:val="24"/>
          <w:szCs w:val="24"/>
        </w:rPr>
        <w:t>, a</w:t>
      </w:r>
      <w:r w:rsidRPr="00930237">
        <w:rPr>
          <w:rFonts w:ascii="Times New Roman" w:eastAsia="Times New Roman" w:hAnsi="Times New Roman" w:cs="Times New Roman"/>
          <w:sz w:val="24"/>
          <w:szCs w:val="24"/>
        </w:rPr>
        <w:t xml:space="preserve">ugstskolas, publiskais sektors, </w:t>
      </w:r>
      <w:r w:rsidR="00DC325B" w:rsidRPr="00DC325B">
        <w:rPr>
          <w:rFonts w:ascii="Times New Roman" w:eastAsia="Times New Roman" w:hAnsi="Times New Roman" w:cs="Times New Roman"/>
          <w:sz w:val="24"/>
          <w:szCs w:val="24"/>
        </w:rPr>
        <w:t>plānošanas reģioni un pašvaldības</w:t>
      </w:r>
      <w:r w:rsidR="00DC325B">
        <w:rPr>
          <w:rFonts w:ascii="Times New Roman" w:eastAsia="Times New Roman" w:hAnsi="Times New Roman" w:cs="Times New Roman"/>
          <w:sz w:val="24"/>
          <w:szCs w:val="24"/>
        </w:rPr>
        <w:t>,</w:t>
      </w:r>
      <w:r w:rsidR="00DC325B" w:rsidRPr="00DC325B">
        <w:rPr>
          <w:rFonts w:ascii="Times New Roman" w:eastAsia="Times New Roman" w:hAnsi="Times New Roman" w:cs="Times New Roman"/>
          <w:sz w:val="24"/>
          <w:szCs w:val="24"/>
        </w:rPr>
        <w:t xml:space="preserve"> </w:t>
      </w:r>
      <w:r w:rsidRPr="00930237">
        <w:rPr>
          <w:rFonts w:ascii="Times New Roman" w:eastAsia="Times New Roman" w:hAnsi="Times New Roman" w:cs="Times New Roman"/>
          <w:sz w:val="24"/>
          <w:szCs w:val="24"/>
        </w:rPr>
        <w:t xml:space="preserve">personas, kas gatavojas uzsākt saimniecisko darbību, , </w:t>
      </w:r>
      <w:r w:rsidRPr="00930237">
        <w:rPr>
          <w:rFonts w:ascii="Times New Roman" w:hAnsi="Times New Roman" w:cs="Times New Roman"/>
          <w:noProof/>
          <w:sz w:val="24"/>
          <w:szCs w:val="24"/>
        </w:rPr>
        <w:t>mazas vidējās kapitalizācijas sabiedrības (</w:t>
      </w:r>
      <w:r w:rsidRPr="00E509CA">
        <w:rPr>
          <w:rFonts w:ascii="Times New Roman" w:hAnsi="Times New Roman" w:cs="Times New Roman"/>
          <w:i/>
          <w:iCs/>
          <w:noProof/>
          <w:sz w:val="24"/>
          <w:szCs w:val="24"/>
        </w:rPr>
        <w:t>mid-caps</w:t>
      </w:r>
      <w:r w:rsidR="00E509CA">
        <w:rPr>
          <w:rFonts w:ascii="Times New Roman" w:hAnsi="Times New Roman" w:cs="Times New Roman"/>
          <w:noProof/>
          <w:sz w:val="24"/>
          <w:szCs w:val="24"/>
        </w:rPr>
        <w:t>; darbinieku skaits līdz 499</w:t>
      </w:r>
      <w:r w:rsidRPr="00930237">
        <w:rPr>
          <w:rFonts w:ascii="Times New Roman" w:hAnsi="Times New Roman" w:cs="Times New Roman"/>
          <w:noProof/>
          <w:sz w:val="24"/>
          <w:szCs w:val="24"/>
        </w:rPr>
        <w:t>),</w:t>
      </w:r>
      <w:r w:rsidRPr="00930237">
        <w:rPr>
          <w:rFonts w:ascii="Times New Roman" w:eastAsia="Times New Roman" w:hAnsi="Times New Roman" w:cs="Times New Roman"/>
          <w:sz w:val="24"/>
          <w:szCs w:val="24"/>
        </w:rPr>
        <w:t xml:space="preserve"> jaunuzņēmumi, </w:t>
      </w:r>
      <w:r w:rsidRPr="00930237">
        <w:rPr>
          <w:rFonts w:ascii="Times New Roman" w:hAnsi="Times New Roman" w:cs="Times New Roman"/>
          <w:sz w:val="24"/>
          <w:szCs w:val="24"/>
        </w:rPr>
        <w:t>biedrības un nodibinājumi.</w:t>
      </w:r>
    </w:p>
    <w:p w14:paraId="6A4E3ECF" w14:textId="73F0525B"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noProof/>
          <w:sz w:val="24"/>
          <w:szCs w:val="24"/>
        </w:rPr>
        <w:t xml:space="preserve">Darbības, kas nodrošina vienlīdzību, iekļaušanu un nediskrimināciju: </w:t>
      </w:r>
      <w:r w:rsidRPr="00930237">
        <w:rPr>
          <w:rFonts w:ascii="Times New Roman" w:hAnsi="Times New Roman" w:cs="Times New Roman"/>
          <w:sz w:val="24"/>
          <w:szCs w:val="24"/>
        </w:rPr>
        <w:t xml:space="preserve"> Uzņēmējdarbības un inovāciju atbalsta programmās tiks piemēroti vispārējie </w:t>
      </w:r>
      <w:r w:rsidR="00601AA2">
        <w:rPr>
          <w:rFonts w:ascii="Times New Roman" w:hAnsi="Times New Roman" w:cs="Times New Roman"/>
          <w:sz w:val="24"/>
          <w:szCs w:val="24"/>
        </w:rPr>
        <w:t>vienlīdzīgu iespēju</w:t>
      </w:r>
      <w:r w:rsidRPr="00930237">
        <w:rPr>
          <w:rFonts w:ascii="Times New Roman" w:hAnsi="Times New Roman" w:cs="Times New Roman"/>
          <w:sz w:val="24"/>
          <w:szCs w:val="24"/>
        </w:rPr>
        <w:t xml:space="preserve"> principi. Visi finanšu instrumenti un plānotās uzņēmējdarbības atbalsta programmas ir vērstas uz biznesa projektu īstenošanu, atbilstoši to sagatavotības pakāpei – no idejas līdz biznesa paplašināšanai un izejai ārvalstu tirgos. Atbalsts būs pieejams dzīvotspējīgu un pamatotu biznesa plānu īstenošanai. </w:t>
      </w:r>
    </w:p>
    <w:p w14:paraId="56CC76F2" w14:textId="77777777" w:rsidR="00AC212B" w:rsidRPr="00930237"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noProof/>
          <w:sz w:val="24"/>
          <w:szCs w:val="24"/>
        </w:rPr>
      </w:pPr>
      <w:r w:rsidRPr="00930237">
        <w:rPr>
          <w:rFonts w:ascii="Times New Roman" w:hAnsi="Times New Roman" w:cs="Times New Roman"/>
          <w:b/>
          <w:noProof/>
          <w:sz w:val="24"/>
          <w:szCs w:val="24"/>
        </w:rPr>
        <w:t xml:space="preserve">Mērķteritorijas, t. sk. plānotais teritoriālo rīku izmantojums: </w:t>
      </w:r>
      <w:r w:rsidRPr="00930237">
        <w:rPr>
          <w:rFonts w:ascii="Times New Roman" w:eastAsia="Times New Roman" w:hAnsi="Times New Roman" w:cs="Times New Roman"/>
          <w:sz w:val="24"/>
          <w:szCs w:val="24"/>
        </w:rPr>
        <w:t xml:space="preserve">Atbalsts tiks sniegts uzņēmējdarbības attīstībai bez teritoriāliem ierobežojumiem. </w:t>
      </w:r>
    </w:p>
    <w:p w14:paraId="7CFC0364" w14:textId="7B0FBA3E" w:rsidR="00AC212B" w:rsidRPr="00930237"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noProof/>
          <w:sz w:val="24"/>
          <w:szCs w:val="24"/>
        </w:rPr>
      </w:pPr>
      <w:r w:rsidRPr="00930237">
        <w:rPr>
          <w:rFonts w:ascii="Times New Roman" w:hAnsi="Times New Roman" w:cs="Times New Roman"/>
          <w:b/>
          <w:noProof/>
          <w:sz w:val="24"/>
          <w:szCs w:val="24"/>
        </w:rPr>
        <w:t xml:space="preserve">Starpreģionālās, pārrobežu un transnacionālās darbības: </w:t>
      </w:r>
      <w:r w:rsidRPr="00930237">
        <w:rPr>
          <w:rFonts w:ascii="Times New Roman" w:eastAsia="Times New Roman" w:hAnsi="Times New Roman" w:cs="Times New Roman"/>
          <w:sz w:val="24"/>
          <w:szCs w:val="24"/>
        </w:rPr>
        <w:t>DIC programmas un tautsaimniecības digitalizācijas īstenošanas ietvaros tiks veicināta Latvijas komersantu starpreģionālā sadarbība ES ietvaros ar nolūku, veidot specializētas pieredzes apmaiņas</w:t>
      </w:r>
      <w:r w:rsidR="00DC325B" w:rsidRPr="00DC325B">
        <w:rPr>
          <w:rFonts w:ascii="Times New Roman" w:eastAsia="Times New Roman" w:hAnsi="Times New Roman" w:cs="Times New Roman"/>
          <w:sz w:val="24"/>
          <w:szCs w:val="24"/>
        </w:rPr>
        <w:t xml:space="preserve"> tādās jomās, kā mākslīgais intelekts, kiberdrošība un augstas veiktspējas datošana,</w:t>
      </w:r>
      <w:r w:rsidRPr="00930237">
        <w:rPr>
          <w:rFonts w:ascii="Times New Roman" w:eastAsia="Times New Roman" w:hAnsi="Times New Roman" w:cs="Times New Roman"/>
          <w:sz w:val="24"/>
          <w:szCs w:val="24"/>
        </w:rPr>
        <w:t xml:space="preserve"> un iespēju kvalificēties vienotos projektos </w:t>
      </w:r>
      <w:r w:rsidRPr="00930237">
        <w:rPr>
          <w:rFonts w:ascii="Times New Roman" w:hAnsi="Times New Roman" w:cs="Times New Roman"/>
          <w:sz w:val="24"/>
          <w:szCs w:val="24"/>
        </w:rPr>
        <w:t>“Apvārsnis Eiropa”, “Digitālā Eiropa” un citu programmu ietvaros</w:t>
      </w:r>
      <w:r w:rsidRPr="00930237">
        <w:rPr>
          <w:rFonts w:ascii="Times New Roman" w:eastAsia="Times New Roman" w:hAnsi="Times New Roman" w:cs="Times New Roman"/>
          <w:sz w:val="24"/>
          <w:szCs w:val="24"/>
        </w:rPr>
        <w:t>. Finanšu instrumentu programmās nav plānots atbalsts starpreģionālām darbībām, vienlaikus minētās aktivitātes veicinās uzņēmumu digitalizāciju, tādējādi stiprinot pārrobežu sadarbības iespējas un konkurētspējas pozīcijas starptautiskajos tirgos.</w:t>
      </w:r>
      <w:r w:rsidRPr="00930237">
        <w:rPr>
          <w:rFonts w:ascii="Times New Roman" w:eastAsia="Calibri" w:hAnsi="Times New Roman" w:cs="Times New Roman"/>
          <w:sz w:val="24"/>
          <w:szCs w:val="24"/>
        </w:rPr>
        <w:t xml:space="preserve"> </w:t>
      </w:r>
    </w:p>
    <w:p w14:paraId="6B1B1F97" w14:textId="4050776F" w:rsidR="00AC212B" w:rsidRPr="00930237" w:rsidRDefault="002A601A" w:rsidP="007545BD">
      <w:pPr>
        <w:pStyle w:val="ListParagraph"/>
        <w:numPr>
          <w:ilvl w:val="0"/>
          <w:numId w:val="60"/>
        </w:numPr>
        <w:spacing w:after="0" w:line="240" w:lineRule="auto"/>
        <w:ind w:left="567" w:hanging="567"/>
        <w:jc w:val="both"/>
        <w:rPr>
          <w:rFonts w:ascii="Times New Roman" w:eastAsiaTheme="minorEastAsia" w:hAnsi="Times New Roman" w:cs="Times New Roman"/>
          <w:noProof/>
          <w:sz w:val="24"/>
          <w:szCs w:val="24"/>
        </w:rPr>
      </w:pPr>
      <w:r>
        <w:rPr>
          <w:rFonts w:ascii="Times New Roman" w:hAnsi="Times New Roman" w:cs="Times New Roman"/>
          <w:b/>
          <w:noProof/>
          <w:sz w:val="24"/>
          <w:szCs w:val="24"/>
        </w:rPr>
        <w:t>F</w:t>
      </w:r>
      <w:r w:rsidR="00AC212B" w:rsidRPr="00930237">
        <w:rPr>
          <w:rFonts w:ascii="Times New Roman" w:hAnsi="Times New Roman" w:cs="Times New Roman"/>
          <w:b/>
          <w:noProof/>
          <w:sz w:val="24"/>
          <w:szCs w:val="24"/>
        </w:rPr>
        <w:t xml:space="preserve">inanšu instrumenti: </w:t>
      </w:r>
      <w:r w:rsidR="00291BA4">
        <w:rPr>
          <w:rFonts w:ascii="Times New Roman" w:eastAsia="Times New Roman" w:hAnsi="Times New Roman" w:cs="Times New Roman"/>
          <w:sz w:val="24"/>
          <w:szCs w:val="24"/>
        </w:rPr>
        <w:t>I</w:t>
      </w:r>
      <w:r w:rsidR="00AC212B" w:rsidRPr="00930237">
        <w:rPr>
          <w:rFonts w:ascii="Times New Roman" w:eastAsia="Times New Roman" w:hAnsi="Times New Roman" w:cs="Times New Roman"/>
          <w:sz w:val="24"/>
          <w:szCs w:val="24"/>
        </w:rPr>
        <w:t>ndividuālās garantijas gan MV</w:t>
      </w:r>
      <w:r w:rsidR="006235AC">
        <w:rPr>
          <w:rFonts w:ascii="Times New Roman" w:eastAsia="Times New Roman" w:hAnsi="Times New Roman" w:cs="Times New Roman"/>
          <w:sz w:val="24"/>
          <w:szCs w:val="24"/>
        </w:rPr>
        <w:t>U</w:t>
      </w:r>
      <w:r w:rsidR="00AC212B" w:rsidRPr="00930237">
        <w:rPr>
          <w:rFonts w:ascii="Times New Roman" w:eastAsia="Times New Roman" w:hAnsi="Times New Roman" w:cs="Times New Roman"/>
          <w:sz w:val="24"/>
          <w:szCs w:val="24"/>
        </w:rPr>
        <w:t xml:space="preserve">, gan </w:t>
      </w:r>
      <w:r w:rsidR="00291BA4">
        <w:rPr>
          <w:rFonts w:ascii="Times New Roman" w:eastAsia="Times New Roman" w:hAnsi="Times New Roman" w:cs="Times New Roman"/>
          <w:sz w:val="24"/>
          <w:szCs w:val="24"/>
        </w:rPr>
        <w:t>vidējas kapitalizācijas</w:t>
      </w:r>
      <w:r w:rsidR="00291BA4" w:rsidRPr="46D1B3B4">
        <w:rPr>
          <w:rFonts w:ascii="Times New Roman" w:eastAsia="Times New Roman" w:hAnsi="Times New Roman" w:cs="Times New Roman"/>
          <w:sz w:val="24"/>
          <w:szCs w:val="24"/>
        </w:rPr>
        <w:t xml:space="preserve"> </w:t>
      </w:r>
      <w:r w:rsidR="00AC212B" w:rsidRPr="00930237">
        <w:rPr>
          <w:rFonts w:ascii="Times New Roman" w:eastAsia="Times New Roman" w:hAnsi="Times New Roman" w:cs="Times New Roman"/>
          <w:sz w:val="24"/>
          <w:szCs w:val="24"/>
        </w:rPr>
        <w:t>uzņēmumiem. Individuālās garantijas plānots sniegt aizdevumiem investīciju veikšanai, tostarp jaunu tehnoloģiju ieviešanai un procesu digitalizācijai, kā arī par aizdevumiem apgrozāmo līdzekļu finansēšanai, līzingam un faktoringam u</w:t>
      </w:r>
      <w:r w:rsidR="007903C4">
        <w:rPr>
          <w:rFonts w:ascii="Times New Roman" w:eastAsia="Times New Roman" w:hAnsi="Times New Roman" w:cs="Times New Roman"/>
          <w:sz w:val="24"/>
          <w:szCs w:val="24"/>
        </w:rPr>
        <w:t>.c.</w:t>
      </w:r>
      <w:r w:rsidR="00AC212B" w:rsidRPr="00930237">
        <w:rPr>
          <w:rFonts w:ascii="Times New Roman" w:eastAsia="Times New Roman" w:hAnsi="Times New Roman" w:cs="Times New Roman"/>
          <w:sz w:val="24"/>
          <w:szCs w:val="24"/>
        </w:rPr>
        <w:t xml:space="preserve"> kredītiestāžu finanšu pakalpojumiem, kas veicina saimnieciskās darbības veicēja izaugsmi, konkurētspēju un produktivitātes uzlabošanu. </w:t>
      </w:r>
      <w:r w:rsidR="00DC325B" w:rsidRPr="00DC325B">
        <w:rPr>
          <w:rFonts w:ascii="Times New Roman" w:eastAsia="Times New Roman" w:hAnsi="Times New Roman" w:cs="Times New Roman"/>
          <w:sz w:val="24"/>
          <w:szCs w:val="24"/>
        </w:rPr>
        <w:t>Finanšu instrumentu pakalpojumu nepieciešamību pamato tirgus nepilnību analīze finanšu pieejamības jomā</w:t>
      </w:r>
      <w:r w:rsidR="000343B5">
        <w:rPr>
          <w:rFonts w:ascii="Times New Roman" w:eastAsia="Times New Roman" w:hAnsi="Times New Roman" w:cs="Times New Roman"/>
          <w:sz w:val="24"/>
          <w:szCs w:val="24"/>
        </w:rPr>
        <w:t>, t.sk. reģionos</w:t>
      </w:r>
      <w:r w:rsidR="00DC325B" w:rsidRPr="00DC325B">
        <w:rPr>
          <w:rFonts w:ascii="Times New Roman" w:eastAsia="Times New Roman" w:hAnsi="Times New Roman" w:cs="Times New Roman"/>
          <w:sz w:val="24"/>
          <w:szCs w:val="24"/>
        </w:rPr>
        <w:t>. Finanšu instrumentu valsts atbalsta pasākumus līdzīgi kā 2014.-2020.gada plānošanas periodā ī</w:t>
      </w:r>
      <w:r w:rsidR="00AC212B" w:rsidRPr="00930237">
        <w:rPr>
          <w:rFonts w:ascii="Times New Roman" w:eastAsia="Times New Roman" w:hAnsi="Times New Roman" w:cs="Times New Roman"/>
          <w:sz w:val="24"/>
          <w:szCs w:val="24"/>
        </w:rPr>
        <w:t>stenos ALTUM</w:t>
      </w:r>
      <w:r w:rsidR="000343B5" w:rsidRPr="000343B5">
        <w:rPr>
          <w:rFonts w:ascii="Times New Roman" w:eastAsia="Times New Roman" w:hAnsi="Times New Roman" w:cs="Times New Roman"/>
          <w:sz w:val="24"/>
          <w:szCs w:val="24"/>
        </w:rPr>
        <w:t>, t.sk. piemērojot teritoriāli diferencētos pasākumus</w:t>
      </w:r>
      <w:r w:rsidR="00AC212B" w:rsidRPr="00930237">
        <w:rPr>
          <w:rFonts w:ascii="Times New Roman" w:eastAsia="Times New Roman" w:hAnsi="Times New Roman" w:cs="Times New Roman"/>
          <w:sz w:val="24"/>
          <w:szCs w:val="24"/>
        </w:rPr>
        <w:t>.</w:t>
      </w:r>
    </w:p>
    <w:p w14:paraId="0A97E543" w14:textId="77777777" w:rsidR="00AC212B" w:rsidRPr="00930237" w:rsidRDefault="00AC212B" w:rsidP="00AC212B">
      <w:pPr>
        <w:spacing w:before="0" w:after="0"/>
        <w:rPr>
          <w:b/>
          <w:noProof/>
          <w:szCs w:val="24"/>
        </w:rPr>
      </w:pPr>
    </w:p>
    <w:p w14:paraId="0042E322" w14:textId="77777777" w:rsidR="00AC212B" w:rsidRPr="00930237" w:rsidRDefault="00AC212B" w:rsidP="00AC212B">
      <w:pPr>
        <w:spacing w:before="0" w:after="0"/>
        <w:rPr>
          <w:b/>
          <w:noProof/>
          <w:szCs w:val="24"/>
        </w:rPr>
      </w:pPr>
    </w:p>
    <w:p w14:paraId="21102DC6" w14:textId="0ED978A3" w:rsidR="00AC212B" w:rsidRPr="00930237" w:rsidRDefault="00AC212B" w:rsidP="00AC212B">
      <w:pPr>
        <w:pStyle w:val="Heading4"/>
        <w:numPr>
          <w:ilvl w:val="0"/>
          <w:numId w:val="0"/>
        </w:numPr>
        <w:shd w:val="clear" w:color="auto" w:fill="FBE4D5" w:themeFill="accent2" w:themeFillTint="33"/>
        <w:spacing w:after="0"/>
        <w:rPr>
          <w:b/>
          <w:noProof/>
          <w:szCs w:val="24"/>
        </w:rPr>
      </w:pPr>
      <w:r w:rsidRPr="00930237">
        <w:rPr>
          <w:b/>
          <w:szCs w:val="24"/>
        </w:rPr>
        <w:t>1.2.3. SAM “Veicināt izaugsmi, konkurētspēju un jaunu darba vietu radīšanu MV</w:t>
      </w:r>
      <w:r w:rsidR="006235AC">
        <w:rPr>
          <w:b/>
          <w:szCs w:val="24"/>
        </w:rPr>
        <w:t>U</w:t>
      </w:r>
      <w:r w:rsidRPr="00930237">
        <w:rPr>
          <w:b/>
          <w:szCs w:val="24"/>
        </w:rPr>
        <w:t>, tai skaitā caur produktivitāti veicinošām investīcijām”</w:t>
      </w:r>
    </w:p>
    <w:p w14:paraId="04B8D509" w14:textId="2D163151"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noProof/>
          <w:sz w:val="24"/>
          <w:szCs w:val="24"/>
        </w:rPr>
      </w:pPr>
      <w:r w:rsidRPr="00930237">
        <w:rPr>
          <w:rFonts w:ascii="Times New Roman" w:hAnsi="Times New Roman" w:cs="Times New Roman"/>
          <w:b/>
          <w:noProof/>
          <w:sz w:val="24"/>
          <w:szCs w:val="24"/>
        </w:rPr>
        <w:t xml:space="preserve">Atbalstāmās darbības: </w:t>
      </w:r>
      <w:r w:rsidRPr="00930237">
        <w:rPr>
          <w:rFonts w:ascii="Times New Roman" w:hAnsi="Times New Roman" w:cs="Times New Roman"/>
          <w:b/>
          <w:sz w:val="24"/>
          <w:szCs w:val="24"/>
        </w:rPr>
        <w:t>Atbalsts inovācijas un uzņēmējdarbības motivācijai</w:t>
      </w:r>
      <w:r w:rsidRPr="00930237">
        <w:rPr>
          <w:rFonts w:ascii="Times New Roman" w:hAnsi="Times New Roman" w:cs="Times New Roman"/>
          <w:noProof/>
          <w:sz w:val="24"/>
          <w:szCs w:val="24"/>
        </w:rPr>
        <w:t>. Atbalsta mērķis ir motivēt uzsākt uzņēmējdarbību un motivēt</w:t>
      </w:r>
      <w:r w:rsidRPr="00930237">
        <w:rPr>
          <w:rFonts w:ascii="Times New Roman" w:hAnsi="Times New Roman" w:cs="Times New Roman"/>
          <w:sz w:val="24"/>
          <w:szCs w:val="24"/>
        </w:rPr>
        <w:t xml:space="preserve"> </w:t>
      </w:r>
      <w:r w:rsidRPr="00930237">
        <w:rPr>
          <w:rFonts w:ascii="Times New Roman" w:hAnsi="Times New Roman" w:cs="Times New Roman"/>
          <w:noProof/>
          <w:sz w:val="24"/>
          <w:szCs w:val="24"/>
        </w:rPr>
        <w:t>pievērsties inovatīvu risinājumu</w:t>
      </w:r>
      <w:r w:rsidRPr="00930237">
        <w:rPr>
          <w:rFonts w:ascii="Times New Roman" w:hAnsi="Times New Roman" w:cs="Times New Roman"/>
          <w:sz w:val="24"/>
          <w:szCs w:val="24"/>
        </w:rPr>
        <w:t xml:space="preserve"> izstrādei</w:t>
      </w:r>
      <w:r w:rsidRPr="00930237">
        <w:rPr>
          <w:rFonts w:ascii="Times New Roman" w:hAnsi="Times New Roman" w:cs="Times New Roman"/>
          <w:noProof/>
          <w:sz w:val="24"/>
          <w:szCs w:val="24"/>
        </w:rPr>
        <w:t xml:space="preserve"> un lietošanai, tādējādi sekmējot inovatīvo komersantu īpatsvaru ekonomikā. Atbalsts paredzēts nefinanšu veidā, nodrošinot pasākumus, mārketinga aktivitātes un jaunrades viecināšanu inovācijās un uzņēmējdarbības uzsākšanas segmentā, t</w:t>
      </w:r>
      <w:r w:rsidR="00AC3040">
        <w:rPr>
          <w:rFonts w:ascii="Times New Roman" w:hAnsi="Times New Roman" w:cs="Times New Roman"/>
          <w:noProof/>
          <w:sz w:val="24"/>
          <w:szCs w:val="24"/>
        </w:rPr>
        <w:t>.sk.,</w:t>
      </w:r>
      <w:r w:rsidRPr="00930237">
        <w:rPr>
          <w:rFonts w:ascii="Times New Roman" w:hAnsi="Times New Roman" w:cs="Times New Roman"/>
          <w:noProof/>
          <w:sz w:val="24"/>
          <w:szCs w:val="24"/>
        </w:rPr>
        <w:t xml:space="preserve"> piešķirot godalgas. Atbalsts tiek fokusēts uz uzņēmējdarbības uzsācējiem, </w:t>
      </w:r>
      <w:r w:rsidR="00DA08F2">
        <w:rPr>
          <w:rFonts w:ascii="Times New Roman" w:hAnsi="Times New Roman" w:cs="Times New Roman"/>
          <w:noProof/>
          <w:sz w:val="24"/>
          <w:szCs w:val="24"/>
        </w:rPr>
        <w:t xml:space="preserve">jaunuzņēmumiem, </w:t>
      </w:r>
      <w:r w:rsidRPr="00930237">
        <w:rPr>
          <w:rFonts w:ascii="Times New Roman" w:hAnsi="Times New Roman" w:cs="Times New Roman"/>
          <w:noProof/>
          <w:sz w:val="24"/>
          <w:szCs w:val="24"/>
        </w:rPr>
        <w:t>MV</w:t>
      </w:r>
      <w:r w:rsidR="006235AC">
        <w:rPr>
          <w:rFonts w:ascii="Times New Roman" w:hAnsi="Times New Roman" w:cs="Times New Roman"/>
          <w:noProof/>
          <w:sz w:val="24"/>
          <w:szCs w:val="24"/>
        </w:rPr>
        <w:t>U</w:t>
      </w:r>
      <w:r w:rsidRPr="00930237">
        <w:rPr>
          <w:rFonts w:ascii="Times New Roman" w:hAnsi="Times New Roman" w:cs="Times New Roman"/>
          <w:noProof/>
          <w:sz w:val="24"/>
          <w:szCs w:val="24"/>
        </w:rPr>
        <w:t xml:space="preserve"> it īpaši RIS3 specializācijas jomās. </w:t>
      </w:r>
    </w:p>
    <w:p w14:paraId="41D15C70" w14:textId="09B93BAD"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noProof/>
          <w:sz w:val="24"/>
          <w:szCs w:val="24"/>
        </w:rPr>
      </w:pPr>
      <w:r w:rsidRPr="00930237">
        <w:rPr>
          <w:rFonts w:ascii="Times New Roman" w:hAnsi="Times New Roman" w:cs="Times New Roman"/>
          <w:b/>
          <w:bCs/>
          <w:noProof/>
          <w:sz w:val="24"/>
          <w:szCs w:val="24"/>
        </w:rPr>
        <w:t xml:space="preserve">Atbalsts inkubācijas procesa nodrošināšanai </w:t>
      </w:r>
      <w:r w:rsidRPr="00930237">
        <w:rPr>
          <w:rFonts w:ascii="Times New Roman" w:hAnsi="Times New Roman" w:cs="Times New Roman"/>
          <w:b/>
          <w:noProof/>
          <w:sz w:val="24"/>
          <w:szCs w:val="24"/>
        </w:rPr>
        <w:t>vidēji augsto un augsto tehnoloģiju, un radošo industriju jomā (finanšu, nefinanšu atbalsta pasākumi)</w:t>
      </w:r>
      <w:r w:rsidRPr="00930237">
        <w:rPr>
          <w:rFonts w:ascii="Times New Roman" w:hAnsi="Times New Roman" w:cs="Times New Roman"/>
          <w:noProof/>
          <w:sz w:val="24"/>
          <w:szCs w:val="24"/>
        </w:rPr>
        <w:t xml:space="preserve"> – sniegt atbalstu un veicināt ieinteresētību uzņēmējdarbības uzsākšanā, attīstīšanā</w:t>
      </w:r>
      <w:r w:rsidR="005D68B0">
        <w:rPr>
          <w:rFonts w:ascii="Times New Roman" w:hAnsi="Times New Roman" w:cs="Times New Roman"/>
          <w:noProof/>
          <w:sz w:val="24"/>
          <w:szCs w:val="24"/>
        </w:rPr>
        <w:t xml:space="preserve">, </w:t>
      </w:r>
      <w:r w:rsidR="00D94295">
        <w:rPr>
          <w:rFonts w:ascii="Times New Roman" w:hAnsi="Times New Roman" w:cs="Times New Roman"/>
          <w:noProof/>
          <w:sz w:val="24"/>
          <w:szCs w:val="24"/>
        </w:rPr>
        <w:t>t</w:t>
      </w:r>
      <w:r w:rsidR="005D68B0">
        <w:rPr>
          <w:rFonts w:ascii="Times New Roman" w:hAnsi="Times New Roman" w:cs="Times New Roman"/>
          <w:noProof/>
          <w:sz w:val="24"/>
          <w:szCs w:val="24"/>
        </w:rPr>
        <w:t>.sk</w:t>
      </w:r>
      <w:r w:rsidR="00D94295">
        <w:rPr>
          <w:rFonts w:ascii="Times New Roman" w:hAnsi="Times New Roman" w:cs="Times New Roman"/>
          <w:noProof/>
          <w:sz w:val="24"/>
          <w:szCs w:val="24"/>
        </w:rPr>
        <w:t>. esošiem komersantiem,</w:t>
      </w:r>
      <w:r w:rsidRPr="00930237">
        <w:rPr>
          <w:rFonts w:ascii="Times New Roman" w:hAnsi="Times New Roman" w:cs="Times New Roman"/>
          <w:noProof/>
          <w:sz w:val="24"/>
          <w:szCs w:val="24"/>
        </w:rPr>
        <w:t xml:space="preserve"> un biznesa komandu veidošanā vidēji augsto un augsto tehnoloģiju jomā un radošo industriju jomā, tādējādi sekmējot produktu un/vai tehnoloģiju ar augstu pievienoto vērtību radīšanu. Tiks nodrošināta inkubācijas pakalpojuma sasaiste un virzība uz P&amp;A&amp;I un produktiem ar augstu pievienoto vērtību, atbalsta instrumenta ieviešanu nodrošinot LIAA sadarbībā ar </w:t>
      </w:r>
      <w:r w:rsidR="005D68B0">
        <w:rPr>
          <w:rFonts w:ascii="Times New Roman" w:hAnsi="Times New Roman" w:cs="Times New Roman"/>
          <w:noProof/>
          <w:sz w:val="24"/>
          <w:szCs w:val="24"/>
        </w:rPr>
        <w:t>augstākās izglītības iestādēm</w:t>
      </w:r>
      <w:r w:rsidR="005D68B0" w:rsidRPr="00930237">
        <w:rPr>
          <w:rFonts w:ascii="Times New Roman" w:hAnsi="Times New Roman" w:cs="Times New Roman"/>
          <w:noProof/>
          <w:sz w:val="24"/>
          <w:szCs w:val="24"/>
        </w:rPr>
        <w:t xml:space="preserve"> </w:t>
      </w:r>
      <w:r w:rsidRPr="00930237">
        <w:rPr>
          <w:rFonts w:ascii="Times New Roman" w:hAnsi="Times New Roman" w:cs="Times New Roman"/>
          <w:noProof/>
          <w:sz w:val="24"/>
          <w:szCs w:val="24"/>
        </w:rPr>
        <w:t xml:space="preserve">un radošo industriju pārstāvjiem. Atbalsta ietvaros tiks sniegtas apmācības, mentorings, konsultācijas, nodrošināts </w:t>
      </w:r>
      <w:r w:rsidR="00D94295">
        <w:rPr>
          <w:rFonts w:ascii="Times New Roman" w:hAnsi="Times New Roman" w:cs="Times New Roman"/>
          <w:noProof/>
          <w:sz w:val="24"/>
          <w:szCs w:val="24"/>
        </w:rPr>
        <w:t>augstāko izglītības iestāžu</w:t>
      </w:r>
      <w:r w:rsidR="00D94295" w:rsidRPr="00930237">
        <w:rPr>
          <w:rFonts w:ascii="Times New Roman" w:hAnsi="Times New Roman" w:cs="Times New Roman"/>
          <w:noProof/>
          <w:sz w:val="24"/>
          <w:szCs w:val="24"/>
        </w:rPr>
        <w:t xml:space="preserve"> </w:t>
      </w:r>
      <w:r w:rsidRPr="00930237">
        <w:rPr>
          <w:rFonts w:ascii="Times New Roman" w:hAnsi="Times New Roman" w:cs="Times New Roman"/>
          <w:noProof/>
          <w:sz w:val="24"/>
          <w:szCs w:val="24"/>
        </w:rPr>
        <w:t xml:space="preserve">atbalsts prototipu izstrādē biznesa inkubācijas klientam, atbalsts prototipa komercializācijai, investīciju piesaistei tālākai attīstībai un tirgus izpētei, kā arī citi atbalsta veidi tos pielāgojot klienta vajadzībām. Atbalstu paredzēts sniegt nefinanšu un grantu veidā. Pateicoties </w:t>
      </w:r>
      <w:r w:rsidR="00D94295">
        <w:rPr>
          <w:rFonts w:ascii="Times New Roman" w:hAnsi="Times New Roman" w:cs="Times New Roman"/>
          <w:noProof/>
          <w:sz w:val="24"/>
          <w:szCs w:val="24"/>
        </w:rPr>
        <w:t>augstāko izglītības iestāžu</w:t>
      </w:r>
      <w:r w:rsidR="00D94295" w:rsidRPr="00930237">
        <w:rPr>
          <w:rFonts w:ascii="Times New Roman" w:hAnsi="Times New Roman" w:cs="Times New Roman"/>
          <w:noProof/>
          <w:sz w:val="24"/>
          <w:szCs w:val="24"/>
        </w:rPr>
        <w:t xml:space="preserve"> </w:t>
      </w:r>
      <w:r w:rsidRPr="00930237">
        <w:rPr>
          <w:rFonts w:ascii="Times New Roman" w:hAnsi="Times New Roman" w:cs="Times New Roman"/>
          <w:noProof/>
          <w:sz w:val="24"/>
          <w:szCs w:val="24"/>
        </w:rPr>
        <w:t xml:space="preserve">un to pārstāvniecību iesaistei tiks nodrošināt arī reģionālais pārklājums. Vienlaikus, ņemot vērā </w:t>
      </w:r>
      <w:r w:rsidR="00D94295">
        <w:rPr>
          <w:rFonts w:ascii="Times New Roman" w:hAnsi="Times New Roman" w:cs="Times New Roman"/>
          <w:noProof/>
          <w:sz w:val="24"/>
          <w:szCs w:val="24"/>
        </w:rPr>
        <w:t>augstāko izglītības iestāžu</w:t>
      </w:r>
      <w:r w:rsidR="00D94295" w:rsidRPr="00930237">
        <w:rPr>
          <w:rFonts w:ascii="Times New Roman" w:hAnsi="Times New Roman" w:cs="Times New Roman"/>
          <w:noProof/>
          <w:sz w:val="24"/>
          <w:szCs w:val="24"/>
        </w:rPr>
        <w:t xml:space="preserve"> </w:t>
      </w:r>
      <w:r w:rsidRPr="00930237">
        <w:rPr>
          <w:rFonts w:ascii="Times New Roman" w:hAnsi="Times New Roman" w:cs="Times New Roman"/>
          <w:noProof/>
          <w:sz w:val="24"/>
          <w:szCs w:val="24"/>
        </w:rPr>
        <w:t>iesaisti atbalsta instrumenta ieviešanā, tiks veicināta komersantu un zinātniskā sektora sadarbība, kopīgu projektu īstenošana, kā arī tiks veicināta inovatīvu uzņēmumu rašanās.</w:t>
      </w:r>
    </w:p>
    <w:p w14:paraId="17D407F0" w14:textId="3DC704D9"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noProof/>
          <w:sz w:val="24"/>
          <w:szCs w:val="24"/>
        </w:rPr>
      </w:pPr>
      <w:r w:rsidRPr="00930237">
        <w:rPr>
          <w:rFonts w:ascii="Times New Roman" w:hAnsi="Times New Roman" w:cs="Times New Roman"/>
          <w:b/>
          <w:bCs/>
          <w:noProof/>
          <w:sz w:val="24"/>
          <w:szCs w:val="24"/>
        </w:rPr>
        <w:t>Jaunu produktu, tehnoloģiju vai pakalpojumu attīstīšana un komercializācija</w:t>
      </w:r>
      <w:r w:rsidRPr="00930237">
        <w:rPr>
          <w:rFonts w:ascii="Times New Roman" w:hAnsi="Times New Roman" w:cs="Times New Roman"/>
          <w:noProof/>
          <w:sz w:val="24"/>
          <w:szCs w:val="24"/>
        </w:rPr>
        <w:t xml:space="preserve"> – sniegt atbalstu  komersantiem</w:t>
      </w:r>
      <w:r w:rsidR="000307DB" w:rsidRPr="678DA801">
        <w:rPr>
          <w:rFonts w:ascii="Times New Roman" w:hAnsi="Times New Roman" w:cs="Times New Roman"/>
          <w:noProof/>
          <w:sz w:val="24"/>
          <w:szCs w:val="24"/>
        </w:rPr>
        <w:t>, t</w:t>
      </w:r>
      <w:r w:rsidR="00AC3040">
        <w:rPr>
          <w:rFonts w:ascii="Times New Roman" w:hAnsi="Times New Roman" w:cs="Times New Roman"/>
          <w:noProof/>
          <w:sz w:val="24"/>
          <w:szCs w:val="24"/>
        </w:rPr>
        <w:t>.sk.</w:t>
      </w:r>
      <w:r w:rsidR="000307DB" w:rsidRPr="678DA801">
        <w:rPr>
          <w:rFonts w:ascii="Times New Roman" w:hAnsi="Times New Roman" w:cs="Times New Roman"/>
          <w:noProof/>
          <w:sz w:val="24"/>
          <w:szCs w:val="24"/>
        </w:rPr>
        <w:t xml:space="preserve"> sadarbībai ar pētniecības organizācijām</w:t>
      </w:r>
      <w:r w:rsidRPr="00930237">
        <w:rPr>
          <w:rFonts w:ascii="Times New Roman" w:hAnsi="Times New Roman" w:cs="Times New Roman"/>
          <w:noProof/>
          <w:sz w:val="24"/>
          <w:szCs w:val="24"/>
        </w:rPr>
        <w:t xml:space="preserve"> (atbalsts inovāciju vaučeru veidā, atbalsts augsti kvalificēta darba spēka piesaistei), (pētniecības ideju komercializācijai). Galvenais inovāciju vaučera mērķis ir veidot saikni starp MV</w:t>
      </w:r>
      <w:r w:rsidR="006235AC">
        <w:rPr>
          <w:rFonts w:ascii="Times New Roman" w:hAnsi="Times New Roman" w:cs="Times New Roman"/>
          <w:noProof/>
          <w:sz w:val="24"/>
          <w:szCs w:val="24"/>
        </w:rPr>
        <w:t>U</w:t>
      </w:r>
      <w:r w:rsidRPr="00930237">
        <w:rPr>
          <w:rFonts w:ascii="Times New Roman" w:hAnsi="Times New Roman" w:cs="Times New Roman"/>
          <w:noProof/>
          <w:sz w:val="24"/>
          <w:szCs w:val="24"/>
        </w:rPr>
        <w:t xml:space="preserve"> un publiskajām pētniecības institūcijām, kas, pirmkārt, sekmētu zināšanu tiešu pārnesi un, otrkārt, kļūtu par katalizatoru ilgtermiņa, padziļinātākas sadarbības veidošanai starp abām pusēm. Inovāciju vaučeri ir stimulējošs atbalsta instruments, ar kura palīdzību nodrošināt jaunu vai būtiski uzlabotu produktu vai tehnoloģiju attīstību. Komercializācijas projektu </w:t>
      </w:r>
      <w:r w:rsidR="000307DB">
        <w:rPr>
          <w:rFonts w:ascii="Times New Roman" w:hAnsi="Times New Roman" w:cs="Times New Roman"/>
          <w:noProof/>
          <w:sz w:val="24"/>
          <w:szCs w:val="24"/>
        </w:rPr>
        <w:t>s</w:t>
      </w:r>
      <w:r w:rsidRPr="00930237">
        <w:rPr>
          <w:rFonts w:ascii="Times New Roman" w:hAnsi="Times New Roman" w:cs="Times New Roman"/>
          <w:noProof/>
          <w:sz w:val="24"/>
          <w:szCs w:val="24"/>
        </w:rPr>
        <w:t xml:space="preserve">agaidāmais rezultāts ir komercializēta tehnoloģija (prototipu izstrāde, patentu reģistrācija, licences līgumu slēgšanu un ieņēmumu gūšana). </w:t>
      </w:r>
      <w:r w:rsidRPr="00930237">
        <w:rPr>
          <w:rFonts w:ascii="Times New Roman" w:hAnsi="Times New Roman" w:cs="Times New Roman"/>
          <w:sz w:val="24"/>
          <w:szCs w:val="24"/>
        </w:rPr>
        <w:t>Atbalsta instrumenta ieviešanas modelis plānots atbilstoši iepriekšējā perioda ietvaros īstenotam pasākumam “Atbalsts tehnoloģiju pārneses sistēmas pilnveidošanai”. Atbalsts plānots grantu veidā, nodrošinot, komercializācijas stratēģijas izstrādi, komercializācijas piedāvājuma izstrādi un virzīšanu tirgū, tehniski ekonomisko priekšizpēti, prototipēšanu, rūpnieciskos pētījumus un ekspertimentālo izstrādi, jaunu produktu un tehnoloģiju sertificēšanu, rūpnieciskā dizaina izstrādi, kā arī intelektuālā īpašuma tiesību nostiprināšanu un citas dar</w:t>
      </w:r>
      <w:r w:rsidR="000307DB">
        <w:rPr>
          <w:rFonts w:ascii="Times New Roman" w:hAnsi="Times New Roman" w:cs="Times New Roman"/>
          <w:sz w:val="24"/>
          <w:szCs w:val="24"/>
        </w:rPr>
        <w:t>b</w:t>
      </w:r>
      <w:r w:rsidRPr="00930237">
        <w:rPr>
          <w:rFonts w:ascii="Times New Roman" w:hAnsi="Times New Roman" w:cs="Times New Roman"/>
          <w:sz w:val="24"/>
          <w:szCs w:val="24"/>
        </w:rPr>
        <w:t>ības.</w:t>
      </w:r>
      <w:r w:rsidRPr="00930237">
        <w:rPr>
          <w:rFonts w:ascii="Times New Roman" w:eastAsia="Times New Roman" w:hAnsi="Times New Roman" w:cs="Times New Roman"/>
          <w:noProof/>
          <w:sz w:val="24"/>
          <w:szCs w:val="24"/>
        </w:rPr>
        <w:t xml:space="preserve"> Tāpat svarīgi ir turpināt sekmēt saimnieciskās darbības veicēju attīstību un konkurētspēju (t.i., veicināšanu, stimulēšanu, attīstīšanos, paātrināšanos), un finansējumu uzņēmējdarbības projektiem, kas paredz tehnoloģiskos vai rūpnieciskos neizdošanās riskus, tāpēc plānots turpināt nodroš</w:t>
      </w:r>
      <w:r w:rsidR="000307DB">
        <w:rPr>
          <w:rFonts w:ascii="Times New Roman" w:eastAsia="Times New Roman" w:hAnsi="Times New Roman" w:cs="Times New Roman"/>
          <w:noProof/>
          <w:sz w:val="24"/>
          <w:szCs w:val="24"/>
        </w:rPr>
        <w:t>i</w:t>
      </w:r>
      <w:r w:rsidRPr="00930237">
        <w:rPr>
          <w:rFonts w:ascii="Times New Roman" w:eastAsia="Times New Roman" w:hAnsi="Times New Roman" w:cs="Times New Roman"/>
          <w:noProof/>
          <w:sz w:val="24"/>
          <w:szCs w:val="24"/>
        </w:rPr>
        <w:t>nāt akselerācijas pakalpojumus.</w:t>
      </w:r>
    </w:p>
    <w:p w14:paraId="00AADBDB" w14:textId="35AD6893" w:rsidR="000307D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bCs/>
          <w:noProof/>
          <w:sz w:val="24"/>
          <w:szCs w:val="24"/>
        </w:rPr>
        <w:t xml:space="preserve">Atbalsts finansējuma piesaistei kapitāla tirgos – </w:t>
      </w:r>
      <w:r w:rsidRPr="00930237">
        <w:rPr>
          <w:rFonts w:ascii="Times New Roman" w:hAnsi="Times New Roman" w:cs="Times New Roman"/>
          <w:noProof/>
          <w:sz w:val="24"/>
          <w:szCs w:val="24"/>
        </w:rPr>
        <w:t xml:space="preserve">plānots īstenot atbalsta pasākumu, kas sekmēs biržā kotēto uzņēmumu skaita pieaugumu, </w:t>
      </w:r>
      <w:r w:rsidR="000307DB">
        <w:rPr>
          <w:rFonts w:ascii="Times New Roman" w:hAnsi="Times New Roman" w:cs="Times New Roman"/>
          <w:noProof/>
          <w:sz w:val="24"/>
          <w:szCs w:val="24"/>
        </w:rPr>
        <w:t xml:space="preserve">tādejādi </w:t>
      </w:r>
      <w:r w:rsidRPr="00930237">
        <w:rPr>
          <w:rFonts w:ascii="Times New Roman" w:hAnsi="Times New Roman" w:cs="Times New Roman"/>
          <w:noProof/>
          <w:sz w:val="24"/>
          <w:szCs w:val="24"/>
        </w:rPr>
        <w:t xml:space="preserve"> sekmējot investīcijas dzīvotspējīgos un inovatīvos uzņēmumos</w:t>
      </w:r>
      <w:r w:rsidR="000307DB">
        <w:rPr>
          <w:rFonts w:ascii="Times New Roman" w:hAnsi="Times New Roman" w:cs="Times New Roman"/>
          <w:noProof/>
          <w:sz w:val="24"/>
          <w:szCs w:val="24"/>
        </w:rPr>
        <w:t xml:space="preserve">, </w:t>
      </w:r>
      <w:r w:rsidR="000307DB" w:rsidRPr="678DA801">
        <w:rPr>
          <w:rFonts w:ascii="Times New Roman" w:hAnsi="Times New Roman" w:cs="Times New Roman"/>
          <w:noProof/>
          <w:sz w:val="24"/>
          <w:szCs w:val="24"/>
        </w:rPr>
        <w:t>ļaujot tiem straujāk augt un attīstīties.</w:t>
      </w:r>
    </w:p>
    <w:p w14:paraId="2B92397E" w14:textId="77777777"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bCs/>
          <w:noProof/>
          <w:sz w:val="24"/>
          <w:szCs w:val="24"/>
        </w:rPr>
        <w:t xml:space="preserve">Visaptverošs atbalsts uzņēmējdarbības attīstībai – </w:t>
      </w:r>
      <w:r w:rsidRPr="00930237">
        <w:rPr>
          <w:rFonts w:ascii="Times New Roman" w:hAnsi="Times New Roman" w:cs="Times New Roman"/>
          <w:noProof/>
          <w:sz w:val="24"/>
          <w:szCs w:val="24"/>
        </w:rPr>
        <w:t>atbalsts finanšu instrumentu veidā saimnieciskās darbības veicēju izveidei, investīcijām dzīvotspējīgu projektu īstenošanai un apgrozāmajiem līdzekļiem kā arī eksporta darījumiem.</w:t>
      </w:r>
    </w:p>
    <w:p w14:paraId="23B46A65" w14:textId="66C628F4" w:rsidR="00AC212B" w:rsidRPr="000307DB"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bCs/>
          <w:noProof/>
          <w:sz w:val="24"/>
          <w:szCs w:val="24"/>
        </w:rPr>
        <w:t>Atbalsts komersantiem</w:t>
      </w:r>
      <w:r w:rsidRPr="00930237">
        <w:rPr>
          <w:rFonts w:ascii="Times New Roman" w:hAnsi="Times New Roman" w:cs="Times New Roman"/>
          <w:noProof/>
          <w:sz w:val="24"/>
          <w:szCs w:val="24"/>
        </w:rPr>
        <w:t xml:space="preserve"> </w:t>
      </w:r>
      <w:r w:rsidRPr="00930237">
        <w:rPr>
          <w:rFonts w:ascii="Times New Roman" w:hAnsi="Times New Roman" w:cs="Times New Roman"/>
          <w:b/>
          <w:bCs/>
          <w:noProof/>
          <w:sz w:val="24"/>
          <w:szCs w:val="24"/>
        </w:rPr>
        <w:t xml:space="preserve"> jaunu tirgu apgūšanai un eksporta veicināšanai</w:t>
      </w:r>
      <w:r w:rsidRPr="00930237">
        <w:rPr>
          <w:rFonts w:ascii="Times New Roman" w:hAnsi="Times New Roman" w:cs="Times New Roman"/>
          <w:noProof/>
          <w:sz w:val="24"/>
          <w:szCs w:val="24"/>
        </w:rPr>
        <w:t xml:space="preserve"> – izveidot atbalsta mehānismu uzņēmumiem, lai tie varētu virzīt savus produktus/pakalpojumus globālajā tirgū, </w:t>
      </w:r>
      <w:r w:rsidRPr="00A82BFD">
        <w:rPr>
          <w:rFonts w:ascii="Times New Roman" w:hAnsi="Times New Roman" w:cs="Times New Roman"/>
          <w:noProof/>
          <w:sz w:val="24"/>
          <w:szCs w:val="24"/>
        </w:rPr>
        <w:t>atbalstu vienlaikus arī fokusējot jaunuzņēmumu un zināšanu ietilpīgu, t</w:t>
      </w:r>
      <w:r w:rsidR="00AC3040">
        <w:rPr>
          <w:rFonts w:ascii="Times New Roman" w:hAnsi="Times New Roman" w:cs="Times New Roman"/>
          <w:noProof/>
          <w:sz w:val="24"/>
          <w:szCs w:val="24"/>
        </w:rPr>
        <w:t>.sk.</w:t>
      </w:r>
      <w:r w:rsidRPr="00A82BFD">
        <w:rPr>
          <w:rFonts w:ascii="Times New Roman" w:hAnsi="Times New Roman" w:cs="Times New Roman"/>
          <w:noProof/>
          <w:sz w:val="24"/>
          <w:szCs w:val="24"/>
        </w:rPr>
        <w:t>, tehnoloģiski intensīvo MV</w:t>
      </w:r>
      <w:r w:rsidR="006235AC">
        <w:rPr>
          <w:rFonts w:ascii="Times New Roman" w:hAnsi="Times New Roman" w:cs="Times New Roman"/>
          <w:noProof/>
          <w:sz w:val="24"/>
          <w:szCs w:val="24"/>
        </w:rPr>
        <w:t>U</w:t>
      </w:r>
      <w:r w:rsidRPr="00A82BFD">
        <w:rPr>
          <w:rFonts w:ascii="Times New Roman" w:hAnsi="Times New Roman" w:cs="Times New Roman"/>
          <w:noProof/>
          <w:sz w:val="24"/>
          <w:szCs w:val="24"/>
        </w:rPr>
        <w:t xml:space="preserve"> eksportspējas</w:t>
      </w:r>
      <w:r w:rsidR="00DA08F2">
        <w:rPr>
          <w:rFonts w:ascii="Times New Roman" w:hAnsi="Times New Roman" w:cs="Times New Roman"/>
          <w:noProof/>
          <w:sz w:val="24"/>
          <w:szCs w:val="24"/>
        </w:rPr>
        <w:t xml:space="preserve"> un tūrisma</w:t>
      </w:r>
      <w:r w:rsidRPr="00A82BFD">
        <w:rPr>
          <w:rFonts w:ascii="Times New Roman" w:hAnsi="Times New Roman" w:cs="Times New Roman"/>
          <w:noProof/>
          <w:sz w:val="24"/>
          <w:szCs w:val="24"/>
        </w:rPr>
        <w:t xml:space="preserve"> veicināšanai. Atbalsts paredzēts grantu veidā, nodrošinot</w:t>
      </w:r>
      <w:r w:rsidR="00DA08F2">
        <w:rPr>
          <w:rFonts w:ascii="Times New Roman" w:hAnsi="Times New Roman" w:cs="Times New Roman"/>
          <w:noProof/>
          <w:sz w:val="24"/>
          <w:szCs w:val="24"/>
        </w:rPr>
        <w:t xml:space="preserve"> uzņēmumu un</w:t>
      </w:r>
      <w:r w:rsidRPr="00A82BFD">
        <w:rPr>
          <w:rFonts w:ascii="Times New Roman" w:hAnsi="Times New Roman" w:cs="Times New Roman"/>
          <w:noProof/>
          <w:sz w:val="24"/>
          <w:szCs w:val="24"/>
        </w:rPr>
        <w:t xml:space="preserve"> jaunuzņēmumu dalību sta</w:t>
      </w:r>
      <w:r w:rsidR="00DA08F2">
        <w:rPr>
          <w:rFonts w:ascii="Times New Roman" w:hAnsi="Times New Roman" w:cs="Times New Roman"/>
          <w:noProof/>
          <w:sz w:val="24"/>
          <w:szCs w:val="24"/>
        </w:rPr>
        <w:t>r</w:t>
      </w:r>
      <w:r w:rsidRPr="00A82BFD">
        <w:rPr>
          <w:rFonts w:ascii="Times New Roman" w:hAnsi="Times New Roman" w:cs="Times New Roman"/>
          <w:noProof/>
          <w:sz w:val="24"/>
          <w:szCs w:val="24"/>
        </w:rPr>
        <w:t>ptautiskās izstādēs un nozares pasākumos</w:t>
      </w:r>
      <w:r w:rsidR="000307DB">
        <w:rPr>
          <w:rFonts w:ascii="Times New Roman" w:hAnsi="Times New Roman" w:cs="Times New Roman"/>
          <w:noProof/>
          <w:sz w:val="24"/>
          <w:szCs w:val="24"/>
        </w:rPr>
        <w:t xml:space="preserve">, </w:t>
      </w:r>
      <w:r w:rsidR="000307DB" w:rsidRPr="54EADD06">
        <w:rPr>
          <w:rFonts w:ascii="Times New Roman" w:hAnsi="Times New Roman" w:cs="Times New Roman"/>
          <w:noProof/>
          <w:sz w:val="24"/>
          <w:szCs w:val="24"/>
        </w:rPr>
        <w:t>produktu pielāgošanai ārvalstu tirgiem, sertifikācijai,</w:t>
      </w:r>
      <w:r w:rsidR="00DA08F2" w:rsidRPr="00DA08F2">
        <w:t xml:space="preserve"> </w:t>
      </w:r>
      <w:r w:rsidR="00DA08F2" w:rsidRPr="00DA08F2">
        <w:rPr>
          <w:rFonts w:ascii="Times New Roman" w:hAnsi="Times New Roman" w:cs="Times New Roman"/>
          <w:noProof/>
          <w:sz w:val="24"/>
          <w:szCs w:val="24"/>
        </w:rPr>
        <w:t>visa līmeņa sadarbības veidošanai</w:t>
      </w:r>
      <w:r w:rsidR="00DA08F2">
        <w:rPr>
          <w:rFonts w:ascii="Times New Roman" w:hAnsi="Times New Roman" w:cs="Times New Roman"/>
          <w:noProof/>
          <w:sz w:val="24"/>
          <w:szCs w:val="24"/>
        </w:rPr>
        <w:t xml:space="preserve"> un kapacitātes celšanai,</w:t>
      </w:r>
      <w:r w:rsidR="000307DB" w:rsidRPr="54EADD06">
        <w:rPr>
          <w:rFonts w:ascii="Times New Roman" w:hAnsi="Times New Roman" w:cs="Times New Roman"/>
          <w:noProof/>
          <w:sz w:val="24"/>
          <w:szCs w:val="24"/>
        </w:rPr>
        <w:t xml:space="preserve"> kā arī dalībai digitālajās platformās</w:t>
      </w:r>
      <w:r w:rsidR="000307DB" w:rsidRPr="00A82BFD">
        <w:rPr>
          <w:rFonts w:ascii="Times New Roman" w:hAnsi="Times New Roman" w:cs="Times New Roman"/>
          <w:noProof/>
          <w:sz w:val="24"/>
          <w:szCs w:val="24"/>
        </w:rPr>
        <w:t xml:space="preserve">. </w:t>
      </w:r>
    </w:p>
    <w:p w14:paraId="5B627371" w14:textId="2519C437" w:rsidR="00AC212B" w:rsidRPr="00A82BFD"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A82BFD">
        <w:rPr>
          <w:rFonts w:ascii="Times New Roman" w:eastAsia="Times New Roman" w:hAnsi="Times New Roman" w:cs="Times New Roman"/>
          <w:b/>
          <w:sz w:val="24"/>
          <w:szCs w:val="24"/>
        </w:rPr>
        <w:t>Galvenās mērķgrupas:</w:t>
      </w:r>
      <w:r w:rsidRPr="00A82BFD">
        <w:rPr>
          <w:rFonts w:ascii="Times New Roman" w:eastAsia="Times New Roman" w:hAnsi="Times New Roman" w:cs="Times New Roman"/>
          <w:sz w:val="24"/>
          <w:szCs w:val="24"/>
        </w:rPr>
        <w:t xml:space="preserve"> Sīkie </w:t>
      </w:r>
      <w:r w:rsidRPr="00A82BFD">
        <w:rPr>
          <w:rFonts w:ascii="Times New Roman" w:hAnsi="Times New Roman" w:cs="Times New Roman"/>
          <w:noProof/>
          <w:sz w:val="24"/>
          <w:szCs w:val="24"/>
        </w:rPr>
        <w:t>(mikro), mazie, vidējie un lielie saimnieciskās darbības veicēji</w:t>
      </w:r>
      <w:r w:rsidRPr="00A82BFD">
        <w:rPr>
          <w:rFonts w:ascii="Times New Roman" w:hAnsi="Times New Roman" w:cs="Times New Roman"/>
          <w:sz w:val="24"/>
          <w:szCs w:val="24"/>
        </w:rPr>
        <w:t xml:space="preserve">, </w:t>
      </w:r>
      <w:r w:rsidRPr="00A82BFD">
        <w:rPr>
          <w:rFonts w:ascii="Times New Roman" w:hAnsi="Times New Roman" w:cs="Times New Roman"/>
          <w:noProof/>
          <w:sz w:val="24"/>
          <w:szCs w:val="24"/>
        </w:rPr>
        <w:t>mazas vidējās kapitalizācijas sabiedrības (mid-caps</w:t>
      </w:r>
      <w:r w:rsidR="00E509CA">
        <w:rPr>
          <w:rFonts w:ascii="Times New Roman" w:hAnsi="Times New Roman" w:cs="Times New Roman"/>
          <w:noProof/>
          <w:sz w:val="24"/>
          <w:szCs w:val="24"/>
        </w:rPr>
        <w:t xml:space="preserve"> ar darbinieku skaitu līdz 3000</w:t>
      </w:r>
      <w:r w:rsidRPr="00A82BFD">
        <w:rPr>
          <w:rFonts w:ascii="Times New Roman" w:hAnsi="Times New Roman" w:cs="Times New Roman"/>
          <w:noProof/>
          <w:sz w:val="24"/>
          <w:szCs w:val="24"/>
        </w:rPr>
        <w:t>),</w:t>
      </w:r>
      <w:r w:rsidRPr="00A82BFD">
        <w:rPr>
          <w:rFonts w:ascii="Times New Roman" w:hAnsi="Times New Roman" w:cs="Times New Roman"/>
          <w:sz w:val="24"/>
          <w:szCs w:val="24"/>
        </w:rPr>
        <w:t xml:space="preserve"> </w:t>
      </w:r>
      <w:r w:rsidRPr="00A82BFD">
        <w:rPr>
          <w:rFonts w:ascii="Times New Roman" w:eastAsia="Times New Roman" w:hAnsi="Times New Roman" w:cs="Times New Roman"/>
          <w:sz w:val="24"/>
          <w:szCs w:val="24"/>
        </w:rPr>
        <w:t>lauksaimniecības pakalpojumu kooperatīvās sabiedrības,</w:t>
      </w:r>
      <w:r w:rsidRPr="00A82BFD">
        <w:rPr>
          <w:rFonts w:ascii="Times New Roman" w:hAnsi="Times New Roman" w:cs="Times New Roman"/>
          <w:sz w:val="24"/>
          <w:szCs w:val="24"/>
        </w:rPr>
        <w:t xml:space="preserve"> pētniecības organizācijas, fiziskas personas, jaunuzņēmumi, </w:t>
      </w:r>
      <w:r w:rsidRPr="00A82BFD">
        <w:rPr>
          <w:rFonts w:ascii="Times New Roman" w:eastAsia="Times New Roman" w:hAnsi="Times New Roman" w:cs="Times New Roman"/>
          <w:sz w:val="24"/>
          <w:szCs w:val="24"/>
        </w:rPr>
        <w:t>zinātniskās institūcijas</w:t>
      </w:r>
      <w:r w:rsidRPr="00A82BFD">
        <w:rPr>
          <w:rFonts w:ascii="Times New Roman" w:hAnsi="Times New Roman" w:cs="Times New Roman"/>
          <w:sz w:val="24"/>
          <w:szCs w:val="24"/>
        </w:rPr>
        <w:t xml:space="preserve">, </w:t>
      </w:r>
      <w:r w:rsidRPr="00A82BFD">
        <w:rPr>
          <w:rFonts w:ascii="Times New Roman" w:eastAsia="Times New Roman" w:hAnsi="Times New Roman" w:cs="Times New Roman"/>
          <w:sz w:val="24"/>
          <w:szCs w:val="24"/>
        </w:rPr>
        <w:t>reģionālās institūcijas (</w:t>
      </w:r>
      <w:bookmarkStart w:id="20" w:name="_Hlk64468556"/>
      <w:r w:rsidRPr="00A82BFD">
        <w:rPr>
          <w:rFonts w:ascii="Times New Roman" w:eastAsia="Times New Roman" w:hAnsi="Times New Roman" w:cs="Times New Roman"/>
          <w:sz w:val="24"/>
          <w:szCs w:val="24"/>
        </w:rPr>
        <w:t>piemēram, plānošanas reģioni, tūrisma informācijas centri, punkti, biroji, muzeji. u.c.) un organizācijas.</w:t>
      </w:r>
    </w:p>
    <w:bookmarkEnd w:id="20"/>
    <w:p w14:paraId="6AF38C37" w14:textId="3265056F"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A82BFD">
        <w:rPr>
          <w:rFonts w:ascii="Times New Roman" w:hAnsi="Times New Roman" w:cs="Times New Roman"/>
          <w:b/>
          <w:noProof/>
          <w:sz w:val="24"/>
          <w:szCs w:val="24"/>
        </w:rPr>
        <w:t xml:space="preserve">Darbības, kas nodrošina vienlīdzību, iekļaušanu un nediskrimināciju: </w:t>
      </w:r>
      <w:r w:rsidRPr="00A82BFD">
        <w:rPr>
          <w:rFonts w:ascii="Times New Roman" w:hAnsi="Times New Roman" w:cs="Times New Roman"/>
          <w:sz w:val="24"/>
          <w:szCs w:val="24"/>
        </w:rPr>
        <w:t xml:space="preserve"> Uzņēmējdarbības un inovāciju atbalsta programmās tiks piemēroti vispārējie </w:t>
      </w:r>
      <w:r w:rsidR="00601AA2">
        <w:rPr>
          <w:rFonts w:ascii="Times New Roman" w:hAnsi="Times New Roman" w:cs="Times New Roman"/>
          <w:sz w:val="24"/>
          <w:szCs w:val="24"/>
        </w:rPr>
        <w:t>vienlīdzīgu iespēju</w:t>
      </w:r>
      <w:r w:rsidRPr="00A82BFD">
        <w:rPr>
          <w:rFonts w:ascii="Times New Roman" w:hAnsi="Times New Roman" w:cs="Times New Roman"/>
          <w:sz w:val="24"/>
          <w:szCs w:val="24"/>
        </w:rPr>
        <w:t xml:space="preserve"> principi. Visi finanšu instrumenti un plānotās uzņēmējdarbības atbalsta programmas ir vērstas uz biznesa projektu</w:t>
      </w:r>
      <w:r w:rsidRPr="00930237">
        <w:rPr>
          <w:rFonts w:ascii="Times New Roman" w:hAnsi="Times New Roman" w:cs="Times New Roman"/>
          <w:sz w:val="24"/>
          <w:szCs w:val="24"/>
        </w:rPr>
        <w:t xml:space="preserve"> īstenošanu, atbilstoši to sagatavotības pakāpei – no idejas līdz biznesa paplašināšanai un izejai ārvalstu tirgos. Atbalsts būs pieejams dzīvotspējīgu un pamatotu biznesa plānu īstenošanai. </w:t>
      </w:r>
    </w:p>
    <w:p w14:paraId="1C5715D7" w14:textId="7945E8F0"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noProof/>
          <w:sz w:val="24"/>
          <w:szCs w:val="24"/>
        </w:rPr>
        <w:t xml:space="preserve">Mērķteritorijas, t. sk. plānotais teritoriālo rīku izmantojums: </w:t>
      </w:r>
      <w:r w:rsidR="00581F62" w:rsidRPr="00CA55F6">
        <w:rPr>
          <w:rFonts w:ascii="Times New Roman" w:eastAsia="Times New Roman" w:hAnsi="Times New Roman" w:cs="Times New Roman"/>
          <w:sz w:val="24"/>
          <w:szCs w:val="24"/>
        </w:rPr>
        <w:t xml:space="preserve">Atbalsts finanšu instrumentu veidā tiks sniegts uzņēmējdarbības attīstībai bez teritoriāliem ierobežojumiem, nodrošinot reģionālo pārklājumu. Vienlaikus atbalsts grantu veidā tiks sniegts kontekstā ar </w:t>
      </w:r>
      <w:r w:rsidR="000343B5">
        <w:rPr>
          <w:rFonts w:ascii="Times New Roman" w:eastAsia="Times New Roman" w:hAnsi="Times New Roman" w:cs="Times New Roman"/>
          <w:sz w:val="24"/>
          <w:szCs w:val="24"/>
        </w:rPr>
        <w:t>teritoriju</w:t>
      </w:r>
      <w:r w:rsidR="000343B5" w:rsidRPr="00CA55F6">
        <w:rPr>
          <w:rFonts w:ascii="Times New Roman" w:eastAsia="Times New Roman" w:hAnsi="Times New Roman" w:cs="Times New Roman"/>
          <w:sz w:val="24"/>
          <w:szCs w:val="24"/>
        </w:rPr>
        <w:t xml:space="preserve"> </w:t>
      </w:r>
      <w:r w:rsidR="00581F62" w:rsidRPr="00CA55F6">
        <w:rPr>
          <w:rFonts w:ascii="Times New Roman" w:eastAsia="Times New Roman" w:hAnsi="Times New Roman" w:cs="Times New Roman"/>
          <w:sz w:val="24"/>
          <w:szCs w:val="24"/>
        </w:rPr>
        <w:t xml:space="preserve">attīstības </w:t>
      </w:r>
      <w:r w:rsidR="000343B5">
        <w:rPr>
          <w:rFonts w:ascii="Times New Roman" w:eastAsia="Times New Roman" w:hAnsi="Times New Roman" w:cs="Times New Roman"/>
          <w:sz w:val="24"/>
          <w:szCs w:val="24"/>
        </w:rPr>
        <w:t>plānošanas dokumentiem</w:t>
      </w:r>
      <w:r w:rsidR="00581F62" w:rsidRPr="00CA55F6">
        <w:rPr>
          <w:rFonts w:ascii="Times New Roman" w:eastAsia="Times New Roman" w:hAnsi="Times New Roman" w:cs="Times New Roman"/>
          <w:sz w:val="24"/>
          <w:szCs w:val="24"/>
        </w:rPr>
        <w:t>, piemērojot 5.1.1.SAM teritoriālo pieeju</w:t>
      </w:r>
      <w:r w:rsidR="00581F62">
        <w:rPr>
          <w:rFonts w:ascii="Times New Roman" w:eastAsia="Times New Roman" w:hAnsi="Times New Roman" w:cs="Times New Roman"/>
          <w:sz w:val="24"/>
          <w:szCs w:val="24"/>
        </w:rPr>
        <w:t>.</w:t>
      </w:r>
    </w:p>
    <w:p w14:paraId="53ED9652" w14:textId="2EB9BB63"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noProof/>
          <w:sz w:val="24"/>
          <w:szCs w:val="24"/>
        </w:rPr>
        <w:t xml:space="preserve">Starpreģionālās, pārrobežu un transnacionālās darbības: </w:t>
      </w:r>
      <w:r w:rsidRPr="00930237">
        <w:rPr>
          <w:rFonts w:ascii="Times New Roman" w:eastAsia="Times New Roman" w:hAnsi="Times New Roman" w:cs="Times New Roman"/>
          <w:sz w:val="24"/>
          <w:szCs w:val="24"/>
        </w:rPr>
        <w:t>Finanšu instrumentu programmās nav plānots atbalsts starpreģionālām darbībām. SAM ietvaros nav plānotas pārrobežu vai transnacionālās aktivitātes.</w:t>
      </w:r>
      <w:r w:rsidR="00DA08F2" w:rsidRPr="00DA08F2">
        <w:rPr>
          <w:rFonts w:ascii="Times New Roman" w:eastAsia="Times New Roman" w:hAnsi="Times New Roman" w:cs="Times New Roman"/>
          <w:sz w:val="24"/>
          <w:szCs w:val="24"/>
        </w:rPr>
        <w:t xml:space="preserve"> Iespējama pārrobežu sadarbība pasākuma MVU dalībai Baltijas kapitāla tirgū.</w:t>
      </w:r>
    </w:p>
    <w:p w14:paraId="5CACB0FD" w14:textId="5F53981B" w:rsidR="00AC212B" w:rsidRPr="00930237" w:rsidRDefault="000307D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Pr>
          <w:rFonts w:ascii="Times New Roman" w:hAnsi="Times New Roman" w:cs="Times New Roman"/>
          <w:b/>
          <w:noProof/>
          <w:sz w:val="24"/>
          <w:szCs w:val="24"/>
        </w:rPr>
        <w:t>F</w:t>
      </w:r>
      <w:r w:rsidR="00AC212B" w:rsidRPr="00930237">
        <w:rPr>
          <w:rFonts w:ascii="Times New Roman" w:hAnsi="Times New Roman" w:cs="Times New Roman"/>
          <w:b/>
          <w:noProof/>
          <w:sz w:val="24"/>
          <w:szCs w:val="24"/>
        </w:rPr>
        <w:t xml:space="preserve">inanšu instrumenti: </w:t>
      </w:r>
      <w:r w:rsidR="00AC212B" w:rsidRPr="00930237">
        <w:rPr>
          <w:rFonts w:ascii="Times New Roman" w:eastAsia="Times New Roman" w:hAnsi="Times New Roman" w:cs="Times New Roman"/>
          <w:sz w:val="24"/>
          <w:szCs w:val="24"/>
        </w:rPr>
        <w:t xml:space="preserve">Riska kapitāls, sēklas un izaugsmes stadijas riska kapitāla un mezanīna investīcijas, dauzpakāpju riska kapitāla fondi, aizdevumi produktivitātes kāpināšanai un starta aizdevumi, </w:t>
      </w:r>
      <w:r w:rsidR="00DC325B" w:rsidRPr="00DC325B">
        <w:rPr>
          <w:rFonts w:ascii="Times New Roman" w:eastAsia="Times New Roman" w:hAnsi="Times New Roman" w:cs="Times New Roman"/>
          <w:sz w:val="24"/>
          <w:szCs w:val="24"/>
        </w:rPr>
        <w:t>kas t</w:t>
      </w:r>
      <w:r w:rsidR="00AC3040">
        <w:rPr>
          <w:rFonts w:ascii="Times New Roman" w:eastAsia="Times New Roman" w:hAnsi="Times New Roman" w:cs="Times New Roman"/>
          <w:sz w:val="24"/>
          <w:szCs w:val="24"/>
        </w:rPr>
        <w:t>.sk.</w:t>
      </w:r>
      <w:r w:rsidR="00DC325B" w:rsidRPr="00DC325B">
        <w:rPr>
          <w:rFonts w:ascii="Times New Roman" w:eastAsia="Times New Roman" w:hAnsi="Times New Roman" w:cs="Times New Roman"/>
          <w:sz w:val="24"/>
          <w:szCs w:val="24"/>
        </w:rPr>
        <w:t>, paredz sadarbībā ar kvalificētiem riska kapitāla investoriem ieguldījumu līdzfinansēšanu</w:t>
      </w:r>
      <w:r w:rsidR="00DC325B">
        <w:rPr>
          <w:rFonts w:ascii="Times New Roman" w:eastAsia="Times New Roman" w:hAnsi="Times New Roman" w:cs="Times New Roman"/>
          <w:sz w:val="24"/>
          <w:szCs w:val="24"/>
        </w:rPr>
        <w:t xml:space="preserve"> jaunuzņēmumos, </w:t>
      </w:r>
      <w:r w:rsidR="00AC212B" w:rsidRPr="00930237">
        <w:rPr>
          <w:rFonts w:ascii="Times New Roman" w:eastAsia="Times New Roman" w:hAnsi="Times New Roman" w:cs="Times New Roman"/>
          <w:sz w:val="24"/>
          <w:szCs w:val="24"/>
        </w:rPr>
        <w:t>portfeļgarantijas un individuālās garantijas. Inovatīvu ideju un uzņēmumu attīstībai būs pieejams akcelerācijas fonds. Esošo komersantu attīstībai ar izaugsmes potenciālu būs pieejami sēklas kapitāla, sākuma kapitāla un izaugsmes kapitāla ieguldījums, kā arī mezanīna fonds. Aizdevumi tiks sniegti jaunu komersantu izveidei un esošu saimnieciskās darbības veicēju attīstībai</w:t>
      </w:r>
      <w:r w:rsidR="007C1FBC">
        <w:rPr>
          <w:rFonts w:ascii="Times New Roman" w:eastAsia="Times New Roman" w:hAnsi="Times New Roman" w:cs="Times New Roman"/>
          <w:sz w:val="24"/>
          <w:szCs w:val="24"/>
        </w:rPr>
        <w:t xml:space="preserve"> </w:t>
      </w:r>
      <w:r w:rsidR="00AC212B" w:rsidRPr="00930237">
        <w:rPr>
          <w:rFonts w:ascii="Times New Roman" w:eastAsia="Times New Roman" w:hAnsi="Times New Roman" w:cs="Times New Roman"/>
          <w:sz w:val="24"/>
          <w:szCs w:val="24"/>
        </w:rPr>
        <w:t>investīcijām un apgrozāmiem līdzekļiem. Projektiem un nozarēm ar augstāku riska pakāpi, kā arī, lai nodrošinātu jaunuzņēmumiem finansējumu starp riska kapitāla investīciju piesaistes cikliem (</w:t>
      </w:r>
      <w:r w:rsidR="00AC212B" w:rsidRPr="00930237">
        <w:rPr>
          <w:rFonts w:ascii="Times New Roman" w:eastAsia="Times New Roman" w:hAnsi="Times New Roman" w:cs="Times New Roman"/>
          <w:i/>
          <w:iCs/>
          <w:sz w:val="24"/>
          <w:szCs w:val="24"/>
        </w:rPr>
        <w:t>bridge</w:t>
      </w:r>
      <w:r w:rsidR="00AC212B" w:rsidRPr="00930237">
        <w:rPr>
          <w:rFonts w:ascii="Times New Roman" w:eastAsia="Times New Roman" w:hAnsi="Times New Roman" w:cs="Times New Roman"/>
          <w:sz w:val="24"/>
          <w:szCs w:val="24"/>
        </w:rPr>
        <w:t xml:space="preserve"> finansējumu), tiks nodrošināti aizdevumi. Aizdevumu garantijas plānots sniegt aizdevumiem investīciju veikšanai, tostarp </w:t>
      </w:r>
      <w:r w:rsidR="00DA08F2">
        <w:rPr>
          <w:rFonts w:ascii="Times New Roman" w:eastAsia="Times New Roman" w:hAnsi="Times New Roman" w:cs="Times New Roman"/>
          <w:sz w:val="24"/>
          <w:szCs w:val="24"/>
        </w:rPr>
        <w:t xml:space="preserve">uzņēmējdarbības uzsākšanai un produktivitātes celšanai, </w:t>
      </w:r>
      <w:r w:rsidR="00DC325B" w:rsidRPr="00DC325B">
        <w:rPr>
          <w:rFonts w:ascii="Times New Roman" w:eastAsia="Times New Roman" w:hAnsi="Times New Roman" w:cs="Times New Roman"/>
          <w:sz w:val="24"/>
          <w:szCs w:val="24"/>
        </w:rPr>
        <w:t xml:space="preserve"> kā arī apgrozāmiem līdzekļiem, finanšu līzingam, banku garantijām</w:t>
      </w:r>
      <w:r w:rsidR="00AC212B" w:rsidRPr="00930237">
        <w:rPr>
          <w:rFonts w:ascii="Times New Roman" w:eastAsia="Times New Roman" w:hAnsi="Times New Roman" w:cs="Times New Roman"/>
          <w:sz w:val="24"/>
          <w:szCs w:val="24"/>
        </w:rPr>
        <w:t xml:space="preserve">. Plānots sniegt atbalstu saimnieciskās darbības veicējiem eksporta kredītu garantiju veidā. Finanšu instrumentu pakalpojumu nepieciešamību pamato tirgus nepilnību analīze finanšu pieejamības jomā. </w:t>
      </w:r>
      <w:r w:rsidR="00DC325B" w:rsidRPr="00DC325B">
        <w:rPr>
          <w:rFonts w:ascii="Times New Roman" w:eastAsia="Times New Roman" w:hAnsi="Times New Roman" w:cs="Times New Roman"/>
          <w:sz w:val="24"/>
          <w:szCs w:val="24"/>
        </w:rPr>
        <w:t>Finanšu instrumentu valsts atbalsta pasākumus līdzīgi kā 2014.-2020.gada plānošanas periodā īstenos</w:t>
      </w:r>
      <w:r w:rsidR="00AC212B" w:rsidRPr="00930237">
        <w:rPr>
          <w:rFonts w:ascii="Times New Roman" w:eastAsia="Times New Roman" w:hAnsi="Times New Roman" w:cs="Times New Roman"/>
          <w:sz w:val="24"/>
          <w:szCs w:val="24"/>
        </w:rPr>
        <w:t xml:space="preserve"> ALTUM.</w:t>
      </w:r>
    </w:p>
    <w:p w14:paraId="680EB4A5" w14:textId="77777777" w:rsidR="00AC212B" w:rsidRPr="00930237" w:rsidRDefault="00AC212B" w:rsidP="00FD7F4A">
      <w:pPr>
        <w:spacing w:before="0" w:after="0"/>
        <w:ind w:left="567" w:hanging="567"/>
        <w:rPr>
          <w:b/>
          <w:noProof/>
          <w:szCs w:val="24"/>
        </w:rPr>
      </w:pPr>
    </w:p>
    <w:p w14:paraId="17351CDF" w14:textId="77777777" w:rsidR="00AC212B" w:rsidRPr="00930237" w:rsidRDefault="00AC212B" w:rsidP="00AC212B">
      <w:pPr>
        <w:spacing w:before="0" w:after="0"/>
        <w:rPr>
          <w:b/>
          <w:noProof/>
          <w:szCs w:val="24"/>
        </w:rPr>
      </w:pPr>
    </w:p>
    <w:p w14:paraId="6BA1654F" w14:textId="77777777" w:rsidR="00AC212B" w:rsidRPr="00930237" w:rsidRDefault="00AC212B" w:rsidP="00AC212B">
      <w:pPr>
        <w:pStyle w:val="Heading4"/>
        <w:numPr>
          <w:ilvl w:val="0"/>
          <w:numId w:val="0"/>
        </w:numPr>
        <w:shd w:val="clear" w:color="auto" w:fill="F7CAAC" w:themeFill="accent2" w:themeFillTint="66"/>
        <w:spacing w:after="0"/>
        <w:rPr>
          <w:b/>
          <w:noProof/>
          <w:szCs w:val="24"/>
        </w:rPr>
      </w:pPr>
      <w:r w:rsidRPr="00930237">
        <w:rPr>
          <w:b/>
          <w:noProof/>
          <w:szCs w:val="24"/>
        </w:rPr>
        <w:t>1.3.prioritāte “Digitalizācija”</w:t>
      </w:r>
    </w:p>
    <w:p w14:paraId="29B880C9" w14:textId="55298D8B" w:rsidR="00AC212B" w:rsidRPr="00930237" w:rsidRDefault="00AC212B" w:rsidP="00AC212B">
      <w:pPr>
        <w:pStyle w:val="Heading4"/>
        <w:numPr>
          <w:ilvl w:val="0"/>
          <w:numId w:val="0"/>
        </w:numPr>
        <w:shd w:val="clear" w:color="auto" w:fill="FBE4D5" w:themeFill="accent2" w:themeFillTint="33"/>
        <w:spacing w:after="0"/>
        <w:rPr>
          <w:b/>
          <w:noProof/>
          <w:szCs w:val="24"/>
        </w:rPr>
      </w:pPr>
      <w:r w:rsidRPr="00930237">
        <w:rPr>
          <w:b/>
          <w:noProof/>
          <w:szCs w:val="24"/>
        </w:rPr>
        <w:t xml:space="preserve">1.3.1. SAM </w:t>
      </w:r>
      <w:r w:rsidR="00E75B64">
        <w:rPr>
          <w:b/>
          <w:noProof/>
          <w:szCs w:val="24"/>
        </w:rPr>
        <w:t>“</w:t>
      </w:r>
      <w:r w:rsidRPr="00930237">
        <w:rPr>
          <w:b/>
          <w:noProof/>
          <w:szCs w:val="24"/>
        </w:rPr>
        <w:t>Izmantot digitalizācijas priekšrocības pilsoņiem, uzņēmumiem un valdībām</w:t>
      </w:r>
      <w:r w:rsidR="00E75B64">
        <w:rPr>
          <w:b/>
          <w:noProof/>
          <w:szCs w:val="24"/>
        </w:rPr>
        <w:t>”</w:t>
      </w:r>
    </w:p>
    <w:p w14:paraId="504480A2" w14:textId="1A3F9420" w:rsidR="00AC212B" w:rsidRPr="00CD3901" w:rsidRDefault="00AC212B" w:rsidP="007545BD">
      <w:pPr>
        <w:pStyle w:val="Normal1"/>
        <w:numPr>
          <w:ilvl w:val="0"/>
          <w:numId w:val="60"/>
        </w:numPr>
        <w:spacing w:line="240" w:lineRule="auto"/>
        <w:ind w:left="567" w:hanging="567"/>
        <w:jc w:val="both"/>
        <w:rPr>
          <w:rFonts w:ascii="Times New Roman" w:hAnsi="Times New Roman" w:cs="Times New Roman"/>
          <w:noProof/>
          <w:sz w:val="24"/>
          <w:szCs w:val="24"/>
        </w:rPr>
      </w:pPr>
      <w:r w:rsidRPr="00930237">
        <w:rPr>
          <w:rFonts w:ascii="Times New Roman" w:hAnsi="Times New Roman" w:cs="Times New Roman"/>
          <w:b/>
          <w:sz w:val="24"/>
          <w:szCs w:val="24"/>
        </w:rPr>
        <w:t>Atbalstāmās darbības:</w:t>
      </w:r>
      <w:r w:rsidRPr="00930237">
        <w:rPr>
          <w:rFonts w:ascii="Times New Roman" w:eastAsia="Times New Roman" w:hAnsi="Times New Roman" w:cs="Times New Roman"/>
          <w:b/>
          <w:sz w:val="24"/>
          <w:szCs w:val="24"/>
        </w:rPr>
        <w:t xml:space="preserve"> </w:t>
      </w:r>
      <w:r w:rsidRPr="00CD3901">
        <w:rPr>
          <w:rFonts w:ascii="Times New Roman" w:hAnsi="Times New Roman" w:cs="Times New Roman"/>
          <w:b/>
          <w:noProof/>
          <w:sz w:val="24"/>
          <w:szCs w:val="24"/>
        </w:rPr>
        <w:t>Publisko informācijas sistēmu atvēršana izmantošanai privātajam sektoram</w:t>
      </w:r>
      <w:r w:rsidRPr="00581F62">
        <w:rPr>
          <w:rFonts w:ascii="Times New Roman" w:hAnsi="Times New Roman" w:cs="Times New Roman"/>
          <w:noProof/>
          <w:sz w:val="24"/>
          <w:szCs w:val="24"/>
        </w:rPr>
        <w:t xml:space="preserve"> jaunu, inovatīvu pakalpojumu veidošanai. Ekonomikas digitalizācijas veicināšana valsts pārvaldei</w:t>
      </w:r>
      <w:r w:rsidRPr="00CD3901">
        <w:rPr>
          <w:rFonts w:ascii="Times New Roman" w:hAnsi="Times New Roman" w:cs="Times New Roman"/>
          <w:noProof/>
          <w:sz w:val="24"/>
          <w:szCs w:val="24"/>
        </w:rPr>
        <w:t xml:space="preserve"> un pašvaldībām attīstot </w:t>
      </w:r>
      <w:r w:rsidR="00D61D3E">
        <w:rPr>
          <w:rFonts w:ascii="Times New Roman" w:hAnsi="Times New Roman" w:cs="Times New Roman"/>
          <w:noProof/>
          <w:sz w:val="24"/>
          <w:szCs w:val="24"/>
        </w:rPr>
        <w:t>inovatīvas mākoņpakalpojumu platformas, kas nodrošina</w:t>
      </w:r>
      <w:r w:rsidR="00D61D3E" w:rsidRPr="00930237">
        <w:rPr>
          <w:rFonts w:ascii="Times New Roman" w:hAnsi="Times New Roman" w:cs="Times New Roman"/>
          <w:noProof/>
          <w:sz w:val="24"/>
          <w:szCs w:val="24"/>
        </w:rPr>
        <w:t xml:space="preserve"> </w:t>
      </w:r>
      <w:r w:rsidRPr="00CD3901">
        <w:rPr>
          <w:rFonts w:ascii="Times New Roman" w:hAnsi="Times New Roman" w:cs="Times New Roman"/>
          <w:noProof/>
          <w:sz w:val="24"/>
          <w:szCs w:val="24"/>
        </w:rPr>
        <w:t xml:space="preserve">koplietošanas datu apmaiņas, pakalpojumu digitalizācijas un procesu automatizācijas atbalsta </w:t>
      </w:r>
      <w:r w:rsidR="00D61D3E">
        <w:rPr>
          <w:rFonts w:ascii="Times New Roman" w:hAnsi="Times New Roman" w:cs="Times New Roman"/>
          <w:noProof/>
          <w:sz w:val="24"/>
          <w:szCs w:val="24"/>
        </w:rPr>
        <w:t xml:space="preserve">infrastruktūru </w:t>
      </w:r>
      <w:r w:rsidRPr="00CD3901">
        <w:rPr>
          <w:rFonts w:ascii="Times New Roman" w:hAnsi="Times New Roman" w:cs="Times New Roman"/>
          <w:noProof/>
          <w:sz w:val="24"/>
          <w:szCs w:val="24"/>
        </w:rPr>
        <w:t>, t.sk. izveidojot reāllaika atvērto un kopīgi izmantojamo datu saskarņu platformas digitālo ekosistēmu,  pakalpojumu automatizācijas risinājumu attīstība</w:t>
      </w:r>
      <w:r w:rsidR="00D61D3E">
        <w:rPr>
          <w:rFonts w:ascii="Times New Roman" w:hAnsi="Times New Roman" w:cs="Times New Roman"/>
          <w:noProof/>
          <w:sz w:val="24"/>
          <w:szCs w:val="24"/>
        </w:rPr>
        <w:t>, t.sk. izmantojot mākslīgā intelekta un mašīnmācīšanās tehnoloģijas</w:t>
      </w:r>
      <w:r w:rsidRPr="00CD3901">
        <w:rPr>
          <w:rFonts w:ascii="Times New Roman" w:hAnsi="Times New Roman" w:cs="Times New Roman"/>
          <w:noProof/>
          <w:sz w:val="24"/>
          <w:szCs w:val="24"/>
        </w:rPr>
        <w:t xml:space="preserve"> uzņēmēju ērtībai, saskarņu atvēršana integrācijai privātā sektora risinājumos, tautsaimniecības dalībnieku rīcībā esošo datu atvēršana un pieejamības nodrošināšana kopīgai izmantošanai tautsaimniecības digitālajai transformācijai, kā arī koplietošanas platformu darbināšanai nepieciešamās IKT infrastruktūras attīstība. Piemēram, atlaižu un subsīdiju pārvaldības platforma papildus valsts un pašvaldību subsīdiju pārvaldības funkcionalitātei nodrošinās iespēju komersantiem integrēt savus risinājumus efektīvai subsidētu pakalpojumu sniegšanai (piemēram, sabiedriskā transporta, ēdināšanas skolās u.c. pakalpojumu sniegšanu ar diferencētām atlaidēm – subsīdijām dažādām sabiedrības grupām), kā arī atbalstīs arī komersantu atlaižu (t.sk. lojalitātes programmu) risinājumus. Savukārt, datu pārvaldības platforma kalpos komersantu digitālo pakalpojumu un darba procesu digitalizācijai, nodrošinot personu datu apstrādes atļauju efektīvu pārvaldību. Papildus tam, ka komersanti varēs izmantot platformu valsts pārvaldes rīcībā esošo datu iegūšanas atļauju saņemšanai no privātpersonām, tā būs izmantojama arī datu apstrādes atļauju pārvaldībai arī bez tiešas saistības ar valsts pārvaldes datiem. Atlaižu, subsīdiju un datu apstrādes atļauju pārvaldības risinājumu pielietojums nav atkarīgs no konkrētām nozarēm, turpretī uz ģeotelpisko datu apstrādi orientētie valsts platformu risinājumi būs orientēti uz konkrētu nozaru komersantiem, prognozējot būtisku ietekmi uz būvniecības, mežkopības un mežizstrādes (forestry)</w:t>
      </w:r>
      <w:r w:rsidR="00581F62">
        <w:rPr>
          <w:rFonts w:ascii="Times New Roman" w:hAnsi="Times New Roman" w:cs="Times New Roman"/>
          <w:noProof/>
          <w:sz w:val="24"/>
          <w:szCs w:val="24"/>
        </w:rPr>
        <w:t xml:space="preserve"> u.c. nozarēm</w:t>
      </w:r>
      <w:r w:rsidRPr="00CD3901">
        <w:rPr>
          <w:rFonts w:ascii="Times New Roman" w:hAnsi="Times New Roman" w:cs="Times New Roman"/>
          <w:noProof/>
          <w:sz w:val="24"/>
          <w:szCs w:val="24"/>
        </w:rPr>
        <w:t>, kā arī vidi ietekmējošo ražotāju digitālo integrāciju. Risinājumi paredzēti dažādās politikas jomās, t.sk. valsts nodokļu politikas īstenošanas nodrošināšanai, elektroniskās muitas vides attīstībai</w:t>
      </w:r>
      <w:r w:rsidR="00581F62">
        <w:rPr>
          <w:rFonts w:ascii="Times New Roman" w:hAnsi="Times New Roman" w:cs="Times New Roman"/>
          <w:noProof/>
          <w:sz w:val="24"/>
          <w:szCs w:val="24"/>
        </w:rPr>
        <w:t>, kā arī, piemēram, bezpilota gaisa kuģu pārvaldības sistēmas attīstība</w:t>
      </w:r>
      <w:r w:rsidRPr="00CD3901">
        <w:rPr>
          <w:rFonts w:ascii="Times New Roman" w:hAnsi="Times New Roman" w:cs="Times New Roman"/>
          <w:noProof/>
          <w:sz w:val="24"/>
          <w:szCs w:val="24"/>
        </w:rPr>
        <w:t>. Lai garantētu komersantu reālo vajadzību īstenošanu valsts pārvaldes platformu izstrādes un ieviešanas ietvaros, komersantu un nevalstisko organizāciju pārstāvji tiks iesaistīti projektu konsultatīvo padomju darbībā un projektu rezultāta rādītājos tiks prasīta risinājumu produktīva izmantošana arī privātajā sektorā. Papildus stimulu komersantiem radīs 1.2 prioritātes 1.2.2.SAM uzņēmējdarbības digitālās integrācijas stimulēšanas atbalsta pasākums, ar kuru tiks nodrošināta sinerģija (saskaņoti ieviešanas nosacījumi un projektu iesniegumu atlases kritēriji), lai maksimizētu kopējo ietekmi.</w:t>
      </w:r>
    </w:p>
    <w:p w14:paraId="6F0797D9" w14:textId="77777777" w:rsidR="00AC212B" w:rsidRPr="00930237"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sz w:val="24"/>
          <w:szCs w:val="24"/>
        </w:rPr>
      </w:pPr>
      <w:r w:rsidRPr="00930237">
        <w:rPr>
          <w:rFonts w:ascii="Times New Roman" w:hAnsi="Times New Roman" w:cs="Times New Roman"/>
          <w:b/>
          <w:bCs/>
          <w:noProof/>
          <w:sz w:val="24"/>
          <w:szCs w:val="24"/>
        </w:rPr>
        <w:t>Datu atvēršana</w:t>
      </w:r>
      <w:r w:rsidRPr="00930237">
        <w:rPr>
          <w:rFonts w:ascii="Times New Roman" w:hAnsi="Times New Roman" w:cs="Times New Roman"/>
          <w:noProof/>
          <w:sz w:val="24"/>
          <w:szCs w:val="24"/>
        </w:rPr>
        <w:t xml:space="preserve"> </w:t>
      </w:r>
      <w:r w:rsidRPr="00930237">
        <w:rPr>
          <w:rFonts w:ascii="Times New Roman" w:hAnsi="Times New Roman" w:cs="Times New Roman"/>
          <w:b/>
          <w:bCs/>
          <w:noProof/>
          <w:sz w:val="24"/>
          <w:szCs w:val="24"/>
        </w:rPr>
        <w:t>privātajam sektoram</w:t>
      </w:r>
      <w:r w:rsidRPr="00930237">
        <w:rPr>
          <w:rFonts w:ascii="Times New Roman" w:hAnsi="Times New Roman" w:cs="Times New Roman"/>
          <w:noProof/>
          <w:sz w:val="24"/>
          <w:szCs w:val="24"/>
        </w:rPr>
        <w:t xml:space="preserve"> – saistīto atvērto datu ekosistēmas un datu garantētas piegādes pakalpojuma izveide, t.sk. kvalitātes standartu izveide un ieviešana, datu kopu ar augstu pievienoto vērtību atvēršana.</w:t>
      </w:r>
    </w:p>
    <w:p w14:paraId="1159473C" w14:textId="6CAADDBF" w:rsidR="00AC212B" w:rsidRPr="00930237"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sz w:val="24"/>
          <w:szCs w:val="24"/>
        </w:rPr>
      </w:pPr>
      <w:r w:rsidRPr="00930237">
        <w:rPr>
          <w:rFonts w:ascii="Times New Roman" w:hAnsi="Times New Roman" w:cs="Times New Roman"/>
          <w:b/>
          <w:bCs/>
          <w:noProof/>
          <w:sz w:val="24"/>
          <w:szCs w:val="24"/>
        </w:rPr>
        <w:t>Procesu pārveide efektīvai tautsaimniecības digitālās transformācijas īstenošanai</w:t>
      </w:r>
      <w:r w:rsidRPr="00930237">
        <w:rPr>
          <w:rFonts w:ascii="Times New Roman" w:hAnsi="Times New Roman" w:cs="Times New Roman"/>
          <w:bCs/>
          <w:noProof/>
          <w:sz w:val="24"/>
          <w:szCs w:val="24"/>
        </w:rPr>
        <w:t xml:space="preserve">, izmantojot </w:t>
      </w:r>
      <w:r w:rsidRPr="00930237">
        <w:rPr>
          <w:rFonts w:ascii="Times New Roman" w:hAnsi="Times New Roman" w:cs="Times New Roman"/>
          <w:noProof/>
          <w:sz w:val="24"/>
          <w:szCs w:val="24"/>
        </w:rPr>
        <w:t>inovatīvas tehnoloģijas un pieejas, t</w:t>
      </w:r>
      <w:r w:rsidR="00AC3040">
        <w:rPr>
          <w:rFonts w:ascii="Times New Roman" w:hAnsi="Times New Roman" w:cs="Times New Roman"/>
          <w:noProof/>
          <w:sz w:val="24"/>
          <w:szCs w:val="24"/>
        </w:rPr>
        <w:t>.sk.</w:t>
      </w:r>
      <w:r w:rsidRPr="00930237">
        <w:rPr>
          <w:rFonts w:ascii="Times New Roman" w:hAnsi="Times New Roman" w:cs="Times New Roman"/>
          <w:noProof/>
          <w:sz w:val="24"/>
          <w:szCs w:val="24"/>
        </w:rPr>
        <w:t xml:space="preserve"> mākslīgā intelekta un mašīnmācīšanās risinājumus, kā arī ieviešot</w:t>
      </w:r>
      <w:r w:rsidRPr="00930237">
        <w:rPr>
          <w:rFonts w:ascii="Times New Roman" w:hAnsi="Times New Roman" w:cs="Times New Roman"/>
          <w:bCs/>
          <w:noProof/>
          <w:sz w:val="24"/>
          <w:szCs w:val="24"/>
        </w:rPr>
        <w:t xml:space="preserve"> datos balstītas </w:t>
      </w:r>
      <w:r w:rsidRPr="00930237">
        <w:rPr>
          <w:rFonts w:ascii="Times New Roman" w:hAnsi="Times New Roman" w:cs="Times New Roman"/>
          <w:noProof/>
          <w:sz w:val="24"/>
          <w:szCs w:val="24"/>
        </w:rPr>
        <w:t>prognozēšanas</w:t>
      </w:r>
      <w:r w:rsidRPr="00930237">
        <w:rPr>
          <w:rFonts w:ascii="Times New Roman" w:hAnsi="Times New Roman" w:cs="Times New Roman"/>
          <w:bCs/>
          <w:noProof/>
          <w:sz w:val="24"/>
          <w:szCs w:val="24"/>
        </w:rPr>
        <w:t xml:space="preserve"> un lēmumu pieņemšanas </w:t>
      </w:r>
      <w:r w:rsidRPr="00930237">
        <w:rPr>
          <w:rFonts w:ascii="Times New Roman" w:hAnsi="Times New Roman" w:cs="Times New Roman"/>
          <w:noProof/>
          <w:sz w:val="24"/>
          <w:szCs w:val="24"/>
        </w:rPr>
        <w:t>pieeju pakalpojumu un procesu pāvaldībā</w:t>
      </w:r>
      <w:r w:rsidR="00581F62" w:rsidRPr="00581F62">
        <w:rPr>
          <w:rFonts w:ascii="Times New Roman" w:hAnsi="Times New Roman" w:cs="Times New Roman"/>
          <w:noProof/>
          <w:sz w:val="24"/>
          <w:szCs w:val="24"/>
        </w:rPr>
        <w:t xml:space="preserve"> un nodrošinot pilnvērtīgu informācijas</w:t>
      </w:r>
      <w:r w:rsidR="00581F62">
        <w:rPr>
          <w:rFonts w:ascii="Times New Roman" w:hAnsi="Times New Roman" w:cs="Times New Roman"/>
          <w:noProof/>
          <w:sz w:val="24"/>
          <w:szCs w:val="24"/>
        </w:rPr>
        <w:t xml:space="preserve"> vienreizes principa īstenošanu</w:t>
      </w:r>
      <w:r w:rsidRPr="00930237">
        <w:rPr>
          <w:rFonts w:ascii="Times New Roman" w:eastAsia="Times New Roman" w:hAnsi="Times New Roman" w:cs="Times New Roman"/>
          <w:sz w:val="24"/>
          <w:szCs w:val="24"/>
        </w:rPr>
        <w:t>.</w:t>
      </w:r>
    </w:p>
    <w:p w14:paraId="290E95C0" w14:textId="77777777" w:rsidR="00AC212B" w:rsidRPr="00930237" w:rsidRDefault="00AC212B" w:rsidP="007545BD">
      <w:pPr>
        <w:pStyle w:val="ListParagraph"/>
        <w:numPr>
          <w:ilvl w:val="0"/>
          <w:numId w:val="60"/>
        </w:numPr>
        <w:spacing w:after="0" w:line="240" w:lineRule="auto"/>
        <w:ind w:left="567" w:hanging="567"/>
        <w:jc w:val="both"/>
        <w:rPr>
          <w:rFonts w:ascii="Times New Roman" w:eastAsiaTheme="minorEastAsia" w:hAnsi="Times New Roman" w:cs="Times New Roman"/>
          <w:sz w:val="24"/>
          <w:szCs w:val="24"/>
        </w:rPr>
      </w:pPr>
      <w:r w:rsidRPr="00930237">
        <w:rPr>
          <w:rFonts w:ascii="Times New Roman" w:hAnsi="Times New Roman" w:cs="Times New Roman"/>
          <w:b/>
          <w:bCs/>
          <w:noProof/>
          <w:sz w:val="24"/>
          <w:szCs w:val="24"/>
        </w:rPr>
        <w:t>Vienotas IKT arhitektūras pārvaldības sistēmas attīstība un izvēršana</w:t>
      </w:r>
      <w:r w:rsidRPr="00930237">
        <w:rPr>
          <w:rFonts w:ascii="Times New Roman" w:hAnsi="Times New Roman" w:cs="Times New Roman"/>
          <w:noProof/>
          <w:sz w:val="24"/>
          <w:szCs w:val="24"/>
        </w:rPr>
        <w:t xml:space="preserve">, integrējot IKT pārvaldības procesus, tehnoloģiski pārvaldot IKT arhitektūru, </w:t>
      </w:r>
      <w:r w:rsidRPr="00930237">
        <w:rPr>
          <w:rFonts w:ascii="Times New Roman" w:eastAsia="Times New Roman" w:hAnsi="Times New Roman" w:cs="Times New Roman"/>
          <w:noProof/>
          <w:sz w:val="24"/>
          <w:szCs w:val="24"/>
        </w:rPr>
        <w:t xml:space="preserve">kā arī pārvaldot konceptuālo IKT arhitektūru attiecībā uz darbības programmas ietvaros plānotajiem IKT projektiem, </w:t>
      </w:r>
      <w:r w:rsidRPr="00930237">
        <w:rPr>
          <w:rFonts w:ascii="Times New Roman" w:eastAsiaTheme="minorEastAsia" w:hAnsi="Times New Roman" w:cs="Times New Roman"/>
          <w:noProof/>
          <w:sz w:val="24"/>
          <w:szCs w:val="24"/>
        </w:rPr>
        <w:t xml:space="preserve">digitālās transformācijas projektu attīstības koordinācija un programmu pārvaldība, nodrošinot efektīvu, komercsektora vajadzībām atbilstošā pakalpojumu kvalitātes līmenī funkcionējošu </w:t>
      </w:r>
      <w:r w:rsidRPr="00930237">
        <w:rPr>
          <w:rFonts w:ascii="Times New Roman" w:hAnsi="Times New Roman" w:cs="Times New Roman"/>
          <w:noProof/>
          <w:sz w:val="24"/>
          <w:szCs w:val="24"/>
        </w:rPr>
        <w:t>koplietošanas platformu izveidi un attīstību</w:t>
      </w:r>
      <w:r w:rsidRPr="00930237">
        <w:rPr>
          <w:rFonts w:ascii="Times New Roman" w:eastAsiaTheme="minorEastAsia" w:hAnsi="Times New Roman" w:cs="Times New Roman"/>
          <w:noProof/>
          <w:sz w:val="24"/>
          <w:szCs w:val="24"/>
        </w:rPr>
        <w:t>.</w:t>
      </w:r>
    </w:p>
    <w:p w14:paraId="2F93AF22" w14:textId="77777777" w:rsidR="00AC212B" w:rsidRPr="00930237"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sz w:val="24"/>
          <w:szCs w:val="24"/>
        </w:rPr>
      </w:pPr>
      <w:r w:rsidRPr="00930237">
        <w:rPr>
          <w:rFonts w:ascii="Times New Roman" w:hAnsi="Times New Roman" w:cs="Times New Roman"/>
          <w:bCs/>
          <w:noProof/>
          <w:sz w:val="24"/>
          <w:szCs w:val="24"/>
        </w:rPr>
        <w:t>Vienotas integrētas, sadarbspējīgas, vienotās digitālās vārtejas prasībām un pārrobežu pakalpojumu sniegšanai atbilstošas tautsaimniecības digitālo tranformāciju veicinošas pakalpojumu digitalizācijas atbalsta vides attīstīšana un paplašināšana</w:t>
      </w:r>
      <w:r w:rsidRPr="00930237">
        <w:rPr>
          <w:rFonts w:ascii="Times New Roman" w:hAnsi="Times New Roman" w:cs="Times New Roman"/>
          <w:noProof/>
          <w:sz w:val="24"/>
          <w:szCs w:val="24"/>
        </w:rPr>
        <w:t>.</w:t>
      </w:r>
    </w:p>
    <w:p w14:paraId="4FB270A9" w14:textId="0CC9BDED" w:rsidR="00AC212B" w:rsidRPr="00930237"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sz w:val="24"/>
          <w:szCs w:val="24"/>
        </w:rPr>
      </w:pPr>
      <w:r w:rsidRPr="00930237">
        <w:rPr>
          <w:rFonts w:ascii="Times New Roman" w:hAnsi="Times New Roman" w:cs="Times New Roman"/>
          <w:bCs/>
          <w:noProof/>
          <w:sz w:val="24"/>
          <w:szCs w:val="24"/>
        </w:rPr>
        <w:t>Pakalpojumu digitalizācijas atbalsta infrastruktūras un valsts pārvaldes</w:t>
      </w:r>
      <w:r w:rsidR="006560CB">
        <w:rPr>
          <w:rFonts w:ascii="Times New Roman" w:hAnsi="Times New Roman" w:cs="Times New Roman"/>
          <w:bCs/>
          <w:noProof/>
          <w:sz w:val="24"/>
          <w:szCs w:val="24"/>
        </w:rPr>
        <w:t xml:space="preserve"> un pašvaldību</w:t>
      </w:r>
      <w:r w:rsidRPr="00930237">
        <w:rPr>
          <w:rFonts w:ascii="Times New Roman" w:hAnsi="Times New Roman" w:cs="Times New Roman"/>
          <w:bCs/>
          <w:noProof/>
          <w:sz w:val="24"/>
          <w:szCs w:val="24"/>
        </w:rPr>
        <w:t xml:space="preserve"> sistēmu sadarbspējas pilnveide datu atvēršanai un pieejamībai komercsektoram, </w:t>
      </w:r>
      <w:r w:rsidRPr="00930237">
        <w:rPr>
          <w:rFonts w:ascii="Times New Roman" w:eastAsia="Times New Roman" w:hAnsi="Times New Roman" w:cs="Times New Roman"/>
          <w:sz w:val="24"/>
          <w:szCs w:val="24"/>
        </w:rPr>
        <w:t>nodrošinot to kopīgu izmantošanu tautsaimniecības digitālajai transformācijai</w:t>
      </w:r>
      <w:r w:rsidRPr="00930237">
        <w:rPr>
          <w:rFonts w:ascii="Times New Roman" w:hAnsi="Times New Roman" w:cs="Times New Roman"/>
          <w:noProof/>
          <w:sz w:val="24"/>
          <w:szCs w:val="24"/>
        </w:rPr>
        <w:t>.</w:t>
      </w:r>
    </w:p>
    <w:p w14:paraId="0B98DDE9" w14:textId="77777777" w:rsidR="00AC212B" w:rsidRPr="00930237"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sz w:val="24"/>
          <w:szCs w:val="24"/>
        </w:rPr>
      </w:pPr>
      <w:r w:rsidRPr="00930237">
        <w:rPr>
          <w:rFonts w:ascii="Times New Roman" w:hAnsi="Times New Roman" w:cs="Times New Roman"/>
          <w:bCs/>
          <w:noProof/>
          <w:sz w:val="24"/>
          <w:szCs w:val="24"/>
        </w:rPr>
        <w:t>Vienota personas profila attīstīšana un izvēršana</w:t>
      </w:r>
      <w:r w:rsidRPr="00930237">
        <w:rPr>
          <w:rFonts w:ascii="Times New Roman" w:hAnsi="Times New Roman" w:cs="Times New Roman"/>
          <w:noProof/>
          <w:sz w:val="24"/>
          <w:szCs w:val="24"/>
        </w:rPr>
        <w:t xml:space="preserve"> uz iedzīvotāju un uzņēmēju vajadzībām orintētu digitālo pakalpojumu sniegšanai un personas datu pārvaldībai un aizsardzībai.</w:t>
      </w:r>
    </w:p>
    <w:p w14:paraId="0285F74F" w14:textId="77777777"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bCs/>
          <w:noProof/>
          <w:sz w:val="24"/>
          <w:szCs w:val="24"/>
        </w:rPr>
      </w:pPr>
      <w:r w:rsidRPr="00930237">
        <w:rPr>
          <w:rFonts w:ascii="Times New Roman" w:hAnsi="Times New Roman" w:cs="Times New Roman"/>
          <w:bCs/>
          <w:noProof/>
          <w:sz w:val="24"/>
          <w:szCs w:val="24"/>
        </w:rPr>
        <w:t>Dzīves situācijās balstītu, proaktīvu, integrētu un tautsaimniecības digitālo trasformāciju veicinošu pakalpojumu vides un pakalpojumu izveide un attīstīšana.</w:t>
      </w:r>
    </w:p>
    <w:p w14:paraId="686D45FF" w14:textId="77777777"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bCs/>
          <w:noProof/>
          <w:sz w:val="24"/>
          <w:szCs w:val="24"/>
        </w:rPr>
      </w:pPr>
      <w:r w:rsidRPr="00930237">
        <w:rPr>
          <w:rFonts w:ascii="Times New Roman" w:hAnsi="Times New Roman" w:cs="Times New Roman"/>
          <w:bCs/>
          <w:noProof/>
          <w:sz w:val="24"/>
          <w:szCs w:val="24"/>
        </w:rPr>
        <w:t>Koplietošanas platformu pakalpojumu integrācija platformu lietotāju, t.sk. komersantu, informācijas sistēmās.</w:t>
      </w:r>
    </w:p>
    <w:p w14:paraId="43233F99" w14:textId="77777777"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bCs/>
          <w:noProof/>
          <w:sz w:val="24"/>
          <w:szCs w:val="24"/>
        </w:rPr>
      </w:pPr>
      <w:r w:rsidRPr="00930237">
        <w:rPr>
          <w:rFonts w:ascii="Times New Roman" w:hAnsi="Times New Roman" w:cs="Times New Roman"/>
          <w:bCs/>
          <w:noProof/>
          <w:sz w:val="24"/>
          <w:szCs w:val="24"/>
        </w:rPr>
        <w:t>Drošas elektroniskās identifikācijas, saziņas un parakstīšanās sistēmu valstī izvēršana komercsektora efektīvas digitalizcijas atbalstam.</w:t>
      </w:r>
    </w:p>
    <w:p w14:paraId="3A4BBA02" w14:textId="7209DD7F" w:rsidR="00AC212B" w:rsidRPr="00930237"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sz w:val="24"/>
          <w:szCs w:val="24"/>
        </w:rPr>
      </w:pPr>
      <w:r w:rsidRPr="00930237">
        <w:rPr>
          <w:rFonts w:ascii="Times New Roman" w:hAnsi="Times New Roman" w:cs="Times New Roman"/>
          <w:noProof/>
          <w:sz w:val="24"/>
          <w:szCs w:val="24"/>
        </w:rPr>
        <w:t xml:space="preserve">Izveidoto valsts pārvaldes un pašvaldību koplietošanas platformu, kā arī citu šī SAM ietvaros izveidoto/pilnveidoto risinājumu </w:t>
      </w:r>
      <w:r w:rsidRPr="00930237">
        <w:rPr>
          <w:rFonts w:ascii="Times New Roman" w:hAnsi="Times New Roman" w:cs="Times New Roman"/>
          <w:bCs/>
          <w:noProof/>
          <w:sz w:val="24"/>
          <w:szCs w:val="24"/>
        </w:rPr>
        <w:t>lietotāju un adminstratoru apmācība</w:t>
      </w:r>
      <w:r w:rsidRPr="00930237">
        <w:rPr>
          <w:rFonts w:ascii="Times New Roman" w:hAnsi="Times New Roman" w:cs="Times New Roman"/>
          <w:noProof/>
          <w:sz w:val="24"/>
          <w:szCs w:val="24"/>
        </w:rPr>
        <w:t>. Pakalpojumu lietojamības/piekļ</w:t>
      </w:r>
      <w:r w:rsidR="000975C8">
        <w:rPr>
          <w:rFonts w:ascii="Times New Roman" w:hAnsi="Times New Roman" w:cs="Times New Roman"/>
          <w:noProof/>
          <w:sz w:val="24"/>
          <w:szCs w:val="24"/>
        </w:rPr>
        <w:t>ū</w:t>
      </w:r>
      <w:r w:rsidRPr="00930237">
        <w:rPr>
          <w:rFonts w:ascii="Times New Roman" w:hAnsi="Times New Roman" w:cs="Times New Roman"/>
          <w:noProof/>
          <w:sz w:val="24"/>
          <w:szCs w:val="24"/>
        </w:rPr>
        <w:t>stamības pilnveide.</w:t>
      </w:r>
    </w:p>
    <w:p w14:paraId="062BA803" w14:textId="7F834DBD" w:rsidR="00AC212B" w:rsidRPr="00930237" w:rsidRDefault="00AC212B" w:rsidP="007545BD">
      <w:pPr>
        <w:pStyle w:val="ListParagraph"/>
        <w:numPr>
          <w:ilvl w:val="0"/>
          <w:numId w:val="60"/>
        </w:numPr>
        <w:spacing w:after="0" w:line="240" w:lineRule="auto"/>
        <w:ind w:left="567" w:hanging="567"/>
        <w:jc w:val="both"/>
        <w:rPr>
          <w:rFonts w:ascii="Times New Roman" w:eastAsiaTheme="minorEastAsia" w:hAnsi="Times New Roman" w:cs="Times New Roman"/>
          <w:bCs/>
          <w:noProof/>
          <w:sz w:val="24"/>
          <w:szCs w:val="24"/>
        </w:rPr>
      </w:pPr>
      <w:r w:rsidRPr="00930237">
        <w:rPr>
          <w:rFonts w:ascii="Times New Roman" w:hAnsi="Times New Roman" w:cs="Times New Roman"/>
          <w:noProof/>
          <w:sz w:val="24"/>
          <w:szCs w:val="24"/>
        </w:rPr>
        <w:t xml:space="preserve">Veidojamo valsts pārvaldes un pašvaldību koplietošanas platformu, kā arī citu šī SAM ietvaros izveidoto/pilnveidoto risinājumu </w:t>
      </w:r>
      <w:r w:rsidR="00581F62" w:rsidRPr="00581F62">
        <w:rPr>
          <w:rFonts w:ascii="Times New Roman" w:hAnsi="Times New Roman" w:cs="Times New Roman"/>
          <w:noProof/>
          <w:sz w:val="24"/>
          <w:szCs w:val="24"/>
        </w:rPr>
        <w:t>attīstība, izmantojot inovatīvas tehnoloģijas un pieejas, t</w:t>
      </w:r>
      <w:r w:rsidR="00AC3040">
        <w:rPr>
          <w:rFonts w:ascii="Times New Roman" w:hAnsi="Times New Roman" w:cs="Times New Roman"/>
          <w:noProof/>
          <w:sz w:val="24"/>
          <w:szCs w:val="24"/>
        </w:rPr>
        <w:t>.sk.,</w:t>
      </w:r>
      <w:r w:rsidR="00581F62" w:rsidRPr="00581F62">
        <w:rPr>
          <w:rFonts w:ascii="Times New Roman" w:hAnsi="Times New Roman" w:cs="Times New Roman"/>
          <w:noProof/>
          <w:sz w:val="24"/>
          <w:szCs w:val="24"/>
        </w:rPr>
        <w:t xml:space="preserve"> mākslīgā intelekta un mašīnmācīšanās risinājumus</w:t>
      </w:r>
      <w:r w:rsidRPr="00930237">
        <w:rPr>
          <w:rFonts w:ascii="Times New Roman" w:hAnsi="Times New Roman" w:cs="Times New Roman"/>
          <w:noProof/>
          <w:sz w:val="24"/>
          <w:szCs w:val="24"/>
        </w:rPr>
        <w:t xml:space="preserve">, </w:t>
      </w:r>
      <w:r w:rsidRPr="00930237">
        <w:rPr>
          <w:rFonts w:ascii="Times New Roman" w:hAnsi="Times New Roman" w:cs="Times New Roman"/>
          <w:bCs/>
          <w:noProof/>
          <w:sz w:val="24"/>
          <w:szCs w:val="24"/>
        </w:rPr>
        <w:t>attīstot publiskās pārvaldes inovācijas eko-sistēmu</w:t>
      </w:r>
      <w:r w:rsidRPr="00930237">
        <w:rPr>
          <w:rFonts w:ascii="Times New Roman" w:hAnsi="Times New Roman" w:cs="Times New Roman"/>
          <w:noProof/>
          <w:sz w:val="24"/>
          <w:szCs w:val="24"/>
        </w:rPr>
        <w:t xml:space="preserve">, t.sk. izveidojot vienotu eksperimentēšanas ietvaru, </w:t>
      </w:r>
      <w:r w:rsidR="006434E0" w:rsidRPr="006434E0">
        <w:rPr>
          <w:rFonts w:ascii="Times New Roman" w:hAnsi="Times New Roman" w:cs="Times New Roman"/>
          <w:noProof/>
          <w:sz w:val="24"/>
          <w:szCs w:val="24"/>
        </w:rPr>
        <w:t xml:space="preserve">attīstot inovācijas laboratoriju, izstrādājot starpsektoru inovāciju prototipus, </w:t>
      </w:r>
      <w:r w:rsidRPr="00930237">
        <w:rPr>
          <w:rFonts w:ascii="Times New Roman" w:hAnsi="Times New Roman" w:cs="Times New Roman"/>
          <w:noProof/>
          <w:sz w:val="24"/>
          <w:szCs w:val="24"/>
        </w:rPr>
        <w:t>nodrošinot sasaisti ar pētījumiem, izveidojot metodoloģisko bāzi, nodrošinot starpsektoru kompetenci, nodrošinot sasaisti ar nozaru politiku un komersantu attīstības vajadzībām, iesaistot potenciālos platformu lietotāju.</w:t>
      </w:r>
    </w:p>
    <w:p w14:paraId="53D920EE" w14:textId="59F90A67" w:rsidR="00AC212B" w:rsidRPr="00930237" w:rsidRDefault="00AC212B" w:rsidP="007545BD">
      <w:pPr>
        <w:pStyle w:val="ListParagraph"/>
        <w:numPr>
          <w:ilvl w:val="0"/>
          <w:numId w:val="60"/>
        </w:numPr>
        <w:spacing w:after="0" w:line="240" w:lineRule="auto"/>
        <w:ind w:left="567" w:hanging="567"/>
        <w:jc w:val="both"/>
        <w:rPr>
          <w:rFonts w:ascii="Times New Roman" w:eastAsiaTheme="minorEastAsia" w:hAnsi="Times New Roman" w:cs="Times New Roman"/>
          <w:bCs/>
          <w:noProof/>
          <w:sz w:val="24"/>
          <w:szCs w:val="24"/>
        </w:rPr>
      </w:pPr>
      <w:r w:rsidRPr="00930237">
        <w:rPr>
          <w:rFonts w:ascii="Times New Roman" w:eastAsia="Times New Roman" w:hAnsi="Times New Roman" w:cs="Times New Roman"/>
          <w:noProof/>
          <w:sz w:val="24"/>
          <w:szCs w:val="24"/>
        </w:rPr>
        <w:t>Pasākumi digitālās transformācijas politikas un moderno tehnoloģiju ieviešanai</w:t>
      </w:r>
      <w:r w:rsidR="00581F62">
        <w:rPr>
          <w:rFonts w:ascii="Times New Roman" w:eastAsia="Times New Roman" w:hAnsi="Times New Roman" w:cs="Times New Roman"/>
          <w:noProof/>
          <w:sz w:val="24"/>
          <w:szCs w:val="24"/>
        </w:rPr>
        <w:t xml:space="preserve">, </w:t>
      </w:r>
      <w:r w:rsidR="00581F62" w:rsidRPr="00104D7C">
        <w:rPr>
          <w:rFonts w:ascii="Times New Roman" w:eastAsia="Times New Roman" w:hAnsi="Times New Roman" w:cs="Times New Roman"/>
          <w:noProof/>
          <w:sz w:val="24"/>
          <w:szCs w:val="24"/>
        </w:rPr>
        <w:t>izmantojot inovatīvas tehnoloģijas un pieejas, t</w:t>
      </w:r>
      <w:r w:rsidR="00102172">
        <w:rPr>
          <w:rFonts w:ascii="Times New Roman" w:eastAsia="Times New Roman" w:hAnsi="Times New Roman" w:cs="Times New Roman"/>
          <w:noProof/>
          <w:sz w:val="24"/>
          <w:szCs w:val="24"/>
        </w:rPr>
        <w:t>.sk.,</w:t>
      </w:r>
      <w:r w:rsidR="00581F62" w:rsidRPr="00104D7C">
        <w:rPr>
          <w:rFonts w:ascii="Times New Roman" w:eastAsia="Times New Roman" w:hAnsi="Times New Roman" w:cs="Times New Roman"/>
          <w:noProof/>
          <w:sz w:val="24"/>
          <w:szCs w:val="24"/>
        </w:rPr>
        <w:t xml:space="preserve"> mākslīgā intelekta un mašīnmācīšanās risinājumus, kā arī ieviešot datos balstītas prognozēšanas un lēmumu pieņemšanas pieeju pakalp</w:t>
      </w:r>
      <w:r w:rsidR="00581F62">
        <w:rPr>
          <w:rFonts w:ascii="Times New Roman" w:eastAsia="Times New Roman" w:hAnsi="Times New Roman" w:cs="Times New Roman"/>
          <w:noProof/>
          <w:sz w:val="24"/>
          <w:szCs w:val="24"/>
        </w:rPr>
        <w:t>ojumu un procesu pāvaldībā, t.sk.</w:t>
      </w:r>
      <w:r w:rsidR="00581F62" w:rsidRPr="00104D7C">
        <w:rPr>
          <w:rFonts w:ascii="Times New Roman" w:eastAsia="Times New Roman" w:hAnsi="Times New Roman" w:cs="Times New Roman"/>
          <w:noProof/>
          <w:sz w:val="24"/>
          <w:szCs w:val="24"/>
        </w:rPr>
        <w:t xml:space="preserve"> skaitā</w:t>
      </w:r>
      <w:r w:rsidR="00581F62" w:rsidRPr="00930237">
        <w:rPr>
          <w:rFonts w:ascii="Times New Roman" w:eastAsia="Times New Roman" w:hAnsi="Times New Roman" w:cs="Times New Roman"/>
          <w:noProof/>
          <w:sz w:val="24"/>
          <w:szCs w:val="24"/>
        </w:rPr>
        <w:t xml:space="preserve"> </w:t>
      </w:r>
      <w:r w:rsidRPr="00930237">
        <w:rPr>
          <w:rFonts w:ascii="Times New Roman" w:eastAsia="Times New Roman" w:hAnsi="Times New Roman" w:cs="Times New Roman"/>
          <w:noProof/>
          <w:sz w:val="24"/>
          <w:szCs w:val="24"/>
        </w:rPr>
        <w:t xml:space="preserve">pakalpojumu un IKT infrastruktūras pārvaldības, datu pratības, IKT risinājumu drošības un uzraudzības ietvara izveidei, pārmaiņu vadības ieviešanai, komunikācijai un monitoringam valstī,  kā arī darbības, kas vērstas uz IKT infrastruktūras un atbalsta procesu optimizāciju un centralizāciju, t.sk. atbalstot </w:t>
      </w:r>
      <w:r w:rsidR="00581F62" w:rsidRPr="00581F62">
        <w:rPr>
          <w:rFonts w:ascii="Times New Roman" w:eastAsia="Times New Roman" w:hAnsi="Times New Roman" w:cs="Times New Roman"/>
          <w:noProof/>
          <w:sz w:val="24"/>
          <w:szCs w:val="24"/>
        </w:rPr>
        <w:t xml:space="preserve">valsts un pašvaldību </w:t>
      </w:r>
      <w:r w:rsidRPr="00930237">
        <w:rPr>
          <w:rFonts w:ascii="Times New Roman" w:eastAsia="Times New Roman" w:hAnsi="Times New Roman" w:cs="Times New Roman"/>
          <w:noProof/>
          <w:sz w:val="24"/>
          <w:szCs w:val="24"/>
        </w:rPr>
        <w:t xml:space="preserve">IKT kompetenču centrus un atbalsta instrumentus digitālās transformācijas inovāciju ieviešanai, </w:t>
      </w:r>
      <w:r w:rsidRPr="00930237">
        <w:rPr>
          <w:rFonts w:ascii="Times New Roman" w:eastAsia="Calibri" w:hAnsi="Times New Roman" w:cs="Times New Roman"/>
          <w:noProof/>
          <w:sz w:val="24"/>
          <w:szCs w:val="24"/>
        </w:rPr>
        <w:t>t.sk. nepieciešamo prasmju attīstību</w:t>
      </w:r>
      <w:r w:rsidRPr="00930237">
        <w:rPr>
          <w:rFonts w:ascii="Times New Roman" w:eastAsia="Times New Roman" w:hAnsi="Times New Roman" w:cs="Times New Roman"/>
          <w:noProof/>
          <w:sz w:val="24"/>
          <w:szCs w:val="24"/>
        </w:rPr>
        <w:t xml:space="preserve"> un digitālo prasmju mācību programmas īstenošanai. Atbalsts valsts pārvaldes pakalpojumu pārrobežu pieejamības un sadarbspējas nodrošināšanai, </w:t>
      </w:r>
      <w:r w:rsidRPr="00930237">
        <w:rPr>
          <w:rFonts w:ascii="Times New Roman" w:eastAsia="Calibri" w:hAnsi="Times New Roman" w:cs="Times New Roman"/>
          <w:noProof/>
          <w:sz w:val="24"/>
          <w:szCs w:val="24"/>
        </w:rPr>
        <w:t>piekļ</w:t>
      </w:r>
      <w:r w:rsidR="000975C8">
        <w:rPr>
          <w:rFonts w:ascii="Times New Roman" w:eastAsia="Calibri" w:hAnsi="Times New Roman" w:cs="Times New Roman"/>
          <w:noProof/>
          <w:sz w:val="24"/>
          <w:szCs w:val="24"/>
        </w:rPr>
        <w:t>ū</w:t>
      </w:r>
      <w:r w:rsidRPr="00930237">
        <w:rPr>
          <w:rFonts w:ascii="Times New Roman" w:eastAsia="Calibri" w:hAnsi="Times New Roman" w:cs="Times New Roman"/>
          <w:noProof/>
          <w:sz w:val="24"/>
          <w:szCs w:val="24"/>
        </w:rPr>
        <w:t>stamībai un procedūru vienkāršošanai un klientcentrētai transformēšanai.</w:t>
      </w:r>
    </w:p>
    <w:p w14:paraId="0B822ACB" w14:textId="1EFCE42E" w:rsidR="000343B5" w:rsidRPr="00E75B64" w:rsidRDefault="00AC212B" w:rsidP="007545BD">
      <w:pPr>
        <w:pStyle w:val="ListParagraph"/>
        <w:numPr>
          <w:ilvl w:val="0"/>
          <w:numId w:val="60"/>
        </w:numPr>
        <w:spacing w:after="0" w:line="240" w:lineRule="auto"/>
        <w:ind w:left="567" w:hanging="567"/>
        <w:jc w:val="both"/>
        <w:rPr>
          <w:rFonts w:ascii="Times New Roman" w:eastAsiaTheme="minorEastAsia" w:hAnsi="Times New Roman" w:cs="Times New Roman"/>
          <w:b/>
          <w:bCs/>
          <w:sz w:val="24"/>
          <w:szCs w:val="24"/>
        </w:rPr>
      </w:pPr>
      <w:r w:rsidRPr="00930237">
        <w:rPr>
          <w:rFonts w:ascii="Times New Roman" w:hAnsi="Times New Roman" w:cs="Times New Roman"/>
          <w:b/>
          <w:noProof/>
          <w:sz w:val="24"/>
          <w:szCs w:val="24"/>
        </w:rPr>
        <w:t xml:space="preserve">Vienoto valsts un pašvaldību klientu apkalpošanas centru tīkla un vienoto </w:t>
      </w:r>
      <w:r w:rsidRPr="00930237">
        <w:rPr>
          <w:rFonts w:ascii="Times New Roman" w:hAnsi="Times New Roman" w:cs="Times New Roman"/>
          <w:b/>
          <w:bCs/>
          <w:noProof/>
          <w:sz w:val="24"/>
          <w:szCs w:val="24"/>
        </w:rPr>
        <w:t xml:space="preserve">konsultāciju </w:t>
      </w:r>
      <w:r w:rsidRPr="00930237">
        <w:rPr>
          <w:rFonts w:ascii="Times New Roman" w:hAnsi="Times New Roman" w:cs="Times New Roman"/>
          <w:b/>
          <w:noProof/>
          <w:sz w:val="24"/>
          <w:szCs w:val="24"/>
        </w:rPr>
        <w:t xml:space="preserve">dienestu </w:t>
      </w:r>
      <w:r w:rsidRPr="00930237">
        <w:rPr>
          <w:rFonts w:ascii="Times New Roman" w:hAnsi="Times New Roman" w:cs="Times New Roman"/>
          <w:b/>
          <w:bCs/>
          <w:noProof/>
          <w:sz w:val="24"/>
          <w:szCs w:val="24"/>
        </w:rPr>
        <w:t>pakalpojumu pilnveidošana</w:t>
      </w:r>
      <w:r w:rsidRPr="00930237">
        <w:rPr>
          <w:rFonts w:ascii="Times New Roman" w:hAnsi="Times New Roman" w:cs="Times New Roman"/>
          <w:b/>
          <w:noProof/>
          <w:sz w:val="24"/>
          <w:szCs w:val="24"/>
        </w:rPr>
        <w:t xml:space="preserve">, </w:t>
      </w:r>
      <w:r w:rsidR="00581F62" w:rsidRPr="000E4311">
        <w:rPr>
          <w:rFonts w:ascii="Times New Roman" w:hAnsi="Times New Roman" w:cs="Times New Roman"/>
          <w:noProof/>
          <w:sz w:val="24"/>
          <w:szCs w:val="24"/>
        </w:rPr>
        <w:t>t.sk. pašvaldību pakalpojumu un to nodrošināšanai nepieciešamo IKT rīku un procesu pārveide, lai to saņemšanai varētu izmantot “vienas pieturas aģentūras” un vienreizes principus,</w:t>
      </w:r>
      <w:r w:rsidR="00581F62" w:rsidRPr="000E4311">
        <w:rPr>
          <w:rFonts w:ascii="Times New Roman" w:eastAsia="Arial" w:hAnsi="Times New Roman" w:cs="Times New Roman"/>
          <w:bCs/>
          <w:i/>
          <w:noProof/>
          <w:color w:val="000000"/>
          <w:sz w:val="20"/>
          <w:szCs w:val="20"/>
        </w:rPr>
        <w:t xml:space="preserve"> </w:t>
      </w:r>
      <w:r w:rsidR="00581F62" w:rsidRPr="000E4311">
        <w:rPr>
          <w:rFonts w:ascii="Times New Roman" w:hAnsi="Times New Roman" w:cs="Times New Roman"/>
          <w:noProof/>
          <w:sz w:val="24"/>
          <w:szCs w:val="24"/>
        </w:rPr>
        <w:t xml:space="preserve"> </w:t>
      </w:r>
      <w:r w:rsidRPr="00930237">
        <w:rPr>
          <w:rFonts w:ascii="Times New Roman" w:hAnsi="Times New Roman" w:cs="Times New Roman"/>
          <w:b/>
          <w:bCs/>
          <w:sz w:val="24"/>
          <w:szCs w:val="24"/>
        </w:rPr>
        <w:t>lietotāju atbalsta nodrošināšanas funkcionalitātes izveide</w:t>
      </w:r>
      <w:r w:rsidRPr="00930237">
        <w:rPr>
          <w:rFonts w:ascii="Times New Roman" w:hAnsi="Times New Roman" w:cs="Times New Roman"/>
          <w:b/>
          <w:sz w:val="24"/>
          <w:szCs w:val="24"/>
        </w:rPr>
        <w:t xml:space="preserve"> </w:t>
      </w:r>
      <w:r w:rsidR="00581F62">
        <w:rPr>
          <w:rFonts w:ascii="Times New Roman" w:hAnsi="Times New Roman" w:cs="Times New Roman"/>
          <w:b/>
          <w:sz w:val="24"/>
          <w:szCs w:val="24"/>
        </w:rPr>
        <w:t>v</w:t>
      </w:r>
      <w:r w:rsidR="00581F62" w:rsidRPr="00581F62">
        <w:rPr>
          <w:rFonts w:ascii="Times New Roman" w:hAnsi="Times New Roman" w:cs="Times New Roman"/>
          <w:b/>
          <w:sz w:val="24"/>
          <w:szCs w:val="24"/>
        </w:rPr>
        <w:t xml:space="preserve">ienoto valsts un pašvaldību klientu apkalpošanas centru darbiniekiem, kā arī </w:t>
      </w:r>
      <w:r w:rsidRPr="00930237">
        <w:rPr>
          <w:rFonts w:ascii="Times New Roman" w:hAnsi="Times New Roman" w:cs="Times New Roman"/>
          <w:b/>
          <w:sz w:val="24"/>
          <w:szCs w:val="24"/>
        </w:rPr>
        <w:t>publisko datu sniedzējiem un saņēmējiem</w:t>
      </w:r>
      <w:r w:rsidR="00581F62">
        <w:rPr>
          <w:rFonts w:ascii="Times New Roman" w:hAnsi="Times New Roman" w:cs="Times New Roman"/>
          <w:b/>
          <w:sz w:val="24"/>
          <w:szCs w:val="24"/>
        </w:rPr>
        <w:t>.</w:t>
      </w:r>
      <w:r w:rsidRPr="00930237">
        <w:rPr>
          <w:rFonts w:ascii="Times New Roman" w:hAnsi="Times New Roman" w:cs="Times New Roman"/>
          <w:b/>
          <w:bCs/>
          <w:noProof/>
          <w:sz w:val="24"/>
          <w:szCs w:val="24"/>
        </w:rPr>
        <w:t xml:space="preserve"> Eiropas digitālās inovācijas centra/-u izveide</w:t>
      </w:r>
      <w:r w:rsidRPr="00930237">
        <w:rPr>
          <w:rFonts w:ascii="Times New Roman" w:hAnsi="Times New Roman" w:cs="Times New Roman"/>
          <w:noProof/>
          <w:sz w:val="24"/>
          <w:szCs w:val="24"/>
        </w:rPr>
        <w:t xml:space="preserve">, lai </w:t>
      </w:r>
      <w:r w:rsidRPr="00930237">
        <w:rPr>
          <w:rFonts w:ascii="Times New Roman" w:eastAsia="Times New Roman" w:hAnsi="Times New Roman" w:cs="Times New Roman"/>
          <w:noProof/>
          <w:sz w:val="24"/>
          <w:szCs w:val="24"/>
        </w:rPr>
        <w:t xml:space="preserve">stiprinātu komersantu zināšanu un tehnoloģisko iespēju paplašināšanu. Valsts pārvaldes atvērtā arhitektūras attīstība sasaistē ar </w:t>
      </w:r>
      <w:r w:rsidRPr="00930237">
        <w:rPr>
          <w:rFonts w:ascii="Times New Roman" w:hAnsi="Times New Roman" w:cs="Times New Roman"/>
          <w:noProof/>
          <w:sz w:val="24"/>
          <w:szCs w:val="24"/>
        </w:rPr>
        <w:t>Eiropas digitālās inovācijas</w:t>
      </w:r>
      <w:r w:rsidRPr="00930237">
        <w:rPr>
          <w:rFonts w:ascii="Times New Roman" w:hAnsi="Times New Roman" w:cs="Times New Roman"/>
          <w:b/>
          <w:bCs/>
          <w:noProof/>
          <w:sz w:val="24"/>
          <w:szCs w:val="24"/>
        </w:rPr>
        <w:t xml:space="preserve"> </w:t>
      </w:r>
      <w:r w:rsidRPr="00930237">
        <w:rPr>
          <w:rFonts w:ascii="Times New Roman" w:eastAsia="Times New Roman" w:hAnsi="Times New Roman" w:cs="Times New Roman"/>
          <w:noProof/>
          <w:sz w:val="24"/>
          <w:szCs w:val="24"/>
        </w:rPr>
        <w:t xml:space="preserve">centru vienoto tīklu ES, sniegs iespēju komersantiem testēt un pilnveidot izstrādātos risinājumus, lai sekmīgāk iekļautos tirgū, stiprinātu sadarbspēju nacionālā un ES mērogā, veicinātu finanšu resursu piesaisti risinājumu izstrādei un plašākai izmantošanai, veicinot tautsaimniecības attīstību. </w:t>
      </w:r>
      <w:r w:rsidRPr="00930237">
        <w:rPr>
          <w:rFonts w:ascii="Times New Roman" w:hAnsi="Times New Roman" w:cs="Times New Roman"/>
          <w:noProof/>
          <w:sz w:val="24"/>
          <w:szCs w:val="24"/>
        </w:rPr>
        <w:t>Eiropas digitālās inovācijas centru atlasē tiks izvērtēta institūciju kapacitāte.</w:t>
      </w:r>
      <w:r w:rsidRPr="00930237">
        <w:rPr>
          <w:rFonts w:ascii="Times New Roman" w:eastAsia="Times New Roman" w:hAnsi="Times New Roman" w:cs="Times New Roman"/>
          <w:noProof/>
          <w:sz w:val="24"/>
          <w:szCs w:val="24"/>
        </w:rPr>
        <w:t xml:space="preserve"> </w:t>
      </w:r>
      <w:r w:rsidR="000343B5" w:rsidRPr="005219DB">
        <w:rPr>
          <w:rFonts w:ascii="Times New Roman" w:eastAsia="Times New Roman" w:hAnsi="Times New Roman" w:cs="Times New Roman"/>
          <w:noProof/>
          <w:sz w:val="24"/>
          <w:szCs w:val="24"/>
        </w:rPr>
        <w:t xml:space="preserve">Eiropas digitālās inovācijas centru atbalstam līdzfinansējums līdz 2026.gada jūnijam tiek plānots </w:t>
      </w:r>
      <w:r w:rsidR="000343B5" w:rsidRPr="00A4128E">
        <w:rPr>
          <w:rFonts w:ascii="Times New Roman" w:eastAsia="Times New Roman" w:hAnsi="Times New Roman" w:cs="Times New Roman"/>
          <w:noProof/>
          <w:sz w:val="24"/>
          <w:szCs w:val="24"/>
        </w:rPr>
        <w:t>ANM</w:t>
      </w:r>
      <w:r w:rsidR="000343B5" w:rsidRPr="005219DB">
        <w:rPr>
          <w:rFonts w:ascii="Times New Roman" w:eastAsia="Times New Roman" w:hAnsi="Times New Roman" w:cs="Times New Roman"/>
          <w:noProof/>
          <w:sz w:val="24"/>
          <w:szCs w:val="24"/>
        </w:rPr>
        <w:t xml:space="preserve"> ietvaros, sākot ar 2026.gada jūliju – 1.3.1.</w:t>
      </w:r>
      <w:r w:rsidR="00DF0BFF">
        <w:rPr>
          <w:rFonts w:ascii="Times New Roman" w:eastAsia="Times New Roman" w:hAnsi="Times New Roman" w:cs="Times New Roman"/>
          <w:noProof/>
          <w:sz w:val="24"/>
          <w:szCs w:val="24"/>
        </w:rPr>
        <w:t>SAM</w:t>
      </w:r>
      <w:r w:rsidR="000343B5" w:rsidRPr="005219DB">
        <w:rPr>
          <w:rFonts w:ascii="Times New Roman" w:eastAsia="Times New Roman" w:hAnsi="Times New Roman" w:cs="Times New Roman"/>
          <w:noProof/>
          <w:sz w:val="24"/>
          <w:szCs w:val="24"/>
        </w:rPr>
        <w:t xml:space="preserve"> ietvaros kā turpinājums ANM </w:t>
      </w:r>
      <w:r w:rsidR="000343B5">
        <w:rPr>
          <w:rFonts w:ascii="Times New Roman" w:eastAsia="Times New Roman" w:hAnsi="Times New Roman" w:cs="Times New Roman"/>
          <w:noProof/>
          <w:sz w:val="24"/>
          <w:szCs w:val="24"/>
        </w:rPr>
        <w:t>ietvaros</w:t>
      </w:r>
      <w:r w:rsidR="000343B5" w:rsidRPr="005219DB">
        <w:rPr>
          <w:rFonts w:ascii="Times New Roman" w:eastAsia="Times New Roman" w:hAnsi="Times New Roman" w:cs="Times New Roman"/>
          <w:noProof/>
          <w:sz w:val="24"/>
          <w:szCs w:val="24"/>
        </w:rPr>
        <w:t xml:space="preserve"> veiktajām investīcijām.</w:t>
      </w:r>
      <w:r w:rsidR="000343B5">
        <w:rPr>
          <w:rFonts w:ascii="Times New Roman" w:eastAsia="Times New Roman" w:hAnsi="Times New Roman" w:cs="Times New Roman"/>
          <w:noProof/>
          <w:sz w:val="24"/>
          <w:szCs w:val="24"/>
        </w:rPr>
        <w:t xml:space="preserve"> </w:t>
      </w:r>
    </w:p>
    <w:p w14:paraId="1EB0DD21" w14:textId="1ED32C81" w:rsidR="000343B5" w:rsidRPr="00FB05CE" w:rsidRDefault="000343B5" w:rsidP="007545BD">
      <w:pPr>
        <w:pStyle w:val="ListParagraph"/>
        <w:numPr>
          <w:ilvl w:val="0"/>
          <w:numId w:val="60"/>
        </w:numPr>
        <w:spacing w:after="0" w:line="240" w:lineRule="auto"/>
        <w:ind w:left="567" w:hanging="567"/>
        <w:jc w:val="both"/>
        <w:rPr>
          <w:rFonts w:ascii="Times New Roman" w:eastAsiaTheme="minorEastAsia" w:hAnsi="Times New Roman" w:cs="Times New Roman"/>
          <w:b/>
          <w:bCs/>
          <w:sz w:val="24"/>
          <w:szCs w:val="24"/>
        </w:rPr>
      </w:pPr>
      <w:r w:rsidRPr="19DC982F">
        <w:rPr>
          <w:rFonts w:ascii="Times New Roman" w:eastAsia="Times New Roman" w:hAnsi="Times New Roman" w:cs="Times New Roman"/>
          <w:noProof/>
          <w:sz w:val="24"/>
          <w:szCs w:val="24"/>
        </w:rPr>
        <w:t>Starp plānotajiem digitālās transformācijas pasākumiem 1.3.1.</w:t>
      </w:r>
      <w:r w:rsidR="00DF0BFF">
        <w:rPr>
          <w:rFonts w:ascii="Times New Roman" w:eastAsia="Times New Roman" w:hAnsi="Times New Roman" w:cs="Times New Roman"/>
          <w:noProof/>
          <w:sz w:val="24"/>
          <w:szCs w:val="24"/>
        </w:rPr>
        <w:t>SAM</w:t>
      </w:r>
      <w:r w:rsidRPr="19DC982F">
        <w:rPr>
          <w:rFonts w:ascii="Times New Roman" w:eastAsia="Times New Roman" w:hAnsi="Times New Roman" w:cs="Times New Roman"/>
          <w:noProof/>
          <w:sz w:val="24"/>
          <w:szCs w:val="24"/>
        </w:rPr>
        <w:t xml:space="preserve"> un ANM finansējuma ietvaros tiks nodrošināta demarkācija, lai novērstu ieguldījumu savstarpēju pārklāšanos un nodrošinātu savstarpēju papildināmību. 1.3.1.</w:t>
      </w:r>
      <w:r w:rsidR="00DF0BFF">
        <w:rPr>
          <w:rFonts w:ascii="Times New Roman" w:eastAsia="Times New Roman" w:hAnsi="Times New Roman" w:cs="Times New Roman"/>
          <w:noProof/>
          <w:sz w:val="24"/>
          <w:szCs w:val="24"/>
        </w:rPr>
        <w:t>SAM</w:t>
      </w:r>
      <w:r w:rsidRPr="19DC982F">
        <w:rPr>
          <w:rFonts w:ascii="Times New Roman" w:eastAsia="Times New Roman" w:hAnsi="Times New Roman" w:cs="Times New Roman"/>
          <w:noProof/>
          <w:sz w:val="24"/>
          <w:szCs w:val="24"/>
        </w:rPr>
        <w:t xml:space="preserve"> ietvaros plānots atbalstīt tikai tādu valsts platformu attīstību, kas veicinās komersantu procesu digitalizāciju un jaunu, inovatīvu pakalpojumu veidošanu komercsektorā, bet valsts pārvaldes pamatdarbības procesu sistēmas, ko savu funkciju veikšanai izmanto tikai publiskais sektors, plānots attīstīt ANM ietvaros.</w:t>
      </w:r>
    </w:p>
    <w:p w14:paraId="2FDAE19F" w14:textId="50207250" w:rsidR="00AC212B" w:rsidRPr="00930237"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sz w:val="24"/>
          <w:szCs w:val="24"/>
        </w:rPr>
      </w:pPr>
      <w:r w:rsidRPr="00930237">
        <w:rPr>
          <w:rFonts w:ascii="Times New Roman" w:eastAsia="Times New Roman" w:hAnsi="Times New Roman" w:cs="Times New Roman"/>
          <w:b/>
          <w:bCs/>
          <w:sz w:val="24"/>
          <w:szCs w:val="24"/>
        </w:rPr>
        <w:t>Galvenās mērķgrupas:</w:t>
      </w:r>
      <w:r w:rsidRPr="00930237">
        <w:rPr>
          <w:rFonts w:ascii="Times New Roman" w:eastAsia="Times New Roman" w:hAnsi="Times New Roman" w:cs="Times New Roman"/>
          <w:sz w:val="24"/>
          <w:szCs w:val="24"/>
        </w:rPr>
        <w:t xml:space="preserve"> </w:t>
      </w:r>
      <w:r w:rsidRPr="00930237">
        <w:rPr>
          <w:rFonts w:ascii="Times New Roman" w:hAnsi="Times New Roman" w:cs="Times New Roman"/>
          <w:sz w:val="24"/>
          <w:szCs w:val="24"/>
        </w:rPr>
        <w:t xml:space="preserve">Komersanti, visa Latvijas sabiedrība, valsts pārvalde, </w:t>
      </w:r>
      <w:r w:rsidRPr="00930237">
        <w:rPr>
          <w:rFonts w:ascii="Times New Roman" w:eastAsia="Times New Roman" w:hAnsi="Times New Roman" w:cs="Times New Roman"/>
          <w:sz w:val="24"/>
          <w:szCs w:val="24"/>
        </w:rPr>
        <w:t>pašvaldības</w:t>
      </w:r>
      <w:r w:rsidR="00E539A4">
        <w:rPr>
          <w:rFonts w:ascii="Times New Roman" w:eastAsia="Times New Roman" w:hAnsi="Times New Roman" w:cs="Times New Roman"/>
          <w:sz w:val="24"/>
          <w:szCs w:val="24"/>
        </w:rPr>
        <w:t>,</w:t>
      </w:r>
      <w:r w:rsidR="00581F62" w:rsidRPr="00581F62">
        <w:rPr>
          <w:rFonts w:ascii="Times New Roman" w:eastAsia="Times New Roman" w:hAnsi="Times New Roman" w:cs="Times New Roman"/>
          <w:sz w:val="24"/>
          <w:szCs w:val="24"/>
        </w:rPr>
        <w:t xml:space="preserve"> plānošanas reģioni</w:t>
      </w:r>
      <w:r w:rsidRPr="00930237">
        <w:rPr>
          <w:rFonts w:ascii="Times New Roman" w:eastAsia="Times New Roman" w:hAnsi="Times New Roman" w:cs="Times New Roman"/>
          <w:sz w:val="24"/>
          <w:szCs w:val="24"/>
        </w:rPr>
        <w:t>.</w:t>
      </w:r>
    </w:p>
    <w:p w14:paraId="7B0E6787" w14:textId="19B118DD" w:rsidR="00AC212B" w:rsidRPr="00930237"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sz w:val="24"/>
          <w:szCs w:val="24"/>
        </w:rPr>
      </w:pPr>
      <w:r w:rsidRPr="00930237">
        <w:rPr>
          <w:rFonts w:ascii="Times New Roman" w:hAnsi="Times New Roman" w:cs="Times New Roman"/>
          <w:b/>
          <w:bCs/>
          <w:noProof/>
          <w:sz w:val="24"/>
          <w:szCs w:val="24"/>
        </w:rPr>
        <w:t>Darbības, kas nodrošina vienlīdzību, iekļaušanu un nediskrimināciju:</w:t>
      </w:r>
      <w:r w:rsidRPr="00930237">
        <w:rPr>
          <w:rFonts w:ascii="Times New Roman" w:hAnsi="Times New Roman" w:cs="Times New Roman"/>
          <w:noProof/>
          <w:sz w:val="24"/>
          <w:szCs w:val="24"/>
        </w:rPr>
        <w:t xml:space="preserve"> SAM īstenoto projektu un pasākumu </w:t>
      </w:r>
      <w:r w:rsidRPr="00930237">
        <w:rPr>
          <w:rFonts w:ascii="Times New Roman" w:hAnsi="Times New Roman" w:cs="Times New Roman"/>
          <w:bCs/>
          <w:noProof/>
          <w:sz w:val="24"/>
          <w:szCs w:val="24"/>
        </w:rPr>
        <w:t>īstenošanā</w:t>
      </w:r>
      <w:r w:rsidRPr="00930237">
        <w:rPr>
          <w:rFonts w:ascii="Times New Roman" w:hAnsi="Times New Roman" w:cs="Times New Roman"/>
        </w:rPr>
        <w:t xml:space="preserve"> un vadībā tiks nodrošināta </w:t>
      </w:r>
      <w:r w:rsidRPr="00930237">
        <w:rPr>
          <w:rFonts w:ascii="Times New Roman" w:hAnsi="Times New Roman" w:cs="Times New Roman"/>
          <w:bCs/>
          <w:noProof/>
          <w:sz w:val="24"/>
          <w:szCs w:val="24"/>
        </w:rPr>
        <w:t>informācijas un vides pieejamības, nediskriminācijas pēc vecuma, dzimuma, etniskās piederības u.c. pazīmes un vienlīdzīgu iespēju principu ievērošana</w:t>
      </w:r>
      <w:r w:rsidRPr="00930237">
        <w:rPr>
          <w:rFonts w:ascii="Times New Roman" w:hAnsi="Times New Roman" w:cs="Times New Roman"/>
          <w:noProof/>
          <w:sz w:val="24"/>
          <w:szCs w:val="24"/>
        </w:rPr>
        <w:t xml:space="preserve">. Attīstot inovāciju ekosistēmu un īstenojot digitālo transformāciju, tiks pievērsta uzmanība specifisku darbību elektroniski pieejamās informācijas pielāgošanai, lai radītie vai transformētie gala produkti, pakalpojumi un rezultāti būtu pielāgoti personu ar funkcionēšanas ierobežojumiem vajadzībām un lietojumu scenārijiem (tiek uzlabota e-pakalpojumu pieejamība - gala lietojumi tiek veidoti ievērojot web pieejamības standartus). </w:t>
      </w:r>
    </w:p>
    <w:p w14:paraId="72A68CEB" w14:textId="77777777" w:rsidR="00AC212B" w:rsidRPr="00930237"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sz w:val="24"/>
          <w:szCs w:val="24"/>
        </w:rPr>
      </w:pPr>
      <w:r w:rsidRPr="00930237">
        <w:rPr>
          <w:rFonts w:ascii="Times New Roman" w:hAnsi="Times New Roman" w:cs="Times New Roman"/>
          <w:b/>
          <w:bCs/>
          <w:noProof/>
          <w:sz w:val="24"/>
          <w:szCs w:val="24"/>
        </w:rPr>
        <w:t xml:space="preserve">Mērķteritorijas, t. sk. plānotais teritoriālo rīku izmantojums: </w:t>
      </w:r>
      <w:r w:rsidRPr="00930237">
        <w:rPr>
          <w:rFonts w:ascii="Times New Roman" w:hAnsi="Times New Roman" w:cs="Times New Roman"/>
          <w:noProof/>
          <w:sz w:val="24"/>
          <w:szCs w:val="24"/>
        </w:rPr>
        <w:t>SAM ietvaros nav noteikta specifiska mērķteritorija, kuras ietvaros tiek plānota tā ieviešana un tas tiks ieviests visā Latvijas teritorijā, dodot pievienoto vērtību visai sabiedrībai kopumā.</w:t>
      </w:r>
    </w:p>
    <w:p w14:paraId="7A78FC58" w14:textId="6BC58C90"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noProof/>
          <w:sz w:val="24"/>
          <w:szCs w:val="24"/>
        </w:rPr>
      </w:pPr>
      <w:r w:rsidRPr="00930237">
        <w:rPr>
          <w:rFonts w:ascii="Times New Roman" w:hAnsi="Times New Roman" w:cs="Times New Roman"/>
          <w:b/>
          <w:bCs/>
          <w:noProof/>
          <w:sz w:val="24"/>
          <w:szCs w:val="24"/>
        </w:rPr>
        <w:t xml:space="preserve">Starpreģionālās, pārrobežu un transnacionālās darbības: </w:t>
      </w:r>
      <w:r w:rsidR="005A1EAB" w:rsidRPr="00930237">
        <w:rPr>
          <w:rFonts w:ascii="Times New Roman" w:hAnsi="Times New Roman" w:cs="Times New Roman"/>
          <w:sz w:val="24"/>
          <w:szCs w:val="24"/>
        </w:rPr>
        <w:t>Paredz</w:t>
      </w:r>
      <w:r w:rsidR="005A1EAB">
        <w:rPr>
          <w:rFonts w:ascii="Times New Roman" w:hAnsi="Times New Roman" w:cs="Times New Roman"/>
          <w:sz w:val="24"/>
          <w:szCs w:val="24"/>
        </w:rPr>
        <w:t>ēts</w:t>
      </w:r>
      <w:r w:rsidR="005A1EAB" w:rsidRPr="00930237">
        <w:rPr>
          <w:rFonts w:ascii="Times New Roman" w:hAnsi="Times New Roman" w:cs="Times New Roman"/>
          <w:sz w:val="24"/>
          <w:szCs w:val="24"/>
        </w:rPr>
        <w:t xml:space="preserve"> </w:t>
      </w:r>
      <w:r w:rsidRPr="00930237">
        <w:rPr>
          <w:rFonts w:ascii="Times New Roman" w:hAnsi="Times New Roman" w:cs="Times New Roman"/>
          <w:sz w:val="24"/>
          <w:szCs w:val="24"/>
        </w:rPr>
        <w:t xml:space="preserve">stiprināt Latvijas e-pārvaldes risinājumu sadarbspēju, līdztekus pilnveidojot pārrobežu pakalpojumu sniegšanu un risinājumu savienojamību, veicināt informācijas apmaiņu starp dažādām nozarēm, piemēram, veselības un finanšu. </w:t>
      </w:r>
      <w:r w:rsidR="005A1EAB" w:rsidRPr="005A1EAB">
        <w:rPr>
          <w:rFonts w:ascii="Times New Roman" w:hAnsi="Times New Roman" w:cs="Times New Roman"/>
          <w:noProof/>
          <w:sz w:val="24"/>
          <w:szCs w:val="24"/>
        </w:rPr>
        <w:t>Plānota sinerģija ar ESSBJR politikas jomas “Inovācija” ietvaros paredzētās aktivitātes Nr.2 “Digitālā inovācija un pārveide” ietvaros plānotajiem pasākumiem, kā arī citu ESSBJR aktivitāšu ietvaros paredzētajiem digitalizācijas pasākumiem, ņemot vērā, ka digitalizācija ir caurvijošs elements arī citās ESSBJR ietvertajās politikas jomās, kā arī ar citiem starptautiskiem sadarbības formātiem un to aktivitātēm.</w:t>
      </w:r>
    </w:p>
    <w:p w14:paraId="0E75A83E" w14:textId="5C8DF95E" w:rsidR="00AC212B" w:rsidRPr="00930237" w:rsidRDefault="00E75B64" w:rsidP="007545BD">
      <w:pPr>
        <w:pStyle w:val="ListParagraph"/>
        <w:numPr>
          <w:ilvl w:val="0"/>
          <w:numId w:val="60"/>
        </w:numPr>
        <w:spacing w:after="0" w:line="240" w:lineRule="auto"/>
        <w:ind w:left="567" w:hanging="567"/>
        <w:jc w:val="both"/>
        <w:rPr>
          <w:rFonts w:ascii="Times New Roman" w:eastAsia="Times New Roman" w:hAnsi="Times New Roman" w:cs="Times New Roman"/>
          <w:sz w:val="24"/>
          <w:szCs w:val="24"/>
        </w:rPr>
      </w:pPr>
      <w:r>
        <w:rPr>
          <w:rFonts w:ascii="Times New Roman" w:hAnsi="Times New Roman" w:cs="Times New Roman"/>
          <w:b/>
          <w:bCs/>
          <w:noProof/>
          <w:sz w:val="24"/>
          <w:szCs w:val="24"/>
        </w:rPr>
        <w:t>F</w:t>
      </w:r>
      <w:r w:rsidR="00AC212B" w:rsidRPr="00930237">
        <w:rPr>
          <w:rFonts w:ascii="Times New Roman" w:hAnsi="Times New Roman" w:cs="Times New Roman"/>
          <w:b/>
          <w:bCs/>
          <w:noProof/>
          <w:sz w:val="24"/>
          <w:szCs w:val="24"/>
        </w:rPr>
        <w:t xml:space="preserve">inanšu instrumenti: </w:t>
      </w:r>
      <w:r w:rsidR="00AC212B" w:rsidRPr="00930237">
        <w:rPr>
          <w:rFonts w:ascii="Times New Roman" w:hAnsi="Times New Roman" w:cs="Times New Roman"/>
          <w:noProof/>
          <w:sz w:val="24"/>
          <w:szCs w:val="24"/>
        </w:rPr>
        <w:t>N/A</w:t>
      </w:r>
    </w:p>
    <w:p w14:paraId="52C41822" w14:textId="0A95A00A" w:rsidR="00AC212B" w:rsidRDefault="00AC212B" w:rsidP="00AC212B">
      <w:pPr>
        <w:pStyle w:val="ListParagraph"/>
        <w:spacing w:after="0" w:line="240" w:lineRule="auto"/>
        <w:ind w:left="567"/>
        <w:jc w:val="both"/>
        <w:rPr>
          <w:rFonts w:ascii="Times New Roman" w:eastAsia="Times New Roman" w:hAnsi="Times New Roman" w:cs="Times New Roman"/>
          <w:sz w:val="24"/>
          <w:szCs w:val="24"/>
        </w:rPr>
      </w:pPr>
    </w:p>
    <w:p w14:paraId="6D49EDC0" w14:textId="0C4A9B57" w:rsidR="00DF0BFF" w:rsidRPr="00FD7F4A" w:rsidRDefault="00DF0BFF" w:rsidP="00DF0BFF">
      <w:pPr>
        <w:pStyle w:val="Heading4"/>
        <w:numPr>
          <w:ilvl w:val="0"/>
          <w:numId w:val="0"/>
        </w:numPr>
        <w:shd w:val="clear" w:color="auto" w:fill="F7CAAC" w:themeFill="accent2" w:themeFillTint="66"/>
        <w:spacing w:after="0"/>
        <w:rPr>
          <w:bCs/>
          <w:i/>
          <w:iCs/>
          <w:noProof/>
        </w:rPr>
      </w:pPr>
      <w:r>
        <w:rPr>
          <w:b/>
          <w:bCs/>
          <w:noProof/>
          <w:shd w:val="clear" w:color="auto" w:fill="F7CAAC" w:themeFill="accent2" w:themeFillTint="66"/>
        </w:rPr>
        <w:t>1.4.</w:t>
      </w:r>
      <w:r w:rsidRPr="00930237">
        <w:rPr>
          <w:b/>
          <w:bCs/>
          <w:noProof/>
          <w:shd w:val="clear" w:color="auto" w:fill="F7CAAC" w:themeFill="accent2" w:themeFillTint="66"/>
        </w:rPr>
        <w:t>Prioritāte</w:t>
      </w:r>
      <w:r w:rsidRPr="00930237">
        <w:rPr>
          <w:b/>
          <w:noProof/>
          <w:shd w:val="clear" w:color="auto" w:fill="F7CAAC" w:themeFill="accent2" w:themeFillTint="66"/>
        </w:rPr>
        <w:t xml:space="preserve"> “Digitālā savienojamība”</w:t>
      </w:r>
      <w:r w:rsidR="00FD7F4A">
        <w:rPr>
          <w:b/>
          <w:noProof/>
          <w:shd w:val="clear" w:color="auto" w:fill="F7CAAC" w:themeFill="accent2" w:themeFillTint="66"/>
        </w:rPr>
        <w:t xml:space="preserve"> </w:t>
      </w:r>
      <w:r w:rsidR="00FD7F4A" w:rsidRPr="00FD7F4A">
        <w:rPr>
          <w:bCs/>
          <w:i/>
          <w:iCs/>
          <w:noProof/>
          <w:shd w:val="clear" w:color="auto" w:fill="F7CAAC" w:themeFill="accent2" w:themeFillTint="66"/>
        </w:rPr>
        <w:t>(speciālā prioritāte, kas veltīta IKT savienojamībai)</w:t>
      </w:r>
    </w:p>
    <w:p w14:paraId="4832BEBC" w14:textId="7CFFDCBD" w:rsidR="00DF0BFF" w:rsidRPr="00930237" w:rsidRDefault="00DF0BFF" w:rsidP="00DF0BFF">
      <w:pPr>
        <w:pStyle w:val="Heading4"/>
        <w:numPr>
          <w:ilvl w:val="0"/>
          <w:numId w:val="0"/>
        </w:numPr>
        <w:shd w:val="clear" w:color="auto" w:fill="FBE4D5" w:themeFill="accent2" w:themeFillTint="33"/>
        <w:spacing w:after="0"/>
        <w:rPr>
          <w:b/>
          <w:color w:val="FF0000"/>
          <w:sz w:val="32"/>
          <w:szCs w:val="32"/>
        </w:rPr>
      </w:pPr>
      <w:r>
        <w:rPr>
          <w:b/>
        </w:rPr>
        <w:t>1.4.1.</w:t>
      </w:r>
      <w:r w:rsidRPr="00930237">
        <w:rPr>
          <w:b/>
        </w:rPr>
        <w:t>SAM “Uzlabot digitālo savienotību”</w:t>
      </w:r>
    </w:p>
    <w:p w14:paraId="5DCBFFFF" w14:textId="46D2FE37" w:rsidR="00DF0BFF" w:rsidRPr="00930237" w:rsidRDefault="00DF0BFF" w:rsidP="007545BD">
      <w:pPr>
        <w:pStyle w:val="ListParagraph"/>
        <w:numPr>
          <w:ilvl w:val="0"/>
          <w:numId w:val="60"/>
        </w:numPr>
        <w:spacing w:after="0" w:line="240" w:lineRule="auto"/>
        <w:ind w:left="567" w:hanging="567"/>
        <w:jc w:val="both"/>
        <w:rPr>
          <w:rFonts w:ascii="Times New Roman" w:eastAsia="Times New Roman" w:hAnsi="Times New Roman" w:cs="Times New Roman"/>
          <w:color w:val="212121"/>
          <w:sz w:val="24"/>
          <w:szCs w:val="24"/>
          <w:lang w:eastAsia="en-US" w:bidi="ar-SA"/>
        </w:rPr>
      </w:pPr>
      <w:r w:rsidRPr="00930237">
        <w:rPr>
          <w:rFonts w:ascii="Times New Roman" w:hAnsi="Times New Roman" w:cs="Times New Roman"/>
          <w:b/>
          <w:noProof/>
          <w:sz w:val="24"/>
          <w:szCs w:val="24"/>
        </w:rPr>
        <w:t xml:space="preserve">Atbalstāmās darbības: </w:t>
      </w:r>
      <w:r w:rsidR="00FC29FC" w:rsidRPr="007323C7">
        <w:rPr>
          <w:rFonts w:ascii="Times New Roman" w:hAnsi="Times New Roman" w:cs="Times New Roman"/>
        </w:rPr>
        <w:t>Ļoti</w:t>
      </w:r>
      <w:r w:rsidR="00FC29FC">
        <w:t xml:space="preserve"> </w:t>
      </w:r>
      <w:r w:rsidR="00FC29FC" w:rsidRPr="00FC29FC">
        <w:rPr>
          <w:rFonts w:ascii="Times New Roman" w:eastAsia="Times New Roman" w:hAnsi="Times New Roman" w:cs="Times New Roman"/>
          <w:color w:val="212121"/>
          <w:sz w:val="24"/>
          <w:szCs w:val="24"/>
          <w:lang w:eastAsia="en-US" w:bidi="ar-SA"/>
        </w:rPr>
        <w:t xml:space="preserve">augstas veiktspējas tīklu infrastruktūras, tostarp atvilces maršrutēšanas tīkla jeb “vidējās jūdzes” un abonentlīniju jeb “pēdējās jūdzes” izveide, lai nodrošinātu pakalpojumus atbilstoši Savienojamības paziņojuma mērķiem. </w:t>
      </w:r>
    </w:p>
    <w:p w14:paraId="7628C156" w14:textId="1CF4E0C3" w:rsidR="00DF0BFF" w:rsidRPr="00930237" w:rsidRDefault="00FC29FC" w:rsidP="007545BD">
      <w:pPr>
        <w:pStyle w:val="ListParagraph"/>
        <w:numPr>
          <w:ilvl w:val="0"/>
          <w:numId w:val="60"/>
        </w:numPr>
        <w:shd w:val="clear" w:color="auto" w:fill="FFFFFF"/>
        <w:spacing w:after="0" w:line="240" w:lineRule="auto"/>
        <w:ind w:left="567" w:hanging="567"/>
        <w:jc w:val="both"/>
        <w:rPr>
          <w:rFonts w:ascii="Times New Roman" w:eastAsia="Times New Roman" w:hAnsi="Times New Roman" w:cs="Times New Roman"/>
          <w:color w:val="212121"/>
          <w:sz w:val="24"/>
          <w:szCs w:val="24"/>
          <w:lang w:eastAsia="en-US" w:bidi="ar-SA"/>
        </w:rPr>
      </w:pPr>
      <w:r>
        <w:rPr>
          <w:rFonts w:ascii="Times New Roman" w:eastAsia="Times New Roman" w:hAnsi="Times New Roman" w:cs="Times New Roman"/>
          <w:color w:val="212121"/>
          <w:sz w:val="24"/>
          <w:szCs w:val="24"/>
          <w:lang w:eastAsia="en-US" w:bidi="ar-SA"/>
        </w:rPr>
        <w:t xml:space="preserve">Elektronisko </w:t>
      </w:r>
      <w:r w:rsidRPr="00FC29FC">
        <w:rPr>
          <w:rFonts w:ascii="Times New Roman" w:eastAsia="Times New Roman" w:hAnsi="Times New Roman" w:cs="Times New Roman"/>
          <w:color w:val="212121"/>
          <w:sz w:val="24"/>
          <w:szCs w:val="24"/>
          <w:lang w:eastAsia="en-US" w:bidi="ar-SA"/>
        </w:rPr>
        <w:t xml:space="preserve">sakaru tīklu pasīvās infrastruktūras izveide, kā arī infrastruktūras nodrošināšana ar nepieciešamo elektroapgādes infrastruktūru 5G savienojamības izvēršanai gar TEN-T tīkla sauszemes transporta ceļiem5G </w:t>
      </w:r>
    </w:p>
    <w:p w14:paraId="78E6E25D" w14:textId="77777777" w:rsidR="00DF0BFF" w:rsidRPr="00930237" w:rsidRDefault="00DF0BFF" w:rsidP="007545BD">
      <w:pPr>
        <w:pStyle w:val="ListParagraph"/>
        <w:numPr>
          <w:ilvl w:val="0"/>
          <w:numId w:val="60"/>
        </w:numPr>
        <w:shd w:val="clear" w:color="auto" w:fill="FFFFFF"/>
        <w:spacing w:after="0" w:line="240" w:lineRule="auto"/>
        <w:ind w:left="567" w:hanging="567"/>
        <w:jc w:val="both"/>
        <w:rPr>
          <w:rFonts w:ascii="Times New Roman" w:hAnsi="Times New Roman" w:cs="Times New Roman"/>
          <w:sz w:val="24"/>
          <w:szCs w:val="24"/>
        </w:rPr>
      </w:pPr>
      <w:r w:rsidRPr="00930237">
        <w:rPr>
          <w:rFonts w:ascii="Times New Roman" w:eastAsia="Times New Roman" w:hAnsi="Times New Roman" w:cs="Times New Roman"/>
          <w:color w:val="212121"/>
          <w:sz w:val="24"/>
          <w:szCs w:val="24"/>
          <w:lang w:eastAsia="en-US" w:bidi="ar-SA"/>
        </w:rPr>
        <w:t>Valsts vienotā kiberdrošības risinājuma izveide</w:t>
      </w:r>
      <w:r>
        <w:rPr>
          <w:rFonts w:ascii="Times New Roman" w:eastAsia="Times New Roman" w:hAnsi="Times New Roman" w:cs="Times New Roman"/>
          <w:color w:val="212121"/>
          <w:sz w:val="24"/>
          <w:szCs w:val="24"/>
          <w:lang w:eastAsia="en-US" w:bidi="ar-SA"/>
        </w:rPr>
        <w:t>.</w:t>
      </w:r>
    </w:p>
    <w:p w14:paraId="4C86F874" w14:textId="77777777" w:rsidR="00DF0BFF" w:rsidRPr="00930237" w:rsidRDefault="00DF0BFF" w:rsidP="007545BD">
      <w:pPr>
        <w:pStyle w:val="ListParagraph"/>
        <w:numPr>
          <w:ilvl w:val="0"/>
          <w:numId w:val="60"/>
        </w:numPr>
        <w:spacing w:after="0" w:line="240" w:lineRule="auto"/>
        <w:ind w:left="567" w:hanging="567"/>
        <w:jc w:val="both"/>
        <w:rPr>
          <w:rFonts w:ascii="Times New Roman" w:hAnsi="Times New Roman" w:cs="Times New Roman"/>
          <w:b/>
          <w:noProof/>
          <w:sz w:val="24"/>
          <w:szCs w:val="24"/>
        </w:rPr>
      </w:pPr>
      <w:r w:rsidRPr="00930237">
        <w:rPr>
          <w:rFonts w:ascii="Times New Roman" w:hAnsi="Times New Roman" w:cs="Times New Roman"/>
          <w:b/>
          <w:noProof/>
          <w:sz w:val="24"/>
          <w:szCs w:val="24"/>
        </w:rPr>
        <w:t xml:space="preserve">Galvenās mērķgrupas: </w:t>
      </w:r>
      <w:r w:rsidRPr="00270CC2">
        <w:rPr>
          <w:rFonts w:ascii="Times New Roman" w:hAnsi="Times New Roman" w:cs="Times New Roman"/>
          <w:noProof/>
          <w:sz w:val="24"/>
          <w:szCs w:val="24"/>
        </w:rPr>
        <w:t>elektronisko sakaru pakalpojumu lietotāji – iedzīvotāji (mājsaimniecības), komersanti, tostarp pašvaldību kapitālsabiedrības, kas nodrošina sabiedriskos pakalpojumus un uzņēmumi, kas intensīvi izmanto digitālos resursus, iestādes un sociālekonomiskie virzītājspēki (piemēram, skolas, bibliotēkas, pētniecības centri, biznesa centri, dzelzceļa stacijas, ostas, lidostas, ārstu prakses, slimnīcas, stadioni)</w:t>
      </w:r>
      <w:r w:rsidRPr="00930237">
        <w:rPr>
          <w:rFonts w:ascii="Times New Roman" w:eastAsia="Times New Roman" w:hAnsi="Times New Roman" w:cs="Times New Roman"/>
          <w:iCs/>
          <w:noProof/>
          <w:sz w:val="24"/>
          <w:szCs w:val="24"/>
        </w:rPr>
        <w:t>.</w:t>
      </w:r>
    </w:p>
    <w:p w14:paraId="70F65EEB" w14:textId="05B419E7" w:rsidR="00DF0BFF" w:rsidRPr="00930237" w:rsidRDefault="00DF0BFF"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Darbības, kas nodrošina vienlīdzību, iekļaušanu un nediskrimināciju:</w:t>
      </w:r>
      <w:r w:rsidRPr="00930237">
        <w:rPr>
          <w:rFonts w:ascii="Times New Roman" w:hAnsi="Times New Roman" w:cs="Times New Roman"/>
          <w:sz w:val="24"/>
          <w:szCs w:val="24"/>
        </w:rPr>
        <w:t xml:space="preserve"> </w:t>
      </w:r>
      <w:r w:rsidRPr="00A105EF">
        <w:rPr>
          <w:rFonts w:ascii="Times New Roman" w:hAnsi="Times New Roman" w:cs="Times New Roman"/>
          <w:bCs/>
          <w:sz w:val="24"/>
          <w:szCs w:val="24"/>
          <w:lang w:bidi="lv-LV"/>
        </w:rPr>
        <w:t>Projektu un pasākumu īstenošanā un vadībā tiks nodrošināta informācijas un vides pieejamība, nediskriminācija pēc vecuma, dzimuma, etniskās piederības u.c. pazīmēm un vienlīdzīgu iespēju principu ievērošana visām personu grupām</w:t>
      </w:r>
      <w:r>
        <w:rPr>
          <w:rFonts w:ascii="Times New Roman" w:hAnsi="Times New Roman" w:cs="Times New Roman"/>
          <w:sz w:val="24"/>
          <w:szCs w:val="24"/>
        </w:rPr>
        <w:t>.</w:t>
      </w:r>
      <w:r w:rsidR="00601AA2">
        <w:rPr>
          <w:rFonts w:ascii="Times New Roman" w:hAnsi="Times New Roman" w:cs="Times New Roman"/>
          <w:sz w:val="24"/>
          <w:szCs w:val="24"/>
        </w:rPr>
        <w:t xml:space="preserve"> </w:t>
      </w:r>
      <w:r w:rsidR="00601AA2" w:rsidRPr="00601AA2">
        <w:rPr>
          <w:rFonts w:ascii="Times New Roman" w:hAnsi="Times New Roman" w:cs="Times New Roman"/>
          <w:sz w:val="24"/>
          <w:szCs w:val="24"/>
        </w:rPr>
        <w:t>Attīstot elektronisko sakaru pakalpojumu infrastruktūru, tiks nodrošināta to piekļūstamība, tādējādi sekmējot pilnvērtīgu un efektīvu līdzdalību, uzlabojot piekļuvi plaša patēriņa produktiem un pakalpojumiem, kas, pateicoties to sākotnējam dizainam vai vēlākiem pielāgojumiem, atbilst personu ar invaliditāti īpašajām vajadzībām</w:t>
      </w:r>
    </w:p>
    <w:p w14:paraId="36A442FA" w14:textId="77777777" w:rsidR="00DF0BFF" w:rsidRPr="00930237" w:rsidRDefault="00DF0BFF"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Mērķteritorijas, t.sk. plānotais teritoriālo rīku izmantojums</w:t>
      </w:r>
      <w:r w:rsidRPr="00930237">
        <w:rPr>
          <w:rFonts w:ascii="Times New Roman" w:hAnsi="Times New Roman" w:cs="Times New Roman"/>
          <w:sz w:val="24"/>
          <w:szCs w:val="24"/>
        </w:rPr>
        <w:t>: Visa Latvija.</w:t>
      </w:r>
    </w:p>
    <w:p w14:paraId="56AA2FFC" w14:textId="77777777" w:rsidR="00DF0BFF" w:rsidRPr="00930237" w:rsidRDefault="00DF0BFF"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Starpreģionālās, pārrobežu un transnacionālās darbības:</w:t>
      </w:r>
      <w:r w:rsidRPr="00930237">
        <w:rPr>
          <w:rFonts w:ascii="Times New Roman" w:hAnsi="Times New Roman" w:cs="Times New Roman"/>
          <w:sz w:val="24"/>
          <w:szCs w:val="24"/>
        </w:rPr>
        <w:t xml:space="preserve"> N/A</w:t>
      </w:r>
    </w:p>
    <w:p w14:paraId="59FFB51B" w14:textId="7282A55C" w:rsidR="00DF0BFF" w:rsidRPr="00930237" w:rsidRDefault="00912915" w:rsidP="007545BD">
      <w:pPr>
        <w:pStyle w:val="Normal1"/>
        <w:numPr>
          <w:ilvl w:val="0"/>
          <w:numId w:val="60"/>
        </w:numPr>
        <w:spacing w:line="240" w:lineRule="auto"/>
        <w:ind w:left="567" w:hanging="567"/>
        <w:jc w:val="both"/>
        <w:rPr>
          <w:rFonts w:ascii="Times New Roman" w:hAnsi="Times New Roman" w:cs="Times New Roman"/>
          <w:color w:val="FF0000"/>
          <w:sz w:val="24"/>
          <w:szCs w:val="24"/>
        </w:rPr>
      </w:pPr>
      <w:r>
        <w:rPr>
          <w:rFonts w:ascii="Times New Roman" w:hAnsi="Times New Roman" w:cs="Times New Roman"/>
          <w:b/>
          <w:sz w:val="24"/>
          <w:szCs w:val="24"/>
        </w:rPr>
        <w:t>F</w:t>
      </w:r>
      <w:r w:rsidR="00DF0BFF" w:rsidRPr="00930237">
        <w:rPr>
          <w:rFonts w:ascii="Times New Roman" w:hAnsi="Times New Roman" w:cs="Times New Roman"/>
          <w:b/>
          <w:sz w:val="24"/>
          <w:szCs w:val="24"/>
        </w:rPr>
        <w:t>inanšu instrumenti:</w:t>
      </w:r>
      <w:r w:rsidR="00DF0BFF" w:rsidRPr="00930237">
        <w:rPr>
          <w:rFonts w:ascii="Times New Roman" w:hAnsi="Times New Roman" w:cs="Times New Roman"/>
          <w:sz w:val="24"/>
          <w:szCs w:val="24"/>
        </w:rPr>
        <w:t xml:space="preserve"> N/A.</w:t>
      </w:r>
    </w:p>
    <w:p w14:paraId="47DEA060" w14:textId="0A0DFAC0" w:rsidR="00B8254F" w:rsidRDefault="00B8254F">
      <w:pPr>
        <w:spacing w:before="0" w:after="0"/>
        <w:jc w:val="left"/>
        <w:rPr>
          <w:b/>
          <w:noProof/>
          <w:szCs w:val="24"/>
        </w:rPr>
      </w:pPr>
      <w:r>
        <w:rPr>
          <w:b/>
          <w:noProof/>
          <w:szCs w:val="24"/>
        </w:rPr>
        <w:br w:type="page"/>
      </w:r>
    </w:p>
    <w:p w14:paraId="30AEFA51" w14:textId="77777777" w:rsidR="00B8254F" w:rsidRDefault="00B8254F" w:rsidP="00B8254F">
      <w:pPr>
        <w:pStyle w:val="Heading3"/>
        <w:numPr>
          <w:ilvl w:val="0"/>
          <w:numId w:val="0"/>
        </w:numPr>
        <w:spacing w:after="0"/>
        <w:rPr>
          <w:b/>
          <w:i w:val="0"/>
          <w:noProof/>
        </w:rPr>
        <w:sectPr w:rsidR="00B8254F" w:rsidSect="00F10639">
          <w:footerReference w:type="default" r:id="rId11"/>
          <w:footerReference w:type="first" r:id="rId12"/>
          <w:type w:val="continuous"/>
          <w:pgSz w:w="11906" w:h="16838" w:code="9"/>
          <w:pgMar w:top="1417" w:right="1417" w:bottom="1417" w:left="1417" w:header="567" w:footer="510" w:gutter="0"/>
          <w:cols w:space="708"/>
          <w:titlePg/>
          <w:docGrid w:linePitch="360"/>
        </w:sectPr>
      </w:pPr>
    </w:p>
    <w:p w14:paraId="32BC88B1" w14:textId="40898225" w:rsidR="00B8254F" w:rsidRDefault="00B471B0" w:rsidP="00E261E7">
      <w:pPr>
        <w:pStyle w:val="Heading3"/>
        <w:numPr>
          <w:ilvl w:val="0"/>
          <w:numId w:val="0"/>
        </w:numPr>
        <w:spacing w:after="0" w:line="276" w:lineRule="auto"/>
        <w:rPr>
          <w:b/>
          <w:i w:val="0"/>
          <w:noProof/>
        </w:rPr>
      </w:pPr>
      <w:bookmarkStart w:id="21" w:name="_Toc69125409"/>
      <w:r>
        <w:rPr>
          <w:b/>
          <w:i w:val="0"/>
          <w:noProof/>
        </w:rPr>
        <w:t>2.tabula</w:t>
      </w:r>
      <w:r w:rsidR="00E261E7">
        <w:rPr>
          <w:b/>
          <w:i w:val="0"/>
          <w:noProof/>
        </w:rPr>
        <w:t xml:space="preserve"> (2)</w:t>
      </w:r>
      <w:r>
        <w:rPr>
          <w:b/>
          <w:i w:val="0"/>
          <w:noProof/>
        </w:rPr>
        <w:t xml:space="preserve"> 1.Politiskā mērķa i</w:t>
      </w:r>
      <w:r w:rsidR="00B8254F" w:rsidRPr="00930237">
        <w:rPr>
          <w:b/>
          <w:i w:val="0"/>
          <w:noProof/>
        </w:rPr>
        <w:t>znākuma rādītāji</w:t>
      </w:r>
      <w:r w:rsidR="00B8254F">
        <w:rPr>
          <w:rStyle w:val="FootnoteReference"/>
          <w:b/>
          <w:i w:val="0"/>
          <w:noProof/>
        </w:rPr>
        <w:footnoteReference w:id="99"/>
      </w:r>
      <w:bookmarkEnd w:id="21"/>
    </w:p>
    <w:p w14:paraId="11AA9F12" w14:textId="77777777" w:rsidR="00B8254F" w:rsidRPr="00B8254F" w:rsidRDefault="00B8254F" w:rsidP="00E261E7">
      <w:pPr>
        <w:spacing w:before="0" w:after="0" w:line="276" w:lineRule="auto"/>
      </w:pPr>
    </w:p>
    <w:tbl>
      <w:tblPr>
        <w:tblW w:w="46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1562"/>
        <w:gridCol w:w="1061"/>
        <w:gridCol w:w="907"/>
        <w:gridCol w:w="2187"/>
        <w:gridCol w:w="2125"/>
        <w:gridCol w:w="1773"/>
        <w:gridCol w:w="1655"/>
      </w:tblGrid>
      <w:tr w:rsidR="00B8254F" w:rsidRPr="00BB7C97" w14:paraId="1640E7A1" w14:textId="77777777" w:rsidTr="00B471B0">
        <w:trPr>
          <w:trHeight w:val="756"/>
          <w:tblHeader/>
        </w:trPr>
        <w:tc>
          <w:tcPr>
            <w:tcW w:w="677" w:type="pct"/>
            <w:shd w:val="clear" w:color="auto" w:fill="D9D9D9" w:themeFill="background1" w:themeFillShade="D9"/>
            <w:vAlign w:val="center"/>
          </w:tcPr>
          <w:p w14:paraId="4DC16DC0" w14:textId="77777777" w:rsidR="00B8254F" w:rsidRPr="00BB7C97" w:rsidRDefault="00B8254F" w:rsidP="003155B0">
            <w:pPr>
              <w:pStyle w:val="Text1"/>
              <w:spacing w:before="0" w:after="0"/>
              <w:ind w:left="0"/>
              <w:jc w:val="center"/>
              <w:rPr>
                <w:rFonts w:cs="Times New Roman"/>
                <w:b/>
                <w:noProof/>
                <w:sz w:val="18"/>
                <w:szCs w:val="18"/>
              </w:rPr>
            </w:pPr>
            <w:r w:rsidRPr="00BB7C97">
              <w:rPr>
                <w:rFonts w:cs="Times New Roman"/>
                <w:b/>
                <w:noProof/>
                <w:sz w:val="18"/>
                <w:szCs w:val="18"/>
              </w:rPr>
              <w:t>Prioritāte</w:t>
            </w:r>
          </w:p>
        </w:tc>
        <w:tc>
          <w:tcPr>
            <w:tcW w:w="599" w:type="pct"/>
            <w:shd w:val="clear" w:color="auto" w:fill="D9D9D9" w:themeFill="background1" w:themeFillShade="D9"/>
            <w:vAlign w:val="center"/>
          </w:tcPr>
          <w:p w14:paraId="109C49D3" w14:textId="77777777" w:rsidR="00B8254F" w:rsidRPr="00BB7C97" w:rsidRDefault="00B8254F" w:rsidP="003155B0">
            <w:pPr>
              <w:pStyle w:val="Text1"/>
              <w:spacing w:before="0" w:after="0"/>
              <w:ind w:left="0"/>
              <w:jc w:val="center"/>
              <w:rPr>
                <w:rFonts w:cs="Times New Roman"/>
                <w:b/>
                <w:noProof/>
                <w:sz w:val="18"/>
                <w:szCs w:val="18"/>
              </w:rPr>
            </w:pPr>
            <w:r w:rsidRPr="00BB7C97">
              <w:rPr>
                <w:rFonts w:cs="Times New Roman"/>
                <w:b/>
                <w:noProof/>
                <w:sz w:val="18"/>
                <w:szCs w:val="18"/>
              </w:rPr>
              <w:t>SAM</w:t>
            </w:r>
          </w:p>
        </w:tc>
        <w:tc>
          <w:tcPr>
            <w:tcW w:w="407" w:type="pct"/>
            <w:shd w:val="clear" w:color="auto" w:fill="D9D9D9" w:themeFill="background1" w:themeFillShade="D9"/>
            <w:vAlign w:val="center"/>
          </w:tcPr>
          <w:p w14:paraId="56C8ECC8" w14:textId="77777777" w:rsidR="00B8254F" w:rsidRPr="00BB7C97" w:rsidRDefault="00B8254F" w:rsidP="003155B0">
            <w:pPr>
              <w:pStyle w:val="Text1"/>
              <w:spacing w:before="0" w:after="0"/>
              <w:ind w:left="0"/>
              <w:jc w:val="center"/>
              <w:rPr>
                <w:rFonts w:cs="Times New Roman"/>
                <w:b/>
                <w:noProof/>
                <w:sz w:val="18"/>
                <w:szCs w:val="18"/>
              </w:rPr>
            </w:pPr>
            <w:r w:rsidRPr="00BB7C97">
              <w:rPr>
                <w:rFonts w:cs="Times New Roman"/>
                <w:b/>
                <w:noProof/>
                <w:sz w:val="18"/>
                <w:szCs w:val="18"/>
              </w:rPr>
              <w:t>Fonds</w:t>
            </w:r>
          </w:p>
        </w:tc>
        <w:tc>
          <w:tcPr>
            <w:tcW w:w="348" w:type="pct"/>
            <w:shd w:val="clear" w:color="auto" w:fill="D9D9D9" w:themeFill="background1" w:themeFillShade="D9"/>
            <w:vAlign w:val="center"/>
          </w:tcPr>
          <w:p w14:paraId="75309948" w14:textId="77777777" w:rsidR="00B8254F" w:rsidRPr="00BB7C97" w:rsidRDefault="00B8254F" w:rsidP="003155B0">
            <w:pPr>
              <w:pStyle w:val="Text1"/>
              <w:spacing w:before="0" w:after="0"/>
              <w:ind w:left="0"/>
              <w:jc w:val="center"/>
              <w:rPr>
                <w:rFonts w:cs="Times New Roman"/>
                <w:b/>
                <w:noProof/>
                <w:sz w:val="18"/>
                <w:szCs w:val="18"/>
              </w:rPr>
            </w:pPr>
            <w:r w:rsidRPr="00BB7C97">
              <w:rPr>
                <w:rFonts w:cs="Times New Roman"/>
                <w:b/>
                <w:noProof/>
                <w:sz w:val="18"/>
                <w:szCs w:val="18"/>
              </w:rPr>
              <w:t xml:space="preserve">ID </w:t>
            </w:r>
          </w:p>
        </w:tc>
        <w:tc>
          <w:tcPr>
            <w:tcW w:w="839" w:type="pct"/>
            <w:shd w:val="clear" w:color="auto" w:fill="D9D9D9" w:themeFill="background1" w:themeFillShade="D9"/>
            <w:vAlign w:val="center"/>
          </w:tcPr>
          <w:p w14:paraId="64755D2F" w14:textId="77777777" w:rsidR="00B8254F" w:rsidRPr="00BB7C97" w:rsidRDefault="00B8254F" w:rsidP="003155B0">
            <w:pPr>
              <w:pStyle w:val="Text1"/>
              <w:spacing w:before="0" w:after="0"/>
              <w:ind w:left="0"/>
              <w:jc w:val="center"/>
              <w:rPr>
                <w:rFonts w:cs="Times New Roman"/>
                <w:b/>
                <w:noProof/>
                <w:sz w:val="18"/>
                <w:szCs w:val="18"/>
              </w:rPr>
            </w:pPr>
            <w:r w:rsidRPr="00BB7C97">
              <w:rPr>
                <w:rFonts w:cs="Times New Roman"/>
                <w:b/>
                <w:noProof/>
                <w:sz w:val="18"/>
                <w:szCs w:val="18"/>
              </w:rPr>
              <w:t>Rādītājs</w:t>
            </w:r>
          </w:p>
        </w:tc>
        <w:tc>
          <w:tcPr>
            <w:tcW w:w="815" w:type="pct"/>
            <w:shd w:val="clear" w:color="auto" w:fill="D9D9D9" w:themeFill="background1" w:themeFillShade="D9"/>
            <w:vAlign w:val="center"/>
          </w:tcPr>
          <w:p w14:paraId="0584C1FF" w14:textId="77777777" w:rsidR="00B8254F" w:rsidRPr="00BB7C97" w:rsidRDefault="00B8254F" w:rsidP="003155B0">
            <w:pPr>
              <w:pStyle w:val="Text1"/>
              <w:spacing w:before="0" w:after="0"/>
              <w:ind w:left="0"/>
              <w:jc w:val="center"/>
              <w:rPr>
                <w:rFonts w:cs="Times New Roman"/>
                <w:b/>
                <w:noProof/>
                <w:sz w:val="18"/>
                <w:szCs w:val="18"/>
              </w:rPr>
            </w:pPr>
            <w:r w:rsidRPr="00BB7C97">
              <w:rPr>
                <w:rFonts w:cs="Times New Roman"/>
                <w:b/>
                <w:noProof/>
                <w:sz w:val="18"/>
                <w:szCs w:val="18"/>
              </w:rPr>
              <w:t>Mērvienība</w:t>
            </w:r>
          </w:p>
        </w:tc>
        <w:tc>
          <w:tcPr>
            <w:tcW w:w="680" w:type="pct"/>
            <w:shd w:val="clear" w:color="auto" w:fill="D9D9D9" w:themeFill="background1" w:themeFillShade="D9"/>
            <w:vAlign w:val="center"/>
          </w:tcPr>
          <w:p w14:paraId="51131905" w14:textId="77777777" w:rsidR="00B8254F" w:rsidRPr="00BB7C97" w:rsidRDefault="00B8254F" w:rsidP="003155B0">
            <w:pPr>
              <w:pStyle w:val="Text1"/>
              <w:spacing w:before="0" w:after="0"/>
              <w:ind w:left="0"/>
              <w:jc w:val="center"/>
              <w:rPr>
                <w:rFonts w:cs="Times New Roman"/>
                <w:b/>
                <w:noProof/>
                <w:sz w:val="18"/>
                <w:szCs w:val="18"/>
              </w:rPr>
            </w:pPr>
            <w:r w:rsidRPr="00BB7C97">
              <w:rPr>
                <w:rFonts w:cs="Times New Roman"/>
                <w:b/>
                <w:noProof/>
                <w:sz w:val="18"/>
                <w:szCs w:val="18"/>
              </w:rPr>
              <w:t>Starpposma vērtība (2024)</w:t>
            </w:r>
          </w:p>
        </w:tc>
        <w:tc>
          <w:tcPr>
            <w:tcW w:w="635" w:type="pct"/>
            <w:shd w:val="clear" w:color="auto" w:fill="D9D9D9" w:themeFill="background1" w:themeFillShade="D9"/>
            <w:vAlign w:val="center"/>
          </w:tcPr>
          <w:p w14:paraId="64B3B64C" w14:textId="77777777" w:rsidR="00B8254F" w:rsidRPr="00BB7C97" w:rsidRDefault="00B8254F" w:rsidP="003155B0">
            <w:pPr>
              <w:pStyle w:val="Text1"/>
              <w:spacing w:before="0" w:after="0"/>
              <w:ind w:left="0"/>
              <w:jc w:val="center"/>
              <w:rPr>
                <w:rFonts w:cs="Times New Roman"/>
                <w:b/>
                <w:noProof/>
                <w:sz w:val="18"/>
                <w:szCs w:val="18"/>
              </w:rPr>
            </w:pPr>
            <w:r w:rsidRPr="00BB7C97">
              <w:rPr>
                <w:rFonts w:cs="Times New Roman"/>
                <w:b/>
                <w:noProof/>
                <w:sz w:val="18"/>
                <w:szCs w:val="18"/>
              </w:rPr>
              <w:t>Plānotā vērtība</w:t>
            </w:r>
          </w:p>
          <w:p w14:paraId="5D656783" w14:textId="77777777" w:rsidR="00B8254F" w:rsidRPr="00BB7C97" w:rsidRDefault="00B8254F" w:rsidP="003155B0">
            <w:pPr>
              <w:pStyle w:val="Text1"/>
              <w:spacing w:before="0" w:after="0"/>
              <w:ind w:left="0"/>
              <w:jc w:val="center"/>
              <w:rPr>
                <w:rFonts w:cs="Times New Roman"/>
                <w:b/>
                <w:noProof/>
                <w:sz w:val="18"/>
                <w:szCs w:val="18"/>
              </w:rPr>
            </w:pPr>
            <w:r w:rsidRPr="00BB7C97">
              <w:rPr>
                <w:rFonts w:cs="Times New Roman"/>
                <w:b/>
                <w:noProof/>
                <w:sz w:val="18"/>
                <w:szCs w:val="18"/>
              </w:rPr>
              <w:t>(2029)</w:t>
            </w:r>
          </w:p>
        </w:tc>
      </w:tr>
      <w:tr w:rsidR="00B8254F" w:rsidRPr="00BB7C97" w14:paraId="0996EFFF" w14:textId="77777777" w:rsidTr="00B471B0">
        <w:trPr>
          <w:trHeight w:val="427"/>
        </w:trPr>
        <w:tc>
          <w:tcPr>
            <w:tcW w:w="677" w:type="pct"/>
          </w:tcPr>
          <w:p w14:paraId="5302D990"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1.2.prioritāte</w:t>
            </w:r>
          </w:p>
        </w:tc>
        <w:tc>
          <w:tcPr>
            <w:tcW w:w="599" w:type="pct"/>
          </w:tcPr>
          <w:p w14:paraId="2F614D7E"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1.2.1.SAM</w:t>
            </w:r>
          </w:p>
        </w:tc>
        <w:tc>
          <w:tcPr>
            <w:tcW w:w="407" w:type="pct"/>
          </w:tcPr>
          <w:p w14:paraId="42E6AEFE"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ERAF</w:t>
            </w:r>
          </w:p>
        </w:tc>
        <w:tc>
          <w:tcPr>
            <w:tcW w:w="348" w:type="pct"/>
          </w:tcPr>
          <w:p w14:paraId="26D42669" w14:textId="77777777" w:rsidR="00B8254F" w:rsidRPr="00BB7C97" w:rsidRDefault="00B8254F" w:rsidP="003155B0">
            <w:pPr>
              <w:pStyle w:val="Text1"/>
              <w:spacing w:before="0" w:after="0"/>
              <w:ind w:left="0"/>
              <w:rPr>
                <w:rFonts w:cs="Times New Roman"/>
                <w:sz w:val="18"/>
                <w:szCs w:val="18"/>
              </w:rPr>
            </w:pPr>
            <w:r w:rsidRPr="00BB7C97">
              <w:rPr>
                <w:rFonts w:cs="Times New Roman"/>
                <w:sz w:val="18"/>
                <w:szCs w:val="18"/>
              </w:rPr>
              <w:t>RCO 01</w:t>
            </w:r>
          </w:p>
        </w:tc>
        <w:tc>
          <w:tcPr>
            <w:tcW w:w="839" w:type="pct"/>
            <w:shd w:val="clear" w:color="auto" w:fill="auto"/>
          </w:tcPr>
          <w:p w14:paraId="33D23F58" w14:textId="77777777" w:rsidR="00B8254F" w:rsidRPr="00BB7C97" w:rsidRDefault="00B8254F" w:rsidP="003155B0">
            <w:pPr>
              <w:pStyle w:val="Default"/>
              <w:spacing w:after="0" w:line="240" w:lineRule="auto"/>
              <w:jc w:val="both"/>
              <w:rPr>
                <w:color w:val="auto"/>
                <w:sz w:val="18"/>
                <w:szCs w:val="18"/>
              </w:rPr>
            </w:pPr>
            <w:r w:rsidRPr="00BB7C97">
              <w:rPr>
                <w:color w:val="auto"/>
                <w:sz w:val="18"/>
                <w:szCs w:val="18"/>
              </w:rPr>
              <w:t>Uzņēmumu skaits, kuri saņem atbalstu (tostarp: mikro, mazie, vidējie, lielie)</w:t>
            </w:r>
          </w:p>
        </w:tc>
        <w:tc>
          <w:tcPr>
            <w:tcW w:w="815" w:type="pct"/>
          </w:tcPr>
          <w:p w14:paraId="23D4EB76"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Komersantu skaits</w:t>
            </w:r>
          </w:p>
        </w:tc>
        <w:tc>
          <w:tcPr>
            <w:tcW w:w="680" w:type="pct"/>
            <w:shd w:val="clear" w:color="auto" w:fill="auto"/>
          </w:tcPr>
          <w:p w14:paraId="3A59D533" w14:textId="77777777" w:rsidR="00B8254F" w:rsidRPr="00BB7C97" w:rsidRDefault="00B8254F" w:rsidP="003155B0">
            <w:pPr>
              <w:pStyle w:val="Text1"/>
              <w:spacing w:before="0" w:after="0"/>
              <w:ind w:left="0"/>
              <w:jc w:val="left"/>
              <w:rPr>
                <w:rFonts w:cs="Times New Roman"/>
                <w:noProof/>
                <w:sz w:val="18"/>
                <w:szCs w:val="18"/>
              </w:rPr>
            </w:pPr>
            <w:r w:rsidRPr="00BB7C97">
              <w:rPr>
                <w:rFonts w:cs="Times New Roman"/>
                <w:noProof/>
                <w:sz w:val="18"/>
                <w:szCs w:val="18"/>
              </w:rPr>
              <w:t>0</w:t>
            </w:r>
          </w:p>
        </w:tc>
        <w:tc>
          <w:tcPr>
            <w:tcW w:w="635" w:type="pct"/>
            <w:shd w:val="clear" w:color="auto" w:fill="auto"/>
          </w:tcPr>
          <w:p w14:paraId="2354DC5F" w14:textId="77777777" w:rsidR="00B8254F" w:rsidRPr="00BB7C97" w:rsidRDefault="00B8254F" w:rsidP="003155B0">
            <w:pPr>
              <w:pStyle w:val="Text1"/>
              <w:spacing w:before="0" w:after="0"/>
              <w:ind w:left="0"/>
              <w:jc w:val="left"/>
              <w:rPr>
                <w:rFonts w:cs="Times New Roman"/>
                <w:noProof/>
                <w:sz w:val="18"/>
                <w:szCs w:val="18"/>
              </w:rPr>
            </w:pPr>
            <w:r w:rsidRPr="00BB7C97">
              <w:rPr>
                <w:rFonts w:cs="Times New Roman"/>
                <w:noProof/>
                <w:sz w:val="18"/>
                <w:szCs w:val="18"/>
              </w:rPr>
              <w:t>630</w:t>
            </w:r>
          </w:p>
        </w:tc>
      </w:tr>
      <w:tr w:rsidR="00B8254F" w:rsidRPr="00BB7C97" w14:paraId="158240F4" w14:textId="77777777" w:rsidTr="00B471B0">
        <w:trPr>
          <w:trHeight w:val="427"/>
        </w:trPr>
        <w:tc>
          <w:tcPr>
            <w:tcW w:w="677" w:type="pct"/>
          </w:tcPr>
          <w:p w14:paraId="7E81C80C"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1.2.prioritāte</w:t>
            </w:r>
          </w:p>
        </w:tc>
        <w:tc>
          <w:tcPr>
            <w:tcW w:w="599" w:type="pct"/>
          </w:tcPr>
          <w:p w14:paraId="53E48053"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1.2.2.SAM</w:t>
            </w:r>
          </w:p>
        </w:tc>
        <w:tc>
          <w:tcPr>
            <w:tcW w:w="407" w:type="pct"/>
          </w:tcPr>
          <w:p w14:paraId="001BD5AF"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ERAF</w:t>
            </w:r>
          </w:p>
        </w:tc>
        <w:tc>
          <w:tcPr>
            <w:tcW w:w="348" w:type="pct"/>
          </w:tcPr>
          <w:p w14:paraId="46E152C5" w14:textId="77777777" w:rsidR="00B8254F" w:rsidRPr="00BB7C97" w:rsidRDefault="00B8254F" w:rsidP="003155B0">
            <w:pPr>
              <w:pStyle w:val="Text1"/>
              <w:spacing w:before="0" w:after="0"/>
              <w:ind w:left="0"/>
              <w:rPr>
                <w:rFonts w:cs="Times New Roman"/>
                <w:sz w:val="18"/>
                <w:szCs w:val="18"/>
              </w:rPr>
            </w:pPr>
            <w:r w:rsidRPr="00BB7C97">
              <w:rPr>
                <w:rFonts w:cs="Times New Roman"/>
                <w:sz w:val="18"/>
                <w:szCs w:val="18"/>
              </w:rPr>
              <w:t>RCO 01</w:t>
            </w:r>
          </w:p>
        </w:tc>
        <w:tc>
          <w:tcPr>
            <w:tcW w:w="839" w:type="pct"/>
            <w:shd w:val="clear" w:color="auto" w:fill="auto"/>
          </w:tcPr>
          <w:p w14:paraId="4D31323F" w14:textId="77777777" w:rsidR="00B8254F" w:rsidRPr="00BB7C97" w:rsidRDefault="00B8254F" w:rsidP="003155B0">
            <w:pPr>
              <w:pStyle w:val="Default"/>
              <w:spacing w:after="0" w:line="240" w:lineRule="auto"/>
              <w:jc w:val="both"/>
              <w:rPr>
                <w:color w:val="auto"/>
                <w:sz w:val="18"/>
                <w:szCs w:val="18"/>
              </w:rPr>
            </w:pPr>
            <w:r w:rsidRPr="00BB7C97">
              <w:rPr>
                <w:color w:val="auto"/>
                <w:sz w:val="18"/>
                <w:szCs w:val="18"/>
              </w:rPr>
              <w:t>Uzņēmumu skaits, kuri saņem atbalstu (tostarp: mikro, mazie, vidējie, lielie)</w:t>
            </w:r>
          </w:p>
        </w:tc>
        <w:tc>
          <w:tcPr>
            <w:tcW w:w="815" w:type="pct"/>
          </w:tcPr>
          <w:p w14:paraId="73618B93"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Komersantu skaits</w:t>
            </w:r>
          </w:p>
        </w:tc>
        <w:tc>
          <w:tcPr>
            <w:tcW w:w="680" w:type="pct"/>
            <w:shd w:val="clear" w:color="auto" w:fill="auto"/>
          </w:tcPr>
          <w:p w14:paraId="00348DCD" w14:textId="77777777" w:rsidR="00B8254F" w:rsidRPr="00BB7C97" w:rsidRDefault="00B8254F" w:rsidP="003155B0">
            <w:pPr>
              <w:pStyle w:val="Text1"/>
              <w:spacing w:before="0" w:after="0"/>
              <w:ind w:left="0"/>
              <w:jc w:val="left"/>
              <w:rPr>
                <w:rFonts w:cs="Times New Roman"/>
                <w:noProof/>
                <w:sz w:val="18"/>
                <w:szCs w:val="18"/>
              </w:rPr>
            </w:pPr>
            <w:r w:rsidRPr="00BB7C97">
              <w:rPr>
                <w:rFonts w:cs="Times New Roman"/>
                <w:noProof/>
                <w:sz w:val="18"/>
                <w:szCs w:val="18"/>
              </w:rPr>
              <w:t>15</w:t>
            </w:r>
          </w:p>
        </w:tc>
        <w:tc>
          <w:tcPr>
            <w:tcW w:w="635" w:type="pct"/>
            <w:shd w:val="clear" w:color="auto" w:fill="auto"/>
          </w:tcPr>
          <w:p w14:paraId="7B30ADA3" w14:textId="77777777" w:rsidR="00B8254F" w:rsidRPr="00BB7C97" w:rsidRDefault="00B8254F" w:rsidP="003155B0">
            <w:pPr>
              <w:pStyle w:val="Text1"/>
              <w:spacing w:before="0" w:after="0"/>
              <w:ind w:left="0"/>
              <w:jc w:val="left"/>
              <w:rPr>
                <w:rFonts w:cs="Times New Roman"/>
                <w:noProof/>
                <w:sz w:val="18"/>
                <w:szCs w:val="18"/>
              </w:rPr>
            </w:pPr>
            <w:r w:rsidRPr="00BB7C97">
              <w:rPr>
                <w:rFonts w:cs="Times New Roman"/>
                <w:noProof/>
                <w:sz w:val="18"/>
                <w:szCs w:val="18"/>
              </w:rPr>
              <w:t xml:space="preserve">5892 </w:t>
            </w:r>
          </w:p>
        </w:tc>
      </w:tr>
      <w:tr w:rsidR="00B8254F" w:rsidRPr="00BB7C97" w14:paraId="3E624967" w14:textId="77777777" w:rsidTr="00B471B0">
        <w:trPr>
          <w:trHeight w:val="427"/>
        </w:trPr>
        <w:tc>
          <w:tcPr>
            <w:tcW w:w="677" w:type="pct"/>
          </w:tcPr>
          <w:p w14:paraId="4102805F"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1.2.prioritāte</w:t>
            </w:r>
          </w:p>
        </w:tc>
        <w:tc>
          <w:tcPr>
            <w:tcW w:w="599" w:type="pct"/>
          </w:tcPr>
          <w:p w14:paraId="18038B0A"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1.2.3.SAM</w:t>
            </w:r>
          </w:p>
        </w:tc>
        <w:tc>
          <w:tcPr>
            <w:tcW w:w="407" w:type="pct"/>
          </w:tcPr>
          <w:p w14:paraId="5AF9BFE5"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ERAF</w:t>
            </w:r>
          </w:p>
        </w:tc>
        <w:tc>
          <w:tcPr>
            <w:tcW w:w="348" w:type="pct"/>
          </w:tcPr>
          <w:p w14:paraId="3A43960C" w14:textId="77777777" w:rsidR="00B8254F" w:rsidRPr="00BB7C97" w:rsidRDefault="00B8254F" w:rsidP="003155B0">
            <w:pPr>
              <w:pStyle w:val="Text1"/>
              <w:spacing w:before="0" w:after="0"/>
              <w:ind w:left="0"/>
              <w:rPr>
                <w:rFonts w:cs="Times New Roman"/>
                <w:sz w:val="18"/>
                <w:szCs w:val="18"/>
              </w:rPr>
            </w:pPr>
            <w:r w:rsidRPr="00BB7C97">
              <w:rPr>
                <w:rFonts w:cs="Times New Roman"/>
                <w:sz w:val="18"/>
                <w:szCs w:val="18"/>
              </w:rPr>
              <w:t>RCO 01</w:t>
            </w:r>
          </w:p>
        </w:tc>
        <w:tc>
          <w:tcPr>
            <w:tcW w:w="839" w:type="pct"/>
            <w:shd w:val="clear" w:color="auto" w:fill="auto"/>
          </w:tcPr>
          <w:p w14:paraId="4DE02CBD" w14:textId="77777777" w:rsidR="00B8254F" w:rsidRPr="00BB7C97" w:rsidRDefault="00B8254F" w:rsidP="003155B0">
            <w:pPr>
              <w:pStyle w:val="Default"/>
              <w:spacing w:after="0" w:line="240" w:lineRule="auto"/>
              <w:jc w:val="both"/>
              <w:rPr>
                <w:color w:val="auto"/>
                <w:sz w:val="18"/>
                <w:szCs w:val="18"/>
              </w:rPr>
            </w:pPr>
            <w:r w:rsidRPr="00BB7C97">
              <w:rPr>
                <w:color w:val="auto"/>
                <w:sz w:val="18"/>
                <w:szCs w:val="18"/>
              </w:rPr>
              <w:t>Uzņēmumu skaits, kuri saņem atbalstu (tostarp: mikro, mazie, vidējie, lielie)</w:t>
            </w:r>
          </w:p>
        </w:tc>
        <w:tc>
          <w:tcPr>
            <w:tcW w:w="815" w:type="pct"/>
          </w:tcPr>
          <w:p w14:paraId="2C213B75"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Komersantu skaits</w:t>
            </w:r>
          </w:p>
        </w:tc>
        <w:tc>
          <w:tcPr>
            <w:tcW w:w="680" w:type="pct"/>
            <w:shd w:val="clear" w:color="auto" w:fill="auto"/>
          </w:tcPr>
          <w:p w14:paraId="11F2C775" w14:textId="77777777" w:rsidR="00B8254F" w:rsidRPr="00BB7C97" w:rsidRDefault="00B8254F" w:rsidP="003155B0">
            <w:pPr>
              <w:pStyle w:val="Text1"/>
              <w:spacing w:before="0" w:after="0"/>
              <w:ind w:left="0"/>
              <w:jc w:val="left"/>
              <w:rPr>
                <w:rFonts w:cs="Times New Roman"/>
                <w:noProof/>
                <w:sz w:val="18"/>
                <w:szCs w:val="18"/>
              </w:rPr>
            </w:pPr>
            <w:r w:rsidRPr="00BB7C97">
              <w:rPr>
                <w:rFonts w:cs="Times New Roman"/>
                <w:noProof/>
                <w:sz w:val="18"/>
                <w:szCs w:val="18"/>
              </w:rPr>
              <w:t>135</w:t>
            </w:r>
          </w:p>
        </w:tc>
        <w:tc>
          <w:tcPr>
            <w:tcW w:w="635" w:type="pct"/>
            <w:shd w:val="clear" w:color="auto" w:fill="auto"/>
          </w:tcPr>
          <w:p w14:paraId="29DA7FB7" w14:textId="77777777" w:rsidR="00B8254F" w:rsidRPr="00BB7C97" w:rsidRDefault="00B8254F" w:rsidP="003155B0">
            <w:pPr>
              <w:pStyle w:val="Text1"/>
              <w:spacing w:before="0" w:after="0"/>
              <w:ind w:left="0"/>
              <w:jc w:val="left"/>
              <w:rPr>
                <w:rFonts w:cs="Times New Roman"/>
                <w:noProof/>
                <w:sz w:val="18"/>
                <w:szCs w:val="18"/>
              </w:rPr>
            </w:pPr>
            <w:r w:rsidRPr="00BB7C97">
              <w:rPr>
                <w:rFonts w:cs="Times New Roman"/>
                <w:noProof/>
                <w:sz w:val="18"/>
                <w:szCs w:val="18"/>
              </w:rPr>
              <w:t>1857</w:t>
            </w:r>
          </w:p>
        </w:tc>
      </w:tr>
      <w:tr w:rsidR="00B8254F" w:rsidRPr="00BB7C97" w14:paraId="24C40AA3" w14:textId="77777777" w:rsidTr="00B471B0">
        <w:trPr>
          <w:trHeight w:val="332"/>
        </w:trPr>
        <w:tc>
          <w:tcPr>
            <w:tcW w:w="677" w:type="pct"/>
          </w:tcPr>
          <w:p w14:paraId="5BA6B78D"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1.2.prioritāte</w:t>
            </w:r>
          </w:p>
        </w:tc>
        <w:tc>
          <w:tcPr>
            <w:tcW w:w="599" w:type="pct"/>
          </w:tcPr>
          <w:p w14:paraId="25DC92D6"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1.2.1.SAM</w:t>
            </w:r>
          </w:p>
        </w:tc>
        <w:tc>
          <w:tcPr>
            <w:tcW w:w="407" w:type="pct"/>
          </w:tcPr>
          <w:p w14:paraId="19F9E3D3"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ERAF</w:t>
            </w:r>
          </w:p>
        </w:tc>
        <w:tc>
          <w:tcPr>
            <w:tcW w:w="348" w:type="pct"/>
          </w:tcPr>
          <w:p w14:paraId="22A5E574" w14:textId="77777777" w:rsidR="00B8254F" w:rsidRPr="00BB7C97" w:rsidRDefault="00B8254F" w:rsidP="003155B0">
            <w:pPr>
              <w:pStyle w:val="Text1"/>
              <w:spacing w:before="0" w:after="0"/>
              <w:ind w:left="0"/>
              <w:rPr>
                <w:rFonts w:cs="Times New Roman"/>
                <w:sz w:val="18"/>
                <w:szCs w:val="18"/>
              </w:rPr>
            </w:pPr>
            <w:r w:rsidRPr="00BB7C97">
              <w:rPr>
                <w:rFonts w:cs="Times New Roman"/>
                <w:sz w:val="18"/>
                <w:szCs w:val="18"/>
              </w:rPr>
              <w:t>RCO 02</w:t>
            </w:r>
          </w:p>
        </w:tc>
        <w:tc>
          <w:tcPr>
            <w:tcW w:w="839" w:type="pct"/>
            <w:shd w:val="clear" w:color="auto" w:fill="auto"/>
          </w:tcPr>
          <w:p w14:paraId="516057C6" w14:textId="77777777" w:rsidR="00B8254F" w:rsidRPr="00BB7C97" w:rsidRDefault="00B8254F" w:rsidP="003155B0">
            <w:pPr>
              <w:pStyle w:val="Default"/>
              <w:spacing w:after="0" w:line="240" w:lineRule="auto"/>
              <w:jc w:val="both"/>
              <w:rPr>
                <w:color w:val="auto"/>
                <w:sz w:val="18"/>
                <w:szCs w:val="18"/>
              </w:rPr>
            </w:pPr>
            <w:r w:rsidRPr="00BB7C97">
              <w:rPr>
                <w:color w:val="auto"/>
                <w:sz w:val="18"/>
                <w:szCs w:val="18"/>
              </w:rPr>
              <w:t>Uzņēmumu skaits, kuri saņem atbalstu grantu veidā</w:t>
            </w:r>
          </w:p>
        </w:tc>
        <w:tc>
          <w:tcPr>
            <w:tcW w:w="815" w:type="pct"/>
          </w:tcPr>
          <w:p w14:paraId="78142F74"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Komersantu skaits</w:t>
            </w:r>
          </w:p>
        </w:tc>
        <w:tc>
          <w:tcPr>
            <w:tcW w:w="680" w:type="pct"/>
            <w:shd w:val="clear" w:color="auto" w:fill="auto"/>
          </w:tcPr>
          <w:p w14:paraId="396D5DE4" w14:textId="77777777" w:rsidR="00B8254F" w:rsidRPr="00BB7C97" w:rsidRDefault="00B8254F" w:rsidP="003155B0">
            <w:pPr>
              <w:pStyle w:val="Text1"/>
              <w:spacing w:before="0" w:after="0"/>
              <w:ind w:left="0"/>
              <w:jc w:val="left"/>
              <w:rPr>
                <w:rFonts w:cs="Times New Roman"/>
                <w:noProof/>
                <w:sz w:val="18"/>
                <w:szCs w:val="18"/>
              </w:rPr>
            </w:pPr>
            <w:r w:rsidRPr="00BB7C97">
              <w:rPr>
                <w:rFonts w:cs="Times New Roman"/>
                <w:noProof/>
                <w:sz w:val="18"/>
                <w:szCs w:val="18"/>
              </w:rPr>
              <w:t>0</w:t>
            </w:r>
          </w:p>
          <w:p w14:paraId="33B7CB45" w14:textId="77777777" w:rsidR="00B8254F" w:rsidRPr="00BB7C97" w:rsidRDefault="00B8254F" w:rsidP="003155B0">
            <w:pPr>
              <w:pStyle w:val="Text1"/>
              <w:spacing w:before="0" w:after="0"/>
              <w:ind w:left="0"/>
              <w:jc w:val="left"/>
              <w:rPr>
                <w:rFonts w:cs="Times New Roman"/>
                <w:noProof/>
                <w:sz w:val="18"/>
                <w:szCs w:val="18"/>
              </w:rPr>
            </w:pPr>
          </w:p>
        </w:tc>
        <w:tc>
          <w:tcPr>
            <w:tcW w:w="635" w:type="pct"/>
            <w:shd w:val="clear" w:color="auto" w:fill="auto"/>
          </w:tcPr>
          <w:p w14:paraId="2CFDEEEF" w14:textId="77777777" w:rsidR="00B8254F" w:rsidRPr="00BB7C97" w:rsidRDefault="00B8254F" w:rsidP="003155B0">
            <w:pPr>
              <w:pStyle w:val="Text1"/>
              <w:spacing w:before="0" w:after="0"/>
              <w:ind w:left="0"/>
              <w:jc w:val="left"/>
              <w:rPr>
                <w:rFonts w:cs="Times New Roman"/>
                <w:noProof/>
                <w:sz w:val="18"/>
                <w:szCs w:val="18"/>
              </w:rPr>
            </w:pPr>
            <w:r w:rsidRPr="00BB7C97">
              <w:rPr>
                <w:rFonts w:cs="Times New Roman"/>
                <w:noProof/>
                <w:sz w:val="18"/>
                <w:szCs w:val="18"/>
              </w:rPr>
              <w:t>70</w:t>
            </w:r>
          </w:p>
        </w:tc>
      </w:tr>
      <w:tr w:rsidR="00B8254F" w:rsidRPr="00BB7C97" w14:paraId="27A863EA" w14:textId="77777777" w:rsidTr="00B471B0">
        <w:trPr>
          <w:trHeight w:val="332"/>
        </w:trPr>
        <w:tc>
          <w:tcPr>
            <w:tcW w:w="677" w:type="pct"/>
          </w:tcPr>
          <w:p w14:paraId="0FD8D174"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1.2.prioritāte</w:t>
            </w:r>
          </w:p>
        </w:tc>
        <w:tc>
          <w:tcPr>
            <w:tcW w:w="599" w:type="pct"/>
          </w:tcPr>
          <w:p w14:paraId="0BE81880"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1.2.2.SAM</w:t>
            </w:r>
          </w:p>
        </w:tc>
        <w:tc>
          <w:tcPr>
            <w:tcW w:w="407" w:type="pct"/>
          </w:tcPr>
          <w:p w14:paraId="6200934E"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ERAF</w:t>
            </w:r>
          </w:p>
        </w:tc>
        <w:tc>
          <w:tcPr>
            <w:tcW w:w="348" w:type="pct"/>
          </w:tcPr>
          <w:p w14:paraId="4B200900" w14:textId="77777777" w:rsidR="00B8254F" w:rsidRPr="00BB7C97" w:rsidRDefault="00B8254F" w:rsidP="003155B0">
            <w:pPr>
              <w:pStyle w:val="Text1"/>
              <w:spacing w:before="0" w:after="0"/>
              <w:ind w:left="0"/>
              <w:rPr>
                <w:rFonts w:cs="Times New Roman"/>
                <w:sz w:val="18"/>
                <w:szCs w:val="18"/>
              </w:rPr>
            </w:pPr>
            <w:r w:rsidRPr="00BB7C97">
              <w:rPr>
                <w:rFonts w:cs="Times New Roman"/>
                <w:sz w:val="18"/>
                <w:szCs w:val="18"/>
              </w:rPr>
              <w:t>RCO 02</w:t>
            </w:r>
          </w:p>
        </w:tc>
        <w:tc>
          <w:tcPr>
            <w:tcW w:w="839" w:type="pct"/>
            <w:shd w:val="clear" w:color="auto" w:fill="auto"/>
          </w:tcPr>
          <w:p w14:paraId="270633E5" w14:textId="77777777" w:rsidR="00B8254F" w:rsidRPr="00BB7C97" w:rsidRDefault="00B8254F" w:rsidP="003155B0">
            <w:pPr>
              <w:pStyle w:val="Default"/>
              <w:spacing w:after="0" w:line="240" w:lineRule="auto"/>
              <w:jc w:val="both"/>
              <w:rPr>
                <w:color w:val="auto"/>
                <w:sz w:val="18"/>
                <w:szCs w:val="18"/>
              </w:rPr>
            </w:pPr>
            <w:r w:rsidRPr="00BB7C97">
              <w:rPr>
                <w:color w:val="auto"/>
                <w:sz w:val="18"/>
                <w:szCs w:val="18"/>
              </w:rPr>
              <w:t>Uzņēmumu skaits, kuri saņem atbalstu grantu veidā</w:t>
            </w:r>
          </w:p>
        </w:tc>
        <w:tc>
          <w:tcPr>
            <w:tcW w:w="815" w:type="pct"/>
          </w:tcPr>
          <w:p w14:paraId="3401AB70"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Komersantu skaits</w:t>
            </w:r>
          </w:p>
        </w:tc>
        <w:tc>
          <w:tcPr>
            <w:tcW w:w="680" w:type="pct"/>
            <w:shd w:val="clear" w:color="auto" w:fill="auto"/>
          </w:tcPr>
          <w:p w14:paraId="3F1AB9F6" w14:textId="77777777" w:rsidR="00B8254F" w:rsidRPr="00BB7C97" w:rsidRDefault="00B8254F" w:rsidP="003155B0">
            <w:pPr>
              <w:pStyle w:val="Text1"/>
              <w:spacing w:before="0" w:after="0"/>
              <w:ind w:left="0"/>
              <w:jc w:val="left"/>
              <w:rPr>
                <w:rFonts w:cs="Times New Roman"/>
                <w:noProof/>
                <w:sz w:val="18"/>
                <w:szCs w:val="18"/>
              </w:rPr>
            </w:pPr>
            <w:r w:rsidRPr="00BB7C97">
              <w:rPr>
                <w:rFonts w:cs="Times New Roman"/>
                <w:noProof/>
                <w:sz w:val="18"/>
                <w:szCs w:val="18"/>
              </w:rPr>
              <w:t>0</w:t>
            </w:r>
          </w:p>
        </w:tc>
        <w:tc>
          <w:tcPr>
            <w:tcW w:w="635" w:type="pct"/>
            <w:shd w:val="clear" w:color="auto" w:fill="auto"/>
          </w:tcPr>
          <w:p w14:paraId="7F5CD6C6" w14:textId="77777777" w:rsidR="00B8254F" w:rsidRPr="00BB7C97" w:rsidRDefault="00B8254F" w:rsidP="003155B0">
            <w:pPr>
              <w:pStyle w:val="Text1"/>
              <w:spacing w:before="0" w:after="0"/>
              <w:ind w:left="0"/>
              <w:jc w:val="left"/>
              <w:rPr>
                <w:rFonts w:cs="Times New Roman"/>
                <w:noProof/>
                <w:sz w:val="18"/>
                <w:szCs w:val="18"/>
              </w:rPr>
            </w:pPr>
            <w:r w:rsidRPr="00BB7C97">
              <w:rPr>
                <w:rFonts w:cs="Times New Roman"/>
                <w:noProof/>
                <w:sz w:val="18"/>
                <w:szCs w:val="18"/>
              </w:rPr>
              <w:t>832</w:t>
            </w:r>
          </w:p>
        </w:tc>
      </w:tr>
      <w:tr w:rsidR="00B8254F" w:rsidRPr="00BB7C97" w14:paraId="77B34818" w14:textId="77777777" w:rsidTr="00B471B0">
        <w:trPr>
          <w:trHeight w:val="332"/>
        </w:trPr>
        <w:tc>
          <w:tcPr>
            <w:tcW w:w="677" w:type="pct"/>
          </w:tcPr>
          <w:p w14:paraId="020DD6C3"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1.2.prioritāte</w:t>
            </w:r>
          </w:p>
        </w:tc>
        <w:tc>
          <w:tcPr>
            <w:tcW w:w="599" w:type="pct"/>
          </w:tcPr>
          <w:p w14:paraId="67F4A6A4"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1.2.3.SAM</w:t>
            </w:r>
          </w:p>
        </w:tc>
        <w:tc>
          <w:tcPr>
            <w:tcW w:w="407" w:type="pct"/>
          </w:tcPr>
          <w:p w14:paraId="2FA9DD70"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ERAF</w:t>
            </w:r>
          </w:p>
        </w:tc>
        <w:tc>
          <w:tcPr>
            <w:tcW w:w="348" w:type="pct"/>
          </w:tcPr>
          <w:p w14:paraId="22A0E5D6" w14:textId="77777777" w:rsidR="00B8254F" w:rsidRPr="00BB7C97" w:rsidRDefault="00B8254F" w:rsidP="003155B0">
            <w:pPr>
              <w:pStyle w:val="Text1"/>
              <w:spacing w:before="0" w:after="0"/>
              <w:ind w:left="0"/>
              <w:rPr>
                <w:rFonts w:cs="Times New Roman"/>
                <w:sz w:val="18"/>
                <w:szCs w:val="18"/>
              </w:rPr>
            </w:pPr>
            <w:r w:rsidRPr="00BB7C97">
              <w:rPr>
                <w:rFonts w:cs="Times New Roman"/>
                <w:sz w:val="18"/>
                <w:szCs w:val="18"/>
              </w:rPr>
              <w:t>RCO 02</w:t>
            </w:r>
          </w:p>
        </w:tc>
        <w:tc>
          <w:tcPr>
            <w:tcW w:w="839" w:type="pct"/>
            <w:shd w:val="clear" w:color="auto" w:fill="auto"/>
          </w:tcPr>
          <w:p w14:paraId="119DF58C" w14:textId="77777777" w:rsidR="00B8254F" w:rsidRPr="00BB7C97" w:rsidRDefault="00B8254F" w:rsidP="003155B0">
            <w:pPr>
              <w:pStyle w:val="Default"/>
              <w:spacing w:after="0" w:line="240" w:lineRule="auto"/>
              <w:jc w:val="both"/>
              <w:rPr>
                <w:color w:val="auto"/>
                <w:sz w:val="18"/>
                <w:szCs w:val="18"/>
              </w:rPr>
            </w:pPr>
            <w:r w:rsidRPr="00BB7C97">
              <w:rPr>
                <w:color w:val="auto"/>
                <w:sz w:val="18"/>
                <w:szCs w:val="18"/>
              </w:rPr>
              <w:t>Uzņēmumu skaits, kuri saņem atbalstu grantu veidā</w:t>
            </w:r>
          </w:p>
        </w:tc>
        <w:tc>
          <w:tcPr>
            <w:tcW w:w="815" w:type="pct"/>
          </w:tcPr>
          <w:p w14:paraId="73E1B52D"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Komersantu skaits</w:t>
            </w:r>
          </w:p>
        </w:tc>
        <w:tc>
          <w:tcPr>
            <w:tcW w:w="680" w:type="pct"/>
            <w:shd w:val="clear" w:color="auto" w:fill="auto"/>
          </w:tcPr>
          <w:p w14:paraId="34F07DD4" w14:textId="77777777" w:rsidR="00B8254F" w:rsidRPr="00BB7C97" w:rsidRDefault="00B8254F" w:rsidP="003155B0">
            <w:pPr>
              <w:pStyle w:val="Text1"/>
              <w:spacing w:before="0" w:after="0"/>
              <w:ind w:left="0"/>
              <w:jc w:val="left"/>
              <w:rPr>
                <w:rFonts w:cs="Times New Roman"/>
                <w:noProof/>
                <w:sz w:val="18"/>
                <w:szCs w:val="18"/>
              </w:rPr>
            </w:pPr>
            <w:r w:rsidRPr="00BB7C97">
              <w:rPr>
                <w:rFonts w:cs="Times New Roman"/>
                <w:noProof/>
                <w:sz w:val="18"/>
                <w:szCs w:val="18"/>
              </w:rPr>
              <w:t>0</w:t>
            </w:r>
          </w:p>
        </w:tc>
        <w:tc>
          <w:tcPr>
            <w:tcW w:w="635" w:type="pct"/>
            <w:shd w:val="clear" w:color="auto" w:fill="auto"/>
          </w:tcPr>
          <w:p w14:paraId="0917F8DF" w14:textId="77777777" w:rsidR="00B8254F" w:rsidRPr="00BB7C97" w:rsidRDefault="00B8254F" w:rsidP="003155B0">
            <w:pPr>
              <w:pStyle w:val="Text1"/>
              <w:spacing w:before="0" w:after="0"/>
              <w:ind w:left="0"/>
              <w:jc w:val="left"/>
              <w:rPr>
                <w:rFonts w:cs="Times New Roman"/>
                <w:noProof/>
                <w:sz w:val="18"/>
                <w:szCs w:val="18"/>
              </w:rPr>
            </w:pPr>
            <w:r w:rsidRPr="00BB7C97">
              <w:rPr>
                <w:rFonts w:cs="Times New Roman"/>
                <w:noProof/>
                <w:sz w:val="18"/>
                <w:szCs w:val="18"/>
              </w:rPr>
              <w:t xml:space="preserve">812 </w:t>
            </w:r>
          </w:p>
        </w:tc>
      </w:tr>
      <w:tr w:rsidR="00B8254F" w:rsidRPr="00BB7C97" w14:paraId="4F8E5FB9" w14:textId="77777777" w:rsidTr="00B471B0">
        <w:trPr>
          <w:trHeight w:val="332"/>
        </w:trPr>
        <w:tc>
          <w:tcPr>
            <w:tcW w:w="677" w:type="pct"/>
          </w:tcPr>
          <w:p w14:paraId="33E1ACB1"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1.2.prioritāte</w:t>
            </w:r>
          </w:p>
        </w:tc>
        <w:tc>
          <w:tcPr>
            <w:tcW w:w="599" w:type="pct"/>
          </w:tcPr>
          <w:p w14:paraId="73AAD265"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1.2.1.SAM</w:t>
            </w:r>
          </w:p>
        </w:tc>
        <w:tc>
          <w:tcPr>
            <w:tcW w:w="407" w:type="pct"/>
          </w:tcPr>
          <w:p w14:paraId="7B56738F"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ERAF</w:t>
            </w:r>
          </w:p>
        </w:tc>
        <w:tc>
          <w:tcPr>
            <w:tcW w:w="348" w:type="pct"/>
          </w:tcPr>
          <w:p w14:paraId="3E9C335B" w14:textId="77777777" w:rsidR="00B8254F" w:rsidRPr="00BB7C97" w:rsidRDefault="00B8254F" w:rsidP="003155B0">
            <w:pPr>
              <w:pStyle w:val="Text1"/>
              <w:spacing w:before="0" w:after="0"/>
              <w:ind w:left="0"/>
              <w:rPr>
                <w:rFonts w:cs="Times New Roman"/>
                <w:sz w:val="18"/>
                <w:szCs w:val="18"/>
              </w:rPr>
            </w:pPr>
            <w:r w:rsidRPr="00BB7C97">
              <w:rPr>
                <w:rFonts w:cs="Times New Roman"/>
                <w:sz w:val="18"/>
                <w:szCs w:val="18"/>
              </w:rPr>
              <w:t>RCO 03</w:t>
            </w:r>
          </w:p>
        </w:tc>
        <w:tc>
          <w:tcPr>
            <w:tcW w:w="839" w:type="pct"/>
            <w:shd w:val="clear" w:color="auto" w:fill="auto"/>
          </w:tcPr>
          <w:p w14:paraId="096AEE06" w14:textId="77777777" w:rsidR="00B8254F" w:rsidRPr="00BB7C97" w:rsidRDefault="00B8254F" w:rsidP="003155B0">
            <w:pPr>
              <w:pStyle w:val="Default"/>
              <w:spacing w:after="0" w:line="240" w:lineRule="auto"/>
              <w:jc w:val="both"/>
              <w:rPr>
                <w:color w:val="auto"/>
                <w:sz w:val="18"/>
                <w:szCs w:val="18"/>
              </w:rPr>
            </w:pPr>
            <w:r w:rsidRPr="00BB7C97">
              <w:rPr>
                <w:color w:val="auto"/>
                <w:sz w:val="18"/>
                <w:szCs w:val="18"/>
              </w:rPr>
              <w:t>Uzņēmumu skaits, kuri saņem atbalstu finanšu instrumentu veidā</w:t>
            </w:r>
          </w:p>
        </w:tc>
        <w:tc>
          <w:tcPr>
            <w:tcW w:w="815" w:type="pct"/>
          </w:tcPr>
          <w:p w14:paraId="663A05FD"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Komersantu skaits</w:t>
            </w:r>
          </w:p>
        </w:tc>
        <w:tc>
          <w:tcPr>
            <w:tcW w:w="680" w:type="pct"/>
            <w:shd w:val="clear" w:color="auto" w:fill="auto"/>
          </w:tcPr>
          <w:p w14:paraId="5B04A263" w14:textId="77777777" w:rsidR="00B8254F" w:rsidRPr="00BB7C97" w:rsidRDefault="00B8254F" w:rsidP="003155B0">
            <w:pPr>
              <w:pStyle w:val="Text1"/>
              <w:spacing w:before="0" w:after="0"/>
              <w:ind w:left="0"/>
              <w:jc w:val="left"/>
              <w:rPr>
                <w:rFonts w:cs="Times New Roman"/>
                <w:noProof/>
                <w:sz w:val="18"/>
                <w:szCs w:val="18"/>
              </w:rPr>
            </w:pPr>
            <w:r w:rsidRPr="00BB7C97">
              <w:rPr>
                <w:rFonts w:cs="Times New Roman"/>
                <w:noProof/>
                <w:sz w:val="18"/>
                <w:szCs w:val="18"/>
              </w:rPr>
              <w:t>0</w:t>
            </w:r>
          </w:p>
        </w:tc>
        <w:tc>
          <w:tcPr>
            <w:tcW w:w="635" w:type="pct"/>
            <w:shd w:val="clear" w:color="auto" w:fill="auto"/>
          </w:tcPr>
          <w:p w14:paraId="5BD683E2" w14:textId="77777777" w:rsidR="00B8254F" w:rsidRPr="00BB7C97" w:rsidRDefault="00B8254F" w:rsidP="003155B0">
            <w:pPr>
              <w:pStyle w:val="Text1"/>
              <w:spacing w:before="0" w:after="0"/>
              <w:ind w:left="0"/>
              <w:jc w:val="left"/>
              <w:rPr>
                <w:rFonts w:cs="Times New Roman"/>
                <w:noProof/>
                <w:sz w:val="18"/>
                <w:szCs w:val="18"/>
              </w:rPr>
            </w:pPr>
            <w:r w:rsidRPr="00BB7C97">
              <w:rPr>
                <w:rFonts w:cs="Times New Roman"/>
                <w:noProof/>
                <w:sz w:val="18"/>
                <w:szCs w:val="18"/>
              </w:rPr>
              <w:t>60</w:t>
            </w:r>
          </w:p>
        </w:tc>
      </w:tr>
      <w:tr w:rsidR="00B8254F" w:rsidRPr="00BB7C97" w14:paraId="27E7E2D8" w14:textId="77777777" w:rsidTr="00B471B0">
        <w:trPr>
          <w:trHeight w:val="332"/>
        </w:trPr>
        <w:tc>
          <w:tcPr>
            <w:tcW w:w="677" w:type="pct"/>
          </w:tcPr>
          <w:p w14:paraId="23FB2841"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1.2.prioritāte</w:t>
            </w:r>
          </w:p>
        </w:tc>
        <w:tc>
          <w:tcPr>
            <w:tcW w:w="599" w:type="pct"/>
          </w:tcPr>
          <w:p w14:paraId="75441C9A"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1.2.2.SAM</w:t>
            </w:r>
          </w:p>
        </w:tc>
        <w:tc>
          <w:tcPr>
            <w:tcW w:w="407" w:type="pct"/>
          </w:tcPr>
          <w:p w14:paraId="510A3BBA"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ERAF</w:t>
            </w:r>
          </w:p>
        </w:tc>
        <w:tc>
          <w:tcPr>
            <w:tcW w:w="348" w:type="pct"/>
          </w:tcPr>
          <w:p w14:paraId="10A22B1C" w14:textId="77777777" w:rsidR="00B8254F" w:rsidRPr="00BB7C97" w:rsidRDefault="00B8254F" w:rsidP="003155B0">
            <w:pPr>
              <w:pStyle w:val="Text1"/>
              <w:spacing w:before="0" w:after="0"/>
              <w:ind w:left="0"/>
              <w:rPr>
                <w:rFonts w:cs="Times New Roman"/>
                <w:sz w:val="18"/>
                <w:szCs w:val="18"/>
              </w:rPr>
            </w:pPr>
            <w:r w:rsidRPr="00BB7C97">
              <w:rPr>
                <w:rFonts w:cs="Times New Roman"/>
                <w:sz w:val="18"/>
                <w:szCs w:val="18"/>
              </w:rPr>
              <w:t>RCO 03</w:t>
            </w:r>
          </w:p>
        </w:tc>
        <w:tc>
          <w:tcPr>
            <w:tcW w:w="839" w:type="pct"/>
            <w:shd w:val="clear" w:color="auto" w:fill="auto"/>
          </w:tcPr>
          <w:p w14:paraId="385C9129" w14:textId="77777777" w:rsidR="00B8254F" w:rsidRPr="00BB7C97" w:rsidRDefault="00B8254F" w:rsidP="003155B0">
            <w:pPr>
              <w:pStyle w:val="Default"/>
              <w:spacing w:after="0" w:line="240" w:lineRule="auto"/>
              <w:jc w:val="both"/>
              <w:rPr>
                <w:color w:val="auto"/>
                <w:sz w:val="18"/>
                <w:szCs w:val="18"/>
              </w:rPr>
            </w:pPr>
            <w:r w:rsidRPr="00BB7C97">
              <w:rPr>
                <w:color w:val="auto"/>
                <w:sz w:val="18"/>
                <w:szCs w:val="18"/>
              </w:rPr>
              <w:t>Uzņēmumu skaits, kuri saņem atbalstu finanšu instrumentu veidā</w:t>
            </w:r>
          </w:p>
        </w:tc>
        <w:tc>
          <w:tcPr>
            <w:tcW w:w="815" w:type="pct"/>
          </w:tcPr>
          <w:p w14:paraId="5239B061"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Komersantu skaits</w:t>
            </w:r>
          </w:p>
        </w:tc>
        <w:tc>
          <w:tcPr>
            <w:tcW w:w="680" w:type="pct"/>
            <w:shd w:val="clear" w:color="auto" w:fill="auto"/>
          </w:tcPr>
          <w:p w14:paraId="0A3054F4" w14:textId="77777777" w:rsidR="00B8254F" w:rsidRPr="00BB7C97" w:rsidRDefault="00B8254F" w:rsidP="003155B0">
            <w:pPr>
              <w:pStyle w:val="Text1"/>
              <w:spacing w:before="0" w:after="0"/>
              <w:ind w:left="0"/>
              <w:jc w:val="left"/>
              <w:rPr>
                <w:rFonts w:cs="Times New Roman"/>
                <w:noProof/>
                <w:sz w:val="18"/>
                <w:szCs w:val="18"/>
              </w:rPr>
            </w:pPr>
            <w:r w:rsidRPr="00BB7C97">
              <w:rPr>
                <w:rFonts w:cs="Times New Roman"/>
                <w:noProof/>
                <w:sz w:val="18"/>
                <w:szCs w:val="18"/>
              </w:rPr>
              <w:t>15</w:t>
            </w:r>
          </w:p>
        </w:tc>
        <w:tc>
          <w:tcPr>
            <w:tcW w:w="635" w:type="pct"/>
            <w:shd w:val="clear" w:color="auto" w:fill="auto"/>
          </w:tcPr>
          <w:p w14:paraId="7B37D4B3" w14:textId="77777777" w:rsidR="00B8254F" w:rsidRPr="00BB7C97" w:rsidRDefault="00B8254F" w:rsidP="003155B0">
            <w:pPr>
              <w:pStyle w:val="Text1"/>
              <w:spacing w:before="0" w:after="0"/>
              <w:ind w:left="0"/>
              <w:jc w:val="left"/>
              <w:rPr>
                <w:rFonts w:cs="Times New Roman"/>
                <w:noProof/>
                <w:sz w:val="18"/>
                <w:szCs w:val="18"/>
              </w:rPr>
            </w:pPr>
            <w:r w:rsidRPr="00BB7C97">
              <w:rPr>
                <w:rFonts w:cs="Times New Roman"/>
                <w:noProof/>
                <w:sz w:val="18"/>
                <w:szCs w:val="18"/>
              </w:rPr>
              <w:t>60</w:t>
            </w:r>
          </w:p>
        </w:tc>
      </w:tr>
      <w:tr w:rsidR="00B8254F" w:rsidRPr="00BB7C97" w14:paraId="07B50DC6" w14:textId="77777777" w:rsidTr="00B471B0">
        <w:trPr>
          <w:trHeight w:val="332"/>
        </w:trPr>
        <w:tc>
          <w:tcPr>
            <w:tcW w:w="677" w:type="pct"/>
          </w:tcPr>
          <w:p w14:paraId="05F65037"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1.2.prioritāte</w:t>
            </w:r>
          </w:p>
        </w:tc>
        <w:tc>
          <w:tcPr>
            <w:tcW w:w="599" w:type="pct"/>
          </w:tcPr>
          <w:p w14:paraId="556FF5FE"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1.2.3.SAM</w:t>
            </w:r>
          </w:p>
        </w:tc>
        <w:tc>
          <w:tcPr>
            <w:tcW w:w="407" w:type="pct"/>
          </w:tcPr>
          <w:p w14:paraId="433CEAF6"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ERAF</w:t>
            </w:r>
          </w:p>
        </w:tc>
        <w:tc>
          <w:tcPr>
            <w:tcW w:w="348" w:type="pct"/>
          </w:tcPr>
          <w:p w14:paraId="130EC978" w14:textId="77777777" w:rsidR="00B8254F" w:rsidRPr="00BB7C97" w:rsidRDefault="00B8254F" w:rsidP="003155B0">
            <w:pPr>
              <w:pStyle w:val="Text1"/>
              <w:spacing w:before="0" w:after="0"/>
              <w:ind w:left="0"/>
              <w:rPr>
                <w:rFonts w:cs="Times New Roman"/>
                <w:sz w:val="18"/>
                <w:szCs w:val="18"/>
              </w:rPr>
            </w:pPr>
            <w:r w:rsidRPr="00BB7C97">
              <w:rPr>
                <w:rFonts w:cs="Times New Roman"/>
                <w:sz w:val="18"/>
                <w:szCs w:val="18"/>
              </w:rPr>
              <w:t>RCO 03</w:t>
            </w:r>
          </w:p>
        </w:tc>
        <w:tc>
          <w:tcPr>
            <w:tcW w:w="839" w:type="pct"/>
            <w:shd w:val="clear" w:color="auto" w:fill="auto"/>
          </w:tcPr>
          <w:p w14:paraId="3953BBDD" w14:textId="77777777" w:rsidR="00B8254F" w:rsidRPr="00BB7C97" w:rsidRDefault="00B8254F" w:rsidP="003155B0">
            <w:pPr>
              <w:pStyle w:val="Default"/>
              <w:spacing w:after="0" w:line="240" w:lineRule="auto"/>
              <w:jc w:val="both"/>
              <w:rPr>
                <w:color w:val="auto"/>
                <w:sz w:val="18"/>
                <w:szCs w:val="18"/>
              </w:rPr>
            </w:pPr>
            <w:r w:rsidRPr="00BB7C97">
              <w:rPr>
                <w:color w:val="auto"/>
                <w:sz w:val="18"/>
                <w:szCs w:val="18"/>
              </w:rPr>
              <w:t>Uzņēmumu skaits, kuri saņem atbalstu finanšu instrumentu veidā</w:t>
            </w:r>
          </w:p>
        </w:tc>
        <w:tc>
          <w:tcPr>
            <w:tcW w:w="815" w:type="pct"/>
          </w:tcPr>
          <w:p w14:paraId="5C5ADAC2"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Komersantu skaits</w:t>
            </w:r>
          </w:p>
        </w:tc>
        <w:tc>
          <w:tcPr>
            <w:tcW w:w="680" w:type="pct"/>
            <w:shd w:val="clear" w:color="auto" w:fill="auto"/>
          </w:tcPr>
          <w:p w14:paraId="24873DA3" w14:textId="77777777" w:rsidR="00B8254F" w:rsidRPr="00BB7C97" w:rsidRDefault="00B8254F" w:rsidP="003155B0">
            <w:pPr>
              <w:pStyle w:val="Text1"/>
              <w:spacing w:before="0" w:after="0"/>
              <w:ind w:left="0"/>
              <w:jc w:val="left"/>
              <w:rPr>
                <w:rFonts w:cs="Times New Roman"/>
                <w:noProof/>
                <w:sz w:val="18"/>
                <w:szCs w:val="18"/>
              </w:rPr>
            </w:pPr>
            <w:r w:rsidRPr="00BB7C97">
              <w:rPr>
                <w:rFonts w:cs="Times New Roman"/>
                <w:noProof/>
                <w:sz w:val="18"/>
                <w:szCs w:val="18"/>
              </w:rPr>
              <w:t>85</w:t>
            </w:r>
          </w:p>
        </w:tc>
        <w:tc>
          <w:tcPr>
            <w:tcW w:w="635" w:type="pct"/>
            <w:shd w:val="clear" w:color="auto" w:fill="auto"/>
          </w:tcPr>
          <w:p w14:paraId="73546509" w14:textId="77777777" w:rsidR="00B8254F" w:rsidRPr="00BB7C97" w:rsidRDefault="00B8254F" w:rsidP="003155B0">
            <w:pPr>
              <w:pStyle w:val="Text1"/>
              <w:spacing w:before="0" w:after="0"/>
              <w:ind w:left="0"/>
              <w:jc w:val="left"/>
              <w:rPr>
                <w:rFonts w:cs="Times New Roman"/>
                <w:noProof/>
                <w:sz w:val="18"/>
                <w:szCs w:val="18"/>
              </w:rPr>
            </w:pPr>
            <w:r w:rsidRPr="00BB7C97">
              <w:rPr>
                <w:rFonts w:cs="Times New Roman"/>
                <w:noProof/>
                <w:sz w:val="18"/>
                <w:szCs w:val="18"/>
              </w:rPr>
              <w:t xml:space="preserve">785 </w:t>
            </w:r>
          </w:p>
        </w:tc>
      </w:tr>
      <w:tr w:rsidR="00B8254F" w:rsidRPr="00BB7C97" w14:paraId="70D35479" w14:textId="77777777" w:rsidTr="00B471B0">
        <w:trPr>
          <w:trHeight w:val="332"/>
        </w:trPr>
        <w:tc>
          <w:tcPr>
            <w:tcW w:w="677" w:type="pct"/>
            <w:shd w:val="clear" w:color="auto" w:fill="auto"/>
          </w:tcPr>
          <w:p w14:paraId="47DE1003"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1.2.prioritāte</w:t>
            </w:r>
          </w:p>
        </w:tc>
        <w:tc>
          <w:tcPr>
            <w:tcW w:w="599" w:type="pct"/>
            <w:shd w:val="clear" w:color="auto" w:fill="auto"/>
          </w:tcPr>
          <w:p w14:paraId="2D192DF0"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1.2.1.SAM</w:t>
            </w:r>
          </w:p>
        </w:tc>
        <w:tc>
          <w:tcPr>
            <w:tcW w:w="407" w:type="pct"/>
            <w:shd w:val="clear" w:color="auto" w:fill="auto"/>
          </w:tcPr>
          <w:p w14:paraId="3A042AC7"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ERAF</w:t>
            </w:r>
          </w:p>
        </w:tc>
        <w:tc>
          <w:tcPr>
            <w:tcW w:w="348" w:type="pct"/>
            <w:shd w:val="clear" w:color="auto" w:fill="auto"/>
          </w:tcPr>
          <w:p w14:paraId="4CE9DEEC" w14:textId="77777777" w:rsidR="00B8254F" w:rsidRPr="00BB7C97" w:rsidRDefault="00B8254F" w:rsidP="003155B0">
            <w:pPr>
              <w:pStyle w:val="Text1"/>
              <w:spacing w:before="0" w:after="0"/>
              <w:ind w:left="0"/>
              <w:rPr>
                <w:rFonts w:cs="Times New Roman"/>
                <w:sz w:val="18"/>
                <w:szCs w:val="18"/>
              </w:rPr>
            </w:pPr>
            <w:r w:rsidRPr="00BB7C97">
              <w:rPr>
                <w:rFonts w:cs="Times New Roman"/>
                <w:sz w:val="18"/>
                <w:szCs w:val="18"/>
              </w:rPr>
              <w:t>RCO 04</w:t>
            </w:r>
          </w:p>
        </w:tc>
        <w:tc>
          <w:tcPr>
            <w:tcW w:w="839" w:type="pct"/>
            <w:shd w:val="clear" w:color="auto" w:fill="auto"/>
          </w:tcPr>
          <w:p w14:paraId="4319DA47" w14:textId="77777777" w:rsidR="00B8254F" w:rsidRPr="00BB7C97" w:rsidRDefault="00B8254F" w:rsidP="003155B0">
            <w:pPr>
              <w:pStyle w:val="Default"/>
              <w:spacing w:after="0" w:line="240" w:lineRule="auto"/>
              <w:jc w:val="both"/>
              <w:rPr>
                <w:color w:val="auto"/>
                <w:sz w:val="18"/>
                <w:szCs w:val="18"/>
              </w:rPr>
            </w:pPr>
            <w:r w:rsidRPr="00BB7C97">
              <w:rPr>
                <w:color w:val="auto"/>
                <w:sz w:val="18"/>
                <w:szCs w:val="18"/>
              </w:rPr>
              <w:t>Uzņēmumu skaits, kuri saņem nefinansiālu atbalstu.</w:t>
            </w:r>
          </w:p>
        </w:tc>
        <w:tc>
          <w:tcPr>
            <w:tcW w:w="815" w:type="pct"/>
            <w:shd w:val="clear" w:color="auto" w:fill="auto"/>
          </w:tcPr>
          <w:p w14:paraId="51D7A7C4"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Komersantu skaits</w:t>
            </w:r>
          </w:p>
        </w:tc>
        <w:tc>
          <w:tcPr>
            <w:tcW w:w="680" w:type="pct"/>
            <w:shd w:val="clear" w:color="auto" w:fill="auto"/>
          </w:tcPr>
          <w:p w14:paraId="594BD91A" w14:textId="77777777" w:rsidR="00B8254F" w:rsidRPr="00BB7C97" w:rsidRDefault="00B8254F" w:rsidP="003155B0">
            <w:pPr>
              <w:pStyle w:val="Text1"/>
              <w:spacing w:before="0" w:after="0"/>
              <w:ind w:left="0"/>
              <w:jc w:val="left"/>
              <w:rPr>
                <w:rFonts w:cs="Times New Roman"/>
                <w:noProof/>
                <w:sz w:val="18"/>
                <w:szCs w:val="18"/>
              </w:rPr>
            </w:pPr>
            <w:r w:rsidRPr="00BB7C97">
              <w:rPr>
                <w:rFonts w:cs="Times New Roman"/>
                <w:noProof/>
                <w:sz w:val="18"/>
                <w:szCs w:val="18"/>
              </w:rPr>
              <w:t>0</w:t>
            </w:r>
          </w:p>
        </w:tc>
        <w:tc>
          <w:tcPr>
            <w:tcW w:w="635" w:type="pct"/>
            <w:shd w:val="clear" w:color="auto" w:fill="auto"/>
          </w:tcPr>
          <w:p w14:paraId="4DD49E8D" w14:textId="77777777" w:rsidR="00B8254F" w:rsidRPr="00BB7C97" w:rsidRDefault="00B8254F" w:rsidP="003155B0">
            <w:pPr>
              <w:pStyle w:val="Text1"/>
              <w:spacing w:before="0" w:after="0"/>
              <w:ind w:left="0"/>
              <w:jc w:val="left"/>
              <w:rPr>
                <w:rFonts w:cs="Times New Roman"/>
                <w:noProof/>
                <w:sz w:val="18"/>
                <w:szCs w:val="18"/>
              </w:rPr>
            </w:pPr>
            <w:r w:rsidRPr="00BB7C97">
              <w:rPr>
                <w:rFonts w:cs="Times New Roman"/>
                <w:noProof/>
                <w:sz w:val="18"/>
                <w:szCs w:val="18"/>
              </w:rPr>
              <w:t xml:space="preserve">500 </w:t>
            </w:r>
          </w:p>
        </w:tc>
      </w:tr>
      <w:tr w:rsidR="00B8254F" w:rsidRPr="00BB7C97" w14:paraId="5AE873D2" w14:textId="77777777" w:rsidTr="00B471B0">
        <w:trPr>
          <w:trHeight w:val="332"/>
        </w:trPr>
        <w:tc>
          <w:tcPr>
            <w:tcW w:w="677" w:type="pct"/>
            <w:shd w:val="clear" w:color="auto" w:fill="auto"/>
          </w:tcPr>
          <w:p w14:paraId="765C8A35"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1.2.prioritāte</w:t>
            </w:r>
          </w:p>
        </w:tc>
        <w:tc>
          <w:tcPr>
            <w:tcW w:w="599" w:type="pct"/>
            <w:shd w:val="clear" w:color="auto" w:fill="auto"/>
          </w:tcPr>
          <w:p w14:paraId="572F14F4"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1.2.2.SAM</w:t>
            </w:r>
          </w:p>
        </w:tc>
        <w:tc>
          <w:tcPr>
            <w:tcW w:w="407" w:type="pct"/>
            <w:shd w:val="clear" w:color="auto" w:fill="auto"/>
          </w:tcPr>
          <w:p w14:paraId="4443BEAA"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ERAF</w:t>
            </w:r>
          </w:p>
        </w:tc>
        <w:tc>
          <w:tcPr>
            <w:tcW w:w="348" w:type="pct"/>
            <w:shd w:val="clear" w:color="auto" w:fill="auto"/>
          </w:tcPr>
          <w:p w14:paraId="75F65A6B" w14:textId="77777777" w:rsidR="00B8254F" w:rsidRPr="00BB7C97" w:rsidRDefault="00B8254F" w:rsidP="003155B0">
            <w:pPr>
              <w:pStyle w:val="Text1"/>
              <w:spacing w:before="0" w:after="0"/>
              <w:ind w:left="0"/>
              <w:rPr>
                <w:rFonts w:cs="Times New Roman"/>
                <w:sz w:val="18"/>
                <w:szCs w:val="18"/>
              </w:rPr>
            </w:pPr>
            <w:r w:rsidRPr="00BB7C97">
              <w:rPr>
                <w:rFonts w:cs="Times New Roman"/>
                <w:sz w:val="18"/>
                <w:szCs w:val="18"/>
              </w:rPr>
              <w:t>RCO 04</w:t>
            </w:r>
          </w:p>
        </w:tc>
        <w:tc>
          <w:tcPr>
            <w:tcW w:w="839" w:type="pct"/>
            <w:shd w:val="clear" w:color="auto" w:fill="auto"/>
          </w:tcPr>
          <w:p w14:paraId="06F7B2D6" w14:textId="77777777" w:rsidR="00B8254F" w:rsidRPr="00BB7C97" w:rsidRDefault="00B8254F" w:rsidP="003155B0">
            <w:pPr>
              <w:pStyle w:val="Default"/>
              <w:spacing w:after="0" w:line="240" w:lineRule="auto"/>
              <w:jc w:val="both"/>
              <w:rPr>
                <w:color w:val="auto"/>
                <w:sz w:val="18"/>
                <w:szCs w:val="18"/>
              </w:rPr>
            </w:pPr>
            <w:r w:rsidRPr="00BB7C97">
              <w:rPr>
                <w:color w:val="auto"/>
                <w:sz w:val="18"/>
                <w:szCs w:val="18"/>
              </w:rPr>
              <w:t>Uzņēmumu skaits, kuri saņem nefinansiālu atbalstu.</w:t>
            </w:r>
          </w:p>
        </w:tc>
        <w:tc>
          <w:tcPr>
            <w:tcW w:w="815" w:type="pct"/>
            <w:shd w:val="clear" w:color="auto" w:fill="auto"/>
          </w:tcPr>
          <w:p w14:paraId="679467DF"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Komersantu skaits</w:t>
            </w:r>
          </w:p>
        </w:tc>
        <w:tc>
          <w:tcPr>
            <w:tcW w:w="680" w:type="pct"/>
            <w:shd w:val="clear" w:color="auto" w:fill="auto"/>
          </w:tcPr>
          <w:p w14:paraId="4361D5B1" w14:textId="77777777" w:rsidR="00B8254F" w:rsidRPr="00BB7C97" w:rsidRDefault="00B8254F" w:rsidP="003155B0">
            <w:pPr>
              <w:pStyle w:val="Text1"/>
              <w:spacing w:before="0" w:after="0"/>
              <w:ind w:left="0"/>
              <w:jc w:val="left"/>
              <w:rPr>
                <w:rFonts w:cs="Times New Roman"/>
                <w:noProof/>
                <w:sz w:val="18"/>
                <w:szCs w:val="18"/>
              </w:rPr>
            </w:pPr>
            <w:r w:rsidRPr="00BB7C97">
              <w:rPr>
                <w:rFonts w:cs="Times New Roman"/>
                <w:noProof/>
                <w:sz w:val="18"/>
                <w:szCs w:val="18"/>
              </w:rPr>
              <w:t>0</w:t>
            </w:r>
          </w:p>
        </w:tc>
        <w:tc>
          <w:tcPr>
            <w:tcW w:w="635" w:type="pct"/>
            <w:shd w:val="clear" w:color="auto" w:fill="auto"/>
          </w:tcPr>
          <w:p w14:paraId="1B4FAE8F" w14:textId="77777777" w:rsidR="00B8254F" w:rsidRPr="00BB7C97" w:rsidRDefault="00B8254F" w:rsidP="003155B0">
            <w:pPr>
              <w:pStyle w:val="Text1"/>
              <w:spacing w:before="0" w:after="0"/>
              <w:ind w:left="0"/>
              <w:jc w:val="left"/>
              <w:rPr>
                <w:rFonts w:cs="Times New Roman"/>
                <w:noProof/>
                <w:sz w:val="18"/>
                <w:szCs w:val="18"/>
              </w:rPr>
            </w:pPr>
            <w:r w:rsidRPr="00BB7C97">
              <w:rPr>
                <w:rFonts w:cs="Times New Roman"/>
                <w:noProof/>
                <w:sz w:val="18"/>
                <w:szCs w:val="18"/>
              </w:rPr>
              <w:t>5000</w:t>
            </w:r>
          </w:p>
        </w:tc>
      </w:tr>
      <w:tr w:rsidR="00B8254F" w:rsidRPr="00BB7C97" w14:paraId="25E32F2D" w14:textId="77777777" w:rsidTr="00B471B0">
        <w:trPr>
          <w:trHeight w:val="332"/>
        </w:trPr>
        <w:tc>
          <w:tcPr>
            <w:tcW w:w="677" w:type="pct"/>
            <w:shd w:val="clear" w:color="auto" w:fill="auto"/>
          </w:tcPr>
          <w:p w14:paraId="22B03142"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1.2.prioritāte</w:t>
            </w:r>
          </w:p>
        </w:tc>
        <w:tc>
          <w:tcPr>
            <w:tcW w:w="599" w:type="pct"/>
            <w:shd w:val="clear" w:color="auto" w:fill="auto"/>
          </w:tcPr>
          <w:p w14:paraId="5C5E6F04"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1.2.3.SAM</w:t>
            </w:r>
          </w:p>
        </w:tc>
        <w:tc>
          <w:tcPr>
            <w:tcW w:w="407" w:type="pct"/>
            <w:shd w:val="clear" w:color="auto" w:fill="auto"/>
          </w:tcPr>
          <w:p w14:paraId="2DD5D594"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ERAF</w:t>
            </w:r>
          </w:p>
        </w:tc>
        <w:tc>
          <w:tcPr>
            <w:tcW w:w="348" w:type="pct"/>
            <w:shd w:val="clear" w:color="auto" w:fill="auto"/>
          </w:tcPr>
          <w:p w14:paraId="7F6F6288" w14:textId="77777777" w:rsidR="00B8254F" w:rsidRPr="00BB7C97" w:rsidRDefault="00B8254F" w:rsidP="003155B0">
            <w:pPr>
              <w:pStyle w:val="Text1"/>
              <w:spacing w:before="0" w:after="0"/>
              <w:ind w:left="0"/>
              <w:rPr>
                <w:rFonts w:cs="Times New Roman"/>
                <w:sz w:val="18"/>
                <w:szCs w:val="18"/>
              </w:rPr>
            </w:pPr>
            <w:r w:rsidRPr="00BB7C97">
              <w:rPr>
                <w:rFonts w:cs="Times New Roman"/>
                <w:sz w:val="18"/>
                <w:szCs w:val="18"/>
              </w:rPr>
              <w:t>RCO 04</w:t>
            </w:r>
          </w:p>
        </w:tc>
        <w:tc>
          <w:tcPr>
            <w:tcW w:w="839" w:type="pct"/>
            <w:shd w:val="clear" w:color="auto" w:fill="auto"/>
          </w:tcPr>
          <w:p w14:paraId="6F23FE74" w14:textId="77777777" w:rsidR="00B8254F" w:rsidRPr="00BB7C97" w:rsidRDefault="00B8254F" w:rsidP="003155B0">
            <w:pPr>
              <w:pStyle w:val="Default"/>
              <w:spacing w:after="0" w:line="240" w:lineRule="auto"/>
              <w:jc w:val="both"/>
              <w:rPr>
                <w:color w:val="auto"/>
                <w:sz w:val="18"/>
                <w:szCs w:val="18"/>
              </w:rPr>
            </w:pPr>
            <w:r w:rsidRPr="00BB7C97">
              <w:rPr>
                <w:color w:val="auto"/>
                <w:sz w:val="18"/>
                <w:szCs w:val="18"/>
              </w:rPr>
              <w:t>Uzņēmumu skaits, kuri saņem nefinansiālu atbalstu.</w:t>
            </w:r>
          </w:p>
        </w:tc>
        <w:tc>
          <w:tcPr>
            <w:tcW w:w="815" w:type="pct"/>
            <w:shd w:val="clear" w:color="auto" w:fill="auto"/>
          </w:tcPr>
          <w:p w14:paraId="52E59C81"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Komersantu skaits</w:t>
            </w:r>
          </w:p>
        </w:tc>
        <w:tc>
          <w:tcPr>
            <w:tcW w:w="680" w:type="pct"/>
            <w:shd w:val="clear" w:color="auto" w:fill="auto"/>
          </w:tcPr>
          <w:p w14:paraId="4DB1DE26" w14:textId="77777777" w:rsidR="00B8254F" w:rsidRPr="00BB7C97" w:rsidRDefault="00B8254F" w:rsidP="003155B0">
            <w:pPr>
              <w:pStyle w:val="Text1"/>
              <w:spacing w:before="0" w:after="0"/>
              <w:ind w:left="0"/>
              <w:jc w:val="left"/>
              <w:rPr>
                <w:rFonts w:cs="Times New Roman"/>
                <w:noProof/>
                <w:sz w:val="18"/>
                <w:szCs w:val="18"/>
              </w:rPr>
            </w:pPr>
            <w:r w:rsidRPr="00BB7C97">
              <w:rPr>
                <w:rFonts w:cs="Times New Roman"/>
                <w:noProof/>
                <w:sz w:val="18"/>
                <w:szCs w:val="18"/>
              </w:rPr>
              <w:t xml:space="preserve">50 </w:t>
            </w:r>
          </w:p>
        </w:tc>
        <w:tc>
          <w:tcPr>
            <w:tcW w:w="635" w:type="pct"/>
            <w:shd w:val="clear" w:color="auto" w:fill="auto"/>
          </w:tcPr>
          <w:p w14:paraId="3BA4371D" w14:textId="77777777" w:rsidR="00B8254F" w:rsidRPr="00BB7C97" w:rsidRDefault="00B8254F" w:rsidP="003155B0">
            <w:pPr>
              <w:pStyle w:val="Text1"/>
              <w:spacing w:before="0" w:after="0"/>
              <w:ind w:left="0"/>
              <w:jc w:val="left"/>
              <w:rPr>
                <w:rFonts w:cs="Times New Roman"/>
                <w:noProof/>
                <w:sz w:val="18"/>
                <w:szCs w:val="18"/>
              </w:rPr>
            </w:pPr>
            <w:r w:rsidRPr="00BB7C97">
              <w:rPr>
                <w:rFonts w:cs="Times New Roman"/>
                <w:noProof/>
                <w:sz w:val="18"/>
                <w:szCs w:val="18"/>
              </w:rPr>
              <w:t xml:space="preserve">260 </w:t>
            </w:r>
          </w:p>
        </w:tc>
      </w:tr>
      <w:tr w:rsidR="00B8254F" w:rsidRPr="00BB7C97" w14:paraId="4F50485E" w14:textId="77777777" w:rsidTr="00B471B0">
        <w:trPr>
          <w:trHeight w:val="332"/>
        </w:trPr>
        <w:tc>
          <w:tcPr>
            <w:tcW w:w="677" w:type="pct"/>
          </w:tcPr>
          <w:p w14:paraId="17958A72"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1.2.prioritāte</w:t>
            </w:r>
          </w:p>
        </w:tc>
        <w:tc>
          <w:tcPr>
            <w:tcW w:w="599" w:type="pct"/>
          </w:tcPr>
          <w:p w14:paraId="5EECFAA0"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1.2.3.SAM</w:t>
            </w:r>
          </w:p>
        </w:tc>
        <w:tc>
          <w:tcPr>
            <w:tcW w:w="407" w:type="pct"/>
          </w:tcPr>
          <w:p w14:paraId="4457A357"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ERAF</w:t>
            </w:r>
          </w:p>
        </w:tc>
        <w:tc>
          <w:tcPr>
            <w:tcW w:w="348" w:type="pct"/>
          </w:tcPr>
          <w:p w14:paraId="71222AED" w14:textId="77777777" w:rsidR="00B8254F" w:rsidRPr="00BB7C97" w:rsidRDefault="00B8254F" w:rsidP="003155B0">
            <w:pPr>
              <w:pStyle w:val="Text1"/>
              <w:spacing w:before="0" w:after="0"/>
              <w:ind w:left="0"/>
              <w:rPr>
                <w:rFonts w:cs="Times New Roman"/>
                <w:sz w:val="18"/>
                <w:szCs w:val="18"/>
              </w:rPr>
            </w:pPr>
            <w:r w:rsidRPr="00BB7C97">
              <w:rPr>
                <w:rFonts w:cs="Times New Roman"/>
                <w:sz w:val="18"/>
                <w:szCs w:val="18"/>
              </w:rPr>
              <w:t>RCO 05</w:t>
            </w:r>
          </w:p>
        </w:tc>
        <w:tc>
          <w:tcPr>
            <w:tcW w:w="839" w:type="pct"/>
            <w:shd w:val="clear" w:color="auto" w:fill="auto"/>
          </w:tcPr>
          <w:p w14:paraId="46D5BCA2" w14:textId="77777777" w:rsidR="00B8254F" w:rsidRPr="00BB7C97" w:rsidRDefault="00B8254F" w:rsidP="003155B0">
            <w:pPr>
              <w:pStyle w:val="Default"/>
              <w:spacing w:after="0" w:line="240" w:lineRule="auto"/>
              <w:jc w:val="both"/>
              <w:rPr>
                <w:color w:val="auto"/>
                <w:sz w:val="18"/>
                <w:szCs w:val="18"/>
              </w:rPr>
            </w:pPr>
            <w:r w:rsidRPr="00BB7C97">
              <w:rPr>
                <w:color w:val="auto"/>
                <w:sz w:val="18"/>
                <w:szCs w:val="18"/>
              </w:rPr>
              <w:t>Atbalstīto jaunizveidoto uzņēmumu skaits</w:t>
            </w:r>
          </w:p>
        </w:tc>
        <w:tc>
          <w:tcPr>
            <w:tcW w:w="815" w:type="pct"/>
          </w:tcPr>
          <w:p w14:paraId="10B27A7B"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Komersantu skaits</w:t>
            </w:r>
          </w:p>
        </w:tc>
        <w:tc>
          <w:tcPr>
            <w:tcW w:w="680" w:type="pct"/>
            <w:shd w:val="clear" w:color="auto" w:fill="auto"/>
          </w:tcPr>
          <w:p w14:paraId="2A117C2E" w14:textId="77777777" w:rsidR="00B8254F" w:rsidRPr="00BB7C97" w:rsidRDefault="00B8254F" w:rsidP="003155B0">
            <w:pPr>
              <w:pStyle w:val="Text1"/>
              <w:spacing w:before="0" w:after="0"/>
              <w:ind w:left="0"/>
              <w:jc w:val="left"/>
              <w:rPr>
                <w:rFonts w:cs="Times New Roman"/>
                <w:noProof/>
                <w:sz w:val="18"/>
                <w:szCs w:val="18"/>
              </w:rPr>
            </w:pPr>
            <w:r w:rsidRPr="00BB7C97">
              <w:rPr>
                <w:rFonts w:cs="Times New Roman"/>
                <w:noProof/>
                <w:sz w:val="18"/>
                <w:szCs w:val="18"/>
              </w:rPr>
              <w:t>59</w:t>
            </w:r>
          </w:p>
        </w:tc>
        <w:tc>
          <w:tcPr>
            <w:tcW w:w="635" w:type="pct"/>
            <w:shd w:val="clear" w:color="auto" w:fill="auto"/>
          </w:tcPr>
          <w:p w14:paraId="7BD5ACBA" w14:textId="77777777" w:rsidR="00B8254F" w:rsidRPr="00BB7C97" w:rsidRDefault="00B8254F" w:rsidP="003155B0">
            <w:pPr>
              <w:pStyle w:val="Text1"/>
              <w:spacing w:before="0" w:after="0"/>
              <w:ind w:left="0"/>
              <w:jc w:val="left"/>
              <w:rPr>
                <w:rFonts w:cs="Times New Roman"/>
                <w:noProof/>
                <w:sz w:val="18"/>
                <w:szCs w:val="18"/>
              </w:rPr>
            </w:pPr>
            <w:r w:rsidRPr="00BB7C97">
              <w:rPr>
                <w:rFonts w:cs="Times New Roman"/>
                <w:noProof/>
                <w:sz w:val="18"/>
                <w:szCs w:val="18"/>
              </w:rPr>
              <w:t>495</w:t>
            </w:r>
          </w:p>
        </w:tc>
      </w:tr>
      <w:tr w:rsidR="00B8254F" w:rsidRPr="00BB7C97" w14:paraId="36C7256E" w14:textId="77777777" w:rsidTr="00B471B0">
        <w:trPr>
          <w:trHeight w:val="332"/>
        </w:trPr>
        <w:tc>
          <w:tcPr>
            <w:tcW w:w="677" w:type="pct"/>
          </w:tcPr>
          <w:p w14:paraId="55F50E19"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1.1.prioritāte</w:t>
            </w:r>
          </w:p>
        </w:tc>
        <w:tc>
          <w:tcPr>
            <w:tcW w:w="599" w:type="pct"/>
          </w:tcPr>
          <w:p w14:paraId="352AA7A7" w14:textId="77777777" w:rsidR="00B8254F" w:rsidRPr="00BB7C97" w:rsidRDefault="00B8254F" w:rsidP="003155B0">
            <w:pPr>
              <w:pStyle w:val="Text1"/>
              <w:spacing w:before="0" w:after="0"/>
              <w:ind w:left="0"/>
              <w:rPr>
                <w:rFonts w:cs="Times New Roman"/>
                <w:noProof/>
                <w:sz w:val="18"/>
                <w:szCs w:val="18"/>
              </w:rPr>
            </w:pPr>
            <w:r w:rsidRPr="00BB7C97">
              <w:rPr>
                <w:rFonts w:eastAsia="Times New Roman" w:cs="Times New Roman"/>
                <w:sz w:val="18"/>
                <w:szCs w:val="18"/>
              </w:rPr>
              <w:t>1.1.1. SAM</w:t>
            </w:r>
          </w:p>
        </w:tc>
        <w:tc>
          <w:tcPr>
            <w:tcW w:w="407" w:type="pct"/>
          </w:tcPr>
          <w:p w14:paraId="406E91F3"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ERAF</w:t>
            </w:r>
          </w:p>
        </w:tc>
        <w:tc>
          <w:tcPr>
            <w:tcW w:w="348" w:type="pct"/>
          </w:tcPr>
          <w:p w14:paraId="6CE200C6" w14:textId="77777777" w:rsidR="00B8254F" w:rsidRPr="00BB7C97" w:rsidRDefault="00B8254F" w:rsidP="003155B0">
            <w:pPr>
              <w:pStyle w:val="Text1"/>
              <w:spacing w:before="0" w:after="0"/>
              <w:ind w:left="0"/>
              <w:rPr>
                <w:rFonts w:cs="Times New Roman"/>
                <w:sz w:val="18"/>
                <w:szCs w:val="18"/>
              </w:rPr>
            </w:pPr>
            <w:r w:rsidRPr="00BB7C97">
              <w:rPr>
                <w:rFonts w:cs="Times New Roman"/>
                <w:sz w:val="18"/>
                <w:szCs w:val="18"/>
              </w:rPr>
              <w:t>RCO 06</w:t>
            </w:r>
          </w:p>
        </w:tc>
        <w:tc>
          <w:tcPr>
            <w:tcW w:w="839" w:type="pct"/>
            <w:shd w:val="clear" w:color="auto" w:fill="auto"/>
          </w:tcPr>
          <w:p w14:paraId="3544A28B" w14:textId="77777777" w:rsidR="00B8254F" w:rsidRPr="00BB7C97" w:rsidRDefault="00B8254F" w:rsidP="003155B0">
            <w:pPr>
              <w:pStyle w:val="Default"/>
              <w:spacing w:after="0" w:line="240" w:lineRule="auto"/>
              <w:jc w:val="both"/>
              <w:rPr>
                <w:color w:val="auto"/>
                <w:sz w:val="18"/>
                <w:szCs w:val="18"/>
              </w:rPr>
            </w:pPr>
            <w:r w:rsidRPr="00BB7C97">
              <w:rPr>
                <w:color w:val="auto"/>
                <w:sz w:val="18"/>
                <w:szCs w:val="18"/>
              </w:rPr>
              <w:t>Pētnieku skaits, kas strādā atbalstītajos pētniecības infrastruktūras objektos</w:t>
            </w:r>
          </w:p>
        </w:tc>
        <w:tc>
          <w:tcPr>
            <w:tcW w:w="815" w:type="pct"/>
          </w:tcPr>
          <w:p w14:paraId="251C76A7" w14:textId="77777777" w:rsidR="00B8254F" w:rsidRPr="00BB7C97" w:rsidRDefault="00B8254F" w:rsidP="003155B0">
            <w:pPr>
              <w:pStyle w:val="Text1"/>
              <w:spacing w:before="0" w:after="0"/>
              <w:ind w:left="0"/>
              <w:rPr>
                <w:rFonts w:cs="Times New Roman"/>
                <w:noProof/>
                <w:sz w:val="18"/>
                <w:szCs w:val="18"/>
              </w:rPr>
            </w:pPr>
            <w:r w:rsidRPr="00BB7C97">
              <w:rPr>
                <w:rFonts w:cs="Times New Roman"/>
                <w:sz w:val="18"/>
                <w:szCs w:val="18"/>
                <w:shd w:val="clear" w:color="auto" w:fill="FFFFFF"/>
              </w:rPr>
              <w:t>Pētnieku skaits atbalstītajās vienībās (pilnas slodzes ekvivalents)</w:t>
            </w:r>
          </w:p>
        </w:tc>
        <w:tc>
          <w:tcPr>
            <w:tcW w:w="680" w:type="pct"/>
            <w:shd w:val="clear" w:color="auto" w:fill="auto"/>
          </w:tcPr>
          <w:p w14:paraId="5000BB6F" w14:textId="77777777" w:rsidR="00B8254F" w:rsidRPr="00BB7C97" w:rsidRDefault="00B8254F" w:rsidP="003155B0">
            <w:pPr>
              <w:pStyle w:val="Text1"/>
              <w:spacing w:before="0" w:after="0"/>
              <w:ind w:left="0"/>
              <w:jc w:val="left"/>
              <w:rPr>
                <w:rFonts w:cs="Times New Roman"/>
                <w:noProof/>
                <w:sz w:val="18"/>
                <w:szCs w:val="18"/>
              </w:rPr>
            </w:pPr>
            <w:r w:rsidRPr="00BB7C97">
              <w:rPr>
                <w:rFonts w:cs="Times New Roman"/>
                <w:noProof/>
                <w:sz w:val="18"/>
                <w:szCs w:val="18"/>
              </w:rPr>
              <w:t>0</w:t>
            </w:r>
          </w:p>
        </w:tc>
        <w:tc>
          <w:tcPr>
            <w:tcW w:w="635" w:type="pct"/>
            <w:shd w:val="clear" w:color="auto" w:fill="auto"/>
          </w:tcPr>
          <w:p w14:paraId="47237833" w14:textId="77777777" w:rsidR="00B8254F" w:rsidRPr="00BB7C97" w:rsidRDefault="00B8254F" w:rsidP="003155B0">
            <w:pPr>
              <w:pStyle w:val="Text1"/>
              <w:spacing w:before="0" w:after="0"/>
              <w:ind w:left="0"/>
              <w:jc w:val="left"/>
              <w:rPr>
                <w:rFonts w:cs="Times New Roman"/>
                <w:noProof/>
                <w:sz w:val="18"/>
                <w:szCs w:val="18"/>
              </w:rPr>
            </w:pPr>
            <w:r w:rsidRPr="00BB7C97">
              <w:rPr>
                <w:rFonts w:cs="Times New Roman"/>
                <w:noProof/>
                <w:sz w:val="18"/>
                <w:szCs w:val="18"/>
              </w:rPr>
              <w:t>440</w:t>
            </w:r>
          </w:p>
        </w:tc>
      </w:tr>
      <w:tr w:rsidR="00B8254F" w:rsidRPr="00BB7C97" w14:paraId="3D1FDF1D" w14:textId="77777777" w:rsidTr="00B471B0">
        <w:trPr>
          <w:trHeight w:val="332"/>
        </w:trPr>
        <w:tc>
          <w:tcPr>
            <w:tcW w:w="677" w:type="pct"/>
          </w:tcPr>
          <w:p w14:paraId="10F3ABD4"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1.1.prioritāte</w:t>
            </w:r>
          </w:p>
        </w:tc>
        <w:tc>
          <w:tcPr>
            <w:tcW w:w="599" w:type="pct"/>
          </w:tcPr>
          <w:p w14:paraId="6F13A6B3" w14:textId="77777777" w:rsidR="00B8254F" w:rsidRPr="00BB7C97" w:rsidRDefault="00B8254F" w:rsidP="003155B0">
            <w:pPr>
              <w:pStyle w:val="Text1"/>
              <w:spacing w:before="0" w:after="0"/>
              <w:ind w:left="0"/>
              <w:rPr>
                <w:rFonts w:cs="Times New Roman"/>
                <w:noProof/>
                <w:sz w:val="18"/>
                <w:szCs w:val="18"/>
              </w:rPr>
            </w:pPr>
            <w:r w:rsidRPr="00BB7C97">
              <w:rPr>
                <w:rFonts w:eastAsia="Times New Roman" w:cs="Times New Roman"/>
                <w:sz w:val="18"/>
                <w:szCs w:val="18"/>
              </w:rPr>
              <w:t>1.1.1. SAM</w:t>
            </w:r>
          </w:p>
        </w:tc>
        <w:tc>
          <w:tcPr>
            <w:tcW w:w="407" w:type="pct"/>
          </w:tcPr>
          <w:p w14:paraId="5FEF1431"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ERAF</w:t>
            </w:r>
          </w:p>
        </w:tc>
        <w:tc>
          <w:tcPr>
            <w:tcW w:w="348" w:type="pct"/>
          </w:tcPr>
          <w:p w14:paraId="71E67CAE" w14:textId="77777777" w:rsidR="00B8254F" w:rsidRPr="00BB7C97" w:rsidRDefault="00B8254F" w:rsidP="003155B0">
            <w:pPr>
              <w:pStyle w:val="Text1"/>
              <w:spacing w:before="0" w:after="0"/>
              <w:ind w:left="0"/>
              <w:rPr>
                <w:rFonts w:cs="Times New Roman"/>
                <w:sz w:val="18"/>
                <w:szCs w:val="18"/>
              </w:rPr>
            </w:pPr>
            <w:r w:rsidRPr="00BB7C97">
              <w:rPr>
                <w:rFonts w:cs="Times New Roman"/>
                <w:sz w:val="18"/>
                <w:szCs w:val="18"/>
              </w:rPr>
              <w:t>RCO 07</w:t>
            </w:r>
          </w:p>
        </w:tc>
        <w:tc>
          <w:tcPr>
            <w:tcW w:w="839" w:type="pct"/>
            <w:shd w:val="clear" w:color="auto" w:fill="auto"/>
          </w:tcPr>
          <w:p w14:paraId="324A1A18" w14:textId="77777777" w:rsidR="00B8254F" w:rsidRPr="00BB7C97" w:rsidRDefault="00B8254F" w:rsidP="003155B0">
            <w:pPr>
              <w:pStyle w:val="Default"/>
              <w:spacing w:after="0" w:line="240" w:lineRule="auto"/>
              <w:jc w:val="both"/>
              <w:rPr>
                <w:color w:val="auto"/>
                <w:sz w:val="18"/>
                <w:szCs w:val="18"/>
              </w:rPr>
            </w:pPr>
            <w:r w:rsidRPr="00BB7C97">
              <w:rPr>
                <w:color w:val="auto"/>
                <w:sz w:val="18"/>
                <w:szCs w:val="18"/>
              </w:rPr>
              <w:t>Pētniecības institūciju skaits, kas piedalās kopīgos pētniecības projektos</w:t>
            </w:r>
          </w:p>
        </w:tc>
        <w:tc>
          <w:tcPr>
            <w:tcW w:w="815" w:type="pct"/>
          </w:tcPr>
          <w:p w14:paraId="5FD7E05C" w14:textId="77777777" w:rsidR="00B8254F" w:rsidRPr="00BB7C97" w:rsidRDefault="00B8254F" w:rsidP="003155B0">
            <w:pPr>
              <w:pStyle w:val="Text1"/>
              <w:spacing w:before="0" w:after="0"/>
              <w:ind w:left="0"/>
              <w:rPr>
                <w:rFonts w:cs="Times New Roman"/>
                <w:noProof/>
                <w:sz w:val="18"/>
                <w:szCs w:val="18"/>
              </w:rPr>
            </w:pPr>
            <w:r w:rsidRPr="00BB7C97">
              <w:rPr>
                <w:rFonts w:cs="Times New Roman"/>
                <w:sz w:val="18"/>
                <w:szCs w:val="18"/>
              </w:rPr>
              <w:t>Pētniecības institūciju skaits</w:t>
            </w:r>
          </w:p>
        </w:tc>
        <w:tc>
          <w:tcPr>
            <w:tcW w:w="680" w:type="pct"/>
            <w:shd w:val="clear" w:color="auto" w:fill="auto"/>
          </w:tcPr>
          <w:p w14:paraId="77C71ADC" w14:textId="77777777" w:rsidR="00B8254F" w:rsidRPr="00BB7C97" w:rsidRDefault="00B8254F" w:rsidP="003155B0">
            <w:pPr>
              <w:pStyle w:val="Text1"/>
              <w:spacing w:before="0" w:after="0"/>
              <w:ind w:left="0"/>
              <w:jc w:val="left"/>
              <w:rPr>
                <w:rFonts w:cs="Times New Roman"/>
                <w:noProof/>
                <w:sz w:val="18"/>
                <w:szCs w:val="18"/>
              </w:rPr>
            </w:pPr>
            <w:r w:rsidRPr="00BB7C97">
              <w:rPr>
                <w:rFonts w:cs="Times New Roman"/>
                <w:noProof/>
                <w:sz w:val="18"/>
                <w:szCs w:val="18"/>
              </w:rPr>
              <w:t>10</w:t>
            </w:r>
          </w:p>
        </w:tc>
        <w:tc>
          <w:tcPr>
            <w:tcW w:w="635" w:type="pct"/>
            <w:shd w:val="clear" w:color="auto" w:fill="auto"/>
          </w:tcPr>
          <w:p w14:paraId="2C5E6A47" w14:textId="77777777" w:rsidR="00B8254F" w:rsidRPr="00BB7C97" w:rsidRDefault="00B8254F" w:rsidP="003155B0">
            <w:pPr>
              <w:pStyle w:val="Text1"/>
              <w:spacing w:before="0" w:after="0"/>
              <w:ind w:left="0"/>
              <w:jc w:val="left"/>
              <w:rPr>
                <w:rFonts w:cs="Times New Roman"/>
                <w:noProof/>
                <w:sz w:val="18"/>
                <w:szCs w:val="18"/>
              </w:rPr>
            </w:pPr>
            <w:r w:rsidRPr="00BB7C97">
              <w:rPr>
                <w:rFonts w:cs="Times New Roman"/>
                <w:noProof/>
                <w:sz w:val="18"/>
                <w:szCs w:val="18"/>
              </w:rPr>
              <w:t>20</w:t>
            </w:r>
          </w:p>
        </w:tc>
      </w:tr>
      <w:tr w:rsidR="00B8254F" w:rsidRPr="00BB7C97" w14:paraId="035BB074" w14:textId="77777777" w:rsidTr="00B471B0">
        <w:trPr>
          <w:trHeight w:val="332"/>
        </w:trPr>
        <w:tc>
          <w:tcPr>
            <w:tcW w:w="677" w:type="pct"/>
          </w:tcPr>
          <w:p w14:paraId="0ABF33A8"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1.1.prioritāte</w:t>
            </w:r>
          </w:p>
        </w:tc>
        <w:tc>
          <w:tcPr>
            <w:tcW w:w="599" w:type="pct"/>
          </w:tcPr>
          <w:p w14:paraId="642D5885" w14:textId="77777777" w:rsidR="00B8254F" w:rsidRPr="00BB7C97" w:rsidRDefault="00B8254F" w:rsidP="003155B0">
            <w:pPr>
              <w:pStyle w:val="Text1"/>
              <w:spacing w:before="0" w:after="0"/>
              <w:ind w:left="0"/>
              <w:rPr>
                <w:rFonts w:cs="Times New Roman"/>
                <w:noProof/>
                <w:sz w:val="18"/>
                <w:szCs w:val="18"/>
              </w:rPr>
            </w:pPr>
            <w:r w:rsidRPr="00BB7C97">
              <w:rPr>
                <w:rFonts w:eastAsia="Times New Roman" w:cs="Times New Roman"/>
                <w:sz w:val="18"/>
                <w:szCs w:val="18"/>
              </w:rPr>
              <w:t>1.1.1. SAM</w:t>
            </w:r>
          </w:p>
        </w:tc>
        <w:tc>
          <w:tcPr>
            <w:tcW w:w="407" w:type="pct"/>
          </w:tcPr>
          <w:p w14:paraId="3AA9D1C4"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ERAF</w:t>
            </w:r>
          </w:p>
        </w:tc>
        <w:tc>
          <w:tcPr>
            <w:tcW w:w="348" w:type="pct"/>
          </w:tcPr>
          <w:p w14:paraId="1FE111D0" w14:textId="77777777" w:rsidR="00B8254F" w:rsidRPr="00BB7C97" w:rsidRDefault="00B8254F" w:rsidP="003155B0">
            <w:pPr>
              <w:pStyle w:val="Text1"/>
              <w:spacing w:before="0" w:after="0"/>
              <w:ind w:left="0"/>
              <w:rPr>
                <w:rFonts w:cs="Times New Roman"/>
                <w:sz w:val="18"/>
                <w:szCs w:val="18"/>
              </w:rPr>
            </w:pPr>
            <w:r w:rsidRPr="00BB7C97">
              <w:rPr>
                <w:rFonts w:cs="Times New Roman"/>
                <w:sz w:val="18"/>
                <w:szCs w:val="18"/>
              </w:rPr>
              <w:t>RCO 08</w:t>
            </w:r>
          </w:p>
        </w:tc>
        <w:tc>
          <w:tcPr>
            <w:tcW w:w="839" w:type="pct"/>
            <w:shd w:val="clear" w:color="auto" w:fill="auto"/>
          </w:tcPr>
          <w:p w14:paraId="18752897" w14:textId="77777777" w:rsidR="00B8254F" w:rsidRPr="00BB7C97" w:rsidRDefault="00B8254F" w:rsidP="003155B0">
            <w:pPr>
              <w:pStyle w:val="Default"/>
              <w:spacing w:after="0" w:line="240" w:lineRule="auto"/>
              <w:jc w:val="both"/>
              <w:rPr>
                <w:color w:val="auto"/>
                <w:sz w:val="18"/>
                <w:szCs w:val="18"/>
              </w:rPr>
            </w:pPr>
            <w:r w:rsidRPr="00BB7C97">
              <w:rPr>
                <w:color w:val="auto"/>
                <w:sz w:val="18"/>
                <w:szCs w:val="18"/>
              </w:rPr>
              <w:t>Pētniecības un inovāciju aprīkojuma nominālā vērtība</w:t>
            </w:r>
          </w:p>
        </w:tc>
        <w:tc>
          <w:tcPr>
            <w:tcW w:w="815" w:type="pct"/>
          </w:tcPr>
          <w:p w14:paraId="61A2DC08"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EUR</w:t>
            </w:r>
          </w:p>
        </w:tc>
        <w:tc>
          <w:tcPr>
            <w:tcW w:w="680" w:type="pct"/>
            <w:shd w:val="clear" w:color="auto" w:fill="auto"/>
          </w:tcPr>
          <w:p w14:paraId="3FDFFB12" w14:textId="77777777" w:rsidR="00B8254F" w:rsidRPr="00BB7C97" w:rsidRDefault="00B8254F" w:rsidP="003155B0">
            <w:pPr>
              <w:pStyle w:val="Text1"/>
              <w:spacing w:before="0" w:after="0"/>
              <w:ind w:left="0"/>
              <w:jc w:val="left"/>
              <w:rPr>
                <w:rFonts w:cs="Times New Roman"/>
                <w:noProof/>
                <w:sz w:val="18"/>
                <w:szCs w:val="18"/>
              </w:rPr>
            </w:pPr>
            <w:r w:rsidRPr="00BB7C97">
              <w:rPr>
                <w:rFonts w:cs="Times New Roman"/>
                <w:noProof/>
                <w:sz w:val="18"/>
                <w:szCs w:val="18"/>
              </w:rPr>
              <w:t>0</w:t>
            </w:r>
          </w:p>
        </w:tc>
        <w:tc>
          <w:tcPr>
            <w:tcW w:w="635" w:type="pct"/>
            <w:shd w:val="clear" w:color="auto" w:fill="auto"/>
          </w:tcPr>
          <w:p w14:paraId="0EAFA50E" w14:textId="77777777" w:rsidR="00B8254F" w:rsidRPr="00BB7C97" w:rsidRDefault="00B8254F" w:rsidP="003155B0">
            <w:pPr>
              <w:pStyle w:val="Text1"/>
              <w:spacing w:before="0" w:after="0"/>
              <w:ind w:left="0"/>
              <w:jc w:val="left"/>
              <w:rPr>
                <w:rFonts w:cs="Times New Roman"/>
                <w:noProof/>
                <w:sz w:val="18"/>
                <w:szCs w:val="18"/>
              </w:rPr>
            </w:pPr>
            <w:r w:rsidRPr="00BB7C97">
              <w:rPr>
                <w:rFonts w:cs="Times New Roman"/>
                <w:noProof/>
                <w:sz w:val="18"/>
                <w:szCs w:val="18"/>
              </w:rPr>
              <w:t>41 295 375</w:t>
            </w:r>
          </w:p>
        </w:tc>
      </w:tr>
      <w:tr w:rsidR="00B8254F" w:rsidRPr="00BB7C97" w14:paraId="19B93CAC" w14:textId="77777777" w:rsidTr="00B471B0">
        <w:trPr>
          <w:trHeight w:val="332"/>
        </w:trPr>
        <w:tc>
          <w:tcPr>
            <w:tcW w:w="677" w:type="pct"/>
          </w:tcPr>
          <w:p w14:paraId="6F8D059D"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1.1.prioritāte</w:t>
            </w:r>
          </w:p>
        </w:tc>
        <w:tc>
          <w:tcPr>
            <w:tcW w:w="599" w:type="pct"/>
          </w:tcPr>
          <w:p w14:paraId="101D5013" w14:textId="77777777" w:rsidR="00B8254F" w:rsidRPr="00BB7C97" w:rsidRDefault="00B8254F" w:rsidP="003155B0">
            <w:pPr>
              <w:pStyle w:val="Text1"/>
              <w:spacing w:before="0" w:after="0"/>
              <w:ind w:left="0"/>
              <w:rPr>
                <w:rFonts w:eastAsia="Times New Roman" w:cs="Times New Roman"/>
                <w:sz w:val="18"/>
                <w:szCs w:val="18"/>
              </w:rPr>
            </w:pPr>
            <w:r w:rsidRPr="00BB7C97">
              <w:rPr>
                <w:rFonts w:eastAsia="Times New Roman" w:cs="Times New Roman"/>
                <w:sz w:val="18"/>
                <w:szCs w:val="18"/>
              </w:rPr>
              <w:t>1.1.1. SAM</w:t>
            </w:r>
          </w:p>
          <w:p w14:paraId="4F959C14" w14:textId="77777777" w:rsidR="00B8254F" w:rsidRPr="00BB7C97" w:rsidRDefault="00B8254F" w:rsidP="003155B0">
            <w:pPr>
              <w:pStyle w:val="Text1"/>
              <w:spacing w:before="0" w:after="0"/>
              <w:ind w:left="0"/>
              <w:rPr>
                <w:rFonts w:cs="Times New Roman"/>
                <w:noProof/>
                <w:sz w:val="18"/>
                <w:szCs w:val="18"/>
              </w:rPr>
            </w:pPr>
          </w:p>
        </w:tc>
        <w:tc>
          <w:tcPr>
            <w:tcW w:w="407" w:type="pct"/>
          </w:tcPr>
          <w:p w14:paraId="3991876E"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ERAF</w:t>
            </w:r>
          </w:p>
        </w:tc>
        <w:tc>
          <w:tcPr>
            <w:tcW w:w="348" w:type="pct"/>
          </w:tcPr>
          <w:p w14:paraId="1F054A79" w14:textId="77777777" w:rsidR="00B8254F" w:rsidRPr="00BB7C97" w:rsidRDefault="00B8254F" w:rsidP="003155B0">
            <w:pPr>
              <w:pStyle w:val="Text1"/>
              <w:spacing w:before="0" w:after="0"/>
              <w:ind w:left="0"/>
              <w:rPr>
                <w:rFonts w:cs="Times New Roman"/>
                <w:sz w:val="18"/>
                <w:szCs w:val="18"/>
              </w:rPr>
            </w:pPr>
            <w:r w:rsidRPr="00BB7C97">
              <w:rPr>
                <w:rFonts w:cs="Times New Roman"/>
                <w:sz w:val="18"/>
                <w:szCs w:val="18"/>
              </w:rPr>
              <w:t>RCO 10</w:t>
            </w:r>
          </w:p>
        </w:tc>
        <w:tc>
          <w:tcPr>
            <w:tcW w:w="839" w:type="pct"/>
            <w:shd w:val="clear" w:color="auto" w:fill="auto"/>
          </w:tcPr>
          <w:p w14:paraId="2906D0AF" w14:textId="77777777" w:rsidR="00B8254F" w:rsidRPr="00BB7C97" w:rsidRDefault="00B8254F" w:rsidP="003155B0">
            <w:pPr>
              <w:pStyle w:val="Default"/>
              <w:spacing w:after="0" w:line="240" w:lineRule="auto"/>
              <w:jc w:val="both"/>
              <w:rPr>
                <w:color w:val="auto"/>
                <w:sz w:val="18"/>
                <w:szCs w:val="18"/>
              </w:rPr>
            </w:pPr>
            <w:r w:rsidRPr="00BB7C97">
              <w:rPr>
                <w:color w:val="auto"/>
                <w:sz w:val="18"/>
                <w:szCs w:val="18"/>
              </w:rPr>
              <w:t>Uzņēmumu skaits, kuri sadarbojas ar pētniecības institūcijām</w:t>
            </w:r>
          </w:p>
        </w:tc>
        <w:tc>
          <w:tcPr>
            <w:tcW w:w="815" w:type="pct"/>
          </w:tcPr>
          <w:p w14:paraId="0580A36B"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Saimnieciskās darbības veicēju</w:t>
            </w:r>
            <w:r w:rsidRPr="00BB7C97" w:rsidDel="00242D6D">
              <w:rPr>
                <w:rFonts w:cs="Times New Roman"/>
                <w:noProof/>
                <w:sz w:val="18"/>
                <w:szCs w:val="18"/>
              </w:rPr>
              <w:t xml:space="preserve"> </w:t>
            </w:r>
            <w:r w:rsidRPr="00BB7C97">
              <w:rPr>
                <w:rFonts w:cs="Times New Roman"/>
                <w:noProof/>
                <w:sz w:val="18"/>
                <w:szCs w:val="18"/>
              </w:rPr>
              <w:t>skaits</w:t>
            </w:r>
          </w:p>
        </w:tc>
        <w:tc>
          <w:tcPr>
            <w:tcW w:w="680" w:type="pct"/>
            <w:shd w:val="clear" w:color="auto" w:fill="auto"/>
          </w:tcPr>
          <w:p w14:paraId="3309EB2E" w14:textId="77777777" w:rsidR="00B8254F" w:rsidRPr="00BB7C97" w:rsidRDefault="00B8254F" w:rsidP="003155B0">
            <w:pPr>
              <w:pStyle w:val="Text1"/>
              <w:spacing w:before="0" w:after="0"/>
              <w:ind w:left="0"/>
              <w:jc w:val="left"/>
              <w:rPr>
                <w:rFonts w:cs="Times New Roman"/>
                <w:noProof/>
                <w:sz w:val="18"/>
                <w:szCs w:val="18"/>
              </w:rPr>
            </w:pPr>
            <w:r w:rsidRPr="00BB7C97">
              <w:rPr>
                <w:rFonts w:cs="Times New Roman"/>
                <w:noProof/>
                <w:sz w:val="18"/>
                <w:szCs w:val="18"/>
              </w:rPr>
              <w:t>0</w:t>
            </w:r>
          </w:p>
        </w:tc>
        <w:tc>
          <w:tcPr>
            <w:tcW w:w="635" w:type="pct"/>
            <w:shd w:val="clear" w:color="auto" w:fill="auto"/>
          </w:tcPr>
          <w:p w14:paraId="1E901D1A" w14:textId="77777777" w:rsidR="00B8254F" w:rsidRPr="00BB7C97" w:rsidRDefault="00B8254F" w:rsidP="003155B0">
            <w:pPr>
              <w:pStyle w:val="Text1"/>
              <w:spacing w:before="0" w:after="0"/>
              <w:ind w:left="0"/>
              <w:jc w:val="left"/>
              <w:rPr>
                <w:rFonts w:cs="Times New Roman"/>
                <w:noProof/>
                <w:sz w:val="18"/>
                <w:szCs w:val="18"/>
              </w:rPr>
            </w:pPr>
            <w:r w:rsidRPr="00BB7C97">
              <w:rPr>
                <w:rFonts w:cs="Times New Roman"/>
                <w:noProof/>
                <w:sz w:val="18"/>
                <w:szCs w:val="18"/>
              </w:rPr>
              <w:t>36</w:t>
            </w:r>
          </w:p>
        </w:tc>
      </w:tr>
      <w:tr w:rsidR="00B8254F" w:rsidRPr="00BB7C97" w14:paraId="453FF893" w14:textId="77777777" w:rsidTr="00B471B0">
        <w:trPr>
          <w:trHeight w:val="332"/>
        </w:trPr>
        <w:tc>
          <w:tcPr>
            <w:tcW w:w="677" w:type="pct"/>
          </w:tcPr>
          <w:p w14:paraId="72595E3C"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1.3.prioritāte</w:t>
            </w:r>
          </w:p>
          <w:p w14:paraId="69811623" w14:textId="77777777" w:rsidR="00B8254F" w:rsidRPr="00BB7C97" w:rsidRDefault="00B8254F" w:rsidP="003155B0">
            <w:pPr>
              <w:pStyle w:val="Text1"/>
              <w:spacing w:before="0" w:after="0"/>
              <w:ind w:left="0"/>
              <w:rPr>
                <w:rFonts w:cs="Times New Roman"/>
                <w:noProof/>
                <w:sz w:val="18"/>
                <w:szCs w:val="18"/>
              </w:rPr>
            </w:pPr>
          </w:p>
        </w:tc>
        <w:tc>
          <w:tcPr>
            <w:tcW w:w="599" w:type="pct"/>
          </w:tcPr>
          <w:p w14:paraId="183B1DC0"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1.3.1.SAM</w:t>
            </w:r>
          </w:p>
          <w:p w14:paraId="2EF10AD8" w14:textId="77777777" w:rsidR="00B8254F" w:rsidRPr="00BB7C97" w:rsidRDefault="00B8254F" w:rsidP="003155B0">
            <w:pPr>
              <w:pStyle w:val="Text1"/>
              <w:spacing w:before="0" w:after="0"/>
              <w:ind w:left="0"/>
              <w:rPr>
                <w:rFonts w:cs="Times New Roman"/>
                <w:noProof/>
                <w:sz w:val="18"/>
                <w:szCs w:val="18"/>
              </w:rPr>
            </w:pPr>
          </w:p>
        </w:tc>
        <w:tc>
          <w:tcPr>
            <w:tcW w:w="407" w:type="pct"/>
          </w:tcPr>
          <w:p w14:paraId="7039CDDE"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ERAF</w:t>
            </w:r>
          </w:p>
        </w:tc>
        <w:tc>
          <w:tcPr>
            <w:tcW w:w="348" w:type="pct"/>
          </w:tcPr>
          <w:p w14:paraId="749BAFD6" w14:textId="77777777" w:rsidR="00B8254F" w:rsidRPr="00BB7C97" w:rsidRDefault="00B8254F" w:rsidP="003155B0">
            <w:pPr>
              <w:pStyle w:val="Text1"/>
              <w:spacing w:before="0" w:after="0"/>
              <w:ind w:left="0"/>
              <w:rPr>
                <w:rFonts w:cs="Times New Roman"/>
                <w:sz w:val="18"/>
                <w:szCs w:val="18"/>
              </w:rPr>
            </w:pPr>
            <w:r w:rsidRPr="00BB7C97">
              <w:rPr>
                <w:rFonts w:cs="Times New Roman"/>
                <w:sz w:val="18"/>
                <w:szCs w:val="18"/>
              </w:rPr>
              <w:t>RCO 13</w:t>
            </w:r>
          </w:p>
        </w:tc>
        <w:tc>
          <w:tcPr>
            <w:tcW w:w="839" w:type="pct"/>
            <w:shd w:val="clear" w:color="auto" w:fill="auto"/>
          </w:tcPr>
          <w:p w14:paraId="13B59E0E" w14:textId="77777777" w:rsidR="00B8254F" w:rsidRPr="00BB7C97" w:rsidRDefault="00B8254F" w:rsidP="003155B0">
            <w:pPr>
              <w:pStyle w:val="Default"/>
              <w:spacing w:after="0" w:line="240" w:lineRule="auto"/>
              <w:jc w:val="both"/>
              <w:rPr>
                <w:color w:val="auto"/>
                <w:sz w:val="18"/>
                <w:szCs w:val="18"/>
              </w:rPr>
            </w:pPr>
            <w:r w:rsidRPr="00BB7C97">
              <w:rPr>
                <w:color w:val="auto"/>
                <w:sz w:val="18"/>
                <w:szCs w:val="18"/>
              </w:rPr>
              <w:t>Uzņēmumiem izstrādāto digitālo pakalpojumu, produktu un procesu vērtība</w:t>
            </w:r>
          </w:p>
        </w:tc>
        <w:tc>
          <w:tcPr>
            <w:tcW w:w="815" w:type="pct"/>
          </w:tcPr>
          <w:p w14:paraId="397D358F" w14:textId="77777777" w:rsidR="00B8254F" w:rsidRPr="00BB7C97" w:rsidRDefault="00B8254F" w:rsidP="003155B0">
            <w:pPr>
              <w:pStyle w:val="Text1"/>
              <w:spacing w:before="0" w:after="0"/>
              <w:ind w:left="0"/>
              <w:jc w:val="left"/>
              <w:rPr>
                <w:rFonts w:cs="Times New Roman"/>
                <w:noProof/>
                <w:sz w:val="18"/>
                <w:szCs w:val="18"/>
              </w:rPr>
            </w:pPr>
            <w:r w:rsidRPr="00BB7C97">
              <w:rPr>
                <w:rFonts w:cs="Times New Roman"/>
                <w:noProof/>
                <w:sz w:val="18"/>
                <w:szCs w:val="18"/>
              </w:rPr>
              <w:t>EUR</w:t>
            </w:r>
          </w:p>
          <w:p w14:paraId="137C8AD0" w14:textId="77777777" w:rsidR="00B8254F" w:rsidRPr="00BB7C97" w:rsidRDefault="00B8254F" w:rsidP="003155B0">
            <w:pPr>
              <w:pStyle w:val="Text1"/>
              <w:spacing w:before="0" w:after="0"/>
              <w:ind w:left="0"/>
              <w:rPr>
                <w:rFonts w:cs="Times New Roman"/>
                <w:noProof/>
                <w:sz w:val="18"/>
                <w:szCs w:val="18"/>
              </w:rPr>
            </w:pPr>
          </w:p>
        </w:tc>
        <w:tc>
          <w:tcPr>
            <w:tcW w:w="680" w:type="pct"/>
            <w:shd w:val="clear" w:color="auto" w:fill="auto"/>
          </w:tcPr>
          <w:p w14:paraId="2BE61B90" w14:textId="77777777" w:rsidR="00B8254F" w:rsidRPr="00BB7C97" w:rsidRDefault="00B8254F" w:rsidP="003155B0">
            <w:pPr>
              <w:pStyle w:val="Text1"/>
              <w:spacing w:before="0" w:after="0"/>
              <w:ind w:left="0"/>
              <w:jc w:val="left"/>
              <w:rPr>
                <w:rFonts w:cs="Times New Roman"/>
                <w:noProof/>
                <w:sz w:val="18"/>
                <w:szCs w:val="18"/>
              </w:rPr>
            </w:pPr>
            <w:r w:rsidRPr="00BB7C97">
              <w:rPr>
                <w:rFonts w:cs="Times New Roman"/>
                <w:noProof/>
                <w:sz w:val="18"/>
                <w:szCs w:val="18"/>
              </w:rPr>
              <w:t>0</w:t>
            </w:r>
          </w:p>
          <w:p w14:paraId="35BC4086" w14:textId="77777777" w:rsidR="00B8254F" w:rsidRPr="00BB7C97" w:rsidRDefault="00B8254F" w:rsidP="003155B0">
            <w:pPr>
              <w:pStyle w:val="Text1"/>
              <w:spacing w:before="0" w:after="0"/>
              <w:ind w:left="0"/>
              <w:jc w:val="left"/>
              <w:rPr>
                <w:rFonts w:cs="Times New Roman"/>
                <w:noProof/>
                <w:sz w:val="18"/>
                <w:szCs w:val="18"/>
              </w:rPr>
            </w:pPr>
          </w:p>
        </w:tc>
        <w:tc>
          <w:tcPr>
            <w:tcW w:w="635" w:type="pct"/>
            <w:shd w:val="clear" w:color="auto" w:fill="auto"/>
          </w:tcPr>
          <w:p w14:paraId="12042D06" w14:textId="77777777" w:rsidR="00B8254F" w:rsidRPr="00BB7C97" w:rsidRDefault="00B8254F" w:rsidP="003155B0">
            <w:pPr>
              <w:pStyle w:val="Text1"/>
              <w:spacing w:before="0" w:after="0"/>
              <w:ind w:left="0"/>
              <w:jc w:val="left"/>
              <w:rPr>
                <w:rFonts w:cs="Times New Roman"/>
                <w:noProof/>
                <w:sz w:val="18"/>
                <w:szCs w:val="18"/>
              </w:rPr>
            </w:pPr>
            <w:r w:rsidRPr="00BB7C97">
              <w:rPr>
                <w:rFonts w:cs="Times New Roman"/>
                <w:sz w:val="18"/>
                <w:szCs w:val="18"/>
              </w:rPr>
              <w:t>64 229 502</w:t>
            </w:r>
          </w:p>
        </w:tc>
      </w:tr>
      <w:tr w:rsidR="00B8254F" w:rsidRPr="00BB7C97" w14:paraId="618283B2" w14:textId="77777777" w:rsidTr="00B471B0">
        <w:trPr>
          <w:trHeight w:val="332"/>
        </w:trPr>
        <w:tc>
          <w:tcPr>
            <w:tcW w:w="677" w:type="pct"/>
          </w:tcPr>
          <w:p w14:paraId="422FFE7D"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1.3.prioritāte</w:t>
            </w:r>
          </w:p>
          <w:p w14:paraId="4642C824" w14:textId="77777777" w:rsidR="00B8254F" w:rsidRPr="00BB7C97" w:rsidRDefault="00B8254F" w:rsidP="003155B0">
            <w:pPr>
              <w:pStyle w:val="Text1"/>
              <w:spacing w:before="0" w:after="0"/>
              <w:ind w:left="0"/>
              <w:rPr>
                <w:rFonts w:cs="Times New Roman"/>
                <w:noProof/>
                <w:sz w:val="18"/>
                <w:szCs w:val="18"/>
              </w:rPr>
            </w:pPr>
          </w:p>
        </w:tc>
        <w:tc>
          <w:tcPr>
            <w:tcW w:w="599" w:type="pct"/>
          </w:tcPr>
          <w:p w14:paraId="0B04F8E7"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1.3.1.SAM</w:t>
            </w:r>
          </w:p>
          <w:p w14:paraId="58CD7801" w14:textId="77777777" w:rsidR="00B8254F" w:rsidRPr="00BB7C97" w:rsidRDefault="00B8254F" w:rsidP="003155B0">
            <w:pPr>
              <w:pStyle w:val="Text1"/>
              <w:spacing w:before="0" w:after="0"/>
              <w:ind w:left="0"/>
              <w:rPr>
                <w:rFonts w:cs="Times New Roman"/>
                <w:noProof/>
                <w:sz w:val="18"/>
                <w:szCs w:val="18"/>
              </w:rPr>
            </w:pPr>
          </w:p>
        </w:tc>
        <w:tc>
          <w:tcPr>
            <w:tcW w:w="407" w:type="pct"/>
          </w:tcPr>
          <w:p w14:paraId="5D81A025"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ERAF</w:t>
            </w:r>
          </w:p>
        </w:tc>
        <w:tc>
          <w:tcPr>
            <w:tcW w:w="348" w:type="pct"/>
          </w:tcPr>
          <w:p w14:paraId="50E986DA" w14:textId="77777777" w:rsidR="00B8254F" w:rsidRPr="00BB7C97" w:rsidRDefault="00B8254F" w:rsidP="003155B0">
            <w:pPr>
              <w:pStyle w:val="Text1"/>
              <w:spacing w:before="0" w:after="0"/>
              <w:ind w:left="0"/>
              <w:rPr>
                <w:rFonts w:cs="Times New Roman"/>
                <w:sz w:val="18"/>
                <w:szCs w:val="18"/>
              </w:rPr>
            </w:pPr>
            <w:r w:rsidRPr="00BB7C97">
              <w:rPr>
                <w:rFonts w:cs="Times New Roman"/>
                <w:sz w:val="18"/>
                <w:szCs w:val="18"/>
              </w:rPr>
              <w:t>RCO 14</w:t>
            </w:r>
          </w:p>
        </w:tc>
        <w:tc>
          <w:tcPr>
            <w:tcW w:w="839" w:type="pct"/>
            <w:shd w:val="clear" w:color="auto" w:fill="auto"/>
          </w:tcPr>
          <w:p w14:paraId="29E74A1D" w14:textId="77777777" w:rsidR="00B8254F" w:rsidRPr="00BB7C97" w:rsidRDefault="00B8254F" w:rsidP="003155B0">
            <w:pPr>
              <w:pStyle w:val="Default"/>
              <w:spacing w:after="0" w:line="240" w:lineRule="auto"/>
              <w:jc w:val="both"/>
              <w:rPr>
                <w:color w:val="auto"/>
                <w:sz w:val="18"/>
                <w:szCs w:val="18"/>
              </w:rPr>
            </w:pPr>
            <w:r w:rsidRPr="00BB7C97">
              <w:rPr>
                <w:color w:val="auto"/>
                <w:sz w:val="18"/>
                <w:szCs w:val="18"/>
              </w:rPr>
              <w:t>Atbalstītās valsts pārvaldes iestādes digitālo pakalpojumu, produktu un procesu attīstībai</w:t>
            </w:r>
          </w:p>
        </w:tc>
        <w:tc>
          <w:tcPr>
            <w:tcW w:w="815" w:type="pct"/>
          </w:tcPr>
          <w:p w14:paraId="29130A1C"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Iestāžu skaits</w:t>
            </w:r>
          </w:p>
        </w:tc>
        <w:tc>
          <w:tcPr>
            <w:tcW w:w="680" w:type="pct"/>
            <w:shd w:val="clear" w:color="auto" w:fill="auto"/>
          </w:tcPr>
          <w:p w14:paraId="5A77AA43" w14:textId="77777777" w:rsidR="00B8254F" w:rsidRPr="00BB7C97" w:rsidRDefault="00B8254F" w:rsidP="003155B0">
            <w:pPr>
              <w:pStyle w:val="Text1"/>
              <w:spacing w:before="0" w:after="0"/>
              <w:ind w:left="0"/>
              <w:jc w:val="left"/>
              <w:rPr>
                <w:rFonts w:cs="Times New Roman"/>
                <w:noProof/>
                <w:sz w:val="18"/>
                <w:szCs w:val="18"/>
              </w:rPr>
            </w:pPr>
            <w:r w:rsidRPr="00BB7C97">
              <w:rPr>
                <w:rFonts w:cs="Times New Roman"/>
                <w:noProof/>
                <w:sz w:val="18"/>
                <w:szCs w:val="18"/>
              </w:rPr>
              <w:t xml:space="preserve"> 0</w:t>
            </w:r>
          </w:p>
          <w:p w14:paraId="3BCBC13B" w14:textId="77777777" w:rsidR="00B8254F" w:rsidRPr="00BB7C97" w:rsidRDefault="00B8254F" w:rsidP="003155B0">
            <w:pPr>
              <w:pStyle w:val="Text1"/>
              <w:spacing w:before="0" w:after="0"/>
              <w:ind w:left="0"/>
              <w:jc w:val="left"/>
              <w:rPr>
                <w:rFonts w:cs="Times New Roman"/>
                <w:noProof/>
                <w:sz w:val="18"/>
                <w:szCs w:val="18"/>
              </w:rPr>
            </w:pPr>
          </w:p>
        </w:tc>
        <w:tc>
          <w:tcPr>
            <w:tcW w:w="635" w:type="pct"/>
            <w:shd w:val="clear" w:color="auto" w:fill="auto"/>
          </w:tcPr>
          <w:p w14:paraId="12C0B5B3" w14:textId="77777777" w:rsidR="00B8254F" w:rsidRPr="00BB7C97" w:rsidRDefault="00B8254F" w:rsidP="003155B0">
            <w:pPr>
              <w:pStyle w:val="Text1"/>
              <w:spacing w:before="0" w:after="0"/>
              <w:ind w:left="0"/>
              <w:jc w:val="left"/>
              <w:rPr>
                <w:rFonts w:cs="Times New Roman"/>
                <w:noProof/>
                <w:sz w:val="18"/>
                <w:szCs w:val="18"/>
              </w:rPr>
            </w:pPr>
            <w:r w:rsidRPr="00BB7C97">
              <w:rPr>
                <w:rFonts w:cs="Times New Roman"/>
                <w:noProof/>
                <w:sz w:val="18"/>
                <w:szCs w:val="18"/>
              </w:rPr>
              <w:t>21</w:t>
            </w:r>
          </w:p>
          <w:p w14:paraId="06074F86" w14:textId="77777777" w:rsidR="00B8254F" w:rsidRPr="00BB7C97" w:rsidRDefault="00B8254F" w:rsidP="003155B0">
            <w:pPr>
              <w:pStyle w:val="Text1"/>
              <w:spacing w:before="0" w:after="0"/>
              <w:ind w:left="0"/>
              <w:jc w:val="left"/>
              <w:rPr>
                <w:rFonts w:cs="Times New Roman"/>
                <w:noProof/>
                <w:sz w:val="18"/>
                <w:szCs w:val="18"/>
              </w:rPr>
            </w:pPr>
          </w:p>
        </w:tc>
      </w:tr>
      <w:tr w:rsidR="00B8254F" w:rsidRPr="00BB7C97" w14:paraId="731E1340" w14:textId="77777777" w:rsidTr="00B471B0">
        <w:trPr>
          <w:trHeight w:val="332"/>
        </w:trPr>
        <w:tc>
          <w:tcPr>
            <w:tcW w:w="677" w:type="pct"/>
          </w:tcPr>
          <w:p w14:paraId="67033075"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1.2.prioritāte</w:t>
            </w:r>
          </w:p>
        </w:tc>
        <w:tc>
          <w:tcPr>
            <w:tcW w:w="599" w:type="pct"/>
          </w:tcPr>
          <w:p w14:paraId="0066EED2"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1.2.3.SAM</w:t>
            </w:r>
          </w:p>
        </w:tc>
        <w:tc>
          <w:tcPr>
            <w:tcW w:w="407" w:type="pct"/>
          </w:tcPr>
          <w:p w14:paraId="07E49A80"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ERAF</w:t>
            </w:r>
          </w:p>
        </w:tc>
        <w:tc>
          <w:tcPr>
            <w:tcW w:w="348" w:type="pct"/>
          </w:tcPr>
          <w:p w14:paraId="6807DA6B" w14:textId="77777777" w:rsidR="00B8254F" w:rsidRPr="00BB7C97" w:rsidRDefault="00B8254F" w:rsidP="003155B0">
            <w:pPr>
              <w:pStyle w:val="Text1"/>
              <w:spacing w:before="0" w:after="0"/>
              <w:ind w:left="0"/>
              <w:rPr>
                <w:rFonts w:cs="Times New Roman"/>
                <w:sz w:val="18"/>
                <w:szCs w:val="18"/>
              </w:rPr>
            </w:pPr>
            <w:r w:rsidRPr="00BB7C97">
              <w:rPr>
                <w:rFonts w:cs="Times New Roman"/>
                <w:sz w:val="18"/>
                <w:szCs w:val="18"/>
              </w:rPr>
              <w:t>RCO 15</w:t>
            </w:r>
          </w:p>
        </w:tc>
        <w:tc>
          <w:tcPr>
            <w:tcW w:w="839" w:type="pct"/>
            <w:shd w:val="clear" w:color="auto" w:fill="auto"/>
          </w:tcPr>
          <w:p w14:paraId="105332C0" w14:textId="77777777" w:rsidR="00B8254F" w:rsidRPr="00BB7C97" w:rsidRDefault="00B8254F" w:rsidP="003155B0">
            <w:pPr>
              <w:pStyle w:val="Default"/>
              <w:spacing w:after="0" w:line="240" w:lineRule="auto"/>
              <w:jc w:val="both"/>
              <w:rPr>
                <w:color w:val="auto"/>
                <w:sz w:val="18"/>
                <w:szCs w:val="18"/>
              </w:rPr>
            </w:pPr>
            <w:r w:rsidRPr="00BB7C97">
              <w:rPr>
                <w:color w:val="auto"/>
                <w:sz w:val="18"/>
                <w:szCs w:val="18"/>
              </w:rPr>
              <w:t>Radītā inkubācijas kapacitāte</w:t>
            </w:r>
          </w:p>
        </w:tc>
        <w:tc>
          <w:tcPr>
            <w:tcW w:w="815" w:type="pct"/>
          </w:tcPr>
          <w:p w14:paraId="62CEABEA"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Inkubatorā uzņemto dalībnieku skaits (kumulatīvi pirmsinkubācija un inkubācija)</w:t>
            </w:r>
          </w:p>
        </w:tc>
        <w:tc>
          <w:tcPr>
            <w:tcW w:w="680" w:type="pct"/>
            <w:shd w:val="clear" w:color="auto" w:fill="auto"/>
          </w:tcPr>
          <w:p w14:paraId="2DA62ABE" w14:textId="77777777" w:rsidR="00B8254F" w:rsidRPr="00BB7C97" w:rsidRDefault="00B8254F" w:rsidP="003155B0">
            <w:pPr>
              <w:pStyle w:val="Text1"/>
              <w:spacing w:before="0" w:after="0"/>
              <w:ind w:left="0"/>
              <w:jc w:val="left"/>
              <w:rPr>
                <w:rFonts w:cs="Times New Roman"/>
                <w:noProof/>
                <w:sz w:val="18"/>
                <w:szCs w:val="18"/>
              </w:rPr>
            </w:pPr>
            <w:r w:rsidRPr="00BB7C97">
              <w:rPr>
                <w:rFonts w:cs="Times New Roman"/>
                <w:noProof/>
                <w:sz w:val="18"/>
                <w:szCs w:val="18"/>
              </w:rPr>
              <w:t xml:space="preserve">50 </w:t>
            </w:r>
          </w:p>
        </w:tc>
        <w:tc>
          <w:tcPr>
            <w:tcW w:w="635" w:type="pct"/>
            <w:shd w:val="clear" w:color="auto" w:fill="auto"/>
          </w:tcPr>
          <w:p w14:paraId="5AC282BA" w14:textId="77777777" w:rsidR="00B8254F" w:rsidRPr="00BB7C97" w:rsidRDefault="00B8254F" w:rsidP="003155B0">
            <w:pPr>
              <w:pStyle w:val="Text1"/>
              <w:spacing w:before="0" w:after="0"/>
              <w:ind w:left="0"/>
              <w:jc w:val="left"/>
              <w:rPr>
                <w:rFonts w:cs="Times New Roman"/>
                <w:noProof/>
                <w:sz w:val="18"/>
                <w:szCs w:val="18"/>
              </w:rPr>
            </w:pPr>
            <w:r w:rsidRPr="00BB7C97">
              <w:rPr>
                <w:rFonts w:cs="Times New Roman"/>
                <w:noProof/>
                <w:sz w:val="18"/>
                <w:szCs w:val="18"/>
              </w:rPr>
              <w:t xml:space="preserve"> 760</w:t>
            </w:r>
          </w:p>
        </w:tc>
      </w:tr>
      <w:tr w:rsidR="00B8254F" w:rsidRPr="00BB7C97" w14:paraId="7F06A07F" w14:textId="77777777" w:rsidTr="00B471B0">
        <w:trPr>
          <w:trHeight w:val="332"/>
        </w:trPr>
        <w:tc>
          <w:tcPr>
            <w:tcW w:w="677" w:type="pct"/>
          </w:tcPr>
          <w:p w14:paraId="63D57DDA"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1.1.prioritāte</w:t>
            </w:r>
          </w:p>
        </w:tc>
        <w:tc>
          <w:tcPr>
            <w:tcW w:w="599" w:type="pct"/>
          </w:tcPr>
          <w:p w14:paraId="1049FAED" w14:textId="77777777" w:rsidR="00B8254F" w:rsidRPr="00BB7C97" w:rsidRDefault="00B8254F" w:rsidP="003155B0">
            <w:pPr>
              <w:pStyle w:val="Text1"/>
              <w:spacing w:before="0" w:after="0"/>
              <w:ind w:left="0"/>
              <w:rPr>
                <w:rFonts w:eastAsia="Times New Roman" w:cs="Times New Roman"/>
                <w:sz w:val="18"/>
                <w:szCs w:val="18"/>
              </w:rPr>
            </w:pPr>
            <w:r w:rsidRPr="00BB7C97">
              <w:rPr>
                <w:rFonts w:eastAsia="Times New Roman" w:cs="Times New Roman"/>
                <w:sz w:val="18"/>
                <w:szCs w:val="18"/>
              </w:rPr>
              <w:t>1.1.2. SAM</w:t>
            </w:r>
          </w:p>
          <w:p w14:paraId="012C0AB4" w14:textId="77777777" w:rsidR="00B8254F" w:rsidRPr="00BB7C97" w:rsidRDefault="00B8254F" w:rsidP="003155B0">
            <w:pPr>
              <w:pStyle w:val="Text1"/>
              <w:spacing w:before="0" w:after="0"/>
              <w:ind w:left="0"/>
              <w:rPr>
                <w:rFonts w:cs="Times New Roman"/>
                <w:noProof/>
                <w:sz w:val="18"/>
                <w:szCs w:val="18"/>
              </w:rPr>
            </w:pPr>
          </w:p>
        </w:tc>
        <w:tc>
          <w:tcPr>
            <w:tcW w:w="407" w:type="pct"/>
          </w:tcPr>
          <w:p w14:paraId="11A33C23"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ERAF</w:t>
            </w:r>
          </w:p>
        </w:tc>
        <w:tc>
          <w:tcPr>
            <w:tcW w:w="348" w:type="pct"/>
          </w:tcPr>
          <w:p w14:paraId="3E46CCA7" w14:textId="77777777" w:rsidR="00B8254F" w:rsidRPr="00BB7C97" w:rsidRDefault="00B8254F" w:rsidP="003155B0">
            <w:pPr>
              <w:pStyle w:val="Text1"/>
              <w:spacing w:before="0" w:after="0"/>
              <w:ind w:left="0"/>
              <w:rPr>
                <w:rFonts w:cs="Times New Roman"/>
                <w:sz w:val="18"/>
                <w:szCs w:val="18"/>
              </w:rPr>
            </w:pPr>
            <w:r w:rsidRPr="00BB7C97">
              <w:rPr>
                <w:rFonts w:cs="Times New Roman"/>
                <w:sz w:val="18"/>
                <w:szCs w:val="18"/>
              </w:rPr>
              <w:t>RCO 101</w:t>
            </w:r>
          </w:p>
        </w:tc>
        <w:tc>
          <w:tcPr>
            <w:tcW w:w="839" w:type="pct"/>
            <w:shd w:val="clear" w:color="auto" w:fill="auto"/>
          </w:tcPr>
          <w:p w14:paraId="3D260204" w14:textId="77777777" w:rsidR="00B8254F" w:rsidRPr="00BB7C97" w:rsidRDefault="00B8254F" w:rsidP="003155B0">
            <w:pPr>
              <w:pStyle w:val="Default"/>
              <w:spacing w:after="0" w:line="240" w:lineRule="auto"/>
              <w:jc w:val="both"/>
              <w:rPr>
                <w:color w:val="auto"/>
                <w:sz w:val="18"/>
                <w:szCs w:val="18"/>
              </w:rPr>
            </w:pPr>
            <w:r w:rsidRPr="00BB7C97">
              <w:rPr>
                <w:color w:val="auto"/>
                <w:sz w:val="18"/>
                <w:szCs w:val="18"/>
              </w:rPr>
              <w:t>MVU skaits, kas iegulda prasmēs viedai specializācijai, industriālai pārejai un uzņēmējdarbībai</w:t>
            </w:r>
          </w:p>
        </w:tc>
        <w:tc>
          <w:tcPr>
            <w:tcW w:w="815" w:type="pct"/>
          </w:tcPr>
          <w:p w14:paraId="76281F6D"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Saimnieciskās darbības veicēju</w:t>
            </w:r>
            <w:r w:rsidRPr="00BB7C97" w:rsidDel="00242D6D">
              <w:rPr>
                <w:rFonts w:cs="Times New Roman"/>
                <w:noProof/>
                <w:sz w:val="18"/>
                <w:szCs w:val="18"/>
              </w:rPr>
              <w:t xml:space="preserve"> </w:t>
            </w:r>
            <w:r w:rsidRPr="00BB7C97">
              <w:rPr>
                <w:rFonts w:cs="Times New Roman"/>
                <w:noProof/>
                <w:sz w:val="18"/>
                <w:szCs w:val="18"/>
              </w:rPr>
              <w:t>skaits</w:t>
            </w:r>
          </w:p>
        </w:tc>
        <w:tc>
          <w:tcPr>
            <w:tcW w:w="680" w:type="pct"/>
            <w:shd w:val="clear" w:color="auto" w:fill="auto"/>
          </w:tcPr>
          <w:p w14:paraId="7C4A9FD7" w14:textId="77777777" w:rsidR="00B8254F" w:rsidRPr="00BB7C97" w:rsidRDefault="00B8254F" w:rsidP="003155B0">
            <w:pPr>
              <w:pStyle w:val="Text1"/>
              <w:spacing w:before="0" w:after="0"/>
              <w:ind w:left="0"/>
              <w:jc w:val="left"/>
              <w:rPr>
                <w:rFonts w:cs="Times New Roman"/>
                <w:noProof/>
                <w:sz w:val="18"/>
                <w:szCs w:val="18"/>
              </w:rPr>
            </w:pPr>
            <w:r w:rsidRPr="00BB7C97">
              <w:rPr>
                <w:rFonts w:cs="Times New Roman"/>
                <w:noProof/>
                <w:sz w:val="18"/>
                <w:szCs w:val="18"/>
              </w:rPr>
              <w:t>0</w:t>
            </w:r>
          </w:p>
        </w:tc>
        <w:tc>
          <w:tcPr>
            <w:tcW w:w="635" w:type="pct"/>
            <w:shd w:val="clear" w:color="auto" w:fill="auto"/>
          </w:tcPr>
          <w:p w14:paraId="55E2F610" w14:textId="77777777" w:rsidR="00B8254F" w:rsidRPr="00BB7C97" w:rsidRDefault="00B8254F" w:rsidP="003155B0">
            <w:pPr>
              <w:pStyle w:val="Text1"/>
              <w:spacing w:before="0" w:after="0"/>
              <w:ind w:left="0"/>
              <w:jc w:val="left"/>
              <w:rPr>
                <w:rFonts w:cs="Times New Roman"/>
                <w:noProof/>
                <w:sz w:val="18"/>
                <w:szCs w:val="18"/>
              </w:rPr>
            </w:pPr>
            <w:r w:rsidRPr="00BB7C97">
              <w:rPr>
                <w:rFonts w:cs="Times New Roman"/>
                <w:noProof/>
                <w:sz w:val="18"/>
                <w:szCs w:val="18"/>
              </w:rPr>
              <w:t xml:space="preserve"> 586</w:t>
            </w:r>
          </w:p>
        </w:tc>
      </w:tr>
      <w:tr w:rsidR="00B8254F" w:rsidRPr="00BB7C97" w14:paraId="2701D149" w14:textId="77777777" w:rsidTr="00B471B0">
        <w:trPr>
          <w:trHeight w:val="332"/>
        </w:trPr>
        <w:tc>
          <w:tcPr>
            <w:tcW w:w="677" w:type="pct"/>
          </w:tcPr>
          <w:p w14:paraId="3C481C6D"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1.4.prioritāte</w:t>
            </w:r>
          </w:p>
        </w:tc>
        <w:tc>
          <w:tcPr>
            <w:tcW w:w="599" w:type="pct"/>
          </w:tcPr>
          <w:p w14:paraId="357757D7"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1.4.1.SAM</w:t>
            </w:r>
          </w:p>
        </w:tc>
        <w:tc>
          <w:tcPr>
            <w:tcW w:w="407" w:type="pct"/>
          </w:tcPr>
          <w:p w14:paraId="3E71AF91"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ERAF</w:t>
            </w:r>
          </w:p>
        </w:tc>
        <w:tc>
          <w:tcPr>
            <w:tcW w:w="348" w:type="pct"/>
          </w:tcPr>
          <w:p w14:paraId="2A692D10" w14:textId="77777777" w:rsidR="00B8254F" w:rsidRPr="00BB7C97" w:rsidRDefault="00B8254F" w:rsidP="003155B0">
            <w:pPr>
              <w:pStyle w:val="Text1"/>
              <w:spacing w:before="0" w:after="0"/>
              <w:ind w:left="0"/>
              <w:rPr>
                <w:rFonts w:cs="Times New Roman"/>
                <w:sz w:val="18"/>
                <w:szCs w:val="18"/>
              </w:rPr>
            </w:pPr>
            <w:r w:rsidRPr="00BB7C97">
              <w:rPr>
                <w:rFonts w:cs="Times New Roman"/>
                <w:sz w:val="18"/>
                <w:szCs w:val="18"/>
              </w:rPr>
              <w:t>RCO 41</w:t>
            </w:r>
          </w:p>
        </w:tc>
        <w:tc>
          <w:tcPr>
            <w:tcW w:w="839" w:type="pct"/>
            <w:shd w:val="clear" w:color="auto" w:fill="auto"/>
          </w:tcPr>
          <w:p w14:paraId="1FF27B0F" w14:textId="77777777" w:rsidR="00B8254F" w:rsidRPr="00BB7C97" w:rsidRDefault="00B8254F" w:rsidP="003155B0">
            <w:pPr>
              <w:pStyle w:val="Default"/>
              <w:spacing w:after="0" w:line="240" w:lineRule="auto"/>
              <w:jc w:val="both"/>
              <w:rPr>
                <w:color w:val="auto"/>
                <w:sz w:val="18"/>
                <w:szCs w:val="18"/>
              </w:rPr>
            </w:pPr>
            <w:r w:rsidRPr="00BB7C97">
              <w:rPr>
                <w:color w:val="auto"/>
                <w:sz w:val="18"/>
                <w:szCs w:val="18"/>
              </w:rPr>
              <w:t>Papildu mājsaimniecības ar piekļuvi  ļoti augstas veiktspējas platjoslai tīklam</w:t>
            </w:r>
          </w:p>
        </w:tc>
        <w:tc>
          <w:tcPr>
            <w:tcW w:w="815" w:type="pct"/>
          </w:tcPr>
          <w:p w14:paraId="3467A36D"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Mājsaimniecību skaits</w:t>
            </w:r>
          </w:p>
        </w:tc>
        <w:tc>
          <w:tcPr>
            <w:tcW w:w="680" w:type="pct"/>
            <w:shd w:val="clear" w:color="auto" w:fill="auto"/>
          </w:tcPr>
          <w:p w14:paraId="06F55030"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0</w:t>
            </w:r>
          </w:p>
        </w:tc>
        <w:tc>
          <w:tcPr>
            <w:tcW w:w="635" w:type="pct"/>
            <w:shd w:val="clear" w:color="auto" w:fill="auto"/>
          </w:tcPr>
          <w:p w14:paraId="0C11EEC6"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13 000</w:t>
            </w:r>
          </w:p>
        </w:tc>
      </w:tr>
      <w:tr w:rsidR="00B8254F" w:rsidRPr="00BB7C97" w14:paraId="7DF85A4E" w14:textId="77777777" w:rsidTr="00B471B0">
        <w:trPr>
          <w:trHeight w:val="332"/>
        </w:trPr>
        <w:tc>
          <w:tcPr>
            <w:tcW w:w="677" w:type="pct"/>
          </w:tcPr>
          <w:p w14:paraId="0BC6AF92"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1.4.prioritāte</w:t>
            </w:r>
          </w:p>
        </w:tc>
        <w:tc>
          <w:tcPr>
            <w:tcW w:w="599" w:type="pct"/>
          </w:tcPr>
          <w:p w14:paraId="604A238B"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1.4.1.SAM</w:t>
            </w:r>
          </w:p>
        </w:tc>
        <w:tc>
          <w:tcPr>
            <w:tcW w:w="407" w:type="pct"/>
          </w:tcPr>
          <w:p w14:paraId="17426B7B"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ERAF</w:t>
            </w:r>
          </w:p>
        </w:tc>
        <w:tc>
          <w:tcPr>
            <w:tcW w:w="348" w:type="pct"/>
          </w:tcPr>
          <w:p w14:paraId="6A221B4F" w14:textId="77777777" w:rsidR="00B8254F" w:rsidRPr="00BB7C97" w:rsidRDefault="00B8254F" w:rsidP="003155B0">
            <w:pPr>
              <w:pStyle w:val="Text1"/>
              <w:spacing w:before="0" w:after="0"/>
              <w:ind w:left="0"/>
              <w:rPr>
                <w:rFonts w:cs="Times New Roman"/>
                <w:sz w:val="18"/>
                <w:szCs w:val="18"/>
              </w:rPr>
            </w:pPr>
            <w:r w:rsidRPr="00BB7C97">
              <w:rPr>
                <w:rFonts w:cs="Times New Roman"/>
                <w:sz w:val="18"/>
                <w:szCs w:val="18"/>
              </w:rPr>
              <w:t>RCO 42</w:t>
            </w:r>
          </w:p>
        </w:tc>
        <w:tc>
          <w:tcPr>
            <w:tcW w:w="839" w:type="pct"/>
            <w:shd w:val="clear" w:color="auto" w:fill="auto"/>
          </w:tcPr>
          <w:p w14:paraId="397E866F" w14:textId="77777777" w:rsidR="00B8254F" w:rsidRPr="00BB7C97" w:rsidRDefault="00B8254F" w:rsidP="003155B0">
            <w:pPr>
              <w:pStyle w:val="Default"/>
              <w:spacing w:after="0" w:line="240" w:lineRule="auto"/>
              <w:jc w:val="both"/>
              <w:rPr>
                <w:color w:val="auto"/>
                <w:sz w:val="18"/>
                <w:szCs w:val="18"/>
              </w:rPr>
            </w:pPr>
            <w:r w:rsidRPr="00BB7C97">
              <w:rPr>
                <w:color w:val="auto"/>
                <w:sz w:val="18"/>
                <w:szCs w:val="18"/>
              </w:rPr>
              <w:t>Papildu uzņēmumi ar piekļuvi ļoti augstas veikstpēas platjoslas tīklam</w:t>
            </w:r>
          </w:p>
        </w:tc>
        <w:tc>
          <w:tcPr>
            <w:tcW w:w="815" w:type="pct"/>
          </w:tcPr>
          <w:p w14:paraId="45F816E8"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Uzņēmumu skaits</w:t>
            </w:r>
          </w:p>
        </w:tc>
        <w:tc>
          <w:tcPr>
            <w:tcW w:w="680" w:type="pct"/>
            <w:shd w:val="clear" w:color="auto" w:fill="auto"/>
          </w:tcPr>
          <w:p w14:paraId="5993A02A"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0</w:t>
            </w:r>
          </w:p>
        </w:tc>
        <w:tc>
          <w:tcPr>
            <w:tcW w:w="635" w:type="pct"/>
            <w:shd w:val="clear" w:color="auto" w:fill="auto"/>
          </w:tcPr>
          <w:p w14:paraId="0F745BF4" w14:textId="77777777" w:rsidR="00B8254F" w:rsidRPr="00BB7C97" w:rsidRDefault="00B8254F" w:rsidP="003155B0">
            <w:pPr>
              <w:pStyle w:val="Text1"/>
              <w:spacing w:before="0" w:after="0"/>
              <w:ind w:left="0"/>
              <w:rPr>
                <w:rFonts w:cs="Times New Roman"/>
                <w:noProof/>
                <w:sz w:val="18"/>
                <w:szCs w:val="18"/>
              </w:rPr>
            </w:pPr>
            <w:r w:rsidRPr="00BB7C97">
              <w:rPr>
                <w:rFonts w:cs="Times New Roman"/>
                <w:noProof/>
                <w:sz w:val="18"/>
                <w:szCs w:val="18"/>
              </w:rPr>
              <w:t>4 000</w:t>
            </w:r>
          </w:p>
        </w:tc>
      </w:tr>
    </w:tbl>
    <w:p w14:paraId="3BAD6B28" w14:textId="77777777" w:rsidR="00B8254F" w:rsidRPr="00930237" w:rsidRDefault="00B8254F" w:rsidP="00B8254F">
      <w:pPr>
        <w:spacing w:before="0" w:after="0"/>
        <w:rPr>
          <w:rFonts w:eastAsia="Times New Roman"/>
          <w:b/>
          <w:iCs/>
          <w:noProof/>
          <w:sz w:val="20"/>
        </w:rPr>
      </w:pPr>
    </w:p>
    <w:p w14:paraId="06F4AB16" w14:textId="77777777" w:rsidR="00B8254F" w:rsidRPr="00BB7C97" w:rsidRDefault="00B8254F" w:rsidP="00B8254F">
      <w:pPr>
        <w:spacing w:before="0" w:after="0"/>
        <w:rPr>
          <w:rFonts w:eastAsia="Times New Roman"/>
          <w:iCs/>
          <w:noProof/>
          <w:sz w:val="20"/>
        </w:rPr>
      </w:pPr>
      <w:r w:rsidRPr="00BB7C97">
        <w:rPr>
          <w:rFonts w:eastAsia="Times New Roman"/>
          <w:iCs/>
          <w:noProof/>
          <w:sz w:val="20"/>
        </w:rPr>
        <w:t>* Rādītāju sasniedzamās vērtības tiks definētas, kad būs pieejami veikto izvērtējumu rezultāti, kā arī attiecīgo nozaru plānošanas dokumentu izstrādes un saskaņošanas ietvaros.</w:t>
      </w:r>
    </w:p>
    <w:p w14:paraId="6D046791" w14:textId="4914B60A" w:rsidR="00B8254F" w:rsidRDefault="00B8254F" w:rsidP="00B471B0">
      <w:pPr>
        <w:spacing w:before="0" w:after="0"/>
        <w:jc w:val="left"/>
        <w:rPr>
          <w:rFonts w:eastAsia="Times New Roman"/>
          <w:b/>
          <w:iCs/>
          <w:noProof/>
          <w:sz w:val="20"/>
        </w:rPr>
      </w:pPr>
    </w:p>
    <w:p w14:paraId="3A986C88" w14:textId="77777777" w:rsidR="00E261E7" w:rsidRDefault="00E261E7" w:rsidP="00B471B0">
      <w:pPr>
        <w:spacing w:before="0" w:after="0"/>
        <w:jc w:val="left"/>
        <w:rPr>
          <w:rFonts w:eastAsia="Times New Roman"/>
          <w:b/>
          <w:iCs/>
          <w:noProof/>
          <w:sz w:val="20"/>
        </w:rPr>
      </w:pPr>
    </w:p>
    <w:p w14:paraId="2D4C82C6" w14:textId="6F873471" w:rsidR="00B8254F" w:rsidRPr="00E261E7" w:rsidRDefault="00B471B0" w:rsidP="00E261E7">
      <w:pPr>
        <w:pStyle w:val="Heading3"/>
        <w:numPr>
          <w:ilvl w:val="0"/>
          <w:numId w:val="0"/>
        </w:numPr>
        <w:spacing w:after="0"/>
        <w:jc w:val="left"/>
        <w:rPr>
          <w:b/>
          <w:bCs/>
          <w:i w:val="0"/>
          <w:iCs/>
          <w:noProof/>
        </w:rPr>
      </w:pPr>
      <w:bookmarkStart w:id="22" w:name="_Toc69125410"/>
      <w:r w:rsidRPr="00E261E7">
        <w:rPr>
          <w:b/>
          <w:bCs/>
          <w:i w:val="0"/>
          <w:iCs/>
          <w:noProof/>
        </w:rPr>
        <w:t>3.tabula</w:t>
      </w:r>
      <w:r w:rsidR="00E261E7" w:rsidRPr="00E261E7">
        <w:rPr>
          <w:b/>
          <w:bCs/>
          <w:i w:val="0"/>
          <w:iCs/>
          <w:noProof/>
        </w:rPr>
        <w:t xml:space="preserve"> (3)</w:t>
      </w:r>
      <w:r w:rsidRPr="00E261E7">
        <w:rPr>
          <w:b/>
          <w:bCs/>
          <w:i w:val="0"/>
          <w:iCs/>
          <w:noProof/>
        </w:rPr>
        <w:t xml:space="preserve"> 1.Politiskā mērķa r</w:t>
      </w:r>
      <w:r w:rsidR="00B8254F" w:rsidRPr="00E261E7">
        <w:rPr>
          <w:b/>
          <w:bCs/>
          <w:i w:val="0"/>
          <w:iCs/>
          <w:noProof/>
        </w:rPr>
        <w:t>ezultātu rādītāji</w:t>
      </w:r>
      <w:r w:rsidR="00B8254F" w:rsidRPr="00E261E7">
        <w:rPr>
          <w:rStyle w:val="FootnoteReference"/>
          <w:b/>
          <w:bCs/>
          <w:i w:val="0"/>
          <w:iCs/>
          <w:noProof/>
        </w:rPr>
        <w:footnoteReference w:id="100"/>
      </w:r>
      <w:bookmarkEnd w:id="22"/>
    </w:p>
    <w:p w14:paraId="6B41AFE2" w14:textId="77777777" w:rsidR="00B8254F" w:rsidRPr="00930237" w:rsidRDefault="00B8254F" w:rsidP="00B8254F">
      <w:pPr>
        <w:spacing w:before="0" w:after="0"/>
        <w:rPr>
          <w:rFonts w:eastAsia="Times New Roman"/>
          <w:b/>
          <w:iCs/>
          <w:noProof/>
          <w:sz w:val="20"/>
        </w:rPr>
      </w:pPr>
    </w:p>
    <w:tbl>
      <w:tblP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3"/>
        <w:gridCol w:w="1151"/>
        <w:gridCol w:w="835"/>
        <w:gridCol w:w="997"/>
        <w:gridCol w:w="2214"/>
        <w:gridCol w:w="1289"/>
        <w:gridCol w:w="1041"/>
        <w:gridCol w:w="1217"/>
        <w:gridCol w:w="1382"/>
        <w:gridCol w:w="1639"/>
        <w:gridCol w:w="1416"/>
      </w:tblGrid>
      <w:tr w:rsidR="00B8254F" w:rsidRPr="00BF555E" w14:paraId="1862A107" w14:textId="77777777" w:rsidTr="00B471B0">
        <w:trPr>
          <w:trHeight w:val="282"/>
          <w:tblHeader/>
        </w:trPr>
        <w:tc>
          <w:tcPr>
            <w:tcW w:w="440" w:type="pct"/>
            <w:shd w:val="clear" w:color="auto" w:fill="D9D9D9" w:themeFill="background1" w:themeFillShade="D9"/>
            <w:vAlign w:val="center"/>
          </w:tcPr>
          <w:p w14:paraId="520555A8" w14:textId="77777777" w:rsidR="00B8254F" w:rsidRPr="00BF555E" w:rsidRDefault="00B8254F" w:rsidP="003155B0">
            <w:pPr>
              <w:pStyle w:val="Text1"/>
              <w:spacing w:before="0" w:after="0"/>
              <w:ind w:left="0"/>
              <w:jc w:val="center"/>
              <w:rPr>
                <w:rFonts w:cs="Times New Roman"/>
                <w:b/>
                <w:noProof/>
                <w:sz w:val="18"/>
                <w:szCs w:val="18"/>
              </w:rPr>
            </w:pPr>
            <w:r w:rsidRPr="00BF555E">
              <w:rPr>
                <w:rFonts w:cs="Times New Roman"/>
                <w:b/>
                <w:noProof/>
                <w:sz w:val="18"/>
                <w:szCs w:val="18"/>
              </w:rPr>
              <w:t>Prioritāte</w:t>
            </w:r>
          </w:p>
        </w:tc>
        <w:tc>
          <w:tcPr>
            <w:tcW w:w="398" w:type="pct"/>
            <w:shd w:val="clear" w:color="auto" w:fill="D9D9D9" w:themeFill="background1" w:themeFillShade="D9"/>
            <w:vAlign w:val="center"/>
          </w:tcPr>
          <w:p w14:paraId="31B3DEE1" w14:textId="77777777" w:rsidR="00B8254F" w:rsidRPr="00BF555E" w:rsidRDefault="00B8254F" w:rsidP="003155B0">
            <w:pPr>
              <w:pStyle w:val="Text1"/>
              <w:spacing w:before="0" w:after="0"/>
              <w:ind w:left="0"/>
              <w:jc w:val="center"/>
              <w:rPr>
                <w:rFonts w:cs="Times New Roman"/>
                <w:b/>
                <w:noProof/>
                <w:sz w:val="18"/>
                <w:szCs w:val="18"/>
              </w:rPr>
            </w:pPr>
            <w:r w:rsidRPr="00BF555E">
              <w:rPr>
                <w:rFonts w:cs="Times New Roman"/>
                <w:b/>
                <w:noProof/>
                <w:sz w:val="18"/>
                <w:szCs w:val="18"/>
              </w:rPr>
              <w:t>SAM</w:t>
            </w:r>
          </w:p>
        </w:tc>
        <w:tc>
          <w:tcPr>
            <w:tcW w:w="289" w:type="pct"/>
            <w:shd w:val="clear" w:color="auto" w:fill="D9D9D9" w:themeFill="background1" w:themeFillShade="D9"/>
            <w:vAlign w:val="center"/>
          </w:tcPr>
          <w:p w14:paraId="5C7A3734" w14:textId="77777777" w:rsidR="00B8254F" w:rsidRPr="00BF555E" w:rsidRDefault="00B8254F" w:rsidP="003155B0">
            <w:pPr>
              <w:pStyle w:val="Text1"/>
              <w:spacing w:before="0" w:after="0"/>
              <w:ind w:left="0"/>
              <w:jc w:val="center"/>
              <w:rPr>
                <w:rFonts w:cs="Times New Roman"/>
                <w:b/>
                <w:noProof/>
                <w:sz w:val="18"/>
                <w:szCs w:val="18"/>
              </w:rPr>
            </w:pPr>
            <w:r w:rsidRPr="00BF555E">
              <w:rPr>
                <w:rFonts w:cs="Times New Roman"/>
                <w:b/>
                <w:noProof/>
                <w:sz w:val="18"/>
                <w:szCs w:val="18"/>
              </w:rPr>
              <w:t>Fonds</w:t>
            </w:r>
          </w:p>
        </w:tc>
        <w:tc>
          <w:tcPr>
            <w:tcW w:w="345" w:type="pct"/>
            <w:shd w:val="clear" w:color="auto" w:fill="D9D9D9" w:themeFill="background1" w:themeFillShade="D9"/>
            <w:vAlign w:val="center"/>
          </w:tcPr>
          <w:p w14:paraId="57A49B15" w14:textId="77777777" w:rsidR="00B8254F" w:rsidRPr="00BF555E" w:rsidRDefault="00B8254F" w:rsidP="003155B0">
            <w:pPr>
              <w:pStyle w:val="Text1"/>
              <w:spacing w:before="0" w:after="0"/>
              <w:ind w:left="0"/>
              <w:jc w:val="center"/>
              <w:rPr>
                <w:rFonts w:cs="Times New Roman"/>
                <w:b/>
                <w:noProof/>
                <w:sz w:val="18"/>
                <w:szCs w:val="18"/>
              </w:rPr>
            </w:pPr>
            <w:r w:rsidRPr="00BF555E">
              <w:rPr>
                <w:rFonts w:cs="Times New Roman"/>
                <w:b/>
                <w:noProof/>
                <w:sz w:val="18"/>
                <w:szCs w:val="18"/>
              </w:rPr>
              <w:t xml:space="preserve">ID </w:t>
            </w:r>
          </w:p>
        </w:tc>
        <w:tc>
          <w:tcPr>
            <w:tcW w:w="766" w:type="pct"/>
            <w:shd w:val="clear" w:color="auto" w:fill="D9D9D9" w:themeFill="background1" w:themeFillShade="D9"/>
            <w:vAlign w:val="center"/>
          </w:tcPr>
          <w:p w14:paraId="60DE629F" w14:textId="77777777" w:rsidR="00B8254F" w:rsidRPr="00BF555E" w:rsidRDefault="00B8254F" w:rsidP="003155B0">
            <w:pPr>
              <w:pStyle w:val="Text1"/>
              <w:spacing w:before="0" w:after="0"/>
              <w:ind w:left="0"/>
              <w:jc w:val="center"/>
              <w:rPr>
                <w:rFonts w:cs="Times New Roman"/>
                <w:b/>
                <w:noProof/>
                <w:sz w:val="18"/>
                <w:szCs w:val="18"/>
              </w:rPr>
            </w:pPr>
            <w:r w:rsidRPr="00BF555E">
              <w:rPr>
                <w:rFonts w:cs="Times New Roman"/>
                <w:b/>
                <w:noProof/>
                <w:sz w:val="18"/>
                <w:szCs w:val="18"/>
              </w:rPr>
              <w:t xml:space="preserve">Rādītājs </w:t>
            </w:r>
          </w:p>
        </w:tc>
        <w:tc>
          <w:tcPr>
            <w:tcW w:w="446" w:type="pct"/>
            <w:shd w:val="clear" w:color="auto" w:fill="D9D9D9" w:themeFill="background1" w:themeFillShade="D9"/>
            <w:vAlign w:val="center"/>
          </w:tcPr>
          <w:p w14:paraId="4E7A607A" w14:textId="77777777" w:rsidR="00B8254F" w:rsidRPr="00BF555E" w:rsidRDefault="00B8254F" w:rsidP="003155B0">
            <w:pPr>
              <w:pStyle w:val="Text1"/>
              <w:spacing w:before="0" w:after="0"/>
              <w:ind w:left="0"/>
              <w:jc w:val="center"/>
              <w:rPr>
                <w:rFonts w:cs="Times New Roman"/>
                <w:b/>
                <w:noProof/>
                <w:sz w:val="18"/>
                <w:szCs w:val="18"/>
              </w:rPr>
            </w:pPr>
            <w:r w:rsidRPr="00BF555E">
              <w:rPr>
                <w:rFonts w:cs="Times New Roman"/>
                <w:b/>
                <w:noProof/>
                <w:sz w:val="18"/>
                <w:szCs w:val="18"/>
              </w:rPr>
              <w:t>Mērvienība</w:t>
            </w:r>
          </w:p>
        </w:tc>
        <w:tc>
          <w:tcPr>
            <w:tcW w:w="360" w:type="pct"/>
            <w:shd w:val="clear" w:color="auto" w:fill="D9D9D9" w:themeFill="background1" w:themeFillShade="D9"/>
            <w:vAlign w:val="center"/>
          </w:tcPr>
          <w:p w14:paraId="47D405AE" w14:textId="77777777" w:rsidR="00B8254F" w:rsidRPr="00BF555E" w:rsidRDefault="00B8254F" w:rsidP="003155B0">
            <w:pPr>
              <w:pStyle w:val="Text1"/>
              <w:spacing w:before="0" w:after="0"/>
              <w:ind w:left="0"/>
              <w:jc w:val="center"/>
              <w:rPr>
                <w:rFonts w:cs="Times New Roman"/>
                <w:b/>
                <w:noProof/>
                <w:sz w:val="18"/>
                <w:szCs w:val="18"/>
              </w:rPr>
            </w:pPr>
            <w:r w:rsidRPr="00BF555E">
              <w:rPr>
                <w:rFonts w:cs="Times New Roman"/>
                <w:b/>
                <w:noProof/>
                <w:sz w:val="18"/>
                <w:szCs w:val="18"/>
              </w:rPr>
              <w:t>Sākotnējā vērtība</w:t>
            </w:r>
          </w:p>
        </w:tc>
        <w:tc>
          <w:tcPr>
            <w:tcW w:w="421" w:type="pct"/>
            <w:shd w:val="clear" w:color="auto" w:fill="D9D9D9" w:themeFill="background1" w:themeFillShade="D9"/>
            <w:vAlign w:val="center"/>
          </w:tcPr>
          <w:p w14:paraId="2BEACA7D" w14:textId="77777777" w:rsidR="00B8254F" w:rsidRPr="00BF555E" w:rsidRDefault="00B8254F" w:rsidP="003155B0">
            <w:pPr>
              <w:pStyle w:val="Text1"/>
              <w:spacing w:before="0" w:after="0"/>
              <w:ind w:left="0"/>
              <w:jc w:val="center"/>
              <w:rPr>
                <w:rFonts w:cs="Times New Roman"/>
                <w:b/>
                <w:noProof/>
                <w:sz w:val="18"/>
                <w:szCs w:val="18"/>
              </w:rPr>
            </w:pPr>
            <w:r w:rsidRPr="00BF555E">
              <w:rPr>
                <w:rFonts w:cs="Times New Roman"/>
                <w:b/>
                <w:noProof/>
                <w:sz w:val="18"/>
                <w:szCs w:val="18"/>
              </w:rPr>
              <w:t>Sākotnējās vērtības gads</w:t>
            </w:r>
          </w:p>
        </w:tc>
        <w:tc>
          <w:tcPr>
            <w:tcW w:w="478" w:type="pct"/>
            <w:shd w:val="clear" w:color="auto" w:fill="D9D9D9" w:themeFill="background1" w:themeFillShade="D9"/>
            <w:vAlign w:val="center"/>
          </w:tcPr>
          <w:p w14:paraId="6966F4ED" w14:textId="77777777" w:rsidR="00B8254F" w:rsidRPr="00BF555E" w:rsidRDefault="00B8254F" w:rsidP="003155B0">
            <w:pPr>
              <w:pStyle w:val="Text1"/>
              <w:spacing w:before="0" w:after="0"/>
              <w:ind w:left="0"/>
              <w:jc w:val="center"/>
              <w:rPr>
                <w:rFonts w:cs="Times New Roman"/>
                <w:b/>
                <w:noProof/>
                <w:sz w:val="18"/>
                <w:szCs w:val="18"/>
              </w:rPr>
            </w:pPr>
            <w:r w:rsidRPr="00BF555E">
              <w:rPr>
                <w:rFonts w:cs="Times New Roman"/>
                <w:b/>
                <w:noProof/>
                <w:sz w:val="18"/>
                <w:szCs w:val="18"/>
              </w:rPr>
              <w:t>Plānotā vērtība (2029)</w:t>
            </w:r>
          </w:p>
          <w:p w14:paraId="2DCF07EF" w14:textId="77777777" w:rsidR="00B8254F" w:rsidRPr="00BF555E" w:rsidRDefault="00B8254F" w:rsidP="003155B0">
            <w:pPr>
              <w:pStyle w:val="Text1"/>
              <w:spacing w:before="0" w:after="0"/>
              <w:ind w:left="0"/>
              <w:jc w:val="center"/>
              <w:rPr>
                <w:rFonts w:cs="Times New Roman"/>
                <w:b/>
                <w:noProof/>
                <w:sz w:val="18"/>
                <w:szCs w:val="18"/>
              </w:rPr>
            </w:pPr>
          </w:p>
        </w:tc>
        <w:tc>
          <w:tcPr>
            <w:tcW w:w="567" w:type="pct"/>
            <w:shd w:val="clear" w:color="auto" w:fill="D9D9D9" w:themeFill="background1" w:themeFillShade="D9"/>
            <w:vAlign w:val="center"/>
          </w:tcPr>
          <w:p w14:paraId="7A701B83" w14:textId="77777777" w:rsidR="00B8254F" w:rsidRPr="00BF555E" w:rsidRDefault="00B8254F" w:rsidP="003155B0">
            <w:pPr>
              <w:pStyle w:val="Text1"/>
              <w:spacing w:before="0" w:after="0"/>
              <w:ind w:left="0"/>
              <w:jc w:val="center"/>
              <w:rPr>
                <w:rFonts w:cs="Times New Roman"/>
                <w:b/>
                <w:noProof/>
                <w:sz w:val="18"/>
                <w:szCs w:val="18"/>
              </w:rPr>
            </w:pPr>
            <w:r w:rsidRPr="00BF555E">
              <w:rPr>
                <w:rFonts w:cs="Times New Roman"/>
                <w:b/>
                <w:noProof/>
                <w:sz w:val="18"/>
                <w:szCs w:val="18"/>
              </w:rPr>
              <w:t>Datu avots [200]</w:t>
            </w:r>
          </w:p>
        </w:tc>
        <w:tc>
          <w:tcPr>
            <w:tcW w:w="491" w:type="pct"/>
            <w:shd w:val="clear" w:color="auto" w:fill="D9D9D9" w:themeFill="background1" w:themeFillShade="D9"/>
            <w:vAlign w:val="center"/>
          </w:tcPr>
          <w:p w14:paraId="39DC5991" w14:textId="77777777" w:rsidR="00B8254F" w:rsidRPr="00BF555E" w:rsidRDefault="00B8254F" w:rsidP="003155B0">
            <w:pPr>
              <w:pStyle w:val="Text1"/>
              <w:spacing w:before="0" w:after="0"/>
              <w:ind w:left="0"/>
              <w:jc w:val="center"/>
              <w:rPr>
                <w:rFonts w:cs="Times New Roman"/>
                <w:b/>
                <w:noProof/>
                <w:sz w:val="18"/>
                <w:szCs w:val="18"/>
              </w:rPr>
            </w:pPr>
            <w:r w:rsidRPr="00BF555E">
              <w:rPr>
                <w:rFonts w:cs="Times New Roman"/>
                <w:b/>
                <w:noProof/>
                <w:sz w:val="18"/>
                <w:szCs w:val="18"/>
              </w:rPr>
              <w:t xml:space="preserve">Komentāri </w:t>
            </w:r>
          </w:p>
          <w:p w14:paraId="5564D595" w14:textId="77777777" w:rsidR="00B8254F" w:rsidRPr="00BF555E" w:rsidRDefault="00B8254F" w:rsidP="003155B0">
            <w:pPr>
              <w:pStyle w:val="Text1"/>
              <w:spacing w:before="0" w:after="0"/>
              <w:ind w:left="0"/>
              <w:jc w:val="center"/>
              <w:rPr>
                <w:rFonts w:cs="Times New Roman"/>
                <w:b/>
                <w:noProof/>
                <w:sz w:val="18"/>
                <w:szCs w:val="18"/>
              </w:rPr>
            </w:pPr>
            <w:r w:rsidRPr="00BF555E">
              <w:rPr>
                <w:rFonts w:cs="Times New Roman"/>
                <w:b/>
                <w:noProof/>
                <w:sz w:val="18"/>
                <w:szCs w:val="18"/>
              </w:rPr>
              <w:t>[200]</w:t>
            </w:r>
          </w:p>
        </w:tc>
      </w:tr>
      <w:tr w:rsidR="00B8254F" w:rsidRPr="00BF555E" w14:paraId="1BE5EF44" w14:textId="77777777" w:rsidTr="00B471B0">
        <w:trPr>
          <w:trHeight w:val="434"/>
        </w:trPr>
        <w:tc>
          <w:tcPr>
            <w:tcW w:w="440" w:type="pct"/>
          </w:tcPr>
          <w:p w14:paraId="1AC8529A" w14:textId="77777777" w:rsidR="00B8254F" w:rsidRPr="00BF555E" w:rsidRDefault="00B8254F" w:rsidP="003155B0">
            <w:pPr>
              <w:pStyle w:val="Text1"/>
              <w:spacing w:before="0" w:after="0"/>
              <w:ind w:left="0"/>
              <w:rPr>
                <w:rFonts w:cs="Times New Roman"/>
                <w:noProof/>
                <w:sz w:val="18"/>
                <w:szCs w:val="18"/>
              </w:rPr>
            </w:pPr>
            <w:r w:rsidRPr="00BF555E">
              <w:rPr>
                <w:rFonts w:cs="Times New Roman"/>
                <w:noProof/>
                <w:sz w:val="18"/>
                <w:szCs w:val="18"/>
              </w:rPr>
              <w:t>1.1. prioritāte</w:t>
            </w:r>
          </w:p>
        </w:tc>
        <w:tc>
          <w:tcPr>
            <w:tcW w:w="398" w:type="pct"/>
          </w:tcPr>
          <w:p w14:paraId="1215953F" w14:textId="77777777" w:rsidR="00B8254F" w:rsidRPr="00BF555E" w:rsidRDefault="00B8254F" w:rsidP="003155B0">
            <w:pPr>
              <w:pStyle w:val="Text1"/>
              <w:spacing w:before="0" w:after="0"/>
              <w:ind w:left="0"/>
              <w:rPr>
                <w:rFonts w:cs="Times New Roman"/>
                <w:noProof/>
                <w:sz w:val="18"/>
                <w:szCs w:val="18"/>
              </w:rPr>
            </w:pPr>
            <w:r w:rsidRPr="00BF555E">
              <w:rPr>
                <w:rFonts w:eastAsia="Times New Roman" w:cs="Times New Roman"/>
                <w:sz w:val="18"/>
                <w:szCs w:val="18"/>
              </w:rPr>
              <w:t>1.1.1.SAM</w:t>
            </w:r>
          </w:p>
        </w:tc>
        <w:tc>
          <w:tcPr>
            <w:tcW w:w="289" w:type="pct"/>
          </w:tcPr>
          <w:p w14:paraId="610B474F" w14:textId="77777777" w:rsidR="00B8254F" w:rsidRPr="00BF555E" w:rsidRDefault="00B8254F" w:rsidP="003155B0">
            <w:pPr>
              <w:pStyle w:val="Text1"/>
              <w:spacing w:before="0" w:after="0"/>
              <w:ind w:left="0"/>
              <w:rPr>
                <w:rFonts w:cs="Times New Roman"/>
                <w:noProof/>
                <w:sz w:val="18"/>
                <w:szCs w:val="18"/>
              </w:rPr>
            </w:pPr>
            <w:r w:rsidRPr="00BF555E">
              <w:rPr>
                <w:rFonts w:cs="Times New Roman"/>
                <w:noProof/>
                <w:sz w:val="18"/>
                <w:szCs w:val="18"/>
              </w:rPr>
              <w:t>ERAF</w:t>
            </w:r>
          </w:p>
        </w:tc>
        <w:tc>
          <w:tcPr>
            <w:tcW w:w="345" w:type="pct"/>
          </w:tcPr>
          <w:p w14:paraId="08BB8F19" w14:textId="77777777" w:rsidR="00B8254F" w:rsidRPr="00BF555E" w:rsidRDefault="00B8254F" w:rsidP="003155B0">
            <w:pPr>
              <w:pStyle w:val="Text1"/>
              <w:spacing w:before="0" w:after="0"/>
              <w:ind w:left="0"/>
              <w:rPr>
                <w:rFonts w:cs="Times New Roman"/>
                <w:sz w:val="18"/>
                <w:szCs w:val="18"/>
              </w:rPr>
            </w:pPr>
            <w:r w:rsidRPr="00BF555E">
              <w:rPr>
                <w:rFonts w:cs="Times New Roman"/>
                <w:sz w:val="18"/>
                <w:szCs w:val="18"/>
              </w:rPr>
              <w:t>RCR 102</w:t>
            </w:r>
          </w:p>
        </w:tc>
        <w:tc>
          <w:tcPr>
            <w:tcW w:w="766" w:type="pct"/>
            <w:shd w:val="clear" w:color="auto" w:fill="auto"/>
          </w:tcPr>
          <w:p w14:paraId="1E6D6D0E" w14:textId="77777777" w:rsidR="00B8254F" w:rsidRPr="00BF555E" w:rsidRDefault="00B8254F" w:rsidP="003155B0">
            <w:pPr>
              <w:pStyle w:val="Default"/>
              <w:spacing w:after="0" w:line="240" w:lineRule="auto"/>
              <w:jc w:val="both"/>
              <w:rPr>
                <w:color w:val="auto"/>
                <w:sz w:val="18"/>
                <w:szCs w:val="18"/>
              </w:rPr>
            </w:pPr>
            <w:r w:rsidRPr="00BF555E">
              <w:rPr>
                <w:color w:val="auto"/>
                <w:sz w:val="18"/>
                <w:szCs w:val="18"/>
              </w:rPr>
              <w:t>Radīto pētniecības darbavietu skaits atbalstītajās vienībās</w:t>
            </w:r>
          </w:p>
        </w:tc>
        <w:tc>
          <w:tcPr>
            <w:tcW w:w="446" w:type="pct"/>
          </w:tcPr>
          <w:p w14:paraId="66FD63B0" w14:textId="77777777" w:rsidR="00B8254F" w:rsidRPr="00BF555E" w:rsidRDefault="00B8254F" w:rsidP="003155B0">
            <w:pPr>
              <w:pStyle w:val="Text1"/>
              <w:spacing w:before="0" w:after="0"/>
              <w:ind w:left="0"/>
              <w:rPr>
                <w:rFonts w:cs="Times New Roman"/>
                <w:noProof/>
                <w:sz w:val="18"/>
                <w:szCs w:val="18"/>
              </w:rPr>
            </w:pPr>
            <w:r w:rsidRPr="00BF555E">
              <w:rPr>
                <w:rFonts w:cs="Times New Roman"/>
                <w:sz w:val="18"/>
                <w:szCs w:val="18"/>
              </w:rPr>
              <w:t>Pētniecības darbavietu</w:t>
            </w:r>
            <w:r w:rsidRPr="00BF555E">
              <w:rPr>
                <w:rFonts w:cs="Times New Roman"/>
                <w:sz w:val="18"/>
                <w:szCs w:val="18"/>
                <w:shd w:val="clear" w:color="auto" w:fill="FFFFFF"/>
              </w:rPr>
              <w:t xml:space="preserve"> skaits atbalstītajās vienībās (pilnas slodzes ekvivalents)</w:t>
            </w:r>
          </w:p>
        </w:tc>
        <w:tc>
          <w:tcPr>
            <w:tcW w:w="360" w:type="pct"/>
          </w:tcPr>
          <w:p w14:paraId="21E63A38" w14:textId="77777777" w:rsidR="00B8254F" w:rsidRPr="00BF555E" w:rsidRDefault="00B8254F" w:rsidP="003155B0">
            <w:pPr>
              <w:pStyle w:val="Text1"/>
              <w:spacing w:before="0" w:after="0"/>
              <w:ind w:left="0"/>
              <w:jc w:val="left"/>
              <w:rPr>
                <w:rFonts w:cs="Times New Roman"/>
                <w:noProof/>
                <w:sz w:val="18"/>
                <w:szCs w:val="18"/>
              </w:rPr>
            </w:pPr>
            <w:r w:rsidRPr="00BF555E">
              <w:rPr>
                <w:rFonts w:cs="Times New Roman"/>
                <w:noProof/>
                <w:sz w:val="18"/>
                <w:szCs w:val="18"/>
              </w:rPr>
              <w:t xml:space="preserve"> 0</w:t>
            </w:r>
          </w:p>
        </w:tc>
        <w:tc>
          <w:tcPr>
            <w:tcW w:w="421" w:type="pct"/>
          </w:tcPr>
          <w:p w14:paraId="185443AC" w14:textId="77777777" w:rsidR="00B8254F" w:rsidRPr="00BF555E" w:rsidRDefault="00B8254F" w:rsidP="003155B0">
            <w:pPr>
              <w:pStyle w:val="Text1"/>
              <w:spacing w:before="0" w:after="0"/>
              <w:ind w:left="0"/>
              <w:jc w:val="left"/>
              <w:rPr>
                <w:rFonts w:cs="Times New Roman"/>
                <w:noProof/>
                <w:sz w:val="18"/>
                <w:szCs w:val="18"/>
              </w:rPr>
            </w:pPr>
            <w:r w:rsidRPr="00BF555E">
              <w:rPr>
                <w:rFonts w:cs="Times New Roman"/>
                <w:noProof/>
                <w:sz w:val="18"/>
                <w:szCs w:val="18"/>
              </w:rPr>
              <w:t>2020</w:t>
            </w:r>
          </w:p>
        </w:tc>
        <w:tc>
          <w:tcPr>
            <w:tcW w:w="478" w:type="pct"/>
            <w:shd w:val="clear" w:color="auto" w:fill="auto"/>
          </w:tcPr>
          <w:p w14:paraId="73B4E257" w14:textId="77777777" w:rsidR="00B8254F" w:rsidRPr="00BF555E" w:rsidRDefault="00B8254F" w:rsidP="003155B0">
            <w:pPr>
              <w:pStyle w:val="Text1"/>
              <w:spacing w:before="0" w:after="0"/>
              <w:ind w:left="0"/>
              <w:jc w:val="left"/>
              <w:rPr>
                <w:rFonts w:cs="Times New Roman"/>
                <w:noProof/>
                <w:sz w:val="18"/>
                <w:szCs w:val="18"/>
              </w:rPr>
            </w:pPr>
            <w:r w:rsidRPr="00BF555E">
              <w:rPr>
                <w:rFonts w:cs="Times New Roman"/>
                <w:noProof/>
                <w:sz w:val="18"/>
                <w:szCs w:val="18"/>
              </w:rPr>
              <w:t>89</w:t>
            </w:r>
          </w:p>
        </w:tc>
        <w:tc>
          <w:tcPr>
            <w:tcW w:w="567" w:type="pct"/>
            <w:shd w:val="clear" w:color="auto" w:fill="auto"/>
          </w:tcPr>
          <w:p w14:paraId="7D5C2108" w14:textId="77777777" w:rsidR="00B8254F" w:rsidRPr="00BF555E" w:rsidRDefault="00B8254F" w:rsidP="003155B0">
            <w:pPr>
              <w:pStyle w:val="Text1"/>
              <w:spacing w:before="0" w:after="0"/>
              <w:ind w:left="0"/>
              <w:jc w:val="left"/>
              <w:rPr>
                <w:rFonts w:cs="Times New Roman"/>
                <w:noProof/>
                <w:sz w:val="18"/>
                <w:szCs w:val="18"/>
              </w:rPr>
            </w:pPr>
            <w:r w:rsidRPr="00BF555E">
              <w:rPr>
                <w:rFonts w:cs="Times New Roman"/>
                <w:noProof/>
                <w:sz w:val="18"/>
                <w:szCs w:val="18"/>
              </w:rPr>
              <w:t xml:space="preserve"> Projektu dokumentācija</w:t>
            </w:r>
          </w:p>
        </w:tc>
        <w:tc>
          <w:tcPr>
            <w:tcW w:w="491" w:type="pct"/>
          </w:tcPr>
          <w:p w14:paraId="526C32CE" w14:textId="77777777" w:rsidR="00B8254F" w:rsidRPr="00BF555E" w:rsidRDefault="00B8254F" w:rsidP="003155B0">
            <w:pPr>
              <w:spacing w:before="0" w:after="0"/>
              <w:jc w:val="left"/>
              <w:rPr>
                <w:noProof/>
                <w:sz w:val="18"/>
                <w:szCs w:val="18"/>
              </w:rPr>
            </w:pPr>
          </w:p>
        </w:tc>
      </w:tr>
      <w:tr w:rsidR="00B8254F" w:rsidRPr="00BF555E" w14:paraId="6673A049" w14:textId="77777777" w:rsidTr="00B471B0">
        <w:trPr>
          <w:trHeight w:val="286"/>
        </w:trPr>
        <w:tc>
          <w:tcPr>
            <w:tcW w:w="440" w:type="pct"/>
          </w:tcPr>
          <w:p w14:paraId="5F18C2CB" w14:textId="77777777" w:rsidR="00B8254F" w:rsidRPr="00BF555E" w:rsidRDefault="00B8254F" w:rsidP="003155B0">
            <w:pPr>
              <w:pStyle w:val="Text1"/>
              <w:spacing w:before="0" w:after="0"/>
              <w:ind w:left="0"/>
              <w:rPr>
                <w:rFonts w:cs="Times New Roman"/>
                <w:noProof/>
                <w:sz w:val="18"/>
                <w:szCs w:val="18"/>
              </w:rPr>
            </w:pPr>
            <w:r w:rsidRPr="00BF555E">
              <w:rPr>
                <w:rFonts w:cs="Times New Roman"/>
                <w:noProof/>
                <w:sz w:val="18"/>
                <w:szCs w:val="18"/>
              </w:rPr>
              <w:t>1.1. prioritāte</w:t>
            </w:r>
          </w:p>
          <w:p w14:paraId="53F5BD56" w14:textId="77777777" w:rsidR="00B8254F" w:rsidRPr="00BF555E" w:rsidRDefault="00B8254F" w:rsidP="003155B0">
            <w:pPr>
              <w:pStyle w:val="Text1"/>
              <w:spacing w:before="0" w:after="0"/>
              <w:ind w:left="0"/>
              <w:rPr>
                <w:rFonts w:cs="Times New Roman"/>
                <w:noProof/>
                <w:sz w:val="18"/>
                <w:szCs w:val="18"/>
              </w:rPr>
            </w:pPr>
          </w:p>
        </w:tc>
        <w:tc>
          <w:tcPr>
            <w:tcW w:w="398" w:type="pct"/>
          </w:tcPr>
          <w:p w14:paraId="156D730C" w14:textId="77777777" w:rsidR="00B8254F" w:rsidRPr="00BF555E" w:rsidRDefault="00B8254F" w:rsidP="003155B0">
            <w:pPr>
              <w:pStyle w:val="Text1"/>
              <w:spacing w:before="0" w:after="0"/>
              <w:ind w:left="0"/>
              <w:rPr>
                <w:rFonts w:eastAsia="Times New Roman" w:cs="Times New Roman"/>
                <w:sz w:val="18"/>
                <w:szCs w:val="18"/>
              </w:rPr>
            </w:pPr>
            <w:r w:rsidRPr="00BF555E">
              <w:rPr>
                <w:rFonts w:eastAsia="Times New Roman" w:cs="Times New Roman"/>
                <w:sz w:val="18"/>
                <w:szCs w:val="18"/>
              </w:rPr>
              <w:t>1.1.1.SAM</w:t>
            </w:r>
          </w:p>
          <w:p w14:paraId="22E34EEE" w14:textId="77777777" w:rsidR="00B8254F" w:rsidRPr="00BF555E" w:rsidRDefault="00B8254F" w:rsidP="003155B0">
            <w:pPr>
              <w:pStyle w:val="Text1"/>
              <w:spacing w:before="0" w:after="0"/>
              <w:ind w:left="0"/>
              <w:rPr>
                <w:rFonts w:cs="Times New Roman"/>
                <w:noProof/>
                <w:sz w:val="18"/>
                <w:szCs w:val="18"/>
              </w:rPr>
            </w:pPr>
          </w:p>
        </w:tc>
        <w:tc>
          <w:tcPr>
            <w:tcW w:w="289" w:type="pct"/>
          </w:tcPr>
          <w:p w14:paraId="0557C373" w14:textId="77777777" w:rsidR="00B8254F" w:rsidRPr="00BF555E" w:rsidRDefault="00B8254F" w:rsidP="003155B0">
            <w:pPr>
              <w:pStyle w:val="Text1"/>
              <w:spacing w:before="0" w:after="0"/>
              <w:ind w:left="0"/>
              <w:rPr>
                <w:rFonts w:cs="Times New Roman"/>
                <w:noProof/>
                <w:sz w:val="18"/>
                <w:szCs w:val="18"/>
              </w:rPr>
            </w:pPr>
            <w:r w:rsidRPr="00BF555E">
              <w:rPr>
                <w:rFonts w:cs="Times New Roman"/>
                <w:noProof/>
                <w:sz w:val="18"/>
                <w:szCs w:val="18"/>
              </w:rPr>
              <w:t>ERAF</w:t>
            </w:r>
          </w:p>
        </w:tc>
        <w:tc>
          <w:tcPr>
            <w:tcW w:w="345" w:type="pct"/>
          </w:tcPr>
          <w:p w14:paraId="12F1D518" w14:textId="77777777" w:rsidR="00B8254F" w:rsidRPr="00BF555E" w:rsidRDefault="00B8254F" w:rsidP="003155B0">
            <w:pPr>
              <w:pStyle w:val="Text1"/>
              <w:spacing w:before="0" w:after="0"/>
              <w:ind w:left="0"/>
              <w:rPr>
                <w:rFonts w:cs="Times New Roman"/>
                <w:noProof/>
                <w:sz w:val="18"/>
                <w:szCs w:val="18"/>
              </w:rPr>
            </w:pPr>
            <w:r w:rsidRPr="00BF555E">
              <w:rPr>
                <w:rFonts w:cs="Times New Roman"/>
                <w:sz w:val="18"/>
                <w:szCs w:val="18"/>
              </w:rPr>
              <w:t>RCR 02</w:t>
            </w:r>
          </w:p>
        </w:tc>
        <w:tc>
          <w:tcPr>
            <w:tcW w:w="766" w:type="pct"/>
            <w:shd w:val="clear" w:color="auto" w:fill="auto"/>
          </w:tcPr>
          <w:p w14:paraId="6288A3AD" w14:textId="77777777" w:rsidR="00B8254F" w:rsidRPr="00BF555E" w:rsidRDefault="00B8254F" w:rsidP="003155B0">
            <w:pPr>
              <w:pStyle w:val="Text1"/>
              <w:spacing w:before="0" w:after="0"/>
              <w:ind w:left="0"/>
              <w:rPr>
                <w:rFonts w:cs="Times New Roman"/>
                <w:noProof/>
                <w:sz w:val="18"/>
                <w:szCs w:val="18"/>
              </w:rPr>
            </w:pPr>
            <w:r w:rsidRPr="00BF555E">
              <w:rPr>
                <w:rFonts w:cs="Times New Roman"/>
                <w:sz w:val="18"/>
                <w:szCs w:val="18"/>
              </w:rPr>
              <w:t>Privātās investīcijas, kas piesaistītas  publiskajam atbalstam (tostarp granti un finanšu instrumenti)</w:t>
            </w:r>
          </w:p>
        </w:tc>
        <w:tc>
          <w:tcPr>
            <w:tcW w:w="446" w:type="pct"/>
          </w:tcPr>
          <w:p w14:paraId="2EFC1943" w14:textId="77777777" w:rsidR="00B8254F" w:rsidRPr="00BF555E" w:rsidRDefault="00B8254F" w:rsidP="003155B0">
            <w:pPr>
              <w:pStyle w:val="Text1"/>
              <w:spacing w:before="0" w:after="0"/>
              <w:ind w:left="0"/>
              <w:rPr>
                <w:rFonts w:cs="Times New Roman"/>
                <w:noProof/>
                <w:sz w:val="18"/>
                <w:szCs w:val="18"/>
              </w:rPr>
            </w:pPr>
            <w:r w:rsidRPr="007821FB">
              <w:rPr>
                <w:rFonts w:cs="Times New Roman"/>
                <w:i/>
                <w:iCs/>
                <w:noProof/>
                <w:sz w:val="18"/>
                <w:szCs w:val="18"/>
              </w:rPr>
              <w:t>euro</w:t>
            </w:r>
          </w:p>
        </w:tc>
        <w:tc>
          <w:tcPr>
            <w:tcW w:w="360" w:type="pct"/>
          </w:tcPr>
          <w:p w14:paraId="1861EB05" w14:textId="77777777" w:rsidR="00B8254F" w:rsidRPr="00BF555E" w:rsidRDefault="00B8254F" w:rsidP="003155B0">
            <w:pPr>
              <w:pStyle w:val="Text1"/>
              <w:spacing w:before="0" w:after="0"/>
              <w:ind w:left="0"/>
              <w:jc w:val="left"/>
              <w:rPr>
                <w:rFonts w:cs="Times New Roman"/>
                <w:noProof/>
                <w:sz w:val="18"/>
                <w:szCs w:val="18"/>
              </w:rPr>
            </w:pPr>
            <w:r w:rsidRPr="00BF555E">
              <w:rPr>
                <w:rFonts w:cs="Times New Roman"/>
                <w:noProof/>
                <w:sz w:val="18"/>
                <w:szCs w:val="18"/>
              </w:rPr>
              <w:t>0</w:t>
            </w:r>
          </w:p>
        </w:tc>
        <w:tc>
          <w:tcPr>
            <w:tcW w:w="421" w:type="pct"/>
          </w:tcPr>
          <w:p w14:paraId="7F81E3D2" w14:textId="77777777" w:rsidR="00B8254F" w:rsidRPr="00BF555E" w:rsidRDefault="00B8254F" w:rsidP="003155B0">
            <w:pPr>
              <w:pStyle w:val="Text1"/>
              <w:spacing w:before="0" w:after="0"/>
              <w:ind w:left="0"/>
              <w:jc w:val="left"/>
              <w:rPr>
                <w:rFonts w:cs="Times New Roman"/>
                <w:noProof/>
                <w:sz w:val="18"/>
                <w:szCs w:val="18"/>
              </w:rPr>
            </w:pPr>
            <w:r w:rsidRPr="00BF555E">
              <w:rPr>
                <w:rFonts w:cs="Times New Roman"/>
                <w:noProof/>
                <w:sz w:val="18"/>
                <w:szCs w:val="18"/>
              </w:rPr>
              <w:t>2020</w:t>
            </w:r>
          </w:p>
        </w:tc>
        <w:tc>
          <w:tcPr>
            <w:tcW w:w="478" w:type="pct"/>
            <w:shd w:val="clear" w:color="auto" w:fill="auto"/>
          </w:tcPr>
          <w:p w14:paraId="350DFAA8" w14:textId="77777777" w:rsidR="00B8254F" w:rsidRPr="00BF555E" w:rsidRDefault="00B8254F" w:rsidP="003155B0">
            <w:pPr>
              <w:pStyle w:val="Text1"/>
              <w:spacing w:before="0" w:after="0"/>
              <w:ind w:left="0"/>
              <w:jc w:val="left"/>
              <w:rPr>
                <w:rFonts w:cs="Times New Roman"/>
                <w:noProof/>
                <w:sz w:val="18"/>
                <w:szCs w:val="18"/>
              </w:rPr>
            </w:pPr>
            <w:r>
              <w:rPr>
                <w:rFonts w:cs="Times New Roman"/>
                <w:noProof/>
                <w:sz w:val="18"/>
                <w:szCs w:val="18"/>
              </w:rPr>
              <w:t xml:space="preserve">3 387 750 </w:t>
            </w:r>
          </w:p>
          <w:p w14:paraId="7455D32C" w14:textId="77777777" w:rsidR="00B8254F" w:rsidRPr="00BF555E" w:rsidRDefault="00B8254F" w:rsidP="003155B0">
            <w:pPr>
              <w:pStyle w:val="Text1"/>
              <w:spacing w:before="0" w:after="0"/>
              <w:ind w:left="0"/>
              <w:jc w:val="left"/>
              <w:rPr>
                <w:rFonts w:cs="Times New Roman"/>
                <w:noProof/>
                <w:sz w:val="18"/>
                <w:szCs w:val="18"/>
              </w:rPr>
            </w:pPr>
          </w:p>
        </w:tc>
        <w:tc>
          <w:tcPr>
            <w:tcW w:w="567" w:type="pct"/>
            <w:shd w:val="clear" w:color="auto" w:fill="auto"/>
          </w:tcPr>
          <w:p w14:paraId="1B933E84" w14:textId="77777777" w:rsidR="00B8254F" w:rsidRPr="00BF555E" w:rsidRDefault="00B8254F" w:rsidP="003155B0">
            <w:pPr>
              <w:pStyle w:val="Text1"/>
              <w:spacing w:before="0" w:after="0"/>
              <w:ind w:left="0"/>
              <w:jc w:val="left"/>
              <w:rPr>
                <w:rFonts w:cs="Times New Roman"/>
                <w:noProof/>
                <w:sz w:val="18"/>
                <w:szCs w:val="18"/>
              </w:rPr>
            </w:pPr>
            <w:r w:rsidRPr="00BF555E">
              <w:rPr>
                <w:rFonts w:cs="Times New Roman"/>
                <w:noProof/>
                <w:sz w:val="18"/>
                <w:szCs w:val="18"/>
              </w:rPr>
              <w:t>Projektu dokumentācija</w:t>
            </w:r>
          </w:p>
        </w:tc>
        <w:tc>
          <w:tcPr>
            <w:tcW w:w="491" w:type="pct"/>
          </w:tcPr>
          <w:p w14:paraId="7AD2076B" w14:textId="77777777" w:rsidR="00B8254F" w:rsidRPr="00BF555E" w:rsidRDefault="00B8254F" w:rsidP="003155B0">
            <w:pPr>
              <w:spacing w:before="0" w:after="0"/>
              <w:jc w:val="left"/>
              <w:rPr>
                <w:noProof/>
                <w:sz w:val="18"/>
                <w:szCs w:val="18"/>
              </w:rPr>
            </w:pPr>
          </w:p>
        </w:tc>
      </w:tr>
      <w:tr w:rsidR="00B8254F" w:rsidRPr="00BF555E" w14:paraId="355B0771" w14:textId="77777777" w:rsidTr="00B471B0">
        <w:trPr>
          <w:trHeight w:val="286"/>
        </w:trPr>
        <w:tc>
          <w:tcPr>
            <w:tcW w:w="440" w:type="pct"/>
          </w:tcPr>
          <w:p w14:paraId="7CD8F9A4" w14:textId="77777777" w:rsidR="00B8254F" w:rsidRPr="00BF555E" w:rsidRDefault="00B8254F" w:rsidP="003155B0">
            <w:pPr>
              <w:pStyle w:val="Text1"/>
              <w:spacing w:before="0" w:after="0"/>
              <w:ind w:left="0"/>
              <w:rPr>
                <w:rFonts w:cs="Times New Roman"/>
                <w:noProof/>
                <w:sz w:val="18"/>
                <w:szCs w:val="18"/>
              </w:rPr>
            </w:pPr>
            <w:r w:rsidRPr="00BF555E">
              <w:rPr>
                <w:rFonts w:cs="Times New Roman"/>
                <w:noProof/>
                <w:sz w:val="18"/>
                <w:szCs w:val="18"/>
              </w:rPr>
              <w:t>1.1. prioritāte</w:t>
            </w:r>
          </w:p>
        </w:tc>
        <w:tc>
          <w:tcPr>
            <w:tcW w:w="398" w:type="pct"/>
          </w:tcPr>
          <w:p w14:paraId="2AEE02B6" w14:textId="77777777" w:rsidR="00B8254F" w:rsidRPr="00BF555E" w:rsidRDefault="00B8254F" w:rsidP="003155B0">
            <w:pPr>
              <w:pStyle w:val="Text1"/>
              <w:spacing w:before="0" w:after="0"/>
              <w:ind w:left="0"/>
              <w:rPr>
                <w:rFonts w:eastAsia="Times New Roman" w:cs="Times New Roman"/>
                <w:sz w:val="18"/>
                <w:szCs w:val="18"/>
              </w:rPr>
            </w:pPr>
            <w:r w:rsidRPr="00BF555E">
              <w:rPr>
                <w:rFonts w:eastAsia="Times New Roman" w:cs="Times New Roman"/>
                <w:sz w:val="18"/>
                <w:szCs w:val="18"/>
              </w:rPr>
              <w:t>1.1.2.SAM</w:t>
            </w:r>
          </w:p>
        </w:tc>
        <w:tc>
          <w:tcPr>
            <w:tcW w:w="289" w:type="pct"/>
          </w:tcPr>
          <w:p w14:paraId="07EADCF5" w14:textId="77777777" w:rsidR="00B8254F" w:rsidRPr="00BF555E" w:rsidRDefault="00B8254F" w:rsidP="003155B0">
            <w:pPr>
              <w:pStyle w:val="Text1"/>
              <w:spacing w:before="0" w:after="0"/>
              <w:ind w:left="0"/>
              <w:rPr>
                <w:rFonts w:cs="Times New Roman"/>
                <w:noProof/>
                <w:sz w:val="18"/>
                <w:szCs w:val="18"/>
              </w:rPr>
            </w:pPr>
            <w:r w:rsidRPr="00BF555E">
              <w:rPr>
                <w:rFonts w:cs="Times New Roman"/>
                <w:noProof/>
                <w:sz w:val="18"/>
                <w:szCs w:val="18"/>
              </w:rPr>
              <w:t>ERAF</w:t>
            </w:r>
          </w:p>
        </w:tc>
        <w:tc>
          <w:tcPr>
            <w:tcW w:w="345" w:type="pct"/>
          </w:tcPr>
          <w:p w14:paraId="582B5880" w14:textId="77777777" w:rsidR="00B8254F" w:rsidRPr="00BF555E" w:rsidRDefault="00B8254F" w:rsidP="003155B0">
            <w:pPr>
              <w:pStyle w:val="Text1"/>
              <w:spacing w:before="0" w:after="0"/>
              <w:ind w:left="0"/>
              <w:rPr>
                <w:rFonts w:cs="Times New Roman"/>
                <w:sz w:val="18"/>
                <w:szCs w:val="18"/>
              </w:rPr>
            </w:pPr>
            <w:r w:rsidRPr="00BF555E">
              <w:rPr>
                <w:rFonts w:cs="Times New Roman"/>
                <w:sz w:val="18"/>
                <w:szCs w:val="18"/>
              </w:rPr>
              <w:t>RCR 02</w:t>
            </w:r>
          </w:p>
        </w:tc>
        <w:tc>
          <w:tcPr>
            <w:tcW w:w="766" w:type="pct"/>
            <w:shd w:val="clear" w:color="auto" w:fill="auto"/>
          </w:tcPr>
          <w:p w14:paraId="11EF1ADE" w14:textId="77777777" w:rsidR="00B8254F" w:rsidRPr="00BF555E" w:rsidRDefault="00B8254F" w:rsidP="003155B0">
            <w:pPr>
              <w:pStyle w:val="Text1"/>
              <w:spacing w:before="0" w:after="0"/>
              <w:ind w:left="0"/>
              <w:rPr>
                <w:rFonts w:cs="Times New Roman"/>
                <w:sz w:val="18"/>
                <w:szCs w:val="18"/>
              </w:rPr>
            </w:pPr>
            <w:r w:rsidRPr="00BF555E">
              <w:rPr>
                <w:rFonts w:cs="Times New Roman"/>
                <w:sz w:val="18"/>
                <w:szCs w:val="18"/>
              </w:rPr>
              <w:t>Privātās investīcijas, kas piesaistītas  publiskajam atbalstam (tostarp granti un finanšu instrumenti)</w:t>
            </w:r>
          </w:p>
        </w:tc>
        <w:tc>
          <w:tcPr>
            <w:tcW w:w="446" w:type="pct"/>
          </w:tcPr>
          <w:p w14:paraId="1CE66D80" w14:textId="77777777" w:rsidR="00B8254F" w:rsidRPr="00BF555E" w:rsidRDefault="00B8254F" w:rsidP="003155B0">
            <w:pPr>
              <w:pStyle w:val="Text1"/>
              <w:spacing w:before="0" w:after="0"/>
              <w:ind w:left="0"/>
              <w:rPr>
                <w:rFonts w:cs="Times New Roman"/>
                <w:noProof/>
                <w:sz w:val="18"/>
                <w:szCs w:val="18"/>
              </w:rPr>
            </w:pPr>
            <w:r w:rsidRPr="007821FB">
              <w:rPr>
                <w:rFonts w:cs="Times New Roman"/>
                <w:i/>
                <w:iCs/>
                <w:noProof/>
                <w:sz w:val="18"/>
                <w:szCs w:val="18"/>
              </w:rPr>
              <w:t>euro</w:t>
            </w:r>
          </w:p>
        </w:tc>
        <w:tc>
          <w:tcPr>
            <w:tcW w:w="360" w:type="pct"/>
          </w:tcPr>
          <w:p w14:paraId="4F03797A" w14:textId="77777777" w:rsidR="00B8254F" w:rsidRPr="00BF555E" w:rsidRDefault="00B8254F" w:rsidP="003155B0">
            <w:pPr>
              <w:pStyle w:val="Text1"/>
              <w:spacing w:before="0" w:after="0"/>
              <w:ind w:left="0"/>
              <w:jc w:val="left"/>
              <w:rPr>
                <w:rFonts w:cs="Times New Roman"/>
                <w:noProof/>
                <w:sz w:val="18"/>
                <w:szCs w:val="18"/>
              </w:rPr>
            </w:pPr>
            <w:r w:rsidRPr="00BF555E">
              <w:rPr>
                <w:rFonts w:cs="Times New Roman"/>
                <w:noProof/>
                <w:sz w:val="18"/>
                <w:szCs w:val="18"/>
              </w:rPr>
              <w:t>0</w:t>
            </w:r>
          </w:p>
        </w:tc>
        <w:tc>
          <w:tcPr>
            <w:tcW w:w="421" w:type="pct"/>
          </w:tcPr>
          <w:p w14:paraId="53581D14" w14:textId="77777777" w:rsidR="00B8254F" w:rsidRPr="00BF555E" w:rsidRDefault="00B8254F" w:rsidP="003155B0">
            <w:pPr>
              <w:pStyle w:val="Text1"/>
              <w:spacing w:before="0" w:after="0"/>
              <w:ind w:left="0"/>
              <w:jc w:val="left"/>
              <w:rPr>
                <w:rFonts w:cs="Times New Roman"/>
                <w:noProof/>
                <w:sz w:val="18"/>
                <w:szCs w:val="18"/>
              </w:rPr>
            </w:pPr>
            <w:r w:rsidRPr="00BF555E">
              <w:rPr>
                <w:rFonts w:cs="Times New Roman"/>
                <w:noProof/>
                <w:sz w:val="18"/>
                <w:szCs w:val="18"/>
              </w:rPr>
              <w:t>IZM: 2020</w:t>
            </w:r>
          </w:p>
        </w:tc>
        <w:tc>
          <w:tcPr>
            <w:tcW w:w="478" w:type="pct"/>
            <w:shd w:val="clear" w:color="auto" w:fill="auto"/>
          </w:tcPr>
          <w:p w14:paraId="76606759" w14:textId="77777777" w:rsidR="00B8254F" w:rsidRDefault="00B8254F" w:rsidP="003155B0">
            <w:pPr>
              <w:pStyle w:val="Text1"/>
              <w:spacing w:before="0" w:after="0"/>
              <w:ind w:left="0"/>
              <w:jc w:val="left"/>
              <w:rPr>
                <w:rFonts w:cs="Times New Roman"/>
                <w:noProof/>
                <w:sz w:val="18"/>
                <w:szCs w:val="18"/>
              </w:rPr>
            </w:pPr>
            <w:r w:rsidRPr="00BF555E">
              <w:rPr>
                <w:rFonts w:cs="Times New Roman"/>
                <w:noProof/>
                <w:sz w:val="18"/>
                <w:szCs w:val="18"/>
              </w:rPr>
              <w:t xml:space="preserve">1.1.2.SAM: </w:t>
            </w:r>
          </w:p>
          <w:p w14:paraId="6B69AE6D" w14:textId="77777777" w:rsidR="00B8254F" w:rsidRPr="00BF555E" w:rsidRDefault="00B8254F" w:rsidP="003155B0">
            <w:pPr>
              <w:pStyle w:val="Text1"/>
              <w:spacing w:before="0" w:after="0"/>
              <w:ind w:left="0"/>
              <w:jc w:val="left"/>
              <w:rPr>
                <w:rFonts w:cs="Times New Roman"/>
                <w:noProof/>
                <w:sz w:val="18"/>
                <w:szCs w:val="18"/>
              </w:rPr>
            </w:pPr>
            <w:r w:rsidRPr="00BF555E">
              <w:rPr>
                <w:rFonts w:cs="Times New Roman"/>
                <w:noProof/>
                <w:sz w:val="18"/>
                <w:szCs w:val="18"/>
              </w:rPr>
              <w:t>2 200 000</w:t>
            </w:r>
          </w:p>
        </w:tc>
        <w:tc>
          <w:tcPr>
            <w:tcW w:w="567" w:type="pct"/>
            <w:shd w:val="clear" w:color="auto" w:fill="auto"/>
          </w:tcPr>
          <w:p w14:paraId="5055776B" w14:textId="77777777" w:rsidR="00B8254F" w:rsidRPr="00BF555E" w:rsidRDefault="00B8254F" w:rsidP="003155B0">
            <w:pPr>
              <w:pStyle w:val="Text1"/>
              <w:spacing w:before="0" w:after="0"/>
              <w:ind w:left="0"/>
              <w:jc w:val="left"/>
              <w:rPr>
                <w:rFonts w:cs="Times New Roman"/>
                <w:noProof/>
                <w:sz w:val="18"/>
                <w:szCs w:val="18"/>
              </w:rPr>
            </w:pPr>
            <w:r w:rsidRPr="00BF555E">
              <w:rPr>
                <w:rFonts w:cs="Times New Roman"/>
                <w:noProof/>
                <w:sz w:val="18"/>
                <w:szCs w:val="18"/>
              </w:rPr>
              <w:t>Projektu dokumentācija</w:t>
            </w:r>
          </w:p>
        </w:tc>
        <w:tc>
          <w:tcPr>
            <w:tcW w:w="491" w:type="pct"/>
          </w:tcPr>
          <w:p w14:paraId="79D32C65" w14:textId="77777777" w:rsidR="00B8254F" w:rsidRPr="00BF555E" w:rsidRDefault="00B8254F" w:rsidP="003155B0">
            <w:pPr>
              <w:spacing w:before="0" w:after="0"/>
              <w:jc w:val="left"/>
              <w:rPr>
                <w:noProof/>
                <w:sz w:val="18"/>
                <w:szCs w:val="18"/>
              </w:rPr>
            </w:pPr>
          </w:p>
        </w:tc>
      </w:tr>
      <w:tr w:rsidR="00B8254F" w:rsidRPr="00BF555E" w14:paraId="0A478E27" w14:textId="77777777" w:rsidTr="00B471B0">
        <w:trPr>
          <w:trHeight w:val="286"/>
        </w:trPr>
        <w:tc>
          <w:tcPr>
            <w:tcW w:w="440" w:type="pct"/>
          </w:tcPr>
          <w:p w14:paraId="0039517F" w14:textId="77777777" w:rsidR="00B8254F" w:rsidRPr="00BF555E" w:rsidRDefault="00B8254F" w:rsidP="003155B0">
            <w:pPr>
              <w:pStyle w:val="Text1"/>
              <w:spacing w:before="0" w:after="0"/>
              <w:ind w:left="0"/>
              <w:rPr>
                <w:rFonts w:cs="Times New Roman"/>
                <w:noProof/>
                <w:sz w:val="18"/>
                <w:szCs w:val="18"/>
              </w:rPr>
            </w:pPr>
            <w:r w:rsidRPr="00BF555E">
              <w:rPr>
                <w:rFonts w:cs="Times New Roman"/>
                <w:noProof/>
                <w:sz w:val="18"/>
                <w:szCs w:val="18"/>
              </w:rPr>
              <w:t>1.2. prioritāte</w:t>
            </w:r>
          </w:p>
        </w:tc>
        <w:tc>
          <w:tcPr>
            <w:tcW w:w="398" w:type="pct"/>
          </w:tcPr>
          <w:p w14:paraId="31F827A4" w14:textId="77777777" w:rsidR="00B8254F" w:rsidRPr="00BF555E" w:rsidRDefault="00B8254F" w:rsidP="003155B0">
            <w:pPr>
              <w:pStyle w:val="Text1"/>
              <w:spacing w:before="0" w:after="0"/>
              <w:ind w:left="0"/>
              <w:rPr>
                <w:rFonts w:eastAsia="Times New Roman" w:cs="Times New Roman"/>
                <w:sz w:val="18"/>
                <w:szCs w:val="18"/>
              </w:rPr>
            </w:pPr>
            <w:r w:rsidRPr="00BF555E">
              <w:rPr>
                <w:rFonts w:eastAsia="Times New Roman" w:cs="Times New Roman"/>
                <w:sz w:val="18"/>
                <w:szCs w:val="18"/>
              </w:rPr>
              <w:t>1.2.1. SAM</w:t>
            </w:r>
          </w:p>
        </w:tc>
        <w:tc>
          <w:tcPr>
            <w:tcW w:w="289" w:type="pct"/>
          </w:tcPr>
          <w:p w14:paraId="18158264" w14:textId="77777777" w:rsidR="00B8254F" w:rsidRPr="00BF555E" w:rsidRDefault="00B8254F" w:rsidP="003155B0">
            <w:pPr>
              <w:pStyle w:val="Text1"/>
              <w:spacing w:before="0" w:after="0"/>
              <w:ind w:left="0"/>
              <w:rPr>
                <w:rFonts w:cs="Times New Roman"/>
                <w:noProof/>
                <w:sz w:val="18"/>
                <w:szCs w:val="18"/>
              </w:rPr>
            </w:pPr>
            <w:r w:rsidRPr="00BF555E">
              <w:rPr>
                <w:rFonts w:cs="Times New Roman"/>
                <w:noProof/>
                <w:sz w:val="18"/>
                <w:szCs w:val="18"/>
              </w:rPr>
              <w:t>ERAF</w:t>
            </w:r>
          </w:p>
        </w:tc>
        <w:tc>
          <w:tcPr>
            <w:tcW w:w="345" w:type="pct"/>
          </w:tcPr>
          <w:p w14:paraId="0C3806F4" w14:textId="77777777" w:rsidR="00B8254F" w:rsidRPr="00BF555E" w:rsidRDefault="00B8254F" w:rsidP="003155B0">
            <w:pPr>
              <w:pStyle w:val="Text1"/>
              <w:spacing w:before="0" w:after="0"/>
              <w:ind w:left="0"/>
              <w:rPr>
                <w:rFonts w:cs="Times New Roman"/>
                <w:sz w:val="18"/>
                <w:szCs w:val="18"/>
              </w:rPr>
            </w:pPr>
            <w:r w:rsidRPr="00BF555E">
              <w:rPr>
                <w:rFonts w:cs="Times New Roman"/>
                <w:sz w:val="18"/>
                <w:szCs w:val="18"/>
              </w:rPr>
              <w:t>RCR 02</w:t>
            </w:r>
          </w:p>
        </w:tc>
        <w:tc>
          <w:tcPr>
            <w:tcW w:w="766" w:type="pct"/>
            <w:shd w:val="clear" w:color="auto" w:fill="auto"/>
          </w:tcPr>
          <w:p w14:paraId="5C6F8333" w14:textId="77777777" w:rsidR="00B8254F" w:rsidRPr="00BF555E" w:rsidRDefault="00B8254F" w:rsidP="003155B0">
            <w:pPr>
              <w:pStyle w:val="Text1"/>
              <w:spacing w:before="0" w:after="0"/>
              <w:ind w:left="0"/>
              <w:rPr>
                <w:rFonts w:cs="Times New Roman"/>
                <w:sz w:val="18"/>
                <w:szCs w:val="18"/>
              </w:rPr>
            </w:pPr>
            <w:r w:rsidRPr="00BF555E">
              <w:rPr>
                <w:rFonts w:cs="Times New Roman"/>
                <w:sz w:val="18"/>
                <w:szCs w:val="18"/>
              </w:rPr>
              <w:t>Privātās investīcijas, kas piesaistītas  publiskajam atbalstam (tostarp granti un finanšu instrumenti)</w:t>
            </w:r>
          </w:p>
        </w:tc>
        <w:tc>
          <w:tcPr>
            <w:tcW w:w="446" w:type="pct"/>
          </w:tcPr>
          <w:p w14:paraId="3D091D16" w14:textId="77777777" w:rsidR="00B8254F" w:rsidRPr="00BF555E" w:rsidRDefault="00B8254F" w:rsidP="003155B0">
            <w:pPr>
              <w:pStyle w:val="Text1"/>
              <w:spacing w:before="0" w:after="0"/>
              <w:ind w:left="0"/>
              <w:rPr>
                <w:rFonts w:cs="Times New Roman"/>
                <w:noProof/>
                <w:sz w:val="18"/>
                <w:szCs w:val="18"/>
              </w:rPr>
            </w:pPr>
            <w:r w:rsidRPr="005C6273">
              <w:rPr>
                <w:rFonts w:cs="Times New Roman"/>
                <w:i/>
                <w:iCs/>
                <w:noProof/>
                <w:sz w:val="18"/>
                <w:szCs w:val="18"/>
              </w:rPr>
              <w:t>euro</w:t>
            </w:r>
          </w:p>
        </w:tc>
        <w:tc>
          <w:tcPr>
            <w:tcW w:w="360" w:type="pct"/>
          </w:tcPr>
          <w:p w14:paraId="21AD9B80" w14:textId="77777777" w:rsidR="00B8254F" w:rsidRPr="00BF555E" w:rsidRDefault="00B8254F" w:rsidP="003155B0">
            <w:pPr>
              <w:pStyle w:val="Text1"/>
              <w:spacing w:before="0" w:after="0"/>
              <w:ind w:left="0"/>
              <w:jc w:val="left"/>
              <w:rPr>
                <w:rFonts w:cs="Times New Roman"/>
                <w:noProof/>
                <w:sz w:val="18"/>
                <w:szCs w:val="18"/>
              </w:rPr>
            </w:pPr>
            <w:r w:rsidRPr="00BF555E">
              <w:rPr>
                <w:rFonts w:cs="Times New Roman"/>
                <w:noProof/>
                <w:sz w:val="18"/>
                <w:szCs w:val="18"/>
              </w:rPr>
              <w:t>0</w:t>
            </w:r>
          </w:p>
        </w:tc>
        <w:tc>
          <w:tcPr>
            <w:tcW w:w="421" w:type="pct"/>
          </w:tcPr>
          <w:p w14:paraId="1C33546B" w14:textId="77777777" w:rsidR="00B8254F" w:rsidRPr="00BF555E" w:rsidRDefault="00B8254F" w:rsidP="003155B0">
            <w:pPr>
              <w:pStyle w:val="Text1"/>
              <w:spacing w:before="0" w:after="0"/>
              <w:ind w:left="0"/>
              <w:jc w:val="left"/>
              <w:rPr>
                <w:rFonts w:cs="Times New Roman"/>
                <w:noProof/>
                <w:sz w:val="18"/>
                <w:szCs w:val="18"/>
              </w:rPr>
            </w:pPr>
            <w:r w:rsidRPr="00BF555E">
              <w:rPr>
                <w:rFonts w:cs="Times New Roman"/>
                <w:noProof/>
                <w:sz w:val="18"/>
                <w:szCs w:val="18"/>
              </w:rPr>
              <w:t>2020</w:t>
            </w:r>
          </w:p>
        </w:tc>
        <w:tc>
          <w:tcPr>
            <w:tcW w:w="478" w:type="pct"/>
            <w:shd w:val="clear" w:color="auto" w:fill="auto"/>
          </w:tcPr>
          <w:p w14:paraId="783A5B51" w14:textId="77777777" w:rsidR="00B8254F" w:rsidRPr="00BF555E" w:rsidRDefault="00B8254F" w:rsidP="003155B0">
            <w:pPr>
              <w:pStyle w:val="Text1"/>
              <w:spacing w:before="0" w:after="0"/>
              <w:ind w:left="0"/>
              <w:jc w:val="left"/>
              <w:rPr>
                <w:rFonts w:cs="Times New Roman"/>
                <w:noProof/>
                <w:sz w:val="18"/>
                <w:szCs w:val="18"/>
              </w:rPr>
            </w:pPr>
            <w:r>
              <w:rPr>
                <w:rFonts w:cs="Times New Roman"/>
                <w:noProof/>
                <w:sz w:val="18"/>
                <w:szCs w:val="18"/>
              </w:rPr>
              <w:t>91 905 843</w:t>
            </w:r>
            <w:r w:rsidRPr="00BF555E">
              <w:rPr>
                <w:rFonts w:cs="Times New Roman"/>
                <w:noProof/>
                <w:sz w:val="18"/>
                <w:szCs w:val="18"/>
              </w:rPr>
              <w:t xml:space="preserve"> </w:t>
            </w:r>
          </w:p>
        </w:tc>
        <w:tc>
          <w:tcPr>
            <w:tcW w:w="567" w:type="pct"/>
            <w:shd w:val="clear" w:color="auto" w:fill="auto"/>
          </w:tcPr>
          <w:p w14:paraId="71CE3972" w14:textId="77777777" w:rsidR="00B8254F" w:rsidRPr="00BF555E" w:rsidRDefault="00B8254F" w:rsidP="003155B0">
            <w:pPr>
              <w:pStyle w:val="Text1"/>
              <w:spacing w:before="0" w:after="0"/>
              <w:ind w:left="0"/>
              <w:jc w:val="left"/>
              <w:rPr>
                <w:rFonts w:cs="Times New Roman"/>
                <w:noProof/>
                <w:sz w:val="18"/>
                <w:szCs w:val="18"/>
              </w:rPr>
            </w:pPr>
            <w:r w:rsidRPr="00BF555E">
              <w:rPr>
                <w:rFonts w:cs="Times New Roman"/>
                <w:noProof/>
                <w:sz w:val="18"/>
                <w:szCs w:val="18"/>
              </w:rPr>
              <w:t>Projektu dokumentācija</w:t>
            </w:r>
          </w:p>
        </w:tc>
        <w:tc>
          <w:tcPr>
            <w:tcW w:w="491" w:type="pct"/>
          </w:tcPr>
          <w:p w14:paraId="0F7EB08B" w14:textId="77777777" w:rsidR="00B8254F" w:rsidRPr="00BF555E" w:rsidRDefault="00B8254F" w:rsidP="003155B0">
            <w:pPr>
              <w:spacing w:before="0" w:after="0"/>
              <w:jc w:val="left"/>
              <w:rPr>
                <w:noProof/>
                <w:sz w:val="18"/>
                <w:szCs w:val="18"/>
              </w:rPr>
            </w:pPr>
          </w:p>
        </w:tc>
      </w:tr>
      <w:tr w:rsidR="00B8254F" w:rsidRPr="00BF555E" w14:paraId="753588C1" w14:textId="77777777" w:rsidTr="00B471B0">
        <w:trPr>
          <w:trHeight w:val="286"/>
        </w:trPr>
        <w:tc>
          <w:tcPr>
            <w:tcW w:w="440" w:type="pct"/>
          </w:tcPr>
          <w:p w14:paraId="762536D8" w14:textId="77777777" w:rsidR="00B8254F" w:rsidRPr="00BF555E" w:rsidRDefault="00B8254F" w:rsidP="003155B0">
            <w:pPr>
              <w:pStyle w:val="Text1"/>
              <w:spacing w:before="0" w:after="0"/>
              <w:ind w:left="0"/>
              <w:rPr>
                <w:rFonts w:cs="Times New Roman"/>
                <w:noProof/>
                <w:sz w:val="18"/>
                <w:szCs w:val="18"/>
              </w:rPr>
            </w:pPr>
            <w:r w:rsidRPr="00BF555E">
              <w:rPr>
                <w:rFonts w:cs="Times New Roman"/>
                <w:noProof/>
                <w:sz w:val="18"/>
                <w:szCs w:val="18"/>
              </w:rPr>
              <w:t>1.2. prioritāte</w:t>
            </w:r>
          </w:p>
        </w:tc>
        <w:tc>
          <w:tcPr>
            <w:tcW w:w="398" w:type="pct"/>
          </w:tcPr>
          <w:p w14:paraId="0CB60404" w14:textId="77777777" w:rsidR="00B8254F" w:rsidRPr="00BF555E" w:rsidRDefault="00B8254F" w:rsidP="003155B0">
            <w:pPr>
              <w:pStyle w:val="Text1"/>
              <w:spacing w:before="0" w:after="0"/>
              <w:ind w:left="0"/>
              <w:rPr>
                <w:rFonts w:eastAsia="Times New Roman" w:cs="Times New Roman"/>
                <w:sz w:val="18"/>
                <w:szCs w:val="18"/>
              </w:rPr>
            </w:pPr>
            <w:r w:rsidRPr="00BF555E">
              <w:rPr>
                <w:rFonts w:eastAsia="Times New Roman" w:cs="Times New Roman"/>
                <w:sz w:val="18"/>
                <w:szCs w:val="18"/>
              </w:rPr>
              <w:t>1.2.2. SAM</w:t>
            </w:r>
          </w:p>
        </w:tc>
        <w:tc>
          <w:tcPr>
            <w:tcW w:w="289" w:type="pct"/>
          </w:tcPr>
          <w:p w14:paraId="3DC4D78F" w14:textId="77777777" w:rsidR="00B8254F" w:rsidRPr="00BF555E" w:rsidRDefault="00B8254F" w:rsidP="003155B0">
            <w:pPr>
              <w:pStyle w:val="Text1"/>
              <w:spacing w:before="0" w:after="0"/>
              <w:ind w:left="0"/>
              <w:rPr>
                <w:rFonts w:cs="Times New Roman"/>
                <w:noProof/>
                <w:sz w:val="18"/>
                <w:szCs w:val="18"/>
              </w:rPr>
            </w:pPr>
            <w:r w:rsidRPr="00BF555E">
              <w:rPr>
                <w:rFonts w:cs="Times New Roman"/>
                <w:noProof/>
                <w:sz w:val="18"/>
                <w:szCs w:val="18"/>
              </w:rPr>
              <w:t>ERAF</w:t>
            </w:r>
          </w:p>
        </w:tc>
        <w:tc>
          <w:tcPr>
            <w:tcW w:w="345" w:type="pct"/>
          </w:tcPr>
          <w:p w14:paraId="438E5514" w14:textId="77777777" w:rsidR="00B8254F" w:rsidRPr="00BF555E" w:rsidRDefault="00B8254F" w:rsidP="003155B0">
            <w:pPr>
              <w:pStyle w:val="Text1"/>
              <w:spacing w:before="0" w:after="0"/>
              <w:ind w:left="0"/>
              <w:rPr>
                <w:rFonts w:cs="Times New Roman"/>
                <w:sz w:val="18"/>
                <w:szCs w:val="18"/>
              </w:rPr>
            </w:pPr>
            <w:r w:rsidRPr="00BF555E">
              <w:rPr>
                <w:rFonts w:cs="Times New Roman"/>
                <w:sz w:val="18"/>
                <w:szCs w:val="18"/>
              </w:rPr>
              <w:t>RCR 02</w:t>
            </w:r>
          </w:p>
        </w:tc>
        <w:tc>
          <w:tcPr>
            <w:tcW w:w="766" w:type="pct"/>
            <w:shd w:val="clear" w:color="auto" w:fill="auto"/>
          </w:tcPr>
          <w:p w14:paraId="4662A8B9" w14:textId="77777777" w:rsidR="00B8254F" w:rsidRPr="00BF555E" w:rsidRDefault="00B8254F" w:rsidP="003155B0">
            <w:pPr>
              <w:pStyle w:val="Text1"/>
              <w:spacing w:before="0" w:after="0"/>
              <w:ind w:left="0"/>
              <w:rPr>
                <w:rFonts w:cs="Times New Roman"/>
                <w:sz w:val="18"/>
                <w:szCs w:val="18"/>
              </w:rPr>
            </w:pPr>
            <w:r w:rsidRPr="00BF555E">
              <w:rPr>
                <w:rFonts w:cs="Times New Roman"/>
                <w:sz w:val="18"/>
                <w:szCs w:val="18"/>
              </w:rPr>
              <w:t>Privātās investīcijas, kas piesaistītas  publiskajam atbalstam (tostarp granti un finanšu instrumenti)</w:t>
            </w:r>
          </w:p>
        </w:tc>
        <w:tc>
          <w:tcPr>
            <w:tcW w:w="446" w:type="pct"/>
          </w:tcPr>
          <w:p w14:paraId="51EF8D7C" w14:textId="77777777" w:rsidR="00B8254F" w:rsidRPr="00BF555E" w:rsidRDefault="00B8254F" w:rsidP="003155B0">
            <w:pPr>
              <w:pStyle w:val="Text1"/>
              <w:spacing w:before="0" w:after="0"/>
              <w:ind w:left="0"/>
              <w:rPr>
                <w:rFonts w:cs="Times New Roman"/>
                <w:noProof/>
                <w:sz w:val="18"/>
                <w:szCs w:val="18"/>
              </w:rPr>
            </w:pPr>
            <w:r w:rsidRPr="005C6273">
              <w:rPr>
                <w:rFonts w:cs="Times New Roman"/>
                <w:i/>
                <w:iCs/>
                <w:noProof/>
                <w:sz w:val="18"/>
                <w:szCs w:val="18"/>
              </w:rPr>
              <w:t>euro</w:t>
            </w:r>
          </w:p>
        </w:tc>
        <w:tc>
          <w:tcPr>
            <w:tcW w:w="360" w:type="pct"/>
          </w:tcPr>
          <w:p w14:paraId="6E13A470" w14:textId="77777777" w:rsidR="00B8254F" w:rsidRPr="00BF555E" w:rsidRDefault="00B8254F" w:rsidP="003155B0">
            <w:pPr>
              <w:pStyle w:val="Text1"/>
              <w:spacing w:before="0" w:after="0"/>
              <w:ind w:left="0"/>
              <w:jc w:val="left"/>
              <w:rPr>
                <w:rFonts w:cs="Times New Roman"/>
                <w:noProof/>
                <w:sz w:val="18"/>
                <w:szCs w:val="18"/>
              </w:rPr>
            </w:pPr>
            <w:r w:rsidRPr="00BF555E">
              <w:rPr>
                <w:rFonts w:cs="Times New Roman"/>
                <w:noProof/>
                <w:sz w:val="18"/>
                <w:szCs w:val="18"/>
              </w:rPr>
              <w:t>0</w:t>
            </w:r>
          </w:p>
        </w:tc>
        <w:tc>
          <w:tcPr>
            <w:tcW w:w="421" w:type="pct"/>
          </w:tcPr>
          <w:p w14:paraId="02984717" w14:textId="77777777" w:rsidR="00B8254F" w:rsidRPr="00BF555E" w:rsidRDefault="00B8254F" w:rsidP="003155B0">
            <w:pPr>
              <w:pStyle w:val="Text1"/>
              <w:spacing w:before="0" w:after="0"/>
              <w:ind w:left="0"/>
              <w:jc w:val="left"/>
              <w:rPr>
                <w:rFonts w:cs="Times New Roman"/>
                <w:noProof/>
                <w:sz w:val="18"/>
                <w:szCs w:val="18"/>
              </w:rPr>
            </w:pPr>
            <w:r w:rsidRPr="00BF555E">
              <w:rPr>
                <w:rFonts w:cs="Times New Roman"/>
                <w:noProof/>
                <w:sz w:val="18"/>
                <w:szCs w:val="18"/>
              </w:rPr>
              <w:t>2020</w:t>
            </w:r>
          </w:p>
        </w:tc>
        <w:tc>
          <w:tcPr>
            <w:tcW w:w="478" w:type="pct"/>
            <w:shd w:val="clear" w:color="auto" w:fill="auto"/>
          </w:tcPr>
          <w:p w14:paraId="26EBEE23" w14:textId="77777777" w:rsidR="00B8254F" w:rsidRPr="00BF555E" w:rsidRDefault="00B8254F" w:rsidP="003155B0">
            <w:pPr>
              <w:pStyle w:val="Text1"/>
              <w:spacing w:before="0" w:after="0"/>
              <w:ind w:left="0"/>
              <w:jc w:val="left"/>
              <w:rPr>
                <w:rFonts w:cs="Times New Roman"/>
                <w:noProof/>
                <w:sz w:val="18"/>
                <w:szCs w:val="18"/>
              </w:rPr>
            </w:pPr>
            <w:r>
              <w:rPr>
                <w:rFonts w:cs="Times New Roman"/>
                <w:noProof/>
                <w:sz w:val="18"/>
                <w:szCs w:val="18"/>
              </w:rPr>
              <w:t xml:space="preserve">32 035 800 </w:t>
            </w:r>
          </w:p>
        </w:tc>
        <w:tc>
          <w:tcPr>
            <w:tcW w:w="567" w:type="pct"/>
            <w:shd w:val="clear" w:color="auto" w:fill="auto"/>
          </w:tcPr>
          <w:p w14:paraId="441B71B5" w14:textId="77777777" w:rsidR="00B8254F" w:rsidRPr="00BF555E" w:rsidRDefault="00B8254F" w:rsidP="003155B0">
            <w:pPr>
              <w:pStyle w:val="Text1"/>
              <w:spacing w:before="0" w:after="0"/>
              <w:ind w:left="0"/>
              <w:jc w:val="left"/>
              <w:rPr>
                <w:rFonts w:cs="Times New Roman"/>
                <w:noProof/>
                <w:sz w:val="18"/>
                <w:szCs w:val="18"/>
              </w:rPr>
            </w:pPr>
            <w:r w:rsidRPr="00BF555E">
              <w:rPr>
                <w:rFonts w:cs="Times New Roman"/>
                <w:noProof/>
                <w:sz w:val="18"/>
                <w:szCs w:val="18"/>
              </w:rPr>
              <w:t>Projektu dokumentācija</w:t>
            </w:r>
          </w:p>
        </w:tc>
        <w:tc>
          <w:tcPr>
            <w:tcW w:w="491" w:type="pct"/>
          </w:tcPr>
          <w:p w14:paraId="6BE6180D" w14:textId="77777777" w:rsidR="00B8254F" w:rsidRPr="00BF555E" w:rsidRDefault="00B8254F" w:rsidP="003155B0">
            <w:pPr>
              <w:spacing w:before="0" w:after="0"/>
              <w:jc w:val="left"/>
              <w:rPr>
                <w:noProof/>
                <w:sz w:val="18"/>
                <w:szCs w:val="18"/>
              </w:rPr>
            </w:pPr>
          </w:p>
        </w:tc>
      </w:tr>
      <w:tr w:rsidR="00B8254F" w:rsidRPr="00BF555E" w14:paraId="4D2F09C8" w14:textId="77777777" w:rsidTr="00B471B0">
        <w:trPr>
          <w:trHeight w:val="286"/>
        </w:trPr>
        <w:tc>
          <w:tcPr>
            <w:tcW w:w="440" w:type="pct"/>
          </w:tcPr>
          <w:p w14:paraId="21CC52D2" w14:textId="77777777" w:rsidR="00B8254F" w:rsidRPr="00BF555E" w:rsidRDefault="00B8254F" w:rsidP="003155B0">
            <w:pPr>
              <w:pStyle w:val="Text1"/>
              <w:spacing w:before="0" w:after="0"/>
              <w:ind w:left="0"/>
              <w:rPr>
                <w:rFonts w:cs="Times New Roman"/>
                <w:noProof/>
                <w:sz w:val="18"/>
                <w:szCs w:val="18"/>
              </w:rPr>
            </w:pPr>
            <w:r w:rsidRPr="00BF555E">
              <w:rPr>
                <w:rFonts w:cs="Times New Roman"/>
                <w:noProof/>
                <w:sz w:val="18"/>
                <w:szCs w:val="18"/>
              </w:rPr>
              <w:t>1.2. prioritāte</w:t>
            </w:r>
          </w:p>
        </w:tc>
        <w:tc>
          <w:tcPr>
            <w:tcW w:w="398" w:type="pct"/>
          </w:tcPr>
          <w:p w14:paraId="3691FBC3" w14:textId="77777777" w:rsidR="00B8254F" w:rsidRPr="00BF555E" w:rsidRDefault="00B8254F" w:rsidP="003155B0">
            <w:pPr>
              <w:pStyle w:val="Text1"/>
              <w:spacing w:before="0" w:after="0"/>
              <w:ind w:left="0"/>
              <w:rPr>
                <w:rFonts w:eastAsia="Times New Roman" w:cs="Times New Roman"/>
                <w:sz w:val="18"/>
                <w:szCs w:val="18"/>
              </w:rPr>
            </w:pPr>
            <w:r w:rsidRPr="00BF555E">
              <w:rPr>
                <w:rFonts w:eastAsia="Times New Roman" w:cs="Times New Roman"/>
                <w:sz w:val="18"/>
                <w:szCs w:val="18"/>
              </w:rPr>
              <w:t>1.2.3. SAM</w:t>
            </w:r>
          </w:p>
        </w:tc>
        <w:tc>
          <w:tcPr>
            <w:tcW w:w="289" w:type="pct"/>
          </w:tcPr>
          <w:p w14:paraId="19742788" w14:textId="77777777" w:rsidR="00B8254F" w:rsidRPr="00BF555E" w:rsidRDefault="00B8254F" w:rsidP="003155B0">
            <w:pPr>
              <w:pStyle w:val="Text1"/>
              <w:spacing w:before="0" w:after="0"/>
              <w:ind w:left="0"/>
              <w:rPr>
                <w:rFonts w:cs="Times New Roman"/>
                <w:noProof/>
                <w:sz w:val="18"/>
                <w:szCs w:val="18"/>
              </w:rPr>
            </w:pPr>
            <w:r w:rsidRPr="00BF555E">
              <w:rPr>
                <w:rFonts w:cs="Times New Roman"/>
                <w:noProof/>
                <w:sz w:val="18"/>
                <w:szCs w:val="18"/>
              </w:rPr>
              <w:t>ERAF</w:t>
            </w:r>
          </w:p>
        </w:tc>
        <w:tc>
          <w:tcPr>
            <w:tcW w:w="345" w:type="pct"/>
          </w:tcPr>
          <w:p w14:paraId="181D4F05" w14:textId="77777777" w:rsidR="00B8254F" w:rsidRPr="00BF555E" w:rsidRDefault="00B8254F" w:rsidP="003155B0">
            <w:pPr>
              <w:pStyle w:val="Text1"/>
              <w:spacing w:before="0" w:after="0"/>
              <w:ind w:left="0"/>
              <w:rPr>
                <w:rFonts w:cs="Times New Roman"/>
                <w:sz w:val="18"/>
                <w:szCs w:val="18"/>
              </w:rPr>
            </w:pPr>
            <w:r w:rsidRPr="00BF555E">
              <w:rPr>
                <w:rFonts w:cs="Times New Roman"/>
                <w:sz w:val="18"/>
                <w:szCs w:val="18"/>
              </w:rPr>
              <w:t>RCR 02</w:t>
            </w:r>
          </w:p>
        </w:tc>
        <w:tc>
          <w:tcPr>
            <w:tcW w:w="766" w:type="pct"/>
            <w:shd w:val="clear" w:color="auto" w:fill="auto"/>
          </w:tcPr>
          <w:p w14:paraId="376D38A7" w14:textId="77777777" w:rsidR="00B8254F" w:rsidRPr="00BF555E" w:rsidRDefault="00B8254F" w:rsidP="003155B0">
            <w:pPr>
              <w:pStyle w:val="Text1"/>
              <w:spacing w:before="0" w:after="0"/>
              <w:ind w:left="0"/>
              <w:rPr>
                <w:rFonts w:cs="Times New Roman"/>
                <w:sz w:val="18"/>
                <w:szCs w:val="18"/>
              </w:rPr>
            </w:pPr>
            <w:r w:rsidRPr="00BF555E">
              <w:rPr>
                <w:rFonts w:cs="Times New Roman"/>
                <w:sz w:val="18"/>
                <w:szCs w:val="18"/>
              </w:rPr>
              <w:t>Privātās investīcijas, kas piesaistītas  publiskajam atbalstam (tostarp granti un finanšu instrumenti)</w:t>
            </w:r>
          </w:p>
        </w:tc>
        <w:tc>
          <w:tcPr>
            <w:tcW w:w="446" w:type="pct"/>
          </w:tcPr>
          <w:p w14:paraId="74231D3B" w14:textId="77777777" w:rsidR="00B8254F" w:rsidRPr="00BF555E" w:rsidRDefault="00B8254F" w:rsidP="003155B0">
            <w:pPr>
              <w:pStyle w:val="Text1"/>
              <w:spacing w:before="0" w:after="0"/>
              <w:ind w:left="0"/>
              <w:rPr>
                <w:rFonts w:cs="Times New Roman"/>
                <w:noProof/>
                <w:sz w:val="18"/>
                <w:szCs w:val="18"/>
              </w:rPr>
            </w:pPr>
            <w:r w:rsidRPr="005C6273">
              <w:rPr>
                <w:rFonts w:cs="Times New Roman"/>
                <w:i/>
                <w:iCs/>
                <w:noProof/>
                <w:sz w:val="18"/>
                <w:szCs w:val="18"/>
              </w:rPr>
              <w:t>euro</w:t>
            </w:r>
          </w:p>
        </w:tc>
        <w:tc>
          <w:tcPr>
            <w:tcW w:w="360" w:type="pct"/>
          </w:tcPr>
          <w:p w14:paraId="022553FA" w14:textId="77777777" w:rsidR="00B8254F" w:rsidRPr="00BF555E" w:rsidRDefault="00B8254F" w:rsidP="003155B0">
            <w:pPr>
              <w:pStyle w:val="Text1"/>
              <w:spacing w:before="0" w:after="0"/>
              <w:ind w:left="0"/>
              <w:jc w:val="left"/>
              <w:rPr>
                <w:rFonts w:cs="Times New Roman"/>
                <w:noProof/>
                <w:sz w:val="18"/>
                <w:szCs w:val="18"/>
              </w:rPr>
            </w:pPr>
            <w:r w:rsidRPr="00BF555E">
              <w:rPr>
                <w:rFonts w:cs="Times New Roman"/>
                <w:noProof/>
                <w:sz w:val="18"/>
                <w:szCs w:val="18"/>
              </w:rPr>
              <w:t>0</w:t>
            </w:r>
          </w:p>
        </w:tc>
        <w:tc>
          <w:tcPr>
            <w:tcW w:w="421" w:type="pct"/>
          </w:tcPr>
          <w:p w14:paraId="6D1354E4" w14:textId="77777777" w:rsidR="00B8254F" w:rsidRPr="00BF555E" w:rsidRDefault="00B8254F" w:rsidP="003155B0">
            <w:pPr>
              <w:pStyle w:val="Text1"/>
              <w:spacing w:before="0" w:after="0"/>
              <w:ind w:left="0"/>
              <w:jc w:val="left"/>
              <w:rPr>
                <w:rFonts w:cs="Times New Roman"/>
                <w:noProof/>
                <w:sz w:val="18"/>
                <w:szCs w:val="18"/>
              </w:rPr>
            </w:pPr>
            <w:r w:rsidRPr="00BF555E">
              <w:rPr>
                <w:rFonts w:cs="Times New Roman"/>
                <w:noProof/>
                <w:sz w:val="18"/>
                <w:szCs w:val="18"/>
              </w:rPr>
              <w:t>2020</w:t>
            </w:r>
          </w:p>
        </w:tc>
        <w:tc>
          <w:tcPr>
            <w:tcW w:w="478" w:type="pct"/>
            <w:shd w:val="clear" w:color="auto" w:fill="auto"/>
          </w:tcPr>
          <w:p w14:paraId="19AC9C14" w14:textId="77777777" w:rsidR="00B8254F" w:rsidRPr="00BF555E" w:rsidRDefault="00B8254F" w:rsidP="003155B0">
            <w:pPr>
              <w:pStyle w:val="Text1"/>
              <w:spacing w:before="0" w:after="0"/>
              <w:ind w:left="0"/>
              <w:jc w:val="left"/>
              <w:rPr>
                <w:rFonts w:cs="Times New Roman"/>
                <w:noProof/>
                <w:sz w:val="18"/>
                <w:szCs w:val="18"/>
              </w:rPr>
            </w:pPr>
            <w:r>
              <w:rPr>
                <w:rFonts w:cs="Times New Roman"/>
                <w:noProof/>
                <w:sz w:val="18"/>
                <w:szCs w:val="18"/>
              </w:rPr>
              <w:t xml:space="preserve">241 000 000 </w:t>
            </w:r>
          </w:p>
        </w:tc>
        <w:tc>
          <w:tcPr>
            <w:tcW w:w="567" w:type="pct"/>
            <w:shd w:val="clear" w:color="auto" w:fill="auto"/>
          </w:tcPr>
          <w:p w14:paraId="0DEC6F61" w14:textId="77777777" w:rsidR="00B8254F" w:rsidRPr="00BF555E" w:rsidRDefault="00B8254F" w:rsidP="003155B0">
            <w:pPr>
              <w:pStyle w:val="Text1"/>
              <w:spacing w:before="0" w:after="0"/>
              <w:ind w:left="0"/>
              <w:jc w:val="left"/>
              <w:rPr>
                <w:rFonts w:cs="Times New Roman"/>
                <w:noProof/>
                <w:sz w:val="18"/>
                <w:szCs w:val="18"/>
              </w:rPr>
            </w:pPr>
            <w:r w:rsidRPr="00BF555E">
              <w:rPr>
                <w:rFonts w:cs="Times New Roman"/>
                <w:noProof/>
                <w:sz w:val="18"/>
                <w:szCs w:val="18"/>
              </w:rPr>
              <w:t>Projektu dokumentācija</w:t>
            </w:r>
          </w:p>
        </w:tc>
        <w:tc>
          <w:tcPr>
            <w:tcW w:w="491" w:type="pct"/>
          </w:tcPr>
          <w:p w14:paraId="427993FC" w14:textId="77777777" w:rsidR="00B8254F" w:rsidRPr="00BF555E" w:rsidRDefault="00B8254F" w:rsidP="003155B0">
            <w:pPr>
              <w:spacing w:before="0" w:after="0"/>
              <w:jc w:val="left"/>
              <w:rPr>
                <w:noProof/>
                <w:sz w:val="18"/>
                <w:szCs w:val="18"/>
              </w:rPr>
            </w:pPr>
          </w:p>
        </w:tc>
      </w:tr>
      <w:tr w:rsidR="00B8254F" w:rsidRPr="00BF555E" w14:paraId="7B529626" w14:textId="77777777" w:rsidTr="00B471B0">
        <w:trPr>
          <w:trHeight w:val="286"/>
        </w:trPr>
        <w:tc>
          <w:tcPr>
            <w:tcW w:w="440" w:type="pct"/>
          </w:tcPr>
          <w:p w14:paraId="20971254" w14:textId="77777777" w:rsidR="00B8254F" w:rsidRPr="00BF555E" w:rsidRDefault="00B8254F" w:rsidP="003155B0">
            <w:pPr>
              <w:pStyle w:val="Text1"/>
              <w:spacing w:before="0" w:after="0"/>
              <w:ind w:left="0"/>
              <w:rPr>
                <w:rFonts w:cs="Times New Roman"/>
                <w:noProof/>
                <w:sz w:val="18"/>
                <w:szCs w:val="18"/>
              </w:rPr>
            </w:pPr>
            <w:r w:rsidRPr="00BF555E">
              <w:rPr>
                <w:rFonts w:cs="Times New Roman"/>
                <w:noProof/>
                <w:sz w:val="18"/>
                <w:szCs w:val="18"/>
              </w:rPr>
              <w:t>1.3.prioritāte</w:t>
            </w:r>
          </w:p>
        </w:tc>
        <w:tc>
          <w:tcPr>
            <w:tcW w:w="398" w:type="pct"/>
          </w:tcPr>
          <w:p w14:paraId="5EA6DDBB" w14:textId="77777777" w:rsidR="00B8254F" w:rsidRPr="00BF555E" w:rsidRDefault="00B8254F" w:rsidP="003155B0">
            <w:pPr>
              <w:pStyle w:val="Text1"/>
              <w:spacing w:before="0" w:after="0"/>
              <w:ind w:left="0"/>
              <w:rPr>
                <w:rFonts w:cs="Times New Roman"/>
                <w:noProof/>
                <w:sz w:val="18"/>
                <w:szCs w:val="18"/>
              </w:rPr>
            </w:pPr>
            <w:r w:rsidRPr="00BF555E">
              <w:rPr>
                <w:rFonts w:cs="Times New Roman"/>
                <w:noProof/>
                <w:sz w:val="18"/>
                <w:szCs w:val="18"/>
              </w:rPr>
              <w:t>1.3.1.SAM</w:t>
            </w:r>
          </w:p>
        </w:tc>
        <w:tc>
          <w:tcPr>
            <w:tcW w:w="289" w:type="pct"/>
          </w:tcPr>
          <w:p w14:paraId="42953822" w14:textId="77777777" w:rsidR="00B8254F" w:rsidRPr="00BF555E" w:rsidRDefault="00B8254F" w:rsidP="003155B0">
            <w:pPr>
              <w:pStyle w:val="Text1"/>
              <w:spacing w:before="0" w:after="0"/>
              <w:ind w:left="0"/>
              <w:rPr>
                <w:rFonts w:cs="Times New Roman"/>
                <w:noProof/>
                <w:sz w:val="18"/>
                <w:szCs w:val="18"/>
              </w:rPr>
            </w:pPr>
            <w:r w:rsidRPr="00BF555E">
              <w:rPr>
                <w:rFonts w:cs="Times New Roman"/>
                <w:noProof/>
                <w:sz w:val="18"/>
                <w:szCs w:val="18"/>
              </w:rPr>
              <w:t>ERAF</w:t>
            </w:r>
          </w:p>
        </w:tc>
        <w:tc>
          <w:tcPr>
            <w:tcW w:w="345" w:type="pct"/>
          </w:tcPr>
          <w:p w14:paraId="71974B16" w14:textId="77777777" w:rsidR="00B8254F" w:rsidRPr="00BF555E" w:rsidRDefault="00B8254F" w:rsidP="003155B0">
            <w:pPr>
              <w:pStyle w:val="Text1"/>
              <w:spacing w:before="0" w:after="0"/>
              <w:ind w:left="0"/>
              <w:rPr>
                <w:rFonts w:cs="Times New Roman"/>
                <w:sz w:val="18"/>
                <w:szCs w:val="18"/>
              </w:rPr>
            </w:pPr>
            <w:r w:rsidRPr="00BF555E">
              <w:rPr>
                <w:rFonts w:cs="Times New Roman"/>
                <w:sz w:val="18"/>
                <w:szCs w:val="18"/>
              </w:rPr>
              <w:t>RCR 11</w:t>
            </w:r>
          </w:p>
        </w:tc>
        <w:tc>
          <w:tcPr>
            <w:tcW w:w="766" w:type="pct"/>
            <w:shd w:val="clear" w:color="auto" w:fill="auto"/>
          </w:tcPr>
          <w:p w14:paraId="542889EB" w14:textId="77777777" w:rsidR="00B8254F" w:rsidRPr="00BF555E" w:rsidRDefault="00B8254F" w:rsidP="003155B0">
            <w:pPr>
              <w:pStyle w:val="Default"/>
              <w:spacing w:after="0" w:line="240" w:lineRule="auto"/>
              <w:jc w:val="both"/>
              <w:rPr>
                <w:color w:val="auto"/>
                <w:sz w:val="18"/>
                <w:szCs w:val="18"/>
              </w:rPr>
            </w:pPr>
            <w:r w:rsidRPr="00BF555E">
              <w:rPr>
                <w:color w:val="auto"/>
                <w:sz w:val="18"/>
                <w:szCs w:val="18"/>
              </w:rPr>
              <w:t>Jaunu un pilnveidotu publisku digitālo pakalpojumu un lietojumprogrammu lietotāji</w:t>
            </w:r>
          </w:p>
        </w:tc>
        <w:tc>
          <w:tcPr>
            <w:tcW w:w="446" w:type="pct"/>
          </w:tcPr>
          <w:p w14:paraId="323FF12F" w14:textId="77777777" w:rsidR="00B8254F" w:rsidRPr="00BF555E" w:rsidRDefault="00B8254F" w:rsidP="003155B0">
            <w:pPr>
              <w:pStyle w:val="Text1"/>
              <w:spacing w:before="0" w:after="0"/>
              <w:ind w:left="0"/>
              <w:rPr>
                <w:rFonts w:cs="Times New Roman"/>
                <w:noProof/>
                <w:sz w:val="18"/>
                <w:szCs w:val="18"/>
              </w:rPr>
            </w:pPr>
            <w:r w:rsidRPr="00BF555E">
              <w:rPr>
                <w:rFonts w:cs="Times New Roman"/>
                <w:noProof/>
                <w:sz w:val="18"/>
                <w:szCs w:val="18"/>
              </w:rPr>
              <w:t>Lietotāju (saimnieciskās darbības veicēju) skaits, kuri ir integrējuši savus IKT risinājumus ar valsts platformām, lai, izmantojot tās, piedāvātu savus digitālos pakalpojumus vai būtiskus darba procesus.</w:t>
            </w:r>
          </w:p>
        </w:tc>
        <w:tc>
          <w:tcPr>
            <w:tcW w:w="360" w:type="pct"/>
          </w:tcPr>
          <w:p w14:paraId="5A1478BB" w14:textId="77777777" w:rsidR="00B8254F" w:rsidRPr="00BF555E" w:rsidRDefault="00B8254F" w:rsidP="003155B0">
            <w:pPr>
              <w:pStyle w:val="Text1"/>
              <w:spacing w:before="0" w:after="0"/>
              <w:ind w:left="0"/>
              <w:jc w:val="left"/>
              <w:rPr>
                <w:rFonts w:cs="Times New Roman"/>
                <w:noProof/>
                <w:sz w:val="18"/>
                <w:szCs w:val="18"/>
              </w:rPr>
            </w:pPr>
            <w:r w:rsidRPr="00BF555E">
              <w:rPr>
                <w:rFonts w:cs="Times New Roman"/>
                <w:noProof/>
                <w:sz w:val="18"/>
                <w:szCs w:val="18"/>
              </w:rPr>
              <w:t>0</w:t>
            </w:r>
          </w:p>
        </w:tc>
        <w:tc>
          <w:tcPr>
            <w:tcW w:w="421" w:type="pct"/>
          </w:tcPr>
          <w:p w14:paraId="5E6883E9" w14:textId="77777777" w:rsidR="00B8254F" w:rsidRPr="00BF555E" w:rsidRDefault="00B8254F" w:rsidP="003155B0">
            <w:pPr>
              <w:pStyle w:val="Text1"/>
              <w:spacing w:before="0" w:after="0"/>
              <w:ind w:left="0"/>
              <w:jc w:val="left"/>
              <w:rPr>
                <w:rFonts w:cs="Times New Roman"/>
                <w:noProof/>
                <w:sz w:val="18"/>
                <w:szCs w:val="18"/>
              </w:rPr>
            </w:pPr>
            <w:r w:rsidRPr="00BF555E">
              <w:rPr>
                <w:rFonts w:cs="Times New Roman"/>
                <w:noProof/>
                <w:sz w:val="18"/>
                <w:szCs w:val="18"/>
              </w:rPr>
              <w:t>2020</w:t>
            </w:r>
          </w:p>
          <w:p w14:paraId="6A9963A6" w14:textId="77777777" w:rsidR="00B8254F" w:rsidRPr="00BF555E" w:rsidRDefault="00B8254F" w:rsidP="003155B0">
            <w:pPr>
              <w:pStyle w:val="Text1"/>
              <w:spacing w:before="0" w:after="0"/>
              <w:ind w:left="0"/>
              <w:jc w:val="left"/>
              <w:rPr>
                <w:rFonts w:cs="Times New Roman"/>
                <w:noProof/>
                <w:sz w:val="18"/>
                <w:szCs w:val="18"/>
              </w:rPr>
            </w:pPr>
          </w:p>
        </w:tc>
        <w:tc>
          <w:tcPr>
            <w:tcW w:w="478" w:type="pct"/>
            <w:shd w:val="clear" w:color="auto" w:fill="auto"/>
          </w:tcPr>
          <w:p w14:paraId="1990C7A0" w14:textId="77777777" w:rsidR="00B8254F" w:rsidRPr="00BF555E" w:rsidRDefault="00B8254F" w:rsidP="003155B0">
            <w:pPr>
              <w:pStyle w:val="Text1"/>
              <w:spacing w:before="0" w:after="0"/>
              <w:ind w:left="0"/>
              <w:jc w:val="left"/>
              <w:rPr>
                <w:rFonts w:cs="Times New Roman"/>
                <w:noProof/>
                <w:sz w:val="18"/>
                <w:szCs w:val="18"/>
              </w:rPr>
            </w:pPr>
            <w:r w:rsidRPr="00BF555E">
              <w:rPr>
                <w:rFonts w:cs="Times New Roman"/>
                <w:noProof/>
                <w:sz w:val="18"/>
                <w:szCs w:val="18"/>
              </w:rPr>
              <w:t>71</w:t>
            </w:r>
          </w:p>
        </w:tc>
        <w:tc>
          <w:tcPr>
            <w:tcW w:w="567" w:type="pct"/>
            <w:shd w:val="clear" w:color="auto" w:fill="auto"/>
          </w:tcPr>
          <w:p w14:paraId="62470350" w14:textId="77777777" w:rsidR="00B8254F" w:rsidRPr="00BF555E" w:rsidRDefault="00B8254F" w:rsidP="003155B0">
            <w:pPr>
              <w:pStyle w:val="Text1"/>
              <w:spacing w:before="0" w:after="0"/>
              <w:ind w:left="0"/>
              <w:jc w:val="left"/>
              <w:rPr>
                <w:rFonts w:cs="Times New Roman"/>
                <w:noProof/>
                <w:sz w:val="18"/>
                <w:szCs w:val="18"/>
              </w:rPr>
            </w:pPr>
            <w:r w:rsidRPr="00BF555E">
              <w:rPr>
                <w:rFonts w:cs="Times New Roman"/>
                <w:noProof/>
                <w:sz w:val="18"/>
                <w:szCs w:val="18"/>
              </w:rPr>
              <w:t>Projektu dati. Informācija no institūcijām (t.sk. kapitālsabiedrībām, kas pilda valsts deleģētas funkcijas), kas attīstījušas digitālas platformas, kuras savu digitālo produktu attīstībai izmanto komersanti.</w:t>
            </w:r>
          </w:p>
        </w:tc>
        <w:tc>
          <w:tcPr>
            <w:tcW w:w="491" w:type="pct"/>
          </w:tcPr>
          <w:p w14:paraId="59570B1F" w14:textId="77777777" w:rsidR="00B8254F" w:rsidRPr="00BF555E" w:rsidRDefault="00B8254F" w:rsidP="003155B0">
            <w:pPr>
              <w:spacing w:before="0" w:after="0"/>
              <w:jc w:val="left"/>
              <w:rPr>
                <w:sz w:val="18"/>
                <w:szCs w:val="18"/>
              </w:rPr>
            </w:pPr>
            <w:r w:rsidRPr="00BF555E">
              <w:rPr>
                <w:sz w:val="18"/>
                <w:szCs w:val="18"/>
              </w:rPr>
              <w:t>Komersantu skaits, kuri ir attīstījuši savus digitālos produktus, balstoties uz valsts pārvaldes risinājumiem un/vai integrējoties ar valsts platformām.</w:t>
            </w:r>
          </w:p>
        </w:tc>
      </w:tr>
      <w:tr w:rsidR="00B8254F" w:rsidRPr="00BF555E" w14:paraId="5BF1EAC0" w14:textId="77777777" w:rsidTr="00B471B0">
        <w:trPr>
          <w:trHeight w:val="286"/>
        </w:trPr>
        <w:tc>
          <w:tcPr>
            <w:tcW w:w="440" w:type="pct"/>
          </w:tcPr>
          <w:p w14:paraId="2A57339B" w14:textId="77777777" w:rsidR="00B8254F" w:rsidRPr="00BF555E" w:rsidRDefault="00B8254F" w:rsidP="003155B0">
            <w:pPr>
              <w:pStyle w:val="Text1"/>
              <w:spacing w:before="0" w:after="0"/>
              <w:ind w:left="0"/>
              <w:rPr>
                <w:rFonts w:cs="Times New Roman"/>
                <w:noProof/>
                <w:sz w:val="18"/>
                <w:szCs w:val="18"/>
              </w:rPr>
            </w:pPr>
            <w:r w:rsidRPr="00BF555E">
              <w:rPr>
                <w:rFonts w:cs="Times New Roman"/>
                <w:noProof/>
                <w:sz w:val="18"/>
                <w:szCs w:val="18"/>
              </w:rPr>
              <w:t>1.2.prioritāte</w:t>
            </w:r>
          </w:p>
        </w:tc>
        <w:tc>
          <w:tcPr>
            <w:tcW w:w="398" w:type="pct"/>
          </w:tcPr>
          <w:p w14:paraId="6E638843" w14:textId="77777777" w:rsidR="00B8254F" w:rsidRPr="00BF555E" w:rsidRDefault="00B8254F" w:rsidP="003155B0">
            <w:pPr>
              <w:pStyle w:val="Text1"/>
              <w:spacing w:before="0" w:after="0"/>
              <w:ind w:left="0"/>
              <w:rPr>
                <w:rFonts w:cs="Times New Roman"/>
                <w:noProof/>
                <w:sz w:val="18"/>
                <w:szCs w:val="18"/>
              </w:rPr>
            </w:pPr>
            <w:r w:rsidRPr="00BF555E">
              <w:rPr>
                <w:rFonts w:cs="Times New Roman"/>
                <w:noProof/>
                <w:sz w:val="18"/>
                <w:szCs w:val="18"/>
              </w:rPr>
              <w:t>1.2.2.SAM</w:t>
            </w:r>
          </w:p>
        </w:tc>
        <w:tc>
          <w:tcPr>
            <w:tcW w:w="289" w:type="pct"/>
          </w:tcPr>
          <w:p w14:paraId="7B6F7310" w14:textId="77777777" w:rsidR="00B8254F" w:rsidRPr="00BF555E" w:rsidRDefault="00B8254F" w:rsidP="003155B0">
            <w:pPr>
              <w:pStyle w:val="Text1"/>
              <w:spacing w:before="0" w:after="0"/>
              <w:ind w:left="0"/>
              <w:rPr>
                <w:rFonts w:cs="Times New Roman"/>
                <w:noProof/>
                <w:sz w:val="18"/>
                <w:szCs w:val="18"/>
              </w:rPr>
            </w:pPr>
            <w:r w:rsidRPr="00BF555E">
              <w:rPr>
                <w:rFonts w:cs="Times New Roman"/>
                <w:noProof/>
                <w:sz w:val="18"/>
                <w:szCs w:val="18"/>
              </w:rPr>
              <w:t>ERAF</w:t>
            </w:r>
          </w:p>
        </w:tc>
        <w:tc>
          <w:tcPr>
            <w:tcW w:w="345" w:type="pct"/>
          </w:tcPr>
          <w:p w14:paraId="7D9E2F69" w14:textId="77777777" w:rsidR="00B8254F" w:rsidRPr="00BF555E" w:rsidRDefault="00B8254F" w:rsidP="003155B0">
            <w:pPr>
              <w:pStyle w:val="Text1"/>
              <w:spacing w:before="0" w:after="0"/>
              <w:ind w:left="0"/>
              <w:rPr>
                <w:rFonts w:cs="Times New Roman"/>
                <w:noProof/>
                <w:sz w:val="18"/>
                <w:szCs w:val="18"/>
              </w:rPr>
            </w:pPr>
            <w:r w:rsidRPr="00BF555E">
              <w:rPr>
                <w:rFonts w:cs="Times New Roman"/>
                <w:sz w:val="18"/>
                <w:szCs w:val="18"/>
              </w:rPr>
              <w:t>RCR 13</w:t>
            </w:r>
          </w:p>
        </w:tc>
        <w:tc>
          <w:tcPr>
            <w:tcW w:w="766" w:type="pct"/>
            <w:shd w:val="clear" w:color="auto" w:fill="auto"/>
          </w:tcPr>
          <w:p w14:paraId="388DC010" w14:textId="77777777" w:rsidR="00B8254F" w:rsidRPr="00BF555E" w:rsidRDefault="00B8254F" w:rsidP="003155B0">
            <w:pPr>
              <w:pStyle w:val="Text1"/>
              <w:spacing w:before="0" w:after="0"/>
              <w:ind w:left="0"/>
              <w:rPr>
                <w:rFonts w:cs="Times New Roman"/>
                <w:noProof/>
                <w:sz w:val="18"/>
                <w:szCs w:val="18"/>
              </w:rPr>
            </w:pPr>
            <w:r w:rsidRPr="00BF555E">
              <w:rPr>
                <w:rFonts w:cs="Times New Roman"/>
                <w:sz w:val="18"/>
                <w:szCs w:val="18"/>
              </w:rPr>
              <w:t>Uzņēmumi, kas sasniedz augstu digitālo intensitāti</w:t>
            </w:r>
          </w:p>
        </w:tc>
        <w:tc>
          <w:tcPr>
            <w:tcW w:w="446" w:type="pct"/>
          </w:tcPr>
          <w:p w14:paraId="310DF576" w14:textId="77777777" w:rsidR="00B8254F" w:rsidRPr="00BF555E" w:rsidRDefault="00B8254F" w:rsidP="003155B0">
            <w:pPr>
              <w:pStyle w:val="Text1"/>
              <w:spacing w:before="0" w:after="0"/>
              <w:ind w:left="0"/>
              <w:rPr>
                <w:rFonts w:cs="Times New Roman"/>
                <w:noProof/>
                <w:sz w:val="18"/>
                <w:szCs w:val="18"/>
              </w:rPr>
            </w:pPr>
            <w:r w:rsidRPr="00BF555E">
              <w:rPr>
                <w:rFonts w:cs="Times New Roman"/>
                <w:noProof/>
                <w:sz w:val="18"/>
                <w:szCs w:val="18"/>
              </w:rPr>
              <w:t>Uzņēmumu skaits</w:t>
            </w:r>
          </w:p>
        </w:tc>
        <w:tc>
          <w:tcPr>
            <w:tcW w:w="360" w:type="pct"/>
          </w:tcPr>
          <w:p w14:paraId="7F8E8CED" w14:textId="77777777" w:rsidR="00B8254F" w:rsidRPr="00BF555E" w:rsidRDefault="00B8254F" w:rsidP="003155B0">
            <w:pPr>
              <w:pStyle w:val="Text1"/>
              <w:spacing w:before="0" w:after="0"/>
              <w:ind w:left="0"/>
              <w:jc w:val="left"/>
              <w:rPr>
                <w:rFonts w:cs="Times New Roman"/>
                <w:noProof/>
                <w:sz w:val="18"/>
                <w:szCs w:val="18"/>
              </w:rPr>
            </w:pPr>
            <w:r w:rsidRPr="00BF555E">
              <w:rPr>
                <w:rFonts w:cs="Times New Roman"/>
                <w:noProof/>
                <w:sz w:val="18"/>
                <w:szCs w:val="18"/>
              </w:rPr>
              <w:t>0</w:t>
            </w:r>
          </w:p>
        </w:tc>
        <w:tc>
          <w:tcPr>
            <w:tcW w:w="421" w:type="pct"/>
          </w:tcPr>
          <w:p w14:paraId="1AC150DE" w14:textId="77777777" w:rsidR="00B8254F" w:rsidRPr="00BF555E" w:rsidRDefault="00B8254F" w:rsidP="003155B0">
            <w:pPr>
              <w:pStyle w:val="Text1"/>
              <w:spacing w:before="0" w:after="0"/>
              <w:ind w:left="0"/>
              <w:jc w:val="left"/>
              <w:rPr>
                <w:rFonts w:cs="Times New Roman"/>
                <w:noProof/>
                <w:sz w:val="18"/>
                <w:szCs w:val="18"/>
              </w:rPr>
            </w:pPr>
            <w:r w:rsidRPr="00BF555E">
              <w:rPr>
                <w:rFonts w:cs="Times New Roman"/>
                <w:noProof/>
                <w:sz w:val="18"/>
                <w:szCs w:val="18"/>
              </w:rPr>
              <w:t>2020</w:t>
            </w:r>
          </w:p>
        </w:tc>
        <w:tc>
          <w:tcPr>
            <w:tcW w:w="478" w:type="pct"/>
            <w:shd w:val="clear" w:color="auto" w:fill="auto"/>
          </w:tcPr>
          <w:p w14:paraId="0548165D" w14:textId="77777777" w:rsidR="00B8254F" w:rsidRPr="00BF555E" w:rsidRDefault="00B8254F" w:rsidP="003155B0">
            <w:pPr>
              <w:pStyle w:val="Text1"/>
              <w:spacing w:before="0" w:after="0"/>
              <w:ind w:left="0"/>
              <w:jc w:val="left"/>
              <w:rPr>
                <w:rFonts w:cs="Times New Roman"/>
                <w:noProof/>
                <w:sz w:val="18"/>
                <w:szCs w:val="18"/>
              </w:rPr>
            </w:pPr>
            <w:r>
              <w:rPr>
                <w:rFonts w:cs="Times New Roman"/>
                <w:noProof/>
                <w:sz w:val="18"/>
                <w:szCs w:val="18"/>
              </w:rPr>
              <w:t>585</w:t>
            </w:r>
            <w:r w:rsidRPr="00BF555E">
              <w:rPr>
                <w:rFonts w:cs="Times New Roman"/>
                <w:noProof/>
                <w:sz w:val="18"/>
                <w:szCs w:val="18"/>
              </w:rPr>
              <w:t xml:space="preserve"> </w:t>
            </w:r>
          </w:p>
        </w:tc>
        <w:tc>
          <w:tcPr>
            <w:tcW w:w="567" w:type="pct"/>
            <w:shd w:val="clear" w:color="auto" w:fill="auto"/>
          </w:tcPr>
          <w:p w14:paraId="398EACBA" w14:textId="77777777" w:rsidR="00B8254F" w:rsidRPr="00BF555E" w:rsidRDefault="00B8254F" w:rsidP="003155B0">
            <w:pPr>
              <w:pStyle w:val="Text1"/>
              <w:spacing w:before="0" w:after="0"/>
              <w:ind w:left="0"/>
              <w:jc w:val="left"/>
              <w:rPr>
                <w:rFonts w:cs="Times New Roman"/>
                <w:noProof/>
                <w:sz w:val="18"/>
                <w:szCs w:val="18"/>
              </w:rPr>
            </w:pPr>
            <w:r w:rsidRPr="00BF555E">
              <w:rPr>
                <w:rStyle w:val="CommentReference"/>
                <w:rFonts w:cs="Times New Roman"/>
                <w:sz w:val="18"/>
                <w:szCs w:val="18"/>
              </w:rPr>
              <w:t xml:space="preserve"> VID finanšu pārskati; CSP; UR; projektu dati; </w:t>
            </w:r>
            <w:r w:rsidRPr="00BF555E">
              <w:rPr>
                <w:rFonts w:cs="Times New Roman"/>
                <w:noProof/>
                <w:sz w:val="18"/>
                <w:szCs w:val="18"/>
              </w:rPr>
              <w:t>provizoriskais aizdevumu skaits zem SAM 1.2.</w:t>
            </w:r>
          </w:p>
        </w:tc>
        <w:tc>
          <w:tcPr>
            <w:tcW w:w="491" w:type="pct"/>
          </w:tcPr>
          <w:p w14:paraId="3185253A" w14:textId="77777777" w:rsidR="00B8254F" w:rsidRPr="00BF555E" w:rsidRDefault="00B8254F" w:rsidP="003155B0">
            <w:pPr>
              <w:spacing w:before="0" w:after="0"/>
              <w:jc w:val="left"/>
              <w:rPr>
                <w:noProof/>
                <w:sz w:val="18"/>
                <w:szCs w:val="18"/>
              </w:rPr>
            </w:pPr>
          </w:p>
        </w:tc>
      </w:tr>
      <w:tr w:rsidR="00B8254F" w:rsidRPr="00BF555E" w14:paraId="28D62E2F" w14:textId="77777777" w:rsidTr="00B471B0">
        <w:trPr>
          <w:trHeight w:val="286"/>
        </w:trPr>
        <w:tc>
          <w:tcPr>
            <w:tcW w:w="440" w:type="pct"/>
          </w:tcPr>
          <w:p w14:paraId="6AC7A8EE" w14:textId="77777777" w:rsidR="00B8254F" w:rsidRPr="00BF555E" w:rsidRDefault="00B8254F" w:rsidP="003155B0">
            <w:pPr>
              <w:pStyle w:val="Text1"/>
              <w:spacing w:before="0" w:after="0"/>
              <w:ind w:left="0"/>
              <w:rPr>
                <w:rFonts w:cs="Times New Roman"/>
                <w:noProof/>
                <w:sz w:val="18"/>
                <w:szCs w:val="18"/>
              </w:rPr>
            </w:pPr>
            <w:r w:rsidRPr="00BF555E">
              <w:rPr>
                <w:rFonts w:cs="Times New Roman"/>
                <w:noProof/>
                <w:sz w:val="18"/>
                <w:szCs w:val="18"/>
              </w:rPr>
              <w:t>1.2.prioritāte</w:t>
            </w:r>
          </w:p>
        </w:tc>
        <w:tc>
          <w:tcPr>
            <w:tcW w:w="398" w:type="pct"/>
          </w:tcPr>
          <w:p w14:paraId="08A8A2DB" w14:textId="77777777" w:rsidR="00B8254F" w:rsidRPr="00BF555E" w:rsidRDefault="00B8254F" w:rsidP="003155B0">
            <w:pPr>
              <w:pStyle w:val="Text1"/>
              <w:spacing w:before="0" w:after="0"/>
              <w:ind w:left="0"/>
              <w:rPr>
                <w:rFonts w:cs="Times New Roman"/>
                <w:noProof/>
                <w:sz w:val="18"/>
                <w:szCs w:val="18"/>
              </w:rPr>
            </w:pPr>
            <w:r w:rsidRPr="00BF555E">
              <w:rPr>
                <w:rFonts w:cs="Times New Roman"/>
                <w:noProof/>
                <w:sz w:val="18"/>
                <w:szCs w:val="18"/>
              </w:rPr>
              <w:t>1.2.3.SAM</w:t>
            </w:r>
          </w:p>
        </w:tc>
        <w:tc>
          <w:tcPr>
            <w:tcW w:w="289" w:type="pct"/>
          </w:tcPr>
          <w:p w14:paraId="487C70B8" w14:textId="77777777" w:rsidR="00B8254F" w:rsidRPr="00BF555E" w:rsidRDefault="00B8254F" w:rsidP="003155B0">
            <w:pPr>
              <w:pStyle w:val="Text1"/>
              <w:spacing w:before="0" w:after="0"/>
              <w:ind w:left="0"/>
              <w:rPr>
                <w:rFonts w:cs="Times New Roman"/>
                <w:noProof/>
                <w:sz w:val="18"/>
                <w:szCs w:val="18"/>
              </w:rPr>
            </w:pPr>
            <w:r w:rsidRPr="00BF555E">
              <w:rPr>
                <w:rFonts w:cs="Times New Roman"/>
                <w:noProof/>
                <w:sz w:val="18"/>
                <w:szCs w:val="18"/>
              </w:rPr>
              <w:t>ERAF</w:t>
            </w:r>
          </w:p>
        </w:tc>
        <w:tc>
          <w:tcPr>
            <w:tcW w:w="345" w:type="pct"/>
          </w:tcPr>
          <w:p w14:paraId="68FD0F6B" w14:textId="77777777" w:rsidR="00B8254F" w:rsidRPr="00BF555E" w:rsidRDefault="00B8254F" w:rsidP="003155B0">
            <w:pPr>
              <w:pStyle w:val="Text1"/>
              <w:spacing w:before="0" w:after="0"/>
              <w:ind w:left="0"/>
              <w:rPr>
                <w:rFonts w:cs="Times New Roman"/>
                <w:noProof/>
                <w:sz w:val="18"/>
                <w:szCs w:val="18"/>
              </w:rPr>
            </w:pPr>
            <w:r w:rsidRPr="00BF555E">
              <w:rPr>
                <w:rFonts w:cs="Times New Roman"/>
                <w:sz w:val="18"/>
                <w:szCs w:val="18"/>
              </w:rPr>
              <w:t>RCR 17</w:t>
            </w:r>
          </w:p>
        </w:tc>
        <w:tc>
          <w:tcPr>
            <w:tcW w:w="766" w:type="pct"/>
            <w:shd w:val="clear" w:color="auto" w:fill="auto"/>
          </w:tcPr>
          <w:p w14:paraId="4F456E23" w14:textId="77777777" w:rsidR="00B8254F" w:rsidRPr="00BF555E" w:rsidRDefault="00B8254F" w:rsidP="003155B0">
            <w:pPr>
              <w:pStyle w:val="Default"/>
              <w:spacing w:after="0" w:line="240" w:lineRule="auto"/>
              <w:jc w:val="both"/>
              <w:rPr>
                <w:noProof/>
                <w:color w:val="auto"/>
                <w:sz w:val="18"/>
                <w:szCs w:val="18"/>
              </w:rPr>
            </w:pPr>
            <w:r w:rsidRPr="00BF555E">
              <w:rPr>
                <w:color w:val="auto"/>
                <w:sz w:val="18"/>
                <w:szCs w:val="18"/>
              </w:rPr>
              <w:t>Jaunizveidotie  uzņēmumi, kas ir izdzīvojuši tirgū</w:t>
            </w:r>
          </w:p>
        </w:tc>
        <w:tc>
          <w:tcPr>
            <w:tcW w:w="446" w:type="pct"/>
          </w:tcPr>
          <w:p w14:paraId="359F0EA1" w14:textId="77777777" w:rsidR="00B8254F" w:rsidRPr="00BF555E" w:rsidRDefault="00B8254F" w:rsidP="003155B0">
            <w:pPr>
              <w:pStyle w:val="Text1"/>
              <w:spacing w:before="0" w:after="0"/>
              <w:ind w:left="0"/>
              <w:jc w:val="left"/>
              <w:rPr>
                <w:rFonts w:cs="Times New Roman"/>
                <w:noProof/>
                <w:sz w:val="18"/>
                <w:szCs w:val="18"/>
              </w:rPr>
            </w:pPr>
            <w:r w:rsidRPr="00BF555E">
              <w:rPr>
                <w:rFonts w:cs="Times New Roman"/>
                <w:noProof/>
                <w:sz w:val="18"/>
                <w:szCs w:val="18"/>
              </w:rPr>
              <w:t>Uzņēmumu skaits</w:t>
            </w:r>
          </w:p>
          <w:p w14:paraId="32010F21" w14:textId="77777777" w:rsidR="00B8254F" w:rsidRPr="00BF555E" w:rsidRDefault="00B8254F" w:rsidP="003155B0">
            <w:pPr>
              <w:pStyle w:val="Text1"/>
              <w:spacing w:before="0" w:after="0"/>
              <w:ind w:left="0"/>
              <w:rPr>
                <w:rFonts w:cs="Times New Roman"/>
                <w:noProof/>
                <w:sz w:val="18"/>
                <w:szCs w:val="18"/>
              </w:rPr>
            </w:pPr>
          </w:p>
        </w:tc>
        <w:tc>
          <w:tcPr>
            <w:tcW w:w="360" w:type="pct"/>
          </w:tcPr>
          <w:p w14:paraId="6DAE3A41" w14:textId="77777777" w:rsidR="00B8254F" w:rsidRPr="00BF555E" w:rsidRDefault="00B8254F" w:rsidP="003155B0">
            <w:pPr>
              <w:pStyle w:val="Text1"/>
              <w:spacing w:before="0" w:after="0"/>
              <w:ind w:left="0"/>
              <w:jc w:val="left"/>
              <w:rPr>
                <w:rFonts w:cs="Times New Roman"/>
                <w:noProof/>
                <w:sz w:val="18"/>
                <w:szCs w:val="18"/>
              </w:rPr>
            </w:pPr>
            <w:r w:rsidRPr="00BF555E">
              <w:rPr>
                <w:rFonts w:cs="Times New Roman"/>
                <w:noProof/>
                <w:sz w:val="18"/>
                <w:szCs w:val="18"/>
              </w:rPr>
              <w:t>0</w:t>
            </w:r>
          </w:p>
        </w:tc>
        <w:tc>
          <w:tcPr>
            <w:tcW w:w="421" w:type="pct"/>
          </w:tcPr>
          <w:p w14:paraId="4FFDC493" w14:textId="77777777" w:rsidR="00B8254F" w:rsidRPr="00BF555E" w:rsidRDefault="00B8254F" w:rsidP="003155B0">
            <w:pPr>
              <w:pStyle w:val="Text1"/>
              <w:spacing w:before="0" w:after="0"/>
              <w:ind w:left="0"/>
              <w:jc w:val="left"/>
              <w:rPr>
                <w:rFonts w:cs="Times New Roman"/>
                <w:noProof/>
                <w:sz w:val="18"/>
                <w:szCs w:val="18"/>
              </w:rPr>
            </w:pPr>
            <w:r w:rsidRPr="00BF555E">
              <w:rPr>
                <w:rFonts w:cs="Times New Roman"/>
                <w:noProof/>
                <w:sz w:val="18"/>
                <w:szCs w:val="18"/>
              </w:rPr>
              <w:t>2020</w:t>
            </w:r>
          </w:p>
        </w:tc>
        <w:tc>
          <w:tcPr>
            <w:tcW w:w="478" w:type="pct"/>
            <w:shd w:val="clear" w:color="auto" w:fill="auto"/>
          </w:tcPr>
          <w:p w14:paraId="556B2A12" w14:textId="77777777" w:rsidR="00B8254F" w:rsidRPr="00BF555E" w:rsidRDefault="00B8254F" w:rsidP="003155B0">
            <w:pPr>
              <w:pStyle w:val="Text1"/>
              <w:spacing w:before="0" w:after="0"/>
              <w:ind w:left="0"/>
              <w:jc w:val="left"/>
              <w:rPr>
                <w:rFonts w:cs="Times New Roman"/>
                <w:noProof/>
                <w:sz w:val="18"/>
                <w:szCs w:val="18"/>
              </w:rPr>
            </w:pPr>
            <w:r w:rsidRPr="00BF555E">
              <w:rPr>
                <w:rFonts w:cs="Times New Roman"/>
                <w:noProof/>
                <w:sz w:val="18"/>
                <w:szCs w:val="18"/>
              </w:rPr>
              <w:t xml:space="preserve">180 </w:t>
            </w:r>
          </w:p>
        </w:tc>
        <w:tc>
          <w:tcPr>
            <w:tcW w:w="567" w:type="pct"/>
            <w:shd w:val="clear" w:color="auto" w:fill="auto"/>
          </w:tcPr>
          <w:p w14:paraId="0B39D93F" w14:textId="77777777" w:rsidR="00B8254F" w:rsidRPr="00BF555E" w:rsidRDefault="00B8254F" w:rsidP="003155B0">
            <w:pPr>
              <w:pStyle w:val="Text1"/>
              <w:spacing w:before="0" w:after="0"/>
              <w:ind w:left="0"/>
              <w:jc w:val="left"/>
              <w:rPr>
                <w:rFonts w:cs="Times New Roman"/>
                <w:noProof/>
                <w:sz w:val="18"/>
                <w:szCs w:val="18"/>
              </w:rPr>
            </w:pPr>
            <w:r w:rsidRPr="00BF555E">
              <w:rPr>
                <w:rFonts w:cs="Times New Roman"/>
                <w:noProof/>
                <w:sz w:val="18"/>
                <w:szCs w:val="18"/>
              </w:rPr>
              <w:t>Projektu dati</w:t>
            </w:r>
          </w:p>
        </w:tc>
        <w:tc>
          <w:tcPr>
            <w:tcW w:w="491" w:type="pct"/>
          </w:tcPr>
          <w:p w14:paraId="454FFE28" w14:textId="77777777" w:rsidR="00B8254F" w:rsidRPr="00BF555E" w:rsidRDefault="00B8254F" w:rsidP="003155B0">
            <w:pPr>
              <w:spacing w:before="0" w:after="0"/>
              <w:jc w:val="left"/>
              <w:rPr>
                <w:noProof/>
                <w:sz w:val="18"/>
                <w:szCs w:val="18"/>
              </w:rPr>
            </w:pPr>
          </w:p>
        </w:tc>
      </w:tr>
      <w:tr w:rsidR="00B8254F" w:rsidRPr="00BF555E" w14:paraId="0188FF4A" w14:textId="77777777" w:rsidTr="00B471B0">
        <w:trPr>
          <w:trHeight w:val="286"/>
        </w:trPr>
        <w:tc>
          <w:tcPr>
            <w:tcW w:w="440" w:type="pct"/>
          </w:tcPr>
          <w:p w14:paraId="3BB678E5" w14:textId="77777777" w:rsidR="00B8254F" w:rsidRPr="00BF555E" w:rsidRDefault="00B8254F" w:rsidP="003155B0">
            <w:pPr>
              <w:pStyle w:val="Text1"/>
              <w:spacing w:before="0" w:after="0"/>
              <w:ind w:left="0"/>
              <w:rPr>
                <w:rFonts w:cs="Times New Roman"/>
                <w:noProof/>
                <w:sz w:val="18"/>
                <w:szCs w:val="18"/>
              </w:rPr>
            </w:pPr>
            <w:r w:rsidRPr="00BF555E">
              <w:rPr>
                <w:rFonts w:cs="Times New Roman"/>
                <w:noProof/>
                <w:sz w:val="18"/>
                <w:szCs w:val="18"/>
              </w:rPr>
              <w:t>1.1.prioritāte</w:t>
            </w:r>
          </w:p>
        </w:tc>
        <w:tc>
          <w:tcPr>
            <w:tcW w:w="398" w:type="pct"/>
          </w:tcPr>
          <w:p w14:paraId="6248CF64" w14:textId="77777777" w:rsidR="00B8254F" w:rsidRPr="00BF555E" w:rsidRDefault="00B8254F" w:rsidP="003155B0">
            <w:pPr>
              <w:pStyle w:val="Text1"/>
              <w:spacing w:before="0" w:after="0"/>
              <w:ind w:left="0"/>
              <w:rPr>
                <w:rFonts w:cs="Times New Roman"/>
                <w:noProof/>
                <w:sz w:val="18"/>
                <w:szCs w:val="18"/>
              </w:rPr>
            </w:pPr>
            <w:r w:rsidRPr="00BF555E">
              <w:rPr>
                <w:rFonts w:eastAsia="Times New Roman" w:cs="Times New Roman"/>
                <w:sz w:val="18"/>
                <w:szCs w:val="18"/>
              </w:rPr>
              <w:t>1.1.2.SAM</w:t>
            </w:r>
          </w:p>
        </w:tc>
        <w:tc>
          <w:tcPr>
            <w:tcW w:w="289" w:type="pct"/>
          </w:tcPr>
          <w:p w14:paraId="1E49263E" w14:textId="77777777" w:rsidR="00B8254F" w:rsidRPr="00BF555E" w:rsidRDefault="00B8254F" w:rsidP="003155B0">
            <w:pPr>
              <w:pStyle w:val="Text1"/>
              <w:spacing w:before="0" w:after="0"/>
              <w:ind w:left="0"/>
              <w:rPr>
                <w:rFonts w:cs="Times New Roman"/>
                <w:noProof/>
                <w:sz w:val="18"/>
                <w:szCs w:val="18"/>
              </w:rPr>
            </w:pPr>
            <w:r w:rsidRPr="00BF555E">
              <w:rPr>
                <w:rFonts w:cs="Times New Roman"/>
                <w:noProof/>
                <w:sz w:val="18"/>
                <w:szCs w:val="18"/>
              </w:rPr>
              <w:t>ERAF</w:t>
            </w:r>
          </w:p>
        </w:tc>
        <w:tc>
          <w:tcPr>
            <w:tcW w:w="345" w:type="pct"/>
          </w:tcPr>
          <w:p w14:paraId="774CD61D" w14:textId="77777777" w:rsidR="00B8254F" w:rsidRPr="00BF555E" w:rsidRDefault="00B8254F" w:rsidP="003155B0">
            <w:pPr>
              <w:pStyle w:val="Text1"/>
              <w:spacing w:before="0" w:after="0"/>
              <w:ind w:left="0"/>
              <w:rPr>
                <w:rFonts w:cs="Times New Roman"/>
                <w:noProof/>
                <w:sz w:val="18"/>
                <w:szCs w:val="18"/>
              </w:rPr>
            </w:pPr>
            <w:r w:rsidRPr="00BF555E">
              <w:rPr>
                <w:rFonts w:cs="Times New Roman"/>
                <w:sz w:val="18"/>
                <w:szCs w:val="18"/>
              </w:rPr>
              <w:t>RCR 98</w:t>
            </w:r>
          </w:p>
        </w:tc>
        <w:tc>
          <w:tcPr>
            <w:tcW w:w="766" w:type="pct"/>
            <w:shd w:val="clear" w:color="auto" w:fill="auto"/>
          </w:tcPr>
          <w:p w14:paraId="59BEFC36" w14:textId="08BE5068" w:rsidR="00B8254F" w:rsidRPr="00BF555E" w:rsidRDefault="00B8254F" w:rsidP="003155B0">
            <w:pPr>
              <w:pStyle w:val="Text1"/>
              <w:spacing w:before="0" w:after="0"/>
              <w:ind w:left="0"/>
              <w:rPr>
                <w:rFonts w:cs="Times New Roman"/>
                <w:noProof/>
                <w:sz w:val="18"/>
                <w:szCs w:val="18"/>
              </w:rPr>
            </w:pPr>
            <w:r>
              <w:rPr>
                <w:rFonts w:cs="Times New Roman"/>
                <w:sz w:val="18"/>
                <w:szCs w:val="18"/>
              </w:rPr>
              <w:t>MVU</w:t>
            </w:r>
            <w:r w:rsidRPr="00BF555E">
              <w:rPr>
                <w:rFonts w:cs="Times New Roman"/>
                <w:sz w:val="18"/>
                <w:szCs w:val="18"/>
              </w:rPr>
              <w:t xml:space="preserve"> darbinieku skaits, kas ir pabeiguši viedās specializācijas, industriālās pārejas un uzņēmējdarbības apmācības (pēc prasmju veida: tehniskās, vadības, uzņēmējdarbīb</w:t>
            </w:r>
            <w:r>
              <w:rPr>
                <w:rFonts w:cs="Times New Roman"/>
                <w:sz w:val="18"/>
                <w:szCs w:val="18"/>
              </w:rPr>
              <w:t>a</w:t>
            </w:r>
            <w:r w:rsidRPr="00BF555E">
              <w:rPr>
                <w:rFonts w:cs="Times New Roman"/>
                <w:sz w:val="18"/>
                <w:szCs w:val="18"/>
              </w:rPr>
              <w:t>s, “zaļās” un citas)</w:t>
            </w:r>
          </w:p>
        </w:tc>
        <w:tc>
          <w:tcPr>
            <w:tcW w:w="446" w:type="pct"/>
          </w:tcPr>
          <w:p w14:paraId="0EDE9031" w14:textId="77777777" w:rsidR="00B8254F" w:rsidRPr="00BF555E" w:rsidRDefault="00B8254F" w:rsidP="003155B0">
            <w:pPr>
              <w:pStyle w:val="Text1"/>
              <w:spacing w:before="0" w:after="0"/>
              <w:ind w:left="0"/>
              <w:rPr>
                <w:rFonts w:cs="Times New Roman"/>
                <w:noProof/>
                <w:sz w:val="18"/>
                <w:szCs w:val="18"/>
              </w:rPr>
            </w:pPr>
            <w:r>
              <w:rPr>
                <w:rFonts w:cs="Times New Roman"/>
                <w:sz w:val="18"/>
                <w:szCs w:val="18"/>
              </w:rPr>
              <w:t xml:space="preserve">MVU </w:t>
            </w:r>
            <w:r w:rsidRPr="00BF555E">
              <w:rPr>
                <w:rFonts w:cs="Times New Roman"/>
                <w:sz w:val="18"/>
                <w:szCs w:val="18"/>
              </w:rPr>
              <w:t>darbinieku skaits</w:t>
            </w:r>
          </w:p>
        </w:tc>
        <w:tc>
          <w:tcPr>
            <w:tcW w:w="360" w:type="pct"/>
          </w:tcPr>
          <w:p w14:paraId="0B4E62D9" w14:textId="77777777" w:rsidR="00B8254F" w:rsidRPr="00BF555E" w:rsidRDefault="00B8254F" w:rsidP="003155B0">
            <w:pPr>
              <w:pStyle w:val="Text1"/>
              <w:spacing w:before="0" w:after="0"/>
              <w:ind w:left="0"/>
              <w:jc w:val="left"/>
              <w:rPr>
                <w:rFonts w:cs="Times New Roman"/>
                <w:noProof/>
                <w:sz w:val="18"/>
                <w:szCs w:val="18"/>
              </w:rPr>
            </w:pPr>
            <w:r w:rsidRPr="00BF555E">
              <w:rPr>
                <w:rFonts w:cs="Times New Roman"/>
                <w:noProof/>
                <w:sz w:val="18"/>
                <w:szCs w:val="18"/>
              </w:rPr>
              <w:t>0</w:t>
            </w:r>
          </w:p>
        </w:tc>
        <w:tc>
          <w:tcPr>
            <w:tcW w:w="421" w:type="pct"/>
          </w:tcPr>
          <w:p w14:paraId="5932D767" w14:textId="77777777" w:rsidR="00B8254F" w:rsidRPr="00BF555E" w:rsidRDefault="00B8254F" w:rsidP="003155B0">
            <w:pPr>
              <w:pStyle w:val="Text1"/>
              <w:spacing w:before="0" w:after="0"/>
              <w:ind w:left="0"/>
              <w:jc w:val="left"/>
              <w:rPr>
                <w:rFonts w:cs="Times New Roman"/>
                <w:noProof/>
                <w:sz w:val="18"/>
                <w:szCs w:val="18"/>
              </w:rPr>
            </w:pPr>
            <w:r w:rsidRPr="00BF555E">
              <w:rPr>
                <w:rFonts w:cs="Times New Roman"/>
                <w:noProof/>
                <w:sz w:val="18"/>
                <w:szCs w:val="18"/>
              </w:rPr>
              <w:t>2020</w:t>
            </w:r>
          </w:p>
        </w:tc>
        <w:tc>
          <w:tcPr>
            <w:tcW w:w="478" w:type="pct"/>
            <w:shd w:val="clear" w:color="auto" w:fill="auto"/>
          </w:tcPr>
          <w:p w14:paraId="0E7E6995" w14:textId="77777777" w:rsidR="00B8254F" w:rsidRPr="00BF555E" w:rsidRDefault="00B8254F" w:rsidP="003155B0">
            <w:pPr>
              <w:pStyle w:val="Text1"/>
              <w:spacing w:before="0" w:after="0"/>
              <w:ind w:left="0"/>
              <w:jc w:val="left"/>
              <w:rPr>
                <w:rFonts w:cs="Times New Roman"/>
                <w:noProof/>
                <w:sz w:val="18"/>
                <w:szCs w:val="18"/>
              </w:rPr>
            </w:pPr>
            <w:r w:rsidRPr="00BF555E">
              <w:rPr>
                <w:rFonts w:cs="Times New Roman"/>
                <w:noProof/>
                <w:sz w:val="18"/>
                <w:szCs w:val="18"/>
              </w:rPr>
              <w:t xml:space="preserve"> 1760</w:t>
            </w:r>
          </w:p>
        </w:tc>
        <w:tc>
          <w:tcPr>
            <w:tcW w:w="567" w:type="pct"/>
            <w:shd w:val="clear" w:color="auto" w:fill="auto"/>
          </w:tcPr>
          <w:p w14:paraId="22A52078" w14:textId="77777777" w:rsidR="00B8254F" w:rsidRPr="00BF555E" w:rsidRDefault="00B8254F" w:rsidP="003155B0">
            <w:pPr>
              <w:pStyle w:val="Text1"/>
              <w:spacing w:before="0" w:after="0"/>
              <w:ind w:left="0"/>
              <w:jc w:val="left"/>
              <w:rPr>
                <w:rFonts w:cs="Times New Roman"/>
                <w:noProof/>
                <w:sz w:val="18"/>
                <w:szCs w:val="18"/>
              </w:rPr>
            </w:pPr>
            <w:r w:rsidRPr="00BF555E">
              <w:rPr>
                <w:rFonts w:cs="Times New Roman"/>
                <w:noProof/>
                <w:sz w:val="18"/>
                <w:szCs w:val="18"/>
              </w:rPr>
              <w:t>Projektu dati</w:t>
            </w:r>
          </w:p>
        </w:tc>
        <w:tc>
          <w:tcPr>
            <w:tcW w:w="491" w:type="pct"/>
          </w:tcPr>
          <w:p w14:paraId="33DB5CEF" w14:textId="77777777" w:rsidR="00B8254F" w:rsidRPr="00BF555E" w:rsidRDefault="00B8254F" w:rsidP="003155B0">
            <w:pPr>
              <w:spacing w:before="0" w:after="0"/>
              <w:jc w:val="left"/>
              <w:rPr>
                <w:noProof/>
                <w:sz w:val="18"/>
                <w:szCs w:val="18"/>
              </w:rPr>
            </w:pPr>
          </w:p>
        </w:tc>
      </w:tr>
      <w:tr w:rsidR="00B8254F" w:rsidRPr="00BF555E" w14:paraId="6DE1B84B" w14:textId="77777777" w:rsidTr="00B471B0">
        <w:trPr>
          <w:trHeight w:val="3252"/>
        </w:trPr>
        <w:tc>
          <w:tcPr>
            <w:tcW w:w="440" w:type="pct"/>
          </w:tcPr>
          <w:p w14:paraId="7FB671C7" w14:textId="77777777" w:rsidR="00B8254F" w:rsidRPr="00BF555E" w:rsidRDefault="00B8254F" w:rsidP="003155B0">
            <w:pPr>
              <w:pStyle w:val="Text1"/>
              <w:spacing w:before="0" w:after="0"/>
              <w:ind w:left="0"/>
              <w:rPr>
                <w:rFonts w:cs="Times New Roman"/>
                <w:noProof/>
                <w:sz w:val="18"/>
                <w:szCs w:val="18"/>
              </w:rPr>
            </w:pPr>
            <w:r w:rsidRPr="00BF555E">
              <w:rPr>
                <w:rFonts w:cs="Times New Roman"/>
                <w:noProof/>
                <w:sz w:val="18"/>
                <w:szCs w:val="18"/>
              </w:rPr>
              <w:t>1.4.prioritāte</w:t>
            </w:r>
          </w:p>
        </w:tc>
        <w:tc>
          <w:tcPr>
            <w:tcW w:w="398" w:type="pct"/>
          </w:tcPr>
          <w:p w14:paraId="1537CC78" w14:textId="77777777" w:rsidR="00B8254F" w:rsidRPr="00BF555E" w:rsidRDefault="00B8254F" w:rsidP="003155B0">
            <w:pPr>
              <w:pStyle w:val="Text1"/>
              <w:spacing w:before="0" w:after="0"/>
              <w:ind w:left="0"/>
              <w:rPr>
                <w:rFonts w:cs="Times New Roman"/>
                <w:noProof/>
                <w:sz w:val="18"/>
                <w:szCs w:val="18"/>
              </w:rPr>
            </w:pPr>
            <w:r w:rsidRPr="00BF555E">
              <w:rPr>
                <w:rFonts w:cs="Times New Roman"/>
                <w:noProof/>
                <w:sz w:val="18"/>
                <w:szCs w:val="18"/>
              </w:rPr>
              <w:t>1.4.1.SAM</w:t>
            </w:r>
          </w:p>
        </w:tc>
        <w:tc>
          <w:tcPr>
            <w:tcW w:w="289" w:type="pct"/>
          </w:tcPr>
          <w:p w14:paraId="18ABC946" w14:textId="77777777" w:rsidR="00B8254F" w:rsidRPr="00BF555E" w:rsidRDefault="00B8254F" w:rsidP="003155B0">
            <w:pPr>
              <w:pStyle w:val="Text1"/>
              <w:spacing w:before="0" w:after="0"/>
              <w:ind w:left="0"/>
              <w:rPr>
                <w:rFonts w:cs="Times New Roman"/>
                <w:noProof/>
                <w:sz w:val="18"/>
                <w:szCs w:val="18"/>
              </w:rPr>
            </w:pPr>
            <w:r w:rsidRPr="00BF555E">
              <w:rPr>
                <w:rFonts w:cs="Times New Roman"/>
                <w:noProof/>
                <w:sz w:val="18"/>
                <w:szCs w:val="18"/>
              </w:rPr>
              <w:t>ERAF</w:t>
            </w:r>
          </w:p>
        </w:tc>
        <w:tc>
          <w:tcPr>
            <w:tcW w:w="345" w:type="pct"/>
          </w:tcPr>
          <w:p w14:paraId="11554651" w14:textId="77777777" w:rsidR="00B8254F" w:rsidRPr="00BF555E" w:rsidRDefault="00B8254F" w:rsidP="003155B0">
            <w:pPr>
              <w:pStyle w:val="Text1"/>
              <w:spacing w:before="0" w:after="0"/>
              <w:ind w:left="0"/>
              <w:rPr>
                <w:rFonts w:cs="Times New Roman"/>
                <w:noProof/>
                <w:sz w:val="18"/>
                <w:szCs w:val="18"/>
              </w:rPr>
            </w:pPr>
            <w:r w:rsidRPr="00BF555E">
              <w:rPr>
                <w:rFonts w:cs="Times New Roman"/>
                <w:sz w:val="18"/>
                <w:szCs w:val="18"/>
              </w:rPr>
              <w:t>RCR 53</w:t>
            </w:r>
          </w:p>
        </w:tc>
        <w:tc>
          <w:tcPr>
            <w:tcW w:w="766" w:type="pct"/>
            <w:shd w:val="clear" w:color="auto" w:fill="auto"/>
          </w:tcPr>
          <w:p w14:paraId="0F775AA2" w14:textId="77777777" w:rsidR="00B8254F" w:rsidRPr="00BF555E" w:rsidRDefault="00B8254F" w:rsidP="003155B0">
            <w:pPr>
              <w:pStyle w:val="Default"/>
              <w:spacing w:after="0" w:line="240" w:lineRule="auto"/>
              <w:jc w:val="both"/>
              <w:rPr>
                <w:noProof/>
                <w:color w:val="auto"/>
                <w:sz w:val="18"/>
                <w:szCs w:val="18"/>
              </w:rPr>
            </w:pPr>
            <w:r w:rsidRPr="00BF555E">
              <w:rPr>
                <w:color w:val="auto"/>
                <w:sz w:val="18"/>
                <w:szCs w:val="18"/>
              </w:rPr>
              <w:t xml:space="preserve">Mājsaimniecības, </w:t>
            </w:r>
            <w:r>
              <w:rPr>
                <w:color w:val="auto"/>
                <w:sz w:val="18"/>
                <w:szCs w:val="18"/>
              </w:rPr>
              <w:t>kas</w:t>
            </w:r>
            <w:r w:rsidRPr="00BF555E">
              <w:rPr>
                <w:color w:val="auto"/>
                <w:sz w:val="18"/>
                <w:szCs w:val="18"/>
              </w:rPr>
              <w:t xml:space="preserve"> abonē platjoslas pieslēgumus ļoti </w:t>
            </w:r>
            <w:r>
              <w:rPr>
                <w:color w:val="auto"/>
                <w:sz w:val="18"/>
                <w:szCs w:val="18"/>
              </w:rPr>
              <w:t>augstas veikstpējas</w:t>
            </w:r>
            <w:r w:rsidRPr="00BF555E">
              <w:rPr>
                <w:color w:val="auto"/>
                <w:sz w:val="18"/>
                <w:szCs w:val="18"/>
              </w:rPr>
              <w:t xml:space="preserve"> tīklam</w:t>
            </w:r>
          </w:p>
        </w:tc>
        <w:tc>
          <w:tcPr>
            <w:tcW w:w="446" w:type="pct"/>
          </w:tcPr>
          <w:p w14:paraId="70DCBE15" w14:textId="77777777" w:rsidR="00B8254F" w:rsidRPr="00BF555E" w:rsidRDefault="00B8254F" w:rsidP="003155B0">
            <w:pPr>
              <w:pStyle w:val="Text1"/>
              <w:spacing w:before="0" w:after="0"/>
              <w:ind w:left="0"/>
              <w:rPr>
                <w:rFonts w:cs="Times New Roman"/>
                <w:noProof/>
                <w:sz w:val="18"/>
                <w:szCs w:val="18"/>
              </w:rPr>
            </w:pPr>
            <w:r w:rsidRPr="00BF555E">
              <w:rPr>
                <w:rFonts w:cs="Times New Roman"/>
                <w:noProof/>
                <w:sz w:val="18"/>
                <w:szCs w:val="18"/>
              </w:rPr>
              <w:t>Mājsaimniecību skaits</w:t>
            </w:r>
          </w:p>
        </w:tc>
        <w:tc>
          <w:tcPr>
            <w:tcW w:w="360" w:type="pct"/>
          </w:tcPr>
          <w:p w14:paraId="5F752589" w14:textId="77777777" w:rsidR="00B8254F" w:rsidRPr="00BF555E" w:rsidRDefault="00B8254F" w:rsidP="003155B0">
            <w:pPr>
              <w:pStyle w:val="Text1"/>
              <w:spacing w:before="0" w:after="0"/>
              <w:ind w:left="0"/>
              <w:rPr>
                <w:rFonts w:cs="Times New Roman"/>
                <w:noProof/>
                <w:sz w:val="18"/>
                <w:szCs w:val="18"/>
              </w:rPr>
            </w:pPr>
            <w:r>
              <w:rPr>
                <w:rFonts w:cs="Times New Roman"/>
                <w:noProof/>
                <w:sz w:val="18"/>
                <w:szCs w:val="18"/>
              </w:rPr>
              <w:t>0</w:t>
            </w:r>
          </w:p>
        </w:tc>
        <w:tc>
          <w:tcPr>
            <w:tcW w:w="421" w:type="pct"/>
          </w:tcPr>
          <w:p w14:paraId="2C2DE6FE" w14:textId="77777777" w:rsidR="00B8254F" w:rsidRPr="00BF555E" w:rsidRDefault="00B8254F" w:rsidP="003155B0">
            <w:pPr>
              <w:pStyle w:val="Text1"/>
              <w:spacing w:before="0" w:after="0"/>
              <w:ind w:left="0"/>
              <w:rPr>
                <w:rFonts w:cs="Times New Roman"/>
                <w:noProof/>
                <w:sz w:val="18"/>
                <w:szCs w:val="18"/>
              </w:rPr>
            </w:pPr>
            <w:r>
              <w:rPr>
                <w:rFonts w:cs="Times New Roman"/>
                <w:noProof/>
                <w:sz w:val="18"/>
                <w:szCs w:val="18"/>
              </w:rPr>
              <w:t>2020</w:t>
            </w:r>
          </w:p>
        </w:tc>
        <w:tc>
          <w:tcPr>
            <w:tcW w:w="478" w:type="pct"/>
            <w:shd w:val="clear" w:color="auto" w:fill="auto"/>
          </w:tcPr>
          <w:p w14:paraId="7803592A" w14:textId="77777777" w:rsidR="00B8254F" w:rsidRPr="00BF555E" w:rsidRDefault="00B8254F" w:rsidP="003155B0">
            <w:pPr>
              <w:pStyle w:val="Text1"/>
              <w:spacing w:before="0" w:after="0"/>
              <w:ind w:left="0"/>
              <w:jc w:val="center"/>
              <w:rPr>
                <w:rFonts w:cs="Times New Roman"/>
                <w:noProof/>
                <w:sz w:val="18"/>
                <w:szCs w:val="18"/>
              </w:rPr>
            </w:pPr>
            <w:r>
              <w:rPr>
                <w:rFonts w:cs="Times New Roman"/>
                <w:noProof/>
                <w:sz w:val="18"/>
                <w:szCs w:val="18"/>
              </w:rPr>
              <w:t>6 500</w:t>
            </w:r>
          </w:p>
        </w:tc>
        <w:tc>
          <w:tcPr>
            <w:tcW w:w="567" w:type="pct"/>
            <w:shd w:val="clear" w:color="auto" w:fill="auto"/>
          </w:tcPr>
          <w:p w14:paraId="3380979F" w14:textId="77777777" w:rsidR="00B8254F" w:rsidRPr="00BF555E" w:rsidRDefault="00B8254F" w:rsidP="003155B0">
            <w:pPr>
              <w:pStyle w:val="Text1"/>
              <w:spacing w:before="0" w:after="0"/>
              <w:ind w:left="0"/>
              <w:rPr>
                <w:rFonts w:cs="Times New Roman"/>
                <w:noProof/>
                <w:sz w:val="18"/>
                <w:szCs w:val="18"/>
              </w:rPr>
            </w:pPr>
            <w:r w:rsidRPr="00FC29FC">
              <w:rPr>
                <w:rFonts w:cs="Times New Roman"/>
                <w:noProof/>
                <w:sz w:val="18"/>
                <w:szCs w:val="18"/>
              </w:rPr>
              <w:t>informācija no elektronisko sakaru tīkla operatora, kas izvēlēts publiskā iepirkuma procedūrā, vai elektronisko sakaru tīkla infrastruktūras un pakalpojuma kartēšanas rīka dati</w:t>
            </w:r>
          </w:p>
        </w:tc>
        <w:tc>
          <w:tcPr>
            <w:tcW w:w="491" w:type="pct"/>
          </w:tcPr>
          <w:p w14:paraId="67456FDF" w14:textId="77777777" w:rsidR="00B8254F" w:rsidRPr="00BF555E" w:rsidRDefault="00B8254F" w:rsidP="003155B0">
            <w:pPr>
              <w:spacing w:before="0" w:after="0"/>
              <w:rPr>
                <w:noProof/>
                <w:sz w:val="18"/>
                <w:szCs w:val="18"/>
              </w:rPr>
            </w:pPr>
          </w:p>
        </w:tc>
      </w:tr>
      <w:tr w:rsidR="00B8254F" w:rsidRPr="00BF555E" w14:paraId="283051EE" w14:textId="77777777" w:rsidTr="00B471B0">
        <w:trPr>
          <w:trHeight w:val="286"/>
        </w:trPr>
        <w:tc>
          <w:tcPr>
            <w:tcW w:w="440" w:type="pct"/>
          </w:tcPr>
          <w:p w14:paraId="0767FFDF" w14:textId="77777777" w:rsidR="00B8254F" w:rsidRPr="00BF555E" w:rsidRDefault="00B8254F" w:rsidP="003155B0">
            <w:pPr>
              <w:pStyle w:val="Text1"/>
              <w:spacing w:before="0" w:after="0"/>
              <w:ind w:left="0"/>
              <w:rPr>
                <w:rFonts w:cs="Times New Roman"/>
                <w:noProof/>
                <w:sz w:val="18"/>
                <w:szCs w:val="18"/>
              </w:rPr>
            </w:pPr>
            <w:r w:rsidRPr="00BF555E">
              <w:rPr>
                <w:rFonts w:cs="Times New Roman"/>
                <w:noProof/>
                <w:sz w:val="18"/>
                <w:szCs w:val="18"/>
              </w:rPr>
              <w:t>1.4.prioritāte</w:t>
            </w:r>
          </w:p>
        </w:tc>
        <w:tc>
          <w:tcPr>
            <w:tcW w:w="398" w:type="pct"/>
          </w:tcPr>
          <w:p w14:paraId="3BCFD3C5" w14:textId="77777777" w:rsidR="00B8254F" w:rsidRPr="00BF555E" w:rsidRDefault="00B8254F" w:rsidP="003155B0">
            <w:pPr>
              <w:pStyle w:val="Text1"/>
              <w:spacing w:before="0" w:after="0"/>
              <w:ind w:left="0"/>
              <w:rPr>
                <w:rFonts w:cs="Times New Roman"/>
                <w:noProof/>
                <w:sz w:val="18"/>
                <w:szCs w:val="18"/>
              </w:rPr>
            </w:pPr>
            <w:r w:rsidRPr="00BF555E">
              <w:rPr>
                <w:rFonts w:cs="Times New Roman"/>
                <w:noProof/>
                <w:sz w:val="18"/>
                <w:szCs w:val="18"/>
              </w:rPr>
              <w:t>1.4.1.SAM</w:t>
            </w:r>
          </w:p>
        </w:tc>
        <w:tc>
          <w:tcPr>
            <w:tcW w:w="289" w:type="pct"/>
          </w:tcPr>
          <w:p w14:paraId="2EFC0A87" w14:textId="77777777" w:rsidR="00B8254F" w:rsidRPr="00BF555E" w:rsidRDefault="00B8254F" w:rsidP="003155B0">
            <w:pPr>
              <w:pStyle w:val="Text1"/>
              <w:spacing w:before="0" w:after="0"/>
              <w:ind w:left="0"/>
              <w:rPr>
                <w:rFonts w:cs="Times New Roman"/>
                <w:noProof/>
                <w:sz w:val="18"/>
                <w:szCs w:val="18"/>
              </w:rPr>
            </w:pPr>
            <w:r w:rsidRPr="00BF555E">
              <w:rPr>
                <w:rFonts w:cs="Times New Roman"/>
                <w:noProof/>
                <w:sz w:val="18"/>
                <w:szCs w:val="18"/>
              </w:rPr>
              <w:t>ERAF</w:t>
            </w:r>
          </w:p>
        </w:tc>
        <w:tc>
          <w:tcPr>
            <w:tcW w:w="345" w:type="pct"/>
          </w:tcPr>
          <w:p w14:paraId="162CAE58" w14:textId="77777777" w:rsidR="00B8254F" w:rsidRPr="00BF555E" w:rsidRDefault="00B8254F" w:rsidP="003155B0">
            <w:pPr>
              <w:pStyle w:val="Text1"/>
              <w:spacing w:before="0" w:after="0"/>
              <w:ind w:left="0"/>
              <w:rPr>
                <w:rFonts w:cs="Times New Roman"/>
                <w:noProof/>
                <w:sz w:val="18"/>
                <w:szCs w:val="18"/>
              </w:rPr>
            </w:pPr>
            <w:r w:rsidRPr="00BF555E">
              <w:rPr>
                <w:rFonts w:cs="Times New Roman"/>
                <w:sz w:val="18"/>
                <w:szCs w:val="18"/>
              </w:rPr>
              <w:t>RCR 54</w:t>
            </w:r>
          </w:p>
        </w:tc>
        <w:tc>
          <w:tcPr>
            <w:tcW w:w="766" w:type="pct"/>
            <w:shd w:val="clear" w:color="auto" w:fill="auto"/>
          </w:tcPr>
          <w:p w14:paraId="4B291C84" w14:textId="77777777" w:rsidR="00B8254F" w:rsidRPr="00BF555E" w:rsidRDefault="00B8254F" w:rsidP="003155B0">
            <w:pPr>
              <w:pStyle w:val="Text1"/>
              <w:spacing w:before="0" w:after="0"/>
              <w:ind w:left="0"/>
              <w:rPr>
                <w:rFonts w:cs="Times New Roman"/>
                <w:noProof/>
                <w:sz w:val="18"/>
                <w:szCs w:val="18"/>
              </w:rPr>
            </w:pPr>
            <w:r w:rsidRPr="00BF555E">
              <w:rPr>
                <w:rFonts w:cs="Times New Roman"/>
                <w:sz w:val="18"/>
                <w:szCs w:val="18"/>
              </w:rPr>
              <w:t xml:space="preserve">Uzņēmumi, kas abonē platjoslas pieslēgumus ļoti </w:t>
            </w:r>
            <w:r>
              <w:rPr>
                <w:rFonts w:cs="Times New Roman"/>
                <w:sz w:val="18"/>
                <w:szCs w:val="18"/>
              </w:rPr>
              <w:t>augstas veiktspējas</w:t>
            </w:r>
            <w:r w:rsidRPr="00BF555E">
              <w:rPr>
                <w:rFonts w:cs="Times New Roman"/>
                <w:sz w:val="18"/>
                <w:szCs w:val="18"/>
              </w:rPr>
              <w:t xml:space="preserve"> tīklam</w:t>
            </w:r>
          </w:p>
        </w:tc>
        <w:tc>
          <w:tcPr>
            <w:tcW w:w="446" w:type="pct"/>
          </w:tcPr>
          <w:p w14:paraId="0337D6CA" w14:textId="77777777" w:rsidR="00B8254F" w:rsidRPr="00BF555E" w:rsidRDefault="00B8254F" w:rsidP="003155B0">
            <w:pPr>
              <w:pStyle w:val="Text1"/>
              <w:spacing w:before="0" w:after="0"/>
              <w:ind w:left="0"/>
              <w:rPr>
                <w:rFonts w:cs="Times New Roman"/>
                <w:noProof/>
                <w:sz w:val="18"/>
                <w:szCs w:val="18"/>
              </w:rPr>
            </w:pPr>
            <w:r w:rsidRPr="00BF555E">
              <w:rPr>
                <w:rFonts w:cs="Times New Roman"/>
                <w:noProof/>
                <w:sz w:val="18"/>
                <w:szCs w:val="18"/>
              </w:rPr>
              <w:t>Uzņēmumu skaits</w:t>
            </w:r>
          </w:p>
        </w:tc>
        <w:tc>
          <w:tcPr>
            <w:tcW w:w="360" w:type="pct"/>
          </w:tcPr>
          <w:p w14:paraId="1037A6E7" w14:textId="77777777" w:rsidR="00B8254F" w:rsidRPr="00BF555E" w:rsidRDefault="00B8254F" w:rsidP="003155B0">
            <w:pPr>
              <w:pStyle w:val="Text1"/>
              <w:spacing w:before="0" w:after="0"/>
              <w:ind w:left="0"/>
              <w:rPr>
                <w:rFonts w:cs="Times New Roman"/>
                <w:noProof/>
                <w:sz w:val="18"/>
                <w:szCs w:val="18"/>
              </w:rPr>
            </w:pPr>
            <w:r>
              <w:rPr>
                <w:rFonts w:cs="Times New Roman"/>
                <w:noProof/>
                <w:sz w:val="18"/>
                <w:szCs w:val="18"/>
              </w:rPr>
              <w:t>0</w:t>
            </w:r>
          </w:p>
        </w:tc>
        <w:tc>
          <w:tcPr>
            <w:tcW w:w="421" w:type="pct"/>
          </w:tcPr>
          <w:p w14:paraId="420AA325" w14:textId="77777777" w:rsidR="00B8254F" w:rsidRPr="00BF555E" w:rsidRDefault="00B8254F" w:rsidP="003155B0">
            <w:pPr>
              <w:pStyle w:val="Text1"/>
              <w:spacing w:before="0" w:after="0"/>
              <w:ind w:left="0"/>
              <w:rPr>
                <w:rFonts w:cs="Times New Roman"/>
                <w:noProof/>
                <w:sz w:val="18"/>
                <w:szCs w:val="18"/>
              </w:rPr>
            </w:pPr>
            <w:r>
              <w:rPr>
                <w:rFonts w:cs="Times New Roman"/>
                <w:noProof/>
                <w:sz w:val="18"/>
                <w:szCs w:val="18"/>
              </w:rPr>
              <w:t>2020</w:t>
            </w:r>
          </w:p>
        </w:tc>
        <w:tc>
          <w:tcPr>
            <w:tcW w:w="478" w:type="pct"/>
            <w:shd w:val="clear" w:color="auto" w:fill="auto"/>
          </w:tcPr>
          <w:p w14:paraId="2D2187E7" w14:textId="77777777" w:rsidR="00B8254F" w:rsidRPr="00BF555E" w:rsidRDefault="00B8254F" w:rsidP="003155B0">
            <w:pPr>
              <w:pStyle w:val="Text1"/>
              <w:spacing w:before="0" w:after="0"/>
              <w:ind w:left="0"/>
              <w:jc w:val="center"/>
              <w:rPr>
                <w:rFonts w:cs="Times New Roman"/>
                <w:noProof/>
                <w:sz w:val="18"/>
                <w:szCs w:val="18"/>
              </w:rPr>
            </w:pPr>
            <w:r>
              <w:rPr>
                <w:rFonts w:cs="Times New Roman"/>
                <w:noProof/>
                <w:sz w:val="18"/>
                <w:szCs w:val="18"/>
              </w:rPr>
              <w:t>2 000</w:t>
            </w:r>
          </w:p>
        </w:tc>
        <w:tc>
          <w:tcPr>
            <w:tcW w:w="567" w:type="pct"/>
            <w:shd w:val="clear" w:color="auto" w:fill="auto"/>
          </w:tcPr>
          <w:p w14:paraId="7A676B00" w14:textId="77777777" w:rsidR="00B8254F" w:rsidRPr="00BF555E" w:rsidRDefault="00B8254F" w:rsidP="003155B0">
            <w:pPr>
              <w:pStyle w:val="Text1"/>
              <w:spacing w:before="0" w:after="0"/>
              <w:ind w:left="0"/>
              <w:rPr>
                <w:rFonts w:cs="Times New Roman"/>
                <w:noProof/>
                <w:sz w:val="18"/>
                <w:szCs w:val="18"/>
              </w:rPr>
            </w:pPr>
            <w:r>
              <w:t xml:space="preserve"> </w:t>
            </w:r>
            <w:r w:rsidRPr="00FC29FC">
              <w:rPr>
                <w:rFonts w:cs="Times New Roman"/>
                <w:noProof/>
                <w:sz w:val="18"/>
                <w:szCs w:val="18"/>
              </w:rPr>
              <w:t>informācija no elektronisko sakaru tīkla operatora, kas izvēlēts publiskā iepirkuma procedūrā, vai elektronisko sakaru tīkla infrastruktūras un pakalpojuma kartēšanas rīka dati</w:t>
            </w:r>
          </w:p>
        </w:tc>
        <w:tc>
          <w:tcPr>
            <w:tcW w:w="491" w:type="pct"/>
          </w:tcPr>
          <w:p w14:paraId="6C80E724" w14:textId="77777777" w:rsidR="00B8254F" w:rsidRPr="00BF555E" w:rsidRDefault="00B8254F" w:rsidP="003155B0">
            <w:pPr>
              <w:spacing w:before="0" w:after="0"/>
              <w:rPr>
                <w:noProof/>
                <w:sz w:val="18"/>
                <w:szCs w:val="18"/>
              </w:rPr>
            </w:pPr>
          </w:p>
        </w:tc>
      </w:tr>
    </w:tbl>
    <w:p w14:paraId="60C3E90E" w14:textId="77777777" w:rsidR="00B8254F" w:rsidRPr="00930237" w:rsidRDefault="00B8254F" w:rsidP="00B8254F">
      <w:pPr>
        <w:spacing w:before="0" w:after="0"/>
        <w:rPr>
          <w:b/>
          <w:noProof/>
          <w:sz w:val="20"/>
        </w:rPr>
      </w:pPr>
    </w:p>
    <w:p w14:paraId="56D0B6DF" w14:textId="77777777" w:rsidR="00B8254F" w:rsidRPr="00930237" w:rsidRDefault="00B8254F" w:rsidP="00B8254F">
      <w:pPr>
        <w:spacing w:before="0" w:after="0"/>
        <w:rPr>
          <w:rFonts w:eastAsia="Times New Roman"/>
          <w:iCs/>
          <w:noProof/>
          <w:sz w:val="20"/>
        </w:rPr>
      </w:pPr>
      <w:r w:rsidRPr="00930237">
        <w:rPr>
          <w:rFonts w:eastAsia="Times New Roman"/>
          <w:iCs/>
          <w:noProof/>
          <w:sz w:val="20"/>
        </w:rPr>
        <w:t>* Rādītāju sasniedzamās vērtības tiks definētas, kad būs pieejami veikto izvērtējumu rezultāti, kā arī attiecīgo nozaru plānošanas dokumentu izstrādes un saskaņošanas ietvaros.</w:t>
      </w:r>
    </w:p>
    <w:p w14:paraId="20045B5C" w14:textId="77777777" w:rsidR="00B8254F" w:rsidRDefault="00B8254F" w:rsidP="00B8254F"/>
    <w:p w14:paraId="15EC9E0B" w14:textId="77777777" w:rsidR="00B8254F" w:rsidRDefault="00B8254F" w:rsidP="00B8254F">
      <w:pPr>
        <w:spacing w:before="0" w:after="0"/>
        <w:jc w:val="left"/>
        <w:rPr>
          <w:rFonts w:eastAsia="Times New Roman"/>
          <w:b/>
          <w:iCs/>
          <w:noProof/>
          <w:sz w:val="20"/>
        </w:rPr>
        <w:sectPr w:rsidR="00B8254F" w:rsidSect="00B471B0">
          <w:type w:val="continuous"/>
          <w:pgSz w:w="16838" w:h="11906" w:orient="landscape" w:code="9"/>
          <w:pgMar w:top="1418" w:right="1418" w:bottom="1418" w:left="1418" w:header="567" w:footer="510" w:gutter="0"/>
          <w:cols w:space="708"/>
          <w:titlePg/>
          <w:docGrid w:linePitch="360"/>
        </w:sectPr>
      </w:pPr>
    </w:p>
    <w:p w14:paraId="42BB5C6A" w14:textId="2A280A85" w:rsidR="00AC212B" w:rsidRPr="00930237" w:rsidRDefault="00AC212B" w:rsidP="00AC212B">
      <w:pPr>
        <w:pStyle w:val="Heading3"/>
        <w:numPr>
          <w:ilvl w:val="0"/>
          <w:numId w:val="0"/>
        </w:numPr>
        <w:shd w:val="clear" w:color="auto" w:fill="FFF2CC" w:themeFill="accent4" w:themeFillTint="33"/>
        <w:spacing w:after="0"/>
        <w:rPr>
          <w:b/>
          <w:i w:val="0"/>
          <w:noProof/>
        </w:rPr>
      </w:pPr>
      <w:bookmarkStart w:id="23" w:name="_Toc69125411"/>
      <w:r w:rsidRPr="00930237">
        <w:rPr>
          <w:b/>
          <w:i w:val="0"/>
          <w:noProof/>
        </w:rPr>
        <w:t>2.politikas mērķis “</w:t>
      </w:r>
      <w:r w:rsidR="00221C6D" w:rsidRPr="00221C6D">
        <w:rPr>
          <w:b/>
          <w:i w:val="0"/>
          <w:noProof/>
        </w:rPr>
        <w:t xml:space="preserve">Zaļāka Eiropa ar zemām oglekļa emisijām ceļā uz </w:t>
      </w:r>
      <w:r w:rsidR="00107981">
        <w:rPr>
          <w:b/>
          <w:i w:val="0"/>
          <w:noProof/>
        </w:rPr>
        <w:t xml:space="preserve"> klimatneit</w:t>
      </w:r>
      <w:r w:rsidR="006A3607">
        <w:rPr>
          <w:b/>
          <w:i w:val="0"/>
          <w:noProof/>
        </w:rPr>
        <w:t>r</w:t>
      </w:r>
      <w:r w:rsidR="00107981">
        <w:rPr>
          <w:b/>
          <w:i w:val="0"/>
          <w:noProof/>
        </w:rPr>
        <w:t>alitāti</w:t>
      </w:r>
      <w:r w:rsidR="00221C6D" w:rsidRPr="00221C6D">
        <w:rPr>
          <w:b/>
          <w:i w:val="0"/>
          <w:noProof/>
        </w:rPr>
        <w:t xml:space="preserve">, veicinot tīru un taisnīgu enerģētikas pārkārtošanu, “zaļas” un “zilas” investīcijas, aprites ekonomiku, klimata pārmaiņu mazināšanu un pielāgošanos </w:t>
      </w:r>
      <w:r w:rsidR="007A52FD">
        <w:rPr>
          <w:b/>
          <w:i w:val="0"/>
          <w:noProof/>
        </w:rPr>
        <w:t xml:space="preserve">klimata pārmaiņām un, </w:t>
      </w:r>
      <w:r w:rsidR="00221C6D" w:rsidRPr="00221C6D">
        <w:rPr>
          <w:b/>
          <w:i w:val="0"/>
          <w:noProof/>
        </w:rPr>
        <w:t>risku novēršanu un pārvaldību un ilgtspējīgu pilsētas mobilitāti</w:t>
      </w:r>
      <w:r w:rsidRPr="00930237">
        <w:rPr>
          <w:b/>
          <w:i w:val="0"/>
          <w:noProof/>
        </w:rPr>
        <w:t>”</w:t>
      </w:r>
      <w:bookmarkEnd w:id="23"/>
    </w:p>
    <w:p w14:paraId="28D52AAC" w14:textId="77777777" w:rsidR="00AC212B" w:rsidRPr="00930237" w:rsidRDefault="00AC212B" w:rsidP="00AC212B">
      <w:pPr>
        <w:spacing w:before="0" w:after="0"/>
      </w:pPr>
    </w:p>
    <w:p w14:paraId="14D2CBFF" w14:textId="77777777" w:rsidR="00AC212B" w:rsidRPr="00930237" w:rsidRDefault="00AC212B" w:rsidP="00AC212B">
      <w:pPr>
        <w:pStyle w:val="Heading4"/>
        <w:numPr>
          <w:ilvl w:val="0"/>
          <w:numId w:val="0"/>
        </w:numPr>
        <w:shd w:val="clear" w:color="auto" w:fill="F7CAAC" w:themeFill="accent2" w:themeFillTint="66"/>
        <w:spacing w:after="0"/>
        <w:rPr>
          <w:noProof/>
          <w:sz w:val="20"/>
        </w:rPr>
      </w:pPr>
      <w:r w:rsidRPr="00930237">
        <w:rPr>
          <w:b/>
          <w:noProof/>
        </w:rPr>
        <w:t>2.1.Prioritāte “Klimata pārmaiņu mazināšana un pielāgošanās klimata pārmaiņām</w:t>
      </w:r>
      <w:r w:rsidRPr="00930237">
        <w:rPr>
          <w:noProof/>
        </w:rPr>
        <w:t>”</w:t>
      </w:r>
    </w:p>
    <w:p w14:paraId="75E8C25C" w14:textId="6F667C93" w:rsidR="00AC212B" w:rsidRPr="00930237" w:rsidRDefault="00AC212B" w:rsidP="00AC212B">
      <w:pPr>
        <w:pStyle w:val="Heading4"/>
        <w:numPr>
          <w:ilvl w:val="0"/>
          <w:numId w:val="0"/>
        </w:numPr>
        <w:shd w:val="clear" w:color="auto" w:fill="FBE4D5" w:themeFill="accent2" w:themeFillTint="33"/>
        <w:spacing w:after="0"/>
        <w:rPr>
          <w:b/>
          <w:lang w:eastAsia="en-US" w:bidi="ar-SA"/>
        </w:rPr>
      </w:pPr>
      <w:r w:rsidRPr="00930237">
        <w:rPr>
          <w:b/>
          <w:lang w:eastAsia="en-US" w:bidi="ar-SA"/>
        </w:rPr>
        <w:t>2.1.1.SAM “Energoefektivitātes veicināšana un siltumnīcefekta gāzu emisiju samazināšana”</w:t>
      </w:r>
    </w:p>
    <w:p w14:paraId="7D75439F" w14:textId="27122211"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eastAsia="Times New Roman" w:hAnsi="Times New Roman" w:cs="Times New Roman"/>
          <w:b/>
          <w:sz w:val="24"/>
          <w:szCs w:val="24"/>
        </w:rPr>
        <w:t>Atbalstāmās darbības:</w:t>
      </w:r>
      <w:r w:rsidRPr="00930237">
        <w:rPr>
          <w:rFonts w:ascii="Times New Roman" w:eastAsia="Times New Roman" w:hAnsi="Times New Roman" w:cs="Times New Roman"/>
          <w:sz w:val="24"/>
          <w:szCs w:val="24"/>
        </w:rPr>
        <w:t xml:space="preserve"> </w:t>
      </w:r>
      <w:r w:rsidRPr="00930237">
        <w:rPr>
          <w:rFonts w:ascii="Times New Roman" w:hAnsi="Times New Roman" w:cs="Times New Roman"/>
          <w:sz w:val="24"/>
          <w:szCs w:val="24"/>
        </w:rPr>
        <w:t>Dzīvojamo ēku, kā daudz</w:t>
      </w:r>
      <w:r w:rsidR="00C45F5A">
        <w:rPr>
          <w:rFonts w:ascii="Times New Roman" w:hAnsi="Times New Roman" w:cs="Times New Roman"/>
          <w:sz w:val="24"/>
          <w:szCs w:val="24"/>
        </w:rPr>
        <w:t>dz</w:t>
      </w:r>
      <w:r w:rsidRPr="00930237">
        <w:rPr>
          <w:rFonts w:ascii="Times New Roman" w:hAnsi="Times New Roman" w:cs="Times New Roman"/>
          <w:sz w:val="24"/>
          <w:szCs w:val="24"/>
        </w:rPr>
        <w:t>īvokļu, privātmāju un neliela skaita ēku kompleksu, atjaunošana, paaugstinot energoefektivitāti, t</w:t>
      </w:r>
      <w:r w:rsidR="00102172">
        <w:rPr>
          <w:rFonts w:ascii="Times New Roman" w:hAnsi="Times New Roman" w:cs="Times New Roman"/>
          <w:sz w:val="24"/>
          <w:szCs w:val="24"/>
        </w:rPr>
        <w:t>.sk.,</w:t>
      </w:r>
      <w:r w:rsidRPr="00930237">
        <w:rPr>
          <w:rFonts w:ascii="Times New Roman" w:hAnsi="Times New Roman" w:cs="Times New Roman"/>
          <w:sz w:val="24"/>
          <w:szCs w:val="24"/>
        </w:rPr>
        <w:t xml:space="preserve"> ietverot arī </w:t>
      </w:r>
      <w:r w:rsidR="00DC325B">
        <w:rPr>
          <w:rFonts w:ascii="Times New Roman" w:hAnsi="Times New Roman" w:cs="Times New Roman"/>
          <w:sz w:val="24"/>
          <w:szCs w:val="24"/>
        </w:rPr>
        <w:t xml:space="preserve">centralizētajā, </w:t>
      </w:r>
      <w:r w:rsidRPr="00930237">
        <w:rPr>
          <w:rFonts w:ascii="Times New Roman" w:hAnsi="Times New Roman" w:cs="Times New Roman"/>
          <w:sz w:val="24"/>
          <w:szCs w:val="24"/>
        </w:rPr>
        <w:t xml:space="preserve">lokālajā un individuālajā apkurē izmantoto apkures iekārtu nomaiņa pret modernākām un efektīvākām iekārtām, kā arī </w:t>
      </w:r>
      <w:r w:rsidR="00DC325B">
        <w:rPr>
          <w:rFonts w:ascii="Times New Roman" w:hAnsi="Times New Roman" w:cs="Times New Roman"/>
          <w:sz w:val="24"/>
          <w:szCs w:val="24"/>
        </w:rPr>
        <w:t xml:space="preserve">palielinot </w:t>
      </w:r>
      <w:r w:rsidRPr="00930237">
        <w:rPr>
          <w:rFonts w:ascii="Times New Roman" w:hAnsi="Times New Roman" w:cs="Times New Roman"/>
          <w:sz w:val="24"/>
          <w:szCs w:val="24"/>
        </w:rPr>
        <w:t xml:space="preserve">AER izmantošanu ēkās, ja tiek sasniegti īpaši augsti energoefektivitātes rādītāji un ne-emisiju tehnoloģiju (tehnoloģijas, kurās enerģijas ražošanā netiek radītas emisijas) uzstādīšana līdzās energoefektivitātes pasākumiem, ja tā ir ekonomiski pamatota, vienlaikus atbalstot vides pieejamības uzlabošanas pasākumu īstenošanu, atbilstoši būvnormatīvos noteiktajām prasībām. </w:t>
      </w:r>
    </w:p>
    <w:p w14:paraId="16B022E0" w14:textId="0611B870"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b/>
          <w:sz w:val="24"/>
          <w:szCs w:val="24"/>
        </w:rPr>
      </w:pPr>
      <w:r w:rsidRPr="00930237">
        <w:rPr>
          <w:rFonts w:ascii="Times New Roman" w:eastAsia="Times New Roman" w:hAnsi="Times New Roman" w:cs="Times New Roman"/>
          <w:sz w:val="24"/>
          <w:szCs w:val="24"/>
        </w:rPr>
        <w:t>Valsts un pašvaldību īpašumā esošo ēku energoefektivitātes paaugstināšanai, ēku energosertifikācija un būvdarbi energoefektivitātes palielināšanai, t.sk., viedās pārvaldības risinājumi.</w:t>
      </w:r>
      <w:r w:rsidRPr="00930237">
        <w:rPr>
          <w:rFonts w:ascii="Times New Roman" w:hAnsi="Times New Roman" w:cs="Times New Roman"/>
          <w:sz w:val="24"/>
          <w:szCs w:val="24"/>
        </w:rPr>
        <w:t xml:space="preserve"> </w:t>
      </w:r>
    </w:p>
    <w:p w14:paraId="7E36A571" w14:textId="70DD48C6" w:rsidR="00AC212B" w:rsidRPr="00930237" w:rsidRDefault="002834E0" w:rsidP="007545BD">
      <w:pPr>
        <w:pStyle w:val="Normal1"/>
        <w:numPr>
          <w:ilvl w:val="0"/>
          <w:numId w:val="60"/>
        </w:numPr>
        <w:spacing w:line="24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Profesionālās i</w:t>
      </w:r>
      <w:r w:rsidR="00AC212B" w:rsidRPr="00930237">
        <w:rPr>
          <w:rFonts w:ascii="Times New Roman" w:eastAsia="Times New Roman" w:hAnsi="Times New Roman" w:cs="Times New Roman"/>
          <w:sz w:val="24"/>
          <w:szCs w:val="24"/>
        </w:rPr>
        <w:t>zglītības iestāžu</w:t>
      </w:r>
      <w:r>
        <w:rPr>
          <w:rFonts w:ascii="Times New Roman" w:eastAsia="Times New Roman" w:hAnsi="Times New Roman" w:cs="Times New Roman"/>
          <w:sz w:val="24"/>
          <w:szCs w:val="24"/>
        </w:rPr>
        <w:t xml:space="preserve"> un koledžu</w:t>
      </w:r>
      <w:r w:rsidR="00AC212B" w:rsidRPr="00930237">
        <w:rPr>
          <w:rFonts w:ascii="Times New Roman" w:eastAsia="Times New Roman" w:hAnsi="Times New Roman" w:cs="Times New Roman"/>
          <w:sz w:val="24"/>
          <w:szCs w:val="24"/>
        </w:rPr>
        <w:t xml:space="preserve"> infrastruktūras modernizācija un uzlabošana, ietverot arī investīcijas viedā energovadībā, videi draudzīgos ilgtermiņa apsaimniekošanas risinājumos enerģijas taupīšanai vai ieguvei no atjaunojamiem resursiem, un videi draudzīgas izglītības iestādes darbības demonstrējumu, etalonveidošanas iniciatīvās. </w:t>
      </w:r>
    </w:p>
    <w:p w14:paraId="1175D77D" w14:textId="3D9D0F67" w:rsidR="00AC212B" w:rsidRPr="00930237" w:rsidRDefault="00AC212B" w:rsidP="007545BD">
      <w:pPr>
        <w:pStyle w:val="Normal1"/>
        <w:numPr>
          <w:ilvl w:val="0"/>
          <w:numId w:val="60"/>
        </w:numPr>
        <w:spacing w:line="240" w:lineRule="auto"/>
        <w:ind w:left="567" w:hanging="567"/>
        <w:jc w:val="both"/>
        <w:rPr>
          <w:rFonts w:ascii="Times New Roman" w:eastAsia="Times New Roman" w:hAnsi="Times New Roman" w:cs="Times New Roman"/>
          <w:sz w:val="24"/>
          <w:szCs w:val="24"/>
        </w:rPr>
      </w:pPr>
      <w:r w:rsidRPr="00930237">
        <w:rPr>
          <w:rFonts w:ascii="Times New Roman" w:eastAsia="Times New Roman" w:hAnsi="Times New Roman" w:cs="Times New Roman"/>
          <w:sz w:val="24"/>
          <w:szCs w:val="24"/>
        </w:rPr>
        <w:t xml:space="preserve">Esošo rūpnieciskās ražošanas jaudu modernizēšana, uzstādot energoefektīvākas ražošanas un ražošanu nodrošinošas blakusprocesu iekārtas; </w:t>
      </w:r>
      <w:r w:rsidR="00DC325B" w:rsidRPr="00DC325B">
        <w:rPr>
          <w:rFonts w:ascii="Times New Roman" w:eastAsia="Times New Roman" w:hAnsi="Times New Roman" w:cs="Times New Roman"/>
          <w:sz w:val="24"/>
          <w:szCs w:val="24"/>
        </w:rPr>
        <w:t xml:space="preserve">ražošanas ēku un teritoriju energoefektivitātes uzlabošana, </w:t>
      </w:r>
      <w:r w:rsidRPr="00930237">
        <w:rPr>
          <w:rFonts w:ascii="Times New Roman" w:eastAsia="Times New Roman" w:hAnsi="Times New Roman" w:cs="Times New Roman"/>
          <w:sz w:val="24"/>
          <w:szCs w:val="24"/>
        </w:rPr>
        <w:t>ražošanas ēku teritorijā esošo iekšējo un ārējo inženiertīklu un inženiersistēmu nomaiņa pret energoefektīvākām.</w:t>
      </w:r>
    </w:p>
    <w:p w14:paraId="70D89E90" w14:textId="0EB4853B" w:rsidR="00AC212B" w:rsidRPr="00930237" w:rsidRDefault="00DC325B" w:rsidP="007545BD">
      <w:pPr>
        <w:pStyle w:val="Normal1"/>
        <w:numPr>
          <w:ilvl w:val="0"/>
          <w:numId w:val="60"/>
        </w:numPr>
        <w:spacing w:line="240" w:lineRule="auto"/>
        <w:ind w:left="567" w:hanging="567"/>
        <w:jc w:val="both"/>
        <w:rPr>
          <w:rFonts w:ascii="Times New Roman" w:eastAsia="Times New Roman" w:hAnsi="Times New Roman" w:cs="Times New Roman"/>
          <w:sz w:val="24"/>
          <w:szCs w:val="24"/>
        </w:rPr>
      </w:pPr>
      <w:r w:rsidRPr="00DC325B">
        <w:rPr>
          <w:rFonts w:ascii="Times New Roman" w:eastAsia="Times New Roman" w:hAnsi="Times New Roman" w:cs="Times New Roman"/>
          <w:sz w:val="24"/>
          <w:szCs w:val="24"/>
        </w:rPr>
        <w:t>Gais</w:t>
      </w:r>
      <w:r w:rsidR="005A1EAB">
        <w:rPr>
          <w:rFonts w:ascii="Times New Roman" w:eastAsia="Times New Roman" w:hAnsi="Times New Roman" w:cs="Times New Roman"/>
          <w:sz w:val="24"/>
          <w:szCs w:val="24"/>
        </w:rPr>
        <w:t>u</w:t>
      </w:r>
      <w:r w:rsidRPr="00DC325B">
        <w:rPr>
          <w:rFonts w:ascii="Times New Roman" w:eastAsia="Times New Roman" w:hAnsi="Times New Roman" w:cs="Times New Roman"/>
          <w:sz w:val="24"/>
          <w:szCs w:val="24"/>
        </w:rPr>
        <w:t xml:space="preserve"> </w:t>
      </w:r>
      <w:r w:rsidR="005A1EAB">
        <w:rPr>
          <w:rFonts w:ascii="Times New Roman" w:eastAsia="Times New Roman" w:hAnsi="Times New Roman" w:cs="Times New Roman"/>
          <w:sz w:val="24"/>
          <w:szCs w:val="24"/>
        </w:rPr>
        <w:t xml:space="preserve">piesārņojošo vielu emisiju </w:t>
      </w:r>
      <w:r w:rsidRPr="00DC325B">
        <w:rPr>
          <w:rFonts w:ascii="Times New Roman" w:eastAsia="Times New Roman" w:hAnsi="Times New Roman" w:cs="Times New Roman"/>
          <w:sz w:val="24"/>
          <w:szCs w:val="24"/>
        </w:rPr>
        <w:t>attīrīšanas iekārt</w:t>
      </w:r>
      <w:r w:rsidR="000343B5">
        <w:rPr>
          <w:rFonts w:ascii="Times New Roman" w:eastAsia="Times New Roman" w:hAnsi="Times New Roman" w:cs="Times New Roman"/>
          <w:sz w:val="24"/>
          <w:szCs w:val="24"/>
        </w:rPr>
        <w:t>u</w:t>
      </w:r>
      <w:r w:rsidRPr="00DC325B">
        <w:rPr>
          <w:rFonts w:ascii="Times New Roman" w:eastAsia="Times New Roman" w:hAnsi="Times New Roman" w:cs="Times New Roman"/>
          <w:sz w:val="24"/>
          <w:szCs w:val="24"/>
        </w:rPr>
        <w:t xml:space="preserve"> uzstādīšana siltumenerģijas un elektroenerģijas ražošanas vai rūpnieciskās ražošanas stacionārās sadedzināšanas iekārtām</w:t>
      </w:r>
      <w:r w:rsidR="00AC212B" w:rsidRPr="00930237">
        <w:rPr>
          <w:rFonts w:ascii="Times New Roman" w:eastAsia="Times New Roman" w:hAnsi="Times New Roman" w:cs="Times New Roman"/>
          <w:sz w:val="24"/>
          <w:szCs w:val="24"/>
        </w:rPr>
        <w:t>.</w:t>
      </w:r>
    </w:p>
    <w:p w14:paraId="4147F771" w14:textId="743DB496" w:rsidR="00AC212B" w:rsidRPr="00930237" w:rsidRDefault="00AC212B" w:rsidP="007545BD">
      <w:pPr>
        <w:pStyle w:val="Normal1"/>
        <w:numPr>
          <w:ilvl w:val="0"/>
          <w:numId w:val="60"/>
        </w:numPr>
        <w:spacing w:line="240" w:lineRule="auto"/>
        <w:ind w:left="567" w:hanging="567"/>
        <w:jc w:val="both"/>
        <w:rPr>
          <w:rFonts w:ascii="Times New Roman" w:eastAsia="Times New Roman" w:hAnsi="Times New Roman" w:cs="Times New Roman"/>
          <w:sz w:val="24"/>
          <w:szCs w:val="24"/>
        </w:rPr>
      </w:pPr>
      <w:r w:rsidRPr="00930237">
        <w:rPr>
          <w:rFonts w:ascii="Times New Roman" w:eastAsia="Times New Roman" w:hAnsi="Times New Roman" w:cs="Times New Roman"/>
          <w:sz w:val="24"/>
          <w:szCs w:val="24"/>
        </w:rPr>
        <w:t xml:space="preserve">Energoefektivitātes paaugstināšanu </w:t>
      </w:r>
      <w:r w:rsidR="00DC325B">
        <w:rPr>
          <w:rFonts w:ascii="Times New Roman" w:eastAsia="Times New Roman" w:hAnsi="Times New Roman" w:cs="Times New Roman"/>
          <w:sz w:val="24"/>
          <w:szCs w:val="24"/>
        </w:rPr>
        <w:t xml:space="preserve">centralizētajā, </w:t>
      </w:r>
      <w:r w:rsidRPr="00930237">
        <w:rPr>
          <w:rFonts w:ascii="Times New Roman" w:eastAsia="Times New Roman" w:hAnsi="Times New Roman" w:cs="Times New Roman"/>
          <w:sz w:val="24"/>
          <w:szCs w:val="24"/>
        </w:rPr>
        <w:t>lokālajā un individuālajā siltumapagādē un aukstumapgādē</w:t>
      </w:r>
      <w:r w:rsidR="00DC325B">
        <w:rPr>
          <w:rFonts w:ascii="Times New Roman" w:eastAsia="Times New Roman" w:hAnsi="Times New Roman" w:cs="Times New Roman"/>
          <w:sz w:val="24"/>
          <w:szCs w:val="24"/>
        </w:rPr>
        <w:t>,</w:t>
      </w:r>
      <w:r w:rsidR="00DC325B" w:rsidRPr="00DC325B">
        <w:t xml:space="preserve"> </w:t>
      </w:r>
      <w:r w:rsidR="00DC325B" w:rsidRPr="00DC325B">
        <w:rPr>
          <w:rFonts w:ascii="Times New Roman" w:eastAsia="Times New Roman" w:hAnsi="Times New Roman" w:cs="Times New Roman"/>
          <w:sz w:val="24"/>
          <w:szCs w:val="24"/>
        </w:rPr>
        <w:t>iespēju robežās ievērojot aprites ekonomikas principus; AER un ne-emisiju tehnoloģiju izmantošana centralizētajā siltumapgādē, siltumenerģijas pārvades tīklu energoefektivitātes paaugstināšana</w:t>
      </w:r>
      <w:r w:rsidRPr="00930237">
        <w:rPr>
          <w:rFonts w:ascii="Times New Roman" w:eastAsia="Times New Roman" w:hAnsi="Times New Roman" w:cs="Times New Roman"/>
          <w:sz w:val="24"/>
          <w:szCs w:val="24"/>
        </w:rPr>
        <w:t>.</w:t>
      </w:r>
    </w:p>
    <w:p w14:paraId="00EC9115" w14:textId="5594D16A"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eastAsia="Times New Roman" w:hAnsi="Times New Roman" w:cs="Times New Roman"/>
          <w:b/>
          <w:sz w:val="24"/>
          <w:szCs w:val="24"/>
        </w:rPr>
        <w:t xml:space="preserve">Galvenās mērķgrupas: </w:t>
      </w:r>
      <w:r w:rsidRPr="00930237">
        <w:rPr>
          <w:rFonts w:ascii="Times New Roman" w:hAnsi="Times New Roman" w:cs="Times New Roman"/>
          <w:sz w:val="24"/>
          <w:szCs w:val="24"/>
        </w:rPr>
        <w:t xml:space="preserve">Dzīvojamo māju īpašnieki, </w:t>
      </w:r>
      <w:r w:rsidR="00DC325B" w:rsidRPr="00DC325B">
        <w:rPr>
          <w:rFonts w:ascii="Times New Roman" w:hAnsi="Times New Roman" w:cs="Times New Roman"/>
          <w:sz w:val="24"/>
          <w:szCs w:val="24"/>
        </w:rPr>
        <w:t>dzīvojamo māju īpašnieku biedrības,</w:t>
      </w:r>
      <w:r w:rsidR="00DC325B">
        <w:rPr>
          <w:rFonts w:ascii="Times New Roman" w:hAnsi="Times New Roman" w:cs="Times New Roman"/>
          <w:sz w:val="24"/>
          <w:szCs w:val="24"/>
        </w:rPr>
        <w:t xml:space="preserve"> </w:t>
      </w:r>
      <w:r w:rsidRPr="00930237">
        <w:rPr>
          <w:rFonts w:ascii="Times New Roman" w:hAnsi="Times New Roman" w:cs="Times New Roman"/>
          <w:sz w:val="24"/>
          <w:szCs w:val="24"/>
        </w:rPr>
        <w:t>energopakalpojumu sniedzēji (ESCO)</w:t>
      </w:r>
      <w:r w:rsidRPr="00930237">
        <w:rPr>
          <w:rFonts w:ascii="Times New Roman" w:hAnsi="Times New Roman" w:cs="Times New Roman"/>
          <w:sz w:val="24"/>
          <w:szCs w:val="24"/>
          <w:vertAlign w:val="superscript"/>
        </w:rPr>
        <w:footnoteReference w:id="101"/>
      </w:r>
      <w:r w:rsidRPr="00930237">
        <w:rPr>
          <w:rFonts w:ascii="Times New Roman" w:hAnsi="Times New Roman" w:cs="Times New Roman"/>
          <w:sz w:val="24"/>
          <w:szCs w:val="24"/>
        </w:rPr>
        <w:t xml:space="preserve">, nekustamo īpašumu attīstītāji, ciematu īpašnieki. Valsts institūcijas, valsts kapitālsabiedrības (ja īpašumtiesības pieder valstij un ēku izmanto pārvaldes, izglītības, kultūras, veselības vai sociālo funkciju veikšanai), biedrības un nodibinājumi (ja ēkā veic valsts deleģētus uzdevumus vai pienākumus sociālā jomā), </w:t>
      </w:r>
      <w:r w:rsidR="000343B5">
        <w:rPr>
          <w:rFonts w:ascii="Times New Roman" w:hAnsi="Times New Roman" w:cs="Times New Roman"/>
          <w:sz w:val="24"/>
          <w:szCs w:val="24"/>
        </w:rPr>
        <w:t xml:space="preserve">plānošanas reģioni, </w:t>
      </w:r>
      <w:r w:rsidRPr="00930237">
        <w:rPr>
          <w:rFonts w:ascii="Times New Roman" w:hAnsi="Times New Roman" w:cs="Times New Roman"/>
          <w:sz w:val="24"/>
          <w:szCs w:val="24"/>
        </w:rPr>
        <w:t xml:space="preserve">pašvaldības un to iestādes, pašvaldību kapitālsabiedrības. Profesionālās izglītības iestādes, koledžas, koledžu un profesionālās izglītības iestāžu audzēkņi, valsts augstskolas un tās aģentūras, valsts zinātniskais institūts – atvasināta publiska persona un zinātniskais institūts – atvasināta publiska persona, kas ir valsts dibinātas universitātes pārraudzībā. Komersanti; </w:t>
      </w:r>
      <w:r w:rsidRPr="00930237">
        <w:rPr>
          <w:rFonts w:ascii="Times New Roman" w:eastAsia="Times New Roman" w:hAnsi="Times New Roman" w:cs="Times New Roman"/>
          <w:iCs/>
          <w:sz w:val="24"/>
          <w:szCs w:val="24"/>
        </w:rPr>
        <w:t xml:space="preserve">centralizētās, lokālās siltumapgādes patērētāji, individuālās siltumapgādes patērētāji, </w:t>
      </w:r>
      <w:r w:rsidRPr="00930237">
        <w:rPr>
          <w:rFonts w:ascii="Times New Roman" w:eastAsia="Times New Roman" w:hAnsi="Times New Roman" w:cs="Times New Roman"/>
          <w:iCs/>
          <w:sz w:val="24"/>
          <w:szCs w:val="24"/>
          <w:lang w:bidi="lv-LV"/>
        </w:rPr>
        <w:t>kā arī uzņēmumu, kas nodrošina siltumapgādes un aukstumapgādes pakalpojumus, pašvaldības, rūpniecības uzņēmumi</w:t>
      </w:r>
      <w:r w:rsidRPr="00930237">
        <w:rPr>
          <w:rFonts w:ascii="Times New Roman" w:eastAsia="Times New Roman" w:hAnsi="Times New Roman" w:cs="Times New Roman"/>
          <w:iCs/>
          <w:sz w:val="24"/>
          <w:szCs w:val="24"/>
        </w:rPr>
        <w:t>.</w:t>
      </w:r>
    </w:p>
    <w:p w14:paraId="0E867CBE" w14:textId="1F23E050" w:rsidR="00AC212B" w:rsidRPr="00930237" w:rsidRDefault="00AC212B" w:rsidP="007545BD">
      <w:pPr>
        <w:pStyle w:val="Normal1"/>
        <w:numPr>
          <w:ilvl w:val="0"/>
          <w:numId w:val="60"/>
        </w:numPr>
        <w:spacing w:line="240" w:lineRule="auto"/>
        <w:ind w:left="567" w:hanging="567"/>
        <w:jc w:val="both"/>
        <w:rPr>
          <w:rFonts w:ascii="Times New Roman" w:eastAsia="Times New Roman" w:hAnsi="Times New Roman" w:cs="Times New Roman"/>
          <w:sz w:val="24"/>
          <w:szCs w:val="24"/>
        </w:rPr>
      </w:pPr>
      <w:r w:rsidRPr="00930237">
        <w:rPr>
          <w:rFonts w:ascii="Times New Roman" w:hAnsi="Times New Roman" w:cs="Times New Roman"/>
          <w:b/>
          <w:sz w:val="24"/>
          <w:szCs w:val="24"/>
        </w:rPr>
        <w:t>Darbības, kas nodrošina vienlīdzību, iekļaušanu un nediskrimināciju:</w:t>
      </w:r>
      <w:r w:rsidRPr="00930237">
        <w:rPr>
          <w:rFonts w:ascii="Times New Roman" w:hAnsi="Times New Roman" w:cs="Times New Roman"/>
          <w:sz w:val="24"/>
          <w:szCs w:val="24"/>
        </w:rPr>
        <w:t xml:space="preserve"> </w:t>
      </w:r>
      <w:r w:rsidRPr="00930237">
        <w:rPr>
          <w:rFonts w:ascii="Times New Roman" w:eastAsia="Times New Roman" w:hAnsi="Times New Roman" w:cs="Times New Roman"/>
          <w:sz w:val="24"/>
          <w:szCs w:val="24"/>
        </w:rPr>
        <w:t xml:space="preserve">Veicot ieguldījumus energoefektivitātes </w:t>
      </w:r>
      <w:r w:rsidRPr="00930237">
        <w:rPr>
          <w:rFonts w:ascii="Times New Roman" w:hAnsi="Times New Roman" w:cs="Times New Roman"/>
          <w:bCs/>
          <w:sz w:val="24"/>
          <w:szCs w:val="24"/>
        </w:rPr>
        <w:t>paaugstināšanā</w:t>
      </w:r>
      <w:r w:rsidRPr="00930237">
        <w:rPr>
          <w:rFonts w:ascii="Times New Roman" w:hAnsi="Times New Roman" w:cs="Times New Roman"/>
          <w:b/>
          <w:bCs/>
          <w:sz w:val="24"/>
          <w:szCs w:val="24"/>
        </w:rPr>
        <w:t xml:space="preserve"> </w:t>
      </w:r>
      <w:r w:rsidRPr="00930237">
        <w:rPr>
          <w:rFonts w:ascii="Times New Roman" w:eastAsia="Times New Roman" w:hAnsi="Times New Roman" w:cs="Times New Roman"/>
          <w:sz w:val="24"/>
          <w:szCs w:val="24"/>
        </w:rPr>
        <w:t xml:space="preserve">un siltumnīcefekta gāzu emisiju samazināšanā, t.sk. publiski pieejamo ēku, tostarp dzīvojamo ēku, kā daudzdzīvokļu, privātmāju un neliela skaita ēku kompleksu, </w:t>
      </w:r>
      <w:r w:rsidR="00DC325B" w:rsidRPr="38C37856">
        <w:rPr>
          <w:rFonts w:ascii="Times New Roman" w:eastAsia="Times New Roman" w:hAnsi="Times New Roman" w:cs="Times New Roman"/>
          <w:sz w:val="24"/>
          <w:szCs w:val="24"/>
        </w:rPr>
        <w:t>energoefektivitātes uzlabošanā</w:t>
      </w:r>
      <w:r w:rsidRPr="00930237">
        <w:rPr>
          <w:rFonts w:ascii="Times New Roman" w:eastAsia="Times New Roman" w:hAnsi="Times New Roman" w:cs="Times New Roman"/>
          <w:sz w:val="24"/>
          <w:szCs w:val="24"/>
        </w:rPr>
        <w:t>, tiks nodrošināta vides un informācijas pieejamība personām ar funkcionāliem traucējumiem, ievērojot būvnormatīvos noteiktās prasības.</w:t>
      </w:r>
    </w:p>
    <w:p w14:paraId="586C3BA5" w14:textId="4932BEA0"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Mērķteritorijas, t.</w:t>
      </w:r>
      <w:r w:rsidRPr="00930237">
        <w:rPr>
          <w:rFonts w:ascii="Times New Roman" w:hAnsi="Times New Roman" w:cs="Times New Roman"/>
          <w:sz w:val="24"/>
          <w:szCs w:val="24"/>
        </w:rPr>
        <w:t>sk. plānotais teritoriālo rīku izmantojums: Visa Latvija</w:t>
      </w:r>
      <w:r w:rsidR="00E539A4">
        <w:rPr>
          <w:rFonts w:ascii="Times New Roman" w:hAnsi="Times New Roman" w:cs="Times New Roman"/>
          <w:sz w:val="24"/>
          <w:szCs w:val="24"/>
        </w:rPr>
        <w:t xml:space="preserve">, </w:t>
      </w:r>
      <w:r w:rsidR="00E539A4" w:rsidRPr="00E539A4">
        <w:rPr>
          <w:rFonts w:ascii="Times New Roman" w:hAnsi="Times New Roman" w:cs="Times New Roman"/>
          <w:sz w:val="24"/>
          <w:szCs w:val="24"/>
        </w:rPr>
        <w:t xml:space="preserve"> attiecībā uz ieguldījumiem pašvaldību ēku energoefektivitātes uzlabošanai paredzēts pielietot teritoriālo rīku, balstoties uz reģionu </w:t>
      </w:r>
      <w:r w:rsidR="000343B5">
        <w:rPr>
          <w:rFonts w:ascii="Times New Roman" w:hAnsi="Times New Roman" w:cs="Times New Roman"/>
          <w:sz w:val="24"/>
          <w:szCs w:val="24"/>
        </w:rPr>
        <w:t xml:space="preserve">un pašvaldību </w:t>
      </w:r>
      <w:r w:rsidR="00E539A4" w:rsidRPr="00E539A4">
        <w:rPr>
          <w:rFonts w:ascii="Times New Roman" w:hAnsi="Times New Roman" w:cs="Times New Roman"/>
          <w:sz w:val="24"/>
          <w:szCs w:val="24"/>
        </w:rPr>
        <w:t xml:space="preserve">attīstības </w:t>
      </w:r>
      <w:r w:rsidR="000343B5">
        <w:rPr>
          <w:rFonts w:ascii="Times New Roman" w:hAnsi="Times New Roman" w:cs="Times New Roman"/>
          <w:sz w:val="24"/>
          <w:szCs w:val="24"/>
        </w:rPr>
        <w:t>plānošanas dokumentiem</w:t>
      </w:r>
      <w:r w:rsidRPr="00930237">
        <w:rPr>
          <w:rFonts w:ascii="Times New Roman" w:hAnsi="Times New Roman" w:cs="Times New Roman"/>
          <w:sz w:val="24"/>
          <w:szCs w:val="24"/>
        </w:rPr>
        <w:t>.</w:t>
      </w:r>
    </w:p>
    <w:p w14:paraId="4B391E3E" w14:textId="3E6114E2"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Starpreģionālās, pārrobežu un transnacionālās darbības:</w:t>
      </w:r>
      <w:r w:rsidRPr="00930237">
        <w:rPr>
          <w:rFonts w:ascii="Times New Roman" w:hAnsi="Times New Roman" w:cs="Times New Roman"/>
          <w:sz w:val="24"/>
          <w:szCs w:val="24"/>
        </w:rPr>
        <w:t xml:space="preserve"> Baltijas Jūras reģiona ietvaros tiek turpināta Baltijas līderu programmā (kas veidota sadarbībā ar Zviedru Institūtu), veicot secīgu sanāksmju un diskusiju sēriju, kas salīdzinās Baltijas jūras reģiona dalībvalstu praksi, realizējot daudzdzīvokļu ēku </w:t>
      </w:r>
      <w:r w:rsidR="00027FEF" w:rsidRPr="00027FEF">
        <w:rPr>
          <w:rFonts w:ascii="Times New Roman" w:hAnsi="Times New Roman" w:cs="Times New Roman"/>
          <w:sz w:val="24"/>
          <w:szCs w:val="24"/>
        </w:rPr>
        <w:t>energoefektivitātes uzlabošanas</w:t>
      </w:r>
      <w:r w:rsidRPr="00930237">
        <w:rPr>
          <w:rFonts w:ascii="Times New Roman" w:hAnsi="Times New Roman" w:cs="Times New Roman"/>
          <w:sz w:val="24"/>
          <w:szCs w:val="24"/>
        </w:rPr>
        <w:t xml:space="preserve"> projektus. Kā rezultātā tiek plānots ne tikai salīdzināt procesus, bet arī izskatīt procesu optimizācijas iespējas un meklēt inovatīvus finanšu instrumentu programmas mehānismus.</w:t>
      </w:r>
      <w:r w:rsidRPr="00930237">
        <w:rPr>
          <w:rFonts w:ascii="Times New Roman" w:hAnsi="Times New Roman" w:cs="Times New Roman"/>
        </w:rPr>
        <w:t xml:space="preserve"> </w:t>
      </w:r>
      <w:r w:rsidRPr="00930237">
        <w:rPr>
          <w:rFonts w:ascii="Times New Roman" w:hAnsi="Times New Roman" w:cs="Times New Roman"/>
          <w:sz w:val="24"/>
          <w:szCs w:val="24"/>
        </w:rPr>
        <w:t xml:space="preserve">Plānota līdzdarboties Zviedru Institūta Seed Money projektā, kura rezultātā tiks veikta institūciju kartēšanu, kas strādā pie energoefektivitātes veicināšanas un darbojas Baltijas reģiona valstīs. Kā arī vēl viena Zviedru Institūta Seed Money projektā ir plānots salīdzināt un analizēt energoefektivitātes komunikācijas stratēģijas no Baltijas jūras reģiona valstu prakses, apkopot vispārēju komunikācijas stratēģiju ekspertu pieejas un izstrādāt, uz tām balstītu, Baltijas jūras reģionam piemērotu stratēģiju, kas varētu uzlabot, veicināt un nodrošina komunikāciju par energoefektivitāti Baltijas jūras reģionā. </w:t>
      </w:r>
    </w:p>
    <w:p w14:paraId="694A04E4" w14:textId="77777777"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Līdzdarbība INTERREG līdzfinansētajā projektā “CAMS Platform”, kuras mērķis ir pētīt, kā uzlabot energoefektivitātes pasākumus un tādā veidā palielināt būvniecības nozares elastību un noturību pret klimata pārmaiņu radīto negatīvo ietekmi, kā uzlabot energoauditu veikšanas procesu, kā arī izstrādāt pieejamu energoauditu datu bāzi un vienotus energoefektivitātes kritērijus ēkām.</w:t>
      </w:r>
    </w:p>
    <w:p w14:paraId="57AA8CE6" w14:textId="303D5464" w:rsidR="00AC212B" w:rsidRPr="00930237" w:rsidRDefault="0002461B" w:rsidP="007545BD">
      <w:pPr>
        <w:pStyle w:val="ListParagraph"/>
        <w:numPr>
          <w:ilvl w:val="0"/>
          <w:numId w:val="60"/>
        </w:numPr>
        <w:spacing w:after="0" w:line="240" w:lineRule="auto"/>
        <w:ind w:left="567" w:hanging="567"/>
        <w:jc w:val="both"/>
        <w:rPr>
          <w:rFonts w:ascii="Times New Roman" w:eastAsia="Arial" w:hAnsi="Times New Roman" w:cs="Times New Roman"/>
          <w:color w:val="FF0000"/>
          <w:sz w:val="24"/>
          <w:szCs w:val="24"/>
          <w:lang w:eastAsia="en-US" w:bidi="ar-SA"/>
        </w:rPr>
      </w:pPr>
      <w:r>
        <w:rPr>
          <w:rFonts w:ascii="Times New Roman" w:hAnsi="Times New Roman" w:cs="Times New Roman"/>
          <w:b/>
          <w:sz w:val="24"/>
          <w:szCs w:val="24"/>
        </w:rPr>
        <w:t>F</w:t>
      </w:r>
      <w:r w:rsidR="00AC212B" w:rsidRPr="00930237">
        <w:rPr>
          <w:rFonts w:ascii="Times New Roman" w:hAnsi="Times New Roman" w:cs="Times New Roman"/>
          <w:b/>
          <w:sz w:val="24"/>
          <w:szCs w:val="24"/>
        </w:rPr>
        <w:t>inanšu instrumenti:</w:t>
      </w:r>
      <w:r w:rsidR="00AC212B" w:rsidRPr="00930237">
        <w:rPr>
          <w:rFonts w:ascii="Times New Roman" w:hAnsi="Times New Roman" w:cs="Times New Roman"/>
          <w:sz w:val="24"/>
          <w:szCs w:val="24"/>
        </w:rPr>
        <w:t xml:space="preserve"> </w:t>
      </w:r>
      <w:r w:rsidR="00AC212B" w:rsidRPr="00930237">
        <w:rPr>
          <w:rFonts w:ascii="Times New Roman" w:eastAsia="Arial" w:hAnsi="Times New Roman" w:cs="Times New Roman"/>
          <w:sz w:val="24"/>
          <w:szCs w:val="24"/>
          <w:lang w:eastAsia="en-US" w:bidi="ar-SA"/>
        </w:rPr>
        <w:t xml:space="preserve">tiks vērtēta iespēja izmantot finanšu instrumentu un dažādu atbalsta formu kombināciju (t.sk., iespēju izmantot ESCO). </w:t>
      </w:r>
    </w:p>
    <w:p w14:paraId="44EC26E0" w14:textId="77777777" w:rsidR="00AC212B" w:rsidRPr="00930237" w:rsidRDefault="00AC212B" w:rsidP="00AC212B">
      <w:pPr>
        <w:pStyle w:val="ListParagraph"/>
        <w:spacing w:after="0" w:line="240" w:lineRule="auto"/>
        <w:ind w:left="426"/>
        <w:jc w:val="both"/>
        <w:rPr>
          <w:rFonts w:ascii="Times New Roman" w:eastAsia="Arial" w:hAnsi="Times New Roman" w:cs="Times New Roman"/>
          <w:color w:val="FF0000"/>
          <w:sz w:val="24"/>
          <w:szCs w:val="24"/>
          <w:lang w:eastAsia="en-US" w:bidi="ar-SA"/>
        </w:rPr>
      </w:pPr>
    </w:p>
    <w:p w14:paraId="329C389E" w14:textId="77777777" w:rsidR="00AC212B" w:rsidRPr="00930237" w:rsidRDefault="00AC212B" w:rsidP="00AC212B">
      <w:pPr>
        <w:pStyle w:val="Heading4"/>
        <w:numPr>
          <w:ilvl w:val="0"/>
          <w:numId w:val="0"/>
        </w:numPr>
        <w:shd w:val="clear" w:color="auto" w:fill="FBE4D5" w:themeFill="accent2" w:themeFillTint="33"/>
        <w:spacing w:after="0"/>
        <w:jc w:val="left"/>
        <w:rPr>
          <w:b/>
          <w:noProof/>
          <w:sz w:val="28"/>
        </w:rPr>
      </w:pPr>
      <w:r w:rsidRPr="00930237">
        <w:rPr>
          <w:b/>
          <w:noProof/>
        </w:rPr>
        <w:t xml:space="preserve">2.1.2.SAM “Atjaunojamo energoresursu enerģijas veicināšana” </w:t>
      </w:r>
    </w:p>
    <w:p w14:paraId="2E34C5B0" w14:textId="77777777" w:rsidR="00AC212B" w:rsidRPr="00930237" w:rsidRDefault="00AC212B" w:rsidP="007545BD">
      <w:pPr>
        <w:pStyle w:val="ListParagraph"/>
        <w:numPr>
          <w:ilvl w:val="0"/>
          <w:numId w:val="60"/>
        </w:numPr>
        <w:spacing w:after="0" w:line="240" w:lineRule="auto"/>
        <w:ind w:left="567" w:hanging="567"/>
        <w:jc w:val="both"/>
        <w:textAlignment w:val="baseline"/>
        <w:rPr>
          <w:rFonts w:ascii="Times New Roman" w:hAnsi="Times New Roman" w:cs="Times New Roman"/>
          <w:sz w:val="24"/>
          <w:szCs w:val="24"/>
        </w:rPr>
      </w:pPr>
      <w:r w:rsidRPr="00930237">
        <w:rPr>
          <w:rFonts w:ascii="Times New Roman" w:hAnsi="Times New Roman" w:cs="Times New Roman"/>
          <w:b/>
          <w:noProof/>
          <w:sz w:val="24"/>
          <w:szCs w:val="24"/>
        </w:rPr>
        <w:t xml:space="preserve">Atbalstāmās darbības: </w:t>
      </w:r>
      <w:r w:rsidRPr="00930237">
        <w:rPr>
          <w:rFonts w:ascii="Times New Roman" w:hAnsi="Times New Roman" w:cs="Times New Roman"/>
          <w:sz w:val="24"/>
          <w:szCs w:val="24"/>
        </w:rPr>
        <w:t>Kompetences un kapacitātes celšana AER un gaisa piesārņojuma jautājumos (izglītoti/sagatavoti projekta rakstītāji, ekspertu pieejamība, projektu vadītāji);</w:t>
      </w:r>
    </w:p>
    <w:p w14:paraId="3990C4EF" w14:textId="77777777" w:rsidR="00AC212B" w:rsidRPr="00930237"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iCs/>
          <w:sz w:val="24"/>
          <w:szCs w:val="24"/>
        </w:rPr>
      </w:pPr>
      <w:bookmarkStart w:id="24" w:name="_Hlk37067104"/>
      <w:r w:rsidRPr="00930237">
        <w:rPr>
          <w:rFonts w:ascii="Times New Roman" w:eastAsia="Times New Roman" w:hAnsi="Times New Roman" w:cs="Times New Roman"/>
          <w:iCs/>
          <w:sz w:val="24"/>
          <w:szCs w:val="24"/>
        </w:rPr>
        <w:t xml:space="preserve">Saules elektroenerģijas ražošanas iekārtu (vismaz 1 MW),  </w:t>
      </w:r>
      <w:bookmarkEnd w:id="24"/>
      <w:r w:rsidRPr="00930237">
        <w:rPr>
          <w:rFonts w:ascii="Times New Roman" w:eastAsia="Times New Roman" w:hAnsi="Times New Roman" w:cs="Times New Roman"/>
          <w:iCs/>
          <w:sz w:val="24"/>
          <w:szCs w:val="24"/>
        </w:rPr>
        <w:t>akumulācijas iekārtu un ar to darbību saistīto viedo risinājumu uzstādīšana.</w:t>
      </w:r>
    </w:p>
    <w:p w14:paraId="01DFD00E" w14:textId="3E67E354"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rPr>
        <w:t xml:space="preserve"> </w:t>
      </w:r>
      <w:r w:rsidRPr="00930237">
        <w:rPr>
          <w:rFonts w:ascii="Times New Roman" w:hAnsi="Times New Roman" w:cs="Times New Roman"/>
          <w:sz w:val="24"/>
          <w:szCs w:val="24"/>
        </w:rPr>
        <w:t xml:space="preserve">Biogāzes attīrīšanas (biometāna ražošanas) iekārtu uzstādīšana, biometāna transportēšanai </w:t>
      </w:r>
      <w:r w:rsidR="000343B5">
        <w:rPr>
          <w:rFonts w:ascii="Times New Roman" w:hAnsi="Times New Roman" w:cs="Times New Roman"/>
          <w:sz w:val="24"/>
          <w:szCs w:val="24"/>
        </w:rPr>
        <w:t xml:space="preserve">vai uzpildei </w:t>
      </w:r>
      <w:r w:rsidRPr="00930237">
        <w:rPr>
          <w:rFonts w:ascii="Times New Roman" w:hAnsi="Times New Roman" w:cs="Times New Roman"/>
          <w:sz w:val="24"/>
          <w:szCs w:val="24"/>
        </w:rPr>
        <w:t>nepieciešamās infrastruktūras izveide, t</w:t>
      </w:r>
      <w:r w:rsidR="00102172">
        <w:rPr>
          <w:rFonts w:ascii="Times New Roman" w:hAnsi="Times New Roman" w:cs="Times New Roman"/>
          <w:sz w:val="24"/>
          <w:szCs w:val="24"/>
        </w:rPr>
        <w:t>.sk.</w:t>
      </w:r>
      <w:r w:rsidRPr="00930237">
        <w:rPr>
          <w:rFonts w:ascii="Times New Roman" w:hAnsi="Times New Roman" w:cs="Times New Roman"/>
          <w:sz w:val="24"/>
          <w:szCs w:val="24"/>
        </w:rPr>
        <w:t>, izveidojot pieslēgumus pie gāzes pārvades vai sadales tīkliem.</w:t>
      </w:r>
    </w:p>
    <w:p w14:paraId="023D6AA7" w14:textId="02778A23"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noProof/>
          <w:sz w:val="24"/>
          <w:szCs w:val="24"/>
        </w:rPr>
        <w:t xml:space="preserve">Galvenās mērķgrupas: </w:t>
      </w:r>
      <w:r w:rsidRPr="00930237">
        <w:rPr>
          <w:rFonts w:ascii="Times New Roman" w:hAnsi="Times New Roman" w:cs="Times New Roman"/>
          <w:noProof/>
          <w:sz w:val="24"/>
          <w:szCs w:val="24"/>
        </w:rPr>
        <w:t>Komersanti,</w:t>
      </w:r>
      <w:r w:rsidR="000343B5">
        <w:rPr>
          <w:rFonts w:ascii="Times New Roman" w:hAnsi="Times New Roman" w:cs="Times New Roman"/>
          <w:noProof/>
          <w:sz w:val="24"/>
          <w:szCs w:val="24"/>
        </w:rPr>
        <w:t xml:space="preserve"> t.sk. sadzīves atkritumu poligoni,</w:t>
      </w:r>
      <w:r w:rsidRPr="00930237">
        <w:rPr>
          <w:rFonts w:ascii="Times New Roman" w:hAnsi="Times New Roman" w:cs="Times New Roman"/>
          <w:noProof/>
          <w:sz w:val="24"/>
          <w:szCs w:val="24"/>
        </w:rPr>
        <w:t xml:space="preserve"> kooperatīvi, </w:t>
      </w:r>
      <w:r w:rsidRPr="00930237">
        <w:rPr>
          <w:rFonts w:ascii="Times New Roman" w:hAnsi="Times New Roman" w:cs="Times New Roman"/>
          <w:sz w:val="24"/>
          <w:szCs w:val="24"/>
        </w:rPr>
        <w:t xml:space="preserve">energokopienas, </w:t>
      </w:r>
      <w:r w:rsidR="00027FEF" w:rsidRPr="00930237">
        <w:rPr>
          <w:rFonts w:ascii="Times New Roman" w:hAnsi="Times New Roman" w:cs="Times New Roman"/>
          <w:sz w:val="24"/>
          <w:szCs w:val="24"/>
        </w:rPr>
        <w:t>bio</w:t>
      </w:r>
      <w:r w:rsidR="00027FEF">
        <w:rPr>
          <w:rFonts w:ascii="Times New Roman" w:hAnsi="Times New Roman" w:cs="Times New Roman"/>
          <w:sz w:val="24"/>
          <w:szCs w:val="24"/>
        </w:rPr>
        <w:t>gāzes</w:t>
      </w:r>
      <w:r w:rsidR="008E6893">
        <w:rPr>
          <w:rFonts w:ascii="Times New Roman" w:hAnsi="Times New Roman" w:cs="Times New Roman"/>
          <w:sz w:val="24"/>
          <w:szCs w:val="24"/>
        </w:rPr>
        <w:t xml:space="preserve"> </w:t>
      </w:r>
      <w:r w:rsidRPr="00930237">
        <w:rPr>
          <w:rFonts w:ascii="Times New Roman" w:hAnsi="Times New Roman" w:cs="Times New Roman"/>
          <w:sz w:val="24"/>
          <w:szCs w:val="24"/>
        </w:rPr>
        <w:t>ražotāji.</w:t>
      </w:r>
    </w:p>
    <w:p w14:paraId="093139AD" w14:textId="77777777"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Darbības, kas nodrošina vienlīdzību, iekļaušanu un nediskrimināciju:</w:t>
      </w:r>
      <w:r w:rsidRPr="00930237">
        <w:rPr>
          <w:rFonts w:ascii="Times New Roman" w:hAnsi="Times New Roman" w:cs="Times New Roman"/>
          <w:sz w:val="24"/>
          <w:szCs w:val="24"/>
        </w:rPr>
        <w:t xml:space="preserve"> Projektu un pasākumu īstenošanā un vadībā tiks nodrošināta informācijas un vides pieejamības, nediskriminācijas pēc vecuma, dzimuma, etniskās piederības u.c. pazīmes un vienlīdzīgu iespēju principu ievērošana.</w:t>
      </w:r>
    </w:p>
    <w:p w14:paraId="407E6461" w14:textId="77777777"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Mērķteritorijas, t.sk. plānotais teritoriālo rīku izmantojums</w:t>
      </w:r>
      <w:r w:rsidRPr="00930237">
        <w:rPr>
          <w:rFonts w:ascii="Times New Roman" w:hAnsi="Times New Roman" w:cs="Times New Roman"/>
          <w:sz w:val="24"/>
          <w:szCs w:val="24"/>
        </w:rPr>
        <w:t>: Visa Latvija.</w:t>
      </w:r>
    </w:p>
    <w:p w14:paraId="4BDDBAD8" w14:textId="68EB20FF"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Cs w:val="24"/>
        </w:rPr>
      </w:pPr>
      <w:r w:rsidRPr="00930237">
        <w:rPr>
          <w:rFonts w:ascii="Times New Roman" w:hAnsi="Times New Roman" w:cs="Times New Roman"/>
          <w:b/>
          <w:sz w:val="24"/>
          <w:szCs w:val="24"/>
        </w:rPr>
        <w:t>Starpreģionālās, pārrobežu un transnacionālās darbības:</w:t>
      </w:r>
      <w:r w:rsidRPr="00930237">
        <w:rPr>
          <w:rFonts w:ascii="Times New Roman" w:hAnsi="Times New Roman" w:cs="Times New Roman"/>
          <w:b/>
          <w:szCs w:val="24"/>
        </w:rPr>
        <w:t xml:space="preserve"> </w:t>
      </w:r>
      <w:r w:rsidR="00027FEF">
        <w:rPr>
          <w:rFonts w:ascii="Times New Roman" w:hAnsi="Times New Roman" w:cs="Times New Roman"/>
          <w:sz w:val="24"/>
          <w:szCs w:val="24"/>
        </w:rPr>
        <w:t>N/A</w:t>
      </w:r>
    </w:p>
    <w:p w14:paraId="1455BD6C" w14:textId="1A061E15" w:rsidR="00AC212B" w:rsidRPr="00930237" w:rsidRDefault="0002461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Pr>
          <w:rFonts w:ascii="Times New Roman" w:hAnsi="Times New Roman" w:cs="Times New Roman"/>
          <w:b/>
          <w:sz w:val="24"/>
          <w:szCs w:val="24"/>
        </w:rPr>
        <w:t>F</w:t>
      </w:r>
      <w:r w:rsidR="00AC212B" w:rsidRPr="00930237">
        <w:rPr>
          <w:rFonts w:ascii="Times New Roman" w:hAnsi="Times New Roman" w:cs="Times New Roman"/>
          <w:b/>
          <w:sz w:val="24"/>
          <w:szCs w:val="24"/>
        </w:rPr>
        <w:t>inanšu instrumenti:</w:t>
      </w:r>
      <w:r w:rsidR="00AC212B" w:rsidRPr="00930237">
        <w:rPr>
          <w:rFonts w:ascii="Times New Roman" w:hAnsi="Times New Roman" w:cs="Times New Roman"/>
          <w:sz w:val="24"/>
          <w:szCs w:val="24"/>
        </w:rPr>
        <w:t xml:space="preserve"> Tiks izvērtēta iespēja pasākuma īstenošanai, izmantot finanšu instrumentus kombinācijā ar dotāciju.</w:t>
      </w:r>
    </w:p>
    <w:p w14:paraId="3850A09E" w14:textId="77777777" w:rsidR="00AC212B" w:rsidRPr="00930237" w:rsidRDefault="00AC212B" w:rsidP="00AC212B">
      <w:pPr>
        <w:spacing w:before="0" w:after="0"/>
        <w:rPr>
          <w:b/>
          <w:noProof/>
          <w:szCs w:val="24"/>
        </w:rPr>
      </w:pPr>
    </w:p>
    <w:p w14:paraId="082E92B6" w14:textId="77777777" w:rsidR="00AC212B" w:rsidRPr="00930237" w:rsidRDefault="00AC212B" w:rsidP="00AC212B">
      <w:pPr>
        <w:pStyle w:val="Heading4"/>
        <w:numPr>
          <w:ilvl w:val="0"/>
          <w:numId w:val="0"/>
        </w:numPr>
        <w:shd w:val="clear" w:color="auto" w:fill="FBE4D5" w:themeFill="accent2" w:themeFillTint="33"/>
        <w:spacing w:after="0"/>
        <w:rPr>
          <w:b/>
        </w:rPr>
      </w:pPr>
      <w:r w:rsidRPr="00930237">
        <w:rPr>
          <w:b/>
        </w:rPr>
        <w:t>2.1.3.SAM “Veicināt pielāgošanos klimata pārmaiņām, risku novēršanu un noturību pret katastrofām”</w:t>
      </w:r>
    </w:p>
    <w:p w14:paraId="1FBBA6D4" w14:textId="3288DE84" w:rsidR="000343B5" w:rsidRPr="000343B5" w:rsidRDefault="00AC212B" w:rsidP="007545BD">
      <w:pPr>
        <w:pStyle w:val="ListParagraph"/>
        <w:numPr>
          <w:ilvl w:val="0"/>
          <w:numId w:val="60"/>
        </w:numPr>
        <w:ind w:left="567" w:hanging="567"/>
        <w:jc w:val="both"/>
        <w:rPr>
          <w:rFonts w:ascii="Times New Roman" w:hAnsi="Times New Roman" w:cs="Times New Roman"/>
          <w:b/>
          <w:sz w:val="24"/>
          <w:szCs w:val="24"/>
        </w:rPr>
      </w:pPr>
      <w:r w:rsidRPr="000343B5">
        <w:rPr>
          <w:rFonts w:ascii="Times New Roman" w:hAnsi="Times New Roman" w:cs="Times New Roman"/>
          <w:b/>
          <w:sz w:val="24"/>
          <w:szCs w:val="24"/>
        </w:rPr>
        <w:t>Atbalstāmās darbības</w:t>
      </w:r>
      <w:r w:rsidR="00DA560F">
        <w:rPr>
          <w:rFonts w:ascii="Times New Roman" w:hAnsi="Times New Roman" w:cs="Times New Roman"/>
          <w:b/>
          <w:sz w:val="24"/>
          <w:szCs w:val="24"/>
        </w:rPr>
        <w:t>:</w:t>
      </w:r>
      <w:r w:rsidR="000343B5" w:rsidRPr="000343B5">
        <w:rPr>
          <w:rFonts w:ascii="Times New Roman" w:hAnsi="Times New Roman" w:cs="Times New Roman"/>
          <w:b/>
          <w:sz w:val="24"/>
          <w:szCs w:val="24"/>
        </w:rPr>
        <w:t xml:space="preserve"> </w:t>
      </w:r>
      <w:r w:rsidR="000343B5" w:rsidRPr="0078158C">
        <w:rPr>
          <w:rFonts w:ascii="Times New Roman" w:hAnsi="Times New Roman" w:cs="Times New Roman"/>
          <w:sz w:val="24"/>
          <w:szCs w:val="24"/>
        </w:rPr>
        <w:t>SAM ietvaros paredzētas</w:t>
      </w:r>
      <w:r w:rsidR="008E6893">
        <w:rPr>
          <w:rFonts w:ascii="Times New Roman" w:hAnsi="Times New Roman" w:cs="Times New Roman"/>
          <w:sz w:val="24"/>
          <w:szCs w:val="24"/>
        </w:rPr>
        <w:t>,</w:t>
      </w:r>
      <w:r w:rsidR="000343B5" w:rsidRPr="0078158C">
        <w:rPr>
          <w:rFonts w:ascii="Times New Roman" w:hAnsi="Times New Roman" w:cs="Times New Roman"/>
          <w:sz w:val="24"/>
          <w:szCs w:val="24"/>
        </w:rPr>
        <w:t xml:space="preserve"> lai novērstu, </w:t>
      </w:r>
      <w:r w:rsidR="008E6893">
        <w:rPr>
          <w:rFonts w:ascii="Times New Roman" w:hAnsi="Times New Roman" w:cs="Times New Roman"/>
          <w:sz w:val="24"/>
          <w:szCs w:val="24"/>
        </w:rPr>
        <w:t>pielāgotos</w:t>
      </w:r>
      <w:r w:rsidR="008E6893" w:rsidRPr="0078158C">
        <w:rPr>
          <w:rFonts w:ascii="Times New Roman" w:hAnsi="Times New Roman" w:cs="Times New Roman"/>
          <w:sz w:val="24"/>
          <w:szCs w:val="24"/>
        </w:rPr>
        <w:t xml:space="preserve"> </w:t>
      </w:r>
      <w:r w:rsidR="000343B5" w:rsidRPr="0078158C">
        <w:rPr>
          <w:rFonts w:ascii="Times New Roman" w:hAnsi="Times New Roman" w:cs="Times New Roman"/>
          <w:sz w:val="24"/>
          <w:szCs w:val="24"/>
        </w:rPr>
        <w:t>un reaģētu uz klimata pārmaiņām</w:t>
      </w:r>
      <w:r w:rsidR="000343B5" w:rsidRPr="000343B5">
        <w:rPr>
          <w:rFonts w:ascii="Times New Roman" w:hAnsi="Times New Roman" w:cs="Times New Roman"/>
          <w:b/>
          <w:sz w:val="24"/>
          <w:szCs w:val="24"/>
        </w:rPr>
        <w:t>.</w:t>
      </w:r>
    </w:p>
    <w:p w14:paraId="2BC54242" w14:textId="2590933A" w:rsidR="000A2D5F" w:rsidRPr="000A2D5F" w:rsidRDefault="000A2D5F" w:rsidP="007545BD">
      <w:pPr>
        <w:pStyle w:val="ListParagraph"/>
        <w:numPr>
          <w:ilvl w:val="0"/>
          <w:numId w:val="60"/>
        </w:numPr>
        <w:spacing w:after="0" w:line="240" w:lineRule="auto"/>
        <w:ind w:left="567" w:hanging="567"/>
        <w:jc w:val="both"/>
        <w:rPr>
          <w:rFonts w:ascii="Times New Roman" w:hAnsi="Times New Roman" w:cs="Times New Roman"/>
          <w:bCs/>
          <w:noProof/>
          <w:sz w:val="24"/>
          <w:szCs w:val="24"/>
        </w:rPr>
      </w:pPr>
      <w:r w:rsidRPr="000A2D5F">
        <w:rPr>
          <w:rFonts w:ascii="Times New Roman" w:hAnsi="Times New Roman" w:cs="Times New Roman"/>
          <w:sz w:val="24"/>
          <w:szCs w:val="24"/>
        </w:rPr>
        <w:t>Zaļās un zilās infrastruktūras risinājumu (piemēram, zaļās sienas, jumtu dārzi, peldošās salas, caurlaidīgi segumi, ēnu sniedzoši koki u.c.) un citu pielāgošanās klimata pārmaiņām pasākumu (piemēram, dzeramā ūdens piekļuves vietas, pilsētu lietus ūdens noteces sistēmas</w:t>
      </w:r>
      <w:r w:rsidR="000343B5">
        <w:rPr>
          <w:rFonts w:ascii="Times New Roman" w:hAnsi="Times New Roman" w:cs="Times New Roman"/>
          <w:sz w:val="24"/>
          <w:szCs w:val="24"/>
        </w:rPr>
        <w:t xml:space="preserve"> u.c.</w:t>
      </w:r>
      <w:r w:rsidRPr="000A2D5F">
        <w:rPr>
          <w:rFonts w:ascii="Times New Roman" w:hAnsi="Times New Roman" w:cs="Times New Roman"/>
          <w:sz w:val="24"/>
          <w:szCs w:val="24"/>
        </w:rPr>
        <w:t>), t.sk. izmantojot arī kombinācijā ar pelēkās infrastruktūras risinājumiem, īstenošana atbilstoši vietējām (pašvaldību) klimata pielāgošanās stratēģijām (pašvaldības attīstības programmas sastāvdaļa)</w:t>
      </w:r>
      <w:r w:rsidRPr="000A2D5F">
        <w:rPr>
          <w:rFonts w:ascii="Times New Roman" w:hAnsi="Times New Roman" w:cs="Times New Roman"/>
          <w:sz w:val="24"/>
          <w:szCs w:val="24"/>
          <w:vertAlign w:val="superscript"/>
        </w:rPr>
        <w:t xml:space="preserve"> </w:t>
      </w:r>
      <w:r w:rsidRPr="00930237">
        <w:rPr>
          <w:rFonts w:ascii="Times New Roman" w:hAnsi="Times New Roman" w:cs="Times New Roman"/>
          <w:sz w:val="24"/>
          <w:szCs w:val="24"/>
          <w:vertAlign w:val="superscript"/>
        </w:rPr>
        <w:footnoteReference w:id="102"/>
      </w:r>
      <w:r w:rsidRPr="000A2D5F">
        <w:rPr>
          <w:rFonts w:ascii="Times New Roman" w:hAnsi="Times New Roman" w:cs="Times New Roman"/>
          <w:sz w:val="24"/>
          <w:szCs w:val="24"/>
        </w:rPr>
        <w:t xml:space="preserve">, </w:t>
      </w:r>
      <w:r w:rsidR="000343B5">
        <w:rPr>
          <w:rFonts w:ascii="Times New Roman" w:hAnsi="Times New Roman" w:cs="Times New Roman"/>
          <w:sz w:val="24"/>
          <w:szCs w:val="24"/>
        </w:rPr>
        <w:t xml:space="preserve">risinot </w:t>
      </w:r>
      <w:r w:rsidRPr="000A2D5F">
        <w:rPr>
          <w:rFonts w:ascii="Times New Roman" w:hAnsi="Times New Roman" w:cs="Times New Roman"/>
          <w:sz w:val="24"/>
          <w:szCs w:val="24"/>
        </w:rPr>
        <w:t>sabiedrības un vides problēm</w:t>
      </w:r>
      <w:r w:rsidR="000343B5">
        <w:rPr>
          <w:rFonts w:ascii="Times New Roman" w:hAnsi="Times New Roman" w:cs="Times New Roman"/>
          <w:sz w:val="24"/>
          <w:szCs w:val="24"/>
        </w:rPr>
        <w:t>as</w:t>
      </w:r>
      <w:r w:rsidRPr="000A2D5F">
        <w:rPr>
          <w:rFonts w:ascii="Times New Roman" w:hAnsi="Times New Roman" w:cs="Times New Roman"/>
          <w:sz w:val="24"/>
          <w:szCs w:val="24"/>
        </w:rPr>
        <w:t xml:space="preserve"> </w:t>
      </w:r>
      <w:r w:rsidR="000343B5">
        <w:rPr>
          <w:rFonts w:ascii="Times New Roman" w:hAnsi="Times New Roman" w:cs="Times New Roman"/>
          <w:sz w:val="24"/>
          <w:szCs w:val="24"/>
        </w:rPr>
        <w:t>un</w:t>
      </w:r>
      <w:r w:rsidR="000343B5" w:rsidRPr="000A2D5F">
        <w:rPr>
          <w:rFonts w:ascii="Times New Roman" w:hAnsi="Times New Roman" w:cs="Times New Roman"/>
          <w:sz w:val="24"/>
          <w:szCs w:val="24"/>
        </w:rPr>
        <w:t xml:space="preserve"> </w:t>
      </w:r>
      <w:r w:rsidRPr="000A2D5F">
        <w:rPr>
          <w:rFonts w:ascii="Times New Roman" w:hAnsi="Times New Roman" w:cs="Times New Roman"/>
          <w:sz w:val="24"/>
          <w:szCs w:val="24"/>
        </w:rPr>
        <w:t xml:space="preserve">nodrošinot pozitīvu ietekmi </w:t>
      </w:r>
      <w:r w:rsidR="000343B5">
        <w:rPr>
          <w:rFonts w:ascii="Times New Roman" w:hAnsi="Times New Roman" w:cs="Times New Roman"/>
          <w:sz w:val="24"/>
          <w:szCs w:val="24"/>
        </w:rPr>
        <w:t xml:space="preserve">tādās </w:t>
      </w:r>
      <w:r w:rsidRPr="000A2D5F">
        <w:rPr>
          <w:rFonts w:ascii="Times New Roman" w:hAnsi="Times New Roman" w:cs="Times New Roman"/>
          <w:sz w:val="24"/>
          <w:szCs w:val="24"/>
        </w:rPr>
        <w:t xml:space="preserve">reģionālai attīstībai būtiskās jomās kā vietējās ekonomikas attīstība un pakalpojumu efektivitāte (izņemot tās aktivitātes, ko paredz plūdu riska pārvaldības plāni nacionālas nozīmes pasākumus plūdu un krasta erozijas risku novēršanai). </w:t>
      </w:r>
      <w:r w:rsidR="00E539A4" w:rsidRPr="00E539A4">
        <w:rPr>
          <w:rFonts w:ascii="Times New Roman" w:hAnsi="Times New Roman" w:cs="Times New Roman"/>
          <w:sz w:val="24"/>
          <w:szCs w:val="24"/>
        </w:rPr>
        <w:t>Atbalsts paredzēts arī ieguldījumiem jau esošajās dabas un apstādījumu teritorijās, kas ir nozīmīgs zaļās un zilās infrastruktūras tīklojuma pamatelements, t</w:t>
      </w:r>
      <w:r w:rsidR="00102172">
        <w:rPr>
          <w:rFonts w:ascii="Times New Roman" w:hAnsi="Times New Roman" w:cs="Times New Roman"/>
          <w:sz w:val="24"/>
          <w:szCs w:val="24"/>
        </w:rPr>
        <w:t>.sk.</w:t>
      </w:r>
      <w:r w:rsidR="00E539A4" w:rsidRPr="00E539A4">
        <w:rPr>
          <w:rFonts w:ascii="Times New Roman" w:hAnsi="Times New Roman" w:cs="Times New Roman"/>
          <w:sz w:val="24"/>
          <w:szCs w:val="24"/>
        </w:rPr>
        <w:t xml:space="preserve"> Baltijas jūras piekrastē. </w:t>
      </w:r>
      <w:r w:rsidRPr="000A2D5F">
        <w:rPr>
          <w:rFonts w:ascii="Times New Roman" w:hAnsi="Times New Roman" w:cs="Times New Roman"/>
          <w:sz w:val="24"/>
          <w:szCs w:val="24"/>
        </w:rPr>
        <w:t>Papildus tiks izskatīta iespēja noteikt arī nacionālu rezultāta rādītāju, kas vērtēs arī pozitīvo ietekmi uz reģionālo attīstību, piemēram, atbalsta rezultātā atbrīvotie pašvaldības budžeta līdzekļi, kas novirzīti investīcijām uzņēmējdarbīb</w:t>
      </w:r>
      <w:r w:rsidR="00E539A4">
        <w:rPr>
          <w:rFonts w:ascii="Times New Roman" w:hAnsi="Times New Roman" w:cs="Times New Roman"/>
          <w:sz w:val="24"/>
          <w:szCs w:val="24"/>
        </w:rPr>
        <w:t>as</w:t>
      </w:r>
      <w:r w:rsidRPr="000A2D5F">
        <w:rPr>
          <w:rFonts w:ascii="Times New Roman" w:hAnsi="Times New Roman" w:cs="Times New Roman"/>
          <w:sz w:val="24"/>
          <w:szCs w:val="24"/>
        </w:rPr>
        <w:t xml:space="preserve"> </w:t>
      </w:r>
      <w:r w:rsidR="00E539A4">
        <w:rPr>
          <w:rFonts w:ascii="Times New Roman" w:hAnsi="Times New Roman" w:cs="Times New Roman"/>
          <w:sz w:val="24"/>
          <w:szCs w:val="24"/>
        </w:rPr>
        <w:t xml:space="preserve">veicināšanā </w:t>
      </w:r>
      <w:r w:rsidRPr="000A2D5F">
        <w:rPr>
          <w:rFonts w:ascii="Times New Roman" w:hAnsi="Times New Roman" w:cs="Times New Roman"/>
          <w:sz w:val="24"/>
          <w:szCs w:val="24"/>
        </w:rPr>
        <w:t>vai pakalpojumu efektivitātē</w:t>
      </w:r>
      <w:r w:rsidR="00E539A4">
        <w:rPr>
          <w:rFonts w:ascii="Times New Roman" w:hAnsi="Times New Roman" w:cs="Times New Roman"/>
          <w:sz w:val="24"/>
          <w:szCs w:val="24"/>
        </w:rPr>
        <w:t>.</w:t>
      </w:r>
    </w:p>
    <w:p w14:paraId="24138EBB" w14:textId="366CE074"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78158C">
        <w:rPr>
          <w:rFonts w:ascii="Times New Roman" w:hAnsi="Times New Roman" w:cs="Times New Roman"/>
          <w:b/>
          <w:sz w:val="24"/>
          <w:szCs w:val="24"/>
        </w:rPr>
        <w:t>Pasākumi aizsardzībai pret plūdiem, primāri nacionālās nozīmes plūdu risku teritorijās</w:t>
      </w:r>
      <w:r w:rsidRPr="00930237">
        <w:rPr>
          <w:rStyle w:val="FootnoteReference"/>
          <w:rFonts w:ascii="Times New Roman" w:hAnsi="Times New Roman" w:cs="Times New Roman"/>
          <w:sz w:val="24"/>
          <w:szCs w:val="24"/>
        </w:rPr>
        <w:footnoteReference w:id="103"/>
      </w:r>
      <w:r w:rsidRPr="00930237">
        <w:rPr>
          <w:rFonts w:ascii="Times New Roman" w:hAnsi="Times New Roman" w:cs="Times New Roman"/>
          <w:sz w:val="24"/>
          <w:szCs w:val="24"/>
        </w:rPr>
        <w:t>,</w:t>
      </w:r>
      <w:r w:rsidR="000343B5">
        <w:rPr>
          <w:rFonts w:ascii="Times New Roman" w:hAnsi="Times New Roman" w:cs="Times New Roman"/>
          <w:sz w:val="24"/>
          <w:szCs w:val="24"/>
        </w:rPr>
        <w:t xml:space="preserve"> </w:t>
      </w:r>
      <w:r w:rsidRPr="00930237">
        <w:rPr>
          <w:rFonts w:ascii="Times New Roman" w:hAnsi="Times New Roman" w:cs="Times New Roman"/>
          <w:sz w:val="24"/>
          <w:szCs w:val="24"/>
        </w:rPr>
        <w:t>kas noteikti atbilstoši nacionālajiem plūdu riska pārvaldības dokumentiem</w:t>
      </w:r>
      <w:r w:rsidRPr="00930237">
        <w:rPr>
          <w:rStyle w:val="FootnoteReference"/>
          <w:rFonts w:ascii="Times New Roman" w:hAnsi="Times New Roman" w:cs="Times New Roman"/>
          <w:sz w:val="24"/>
          <w:szCs w:val="24"/>
        </w:rPr>
        <w:footnoteReference w:id="104"/>
      </w:r>
      <w:r w:rsidRPr="00930237">
        <w:rPr>
          <w:rFonts w:ascii="Times New Roman" w:hAnsi="Times New Roman" w:cs="Times New Roman"/>
          <w:sz w:val="24"/>
          <w:szCs w:val="24"/>
        </w:rPr>
        <w:t>:</w:t>
      </w:r>
    </w:p>
    <w:p w14:paraId="1D575050" w14:textId="51E1FDE8" w:rsidR="00AC212B" w:rsidRPr="00930237" w:rsidRDefault="00AC212B" w:rsidP="0078158C">
      <w:pPr>
        <w:pStyle w:val="ListParagraph"/>
        <w:tabs>
          <w:tab w:val="left" w:pos="1418"/>
        </w:tabs>
        <w:spacing w:after="0" w:line="240" w:lineRule="auto"/>
        <w:ind w:left="1418" w:hanging="284"/>
        <w:jc w:val="both"/>
        <w:rPr>
          <w:rFonts w:ascii="Times New Roman" w:hAnsi="Times New Roman" w:cs="Times New Roman"/>
          <w:sz w:val="24"/>
          <w:szCs w:val="24"/>
        </w:rPr>
      </w:pPr>
      <w:r w:rsidRPr="00930237">
        <w:rPr>
          <w:rFonts w:ascii="Times New Roman" w:hAnsi="Times New Roman" w:cs="Times New Roman"/>
          <w:sz w:val="24"/>
          <w:szCs w:val="24"/>
        </w:rPr>
        <w:t xml:space="preserve">a) daudzfunkcionālu zaļās un zilās infrastruktūras risinājumu izveide plūdu risku novēršanai un pielāgošanās tiem, ietverot dabisko vai daļēji dabisko dzīvotņu un ekosistēmu atjaunošanu (piemēram, purvu ekosistēmu vai palieņu gar upēm atjaunošana, hidromorfoloģisko šķēršļu demontāža) vai jaunu uz dabas sistēmām balstītu risinājumu ieviešana (piemēram, mākslīgās mitraines, kaskādes dīķi, biofiltri u.c.), kā arī pilsētu lietus ūdens noteces sistēmu izveide, paplašināšana un pārbūve (piemēram, caurlaidīgu segumu izbūve, zaļie jumti, u.c.); </w:t>
      </w:r>
    </w:p>
    <w:p w14:paraId="39B0BF44" w14:textId="56D901A9" w:rsidR="00AC212B" w:rsidRPr="00930237" w:rsidRDefault="00AC212B" w:rsidP="0078158C">
      <w:pPr>
        <w:pStyle w:val="ListParagraph"/>
        <w:tabs>
          <w:tab w:val="left" w:pos="1418"/>
        </w:tabs>
        <w:spacing w:after="0" w:line="240" w:lineRule="auto"/>
        <w:ind w:left="1418" w:hanging="284"/>
        <w:jc w:val="both"/>
        <w:rPr>
          <w:rFonts w:ascii="Times New Roman" w:hAnsi="Times New Roman" w:cs="Times New Roman"/>
          <w:sz w:val="24"/>
          <w:szCs w:val="24"/>
        </w:rPr>
      </w:pPr>
      <w:r w:rsidRPr="00930237">
        <w:rPr>
          <w:rFonts w:ascii="Times New Roman" w:hAnsi="Times New Roman" w:cs="Times New Roman"/>
          <w:sz w:val="24"/>
          <w:szCs w:val="24"/>
        </w:rPr>
        <w:t xml:space="preserve">b) kombinēti infrastruktūras risinājumi </w:t>
      </w:r>
      <w:r w:rsidR="008663CD" w:rsidRPr="008663CD">
        <w:rPr>
          <w:rFonts w:ascii="Times New Roman" w:hAnsi="Times New Roman" w:cs="Times New Roman"/>
          <w:sz w:val="24"/>
          <w:szCs w:val="24"/>
        </w:rPr>
        <w:t>vietās, kurās zaļās un zilās infrastruktūras pasākumi vien nevar nodrošināt pietiekamu aizsardzību</w:t>
      </w:r>
      <w:r w:rsidR="000343B5">
        <w:rPr>
          <w:rFonts w:ascii="Times New Roman" w:hAnsi="Times New Roman" w:cs="Times New Roman"/>
          <w:sz w:val="24"/>
          <w:szCs w:val="24"/>
        </w:rPr>
        <w:t>,</w:t>
      </w:r>
      <w:r w:rsidR="008663CD" w:rsidRPr="008663CD">
        <w:rPr>
          <w:rFonts w:ascii="Times New Roman" w:hAnsi="Times New Roman" w:cs="Times New Roman"/>
          <w:sz w:val="24"/>
          <w:szCs w:val="24"/>
        </w:rPr>
        <w:t xml:space="preserve"> </w:t>
      </w:r>
      <w:r w:rsidRPr="00930237">
        <w:rPr>
          <w:rFonts w:ascii="Times New Roman" w:hAnsi="Times New Roman" w:cs="Times New Roman"/>
          <w:sz w:val="24"/>
          <w:szCs w:val="24"/>
        </w:rPr>
        <w:t xml:space="preserve">vai </w:t>
      </w:r>
      <w:r w:rsidR="000343B5">
        <w:rPr>
          <w:rFonts w:ascii="Times New Roman" w:hAnsi="Times New Roman" w:cs="Times New Roman"/>
          <w:sz w:val="24"/>
          <w:szCs w:val="24"/>
        </w:rPr>
        <w:t xml:space="preserve">aizsargbūvju, t.sk. </w:t>
      </w:r>
      <w:r w:rsidRPr="00930237">
        <w:rPr>
          <w:rFonts w:ascii="Times New Roman" w:hAnsi="Times New Roman" w:cs="Times New Roman"/>
          <w:sz w:val="24"/>
          <w:szCs w:val="24"/>
        </w:rPr>
        <w:t>hidrotehnisko būvju un pilsētu lietus ūdens noteces infrastruktūras izveide, paplašināšana un pārbūve, vietās, kurās zaļās un zilās infrastruktūras pasākumi nav iespējami,</w:t>
      </w:r>
    </w:p>
    <w:p w14:paraId="4CA66201" w14:textId="5F3C6FF4" w:rsidR="00AC212B" w:rsidRPr="00930237" w:rsidRDefault="00AC212B" w:rsidP="0078158C">
      <w:pPr>
        <w:pStyle w:val="ListParagraph"/>
        <w:tabs>
          <w:tab w:val="left" w:pos="1418"/>
        </w:tabs>
        <w:spacing w:after="0" w:line="240" w:lineRule="auto"/>
        <w:ind w:left="1418" w:hanging="284"/>
        <w:jc w:val="both"/>
        <w:rPr>
          <w:rFonts w:ascii="Times New Roman" w:hAnsi="Times New Roman" w:cs="Times New Roman"/>
          <w:sz w:val="24"/>
          <w:szCs w:val="24"/>
        </w:rPr>
      </w:pPr>
      <w:r w:rsidRPr="00930237">
        <w:rPr>
          <w:rFonts w:ascii="Times New Roman" w:hAnsi="Times New Roman" w:cs="Times New Roman"/>
          <w:sz w:val="24"/>
          <w:szCs w:val="24"/>
        </w:rPr>
        <w:t>c) citi pasākumi, kas noteikti nacionālajos plūdu riska pārvaldības dokumentos.</w:t>
      </w:r>
    </w:p>
    <w:p w14:paraId="260A9316" w14:textId="722A2082"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Prioritāri īstenojami zaļās un zilās infrastruktūras risinājumi, vai arī kombinētās infrastruktūras izbūve, kas papildināta ar dabā balstītu risinājumu elementiem. Primāri atbalstāmi tādi risinājumi, kas preventīvi novērš plūdu riskus.</w:t>
      </w:r>
    </w:p>
    <w:p w14:paraId="7EB97AD8" w14:textId="391F5911"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78158C">
        <w:rPr>
          <w:rFonts w:ascii="Times New Roman" w:hAnsi="Times New Roman" w:cs="Times New Roman"/>
          <w:b/>
          <w:sz w:val="24"/>
          <w:szCs w:val="24"/>
        </w:rPr>
        <w:t>Krasta erozijas risku mazinoši pasākumi</w:t>
      </w:r>
      <w:r w:rsidRPr="00930237">
        <w:rPr>
          <w:rFonts w:ascii="Times New Roman" w:hAnsi="Times New Roman" w:cs="Times New Roman"/>
          <w:sz w:val="24"/>
          <w:szCs w:val="24"/>
        </w:rPr>
        <w:t xml:space="preserve">, t.sk. prioritāri zaļo risinājumu piemērošana (piemēram, mākslīgo kāpu veidošana, </w:t>
      </w:r>
      <w:r w:rsidR="008E6893">
        <w:rPr>
          <w:rFonts w:ascii="Times New Roman" w:hAnsi="Times New Roman" w:cs="Times New Roman"/>
          <w:sz w:val="24"/>
          <w:szCs w:val="24"/>
        </w:rPr>
        <w:t>akmeņu krāvumi</w:t>
      </w:r>
      <w:r w:rsidRPr="00930237">
        <w:rPr>
          <w:rFonts w:ascii="Times New Roman" w:hAnsi="Times New Roman" w:cs="Times New Roman"/>
          <w:sz w:val="24"/>
          <w:szCs w:val="24"/>
        </w:rPr>
        <w:t xml:space="preserve">, veģetācijas izveide vai atjaunošana) vai kombinētas </w:t>
      </w:r>
      <w:r w:rsidR="008E6893">
        <w:rPr>
          <w:rFonts w:ascii="Times New Roman" w:hAnsi="Times New Roman" w:cs="Times New Roman"/>
          <w:sz w:val="24"/>
          <w:szCs w:val="24"/>
        </w:rPr>
        <w:t xml:space="preserve">un hibrīda </w:t>
      </w:r>
      <w:r w:rsidRPr="00930237">
        <w:rPr>
          <w:rFonts w:ascii="Times New Roman" w:hAnsi="Times New Roman" w:cs="Times New Roman"/>
          <w:sz w:val="24"/>
          <w:szCs w:val="24"/>
        </w:rPr>
        <w:t>infrastruktūras ierīkošana, galveno uzmanību pievēršot pasākumiem, kas paredzēti pilsētu un blīvi apdzīvotu vietu aizsardzībai, primāri atbalstot objektus</w:t>
      </w:r>
      <w:r w:rsidR="008E6893">
        <w:rPr>
          <w:rFonts w:ascii="Times New Roman" w:hAnsi="Times New Roman" w:cs="Times New Roman"/>
          <w:sz w:val="24"/>
          <w:szCs w:val="24"/>
        </w:rPr>
        <w:t>, kas novērš vai mazina</w:t>
      </w:r>
      <w:r w:rsidRPr="00930237">
        <w:rPr>
          <w:rFonts w:ascii="Times New Roman" w:hAnsi="Times New Roman" w:cs="Times New Roman"/>
          <w:sz w:val="24"/>
          <w:szCs w:val="24"/>
        </w:rPr>
        <w:t xml:space="preserve"> vislielāko potenciālo kaitējumu videi un </w:t>
      </w:r>
      <w:r w:rsidR="008E6893">
        <w:rPr>
          <w:rFonts w:ascii="Times New Roman" w:hAnsi="Times New Roman" w:cs="Times New Roman"/>
          <w:sz w:val="24"/>
          <w:szCs w:val="24"/>
        </w:rPr>
        <w:t xml:space="preserve">risku </w:t>
      </w:r>
      <w:r w:rsidRPr="00930237">
        <w:rPr>
          <w:rFonts w:ascii="Times New Roman" w:hAnsi="Times New Roman" w:cs="Times New Roman"/>
          <w:sz w:val="24"/>
          <w:szCs w:val="24"/>
        </w:rPr>
        <w:t>iedzīvotāju drošībai, labklājībai un veselībai.</w:t>
      </w:r>
      <w:r w:rsidR="000343B5" w:rsidRPr="000343B5">
        <w:t xml:space="preserve"> </w:t>
      </w:r>
      <w:r w:rsidR="000343B5" w:rsidRPr="000343B5">
        <w:rPr>
          <w:rFonts w:ascii="Times New Roman" w:hAnsi="Times New Roman" w:cs="Times New Roman"/>
          <w:sz w:val="24"/>
          <w:szCs w:val="24"/>
        </w:rPr>
        <w:t>Pieļaujama aizsargbūvju un infrastruktūras izveide, paplašināšana un pārbūve, vietās, kurās zaļās un zilās infrastruktūras pasākumi vai kombinētie pasākumi nav iespējami</w:t>
      </w:r>
      <w:r w:rsidR="000343B5">
        <w:rPr>
          <w:rFonts w:ascii="Times New Roman" w:hAnsi="Times New Roman" w:cs="Times New Roman"/>
          <w:sz w:val="24"/>
          <w:szCs w:val="24"/>
        </w:rPr>
        <w:t>.</w:t>
      </w:r>
    </w:p>
    <w:p w14:paraId="2CAAB817" w14:textId="77777777"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b/>
          <w:sz w:val="24"/>
          <w:szCs w:val="24"/>
        </w:rPr>
      </w:pPr>
      <w:r w:rsidRPr="00930237">
        <w:rPr>
          <w:rFonts w:ascii="Times New Roman" w:hAnsi="Times New Roman" w:cs="Times New Roman"/>
          <w:sz w:val="24"/>
          <w:szCs w:val="24"/>
        </w:rPr>
        <w:t xml:space="preserve">Katastrofu risku mazināšanai un preventīvo darbību veikšanai SAM ietvaros plānots veikt </w:t>
      </w:r>
      <w:r w:rsidRPr="0078158C">
        <w:rPr>
          <w:rFonts w:ascii="Times New Roman" w:hAnsi="Times New Roman" w:cs="Times New Roman"/>
          <w:b/>
          <w:sz w:val="24"/>
          <w:szCs w:val="24"/>
        </w:rPr>
        <w:t>ieguldījumus tehniskās un aprīkojuma remonta bāzes būvniecībā; VUGD katastrofu pārvaldības tehniskās kapacitātes attīstībā un stiprināšanā</w:t>
      </w:r>
      <w:r w:rsidRPr="00930237">
        <w:rPr>
          <w:rFonts w:ascii="Times New Roman" w:hAnsi="Times New Roman" w:cs="Times New Roman"/>
          <w:sz w:val="24"/>
          <w:szCs w:val="24"/>
        </w:rPr>
        <w:t>:</w:t>
      </w:r>
    </w:p>
    <w:p w14:paraId="2C651B81" w14:textId="02A8B0AE" w:rsidR="00AC212B" w:rsidRPr="00930237" w:rsidRDefault="00AC212B" w:rsidP="007545BD">
      <w:pPr>
        <w:numPr>
          <w:ilvl w:val="0"/>
          <w:numId w:val="42"/>
        </w:numPr>
        <w:spacing w:before="0" w:after="0"/>
        <w:ind w:left="993"/>
        <w:rPr>
          <w:b/>
          <w:i/>
          <w:szCs w:val="24"/>
        </w:rPr>
      </w:pPr>
      <w:r w:rsidRPr="00930237">
        <w:rPr>
          <w:szCs w:val="24"/>
        </w:rPr>
        <w:t>specializēt</w:t>
      </w:r>
      <w:r w:rsidR="008E6893">
        <w:rPr>
          <w:szCs w:val="24"/>
        </w:rPr>
        <w:t>ā</w:t>
      </w:r>
      <w:r w:rsidRPr="00930237">
        <w:rPr>
          <w:szCs w:val="24"/>
        </w:rPr>
        <w:t xml:space="preserve"> ugunsdzēsības un glābšanas autotransporta iegāde;</w:t>
      </w:r>
    </w:p>
    <w:p w14:paraId="3DDCF2D7" w14:textId="77777777" w:rsidR="00AC212B" w:rsidRPr="00930237" w:rsidRDefault="00AC212B" w:rsidP="007545BD">
      <w:pPr>
        <w:numPr>
          <w:ilvl w:val="0"/>
          <w:numId w:val="42"/>
        </w:numPr>
        <w:spacing w:before="0" w:after="0"/>
        <w:ind w:left="993"/>
        <w:rPr>
          <w:b/>
          <w:i/>
          <w:szCs w:val="24"/>
        </w:rPr>
      </w:pPr>
      <w:r w:rsidRPr="00930237">
        <w:rPr>
          <w:szCs w:val="24"/>
        </w:rPr>
        <w:t>palīgtehnikas ugunsdzēsībai, glābšanai un ugunsdrošībai iegāde;</w:t>
      </w:r>
    </w:p>
    <w:p w14:paraId="605CE6D0" w14:textId="77777777" w:rsidR="00AC212B" w:rsidRPr="00930237" w:rsidRDefault="00AC212B" w:rsidP="007545BD">
      <w:pPr>
        <w:numPr>
          <w:ilvl w:val="0"/>
          <w:numId w:val="42"/>
        </w:numPr>
        <w:spacing w:before="0" w:after="0"/>
        <w:ind w:left="993"/>
        <w:rPr>
          <w:b/>
          <w:i/>
          <w:szCs w:val="24"/>
        </w:rPr>
      </w:pPr>
      <w:r w:rsidRPr="00930237">
        <w:rPr>
          <w:szCs w:val="24"/>
        </w:rPr>
        <w:t xml:space="preserve">mūsdienu prasībām atbilstoša aprīkojuma un inventāra iegāde, </w:t>
      </w:r>
    </w:p>
    <w:p w14:paraId="670FA90E" w14:textId="77777777" w:rsidR="00AC212B" w:rsidRPr="00930237" w:rsidRDefault="00AC212B" w:rsidP="007545BD">
      <w:pPr>
        <w:numPr>
          <w:ilvl w:val="0"/>
          <w:numId w:val="42"/>
        </w:numPr>
        <w:spacing w:before="0" w:after="0"/>
        <w:ind w:left="993"/>
        <w:rPr>
          <w:b/>
          <w:i/>
          <w:szCs w:val="24"/>
        </w:rPr>
      </w:pPr>
      <w:r w:rsidRPr="00930237">
        <w:rPr>
          <w:szCs w:val="24"/>
        </w:rPr>
        <w:t>personāla apmācības darbam ar aprīkojumu, jaunas kvalifikācijas apguvei;</w:t>
      </w:r>
    </w:p>
    <w:p w14:paraId="5ED562B7" w14:textId="42BCDDB3" w:rsidR="00AC212B" w:rsidRPr="00930237" w:rsidRDefault="00AC212B" w:rsidP="007545BD">
      <w:pPr>
        <w:numPr>
          <w:ilvl w:val="0"/>
          <w:numId w:val="42"/>
        </w:numPr>
        <w:spacing w:before="0" w:after="0"/>
        <w:ind w:left="993"/>
        <w:rPr>
          <w:b/>
          <w:i/>
          <w:szCs w:val="24"/>
        </w:rPr>
      </w:pPr>
      <w:r w:rsidRPr="00930237">
        <w:rPr>
          <w:szCs w:val="24"/>
        </w:rPr>
        <w:t>katastrofu zaudējumu datubāzes izveide un ieviešana; agrīnās brīdināšanas sistēmas izveide un ieviešana; apmācības metodoloģijas izveidošana; stacionāro un pārvietojamo praktisko apmācības telpu iekārtošana (Drošības klases).</w:t>
      </w:r>
    </w:p>
    <w:p w14:paraId="3B38DE26" w14:textId="4364C556"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 xml:space="preserve">Galvenās mērķgrupas: </w:t>
      </w:r>
      <w:r w:rsidRPr="00930237">
        <w:rPr>
          <w:rFonts w:ascii="Times New Roman" w:hAnsi="Times New Roman" w:cs="Times New Roman"/>
          <w:sz w:val="24"/>
          <w:szCs w:val="24"/>
        </w:rPr>
        <w:t>Latvijas pašvaldības, iedzīvotāji, Iekšlietu ministrija, Valsts ugunsdzēsības un glābšanas dienests, Nodrošinājuma valsts aģentūra, Iekšlietu ministrijas Informācijas centrs, katastrofas pārvaldīšanas subjekti, tūristi, kas viesojas Latvijā, apdrošināšanas kompānijas, kas strādā Latvijā.</w:t>
      </w:r>
    </w:p>
    <w:p w14:paraId="0FAF1F37" w14:textId="77777777"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Darbības, kas nodrošina vienlīdzību, iekļaušanu un nediskrimināciju:</w:t>
      </w:r>
      <w:r w:rsidRPr="00930237">
        <w:rPr>
          <w:rFonts w:ascii="Times New Roman" w:hAnsi="Times New Roman" w:cs="Times New Roman"/>
          <w:sz w:val="24"/>
          <w:szCs w:val="24"/>
        </w:rPr>
        <w:t xml:space="preserve">  Projektu un pasākumu īstenošanā un vadībā tiks nodrošināta un SAM ietvaros īstenoto darbību kopums tiks vērsts uz informācijas un vides pieejamības, nediskriminācijas pēc vecuma, dzimuma, etniskās piederības u.c. pazīmēm un vienlīdzīgu iespēju principu ievērošana visām personu grupām, t.sk., uz vienlīdz pieejamu, kvalitatīvu un ātru civilās aizsardzības pakalpojumu nodrošināšanu. Īstenojot civilās aizsardzības pasākumus, tiks vērā ņemtas personu ar funkcionēšanas ierobežojumiem vienlīdz efektīvas pakalpojumu un informācijas nodrošināšanas iespējas. Specifiskas darbības vienlīdzīgu iespēju, iekļaušanas un nediskriminācijas principu piemērošanā tiks vērtētas, ierīkojot infrastruktūru klimata pārmaiņu mazināšanai, risku novērtēšanai un noturībai, tiktāl, cik tas saistīts ar sabiedrībai lietojamas publiskās infrastruktūras izveidi.</w:t>
      </w:r>
    </w:p>
    <w:p w14:paraId="4C4D386D" w14:textId="406408C5"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Mērķteritorijas, t.sk. plānotais teritoriālo rīku izmantojums</w:t>
      </w:r>
      <w:r w:rsidRPr="00930237">
        <w:rPr>
          <w:rFonts w:ascii="Times New Roman" w:hAnsi="Times New Roman" w:cs="Times New Roman"/>
          <w:sz w:val="24"/>
          <w:szCs w:val="24"/>
        </w:rPr>
        <w:t>: Visa Latvija. Vietējo klimata pārmaiņu pielāgošanās pasākumu īstenošan</w:t>
      </w:r>
      <w:r w:rsidR="00256266">
        <w:rPr>
          <w:rFonts w:ascii="Times New Roman" w:hAnsi="Times New Roman" w:cs="Times New Roman"/>
          <w:sz w:val="24"/>
          <w:szCs w:val="24"/>
        </w:rPr>
        <w:t>u</w:t>
      </w:r>
      <w:r w:rsidRPr="00930237">
        <w:rPr>
          <w:rFonts w:ascii="Times New Roman" w:hAnsi="Times New Roman" w:cs="Times New Roman"/>
          <w:sz w:val="24"/>
          <w:szCs w:val="24"/>
        </w:rPr>
        <w:t>, t.sk. zaļās infrastruktūras izveidi</w:t>
      </w:r>
      <w:r w:rsidR="008E6893">
        <w:rPr>
          <w:rFonts w:ascii="Times New Roman" w:hAnsi="Times New Roman" w:cs="Times New Roman"/>
          <w:sz w:val="24"/>
          <w:szCs w:val="24"/>
        </w:rPr>
        <w:t>,</w:t>
      </w:r>
      <w:r w:rsidR="00256266">
        <w:rPr>
          <w:rFonts w:ascii="Times New Roman" w:hAnsi="Times New Roman" w:cs="Times New Roman"/>
          <w:sz w:val="24"/>
          <w:szCs w:val="24"/>
        </w:rPr>
        <w:t xml:space="preserve"> </w:t>
      </w:r>
      <w:r w:rsidR="00256266" w:rsidRPr="00256266">
        <w:rPr>
          <w:rFonts w:ascii="Times New Roman" w:hAnsi="Times New Roman" w:cs="Times New Roman"/>
          <w:sz w:val="24"/>
          <w:szCs w:val="24"/>
        </w:rPr>
        <w:t>plānots skatīt kontekstā ar teritori</w:t>
      </w:r>
      <w:r w:rsidR="000343B5">
        <w:rPr>
          <w:rFonts w:ascii="Times New Roman" w:hAnsi="Times New Roman" w:cs="Times New Roman"/>
          <w:sz w:val="24"/>
          <w:szCs w:val="24"/>
        </w:rPr>
        <w:t>ju</w:t>
      </w:r>
      <w:r w:rsidR="00256266" w:rsidRPr="00256266">
        <w:rPr>
          <w:rFonts w:ascii="Times New Roman" w:hAnsi="Times New Roman" w:cs="Times New Roman"/>
          <w:sz w:val="24"/>
          <w:szCs w:val="24"/>
        </w:rPr>
        <w:t xml:space="preserve"> attīstības </w:t>
      </w:r>
      <w:r w:rsidR="000343B5">
        <w:rPr>
          <w:rFonts w:ascii="Times New Roman" w:hAnsi="Times New Roman" w:cs="Times New Roman"/>
          <w:sz w:val="24"/>
          <w:szCs w:val="24"/>
        </w:rPr>
        <w:t>plānošanas dokumentiem</w:t>
      </w:r>
      <w:r w:rsidRPr="00930237">
        <w:rPr>
          <w:rFonts w:ascii="Times New Roman" w:hAnsi="Times New Roman" w:cs="Times New Roman"/>
          <w:sz w:val="24"/>
          <w:szCs w:val="24"/>
        </w:rPr>
        <w:t>, piemēro</w:t>
      </w:r>
      <w:r w:rsidR="00256266">
        <w:rPr>
          <w:rFonts w:ascii="Times New Roman" w:hAnsi="Times New Roman" w:cs="Times New Roman"/>
          <w:sz w:val="24"/>
          <w:szCs w:val="24"/>
        </w:rPr>
        <w:t>jo</w:t>
      </w:r>
      <w:r w:rsidRPr="00930237">
        <w:rPr>
          <w:rFonts w:ascii="Times New Roman" w:hAnsi="Times New Roman" w:cs="Times New Roman"/>
          <w:sz w:val="24"/>
          <w:szCs w:val="24"/>
        </w:rPr>
        <w:t>t 5.1.1.SAM paredzēt</w:t>
      </w:r>
      <w:r w:rsidR="00256266">
        <w:rPr>
          <w:rFonts w:ascii="Times New Roman" w:hAnsi="Times New Roman" w:cs="Times New Roman"/>
          <w:sz w:val="24"/>
          <w:szCs w:val="24"/>
        </w:rPr>
        <w:t>o</w:t>
      </w:r>
      <w:r w:rsidRPr="00930237">
        <w:rPr>
          <w:rFonts w:ascii="Times New Roman" w:hAnsi="Times New Roman" w:cs="Times New Roman"/>
          <w:sz w:val="24"/>
          <w:szCs w:val="24"/>
        </w:rPr>
        <w:t xml:space="preserve"> teritoriāl</w:t>
      </w:r>
      <w:r w:rsidR="00256266">
        <w:rPr>
          <w:rFonts w:ascii="Times New Roman" w:hAnsi="Times New Roman" w:cs="Times New Roman"/>
          <w:sz w:val="24"/>
          <w:szCs w:val="24"/>
        </w:rPr>
        <w:t>o</w:t>
      </w:r>
      <w:r w:rsidRPr="00930237">
        <w:rPr>
          <w:rFonts w:ascii="Times New Roman" w:hAnsi="Times New Roman" w:cs="Times New Roman"/>
          <w:sz w:val="24"/>
          <w:szCs w:val="24"/>
        </w:rPr>
        <w:t xml:space="preserve"> pieej</w:t>
      </w:r>
      <w:r w:rsidR="00256266">
        <w:rPr>
          <w:rFonts w:ascii="Times New Roman" w:hAnsi="Times New Roman" w:cs="Times New Roman"/>
          <w:sz w:val="24"/>
          <w:szCs w:val="24"/>
        </w:rPr>
        <w:t>u</w:t>
      </w:r>
      <w:r w:rsidR="008E6893">
        <w:rPr>
          <w:rFonts w:ascii="Times New Roman" w:hAnsi="Times New Roman" w:cs="Times New Roman"/>
          <w:sz w:val="24"/>
          <w:szCs w:val="24"/>
        </w:rPr>
        <w:t xml:space="preserve"> </w:t>
      </w:r>
      <w:r w:rsidR="008E6893" w:rsidRPr="008E6893">
        <w:rPr>
          <w:rFonts w:ascii="Times New Roman" w:hAnsi="Times New Roman" w:cs="Times New Roman"/>
          <w:sz w:val="24"/>
          <w:szCs w:val="24"/>
        </w:rPr>
        <w:t>(šī pieeja netiek piemērota aktivitātēm, kas paredzēta aizsardzībai pret plūdiem, kas noteiktas atbilstoši nacionālajiem plūdu riska pārvaldības dokumentiem, un krasta eroziju mazinošiem pasākumiem</w:t>
      </w:r>
      <w:r w:rsidR="008E6893">
        <w:rPr>
          <w:rFonts w:ascii="Times New Roman" w:hAnsi="Times New Roman" w:cs="Times New Roman"/>
          <w:sz w:val="24"/>
          <w:szCs w:val="24"/>
        </w:rPr>
        <w:t>)</w:t>
      </w:r>
      <w:r w:rsidRPr="00930237">
        <w:rPr>
          <w:rFonts w:ascii="Times New Roman" w:hAnsi="Times New Roman" w:cs="Times New Roman"/>
          <w:sz w:val="24"/>
          <w:szCs w:val="24"/>
        </w:rPr>
        <w:t>.</w:t>
      </w:r>
    </w:p>
    <w:p w14:paraId="497A9752" w14:textId="1BA6C2AB"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Starpreģionālās, pārrobežu un transnacionālās darbības:</w:t>
      </w:r>
      <w:r w:rsidRPr="00930237">
        <w:rPr>
          <w:rFonts w:ascii="Times New Roman" w:hAnsi="Times New Roman" w:cs="Times New Roman"/>
          <w:sz w:val="24"/>
          <w:szCs w:val="24"/>
        </w:rPr>
        <w:t xml:space="preserve"> </w:t>
      </w:r>
      <w:r w:rsidR="00077F97" w:rsidRPr="00077F97">
        <w:rPr>
          <w:rFonts w:ascii="Times New Roman" w:hAnsi="Times New Roman" w:cs="Times New Roman"/>
          <w:sz w:val="24"/>
          <w:szCs w:val="24"/>
        </w:rPr>
        <w:t xml:space="preserve">Darbības aizsardzībai pret plūdiem, krasta erozijas risku mazinoši pasākumi, kā arī zaļās infrastruktūras izveides pasākumi tiks papildināti ar INTERREG </w:t>
      </w:r>
      <w:r w:rsidR="008E6893">
        <w:rPr>
          <w:rFonts w:ascii="Times New Roman" w:hAnsi="Times New Roman" w:cs="Times New Roman"/>
          <w:sz w:val="24"/>
          <w:szCs w:val="24"/>
        </w:rPr>
        <w:t xml:space="preserve">un LIFE </w:t>
      </w:r>
      <w:r w:rsidR="00077F97" w:rsidRPr="00077F97">
        <w:rPr>
          <w:rFonts w:ascii="Times New Roman" w:hAnsi="Times New Roman" w:cs="Times New Roman"/>
          <w:sz w:val="24"/>
          <w:szCs w:val="24"/>
        </w:rPr>
        <w:t xml:space="preserve">programmās atbalstītajām darbībām, </w:t>
      </w:r>
      <w:r w:rsidR="008E6893">
        <w:rPr>
          <w:rFonts w:ascii="Times New Roman" w:hAnsi="Times New Roman" w:cs="Times New Roman"/>
          <w:sz w:val="24"/>
          <w:szCs w:val="24"/>
        </w:rPr>
        <w:t>veicinot</w:t>
      </w:r>
      <w:r w:rsidR="00077F97" w:rsidRPr="00077F97">
        <w:rPr>
          <w:rFonts w:ascii="Times New Roman" w:hAnsi="Times New Roman" w:cs="Times New Roman"/>
          <w:sz w:val="24"/>
          <w:szCs w:val="24"/>
        </w:rPr>
        <w:t xml:space="preserve"> ESSBJR īstenošanu</w:t>
      </w:r>
      <w:r w:rsidR="008E6893">
        <w:rPr>
          <w:rFonts w:ascii="Times New Roman" w:hAnsi="Times New Roman" w:cs="Times New Roman"/>
          <w:sz w:val="24"/>
          <w:szCs w:val="24"/>
        </w:rPr>
        <w:t xml:space="preserve"> </w:t>
      </w:r>
      <w:r w:rsidR="008E6893" w:rsidRPr="008E6893">
        <w:rPr>
          <w:rFonts w:ascii="Times New Roman" w:hAnsi="Times New Roman" w:cs="Times New Roman"/>
          <w:sz w:val="24"/>
          <w:szCs w:val="24"/>
        </w:rPr>
        <w:t>piemērošanās klimata pārmaiņām kontekstā</w:t>
      </w:r>
      <w:r w:rsidR="00077F97" w:rsidRPr="00077F97">
        <w:rPr>
          <w:rFonts w:ascii="Times New Roman" w:hAnsi="Times New Roman" w:cs="Times New Roman"/>
          <w:sz w:val="24"/>
          <w:szCs w:val="24"/>
        </w:rPr>
        <w:t>.</w:t>
      </w:r>
    </w:p>
    <w:p w14:paraId="7F0C09F0" w14:textId="1710DCA6" w:rsidR="00AC212B" w:rsidRPr="00930237" w:rsidRDefault="0002461B" w:rsidP="007545BD">
      <w:pPr>
        <w:pStyle w:val="ListParagraph"/>
        <w:numPr>
          <w:ilvl w:val="0"/>
          <w:numId w:val="60"/>
        </w:numPr>
        <w:spacing w:after="0" w:line="240" w:lineRule="auto"/>
        <w:ind w:left="567" w:hanging="567"/>
        <w:jc w:val="both"/>
        <w:rPr>
          <w:rFonts w:ascii="Times New Roman" w:hAnsi="Times New Roman" w:cs="Times New Roman"/>
          <w:sz w:val="24"/>
          <w:szCs w:val="24"/>
          <w:u w:val="single"/>
        </w:rPr>
      </w:pPr>
      <w:r>
        <w:rPr>
          <w:rFonts w:ascii="Times New Roman" w:hAnsi="Times New Roman" w:cs="Times New Roman"/>
          <w:b/>
          <w:sz w:val="24"/>
          <w:szCs w:val="24"/>
        </w:rPr>
        <w:t>F</w:t>
      </w:r>
      <w:r w:rsidR="00AC212B" w:rsidRPr="00930237">
        <w:rPr>
          <w:rFonts w:ascii="Times New Roman" w:hAnsi="Times New Roman" w:cs="Times New Roman"/>
          <w:b/>
          <w:sz w:val="24"/>
          <w:szCs w:val="24"/>
        </w:rPr>
        <w:t>inanšu instrumenti:</w:t>
      </w:r>
      <w:r w:rsidR="00AC212B" w:rsidRPr="00930237">
        <w:rPr>
          <w:rFonts w:ascii="Times New Roman" w:hAnsi="Times New Roman" w:cs="Times New Roman"/>
          <w:sz w:val="24"/>
          <w:szCs w:val="24"/>
        </w:rPr>
        <w:t xml:space="preserve"> N/A</w:t>
      </w:r>
    </w:p>
    <w:p w14:paraId="0BE644A3" w14:textId="77777777" w:rsidR="00AC212B" w:rsidRPr="00930237" w:rsidRDefault="00AC212B" w:rsidP="00AC212B">
      <w:pPr>
        <w:spacing w:before="0" w:after="0"/>
        <w:rPr>
          <w:noProof/>
          <w:color w:val="FF0000"/>
          <w:szCs w:val="24"/>
        </w:rPr>
      </w:pPr>
    </w:p>
    <w:p w14:paraId="1BE3CBDA" w14:textId="77777777" w:rsidR="00AC212B" w:rsidRPr="00930237" w:rsidRDefault="00AC212B" w:rsidP="00AC212B">
      <w:pPr>
        <w:pStyle w:val="Heading4"/>
        <w:numPr>
          <w:ilvl w:val="0"/>
          <w:numId w:val="0"/>
        </w:numPr>
        <w:shd w:val="clear" w:color="auto" w:fill="F7CAAC" w:themeFill="accent2" w:themeFillTint="66"/>
        <w:spacing w:after="0"/>
        <w:rPr>
          <w:b/>
        </w:rPr>
      </w:pPr>
      <w:r w:rsidRPr="00930237">
        <w:rPr>
          <w:b/>
          <w:noProof/>
        </w:rPr>
        <w:t>2.2.Prioritāte “Vides aizsardzība un attīstība”</w:t>
      </w:r>
    </w:p>
    <w:p w14:paraId="0D102B3D" w14:textId="77777777" w:rsidR="00AC212B" w:rsidRPr="00930237" w:rsidRDefault="00AC212B" w:rsidP="00AC212B">
      <w:pPr>
        <w:pStyle w:val="Heading4"/>
        <w:numPr>
          <w:ilvl w:val="0"/>
          <w:numId w:val="0"/>
        </w:numPr>
        <w:shd w:val="clear" w:color="auto" w:fill="FBE4D5" w:themeFill="accent2" w:themeFillTint="33"/>
        <w:spacing w:after="0"/>
        <w:rPr>
          <w:b/>
        </w:rPr>
      </w:pPr>
      <w:r w:rsidRPr="00930237">
        <w:rPr>
          <w:b/>
        </w:rPr>
        <w:t>2.2.1.SAM “Veicināt ilgtspējīgu ūdenssaimniecību”</w:t>
      </w:r>
    </w:p>
    <w:p w14:paraId="405769C0" w14:textId="29EE3F76"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b/>
          <w:noProof/>
          <w:sz w:val="24"/>
          <w:szCs w:val="24"/>
        </w:rPr>
      </w:pPr>
      <w:r w:rsidRPr="00930237">
        <w:rPr>
          <w:rFonts w:ascii="Times New Roman" w:hAnsi="Times New Roman" w:cs="Times New Roman"/>
          <w:b/>
          <w:noProof/>
          <w:sz w:val="24"/>
          <w:szCs w:val="24"/>
        </w:rPr>
        <w:t>Atbalstāmās darbības</w:t>
      </w:r>
      <w:r w:rsidR="000343B5">
        <w:rPr>
          <w:rFonts w:ascii="Times New Roman" w:hAnsi="Times New Roman" w:cs="Times New Roman"/>
          <w:b/>
          <w:noProof/>
          <w:sz w:val="24"/>
          <w:szCs w:val="24"/>
        </w:rPr>
        <w:t xml:space="preserve"> </w:t>
      </w:r>
      <w:r w:rsidR="000343B5" w:rsidRPr="00847762">
        <w:rPr>
          <w:rFonts w:ascii="Times New Roman" w:hAnsi="Times New Roman" w:cs="Times New Roman"/>
          <w:noProof/>
          <w:sz w:val="24"/>
          <w:szCs w:val="24"/>
        </w:rPr>
        <w:t>atbilstoši NAIP 2021 – 2027 plānotas, lai uzlabotu ūdenssaimniecības pakalpojumu efektivitāti, nodrošinot atbilstošas infrastruktūras jaudas, uzlabojot darbības efektivitāti un energoefektivitāti, kā arī samazinot piesārņojumu</w:t>
      </w:r>
      <w:r w:rsidRPr="00930237">
        <w:rPr>
          <w:rFonts w:ascii="Times New Roman" w:hAnsi="Times New Roman" w:cs="Times New Roman"/>
          <w:b/>
          <w:noProof/>
          <w:sz w:val="24"/>
          <w:szCs w:val="24"/>
        </w:rPr>
        <w:t>:</w:t>
      </w:r>
    </w:p>
    <w:p w14:paraId="7480B321" w14:textId="764E7B32" w:rsidR="00AC212B" w:rsidRPr="00930237" w:rsidRDefault="00AC212B" w:rsidP="007545BD">
      <w:pPr>
        <w:pStyle w:val="ListParagraph"/>
        <w:numPr>
          <w:ilvl w:val="0"/>
          <w:numId w:val="43"/>
        </w:numPr>
        <w:spacing w:after="0" w:line="240" w:lineRule="auto"/>
        <w:ind w:left="1134" w:hanging="425"/>
        <w:contextualSpacing w:val="0"/>
        <w:jc w:val="both"/>
        <w:rPr>
          <w:rFonts w:ascii="Times New Roman" w:eastAsia="Calibri" w:hAnsi="Times New Roman" w:cs="Times New Roman"/>
          <w:sz w:val="24"/>
          <w:szCs w:val="24"/>
        </w:rPr>
      </w:pPr>
      <w:r w:rsidRPr="00930237">
        <w:rPr>
          <w:rFonts w:ascii="Times New Roman" w:eastAsia="Calibri" w:hAnsi="Times New Roman" w:cs="Times New Roman"/>
          <w:sz w:val="24"/>
          <w:szCs w:val="24"/>
        </w:rPr>
        <w:t>Notekūdeņu attīrīšanas iekārtu tehnoloģiju un elementu modernizācija un pielāgošana atbilstošai jaudai, attīrīšanas kvalitātei, piesārņojuma novēršanai, kā arī energoefektivitātes uzlabošanas un atjaunojamo energoresursu izmantošanas veicināšanas pasākumi</w:t>
      </w:r>
      <w:r w:rsidR="000343B5">
        <w:rPr>
          <w:rFonts w:ascii="Times New Roman" w:eastAsia="Calibri" w:hAnsi="Times New Roman" w:cs="Times New Roman"/>
          <w:sz w:val="24"/>
          <w:szCs w:val="24"/>
        </w:rPr>
        <w:t>;</w:t>
      </w:r>
      <w:r w:rsidRPr="00930237">
        <w:rPr>
          <w:rFonts w:ascii="Times New Roman" w:eastAsia="Calibri" w:hAnsi="Times New Roman" w:cs="Times New Roman"/>
          <w:sz w:val="24"/>
          <w:szCs w:val="24"/>
        </w:rPr>
        <w:t xml:space="preserve"> </w:t>
      </w:r>
    </w:p>
    <w:p w14:paraId="0864E4AA" w14:textId="530D901D" w:rsidR="00AC212B" w:rsidRPr="00930237" w:rsidRDefault="00AC212B" w:rsidP="007545BD">
      <w:pPr>
        <w:pStyle w:val="ListParagraph"/>
        <w:numPr>
          <w:ilvl w:val="0"/>
          <w:numId w:val="43"/>
        </w:numPr>
        <w:spacing w:after="0" w:line="240" w:lineRule="auto"/>
        <w:ind w:left="1134" w:hanging="425"/>
        <w:contextualSpacing w:val="0"/>
        <w:jc w:val="both"/>
        <w:rPr>
          <w:rFonts w:ascii="Times New Roman" w:eastAsia="Calibri" w:hAnsi="Times New Roman" w:cs="Times New Roman"/>
          <w:sz w:val="24"/>
          <w:szCs w:val="24"/>
        </w:rPr>
      </w:pPr>
      <w:r w:rsidRPr="00930237">
        <w:rPr>
          <w:rFonts w:ascii="Times New Roman" w:eastAsia="Calibri" w:hAnsi="Times New Roman" w:cs="Times New Roman"/>
          <w:sz w:val="24"/>
          <w:szCs w:val="24"/>
        </w:rPr>
        <w:t xml:space="preserve">Notekūdeņu dūņu apsaimniekošanas </w:t>
      </w:r>
      <w:r w:rsidR="00034A8E" w:rsidRPr="00930237">
        <w:rPr>
          <w:rFonts w:ascii="Times New Roman" w:eastAsia="Calibri" w:hAnsi="Times New Roman" w:cs="Times New Roman"/>
          <w:sz w:val="24"/>
          <w:szCs w:val="24"/>
        </w:rPr>
        <w:t xml:space="preserve">(apstrādes) </w:t>
      </w:r>
      <w:r w:rsidRPr="00930237">
        <w:rPr>
          <w:rFonts w:ascii="Times New Roman" w:eastAsia="Calibri" w:hAnsi="Times New Roman" w:cs="Times New Roman"/>
          <w:sz w:val="24"/>
          <w:szCs w:val="24"/>
        </w:rPr>
        <w:t>infrastruktūras attīstība;</w:t>
      </w:r>
    </w:p>
    <w:p w14:paraId="21A501FC" w14:textId="45ECCFA1" w:rsidR="00AC212B" w:rsidRPr="00930237" w:rsidRDefault="00AC212B" w:rsidP="007545BD">
      <w:pPr>
        <w:pStyle w:val="ListParagraph"/>
        <w:numPr>
          <w:ilvl w:val="0"/>
          <w:numId w:val="43"/>
        </w:numPr>
        <w:spacing w:after="0" w:line="240" w:lineRule="auto"/>
        <w:ind w:left="1134" w:hanging="425"/>
        <w:contextualSpacing w:val="0"/>
        <w:jc w:val="both"/>
        <w:rPr>
          <w:rFonts w:ascii="Times New Roman" w:eastAsia="Calibri" w:hAnsi="Times New Roman" w:cs="Times New Roman"/>
          <w:sz w:val="24"/>
          <w:szCs w:val="24"/>
        </w:rPr>
      </w:pPr>
      <w:r w:rsidRPr="00930237">
        <w:rPr>
          <w:rFonts w:ascii="Times New Roman" w:eastAsia="Calibri" w:hAnsi="Times New Roman" w:cs="Times New Roman"/>
          <w:sz w:val="24"/>
          <w:szCs w:val="24"/>
        </w:rPr>
        <w:t>Veco, nolietoto kanalizācijas tīklu un infrastruktūras objektu atjaunošana un pārbūve, kā arī jaunu tīklu izbūve</w:t>
      </w:r>
      <w:r w:rsidR="000343B5">
        <w:rPr>
          <w:rFonts w:ascii="Times New Roman" w:eastAsia="Calibri" w:hAnsi="Times New Roman" w:cs="Times New Roman"/>
          <w:sz w:val="24"/>
          <w:szCs w:val="24"/>
        </w:rPr>
        <w:t xml:space="preserve"> </w:t>
      </w:r>
      <w:r w:rsidR="000343B5" w:rsidRPr="000343B5">
        <w:rPr>
          <w:rFonts w:ascii="Times New Roman" w:eastAsia="Calibri" w:hAnsi="Times New Roman" w:cs="Times New Roman"/>
          <w:sz w:val="24"/>
          <w:szCs w:val="24"/>
        </w:rPr>
        <w:t>(zemāka notekūdeņu apsaimniekošanas infrastruktūras prioritāte ar limitētu ieviešanas apjomu, ievēro</w:t>
      </w:r>
      <w:r w:rsidR="000343B5">
        <w:rPr>
          <w:rFonts w:ascii="Times New Roman" w:eastAsia="Calibri" w:hAnsi="Times New Roman" w:cs="Times New Roman"/>
          <w:sz w:val="24"/>
          <w:szCs w:val="24"/>
        </w:rPr>
        <w:t>jot jau 2014. - 2020.</w:t>
      </w:r>
      <w:r w:rsidR="008E6893">
        <w:rPr>
          <w:rFonts w:ascii="Times New Roman" w:eastAsia="Calibri" w:hAnsi="Times New Roman" w:cs="Times New Roman"/>
          <w:sz w:val="24"/>
          <w:szCs w:val="24"/>
        </w:rPr>
        <w:t xml:space="preserve"> </w:t>
      </w:r>
      <w:r w:rsidR="000343B5">
        <w:rPr>
          <w:rFonts w:ascii="Times New Roman" w:eastAsia="Calibri" w:hAnsi="Times New Roman" w:cs="Times New Roman"/>
          <w:sz w:val="24"/>
          <w:szCs w:val="24"/>
        </w:rPr>
        <w:t>gada plāno</w:t>
      </w:r>
      <w:r w:rsidR="000343B5" w:rsidRPr="000343B5">
        <w:rPr>
          <w:rFonts w:ascii="Times New Roman" w:eastAsia="Calibri" w:hAnsi="Times New Roman" w:cs="Times New Roman"/>
          <w:sz w:val="24"/>
          <w:szCs w:val="24"/>
        </w:rPr>
        <w:t>šanas periodā veiktos ieguldījumus)</w:t>
      </w:r>
      <w:r w:rsidRPr="00930237">
        <w:rPr>
          <w:rFonts w:ascii="Times New Roman" w:eastAsia="Calibri" w:hAnsi="Times New Roman" w:cs="Times New Roman"/>
          <w:sz w:val="24"/>
          <w:szCs w:val="24"/>
        </w:rPr>
        <w:t>;</w:t>
      </w:r>
    </w:p>
    <w:p w14:paraId="5CCC43CC" w14:textId="1A122BBE" w:rsidR="00AC212B" w:rsidRPr="00672EED" w:rsidRDefault="00AC212B" w:rsidP="007545BD">
      <w:pPr>
        <w:pStyle w:val="ListParagraph"/>
        <w:numPr>
          <w:ilvl w:val="0"/>
          <w:numId w:val="60"/>
        </w:numPr>
        <w:spacing w:after="0" w:line="240" w:lineRule="auto"/>
        <w:ind w:left="567" w:hanging="567"/>
        <w:jc w:val="both"/>
        <w:rPr>
          <w:rFonts w:ascii="Times New Roman" w:hAnsi="Times New Roman" w:cs="Times New Roman"/>
          <w:b/>
          <w:noProof/>
          <w:sz w:val="24"/>
          <w:szCs w:val="24"/>
        </w:rPr>
      </w:pPr>
      <w:r w:rsidRPr="00930237">
        <w:rPr>
          <w:rFonts w:ascii="Times New Roman" w:hAnsi="Times New Roman" w:cs="Times New Roman"/>
          <w:b/>
          <w:noProof/>
          <w:sz w:val="24"/>
          <w:szCs w:val="24"/>
        </w:rPr>
        <w:t>Galvenās mērķgrupas</w:t>
      </w:r>
      <w:r w:rsidRPr="00672EED">
        <w:rPr>
          <w:rFonts w:ascii="Times New Roman" w:hAnsi="Times New Roman" w:cs="Times New Roman"/>
          <w:b/>
          <w:noProof/>
          <w:sz w:val="24"/>
          <w:szCs w:val="24"/>
        </w:rPr>
        <w:t xml:space="preserve">: </w:t>
      </w:r>
      <w:r w:rsidRPr="00672EED">
        <w:rPr>
          <w:rFonts w:ascii="Times New Roman" w:hAnsi="Times New Roman" w:cs="Times New Roman"/>
          <w:noProof/>
          <w:sz w:val="24"/>
          <w:szCs w:val="24"/>
        </w:rPr>
        <w:t>pašvaldības, kuru auto</w:t>
      </w:r>
      <w:r w:rsidR="008E6893">
        <w:rPr>
          <w:rFonts w:ascii="Times New Roman" w:hAnsi="Times New Roman" w:cs="Times New Roman"/>
          <w:noProof/>
          <w:sz w:val="24"/>
          <w:szCs w:val="24"/>
        </w:rPr>
        <w:t>n</w:t>
      </w:r>
      <w:r w:rsidRPr="00672EED">
        <w:rPr>
          <w:rFonts w:ascii="Times New Roman" w:hAnsi="Times New Roman" w:cs="Times New Roman"/>
          <w:noProof/>
          <w:sz w:val="24"/>
          <w:szCs w:val="24"/>
        </w:rPr>
        <w:t>omā funkcija ir nodrošināt savā administratīvajā teritorijā notekūdeņu savākšanas, novadīšanas un attīrīšanas pakalpojumus, iedzīvotāji, kuriem tiks nodrošināta kvalitatīva dzīves vide (notekūdeņi un notekūdeņu dūņas neradīs vides piesārņojumu un risku veselībai, tīr</w:t>
      </w:r>
      <w:r w:rsidR="008E6893">
        <w:rPr>
          <w:rFonts w:ascii="Times New Roman" w:hAnsi="Times New Roman" w:cs="Times New Roman"/>
          <w:noProof/>
          <w:sz w:val="24"/>
          <w:szCs w:val="24"/>
        </w:rPr>
        <w:t>i</w:t>
      </w:r>
      <w:r w:rsidRPr="00672EED">
        <w:rPr>
          <w:rFonts w:ascii="Times New Roman" w:hAnsi="Times New Roman" w:cs="Times New Roman"/>
          <w:noProof/>
          <w:sz w:val="24"/>
          <w:szCs w:val="24"/>
        </w:rPr>
        <w:t xml:space="preserve"> peldvietu ūdeņi, smaku novēršana),</w:t>
      </w:r>
      <w:r w:rsidRPr="00672EED">
        <w:rPr>
          <w:rFonts w:ascii="Times New Roman" w:hAnsi="Times New Roman" w:cs="Times New Roman"/>
          <w:bCs/>
          <w:color w:val="000000" w:themeColor="text1"/>
          <w:sz w:val="24"/>
          <w:szCs w:val="24"/>
        </w:rPr>
        <w:t xml:space="preserve"> visi Latvijas iedzīvotāji</w:t>
      </w:r>
      <w:r w:rsidR="000343B5">
        <w:rPr>
          <w:rFonts w:ascii="Times New Roman" w:hAnsi="Times New Roman" w:cs="Times New Roman"/>
          <w:bCs/>
          <w:color w:val="000000" w:themeColor="text1"/>
          <w:sz w:val="24"/>
          <w:szCs w:val="24"/>
        </w:rPr>
        <w:t>.</w:t>
      </w:r>
      <w:r w:rsidRPr="00672EED">
        <w:rPr>
          <w:rFonts w:ascii="Times New Roman" w:hAnsi="Times New Roman" w:cs="Times New Roman"/>
          <w:bCs/>
          <w:color w:val="000000" w:themeColor="text1"/>
          <w:sz w:val="24"/>
          <w:szCs w:val="24"/>
        </w:rPr>
        <w:t xml:space="preserve"> </w:t>
      </w:r>
    </w:p>
    <w:p w14:paraId="2351DE86" w14:textId="0D661640"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Darbības, kas nodrošina vienlīdzību, iekļaušanu un nediskrimināciju:</w:t>
      </w:r>
      <w:r w:rsidRPr="00930237">
        <w:rPr>
          <w:rFonts w:ascii="Times New Roman" w:hAnsi="Times New Roman" w:cs="Times New Roman"/>
          <w:sz w:val="24"/>
          <w:szCs w:val="24"/>
        </w:rPr>
        <w:t xml:space="preserve"> Projektu un pasākumu īstenošanā un vadībā tiks nodrošināta informācijas un vides pieejamības, nediskriminācijas pēc vecuma, dzimuma, etniskās piederības u.c. pazīmes un vienlīdzīgu iespēju principu ievērošana. </w:t>
      </w:r>
      <w:r w:rsidR="00601AA2">
        <w:rPr>
          <w:rFonts w:ascii="Times New Roman" w:hAnsi="Times New Roman" w:cs="Times New Roman"/>
          <w:sz w:val="24"/>
          <w:szCs w:val="24"/>
        </w:rPr>
        <w:t>SAM ir</w:t>
      </w:r>
      <w:r w:rsidRPr="00930237">
        <w:rPr>
          <w:rFonts w:ascii="Times New Roman" w:hAnsi="Times New Roman" w:cs="Times New Roman"/>
          <w:sz w:val="24"/>
          <w:szCs w:val="24"/>
        </w:rPr>
        <w:t xml:space="preserve"> izteikti tehnisks, vērsts uz tehnoloģiju pilnveidošanu vai nomaiņu un ieguldījumi nav saistīti ar cilvēkresursu attīstību vai </w:t>
      </w:r>
      <w:r w:rsidR="00034A8E" w:rsidRPr="00930237">
        <w:rPr>
          <w:rFonts w:ascii="Times New Roman" w:hAnsi="Times New Roman" w:cs="Times New Roman"/>
          <w:sz w:val="24"/>
          <w:szCs w:val="24"/>
        </w:rPr>
        <w:t xml:space="preserve">publisko būvju un ārtelpas </w:t>
      </w:r>
      <w:r w:rsidRPr="00930237">
        <w:rPr>
          <w:rFonts w:ascii="Times New Roman" w:hAnsi="Times New Roman" w:cs="Times New Roman"/>
          <w:sz w:val="24"/>
          <w:szCs w:val="24"/>
        </w:rPr>
        <w:t>izveidi, tomēr vienlaicīgi negatīvi neietekmē vienlīdzību, iekļaušanu un nediskrimināciju.</w:t>
      </w:r>
    </w:p>
    <w:p w14:paraId="16D2865C" w14:textId="20705ED5"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Mērķteritorijas, t.sk. plānotais teritoriālo rīku izmantojums</w:t>
      </w:r>
      <w:r w:rsidRPr="00930237">
        <w:rPr>
          <w:rFonts w:ascii="Times New Roman" w:hAnsi="Times New Roman" w:cs="Times New Roman"/>
          <w:sz w:val="24"/>
          <w:szCs w:val="24"/>
        </w:rPr>
        <w:t xml:space="preserve">: </w:t>
      </w:r>
      <w:r w:rsidRPr="00930237">
        <w:rPr>
          <w:rFonts w:ascii="Times New Roman" w:hAnsi="Times New Roman" w:cs="Times New Roman"/>
          <w:noProof/>
          <w:sz w:val="24"/>
          <w:szCs w:val="24"/>
        </w:rPr>
        <w:t>notekūdeņu aglomerācijas, kurās radītā piesārņojuma slodze pārsniedz 2000 cilvēkekvivalentus</w:t>
      </w:r>
      <w:r w:rsidR="008E6893">
        <w:rPr>
          <w:rFonts w:ascii="Times New Roman" w:hAnsi="Times New Roman" w:cs="Times New Roman"/>
          <w:noProof/>
          <w:sz w:val="24"/>
          <w:szCs w:val="24"/>
        </w:rPr>
        <w:t>,</w:t>
      </w:r>
      <w:r w:rsidRPr="00930237">
        <w:rPr>
          <w:rFonts w:ascii="Times New Roman" w:hAnsi="Times New Roman" w:cs="Times New Roman"/>
          <w:noProof/>
          <w:sz w:val="24"/>
          <w:szCs w:val="24"/>
        </w:rPr>
        <w:t xml:space="preserve"> visā Latvijā</w:t>
      </w:r>
      <w:r w:rsidRPr="00930237">
        <w:rPr>
          <w:rFonts w:ascii="Times New Roman" w:hAnsi="Times New Roman" w:cs="Times New Roman"/>
          <w:sz w:val="24"/>
          <w:szCs w:val="24"/>
        </w:rPr>
        <w:t xml:space="preserve">. </w:t>
      </w:r>
    </w:p>
    <w:p w14:paraId="25793C6F" w14:textId="70A9502D"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Starpreģionālās, pārrobežu un transnacionālās darbības:</w:t>
      </w:r>
      <w:r w:rsidRPr="00930237">
        <w:rPr>
          <w:rFonts w:ascii="Times New Roman" w:hAnsi="Times New Roman" w:cs="Times New Roman"/>
          <w:sz w:val="24"/>
          <w:szCs w:val="24"/>
        </w:rPr>
        <w:t xml:space="preserve"> </w:t>
      </w:r>
      <w:r w:rsidR="008F4155" w:rsidRPr="008F4155">
        <w:rPr>
          <w:rFonts w:ascii="Times New Roman" w:hAnsi="Times New Roman" w:cs="Times New Roman"/>
          <w:sz w:val="24"/>
          <w:szCs w:val="24"/>
        </w:rPr>
        <w:t>Notekūdeņu dūņu apstrādes infrastruktūras un atbilstošas jaudas sekundārās notekūdeņu attīrīšanas iekārtu kvalitātes nodrošināšana, ko papildinās INTERREG programmās iekļautie pasākumi</w:t>
      </w:r>
      <w:r w:rsidR="008E6893" w:rsidRPr="008E6893">
        <w:t xml:space="preserve"> </w:t>
      </w:r>
      <w:r w:rsidR="008E6893" w:rsidRPr="008E6893">
        <w:rPr>
          <w:rFonts w:ascii="Times New Roman" w:hAnsi="Times New Roman" w:cs="Times New Roman"/>
          <w:sz w:val="24"/>
          <w:szCs w:val="24"/>
        </w:rPr>
        <w:t>un LIFE programmas ieguldījumi vispārējā ūdens kvalitātes nodrošināšanā</w:t>
      </w:r>
      <w:r w:rsidR="008F4155" w:rsidRPr="008F4155">
        <w:rPr>
          <w:rFonts w:ascii="Times New Roman" w:hAnsi="Times New Roman" w:cs="Times New Roman"/>
          <w:sz w:val="24"/>
          <w:szCs w:val="24"/>
        </w:rPr>
        <w:t>, tieši saistīta ar ESSBJR īstenošanu, lai sasniegtu tās stratēģisko mērķi “Glābt jūru”.</w:t>
      </w:r>
    </w:p>
    <w:p w14:paraId="37102CF7" w14:textId="4D3BF936" w:rsidR="00AC212B" w:rsidRPr="00930237" w:rsidRDefault="0002461B" w:rsidP="007545BD">
      <w:pPr>
        <w:pStyle w:val="ListParagraph"/>
        <w:numPr>
          <w:ilvl w:val="0"/>
          <w:numId w:val="60"/>
        </w:numPr>
        <w:spacing w:after="0" w:line="240" w:lineRule="auto"/>
        <w:ind w:left="567" w:hanging="567"/>
        <w:jc w:val="both"/>
        <w:rPr>
          <w:rFonts w:ascii="Times New Roman" w:hAnsi="Times New Roman" w:cs="Times New Roman"/>
          <w:szCs w:val="24"/>
        </w:rPr>
      </w:pPr>
      <w:r>
        <w:rPr>
          <w:rFonts w:ascii="Times New Roman" w:hAnsi="Times New Roman" w:cs="Times New Roman"/>
          <w:b/>
          <w:sz w:val="24"/>
          <w:szCs w:val="24"/>
        </w:rPr>
        <w:t>F</w:t>
      </w:r>
      <w:r w:rsidR="00AC212B" w:rsidRPr="00930237">
        <w:rPr>
          <w:rFonts w:ascii="Times New Roman" w:hAnsi="Times New Roman" w:cs="Times New Roman"/>
          <w:b/>
          <w:sz w:val="24"/>
          <w:szCs w:val="24"/>
        </w:rPr>
        <w:t>inanšu instrumenti:</w:t>
      </w:r>
      <w:r w:rsidR="00AC212B" w:rsidRPr="00930237">
        <w:rPr>
          <w:rFonts w:ascii="Times New Roman" w:hAnsi="Times New Roman" w:cs="Times New Roman"/>
          <w:sz w:val="24"/>
          <w:szCs w:val="24"/>
        </w:rPr>
        <w:t xml:space="preserve"> </w:t>
      </w:r>
      <w:r w:rsidR="000343B5">
        <w:rPr>
          <w:rFonts w:ascii="Times New Roman" w:hAnsi="Times New Roman" w:cs="Times New Roman"/>
          <w:sz w:val="24"/>
          <w:szCs w:val="24"/>
        </w:rPr>
        <w:t>N/A.</w:t>
      </w:r>
    </w:p>
    <w:p w14:paraId="0299D3E1" w14:textId="77777777" w:rsidR="00AC212B" w:rsidRPr="00930237" w:rsidRDefault="00AC212B" w:rsidP="00AC212B">
      <w:pPr>
        <w:pStyle w:val="ListParagraph"/>
        <w:spacing w:after="0" w:line="240" w:lineRule="auto"/>
        <w:ind w:left="567"/>
        <w:jc w:val="both"/>
        <w:rPr>
          <w:rFonts w:ascii="Times New Roman" w:hAnsi="Times New Roman" w:cs="Times New Roman"/>
          <w:szCs w:val="24"/>
        </w:rPr>
      </w:pPr>
    </w:p>
    <w:p w14:paraId="6262118A" w14:textId="7DEE02C4" w:rsidR="00AC212B" w:rsidRPr="00930237" w:rsidRDefault="00AC212B" w:rsidP="00AC212B">
      <w:pPr>
        <w:pStyle w:val="Heading4"/>
        <w:numPr>
          <w:ilvl w:val="0"/>
          <w:numId w:val="0"/>
        </w:numPr>
        <w:shd w:val="clear" w:color="auto" w:fill="FBE4D5" w:themeFill="accent2" w:themeFillTint="33"/>
        <w:spacing w:after="0"/>
        <w:rPr>
          <w:b/>
        </w:rPr>
      </w:pPr>
      <w:r w:rsidRPr="00930237">
        <w:rPr>
          <w:b/>
        </w:rPr>
        <w:t>2.2.2.SAM “Pārejas uz aprites ekonomiku veicināšana”</w:t>
      </w:r>
    </w:p>
    <w:p w14:paraId="6747BAD1" w14:textId="276E630D"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b/>
          <w:noProof/>
          <w:sz w:val="24"/>
          <w:szCs w:val="24"/>
        </w:rPr>
      </w:pPr>
      <w:r w:rsidRPr="00930237">
        <w:rPr>
          <w:rFonts w:ascii="Times New Roman" w:hAnsi="Times New Roman" w:cs="Times New Roman"/>
          <w:b/>
          <w:noProof/>
          <w:sz w:val="24"/>
          <w:szCs w:val="24"/>
        </w:rPr>
        <w:t>Atbalstāmās darbības</w:t>
      </w:r>
      <w:r w:rsidR="008E6893">
        <w:rPr>
          <w:rFonts w:ascii="Times New Roman" w:hAnsi="Times New Roman" w:cs="Times New Roman"/>
          <w:b/>
          <w:noProof/>
          <w:sz w:val="24"/>
          <w:szCs w:val="24"/>
        </w:rPr>
        <w:t>:</w:t>
      </w:r>
      <w:r w:rsidR="000343B5">
        <w:rPr>
          <w:rFonts w:ascii="Times New Roman" w:hAnsi="Times New Roman" w:cs="Times New Roman"/>
          <w:b/>
          <w:noProof/>
          <w:sz w:val="24"/>
          <w:szCs w:val="24"/>
        </w:rPr>
        <w:t xml:space="preserve"> </w:t>
      </w:r>
      <w:r w:rsidR="000343B5" w:rsidRPr="00311C51">
        <w:rPr>
          <w:rFonts w:ascii="Times New Roman" w:hAnsi="Times New Roman" w:cs="Times New Roman"/>
          <w:noProof/>
          <w:sz w:val="24"/>
          <w:szCs w:val="24"/>
        </w:rPr>
        <w:t>SAM ietvaros tiks atbalstītas uz atkritumu apsaimniekošanas hierahiju balstītas atkritumu apsaimniekošanas un aprites ekonomikas ieviešanas aktivitātes, lai veicinātu otreizējo izvielu tirgus attīstību, radīto atkritumu daudzumu samazināšanu, atkārtotas izmantošanas un pārstrādes attīstību, kā arī apglabāšanas samazināšanas mērķu sniegumu</w:t>
      </w:r>
      <w:r w:rsidRPr="00311C51">
        <w:rPr>
          <w:rFonts w:ascii="Times New Roman" w:hAnsi="Times New Roman" w:cs="Times New Roman"/>
          <w:noProof/>
          <w:sz w:val="24"/>
          <w:szCs w:val="24"/>
        </w:rPr>
        <w:t>:</w:t>
      </w:r>
      <w:r w:rsidRPr="00930237">
        <w:rPr>
          <w:rFonts w:ascii="Times New Roman" w:hAnsi="Times New Roman" w:cs="Times New Roman"/>
          <w:b/>
          <w:noProof/>
          <w:sz w:val="24"/>
          <w:szCs w:val="24"/>
        </w:rPr>
        <w:t xml:space="preserve"> </w:t>
      </w:r>
    </w:p>
    <w:p w14:paraId="6F8C275D" w14:textId="676CAFF9" w:rsidR="000343B5" w:rsidRPr="002D3EAE" w:rsidRDefault="000343B5" w:rsidP="007545BD">
      <w:pPr>
        <w:pStyle w:val="ListParagraph"/>
        <w:numPr>
          <w:ilvl w:val="0"/>
          <w:numId w:val="44"/>
        </w:numPr>
        <w:spacing w:after="0" w:line="240" w:lineRule="auto"/>
        <w:ind w:left="1134" w:hanging="567"/>
        <w:contextualSpacing w:val="0"/>
        <w:jc w:val="both"/>
        <w:rPr>
          <w:rFonts w:ascii="Times New Roman" w:eastAsiaTheme="minorEastAsia" w:hAnsi="Times New Roman" w:cs="Times New Roman"/>
          <w:sz w:val="24"/>
          <w:szCs w:val="24"/>
        </w:rPr>
      </w:pPr>
      <w:r w:rsidRPr="002D3EAE">
        <w:rPr>
          <w:rFonts w:ascii="Times New Roman" w:hAnsi="Times New Roman" w:cs="Times New Roman"/>
          <w:noProof/>
          <w:sz w:val="24"/>
          <w:szCs w:val="24"/>
        </w:rPr>
        <w:t xml:space="preserve">Aprites ekonomikas principu ieviešana uzņēmējdarbībā (īpaši MVU) -  </w:t>
      </w:r>
      <w:r w:rsidRPr="002D3EAE">
        <w:rPr>
          <w:rFonts w:ascii="Times New Roman" w:hAnsi="Times New Roman" w:cs="Times New Roman"/>
          <w:sz w:val="24"/>
          <w:szCs w:val="24"/>
        </w:rPr>
        <w:t>pakalpojumos</w:t>
      </w:r>
      <w:r w:rsidRPr="002D3EAE">
        <w:rPr>
          <w:rFonts w:ascii="Times New Roman" w:hAnsi="Times New Roman" w:cs="Times New Roman"/>
          <w:noProof/>
          <w:sz w:val="24"/>
          <w:szCs w:val="24"/>
        </w:rPr>
        <w:t xml:space="preserve"> un ražošanā - atbalst</w:t>
      </w:r>
      <w:r w:rsidR="008E6893">
        <w:rPr>
          <w:rFonts w:ascii="Times New Roman" w:hAnsi="Times New Roman" w:cs="Times New Roman"/>
          <w:noProof/>
          <w:sz w:val="24"/>
          <w:szCs w:val="24"/>
        </w:rPr>
        <w:t>ot</w:t>
      </w:r>
      <w:r w:rsidRPr="002D3EAE">
        <w:rPr>
          <w:rFonts w:ascii="Times New Roman" w:hAnsi="Times New Roman" w:cs="Times New Roman"/>
          <w:noProof/>
          <w:sz w:val="24"/>
          <w:szCs w:val="24"/>
        </w:rPr>
        <w:t xml:space="preserve"> patreiz izmantoto procesu un tehnoloģisko risinājumu izmaiņ</w:t>
      </w:r>
      <w:r w:rsidR="008E6893">
        <w:rPr>
          <w:rFonts w:ascii="Times New Roman" w:hAnsi="Times New Roman" w:cs="Times New Roman"/>
          <w:noProof/>
          <w:sz w:val="24"/>
          <w:szCs w:val="24"/>
        </w:rPr>
        <w:t>as</w:t>
      </w:r>
      <w:r w:rsidRPr="002D3EAE">
        <w:rPr>
          <w:rFonts w:ascii="Times New Roman" w:hAnsi="Times New Roman" w:cs="Times New Roman"/>
          <w:noProof/>
          <w:sz w:val="24"/>
          <w:szCs w:val="24"/>
        </w:rPr>
        <w:t>, lai:</w:t>
      </w:r>
    </w:p>
    <w:p w14:paraId="6ECF1690" w14:textId="77777777" w:rsidR="000343B5" w:rsidRPr="002D3EAE" w:rsidRDefault="000343B5" w:rsidP="007545BD">
      <w:pPr>
        <w:pStyle w:val="ListParagraph"/>
        <w:numPr>
          <w:ilvl w:val="0"/>
          <w:numId w:val="61"/>
        </w:numPr>
        <w:spacing w:after="0" w:line="240" w:lineRule="auto"/>
        <w:ind w:left="1985" w:hanging="567"/>
        <w:contextualSpacing w:val="0"/>
        <w:jc w:val="both"/>
        <w:rPr>
          <w:rFonts w:ascii="Times New Roman" w:eastAsiaTheme="minorEastAsia" w:hAnsi="Times New Roman" w:cs="Times New Roman"/>
          <w:sz w:val="24"/>
          <w:szCs w:val="24"/>
        </w:rPr>
      </w:pPr>
      <w:r w:rsidRPr="002D3EAE">
        <w:rPr>
          <w:rFonts w:ascii="Times New Roman" w:hAnsi="Times New Roman" w:cs="Times New Roman"/>
          <w:noProof/>
          <w:sz w:val="24"/>
          <w:szCs w:val="24"/>
        </w:rPr>
        <w:t xml:space="preserve">veicinātu </w:t>
      </w:r>
      <w:r w:rsidRPr="002D3EAE">
        <w:rPr>
          <w:rFonts w:ascii="Times New Roman" w:hAnsi="Times New Roman" w:cs="Times New Roman"/>
          <w:sz w:val="24"/>
          <w:szCs w:val="24"/>
        </w:rPr>
        <w:t>ekodizaina principus preču ražošanā un materiālu un iepakojuma izmantošanā;</w:t>
      </w:r>
    </w:p>
    <w:p w14:paraId="19A19537" w14:textId="77777777" w:rsidR="000343B5" w:rsidRPr="002D3EAE" w:rsidRDefault="000343B5" w:rsidP="007545BD">
      <w:pPr>
        <w:pStyle w:val="ListParagraph"/>
        <w:numPr>
          <w:ilvl w:val="0"/>
          <w:numId w:val="61"/>
        </w:numPr>
        <w:spacing w:after="0" w:line="240" w:lineRule="auto"/>
        <w:ind w:left="1985" w:hanging="567"/>
        <w:contextualSpacing w:val="0"/>
        <w:jc w:val="both"/>
        <w:rPr>
          <w:rFonts w:ascii="Times New Roman" w:hAnsi="Times New Roman" w:cs="Times New Roman"/>
          <w:sz w:val="24"/>
          <w:szCs w:val="24"/>
        </w:rPr>
      </w:pPr>
      <w:r w:rsidRPr="002D3EAE">
        <w:rPr>
          <w:rFonts w:ascii="Times New Roman" w:hAnsi="Times New Roman" w:cs="Times New Roman"/>
          <w:noProof/>
          <w:sz w:val="24"/>
          <w:szCs w:val="24"/>
        </w:rPr>
        <w:t xml:space="preserve">samazinātu atkritumu apjomu; </w:t>
      </w:r>
    </w:p>
    <w:p w14:paraId="66E61F0B" w14:textId="77777777" w:rsidR="000343B5" w:rsidRPr="002D3EAE" w:rsidRDefault="000343B5" w:rsidP="007545BD">
      <w:pPr>
        <w:pStyle w:val="ListParagraph"/>
        <w:numPr>
          <w:ilvl w:val="0"/>
          <w:numId w:val="61"/>
        </w:numPr>
        <w:spacing w:after="0" w:line="240" w:lineRule="auto"/>
        <w:ind w:left="1985" w:hanging="567"/>
        <w:contextualSpacing w:val="0"/>
        <w:jc w:val="both"/>
        <w:rPr>
          <w:rFonts w:ascii="Times New Roman" w:hAnsi="Times New Roman" w:cs="Times New Roman"/>
          <w:sz w:val="24"/>
          <w:szCs w:val="24"/>
        </w:rPr>
      </w:pPr>
      <w:r w:rsidRPr="3657A61C">
        <w:rPr>
          <w:rFonts w:ascii="Times New Roman" w:hAnsi="Times New Roman" w:cs="Times New Roman"/>
          <w:noProof/>
          <w:sz w:val="24"/>
          <w:szCs w:val="24"/>
        </w:rPr>
        <w:t>samazinātu materiālu ietilpību un palielinātu pārstrādājamību un ilglietojamību;</w:t>
      </w:r>
    </w:p>
    <w:p w14:paraId="2541CE73" w14:textId="77777777" w:rsidR="000343B5" w:rsidRPr="002D3EAE" w:rsidRDefault="000343B5" w:rsidP="007545BD">
      <w:pPr>
        <w:pStyle w:val="ListParagraph"/>
        <w:numPr>
          <w:ilvl w:val="0"/>
          <w:numId w:val="61"/>
        </w:numPr>
        <w:spacing w:after="0" w:line="240" w:lineRule="auto"/>
        <w:ind w:left="1985" w:hanging="567"/>
        <w:contextualSpacing w:val="0"/>
        <w:jc w:val="both"/>
        <w:rPr>
          <w:rFonts w:ascii="Times New Roman" w:hAnsi="Times New Roman" w:cs="Times New Roman"/>
          <w:sz w:val="24"/>
          <w:szCs w:val="24"/>
        </w:rPr>
      </w:pPr>
      <w:r w:rsidRPr="002D3EAE">
        <w:rPr>
          <w:rFonts w:ascii="Times New Roman" w:hAnsi="Times New Roman" w:cs="Times New Roman"/>
          <w:sz w:val="24"/>
          <w:szCs w:val="24"/>
        </w:rPr>
        <w:t xml:space="preserve">attīstītu </w:t>
      </w:r>
      <w:r w:rsidRPr="002D3EAE">
        <w:rPr>
          <w:rFonts w:ascii="Times New Roman" w:hAnsi="Times New Roman" w:cs="Times New Roman"/>
          <w:noProof/>
          <w:sz w:val="24"/>
          <w:szCs w:val="24"/>
        </w:rPr>
        <w:t xml:space="preserve">racionālu izejvielu un resursu izmantošanu; </w:t>
      </w:r>
    </w:p>
    <w:p w14:paraId="6899E95E" w14:textId="77777777" w:rsidR="000343B5" w:rsidRPr="002D3EAE" w:rsidRDefault="000343B5" w:rsidP="007545BD">
      <w:pPr>
        <w:pStyle w:val="ListParagraph"/>
        <w:numPr>
          <w:ilvl w:val="0"/>
          <w:numId w:val="61"/>
        </w:numPr>
        <w:spacing w:after="0" w:line="240" w:lineRule="auto"/>
        <w:ind w:left="1985" w:hanging="567"/>
        <w:contextualSpacing w:val="0"/>
        <w:jc w:val="both"/>
        <w:rPr>
          <w:rFonts w:ascii="Times New Roman" w:hAnsi="Times New Roman" w:cs="Times New Roman"/>
          <w:sz w:val="24"/>
          <w:szCs w:val="24"/>
        </w:rPr>
      </w:pPr>
      <w:r w:rsidRPr="3657A61C">
        <w:rPr>
          <w:rFonts w:ascii="Times New Roman" w:hAnsi="Times New Roman" w:cs="Times New Roman"/>
          <w:noProof/>
          <w:sz w:val="24"/>
          <w:szCs w:val="24"/>
        </w:rPr>
        <w:t>veicinātu pāreju uz otrreizēji izmantojamu un videi nekaitīgu izejvielu izmantošanu ražošanas tehnoloģiskajos risinājumos (“safe by design”);</w:t>
      </w:r>
    </w:p>
    <w:p w14:paraId="739AA1F2" w14:textId="77777777" w:rsidR="000343B5" w:rsidRPr="002D3EAE" w:rsidRDefault="000343B5" w:rsidP="007545BD">
      <w:pPr>
        <w:pStyle w:val="ListParagraph"/>
        <w:numPr>
          <w:ilvl w:val="0"/>
          <w:numId w:val="61"/>
        </w:numPr>
        <w:spacing w:after="0" w:line="240" w:lineRule="auto"/>
        <w:ind w:left="1985" w:hanging="567"/>
        <w:contextualSpacing w:val="0"/>
        <w:jc w:val="both"/>
        <w:rPr>
          <w:rFonts w:ascii="Times New Roman" w:hAnsi="Times New Roman" w:cs="Times New Roman"/>
          <w:sz w:val="24"/>
          <w:szCs w:val="24"/>
        </w:rPr>
      </w:pPr>
      <w:r w:rsidRPr="6F178362">
        <w:rPr>
          <w:rFonts w:ascii="Times New Roman" w:hAnsi="Times New Roman" w:cs="Times New Roman"/>
          <w:noProof/>
          <w:sz w:val="24"/>
          <w:szCs w:val="24"/>
        </w:rPr>
        <w:t>ieviestu otrreizēju un</w:t>
      </w:r>
      <w:r w:rsidRPr="6F178362">
        <w:rPr>
          <w:rFonts w:ascii="Times New Roman" w:hAnsi="Times New Roman" w:cs="Times New Roman"/>
          <w:sz w:val="24"/>
          <w:szCs w:val="24"/>
        </w:rPr>
        <w:t xml:space="preserve"> slēgtu materiālu ciklu tehnoloģiju; </w:t>
      </w:r>
    </w:p>
    <w:p w14:paraId="0E43C936" w14:textId="4FA7CEFA" w:rsidR="000343B5" w:rsidRPr="002D3EAE" w:rsidRDefault="000343B5" w:rsidP="007545BD">
      <w:pPr>
        <w:pStyle w:val="ListParagraph"/>
        <w:numPr>
          <w:ilvl w:val="0"/>
          <w:numId w:val="61"/>
        </w:numPr>
        <w:spacing w:after="0" w:line="240" w:lineRule="auto"/>
        <w:ind w:left="1985" w:hanging="567"/>
        <w:contextualSpacing w:val="0"/>
        <w:jc w:val="both"/>
        <w:rPr>
          <w:rFonts w:ascii="Times New Roman" w:hAnsi="Times New Roman" w:cs="Times New Roman"/>
          <w:sz w:val="24"/>
          <w:szCs w:val="24"/>
        </w:rPr>
      </w:pPr>
      <w:r w:rsidRPr="002D3EAE">
        <w:rPr>
          <w:rFonts w:ascii="Times New Roman" w:hAnsi="Times New Roman" w:cs="Times New Roman"/>
          <w:sz w:val="24"/>
          <w:szCs w:val="24"/>
        </w:rPr>
        <w:t>sekmētu ekoefektīvu tehnoloģiju un ekoinovāciju ieviešanu</w:t>
      </w:r>
      <w:r w:rsidR="008E6893">
        <w:rPr>
          <w:rFonts w:ascii="Times New Roman" w:hAnsi="Times New Roman" w:cs="Times New Roman"/>
          <w:sz w:val="24"/>
          <w:szCs w:val="24"/>
        </w:rPr>
        <w:t>;</w:t>
      </w:r>
    </w:p>
    <w:p w14:paraId="5F94A761" w14:textId="6F3264A6" w:rsidR="000343B5" w:rsidRDefault="000343B5" w:rsidP="007545BD">
      <w:pPr>
        <w:pStyle w:val="ListParagraph"/>
        <w:numPr>
          <w:ilvl w:val="0"/>
          <w:numId w:val="44"/>
        </w:numPr>
        <w:spacing w:after="0" w:line="240" w:lineRule="auto"/>
        <w:ind w:left="1134" w:hanging="567"/>
        <w:jc w:val="both"/>
        <w:rPr>
          <w:rFonts w:ascii="Times New Roman" w:hAnsi="Times New Roman" w:cs="Times New Roman"/>
          <w:bCs/>
          <w:noProof/>
          <w:sz w:val="24"/>
        </w:rPr>
      </w:pPr>
      <w:r w:rsidRPr="000343B5">
        <w:rPr>
          <w:rFonts w:ascii="Times New Roman" w:hAnsi="Times New Roman" w:cs="Times New Roman"/>
          <w:bCs/>
          <w:noProof/>
          <w:sz w:val="24"/>
        </w:rPr>
        <w:t>Atkārtota lietošana, preču labošanas pakalpojumu attīstība</w:t>
      </w:r>
      <w:r>
        <w:rPr>
          <w:rFonts w:ascii="Times New Roman" w:hAnsi="Times New Roman" w:cs="Times New Roman"/>
          <w:bCs/>
          <w:noProof/>
          <w:sz w:val="24"/>
        </w:rPr>
        <w:t>;</w:t>
      </w:r>
    </w:p>
    <w:p w14:paraId="45D6D30B" w14:textId="3138D8B3" w:rsidR="00AC212B" w:rsidRPr="00930237" w:rsidRDefault="00AC212B" w:rsidP="007545BD">
      <w:pPr>
        <w:pStyle w:val="ListParagraph"/>
        <w:numPr>
          <w:ilvl w:val="0"/>
          <w:numId w:val="44"/>
        </w:numPr>
        <w:spacing w:after="0" w:line="240" w:lineRule="auto"/>
        <w:ind w:left="1134" w:hanging="567"/>
        <w:jc w:val="both"/>
        <w:rPr>
          <w:rFonts w:ascii="Times New Roman" w:hAnsi="Times New Roman" w:cs="Times New Roman"/>
          <w:bCs/>
          <w:noProof/>
          <w:sz w:val="24"/>
        </w:rPr>
      </w:pPr>
      <w:r w:rsidRPr="00930237">
        <w:rPr>
          <w:rFonts w:ascii="Times New Roman" w:hAnsi="Times New Roman" w:cs="Times New Roman"/>
          <w:bCs/>
          <w:noProof/>
          <w:sz w:val="24"/>
        </w:rPr>
        <w:t>Atkritumu pārstrādes un reģenerācijas (t.sk. biogāzes ieguves) iekārtu  jaudas palielināšana un jaunu jaudu nodrošināšana (īpaši attiecībā uz sadzīves atkritumiem un BNA</w:t>
      </w:r>
      <w:r w:rsidR="008E6893">
        <w:rPr>
          <w:rFonts w:ascii="Times New Roman" w:hAnsi="Times New Roman" w:cs="Times New Roman"/>
          <w:bCs/>
          <w:noProof/>
          <w:sz w:val="24"/>
        </w:rPr>
        <w:t>,</w:t>
      </w:r>
      <w:r w:rsidRPr="00930237">
        <w:rPr>
          <w:rFonts w:ascii="Times New Roman" w:hAnsi="Times New Roman" w:cs="Times New Roman"/>
          <w:bCs/>
          <w:noProof/>
          <w:sz w:val="24"/>
        </w:rPr>
        <w:t xml:space="preserve"> </w:t>
      </w:r>
      <w:r w:rsidRPr="00930237">
        <w:rPr>
          <w:rFonts w:ascii="Times New Roman" w:hAnsi="Times New Roman" w:cs="Times New Roman"/>
          <w:sz w:val="24"/>
          <w:szCs w:val="24"/>
        </w:rPr>
        <w:t>ieskaitot notekūdeņu dūņas kā biogēnos elementus</w:t>
      </w:r>
      <w:r w:rsidR="008E6893">
        <w:rPr>
          <w:rFonts w:ascii="Times New Roman" w:hAnsi="Times New Roman" w:cs="Times New Roman"/>
          <w:sz w:val="24"/>
          <w:szCs w:val="24"/>
        </w:rPr>
        <w:t>,</w:t>
      </w:r>
      <w:r w:rsidRPr="00930237">
        <w:rPr>
          <w:rFonts w:ascii="Times New Roman" w:hAnsi="Times New Roman" w:cs="Times New Roman"/>
          <w:bCs/>
          <w:noProof/>
          <w:sz w:val="24"/>
        </w:rPr>
        <w:t xml:space="preserve"> plastmasu (neiepakojuma), tekstila, kā arī iepakojuma, pārstrādi)</w:t>
      </w:r>
      <w:r w:rsidR="000343B5">
        <w:rPr>
          <w:rFonts w:ascii="Times New Roman" w:hAnsi="Times New Roman" w:cs="Times New Roman"/>
          <w:bCs/>
          <w:noProof/>
          <w:sz w:val="24"/>
        </w:rPr>
        <w:t>;</w:t>
      </w:r>
      <w:r w:rsidRPr="00930237">
        <w:rPr>
          <w:rFonts w:ascii="Times New Roman" w:hAnsi="Times New Roman" w:cs="Times New Roman"/>
          <w:bCs/>
          <w:noProof/>
          <w:sz w:val="24"/>
        </w:rPr>
        <w:t xml:space="preserve"> </w:t>
      </w:r>
    </w:p>
    <w:p w14:paraId="5D6B3525" w14:textId="290AEAFB" w:rsidR="00AC212B" w:rsidRDefault="00AC212B" w:rsidP="007545BD">
      <w:pPr>
        <w:pStyle w:val="ListParagraph"/>
        <w:numPr>
          <w:ilvl w:val="0"/>
          <w:numId w:val="44"/>
        </w:numPr>
        <w:spacing w:after="0" w:line="240" w:lineRule="auto"/>
        <w:ind w:left="1134" w:hanging="567"/>
        <w:jc w:val="both"/>
        <w:rPr>
          <w:rFonts w:ascii="Times New Roman" w:eastAsia="Times New Roman" w:hAnsi="Times New Roman" w:cs="Times New Roman"/>
          <w:noProof/>
          <w:sz w:val="24"/>
        </w:rPr>
      </w:pPr>
      <w:r w:rsidRPr="00930237">
        <w:rPr>
          <w:rFonts w:ascii="Times New Roman" w:eastAsia="Times New Roman" w:hAnsi="Times New Roman" w:cs="Times New Roman"/>
          <w:noProof/>
          <w:sz w:val="24"/>
        </w:rPr>
        <w:t>Atkritumu dalītās savākšanas sistēmas paplašināšana, aptverot jaunas materiālu grupas – BNA, tekstils, bīstamie sadzīves atkritumi, mēbeles u.c., ieguldot finansējumu infrastruktūras attīstībā, kā arī šķirošanas līniju un tehnoloģiju modernizēšanā</w:t>
      </w:r>
      <w:r w:rsidR="000343B5">
        <w:rPr>
          <w:rFonts w:ascii="Times New Roman" w:eastAsia="Times New Roman" w:hAnsi="Times New Roman" w:cs="Times New Roman"/>
          <w:noProof/>
          <w:sz w:val="24"/>
        </w:rPr>
        <w:t xml:space="preserve"> </w:t>
      </w:r>
      <w:r w:rsidR="000343B5" w:rsidRPr="000343B5">
        <w:rPr>
          <w:rFonts w:ascii="Times New Roman" w:eastAsia="Times New Roman" w:hAnsi="Times New Roman" w:cs="Times New Roman"/>
          <w:noProof/>
          <w:sz w:val="24"/>
        </w:rPr>
        <w:t>(jaudas nešķirotu sadzīves atkritumu sagatavošanai pārstrādei kopumā valstī netiek plānots palielināt, taču nepieciešama to modernizācija, t.sk. apsaimnie</w:t>
      </w:r>
      <w:r w:rsidR="000343B5">
        <w:rPr>
          <w:rFonts w:ascii="Times New Roman" w:eastAsia="Times New Roman" w:hAnsi="Times New Roman" w:cs="Times New Roman"/>
          <w:noProof/>
          <w:sz w:val="24"/>
        </w:rPr>
        <w:t>košanas centru vajadzībām)</w:t>
      </w:r>
      <w:r w:rsidRPr="00930237">
        <w:rPr>
          <w:rFonts w:ascii="Times New Roman" w:eastAsia="Times New Roman" w:hAnsi="Times New Roman" w:cs="Times New Roman"/>
          <w:noProof/>
          <w:sz w:val="24"/>
        </w:rPr>
        <w:t>;</w:t>
      </w:r>
    </w:p>
    <w:p w14:paraId="22E56D90" w14:textId="18F0F6EC" w:rsidR="000343B5" w:rsidRPr="00311C51" w:rsidRDefault="000343B5" w:rsidP="007545BD">
      <w:pPr>
        <w:pStyle w:val="ListParagraph"/>
        <w:numPr>
          <w:ilvl w:val="0"/>
          <w:numId w:val="44"/>
        </w:numPr>
        <w:spacing w:line="240" w:lineRule="auto"/>
        <w:ind w:left="1134" w:hanging="567"/>
        <w:jc w:val="both"/>
        <w:rPr>
          <w:rFonts w:ascii="Times New Roman" w:eastAsia="Times New Roman" w:hAnsi="Times New Roman" w:cs="Times New Roman"/>
          <w:noProof/>
          <w:sz w:val="24"/>
        </w:rPr>
      </w:pPr>
      <w:r w:rsidRPr="000343B5">
        <w:rPr>
          <w:rFonts w:ascii="Times New Roman" w:eastAsia="Times New Roman" w:hAnsi="Times New Roman" w:cs="Times New Roman"/>
          <w:noProof/>
          <w:sz w:val="24"/>
        </w:rPr>
        <w:t>A</w:t>
      </w:r>
      <w:r w:rsidR="008E6893">
        <w:rPr>
          <w:rFonts w:ascii="Times New Roman" w:eastAsia="Times New Roman" w:hAnsi="Times New Roman" w:cs="Times New Roman"/>
          <w:noProof/>
          <w:sz w:val="24"/>
        </w:rPr>
        <w:t>tbilstoši A</w:t>
      </w:r>
      <w:r w:rsidRPr="000343B5">
        <w:rPr>
          <w:rFonts w:ascii="Times New Roman" w:eastAsia="Times New Roman" w:hAnsi="Times New Roman" w:cs="Times New Roman"/>
          <w:noProof/>
          <w:sz w:val="24"/>
        </w:rPr>
        <w:t xml:space="preserve">tkritumu apsaimniekošanas </w:t>
      </w:r>
      <w:r w:rsidR="008E6893">
        <w:rPr>
          <w:rFonts w:ascii="Times New Roman" w:eastAsia="Times New Roman" w:hAnsi="Times New Roman" w:cs="Times New Roman"/>
          <w:noProof/>
          <w:sz w:val="24"/>
        </w:rPr>
        <w:t xml:space="preserve">valsts plānam 2021. – 2028.gadam paredzētajai atkritumu apsaimniekošanas </w:t>
      </w:r>
      <w:r w:rsidRPr="000343B5">
        <w:rPr>
          <w:rFonts w:ascii="Times New Roman" w:eastAsia="Times New Roman" w:hAnsi="Times New Roman" w:cs="Times New Roman"/>
          <w:noProof/>
          <w:sz w:val="24"/>
        </w:rPr>
        <w:t>reģionu skaita samazināšana</w:t>
      </w:r>
      <w:r w:rsidR="008E6893">
        <w:rPr>
          <w:rFonts w:ascii="Times New Roman" w:eastAsia="Times New Roman" w:hAnsi="Times New Roman" w:cs="Times New Roman"/>
          <w:noProof/>
          <w:sz w:val="24"/>
        </w:rPr>
        <w:t>i</w:t>
      </w:r>
      <w:r w:rsidRPr="000343B5">
        <w:rPr>
          <w:rFonts w:ascii="Times New Roman" w:eastAsia="Times New Roman" w:hAnsi="Times New Roman" w:cs="Times New Roman"/>
          <w:noProof/>
          <w:sz w:val="24"/>
        </w:rPr>
        <w:t xml:space="preserve">,  </w:t>
      </w:r>
      <w:r w:rsidR="008E6893">
        <w:rPr>
          <w:rFonts w:ascii="Times New Roman" w:eastAsia="Times New Roman" w:hAnsi="Times New Roman" w:cs="Times New Roman"/>
          <w:noProof/>
          <w:sz w:val="24"/>
        </w:rPr>
        <w:t>investīcijas</w:t>
      </w:r>
      <w:r w:rsidR="008E6893" w:rsidRPr="000343B5">
        <w:rPr>
          <w:rFonts w:ascii="Times New Roman" w:eastAsia="Times New Roman" w:hAnsi="Times New Roman" w:cs="Times New Roman"/>
          <w:noProof/>
          <w:sz w:val="24"/>
        </w:rPr>
        <w:t xml:space="preserve"> </w:t>
      </w:r>
      <w:r w:rsidRPr="000343B5">
        <w:rPr>
          <w:rFonts w:ascii="Times New Roman" w:eastAsia="Times New Roman" w:hAnsi="Times New Roman" w:cs="Times New Roman"/>
          <w:noProof/>
          <w:sz w:val="24"/>
        </w:rPr>
        <w:t>esošo atkritumu poligonu pielāgošan</w:t>
      </w:r>
      <w:r w:rsidR="00C34272">
        <w:rPr>
          <w:rFonts w:ascii="Times New Roman" w:eastAsia="Times New Roman" w:hAnsi="Times New Roman" w:cs="Times New Roman"/>
          <w:noProof/>
          <w:sz w:val="24"/>
        </w:rPr>
        <w:t>ai</w:t>
      </w:r>
      <w:r w:rsidRPr="000343B5">
        <w:rPr>
          <w:rFonts w:ascii="Times New Roman" w:eastAsia="Times New Roman" w:hAnsi="Times New Roman" w:cs="Times New Roman"/>
          <w:noProof/>
          <w:sz w:val="24"/>
        </w:rPr>
        <w:t>, pārkvalifikācij</w:t>
      </w:r>
      <w:r w:rsidR="00C34272">
        <w:rPr>
          <w:rFonts w:ascii="Times New Roman" w:eastAsia="Times New Roman" w:hAnsi="Times New Roman" w:cs="Times New Roman"/>
          <w:noProof/>
          <w:sz w:val="24"/>
        </w:rPr>
        <w:t>ai</w:t>
      </w:r>
      <w:r w:rsidRPr="000343B5">
        <w:rPr>
          <w:rFonts w:ascii="Times New Roman" w:eastAsia="Times New Roman" w:hAnsi="Times New Roman" w:cs="Times New Roman"/>
          <w:noProof/>
          <w:sz w:val="24"/>
        </w:rPr>
        <w:t xml:space="preserve"> vai pārveid</w:t>
      </w:r>
      <w:r w:rsidR="00C34272">
        <w:rPr>
          <w:rFonts w:ascii="Times New Roman" w:eastAsia="Times New Roman" w:hAnsi="Times New Roman" w:cs="Times New Roman"/>
          <w:noProof/>
          <w:sz w:val="24"/>
        </w:rPr>
        <w:t>e</w:t>
      </w:r>
      <w:r w:rsidRPr="000343B5">
        <w:rPr>
          <w:rFonts w:ascii="Times New Roman" w:eastAsia="Times New Roman" w:hAnsi="Times New Roman" w:cs="Times New Roman"/>
          <w:noProof/>
          <w:sz w:val="24"/>
        </w:rPr>
        <w:t>i par reģionāliem atkritumu apsaimniekošanas centriem citām atkritumu apsaimniekošanas darbībām,</w:t>
      </w:r>
      <w:r w:rsidR="00C34272">
        <w:rPr>
          <w:rFonts w:ascii="Times New Roman" w:eastAsia="Times New Roman" w:hAnsi="Times New Roman" w:cs="Times New Roman"/>
          <w:noProof/>
          <w:sz w:val="24"/>
        </w:rPr>
        <w:t xml:space="preserve"> tādejādi saistībā ar atkritumu apglabāšanas funkciju izbeigšanu</w:t>
      </w:r>
      <w:r w:rsidRPr="000343B5">
        <w:rPr>
          <w:rFonts w:ascii="Times New Roman" w:eastAsia="Times New Roman" w:hAnsi="Times New Roman" w:cs="Times New Roman"/>
          <w:noProof/>
          <w:sz w:val="24"/>
        </w:rPr>
        <w:t xml:space="preserve"> attīstot ilgtspējīgus risinājumus,</w:t>
      </w:r>
      <w:r w:rsidR="00C34272">
        <w:rPr>
          <w:rFonts w:ascii="Times New Roman" w:eastAsia="Times New Roman" w:hAnsi="Times New Roman" w:cs="Times New Roman"/>
          <w:noProof/>
          <w:sz w:val="24"/>
        </w:rPr>
        <w:t xml:space="preserve"> vietējā līmenī</w:t>
      </w:r>
      <w:r w:rsidRPr="000343B5">
        <w:rPr>
          <w:rFonts w:ascii="Times New Roman" w:eastAsia="Times New Roman" w:hAnsi="Times New Roman" w:cs="Times New Roman"/>
          <w:noProof/>
          <w:sz w:val="24"/>
        </w:rPr>
        <w:t xml:space="preserve"> nodrošinot vietējā līmenī atkritumu radīšanas samazināšanu, preču labošanas pakalpojumu attīstību, atkritumu sagatavošanu otrreizējai pārstrādei un aprites ekonomikas veicināšanas pasākumu attīstību. Ievērojot to, ka atbalstāmās darbības ir saistītas ar atkritumu poligonu skaita samazināšanu, lai virzītos uz apglabāšanas mērķa sniegumu, netiks atbalstītas darbības atkritumu apglabāšanai poligonos;</w:t>
      </w:r>
    </w:p>
    <w:p w14:paraId="38D50A04" w14:textId="22A99EC0" w:rsidR="00AC212B" w:rsidRPr="00930237" w:rsidRDefault="00AC212B" w:rsidP="007545BD">
      <w:pPr>
        <w:pStyle w:val="ListParagraph"/>
        <w:numPr>
          <w:ilvl w:val="0"/>
          <w:numId w:val="44"/>
        </w:numPr>
        <w:spacing w:after="0" w:line="240" w:lineRule="auto"/>
        <w:ind w:left="1134" w:hanging="567"/>
        <w:jc w:val="both"/>
        <w:rPr>
          <w:rFonts w:ascii="Times New Roman" w:hAnsi="Times New Roman" w:cs="Times New Roman"/>
          <w:bCs/>
          <w:noProof/>
          <w:sz w:val="24"/>
        </w:rPr>
      </w:pPr>
      <w:r w:rsidRPr="00930237">
        <w:rPr>
          <w:rFonts w:ascii="Times New Roman" w:hAnsi="Times New Roman" w:cs="Times New Roman"/>
          <w:bCs/>
          <w:noProof/>
          <w:sz w:val="24"/>
        </w:rPr>
        <w:t>Materiālu plūsmas izsekojamības paaugstināšanai un uzskaites sistēmas attīstīšana un izveide, paplašinot esošo uzskaiti un savienojot vairākas datu bāzes</w:t>
      </w:r>
      <w:r w:rsidR="00FD7E0D">
        <w:rPr>
          <w:rFonts w:ascii="Times New Roman" w:hAnsi="Times New Roman" w:cs="Times New Roman"/>
          <w:bCs/>
          <w:noProof/>
          <w:sz w:val="24"/>
        </w:rPr>
        <w:t>;</w:t>
      </w:r>
    </w:p>
    <w:p w14:paraId="46EBE412" w14:textId="741D83AC" w:rsidR="000343B5" w:rsidRPr="00311C51" w:rsidRDefault="000343B5" w:rsidP="007545BD">
      <w:pPr>
        <w:pStyle w:val="ListParagraph"/>
        <w:numPr>
          <w:ilvl w:val="0"/>
          <w:numId w:val="44"/>
        </w:numPr>
        <w:spacing w:after="0" w:line="240" w:lineRule="auto"/>
        <w:ind w:left="1134" w:hanging="567"/>
        <w:jc w:val="both"/>
        <w:rPr>
          <w:rFonts w:ascii="Times New Roman" w:eastAsia="Times New Roman" w:hAnsi="Times New Roman" w:cs="Times New Roman"/>
          <w:noProof/>
          <w:sz w:val="24"/>
          <w:szCs w:val="24"/>
        </w:rPr>
      </w:pPr>
      <w:r w:rsidRPr="000343B5">
        <w:rPr>
          <w:rFonts w:ascii="Times New Roman" w:eastAsia="Times New Roman" w:hAnsi="Times New Roman" w:cs="Times New Roman"/>
          <w:noProof/>
          <w:sz w:val="24"/>
        </w:rPr>
        <w:t>Atbalstāmas ir arī darbības, kas paredzētas industriālās simbiozes veicināšanai, kā arī konsultācij</w:t>
      </w:r>
      <w:r w:rsidR="00C34272">
        <w:rPr>
          <w:rFonts w:ascii="Times New Roman" w:eastAsia="Times New Roman" w:hAnsi="Times New Roman" w:cs="Times New Roman"/>
          <w:noProof/>
          <w:sz w:val="24"/>
        </w:rPr>
        <w:t>as</w:t>
      </w:r>
      <w:r w:rsidRPr="000343B5">
        <w:rPr>
          <w:rFonts w:ascii="Times New Roman" w:eastAsia="Times New Roman" w:hAnsi="Times New Roman" w:cs="Times New Roman"/>
          <w:noProof/>
          <w:sz w:val="24"/>
        </w:rPr>
        <w:t xml:space="preserve">, apmācības, informēšanas un publicitātes pasākumi, īpaši </w:t>
      </w:r>
      <w:r w:rsidRPr="00311C51">
        <w:rPr>
          <w:rFonts w:ascii="Times New Roman" w:eastAsia="Times New Roman" w:hAnsi="Times New Roman" w:cs="Times New Roman"/>
          <w:noProof/>
          <w:sz w:val="24"/>
          <w:szCs w:val="24"/>
        </w:rPr>
        <w:t>atbalsta sniegšanai aprites ekonomikas principu ieviešanai un  atkārtotas lietošanas un preču labošanas attīstībai.</w:t>
      </w:r>
    </w:p>
    <w:p w14:paraId="5D3EC773" w14:textId="1B593DDE" w:rsidR="000343B5" w:rsidRPr="00311C51" w:rsidRDefault="000343B5"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311C51">
        <w:rPr>
          <w:rFonts w:ascii="Times New Roman" w:eastAsia="Times New Roman" w:hAnsi="Times New Roman" w:cs="Times New Roman"/>
          <w:noProof/>
          <w:sz w:val="24"/>
          <w:szCs w:val="24"/>
        </w:rPr>
        <w:t>Atbalstāmās darbības plānotas Atkritumu apsaimniekošanas valsts plānā 2021. - 2028. gadam</w:t>
      </w:r>
      <w:r w:rsidRPr="00311C51">
        <w:rPr>
          <w:rStyle w:val="FootnoteReference"/>
          <w:rFonts w:ascii="Times New Roman" w:eastAsia="Times New Roman" w:hAnsi="Times New Roman" w:cs="Times New Roman"/>
          <w:noProof/>
          <w:sz w:val="24"/>
          <w:szCs w:val="24"/>
        </w:rPr>
        <w:footnoteReference w:id="105"/>
      </w:r>
      <w:r w:rsidRPr="00311C51">
        <w:rPr>
          <w:rFonts w:ascii="Times New Roman" w:eastAsia="Times New Roman" w:hAnsi="Times New Roman" w:cs="Times New Roman"/>
          <w:noProof/>
          <w:sz w:val="24"/>
          <w:szCs w:val="24"/>
        </w:rPr>
        <w:t xml:space="preserve">, saskaņā ar pētījumu “Investīciju vajadzību izvērtējums Atkritumu apsaimniekošanas valsts plāna 2021. </w:t>
      </w:r>
      <w:r w:rsidR="00C34272">
        <w:rPr>
          <w:rFonts w:ascii="Times New Roman" w:eastAsia="Times New Roman" w:hAnsi="Times New Roman" w:cs="Times New Roman"/>
          <w:noProof/>
          <w:sz w:val="24"/>
          <w:szCs w:val="24"/>
        </w:rPr>
        <w:t>–</w:t>
      </w:r>
      <w:r w:rsidRPr="00311C51">
        <w:rPr>
          <w:rFonts w:ascii="Times New Roman" w:eastAsia="Times New Roman" w:hAnsi="Times New Roman" w:cs="Times New Roman"/>
          <w:noProof/>
          <w:sz w:val="24"/>
          <w:szCs w:val="24"/>
        </w:rPr>
        <w:t xml:space="preserve"> 2028. gadam izstrādei”</w:t>
      </w:r>
      <w:r w:rsidRPr="00311C51">
        <w:rPr>
          <w:rStyle w:val="FootnoteReference"/>
          <w:rFonts w:ascii="Times New Roman" w:eastAsia="Times New Roman" w:hAnsi="Times New Roman" w:cs="Times New Roman"/>
          <w:noProof/>
          <w:sz w:val="24"/>
          <w:szCs w:val="24"/>
        </w:rPr>
        <w:footnoteReference w:id="106"/>
      </w:r>
      <w:r w:rsidR="00C34272">
        <w:rPr>
          <w:rFonts w:ascii="Times New Roman" w:eastAsia="Times New Roman" w:hAnsi="Times New Roman" w:cs="Times New Roman"/>
          <w:noProof/>
          <w:sz w:val="24"/>
          <w:szCs w:val="24"/>
        </w:rPr>
        <w:t>,</w:t>
      </w:r>
      <w:r w:rsidRPr="00311C51">
        <w:rPr>
          <w:rFonts w:ascii="Times New Roman" w:eastAsia="Times New Roman" w:hAnsi="Times New Roman" w:cs="Times New Roman"/>
          <w:noProof/>
          <w:sz w:val="24"/>
          <w:szCs w:val="24"/>
        </w:rPr>
        <w:t xml:space="preserve"> kā arī Rīcības plānu pārejai uz aprites ekonomiku 2020.–2027. gadam</w:t>
      </w:r>
      <w:r w:rsidRPr="00311C51">
        <w:rPr>
          <w:rFonts w:ascii="Times New Roman" w:hAnsi="Times New Roman" w:cs="Times New Roman"/>
          <w:noProof/>
          <w:sz w:val="24"/>
          <w:szCs w:val="24"/>
          <w:vertAlign w:val="superscript"/>
        </w:rPr>
        <w:footnoteReference w:id="107"/>
      </w:r>
      <w:r w:rsidRPr="00311C51">
        <w:rPr>
          <w:rFonts w:ascii="Times New Roman" w:eastAsia="Times New Roman" w:hAnsi="Times New Roman" w:cs="Times New Roman"/>
          <w:noProof/>
          <w:sz w:val="24"/>
          <w:szCs w:val="24"/>
        </w:rPr>
        <w:t>.</w:t>
      </w:r>
      <w:r w:rsidRPr="00311C51">
        <w:rPr>
          <w:rFonts w:ascii="Times New Roman" w:hAnsi="Times New Roman" w:cs="Times New Roman"/>
          <w:noProof/>
          <w:sz w:val="24"/>
          <w:szCs w:val="24"/>
        </w:rPr>
        <w:t xml:space="preserve"> </w:t>
      </w:r>
    </w:p>
    <w:p w14:paraId="492FCCE3" w14:textId="77777777" w:rsidR="00AC212B" w:rsidRPr="00311C51"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noProof/>
          <w:sz w:val="24"/>
          <w:szCs w:val="24"/>
        </w:rPr>
      </w:pPr>
      <w:r w:rsidRPr="00311C51">
        <w:rPr>
          <w:rFonts w:ascii="Times New Roman" w:hAnsi="Times New Roman" w:cs="Times New Roman"/>
          <w:b/>
          <w:noProof/>
          <w:sz w:val="24"/>
          <w:szCs w:val="24"/>
        </w:rPr>
        <w:t xml:space="preserve">Galvenās mērķgrupas: </w:t>
      </w:r>
      <w:r w:rsidRPr="00311C51">
        <w:rPr>
          <w:rFonts w:ascii="Times New Roman" w:eastAsia="Times New Roman" w:hAnsi="Times New Roman" w:cs="Times New Roman"/>
          <w:noProof/>
          <w:sz w:val="24"/>
          <w:szCs w:val="24"/>
        </w:rPr>
        <w:t>Iedzīvotāji, saimnieciskās darbības veicēji, pašvaldības un visa sabiedrība kopumā.</w:t>
      </w:r>
    </w:p>
    <w:p w14:paraId="49D3FC40" w14:textId="459CF010"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311C51">
        <w:rPr>
          <w:rFonts w:ascii="Times New Roman" w:hAnsi="Times New Roman" w:cs="Times New Roman"/>
          <w:b/>
          <w:sz w:val="24"/>
          <w:szCs w:val="24"/>
        </w:rPr>
        <w:t>Darbības, kas nodrošina</w:t>
      </w:r>
      <w:r w:rsidRPr="00930237">
        <w:rPr>
          <w:rFonts w:ascii="Times New Roman" w:hAnsi="Times New Roman" w:cs="Times New Roman"/>
          <w:b/>
          <w:sz w:val="24"/>
          <w:szCs w:val="24"/>
        </w:rPr>
        <w:t xml:space="preserve"> vienlīdzību, iekļaušanu un nediskrimināciju:</w:t>
      </w:r>
      <w:r w:rsidRPr="00930237">
        <w:rPr>
          <w:rFonts w:ascii="Times New Roman" w:hAnsi="Times New Roman" w:cs="Times New Roman"/>
          <w:sz w:val="24"/>
          <w:szCs w:val="24"/>
        </w:rPr>
        <w:t xml:space="preserve"> Projektu un pasākumu īstenošanā un vadībā tiks nodrošināta informācijas un vides pieejamības, nediskriminācijas pēc vecuma, dzimuma, etniskās piederības u.c. pazīmes un vienlīdzīgu iespēju principu ievērošana. SAM nav tiešas ietekmes uz vienlīdzību, nediskrimināciju un iekļaušanu, jo tas ir izteikti tehnisks, vērsts uz tehnoloģiju pilnveidošanu vai nomaiņu un ieguldījumi nav saistīti ar cilvēkresursu attīstību vai </w:t>
      </w:r>
      <w:r w:rsidR="007B7915" w:rsidRPr="00930237">
        <w:rPr>
          <w:rFonts w:ascii="Times New Roman" w:hAnsi="Times New Roman" w:cs="Times New Roman"/>
          <w:sz w:val="24"/>
          <w:szCs w:val="24"/>
        </w:rPr>
        <w:t xml:space="preserve">publisko būvju un ārtelpas </w:t>
      </w:r>
      <w:r w:rsidRPr="00930237">
        <w:rPr>
          <w:rFonts w:ascii="Times New Roman" w:hAnsi="Times New Roman" w:cs="Times New Roman"/>
          <w:sz w:val="24"/>
          <w:szCs w:val="24"/>
        </w:rPr>
        <w:t>izveidi, tomēr vienlaicīgi negatīvi neietekmē vienlīdzību, iekļaušanu un nediskrimināciju.</w:t>
      </w:r>
    </w:p>
    <w:p w14:paraId="648110A5" w14:textId="77777777"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Mērķteritorijas, t.sk. plānotais teritoriālo rīku izmantojums</w:t>
      </w:r>
      <w:r w:rsidRPr="00930237">
        <w:rPr>
          <w:rFonts w:ascii="Times New Roman" w:hAnsi="Times New Roman" w:cs="Times New Roman"/>
          <w:sz w:val="24"/>
          <w:szCs w:val="24"/>
        </w:rPr>
        <w:t>: Visa Latvija.</w:t>
      </w:r>
    </w:p>
    <w:p w14:paraId="46686B46" w14:textId="53B144DA"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Starpreģionālās, pārrobežu un transnacionālās darbības:</w:t>
      </w:r>
      <w:r w:rsidRPr="00930237">
        <w:rPr>
          <w:rFonts w:ascii="Times New Roman" w:hAnsi="Times New Roman" w:cs="Times New Roman"/>
          <w:sz w:val="24"/>
          <w:szCs w:val="24"/>
        </w:rPr>
        <w:t xml:space="preserve"> </w:t>
      </w:r>
      <w:r w:rsidR="008F4155" w:rsidRPr="008F4155">
        <w:rPr>
          <w:rFonts w:ascii="Times New Roman" w:hAnsi="Times New Roman" w:cs="Times New Roman"/>
          <w:sz w:val="24"/>
          <w:szCs w:val="24"/>
        </w:rPr>
        <w:t xml:space="preserve">Atbalstot aprites ekonomikas principu ieviešanu ražošanā un pakalpojumos, iespējams atbalsta pasākumu papildināšanu nodrošināt ar INTERREG </w:t>
      </w:r>
      <w:r w:rsidR="000343B5">
        <w:rPr>
          <w:rFonts w:ascii="Times New Roman" w:hAnsi="Times New Roman" w:cs="Times New Roman"/>
          <w:sz w:val="24"/>
          <w:szCs w:val="24"/>
        </w:rPr>
        <w:t xml:space="preserve">un LIFE </w:t>
      </w:r>
      <w:r w:rsidR="008F4155" w:rsidRPr="008F4155">
        <w:rPr>
          <w:rFonts w:ascii="Times New Roman" w:hAnsi="Times New Roman" w:cs="Times New Roman"/>
          <w:sz w:val="24"/>
          <w:szCs w:val="24"/>
        </w:rPr>
        <w:t>programmu atbalstu.</w:t>
      </w:r>
      <w:r w:rsidR="00C34272" w:rsidRPr="00C34272">
        <w:t xml:space="preserve"> </w:t>
      </w:r>
      <w:r w:rsidR="00C34272">
        <w:rPr>
          <w:rFonts w:ascii="Times New Roman" w:hAnsi="Times New Roman" w:cs="Times New Roman"/>
          <w:sz w:val="24"/>
          <w:szCs w:val="24"/>
        </w:rPr>
        <w:t>Atkritumu, ieskaitot BNA, arī</w:t>
      </w:r>
      <w:r w:rsidR="00C34272" w:rsidRPr="00C34272">
        <w:rPr>
          <w:rFonts w:ascii="Times New Roman" w:hAnsi="Times New Roman" w:cs="Times New Roman"/>
          <w:sz w:val="24"/>
          <w:szCs w:val="24"/>
        </w:rPr>
        <w:t xml:space="preserve"> notekūdeņu dūņu pārstrādes pasākumi biogēnu samazināšanā saistīti ar ESSBJR īstenošanu, veicinot stratēģiskā mērķa “Glābt jūru” sasniegšanu.</w:t>
      </w:r>
    </w:p>
    <w:p w14:paraId="2EE83466" w14:textId="04D5565D" w:rsidR="00AC212B" w:rsidRPr="00930237" w:rsidRDefault="0002461B" w:rsidP="007545BD">
      <w:pPr>
        <w:pStyle w:val="ListParagraph"/>
        <w:numPr>
          <w:ilvl w:val="0"/>
          <w:numId w:val="60"/>
        </w:numPr>
        <w:spacing w:after="0" w:line="240" w:lineRule="auto"/>
        <w:ind w:left="567" w:hanging="567"/>
        <w:jc w:val="both"/>
        <w:rPr>
          <w:rFonts w:ascii="Times New Roman" w:eastAsia="Times New Roman" w:hAnsi="Times New Roman" w:cs="Times New Roman"/>
          <w:noProof/>
          <w:sz w:val="24"/>
          <w:szCs w:val="24"/>
        </w:rPr>
      </w:pPr>
      <w:r>
        <w:rPr>
          <w:rFonts w:ascii="Times New Roman" w:hAnsi="Times New Roman" w:cs="Times New Roman"/>
          <w:b/>
          <w:sz w:val="24"/>
          <w:szCs w:val="24"/>
        </w:rPr>
        <w:t>F</w:t>
      </w:r>
      <w:r w:rsidR="00AC212B" w:rsidRPr="00930237">
        <w:rPr>
          <w:rFonts w:ascii="Times New Roman" w:hAnsi="Times New Roman" w:cs="Times New Roman"/>
          <w:b/>
          <w:sz w:val="24"/>
          <w:szCs w:val="24"/>
        </w:rPr>
        <w:t>inanšu instrumenti:</w:t>
      </w:r>
      <w:r w:rsidR="00AC212B" w:rsidRPr="00930237">
        <w:rPr>
          <w:rFonts w:ascii="Times New Roman" w:hAnsi="Times New Roman" w:cs="Times New Roman"/>
          <w:sz w:val="24"/>
          <w:szCs w:val="24"/>
        </w:rPr>
        <w:t xml:space="preserve"> </w:t>
      </w:r>
      <w:r w:rsidR="00AC212B" w:rsidRPr="00930237">
        <w:rPr>
          <w:rFonts w:ascii="Times New Roman" w:eastAsia="Times New Roman" w:hAnsi="Times New Roman" w:cs="Times New Roman"/>
          <w:noProof/>
          <w:sz w:val="24"/>
          <w:szCs w:val="24"/>
        </w:rPr>
        <w:t xml:space="preserve">Aprites ekonomikas principu ieviešanai paredzētie pasākumi tiks atbalstīti gan </w:t>
      </w:r>
      <w:r w:rsidR="000343B5">
        <w:rPr>
          <w:rFonts w:ascii="Times New Roman" w:eastAsia="Times New Roman" w:hAnsi="Times New Roman" w:cs="Times New Roman"/>
          <w:noProof/>
          <w:sz w:val="24"/>
          <w:szCs w:val="24"/>
        </w:rPr>
        <w:t>ar</w:t>
      </w:r>
      <w:r w:rsidR="000343B5" w:rsidRPr="00930237">
        <w:rPr>
          <w:rFonts w:ascii="Times New Roman" w:eastAsia="Times New Roman" w:hAnsi="Times New Roman" w:cs="Times New Roman"/>
          <w:noProof/>
          <w:sz w:val="24"/>
          <w:szCs w:val="24"/>
        </w:rPr>
        <w:t xml:space="preserve"> </w:t>
      </w:r>
      <w:r w:rsidR="00AC212B" w:rsidRPr="00930237">
        <w:rPr>
          <w:rFonts w:ascii="Times New Roman" w:eastAsia="Times New Roman" w:hAnsi="Times New Roman" w:cs="Times New Roman"/>
          <w:noProof/>
          <w:sz w:val="24"/>
          <w:szCs w:val="24"/>
        </w:rPr>
        <w:t>finanšu instrumentiem, gan grantu shēmu.</w:t>
      </w:r>
    </w:p>
    <w:p w14:paraId="1D2EE9F9" w14:textId="77777777" w:rsidR="00AC212B" w:rsidRPr="00930237" w:rsidRDefault="00AC212B" w:rsidP="00AC212B">
      <w:pPr>
        <w:spacing w:before="0" w:after="0"/>
        <w:ind w:left="426"/>
        <w:rPr>
          <w:rFonts w:eastAsia="Times New Roman"/>
          <w:noProof/>
          <w:sz w:val="22"/>
          <w:szCs w:val="22"/>
        </w:rPr>
      </w:pPr>
    </w:p>
    <w:p w14:paraId="2BD2C2C9" w14:textId="77777777" w:rsidR="00AC212B" w:rsidRPr="00930237" w:rsidRDefault="00AC212B" w:rsidP="00AC212B">
      <w:pPr>
        <w:pStyle w:val="Heading4"/>
        <w:numPr>
          <w:ilvl w:val="0"/>
          <w:numId w:val="0"/>
        </w:numPr>
        <w:shd w:val="clear" w:color="auto" w:fill="FBE4D5" w:themeFill="accent2" w:themeFillTint="33"/>
        <w:spacing w:after="0"/>
        <w:rPr>
          <w:b/>
        </w:rPr>
      </w:pPr>
      <w:r w:rsidRPr="00930237">
        <w:rPr>
          <w:b/>
        </w:rPr>
        <w:t>2.2.3.SAM “Uzlabot dabas aizsardzību un bioloģisko daudzveidību, “zaļo” infrastruktūru, it īpaši pilsētvidē, un samazināt piesārņojumu”</w:t>
      </w:r>
    </w:p>
    <w:p w14:paraId="4F875DE1" w14:textId="77777777"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b/>
          <w:bCs/>
          <w:noProof/>
          <w:sz w:val="24"/>
          <w:szCs w:val="24"/>
        </w:rPr>
      </w:pPr>
      <w:r w:rsidRPr="00930237">
        <w:rPr>
          <w:rFonts w:ascii="Times New Roman" w:hAnsi="Times New Roman" w:cs="Times New Roman"/>
          <w:b/>
          <w:bCs/>
          <w:noProof/>
          <w:sz w:val="24"/>
          <w:szCs w:val="24"/>
        </w:rPr>
        <w:t>Atbalstāmās darbības:</w:t>
      </w:r>
    </w:p>
    <w:p w14:paraId="172957CF" w14:textId="6769B792" w:rsidR="00AC212B" w:rsidRPr="00930237" w:rsidRDefault="004A58D0" w:rsidP="007545BD">
      <w:pPr>
        <w:pStyle w:val="ListParagraph"/>
        <w:numPr>
          <w:ilvl w:val="0"/>
          <w:numId w:val="45"/>
        </w:num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Lai samazinātu vispārēju vides stāvokļa pasliktināšanos noteiktā apvidū un potenciālu apdraudējumu augsnes un dzeramā pazemes ūdeņu kvalitātei, ko rada piesārņojuma </w:t>
      </w:r>
      <w:r w:rsidR="00C34272">
        <w:rPr>
          <w:rFonts w:ascii="Times New Roman" w:eastAsia="Times New Roman" w:hAnsi="Times New Roman" w:cs="Times New Roman"/>
          <w:noProof/>
          <w:sz w:val="24"/>
          <w:szCs w:val="24"/>
        </w:rPr>
        <w:t xml:space="preserve">migrācija </w:t>
      </w:r>
      <w:r>
        <w:rPr>
          <w:rFonts w:ascii="Times New Roman" w:eastAsia="Times New Roman" w:hAnsi="Times New Roman" w:cs="Times New Roman"/>
          <w:noProof/>
          <w:sz w:val="24"/>
          <w:szCs w:val="24"/>
        </w:rPr>
        <w:t>klimata pārmaiņu ietekmē, ir atbalstāma v</w:t>
      </w:r>
      <w:r w:rsidR="00AC212B" w:rsidRPr="00930237">
        <w:rPr>
          <w:rFonts w:ascii="Times New Roman" w:eastAsia="Times New Roman" w:hAnsi="Times New Roman" w:cs="Times New Roman"/>
          <w:noProof/>
          <w:sz w:val="24"/>
          <w:szCs w:val="24"/>
        </w:rPr>
        <w:t>ēsturiski piesārņoto vietu sanācijas projektu realizācija (izpētes veikšana, piesārņojuma avota likvidācija, piesārņotā areāla sanācija), sanēto teritoriju rekultivācija un piesārņojuma turpmākas izplatības samazināšana, vides, tostarp augšņu, monitorings piesārņoto un potenciāli piesārņoto teritoriju uzraudzībai un kontrolei</w:t>
      </w:r>
      <w:r>
        <w:rPr>
          <w:rFonts w:ascii="Times New Roman" w:eastAsia="Times New Roman" w:hAnsi="Times New Roman" w:cs="Times New Roman"/>
          <w:noProof/>
          <w:sz w:val="24"/>
          <w:szCs w:val="24"/>
        </w:rPr>
        <w:t xml:space="preserve">. </w:t>
      </w:r>
      <w:r w:rsidRPr="004A58D0">
        <w:rPr>
          <w:rFonts w:ascii="Times New Roman" w:eastAsia="Times New Roman" w:hAnsi="Times New Roman" w:cs="Times New Roman"/>
          <w:noProof/>
          <w:sz w:val="24"/>
          <w:szCs w:val="24"/>
        </w:rPr>
        <w:t>Minētās aktivitātes ļautu, samazināt vēsturiskā piesārņojuma sekas, nodrošin</w:t>
      </w:r>
      <w:r w:rsidR="00C34272">
        <w:rPr>
          <w:rFonts w:ascii="Times New Roman" w:eastAsia="Times New Roman" w:hAnsi="Times New Roman" w:cs="Times New Roman"/>
          <w:noProof/>
          <w:sz w:val="24"/>
          <w:szCs w:val="24"/>
        </w:rPr>
        <w:t>ot</w:t>
      </w:r>
      <w:r w:rsidRPr="004A58D0">
        <w:rPr>
          <w:rFonts w:ascii="Times New Roman" w:eastAsia="Times New Roman" w:hAnsi="Times New Roman" w:cs="Times New Roman"/>
          <w:noProof/>
          <w:sz w:val="24"/>
          <w:szCs w:val="24"/>
        </w:rPr>
        <w:t xml:space="preserve"> piesārņoto vietu atgriešan</w:t>
      </w:r>
      <w:r w:rsidR="00C34272">
        <w:rPr>
          <w:rFonts w:ascii="Times New Roman" w:eastAsia="Times New Roman" w:hAnsi="Times New Roman" w:cs="Times New Roman"/>
          <w:noProof/>
          <w:sz w:val="24"/>
          <w:szCs w:val="24"/>
        </w:rPr>
        <w:t>u</w:t>
      </w:r>
      <w:r w:rsidRPr="004A58D0">
        <w:rPr>
          <w:rFonts w:ascii="Times New Roman" w:eastAsia="Times New Roman" w:hAnsi="Times New Roman" w:cs="Times New Roman"/>
          <w:noProof/>
          <w:sz w:val="24"/>
          <w:szCs w:val="24"/>
        </w:rPr>
        <w:t xml:space="preserve"> ekonomikā un iedzīvotāju dzīves kvalitātes uzlabošan</w:t>
      </w:r>
      <w:r w:rsidR="00C34272">
        <w:rPr>
          <w:rFonts w:ascii="Times New Roman" w:eastAsia="Times New Roman" w:hAnsi="Times New Roman" w:cs="Times New Roman"/>
          <w:noProof/>
          <w:sz w:val="24"/>
          <w:szCs w:val="24"/>
        </w:rPr>
        <w:t>os</w:t>
      </w:r>
      <w:r w:rsidR="00AC212B" w:rsidRPr="00930237">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rPr>
        <w:t xml:space="preserve"> </w:t>
      </w:r>
    </w:p>
    <w:p w14:paraId="281A5639" w14:textId="268F2080" w:rsidR="00AC212B" w:rsidRPr="00930237" w:rsidRDefault="004A58D0" w:rsidP="007545BD">
      <w:pPr>
        <w:pStyle w:val="ListParagraph"/>
        <w:numPr>
          <w:ilvl w:val="0"/>
          <w:numId w:val="45"/>
        </w:numPr>
        <w:spacing w:after="0" w:line="240" w:lineRule="auto"/>
        <w:jc w:val="both"/>
        <w:rPr>
          <w:rFonts w:ascii="Times New Roman" w:hAnsi="Times New Roman" w:cs="Times New Roman"/>
          <w:i/>
          <w:iCs/>
          <w:noProof/>
          <w:color w:val="C45911" w:themeColor="accent2" w:themeShade="BF"/>
          <w:sz w:val="24"/>
          <w:szCs w:val="24"/>
        </w:rPr>
      </w:pPr>
      <w:r>
        <w:rPr>
          <w:rFonts w:ascii="Times New Roman" w:hAnsi="Times New Roman" w:cs="Times New Roman"/>
          <w:noProof/>
          <w:sz w:val="24"/>
          <w:szCs w:val="24"/>
        </w:rPr>
        <w:t xml:space="preserve">Ievērojot to, ka </w:t>
      </w:r>
      <w:r w:rsidRPr="004A58D0">
        <w:rPr>
          <w:rFonts w:ascii="Times New Roman" w:hAnsi="Times New Roman" w:cs="Times New Roman"/>
          <w:noProof/>
          <w:sz w:val="24"/>
          <w:szCs w:val="24"/>
        </w:rPr>
        <w:t>mazāk kā 40% īpaši aizsargājamo teritoriju ir dabas aizsardzības plāni</w:t>
      </w:r>
      <w:r>
        <w:rPr>
          <w:rStyle w:val="FootnoteReference"/>
          <w:rFonts w:ascii="Times New Roman" w:hAnsi="Times New Roman" w:cs="Times New Roman"/>
          <w:noProof/>
          <w:sz w:val="24"/>
          <w:szCs w:val="24"/>
        </w:rPr>
        <w:footnoteReference w:id="108"/>
      </w:r>
      <w:r w:rsidRPr="004A58D0">
        <w:rPr>
          <w:rFonts w:ascii="Times New Roman" w:hAnsi="Times New Roman" w:cs="Times New Roman"/>
          <w:noProof/>
          <w:sz w:val="24"/>
          <w:szCs w:val="24"/>
        </w:rPr>
        <w:t>, lai nodrošinātu Dabas direktīvās</w:t>
      </w:r>
      <w:r>
        <w:rPr>
          <w:rStyle w:val="FootnoteReference"/>
          <w:rFonts w:ascii="Times New Roman" w:hAnsi="Times New Roman" w:cs="Times New Roman"/>
          <w:noProof/>
          <w:sz w:val="24"/>
          <w:szCs w:val="24"/>
        </w:rPr>
        <w:footnoteReference w:id="109"/>
      </w:r>
      <w:r>
        <w:rPr>
          <w:rFonts w:ascii="Times New Roman" w:hAnsi="Times New Roman" w:cs="Times New Roman"/>
          <w:noProof/>
          <w:sz w:val="24"/>
          <w:szCs w:val="24"/>
        </w:rPr>
        <w:t xml:space="preserve"> </w:t>
      </w:r>
      <w:r w:rsidRPr="004A58D0">
        <w:rPr>
          <w:rFonts w:ascii="Times New Roman" w:hAnsi="Times New Roman" w:cs="Times New Roman"/>
          <w:noProof/>
          <w:sz w:val="24"/>
          <w:szCs w:val="24"/>
        </w:rPr>
        <w:t>ietverto dabas aizsardzības priekšnosacījumu izpildi un pasākumu kopumu, kas vajadzīgi, lai saglabātu vai atjaunotu dabiskas dzīvotnes un sugu populācijas labvēlīgā stāvoklī, ir atbalstāma d</w:t>
      </w:r>
      <w:r w:rsidR="00AC212B" w:rsidRPr="00930237">
        <w:rPr>
          <w:rFonts w:ascii="Times New Roman" w:hAnsi="Times New Roman" w:cs="Times New Roman"/>
          <w:noProof/>
          <w:sz w:val="24"/>
          <w:szCs w:val="24"/>
        </w:rPr>
        <w:t xml:space="preserve">abas aizsardzības plānu </w:t>
      </w:r>
      <w:r w:rsidR="00AC212B" w:rsidRPr="00930237">
        <w:rPr>
          <w:rFonts w:ascii="Times New Roman" w:hAnsi="Times New Roman" w:cs="Times New Roman"/>
          <w:i/>
          <w:iCs/>
          <w:noProof/>
          <w:sz w:val="24"/>
          <w:szCs w:val="24"/>
        </w:rPr>
        <w:t>Natura 2000</w:t>
      </w:r>
      <w:r w:rsidR="00AC212B" w:rsidRPr="00930237">
        <w:rPr>
          <w:rFonts w:ascii="Times New Roman" w:hAnsi="Times New Roman" w:cs="Times New Roman"/>
          <w:noProof/>
          <w:sz w:val="24"/>
          <w:szCs w:val="24"/>
        </w:rPr>
        <w:t xml:space="preserve"> teritorijā</w:t>
      </w:r>
      <w:r>
        <w:rPr>
          <w:rFonts w:ascii="Times New Roman" w:hAnsi="Times New Roman" w:cs="Times New Roman"/>
          <w:noProof/>
          <w:sz w:val="24"/>
          <w:szCs w:val="24"/>
        </w:rPr>
        <w:t>m</w:t>
      </w:r>
      <w:r w:rsidR="00256266">
        <w:rPr>
          <w:rFonts w:ascii="Times New Roman" w:hAnsi="Times New Roman" w:cs="Times New Roman"/>
          <w:noProof/>
          <w:sz w:val="24"/>
          <w:szCs w:val="24"/>
        </w:rPr>
        <w:t xml:space="preserve"> un sugu aizsardzības plānu izstrāde</w:t>
      </w:r>
      <w:r w:rsidR="00AC212B" w:rsidRPr="00930237">
        <w:rPr>
          <w:rFonts w:ascii="Times New Roman" w:hAnsi="Times New Roman" w:cs="Times New Roman"/>
          <w:noProof/>
          <w:sz w:val="24"/>
          <w:szCs w:val="24"/>
        </w:rPr>
        <w:t xml:space="preserve">, </w:t>
      </w:r>
      <w:r>
        <w:rPr>
          <w:rFonts w:ascii="Times New Roman" w:hAnsi="Times New Roman" w:cs="Times New Roman"/>
          <w:noProof/>
          <w:sz w:val="24"/>
          <w:szCs w:val="24"/>
        </w:rPr>
        <w:t xml:space="preserve">kā arī </w:t>
      </w:r>
      <w:r w:rsidR="00AC212B" w:rsidRPr="00930237">
        <w:rPr>
          <w:rFonts w:ascii="Times New Roman" w:hAnsi="Times New Roman" w:cs="Times New Roman"/>
          <w:noProof/>
          <w:sz w:val="24"/>
          <w:szCs w:val="24"/>
        </w:rPr>
        <w:t>dabas datu ieguve un pārvaldības sistēmas uzlabošana.</w:t>
      </w:r>
    </w:p>
    <w:p w14:paraId="156AA120" w14:textId="5449BF9B" w:rsidR="00AC212B" w:rsidRPr="00930237" w:rsidRDefault="004A58D0" w:rsidP="007545BD">
      <w:pPr>
        <w:pStyle w:val="ListParagraph"/>
        <w:numPr>
          <w:ilvl w:val="0"/>
          <w:numId w:val="45"/>
        </w:numPr>
        <w:spacing w:after="0" w:line="240" w:lineRule="auto"/>
        <w:jc w:val="both"/>
        <w:rPr>
          <w:rFonts w:ascii="Times New Roman" w:hAnsi="Times New Roman" w:cs="Times New Roman"/>
          <w:sz w:val="24"/>
          <w:szCs w:val="24"/>
        </w:rPr>
      </w:pPr>
      <w:r w:rsidRPr="004A58D0">
        <w:rPr>
          <w:rFonts w:ascii="Times New Roman" w:hAnsi="Times New Roman" w:cs="Times New Roman"/>
          <w:noProof/>
          <w:sz w:val="24"/>
          <w:szCs w:val="24"/>
        </w:rPr>
        <w:t>Lai uzlabotu ES nozīmes dzīvotņu un sugu labvēlīgu aizsardzības statusu</w:t>
      </w:r>
      <w:r>
        <w:rPr>
          <w:rStyle w:val="FootnoteReference"/>
          <w:rFonts w:ascii="Times New Roman" w:hAnsi="Times New Roman" w:cs="Times New Roman"/>
          <w:noProof/>
          <w:sz w:val="24"/>
          <w:szCs w:val="24"/>
        </w:rPr>
        <w:footnoteReference w:id="110"/>
      </w:r>
      <w:r w:rsidRPr="004A58D0">
        <w:rPr>
          <w:rFonts w:ascii="Times New Roman" w:hAnsi="Times New Roman" w:cs="Times New Roman"/>
          <w:noProof/>
          <w:sz w:val="24"/>
          <w:szCs w:val="24"/>
        </w:rPr>
        <w:t xml:space="preserve"> , novērstu bioloģiskās daudzveidības samazināšanos</w:t>
      </w:r>
      <w:r w:rsidR="00C34272">
        <w:rPr>
          <w:rFonts w:ascii="Times New Roman" w:hAnsi="Times New Roman" w:cs="Times New Roman"/>
          <w:noProof/>
          <w:sz w:val="24"/>
          <w:szCs w:val="24"/>
        </w:rPr>
        <w:t>, tad</w:t>
      </w:r>
      <w:r w:rsidRPr="004A58D0">
        <w:rPr>
          <w:rFonts w:ascii="Times New Roman" w:hAnsi="Times New Roman" w:cs="Times New Roman"/>
          <w:noProof/>
          <w:sz w:val="24"/>
          <w:szCs w:val="24"/>
        </w:rPr>
        <w:t xml:space="preserve"> saskaņā ar dabas atjaunošanas mērķa uzstādījumiem</w:t>
      </w:r>
      <w:r>
        <w:rPr>
          <w:rStyle w:val="FootnoteReference"/>
          <w:rFonts w:ascii="Times New Roman" w:hAnsi="Times New Roman" w:cs="Times New Roman"/>
          <w:noProof/>
          <w:sz w:val="24"/>
          <w:szCs w:val="24"/>
        </w:rPr>
        <w:footnoteReference w:id="111"/>
      </w:r>
      <w:r w:rsidR="00C34272">
        <w:rPr>
          <w:rFonts w:ascii="Times New Roman" w:hAnsi="Times New Roman" w:cs="Times New Roman"/>
          <w:noProof/>
          <w:sz w:val="24"/>
          <w:szCs w:val="24"/>
        </w:rPr>
        <w:t>ir</w:t>
      </w:r>
      <w:r w:rsidRPr="004A58D0">
        <w:rPr>
          <w:rFonts w:ascii="Times New Roman" w:hAnsi="Times New Roman" w:cs="Times New Roman"/>
          <w:noProof/>
          <w:sz w:val="24"/>
          <w:szCs w:val="24"/>
        </w:rPr>
        <w:t xml:space="preserve"> atbalstāma kompleksa </w:t>
      </w:r>
      <w:r>
        <w:rPr>
          <w:rFonts w:ascii="Times New Roman" w:hAnsi="Times New Roman" w:cs="Times New Roman"/>
          <w:noProof/>
          <w:sz w:val="24"/>
          <w:szCs w:val="24"/>
        </w:rPr>
        <w:t>ī</w:t>
      </w:r>
      <w:r w:rsidR="00AC212B" w:rsidRPr="00930237">
        <w:rPr>
          <w:rFonts w:ascii="Times New Roman" w:hAnsi="Times New Roman" w:cs="Times New Roman"/>
          <w:noProof/>
          <w:sz w:val="24"/>
          <w:szCs w:val="24"/>
        </w:rPr>
        <w:t xml:space="preserve">paši aizsargājamo dabas teritoriju aizsardzības un apsaimniekošanas pasākumu īstenošana </w:t>
      </w:r>
      <w:r w:rsidR="00AC212B" w:rsidRPr="00930237">
        <w:rPr>
          <w:rFonts w:ascii="Times New Roman" w:hAnsi="Times New Roman" w:cs="Times New Roman"/>
          <w:i/>
          <w:iCs/>
          <w:noProof/>
          <w:sz w:val="24"/>
          <w:szCs w:val="24"/>
        </w:rPr>
        <w:t>Natura 2000</w:t>
      </w:r>
      <w:r w:rsidR="00AC212B" w:rsidRPr="00930237">
        <w:rPr>
          <w:rFonts w:ascii="Times New Roman" w:hAnsi="Times New Roman" w:cs="Times New Roman"/>
          <w:noProof/>
          <w:sz w:val="24"/>
          <w:szCs w:val="24"/>
        </w:rPr>
        <w:t xml:space="preserve"> teritorijās, </w:t>
      </w:r>
      <w:r w:rsidR="00C34272">
        <w:rPr>
          <w:rFonts w:ascii="Times New Roman" w:hAnsi="Times New Roman" w:cs="Times New Roman"/>
          <w:noProof/>
          <w:sz w:val="24"/>
          <w:szCs w:val="24"/>
        </w:rPr>
        <w:t>nodrošinot</w:t>
      </w:r>
      <w:r w:rsidR="00AC212B" w:rsidRPr="00930237">
        <w:rPr>
          <w:rFonts w:ascii="Times New Roman" w:hAnsi="Times New Roman" w:cs="Times New Roman"/>
          <w:noProof/>
          <w:sz w:val="24"/>
          <w:szCs w:val="24"/>
        </w:rPr>
        <w:t xml:space="preserve"> dzīvotņu atjaunošanu un infrastrukūras izveidi antropogēnās slodzes mazināšanai</w:t>
      </w:r>
      <w:r>
        <w:rPr>
          <w:rFonts w:ascii="Times New Roman" w:hAnsi="Times New Roman" w:cs="Times New Roman"/>
          <w:noProof/>
          <w:sz w:val="24"/>
          <w:szCs w:val="24"/>
        </w:rPr>
        <w:t xml:space="preserve"> un citus paredzētos pasākumus</w:t>
      </w:r>
      <w:r w:rsidR="00AC212B" w:rsidRPr="00930237">
        <w:rPr>
          <w:rFonts w:ascii="Times New Roman" w:hAnsi="Times New Roman" w:cs="Times New Roman"/>
          <w:noProof/>
          <w:sz w:val="24"/>
          <w:szCs w:val="24"/>
        </w:rPr>
        <w:t xml:space="preserve">, </w:t>
      </w:r>
      <w:r w:rsidR="00C34272">
        <w:rPr>
          <w:rFonts w:ascii="Times New Roman" w:hAnsi="Times New Roman" w:cs="Times New Roman"/>
          <w:noProof/>
          <w:sz w:val="24"/>
          <w:szCs w:val="24"/>
        </w:rPr>
        <w:t xml:space="preserve">kā arī </w:t>
      </w:r>
      <w:r w:rsidR="00AC212B" w:rsidRPr="00930237">
        <w:rPr>
          <w:rFonts w:ascii="Times New Roman" w:hAnsi="Times New Roman" w:cs="Times New Roman"/>
          <w:noProof/>
          <w:sz w:val="24"/>
          <w:szCs w:val="24"/>
        </w:rPr>
        <w:t>sugu aizsardzības plānu ieviešana</w:t>
      </w:r>
      <w:r w:rsidR="00C34272">
        <w:rPr>
          <w:rFonts w:ascii="Times New Roman" w:hAnsi="Times New Roman" w:cs="Times New Roman"/>
          <w:noProof/>
          <w:sz w:val="24"/>
          <w:szCs w:val="24"/>
        </w:rPr>
        <w:t xml:space="preserve"> un</w:t>
      </w:r>
      <w:r w:rsidR="00AC212B" w:rsidRPr="00930237">
        <w:rPr>
          <w:rFonts w:ascii="Times New Roman" w:hAnsi="Times New Roman" w:cs="Times New Roman"/>
          <w:noProof/>
          <w:sz w:val="24"/>
          <w:szCs w:val="24"/>
        </w:rPr>
        <w:t xml:space="preserve"> zaļās infrastrukūras elementu izveide ārpus </w:t>
      </w:r>
      <w:r w:rsidR="00AC212B" w:rsidRPr="00930237">
        <w:rPr>
          <w:rFonts w:ascii="Times New Roman" w:hAnsi="Times New Roman" w:cs="Times New Roman"/>
          <w:i/>
          <w:iCs/>
          <w:noProof/>
          <w:sz w:val="24"/>
          <w:szCs w:val="24"/>
        </w:rPr>
        <w:t>Natura 2000</w:t>
      </w:r>
      <w:r w:rsidR="00AC212B" w:rsidRPr="00930237">
        <w:rPr>
          <w:rFonts w:ascii="Times New Roman" w:hAnsi="Times New Roman" w:cs="Times New Roman"/>
          <w:noProof/>
          <w:sz w:val="24"/>
          <w:szCs w:val="24"/>
        </w:rPr>
        <w:t xml:space="preserve"> teritorij</w:t>
      </w:r>
      <w:r>
        <w:rPr>
          <w:rFonts w:ascii="Times New Roman" w:hAnsi="Times New Roman" w:cs="Times New Roman"/>
          <w:noProof/>
          <w:sz w:val="24"/>
          <w:szCs w:val="24"/>
        </w:rPr>
        <w:t>ām</w:t>
      </w:r>
      <w:r w:rsidR="00AC212B" w:rsidRPr="00930237">
        <w:rPr>
          <w:rFonts w:ascii="Times New Roman" w:hAnsi="Times New Roman" w:cs="Times New Roman"/>
          <w:noProof/>
          <w:sz w:val="24"/>
          <w:szCs w:val="24"/>
        </w:rPr>
        <w:t>.</w:t>
      </w:r>
    </w:p>
    <w:p w14:paraId="36B408FD" w14:textId="6BC34878" w:rsidR="00AC212B" w:rsidRPr="00930237" w:rsidRDefault="004A58D0" w:rsidP="007545BD">
      <w:pPr>
        <w:pStyle w:val="ListParagraph"/>
        <w:numPr>
          <w:ilvl w:val="0"/>
          <w:numId w:val="45"/>
        </w:numPr>
        <w:spacing w:after="0" w:line="240" w:lineRule="auto"/>
        <w:jc w:val="both"/>
        <w:rPr>
          <w:rFonts w:ascii="Times New Roman" w:hAnsi="Times New Roman" w:cs="Times New Roman"/>
          <w:sz w:val="24"/>
          <w:szCs w:val="24"/>
        </w:rPr>
      </w:pPr>
      <w:r w:rsidRPr="004A58D0">
        <w:rPr>
          <w:rFonts w:ascii="Times New Roman" w:hAnsi="Times New Roman" w:cs="Times New Roman"/>
          <w:noProof/>
          <w:sz w:val="24"/>
          <w:szCs w:val="24"/>
        </w:rPr>
        <w:t xml:space="preserve">Lai virzītos uz zaļo pārkārtošanos, attīstītu zaļo ekonomiku, pielāgotos jaunajiem procesiem un veicinātu paradumu maiņu sabiedrībā saskaņā ar Eiropas Zaļā Kursa principiem, ir </w:t>
      </w:r>
      <w:r w:rsidR="00C34272" w:rsidRPr="004A58D0">
        <w:rPr>
          <w:rFonts w:ascii="Times New Roman" w:hAnsi="Times New Roman" w:cs="Times New Roman"/>
          <w:noProof/>
          <w:sz w:val="24"/>
          <w:szCs w:val="24"/>
        </w:rPr>
        <w:t>atbalstām</w:t>
      </w:r>
      <w:r w:rsidR="00C34272">
        <w:rPr>
          <w:rFonts w:ascii="Times New Roman" w:hAnsi="Times New Roman" w:cs="Times New Roman"/>
          <w:noProof/>
          <w:sz w:val="24"/>
          <w:szCs w:val="24"/>
        </w:rPr>
        <w:t>i</w:t>
      </w:r>
      <w:r w:rsidR="00C34272" w:rsidRPr="004A58D0">
        <w:rPr>
          <w:rFonts w:ascii="Times New Roman" w:hAnsi="Times New Roman" w:cs="Times New Roman"/>
          <w:noProof/>
          <w:sz w:val="24"/>
          <w:szCs w:val="24"/>
        </w:rPr>
        <w:t xml:space="preserve"> </w:t>
      </w:r>
      <w:r>
        <w:rPr>
          <w:rFonts w:ascii="Times New Roman" w:hAnsi="Times New Roman" w:cs="Times New Roman"/>
          <w:noProof/>
          <w:sz w:val="24"/>
          <w:szCs w:val="24"/>
        </w:rPr>
        <w:t>a</w:t>
      </w:r>
      <w:r w:rsidR="00AC212B" w:rsidRPr="00930237">
        <w:rPr>
          <w:rFonts w:ascii="Times New Roman" w:hAnsi="Times New Roman" w:cs="Times New Roman"/>
          <w:noProof/>
          <w:sz w:val="24"/>
          <w:szCs w:val="24"/>
        </w:rPr>
        <w:t>pmācīb</w:t>
      </w:r>
      <w:r w:rsidR="00C34272">
        <w:rPr>
          <w:rFonts w:ascii="Times New Roman" w:hAnsi="Times New Roman" w:cs="Times New Roman"/>
          <w:noProof/>
          <w:sz w:val="24"/>
          <w:szCs w:val="24"/>
        </w:rPr>
        <w:t>u</w:t>
      </w:r>
      <w:r w:rsidR="00AC212B" w:rsidRPr="00930237">
        <w:rPr>
          <w:rFonts w:ascii="Times New Roman" w:hAnsi="Times New Roman" w:cs="Times New Roman"/>
          <w:noProof/>
          <w:sz w:val="24"/>
          <w:szCs w:val="24"/>
        </w:rPr>
        <w:t>, izglītības, konsultēšanas un informēšanas pasākumi prasmju attīstībai, pārkvalificēšanai, izpratnes veicināšanai un attieksmes, patēriņa un uzvedības modeļu ietekmēšanai attiecībā uz vides, īpaši aprites ekonomikas, dabas un klimata jautājumiem</w:t>
      </w:r>
      <w:r>
        <w:rPr>
          <w:rFonts w:ascii="Times New Roman" w:hAnsi="Times New Roman" w:cs="Times New Roman"/>
          <w:noProof/>
          <w:sz w:val="24"/>
          <w:szCs w:val="24"/>
        </w:rPr>
        <w:t>, t.sk.</w:t>
      </w:r>
      <w:r w:rsidR="00AC212B" w:rsidRPr="00930237">
        <w:rPr>
          <w:rFonts w:ascii="Times New Roman" w:hAnsi="Times New Roman" w:cs="Times New Roman"/>
          <w:noProof/>
          <w:sz w:val="24"/>
          <w:szCs w:val="24"/>
        </w:rPr>
        <w:t xml:space="preserve"> </w:t>
      </w:r>
      <w:r>
        <w:rPr>
          <w:rFonts w:ascii="Times New Roman" w:hAnsi="Times New Roman" w:cs="Times New Roman"/>
          <w:noProof/>
          <w:sz w:val="24"/>
          <w:szCs w:val="24"/>
        </w:rPr>
        <w:t>i</w:t>
      </w:r>
      <w:r w:rsidR="00AC212B" w:rsidRPr="00930237">
        <w:rPr>
          <w:rFonts w:ascii="Times New Roman" w:hAnsi="Times New Roman" w:cs="Times New Roman"/>
          <w:noProof/>
          <w:sz w:val="24"/>
          <w:szCs w:val="24"/>
        </w:rPr>
        <w:t xml:space="preserve">nformatīvo materiālu un </w:t>
      </w:r>
      <w:r w:rsidR="00AC212B" w:rsidRPr="00930237">
        <w:rPr>
          <w:rFonts w:ascii="Times New Roman" w:eastAsia="Times New Roman" w:hAnsi="Times New Roman" w:cs="Times New Roman"/>
          <w:sz w:val="24"/>
          <w:szCs w:val="24"/>
        </w:rPr>
        <w:t xml:space="preserve">ekspozīciju izveide un paplašināšana. </w:t>
      </w:r>
    </w:p>
    <w:p w14:paraId="33C9ACE0" w14:textId="33C9C820" w:rsidR="00AC212B" w:rsidRPr="00930237" w:rsidRDefault="004A58D0" w:rsidP="007545BD">
      <w:pPr>
        <w:pStyle w:val="ListParagraph"/>
        <w:numPr>
          <w:ilvl w:val="0"/>
          <w:numId w:val="45"/>
        </w:numPr>
        <w:spacing w:after="0" w:line="240" w:lineRule="auto"/>
        <w:jc w:val="both"/>
        <w:rPr>
          <w:rFonts w:ascii="Times New Roman" w:eastAsia="Times New Roman" w:hAnsi="Times New Roman" w:cs="Times New Roman"/>
          <w:noProof/>
          <w:sz w:val="24"/>
          <w:szCs w:val="24"/>
        </w:rPr>
      </w:pPr>
      <w:r w:rsidRPr="004A58D0">
        <w:rPr>
          <w:rFonts w:ascii="Times New Roman" w:eastAsia="Times New Roman" w:hAnsi="Times New Roman" w:cs="Times New Roman"/>
          <w:sz w:val="24"/>
          <w:szCs w:val="24"/>
        </w:rPr>
        <w:t>Lai veicinātu vispārēju sabiedrības informētību un izglītošanu par bioloģiskās daudzveidības un klimata jautājumiem, kā arī vispārējiem vides procesiem, uzlabotu vides apziņu, ir atbalstāma d</w:t>
      </w:r>
      <w:r w:rsidR="00AC212B" w:rsidRPr="00930237">
        <w:rPr>
          <w:rFonts w:ascii="Times New Roman" w:eastAsia="Times New Roman" w:hAnsi="Times New Roman" w:cs="Times New Roman"/>
          <w:sz w:val="24"/>
          <w:szCs w:val="24"/>
        </w:rPr>
        <w:t xml:space="preserve">abas un vides izglītības informācijas centru </w:t>
      </w:r>
      <w:r>
        <w:rPr>
          <w:rFonts w:ascii="Times New Roman" w:eastAsia="Times New Roman" w:hAnsi="Times New Roman" w:cs="Times New Roman"/>
          <w:sz w:val="24"/>
          <w:szCs w:val="24"/>
        </w:rPr>
        <w:t xml:space="preserve">(kas ir arī tūrisma objekti) </w:t>
      </w:r>
      <w:r w:rsidR="00AC212B" w:rsidRPr="00930237">
        <w:rPr>
          <w:rFonts w:ascii="Times New Roman" w:eastAsia="Times New Roman" w:hAnsi="Times New Roman" w:cs="Times New Roman"/>
          <w:sz w:val="24"/>
          <w:szCs w:val="24"/>
        </w:rPr>
        <w:t xml:space="preserve">infrastruktūras pilnveide un attīstība, iekļaujot jaunu ēku būvniecību, </w:t>
      </w:r>
      <w:r w:rsidR="00C34272">
        <w:rPr>
          <w:rFonts w:ascii="Times New Roman" w:eastAsia="Times New Roman" w:hAnsi="Times New Roman" w:cs="Times New Roman"/>
          <w:sz w:val="24"/>
          <w:szCs w:val="24"/>
        </w:rPr>
        <w:t xml:space="preserve">esošo ēku </w:t>
      </w:r>
      <w:r w:rsidR="00AC212B" w:rsidRPr="00930237">
        <w:rPr>
          <w:rFonts w:ascii="Times New Roman" w:eastAsia="Times New Roman" w:hAnsi="Times New Roman" w:cs="Times New Roman"/>
          <w:sz w:val="24"/>
          <w:szCs w:val="24"/>
        </w:rPr>
        <w:t>energoefektivitātes uzlabošanu, iekštelpu un ārtelpas ekspozīciju izveidi un paplašināšanu.</w:t>
      </w:r>
    </w:p>
    <w:p w14:paraId="5AF9D47B" w14:textId="47B926BB" w:rsidR="00AC212B" w:rsidRDefault="004A58D0" w:rsidP="007545BD">
      <w:pPr>
        <w:pStyle w:val="ListParagraph"/>
        <w:numPr>
          <w:ilvl w:val="0"/>
          <w:numId w:val="45"/>
        </w:numPr>
        <w:spacing w:after="0" w:line="240" w:lineRule="auto"/>
        <w:contextualSpacing w:val="0"/>
        <w:jc w:val="both"/>
        <w:rPr>
          <w:rFonts w:ascii="Times New Roman" w:eastAsia="Times New Roman" w:hAnsi="Times New Roman" w:cs="Times New Roman"/>
          <w:sz w:val="24"/>
          <w:szCs w:val="24"/>
        </w:rPr>
      </w:pPr>
      <w:r w:rsidRPr="004A58D0">
        <w:rPr>
          <w:rFonts w:ascii="Times New Roman" w:eastAsia="Times New Roman" w:hAnsi="Times New Roman" w:cs="Times New Roman"/>
          <w:sz w:val="24"/>
          <w:szCs w:val="24"/>
        </w:rPr>
        <w:t>Lai vides stāvokļa novērtēšanā ņemtu vērā klimata pārmaiņu ietekmes, riskus un  potenciālās ietekmes sekas uz cilvēku veselību un labklājību, infrastruktūru, vi</w:t>
      </w:r>
      <w:r>
        <w:rPr>
          <w:rFonts w:ascii="Times New Roman" w:eastAsia="Times New Roman" w:hAnsi="Times New Roman" w:cs="Times New Roman"/>
          <w:sz w:val="24"/>
          <w:szCs w:val="24"/>
        </w:rPr>
        <w:t>dei un ekosistēmu noturību, ir</w:t>
      </w:r>
      <w:r w:rsidRPr="004A58D0">
        <w:rPr>
          <w:rFonts w:ascii="Times New Roman" w:eastAsia="Times New Roman" w:hAnsi="Times New Roman" w:cs="Times New Roman"/>
          <w:sz w:val="24"/>
          <w:szCs w:val="24"/>
        </w:rPr>
        <w:t xml:space="preserve"> atbalstāma ū</w:t>
      </w:r>
      <w:r w:rsidR="00AC212B" w:rsidRPr="00930237">
        <w:rPr>
          <w:rFonts w:ascii="Times New Roman" w:eastAsia="Times New Roman" w:hAnsi="Times New Roman" w:cs="Times New Roman"/>
          <w:sz w:val="24"/>
          <w:szCs w:val="24"/>
        </w:rPr>
        <w:t>dens, klimata</w:t>
      </w:r>
      <w:r w:rsidR="00C34272">
        <w:rPr>
          <w:rFonts w:ascii="Times New Roman" w:eastAsia="Times New Roman" w:hAnsi="Times New Roman" w:cs="Times New Roman"/>
          <w:sz w:val="24"/>
          <w:szCs w:val="24"/>
        </w:rPr>
        <w:t>, t.sk gaisa</w:t>
      </w:r>
      <w:r w:rsidR="00AC212B" w:rsidRPr="00930237">
        <w:rPr>
          <w:rFonts w:ascii="Times New Roman" w:eastAsia="Times New Roman" w:hAnsi="Times New Roman" w:cs="Times New Roman"/>
          <w:sz w:val="24"/>
          <w:szCs w:val="24"/>
        </w:rPr>
        <w:t>, zemes</w:t>
      </w:r>
      <w:r w:rsidR="00C34272">
        <w:rPr>
          <w:rFonts w:ascii="Times New Roman" w:eastAsia="Times New Roman" w:hAnsi="Times New Roman" w:cs="Times New Roman"/>
          <w:sz w:val="24"/>
          <w:szCs w:val="24"/>
        </w:rPr>
        <w:t xml:space="preserve"> t.sk.</w:t>
      </w:r>
      <w:r w:rsidR="00256266">
        <w:rPr>
          <w:rFonts w:ascii="Times New Roman" w:eastAsia="Times New Roman" w:hAnsi="Times New Roman" w:cs="Times New Roman"/>
          <w:sz w:val="24"/>
          <w:szCs w:val="24"/>
        </w:rPr>
        <w:t xml:space="preserve"> augsnes</w:t>
      </w:r>
      <w:r w:rsidR="00C34272">
        <w:rPr>
          <w:rFonts w:ascii="Times New Roman" w:eastAsia="Times New Roman" w:hAnsi="Times New Roman" w:cs="Times New Roman"/>
          <w:sz w:val="24"/>
          <w:szCs w:val="24"/>
        </w:rPr>
        <w:t>,</w:t>
      </w:r>
      <w:r w:rsidR="00256266">
        <w:rPr>
          <w:rFonts w:ascii="Times New Roman" w:eastAsia="Times New Roman" w:hAnsi="Times New Roman" w:cs="Times New Roman"/>
          <w:sz w:val="24"/>
          <w:szCs w:val="24"/>
        </w:rPr>
        <w:t xml:space="preserve"> </w:t>
      </w:r>
      <w:r w:rsidR="00AC212B" w:rsidRPr="00930237">
        <w:rPr>
          <w:rFonts w:ascii="Times New Roman" w:eastAsia="Times New Roman" w:hAnsi="Times New Roman" w:cs="Times New Roman"/>
          <w:sz w:val="24"/>
          <w:szCs w:val="24"/>
        </w:rPr>
        <w:t>un bioloģiskās daudzveidības monitoringa sistēmu uzlabošana un tālāka attīstība klimata pārmaiņu seku novērtēšanai, uzraudzībai un prognozēšanai, ietverot gan monitoringa kontroles iekārtu  un aprīkojuma iegādi un uzstādīšanu, jaunas infrastruktūras izveidi un informācijas un komunikācijas tehnoloģiju lietošanas paplašināšanu</w:t>
      </w:r>
      <w:r w:rsidR="00C34272">
        <w:rPr>
          <w:rFonts w:ascii="Times New Roman" w:eastAsia="Times New Roman" w:hAnsi="Times New Roman" w:cs="Times New Roman"/>
          <w:sz w:val="24"/>
          <w:szCs w:val="24"/>
        </w:rPr>
        <w:t xml:space="preserve"> </w:t>
      </w:r>
      <w:r w:rsidR="00C34272" w:rsidRPr="00C34272">
        <w:rPr>
          <w:rFonts w:ascii="Times New Roman" w:eastAsia="Times New Roman" w:hAnsi="Times New Roman" w:cs="Times New Roman"/>
          <w:sz w:val="24"/>
          <w:szCs w:val="24"/>
        </w:rPr>
        <w:t>un esošo resursu digitalizēšanu</w:t>
      </w:r>
      <w:r w:rsidR="00AC212B" w:rsidRPr="00930237">
        <w:rPr>
          <w:rFonts w:ascii="Times New Roman" w:eastAsia="Times New Roman" w:hAnsi="Times New Roman" w:cs="Times New Roman"/>
          <w:sz w:val="24"/>
          <w:szCs w:val="24"/>
        </w:rPr>
        <w:t>.</w:t>
      </w:r>
      <w:r w:rsidR="00C34272" w:rsidRPr="00C34272">
        <w:t xml:space="preserve"> </w:t>
      </w:r>
      <w:r w:rsidR="00C34272" w:rsidRPr="00C34272">
        <w:rPr>
          <w:rFonts w:ascii="Times New Roman" w:eastAsia="Times New Roman" w:hAnsi="Times New Roman" w:cs="Times New Roman"/>
          <w:sz w:val="24"/>
          <w:szCs w:val="24"/>
        </w:rPr>
        <w:t>Sabiedrības veselības nodrošināšanai tiks turpināta veselību ietekmējošo vides faktoru izvērtēšana un monitorings</w:t>
      </w:r>
      <w:r w:rsidR="00C34272">
        <w:rPr>
          <w:rFonts w:ascii="Times New Roman" w:eastAsia="Times New Roman" w:hAnsi="Times New Roman" w:cs="Times New Roman"/>
          <w:sz w:val="24"/>
          <w:szCs w:val="24"/>
        </w:rPr>
        <w:t xml:space="preserve"> </w:t>
      </w:r>
      <w:r w:rsidR="00C34272" w:rsidRPr="00C34272">
        <w:rPr>
          <w:rFonts w:ascii="Times New Roman" w:eastAsia="Times New Roman" w:hAnsi="Times New Roman" w:cs="Times New Roman"/>
          <w:sz w:val="24"/>
          <w:szCs w:val="24"/>
        </w:rPr>
        <w:t>dzeramajam ūdenim  un veikta savlaicīga sabiedrības informēšana par iespējamu ūdens un gaisa piesārņojuma negatīvo ietekmi uz veselību saskaņā Saistībā ar paredzētajām izmaiņām dzeramā ūdens direktīvas</w:t>
      </w:r>
      <w:r w:rsidR="00C34272">
        <w:rPr>
          <w:rStyle w:val="FootnoteReference"/>
          <w:rFonts w:ascii="Times New Roman" w:eastAsia="Times New Roman" w:hAnsi="Times New Roman" w:cs="Times New Roman"/>
          <w:sz w:val="24"/>
          <w:szCs w:val="24"/>
        </w:rPr>
        <w:footnoteReference w:id="112"/>
      </w:r>
      <w:r w:rsidR="00C34272" w:rsidRPr="38DE62CF">
        <w:rPr>
          <w:rFonts w:ascii="Times New Roman" w:eastAsia="Times New Roman" w:hAnsi="Times New Roman" w:cs="Times New Roman"/>
          <w:sz w:val="24"/>
          <w:szCs w:val="24"/>
        </w:rPr>
        <w:t xml:space="preserve"> prasību</w:t>
      </w:r>
      <w:r w:rsidR="00C34272" w:rsidRPr="00C34272">
        <w:rPr>
          <w:rFonts w:ascii="Times New Roman" w:eastAsia="Times New Roman" w:hAnsi="Times New Roman" w:cs="Times New Roman"/>
          <w:sz w:val="24"/>
          <w:szCs w:val="24"/>
        </w:rPr>
        <w:t xml:space="preserve"> </w:t>
      </w:r>
      <w:r w:rsidR="00C34272" w:rsidRPr="38DE62CF">
        <w:rPr>
          <w:rFonts w:ascii="Times New Roman" w:eastAsia="Times New Roman" w:hAnsi="Times New Roman" w:cs="Times New Roman"/>
          <w:sz w:val="24"/>
          <w:szCs w:val="24"/>
        </w:rPr>
        <w:t>par riska izvērtējumu visos dzeramā ūdens ieguves, sagatavošanas, piegādes posmos</w:t>
      </w:r>
      <w:r w:rsidR="00C34272">
        <w:rPr>
          <w:rStyle w:val="FootnoteReference"/>
          <w:rFonts w:ascii="Times New Roman" w:eastAsia="Times New Roman" w:hAnsi="Times New Roman" w:cs="Times New Roman"/>
          <w:sz w:val="24"/>
          <w:szCs w:val="24"/>
        </w:rPr>
        <w:footnoteReference w:id="113"/>
      </w:r>
      <w:r w:rsidR="00C34272" w:rsidRPr="38DE62CF">
        <w:rPr>
          <w:rFonts w:ascii="Times New Roman" w:eastAsia="Times New Roman" w:hAnsi="Times New Roman" w:cs="Times New Roman"/>
          <w:sz w:val="24"/>
          <w:szCs w:val="24"/>
        </w:rPr>
        <w:t>izpilde, kā arī ūdens drošības plānu adaptācija Latvijai sabiedrībai prioritārajās ēkās (ārstniecības, sociālo pakalpojumu, izglītības, sporta un rekreācijas iestādes u.c.)</w:t>
      </w:r>
      <w:r w:rsidR="00C34272">
        <w:rPr>
          <w:rFonts w:ascii="Times New Roman" w:eastAsia="Times New Roman" w:hAnsi="Times New Roman" w:cs="Times New Roman"/>
          <w:sz w:val="24"/>
          <w:szCs w:val="24"/>
        </w:rPr>
        <w:t>.</w:t>
      </w:r>
      <w:r w:rsidR="00C34272" w:rsidRPr="00C34272">
        <w:rPr>
          <w:rFonts w:ascii="Times New Roman" w:eastAsia="Times New Roman" w:hAnsi="Times New Roman" w:cs="Times New Roman"/>
          <w:sz w:val="24"/>
          <w:szCs w:val="24"/>
        </w:rPr>
        <w:t xml:space="preserve"> </w:t>
      </w:r>
      <w:r w:rsidR="00C34272">
        <w:rPr>
          <w:rFonts w:ascii="Times New Roman" w:eastAsia="Times New Roman" w:hAnsi="Times New Roman" w:cs="Times New Roman"/>
          <w:sz w:val="24"/>
          <w:szCs w:val="24"/>
        </w:rPr>
        <w:t xml:space="preserve">Atbalsts ir paredzēts </w:t>
      </w:r>
      <w:r w:rsidR="00C34272" w:rsidRPr="004A58D0">
        <w:rPr>
          <w:rFonts w:ascii="Times New Roman" w:eastAsia="Times New Roman" w:hAnsi="Times New Roman" w:cs="Times New Roman"/>
          <w:sz w:val="24"/>
          <w:szCs w:val="24"/>
        </w:rPr>
        <w:t>dzeramā ūdens auditmonitoringa veikšana, atbilstoši ES un nacionālo normatīvo aktu prasībām mazajās ūdensapgādes sistēmās, kas piegādā vidēji līdz 100</w:t>
      </w:r>
      <w:r w:rsidR="00C34272">
        <w:rPr>
          <w:rFonts w:ascii="Times New Roman" w:eastAsia="Times New Roman" w:hAnsi="Times New Roman" w:cs="Times New Roman"/>
          <w:sz w:val="24"/>
          <w:szCs w:val="24"/>
        </w:rPr>
        <w:t> </w:t>
      </w:r>
      <w:r w:rsidR="00C34272" w:rsidRPr="004A58D0">
        <w:rPr>
          <w:rFonts w:ascii="Times New Roman" w:eastAsia="Times New Roman" w:hAnsi="Times New Roman" w:cs="Times New Roman"/>
          <w:sz w:val="24"/>
          <w:szCs w:val="24"/>
        </w:rPr>
        <w:t>m</w:t>
      </w:r>
      <w:r w:rsidR="00C34272" w:rsidRPr="4E82F785">
        <w:rPr>
          <w:rFonts w:eastAsia="Times New Roman"/>
          <w:vertAlign w:val="superscript"/>
        </w:rPr>
        <w:t>3</w:t>
      </w:r>
      <w:r w:rsidR="00C34272" w:rsidRPr="004A58D0">
        <w:rPr>
          <w:rFonts w:ascii="Times New Roman" w:eastAsia="Times New Roman" w:hAnsi="Times New Roman" w:cs="Times New Roman"/>
          <w:sz w:val="24"/>
          <w:szCs w:val="24"/>
        </w:rPr>
        <w:t xml:space="preserve"> ūdens diennaktī un aptver ap 20% Latvijas iedzīvotāju, un mācības ūdensapgādes sistēmu uzturētājiem par riska novērtēšanu un riska </w:t>
      </w:r>
      <w:r w:rsidR="00C34272" w:rsidRPr="0073538A">
        <w:rPr>
          <w:rFonts w:ascii="Times New Roman" w:eastAsia="Times New Roman" w:hAnsi="Times New Roman" w:cs="Times New Roman"/>
          <w:sz w:val="24"/>
          <w:szCs w:val="24"/>
        </w:rPr>
        <w:t>pārvaldību ūdensapgādes sistēmās, izvērtējot monitoringa parametru sara</w:t>
      </w:r>
      <w:r w:rsidR="00C34272" w:rsidRPr="002263FC">
        <w:rPr>
          <w:rFonts w:ascii="Times New Roman" w:eastAsia="Times New Roman" w:hAnsi="Times New Roman" w:cs="Times New Roman"/>
          <w:sz w:val="24"/>
          <w:szCs w:val="24"/>
        </w:rPr>
        <w:t>kstu un parametru izslēgšanas gadījumā samazinot turpmākās izmaksas par monitoringa veikšanu.</w:t>
      </w:r>
      <w:r w:rsidR="00C34272" w:rsidRPr="0073538A">
        <w:rPr>
          <w:rFonts w:ascii="Times New Roman" w:eastAsia="Times New Roman" w:hAnsi="Times New Roman" w:cs="Times New Roman"/>
          <w:sz w:val="24"/>
          <w:szCs w:val="24"/>
        </w:rPr>
        <w:t xml:space="preserve"> Savukārt gaisa kvalitātes jomā atbalstāma gaisa kvalitātes tīkla modernizācija un paplašināšana, kā arī gaisa piesārņojuma izkliedes modelēšanas rīka izveide, kas izriet no </w:t>
      </w:r>
      <w:r w:rsidR="00C34272" w:rsidRPr="4E82F785">
        <w:rPr>
          <w:rFonts w:ascii="Times New Roman" w:eastAsia="Times New Roman" w:hAnsi="Times New Roman" w:cs="Times New Roman"/>
          <w:sz w:val="24"/>
          <w:szCs w:val="24"/>
        </w:rPr>
        <w:t>gaisa kvalitātes jomas direktīv</w:t>
      </w:r>
      <w:r w:rsidR="00C34272">
        <w:rPr>
          <w:rFonts w:ascii="Times New Roman" w:eastAsia="Times New Roman" w:hAnsi="Times New Roman" w:cs="Times New Roman"/>
          <w:sz w:val="24"/>
          <w:szCs w:val="24"/>
        </w:rPr>
        <w:t>u prasībām</w:t>
      </w:r>
      <w:r w:rsidR="00C34272" w:rsidRPr="00101434">
        <w:rPr>
          <w:rFonts w:ascii="Times New Roman" w:eastAsia="Times New Roman" w:hAnsi="Times New Roman" w:cs="Times New Roman"/>
          <w:sz w:val="24"/>
          <w:szCs w:val="24"/>
          <w:vertAlign w:val="superscript"/>
        </w:rPr>
        <w:footnoteReference w:id="114"/>
      </w:r>
      <w:r w:rsidR="00101434">
        <w:rPr>
          <w:rFonts w:ascii="Times New Roman" w:eastAsia="Times New Roman" w:hAnsi="Times New Roman" w:cs="Times New Roman"/>
          <w:sz w:val="24"/>
          <w:szCs w:val="24"/>
        </w:rPr>
        <w:t xml:space="preserve">, </w:t>
      </w:r>
      <w:r w:rsidR="00C34272">
        <w:rPr>
          <w:rFonts w:ascii="Times New Roman" w:eastAsia="Times New Roman" w:hAnsi="Times New Roman" w:cs="Times New Roman"/>
          <w:sz w:val="24"/>
          <w:szCs w:val="24"/>
        </w:rPr>
        <w:t>kā arī MK apstiprinātā “Gaisa piesārņojuma samazināšanas rīcības plāna 2020.-2030.gadam”.</w:t>
      </w:r>
      <w:r w:rsidR="00101434">
        <w:rPr>
          <w:rFonts w:ascii="Times New Roman" w:eastAsia="Times New Roman" w:hAnsi="Times New Roman" w:cs="Times New Roman"/>
          <w:sz w:val="24"/>
          <w:szCs w:val="24"/>
        </w:rPr>
        <w:t xml:space="preserve"> Vienlaikus ir atbalstāma arī radioaktivitātes mērījumu uzlabošana</w:t>
      </w:r>
      <w:r w:rsidR="00AC212B" w:rsidRPr="00930237">
        <w:rPr>
          <w:rFonts w:ascii="Times New Roman" w:eastAsia="Times New Roman" w:hAnsi="Times New Roman" w:cs="Times New Roman"/>
          <w:sz w:val="24"/>
          <w:szCs w:val="24"/>
        </w:rPr>
        <w:t>.</w:t>
      </w:r>
    </w:p>
    <w:p w14:paraId="57D22F98" w14:textId="664DCDCE" w:rsidR="004A58D0" w:rsidRPr="000A182C" w:rsidRDefault="004A58D0" w:rsidP="007323C7">
      <w:pPr>
        <w:pStyle w:val="ListParagraph"/>
        <w:spacing w:line="240" w:lineRule="auto"/>
        <w:ind w:left="786"/>
        <w:jc w:val="both"/>
        <w:rPr>
          <w:rFonts w:ascii="Times New Roman" w:eastAsia="Times New Roman" w:hAnsi="Times New Roman" w:cs="Times New Roman"/>
          <w:sz w:val="24"/>
          <w:szCs w:val="24"/>
        </w:rPr>
      </w:pPr>
      <w:r w:rsidRPr="004A58D0">
        <w:rPr>
          <w:rFonts w:ascii="Times New Roman" w:eastAsia="Times New Roman" w:hAnsi="Times New Roman" w:cs="Times New Roman"/>
          <w:sz w:val="24"/>
          <w:szCs w:val="24"/>
        </w:rPr>
        <w:t>izslēgšanas gadījumā samazinot turpmākās izmaksas par monitoringa veikšanu.</w:t>
      </w:r>
    </w:p>
    <w:p w14:paraId="3D595AFC" w14:textId="3D5A7576" w:rsidR="00AC212B" w:rsidRPr="00930237" w:rsidRDefault="004A58D0" w:rsidP="007545BD">
      <w:pPr>
        <w:pStyle w:val="ListParagraph"/>
        <w:numPr>
          <w:ilvl w:val="0"/>
          <w:numId w:val="45"/>
        </w:numPr>
        <w:spacing w:after="0" w:line="240" w:lineRule="auto"/>
        <w:jc w:val="both"/>
        <w:rPr>
          <w:rFonts w:ascii="Times New Roman" w:eastAsia="Times New Roman" w:hAnsi="Times New Roman" w:cs="Times New Roman"/>
          <w:sz w:val="24"/>
          <w:szCs w:val="24"/>
        </w:rPr>
      </w:pPr>
      <w:r w:rsidRPr="004A58D0">
        <w:rPr>
          <w:rFonts w:ascii="Times New Roman" w:eastAsia="Times New Roman" w:hAnsi="Times New Roman" w:cs="Times New Roman"/>
          <w:sz w:val="24"/>
          <w:szCs w:val="24"/>
        </w:rPr>
        <w:t>Lai atbilstoši Plānam</w:t>
      </w:r>
      <w:r>
        <w:rPr>
          <w:rStyle w:val="FootnoteReference"/>
          <w:rFonts w:ascii="Times New Roman" w:eastAsia="Times New Roman" w:hAnsi="Times New Roman" w:cs="Times New Roman"/>
          <w:sz w:val="24"/>
          <w:szCs w:val="24"/>
        </w:rPr>
        <w:footnoteReference w:id="115"/>
      </w:r>
      <w:r w:rsidRPr="004A58D0">
        <w:rPr>
          <w:rFonts w:ascii="Times New Roman" w:eastAsia="Times New Roman" w:hAnsi="Times New Roman" w:cs="Times New Roman"/>
          <w:sz w:val="24"/>
          <w:szCs w:val="24"/>
        </w:rPr>
        <w:t xml:space="preserve">  samazinātu gaisa piesārņojumu, vietās, kur ir gaisa kvalitātes </w:t>
      </w:r>
      <w:r w:rsidR="00101434">
        <w:rPr>
          <w:rFonts w:ascii="Times New Roman" w:eastAsia="Times New Roman" w:hAnsi="Times New Roman" w:cs="Times New Roman"/>
          <w:sz w:val="24"/>
          <w:szCs w:val="24"/>
        </w:rPr>
        <w:t xml:space="preserve">robežlielumu </w:t>
      </w:r>
      <w:r w:rsidRPr="004A58D0">
        <w:rPr>
          <w:rFonts w:ascii="Times New Roman" w:eastAsia="Times New Roman" w:hAnsi="Times New Roman" w:cs="Times New Roman"/>
          <w:sz w:val="24"/>
          <w:szCs w:val="24"/>
        </w:rPr>
        <w:t xml:space="preserve">pārsniegumi, </w:t>
      </w:r>
      <w:r w:rsidR="00101434" w:rsidRPr="00101434">
        <w:rPr>
          <w:rFonts w:ascii="Times New Roman" w:eastAsia="Times New Roman" w:hAnsi="Times New Roman" w:cs="Times New Roman"/>
          <w:sz w:val="24"/>
          <w:szCs w:val="24"/>
        </w:rPr>
        <w:t>sasniegtu Latvijai starptautiski noteiktos valsts kopējo gaisu piesārņojošo vielu emisiju samazināšanas mērķus</w:t>
      </w:r>
      <w:r w:rsidR="00101434">
        <w:rPr>
          <w:rFonts w:ascii="Times New Roman" w:eastAsia="Times New Roman" w:hAnsi="Times New Roman" w:cs="Times New Roman"/>
          <w:sz w:val="24"/>
          <w:szCs w:val="24"/>
        </w:rPr>
        <w:t xml:space="preserve">, </w:t>
      </w:r>
      <w:r w:rsidRPr="004A58D0">
        <w:rPr>
          <w:rFonts w:ascii="Times New Roman" w:eastAsia="Times New Roman" w:hAnsi="Times New Roman" w:cs="Times New Roman"/>
          <w:sz w:val="24"/>
          <w:szCs w:val="24"/>
        </w:rPr>
        <w:t>samazinātu siltumnīcefekta gāzu emisijas</w:t>
      </w:r>
      <w:r>
        <w:rPr>
          <w:rFonts w:ascii="Times New Roman" w:eastAsia="Times New Roman" w:hAnsi="Times New Roman" w:cs="Times New Roman"/>
          <w:sz w:val="24"/>
          <w:szCs w:val="24"/>
        </w:rPr>
        <w:t xml:space="preserve"> un uzlabotu vides kvalitāti ir </w:t>
      </w:r>
      <w:r w:rsidRPr="004A58D0">
        <w:rPr>
          <w:rFonts w:ascii="Times New Roman" w:eastAsia="Times New Roman" w:hAnsi="Times New Roman" w:cs="Times New Roman"/>
          <w:sz w:val="24"/>
          <w:szCs w:val="24"/>
        </w:rPr>
        <w:t xml:space="preserve">atbalstāmi pasākumi lokālā līmenī, kur investīcijas paredzētas </w:t>
      </w:r>
      <w:r>
        <w:rPr>
          <w:rFonts w:ascii="Times New Roman" w:eastAsia="Times New Roman" w:hAnsi="Times New Roman" w:cs="Times New Roman"/>
          <w:sz w:val="24"/>
          <w:szCs w:val="24"/>
        </w:rPr>
        <w:t>g</w:t>
      </w:r>
      <w:r w:rsidR="00AC212B" w:rsidRPr="00930237">
        <w:rPr>
          <w:rFonts w:ascii="Times New Roman" w:eastAsia="Times New Roman" w:hAnsi="Times New Roman" w:cs="Times New Roman"/>
          <w:sz w:val="24"/>
          <w:szCs w:val="24"/>
        </w:rPr>
        <w:t>aisa piesārņojuma mazinošu pasākumu īstenošana saskaņā ar pilsētu gaisa kvalitātes uzlabošanas rīcības programmām.</w:t>
      </w:r>
    </w:p>
    <w:p w14:paraId="28044965" w14:textId="7E580EAE" w:rsidR="00AC212B" w:rsidRPr="00930237" w:rsidRDefault="004A58D0" w:rsidP="007545BD">
      <w:pPr>
        <w:pStyle w:val="ListParagraph"/>
        <w:numPr>
          <w:ilvl w:val="0"/>
          <w:numId w:val="45"/>
        </w:numPr>
        <w:spacing w:after="0" w:line="240" w:lineRule="auto"/>
        <w:contextualSpacing w:val="0"/>
        <w:jc w:val="both"/>
        <w:rPr>
          <w:rFonts w:ascii="Times New Roman" w:eastAsia="Times New Roman" w:hAnsi="Times New Roman" w:cs="Times New Roman"/>
          <w:sz w:val="24"/>
          <w:szCs w:val="24"/>
        </w:rPr>
      </w:pPr>
      <w:r w:rsidRPr="004A58D0">
        <w:rPr>
          <w:rFonts w:ascii="Times New Roman" w:eastAsia="Times New Roman" w:hAnsi="Times New Roman" w:cs="Times New Roman"/>
          <w:sz w:val="24"/>
          <w:szCs w:val="24"/>
        </w:rPr>
        <w:t>Lai samazinātu PM</w:t>
      </w:r>
      <w:r w:rsidRPr="000A182C">
        <w:rPr>
          <w:rFonts w:ascii="Times New Roman" w:eastAsia="Times New Roman" w:hAnsi="Times New Roman" w:cs="Times New Roman"/>
          <w:sz w:val="24"/>
          <w:szCs w:val="24"/>
          <w:vertAlign w:val="subscript"/>
        </w:rPr>
        <w:t xml:space="preserve">2,5 </w:t>
      </w:r>
      <w:r w:rsidRPr="004A58D0">
        <w:rPr>
          <w:rFonts w:ascii="Times New Roman" w:eastAsia="Times New Roman" w:hAnsi="Times New Roman" w:cs="Times New Roman"/>
          <w:sz w:val="24"/>
          <w:szCs w:val="24"/>
        </w:rPr>
        <w:t xml:space="preserve">daļiņu, NMGOS un NOx emisijas, kā arī veicinātu ne-emisiju tehnoloģiju izplatību un virzīšanos uz AER mērķu sasniegšanu, investīcijas paredzētas </w:t>
      </w:r>
      <w:r>
        <w:rPr>
          <w:rFonts w:ascii="Times New Roman" w:eastAsia="Times New Roman" w:hAnsi="Times New Roman" w:cs="Times New Roman"/>
          <w:sz w:val="24"/>
          <w:szCs w:val="24"/>
        </w:rPr>
        <w:t>s</w:t>
      </w:r>
      <w:r w:rsidR="00AC212B" w:rsidRPr="00930237">
        <w:rPr>
          <w:rFonts w:ascii="Times New Roman" w:eastAsia="Times New Roman" w:hAnsi="Times New Roman" w:cs="Times New Roman"/>
          <w:sz w:val="24"/>
          <w:szCs w:val="24"/>
        </w:rPr>
        <w:t xml:space="preserve">adedzināšanas iekārtu nomaiņai </w:t>
      </w:r>
      <w:r w:rsidR="00101434">
        <w:rPr>
          <w:rFonts w:ascii="Times New Roman" w:eastAsia="Times New Roman" w:hAnsi="Times New Roman" w:cs="Times New Roman"/>
          <w:sz w:val="24"/>
          <w:szCs w:val="24"/>
        </w:rPr>
        <w:t xml:space="preserve">ēkām </w:t>
      </w:r>
      <w:r w:rsidR="00AC212B" w:rsidRPr="00930237">
        <w:rPr>
          <w:rFonts w:ascii="Times New Roman" w:eastAsia="Times New Roman" w:hAnsi="Times New Roman" w:cs="Times New Roman"/>
          <w:sz w:val="24"/>
          <w:szCs w:val="24"/>
        </w:rPr>
        <w:t>mājsaimniecību sektor</w:t>
      </w:r>
      <w:r w:rsidR="00101434">
        <w:rPr>
          <w:rFonts w:ascii="Times New Roman" w:eastAsia="Times New Roman" w:hAnsi="Times New Roman" w:cs="Times New Roman"/>
          <w:sz w:val="24"/>
          <w:szCs w:val="24"/>
        </w:rPr>
        <w:t xml:space="preserve">ā, kuras izmanto individuālās siltumapgādes sistēmas, </w:t>
      </w:r>
      <w:r w:rsidR="00AC212B" w:rsidRPr="00930237">
        <w:rPr>
          <w:rFonts w:ascii="Times New Roman" w:eastAsia="Times New Roman" w:hAnsi="Times New Roman" w:cs="Times New Roman"/>
          <w:sz w:val="24"/>
          <w:szCs w:val="24"/>
        </w:rPr>
        <w:t xml:space="preserve">kurās </w:t>
      </w:r>
      <w:r w:rsidR="00101434">
        <w:rPr>
          <w:rFonts w:ascii="Times New Roman" w:eastAsia="Times New Roman" w:hAnsi="Times New Roman" w:cs="Times New Roman"/>
          <w:sz w:val="24"/>
          <w:szCs w:val="24"/>
        </w:rPr>
        <w:t>sākotnēji nav iecerēts veikt citus</w:t>
      </w:r>
      <w:r w:rsidR="00AC212B" w:rsidRPr="00930237">
        <w:rPr>
          <w:rFonts w:ascii="Times New Roman" w:eastAsia="Times New Roman" w:hAnsi="Times New Roman" w:cs="Times New Roman"/>
          <w:sz w:val="24"/>
          <w:szCs w:val="24"/>
        </w:rPr>
        <w:t xml:space="preserve"> energoefektivitātes uzlabošanas pasākum</w:t>
      </w:r>
      <w:r w:rsidR="00101434">
        <w:rPr>
          <w:rFonts w:ascii="Times New Roman" w:eastAsia="Times New Roman" w:hAnsi="Times New Roman" w:cs="Times New Roman"/>
          <w:sz w:val="24"/>
          <w:szCs w:val="24"/>
        </w:rPr>
        <w:t xml:space="preserve">us un, kur paredzētais atbalsta pasākums nepārklājas ar atbalstu, kas paredzēts 2.1.1.SAM ietvaros. Prioritāri atbalsts sniedzams </w:t>
      </w:r>
      <w:r w:rsidR="00AC212B" w:rsidRPr="00930237">
        <w:rPr>
          <w:rFonts w:ascii="Times New Roman" w:eastAsia="Times New Roman" w:hAnsi="Times New Roman" w:cs="Times New Roman"/>
          <w:sz w:val="24"/>
          <w:szCs w:val="24"/>
        </w:rPr>
        <w:t xml:space="preserve">tajās teritorijās, kur konstatēti gaisa piesārņojuma normatīvu </w:t>
      </w:r>
      <w:r w:rsidR="00101434">
        <w:rPr>
          <w:rFonts w:ascii="Times New Roman" w:eastAsia="Times New Roman" w:hAnsi="Times New Roman" w:cs="Times New Roman"/>
          <w:sz w:val="24"/>
          <w:szCs w:val="24"/>
        </w:rPr>
        <w:t xml:space="preserve">robežlielumu </w:t>
      </w:r>
      <w:r w:rsidR="00AC212B" w:rsidRPr="00930237">
        <w:rPr>
          <w:rFonts w:ascii="Times New Roman" w:eastAsia="Times New Roman" w:hAnsi="Times New Roman" w:cs="Times New Roman"/>
          <w:sz w:val="24"/>
          <w:szCs w:val="24"/>
        </w:rPr>
        <w:t xml:space="preserve">pārsniegumi. </w:t>
      </w:r>
      <w:r w:rsidR="00101434">
        <w:rPr>
          <w:rFonts w:ascii="Times New Roman" w:eastAsia="Times New Roman" w:hAnsi="Times New Roman" w:cs="Times New Roman"/>
          <w:sz w:val="24"/>
          <w:szCs w:val="24"/>
        </w:rPr>
        <w:t>Pasākuma ietvaros a</w:t>
      </w:r>
      <w:r w:rsidR="00AC212B" w:rsidRPr="00930237">
        <w:rPr>
          <w:rFonts w:ascii="Times New Roman" w:eastAsia="Times New Roman" w:hAnsi="Times New Roman" w:cs="Times New Roman"/>
          <w:sz w:val="24"/>
          <w:szCs w:val="24"/>
        </w:rPr>
        <w:t xml:space="preserve">tbalsts sniedzams arī pieslēgumam </w:t>
      </w:r>
      <w:r w:rsidR="00101434">
        <w:rPr>
          <w:rFonts w:ascii="Times New Roman" w:eastAsia="Times New Roman" w:hAnsi="Times New Roman" w:cs="Times New Roman"/>
          <w:sz w:val="24"/>
          <w:szCs w:val="24"/>
        </w:rPr>
        <w:t xml:space="preserve">pie </w:t>
      </w:r>
      <w:r w:rsidR="00AC212B" w:rsidRPr="00930237">
        <w:rPr>
          <w:rFonts w:ascii="Times New Roman" w:eastAsia="Times New Roman" w:hAnsi="Times New Roman" w:cs="Times New Roman"/>
          <w:sz w:val="24"/>
          <w:szCs w:val="24"/>
        </w:rPr>
        <w:t>centralizētajām siltumapgādes sistēmām, ja tas ekonomiski un tehniski iespējams;</w:t>
      </w:r>
    </w:p>
    <w:p w14:paraId="478064FC" w14:textId="6C4EDC9D" w:rsidR="00AC212B" w:rsidRPr="00930237" w:rsidRDefault="004A58D0" w:rsidP="007545BD">
      <w:pPr>
        <w:pStyle w:val="ListParagraph"/>
        <w:numPr>
          <w:ilvl w:val="0"/>
          <w:numId w:val="45"/>
        </w:numPr>
        <w:spacing w:after="0" w:line="240" w:lineRule="auto"/>
        <w:jc w:val="both"/>
        <w:rPr>
          <w:rFonts w:ascii="Times New Roman" w:eastAsia="Times New Roman" w:hAnsi="Times New Roman" w:cs="Times New Roman"/>
          <w:sz w:val="24"/>
          <w:szCs w:val="24"/>
        </w:rPr>
      </w:pPr>
      <w:r w:rsidRPr="004A58D0">
        <w:rPr>
          <w:rFonts w:ascii="Times New Roman" w:eastAsia="Times New Roman" w:hAnsi="Times New Roman" w:cs="Times New Roman"/>
          <w:sz w:val="24"/>
          <w:szCs w:val="24"/>
        </w:rPr>
        <w:t>Lai samazin</w:t>
      </w:r>
      <w:r>
        <w:rPr>
          <w:rFonts w:ascii="Times New Roman" w:eastAsia="Times New Roman" w:hAnsi="Times New Roman" w:cs="Times New Roman"/>
          <w:sz w:val="24"/>
          <w:szCs w:val="24"/>
        </w:rPr>
        <w:t>ātu gaisa piesārņojuma emisijas</w:t>
      </w:r>
      <w:r w:rsidRPr="004A58D0">
        <w:rPr>
          <w:rFonts w:ascii="Times New Roman" w:eastAsia="Times New Roman" w:hAnsi="Times New Roman" w:cs="Times New Roman"/>
          <w:sz w:val="24"/>
          <w:szCs w:val="24"/>
        </w:rPr>
        <w:t xml:space="preserve"> no enerģijas pārveidošanas sektora, investīcij</w:t>
      </w:r>
      <w:r w:rsidR="00101434">
        <w:rPr>
          <w:rFonts w:ascii="Times New Roman" w:eastAsia="Times New Roman" w:hAnsi="Times New Roman" w:cs="Times New Roman"/>
          <w:sz w:val="24"/>
          <w:szCs w:val="24"/>
        </w:rPr>
        <w:t>ā</w:t>
      </w:r>
      <w:r w:rsidRPr="004A58D0">
        <w:rPr>
          <w:rFonts w:ascii="Times New Roman" w:eastAsia="Times New Roman" w:hAnsi="Times New Roman" w:cs="Times New Roman"/>
          <w:sz w:val="24"/>
          <w:szCs w:val="24"/>
        </w:rPr>
        <w:t>s, ievērojot valsts atbalsta regulējumu un “piesārņotā</w:t>
      </w:r>
      <w:r>
        <w:rPr>
          <w:rFonts w:ascii="Times New Roman" w:eastAsia="Times New Roman" w:hAnsi="Times New Roman" w:cs="Times New Roman"/>
          <w:sz w:val="24"/>
          <w:szCs w:val="24"/>
        </w:rPr>
        <w:t xml:space="preserve">js maksā” principu, atbalstāma </w:t>
      </w:r>
      <w:r w:rsidR="00101434">
        <w:rPr>
          <w:rFonts w:ascii="Times New Roman" w:eastAsia="Times New Roman" w:hAnsi="Times New Roman" w:cs="Times New Roman"/>
          <w:sz w:val="24"/>
          <w:szCs w:val="24"/>
        </w:rPr>
        <w:t xml:space="preserve">pašvaldību </w:t>
      </w:r>
      <w:r w:rsidRPr="004A58D0">
        <w:rPr>
          <w:rFonts w:ascii="Times New Roman" w:eastAsia="Times New Roman" w:hAnsi="Times New Roman" w:cs="Times New Roman"/>
          <w:sz w:val="24"/>
          <w:szCs w:val="24"/>
        </w:rPr>
        <w:t>sabiedrisko</w:t>
      </w:r>
      <w:r w:rsidR="00101434">
        <w:rPr>
          <w:rFonts w:ascii="Times New Roman" w:eastAsia="Times New Roman" w:hAnsi="Times New Roman" w:cs="Times New Roman"/>
          <w:sz w:val="24"/>
          <w:szCs w:val="24"/>
        </w:rPr>
        <w:t xml:space="preserve"> siltumapgādes</w:t>
      </w:r>
      <w:r w:rsidRPr="004A58D0">
        <w:rPr>
          <w:rFonts w:ascii="Times New Roman" w:eastAsia="Times New Roman" w:hAnsi="Times New Roman" w:cs="Times New Roman"/>
          <w:sz w:val="24"/>
          <w:szCs w:val="24"/>
        </w:rPr>
        <w:t xml:space="preserve"> pakalpojumu sniedzēju </w:t>
      </w:r>
      <w:r>
        <w:rPr>
          <w:rFonts w:ascii="Times New Roman" w:eastAsia="Times New Roman" w:hAnsi="Times New Roman" w:cs="Times New Roman"/>
          <w:sz w:val="24"/>
          <w:szCs w:val="24"/>
        </w:rPr>
        <w:t xml:space="preserve">siltumenerģijas ražošanas </w:t>
      </w:r>
      <w:r w:rsidRPr="004A58D0">
        <w:rPr>
          <w:rFonts w:ascii="Times New Roman" w:eastAsia="Times New Roman" w:hAnsi="Times New Roman" w:cs="Times New Roman"/>
          <w:sz w:val="24"/>
          <w:szCs w:val="24"/>
        </w:rPr>
        <w:t>un koģenerācijas iekārtu, kas neizmanto fosilo kurināmo, aprīkošan</w:t>
      </w:r>
      <w:r>
        <w:rPr>
          <w:rFonts w:ascii="Times New Roman" w:eastAsia="Times New Roman" w:hAnsi="Times New Roman" w:cs="Times New Roman"/>
          <w:sz w:val="24"/>
          <w:szCs w:val="24"/>
        </w:rPr>
        <w:t xml:space="preserve">u </w:t>
      </w:r>
      <w:r w:rsidR="00AC212B" w:rsidRPr="00930237">
        <w:rPr>
          <w:rFonts w:ascii="Times New Roman" w:eastAsia="Times New Roman" w:hAnsi="Times New Roman" w:cs="Times New Roman"/>
          <w:sz w:val="24"/>
          <w:szCs w:val="24"/>
        </w:rPr>
        <w:t>ar vides normatīvajiem aktiem atbilstošām gais</w:t>
      </w:r>
      <w:r w:rsidR="00101434">
        <w:rPr>
          <w:rFonts w:ascii="Times New Roman" w:eastAsia="Times New Roman" w:hAnsi="Times New Roman" w:cs="Times New Roman"/>
          <w:sz w:val="24"/>
          <w:szCs w:val="24"/>
        </w:rPr>
        <w:t>u piesārņojošo vielu</w:t>
      </w:r>
      <w:r w:rsidR="00AC212B" w:rsidRPr="00930237">
        <w:rPr>
          <w:rFonts w:ascii="Times New Roman" w:eastAsia="Times New Roman" w:hAnsi="Times New Roman" w:cs="Times New Roman"/>
          <w:sz w:val="24"/>
          <w:szCs w:val="24"/>
        </w:rPr>
        <w:t xml:space="preserve"> emisiju attīrīšanas iekārtām (piemēram, filtriem u.c. tehnoloģijām).</w:t>
      </w:r>
    </w:p>
    <w:p w14:paraId="23AEE15A" w14:textId="65232D33"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noProof/>
          <w:color w:val="FF0000"/>
          <w:sz w:val="24"/>
          <w:szCs w:val="24"/>
        </w:rPr>
      </w:pPr>
      <w:r w:rsidRPr="00930237">
        <w:rPr>
          <w:rFonts w:ascii="Times New Roman" w:hAnsi="Times New Roman" w:cs="Times New Roman"/>
          <w:b/>
          <w:bCs/>
          <w:noProof/>
          <w:sz w:val="24"/>
          <w:szCs w:val="24"/>
        </w:rPr>
        <w:t xml:space="preserve">Galvenās mērķgrupas: </w:t>
      </w:r>
      <w:r w:rsidRPr="00930237">
        <w:rPr>
          <w:rFonts w:ascii="Times New Roman" w:hAnsi="Times New Roman" w:cs="Times New Roman"/>
          <w:sz w:val="24"/>
          <w:szCs w:val="24"/>
        </w:rPr>
        <w:t>valsts pārvaldes iestādes,</w:t>
      </w:r>
      <w:r w:rsidRPr="00930237">
        <w:rPr>
          <w:rFonts w:ascii="Times New Roman" w:hAnsi="Times New Roman" w:cs="Times New Roman"/>
          <w:noProof/>
          <w:sz w:val="24"/>
          <w:szCs w:val="24"/>
        </w:rPr>
        <w:t xml:space="preserve"> t.sk. </w:t>
      </w:r>
      <w:r w:rsidRPr="00930237">
        <w:rPr>
          <w:rFonts w:ascii="Times New Roman" w:hAnsi="Times New Roman" w:cs="Times New Roman"/>
          <w:sz w:val="24"/>
          <w:szCs w:val="24"/>
        </w:rPr>
        <w:t xml:space="preserve">valsts tiešās pārvaldes iestādes, kas nodrošina dabas, biotopu un sugu aizsardzību, uzraudzību un kontroli, plānošanas reģioni, pašvaldības un to iestādes, komersanti, sabiedriskā siltumapgādes pakalpojuma sniedzēji, </w:t>
      </w:r>
      <w:r w:rsidR="004A58D0" w:rsidRPr="004A58D0">
        <w:rPr>
          <w:rFonts w:ascii="Times New Roman" w:hAnsi="Times New Roman" w:cs="Times New Roman"/>
          <w:sz w:val="24"/>
          <w:szCs w:val="24"/>
        </w:rPr>
        <w:t>sabiedrisko ūdenssaimniecības pakalpojumu sniedzēji, dzeramo ūdensapgādes sistēmu uzturētāji</w:t>
      </w:r>
      <w:r w:rsidRPr="00930237">
        <w:rPr>
          <w:rFonts w:ascii="Times New Roman" w:hAnsi="Times New Roman" w:cs="Times New Roman"/>
          <w:sz w:val="24"/>
          <w:szCs w:val="24"/>
        </w:rPr>
        <w:t xml:space="preserve">, </w:t>
      </w:r>
      <w:r w:rsidRPr="00930237">
        <w:rPr>
          <w:rFonts w:ascii="Times New Roman" w:hAnsi="Times New Roman" w:cs="Times New Roman"/>
          <w:noProof/>
          <w:sz w:val="24"/>
          <w:szCs w:val="24"/>
        </w:rPr>
        <w:t xml:space="preserve">zinātniskās institūcijas, biedrības un nodibinājumi, kas darbojas vides un dabas aizsardzības jomā vai to pienākumos ir šo prasību nodrošināšana, izglītības iestādes, mācību centri, darba meklētāji, strādājošie, kuri pārkvalificējas, </w:t>
      </w:r>
      <w:r w:rsidRPr="00930237">
        <w:rPr>
          <w:rFonts w:ascii="Times New Roman" w:hAnsi="Times New Roman" w:cs="Times New Roman"/>
          <w:sz w:val="24"/>
          <w:szCs w:val="24"/>
        </w:rPr>
        <w:t>vides izglītības un informācijas centri,</w:t>
      </w:r>
      <w:r w:rsidR="004A58D0">
        <w:rPr>
          <w:rFonts w:ascii="Times New Roman" w:hAnsi="Times New Roman" w:cs="Times New Roman"/>
          <w:sz w:val="24"/>
          <w:szCs w:val="24"/>
        </w:rPr>
        <w:t xml:space="preserve"> ikviens dzeramā (krāna) ūdens lietotājs,</w:t>
      </w:r>
      <w:r w:rsidRPr="00930237">
        <w:rPr>
          <w:rFonts w:ascii="Times New Roman" w:hAnsi="Times New Roman" w:cs="Times New Roman"/>
          <w:sz w:val="24"/>
          <w:szCs w:val="24"/>
        </w:rPr>
        <w:t xml:space="preserve"> </w:t>
      </w:r>
      <w:r w:rsidR="00101434">
        <w:rPr>
          <w:rFonts w:ascii="Times New Roman" w:hAnsi="Times New Roman" w:cs="Times New Roman"/>
          <w:sz w:val="24"/>
          <w:szCs w:val="24"/>
        </w:rPr>
        <w:t xml:space="preserve">mājsaimniecības, </w:t>
      </w:r>
      <w:r w:rsidRPr="00930237">
        <w:rPr>
          <w:rFonts w:ascii="Times New Roman" w:hAnsi="Times New Roman" w:cs="Times New Roman"/>
          <w:sz w:val="24"/>
          <w:szCs w:val="24"/>
        </w:rPr>
        <w:t xml:space="preserve">iedzīvotāji, </w:t>
      </w:r>
      <w:r w:rsidR="00101434">
        <w:rPr>
          <w:rFonts w:ascii="Times New Roman" w:hAnsi="Times New Roman" w:cs="Times New Roman"/>
          <w:sz w:val="24"/>
          <w:szCs w:val="24"/>
        </w:rPr>
        <w:t xml:space="preserve">t.sk., </w:t>
      </w:r>
      <w:r w:rsidRPr="00930237">
        <w:rPr>
          <w:rFonts w:ascii="Times New Roman" w:hAnsi="Times New Roman" w:cs="Times New Roman"/>
          <w:sz w:val="24"/>
          <w:szCs w:val="24"/>
        </w:rPr>
        <w:t>kuri līdzdarboj</w:t>
      </w:r>
      <w:r w:rsidR="004A58D0">
        <w:rPr>
          <w:rFonts w:ascii="Times New Roman" w:hAnsi="Times New Roman" w:cs="Times New Roman"/>
          <w:sz w:val="24"/>
          <w:szCs w:val="24"/>
        </w:rPr>
        <w:t>a</w:t>
      </w:r>
      <w:r w:rsidRPr="00930237">
        <w:rPr>
          <w:rFonts w:ascii="Times New Roman" w:hAnsi="Times New Roman" w:cs="Times New Roman"/>
          <w:sz w:val="24"/>
          <w:szCs w:val="24"/>
        </w:rPr>
        <w:t xml:space="preserve">s ar vidi saistītu jautājumu risināšanā, par tiem interesējas vai kuri gūst tiešus un netiešu labumus no vides kvalitātes uzlabošanās. </w:t>
      </w:r>
    </w:p>
    <w:p w14:paraId="07081051" w14:textId="287271D1"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Darbības, kas nodrošina vienlīdzību, iekļaušanu un nediskrimināciju:</w:t>
      </w:r>
      <w:r w:rsidR="00D3187D" w:rsidRPr="00930237">
        <w:rPr>
          <w:rFonts w:ascii="Times New Roman" w:hAnsi="Times New Roman" w:cs="Times New Roman"/>
          <w:b/>
          <w:sz w:val="24"/>
          <w:szCs w:val="24"/>
        </w:rPr>
        <w:t xml:space="preserve"> </w:t>
      </w:r>
      <w:r w:rsidR="00D3187D" w:rsidRPr="00930237">
        <w:rPr>
          <w:rFonts w:ascii="Times New Roman" w:hAnsi="Times New Roman" w:cs="Times New Roman"/>
          <w:sz w:val="24"/>
          <w:szCs w:val="24"/>
        </w:rPr>
        <w:t>Specifiskas prasības vienlīdzīgu iespēju, iekļaušanas un nediskriminācijas principu piemērošanā tiks noteiktas</w:t>
      </w:r>
      <w:r w:rsidR="00601AA2">
        <w:rPr>
          <w:rFonts w:ascii="Times New Roman" w:hAnsi="Times New Roman" w:cs="Times New Roman"/>
          <w:sz w:val="24"/>
          <w:szCs w:val="24"/>
        </w:rPr>
        <w:t>,</w:t>
      </w:r>
      <w:r w:rsidR="00D3187D" w:rsidRPr="00930237">
        <w:rPr>
          <w:rFonts w:ascii="Times New Roman" w:hAnsi="Times New Roman" w:cs="Times New Roman"/>
          <w:sz w:val="24"/>
          <w:szCs w:val="24"/>
        </w:rPr>
        <w:t xml:space="preserve"> veicot ieguldījumus antropogēnās slodzes mazināšanas infrastruktūrā un apmācību, izglītības, konsultēšanas un informēšanas pasākumu organizēšanā, kā arī vides izglītības infrastruktūras attīstībā, nodrošinot vides un informācijas pieejamību personām ar redzes, dzirdes, kustību un garīga rakstura traucējumiem un organizējot vides izglītības un apmācību pasākumus specifiskām mērķa grupām, tostarp personām ar invaliditāti, pirmspensijas vecuma cilvēkiem u.c.</w:t>
      </w:r>
      <w:r w:rsidRPr="00930237">
        <w:rPr>
          <w:rFonts w:ascii="Times New Roman" w:hAnsi="Times New Roman" w:cs="Times New Roman"/>
          <w:sz w:val="24"/>
          <w:szCs w:val="24"/>
        </w:rPr>
        <w:t xml:space="preserve"> Projektu un pasākumu īstenošanā un vadībā tiks nodrošināta informācijas un vides pieejamības, nediskriminācijas pēc vecuma, dzimuma, etniskās piederības u.c. pazīmes un vienlīdzīgu iespēju principu ievērošana.</w:t>
      </w:r>
    </w:p>
    <w:p w14:paraId="5B66A600" w14:textId="77777777"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Mērķteritorijas, t.sk. plānotais teritoriālo rīku izmantojums</w:t>
      </w:r>
      <w:r w:rsidRPr="00930237">
        <w:rPr>
          <w:rFonts w:ascii="Times New Roman" w:hAnsi="Times New Roman" w:cs="Times New Roman"/>
          <w:sz w:val="24"/>
          <w:szCs w:val="24"/>
        </w:rPr>
        <w:t>: Visa Latvija.</w:t>
      </w:r>
    </w:p>
    <w:p w14:paraId="0BFB3F25" w14:textId="2DC8CC3F"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Starpreģionālās, pārrobežu un transnacionālās darbības:</w:t>
      </w:r>
      <w:r w:rsidRPr="00930237">
        <w:rPr>
          <w:rFonts w:ascii="Times New Roman" w:hAnsi="Times New Roman" w:cs="Times New Roman"/>
          <w:sz w:val="24"/>
          <w:szCs w:val="24"/>
        </w:rPr>
        <w:t xml:space="preserve"> </w:t>
      </w:r>
      <w:r w:rsidR="008F4155" w:rsidRPr="008F4155">
        <w:rPr>
          <w:rFonts w:ascii="Times New Roman" w:hAnsi="Times New Roman" w:cs="Times New Roman"/>
          <w:sz w:val="24"/>
          <w:szCs w:val="24"/>
        </w:rPr>
        <w:t>Vēsturiski piesārņoto teritoriju sanācijas, gaisa piesārņojuma samazināšanas pasākumiem un dabas un bioloģiskās daudzveidības saglabāšanas pasākumiem papildu atbalsts būs pieejam</w:t>
      </w:r>
      <w:r w:rsidR="008F4155">
        <w:rPr>
          <w:rFonts w:ascii="Times New Roman" w:hAnsi="Times New Roman" w:cs="Times New Roman"/>
          <w:sz w:val="24"/>
          <w:szCs w:val="24"/>
        </w:rPr>
        <w:t xml:space="preserve">s INTERREG </w:t>
      </w:r>
      <w:r w:rsidR="004A58D0" w:rsidRPr="004A58D0">
        <w:rPr>
          <w:rFonts w:ascii="Times New Roman" w:hAnsi="Times New Roman" w:cs="Times New Roman"/>
          <w:sz w:val="24"/>
          <w:szCs w:val="24"/>
        </w:rPr>
        <w:t>un LIFE programmu</w:t>
      </w:r>
      <w:r w:rsidR="00101434">
        <w:rPr>
          <w:rFonts w:ascii="Times New Roman" w:hAnsi="Times New Roman" w:cs="Times New Roman"/>
          <w:sz w:val="24"/>
          <w:szCs w:val="24"/>
        </w:rPr>
        <w:t>,</w:t>
      </w:r>
      <w:r w:rsidR="004A58D0" w:rsidRPr="004A58D0">
        <w:rPr>
          <w:rFonts w:ascii="Times New Roman" w:hAnsi="Times New Roman" w:cs="Times New Roman"/>
          <w:sz w:val="24"/>
          <w:szCs w:val="24"/>
        </w:rPr>
        <w:t xml:space="preserve"> un Norvēģi</w:t>
      </w:r>
      <w:r w:rsidR="004A58D0">
        <w:rPr>
          <w:rFonts w:ascii="Times New Roman" w:hAnsi="Times New Roman" w:cs="Times New Roman"/>
          <w:sz w:val="24"/>
          <w:szCs w:val="24"/>
        </w:rPr>
        <w:t xml:space="preserve">jas </w:t>
      </w:r>
      <w:r w:rsidR="004A58D0" w:rsidRPr="004A58D0">
        <w:rPr>
          <w:rFonts w:ascii="Times New Roman" w:hAnsi="Times New Roman" w:cs="Times New Roman"/>
          <w:sz w:val="24"/>
          <w:szCs w:val="24"/>
        </w:rPr>
        <w:t>finanšu instrumenta</w:t>
      </w:r>
      <w:r w:rsidR="008F4155">
        <w:rPr>
          <w:rFonts w:ascii="Times New Roman" w:hAnsi="Times New Roman" w:cs="Times New Roman"/>
          <w:sz w:val="24"/>
          <w:szCs w:val="24"/>
        </w:rPr>
        <w:t xml:space="preserve"> ietvaros.</w:t>
      </w:r>
    </w:p>
    <w:p w14:paraId="40B22C8F" w14:textId="130E34D9" w:rsidR="00AC212B" w:rsidRPr="00930237" w:rsidRDefault="0002461B" w:rsidP="007545BD">
      <w:pPr>
        <w:pStyle w:val="ListParagraph"/>
        <w:numPr>
          <w:ilvl w:val="0"/>
          <w:numId w:val="60"/>
        </w:numPr>
        <w:spacing w:after="0" w:line="240" w:lineRule="auto"/>
        <w:ind w:left="567" w:hanging="567"/>
        <w:jc w:val="both"/>
        <w:rPr>
          <w:rFonts w:ascii="Times New Roman" w:eastAsia="Times New Roman" w:hAnsi="Times New Roman" w:cs="Times New Roman"/>
          <w:noProof/>
          <w:sz w:val="24"/>
          <w:szCs w:val="24"/>
        </w:rPr>
      </w:pPr>
      <w:r>
        <w:rPr>
          <w:rFonts w:ascii="Times New Roman" w:hAnsi="Times New Roman" w:cs="Times New Roman"/>
          <w:b/>
          <w:sz w:val="24"/>
          <w:szCs w:val="24"/>
        </w:rPr>
        <w:t>F</w:t>
      </w:r>
      <w:r w:rsidR="00AC212B" w:rsidRPr="00930237">
        <w:rPr>
          <w:rFonts w:ascii="Times New Roman" w:hAnsi="Times New Roman" w:cs="Times New Roman"/>
          <w:b/>
          <w:sz w:val="24"/>
          <w:szCs w:val="24"/>
        </w:rPr>
        <w:t xml:space="preserve">inanšu instrumenti: </w:t>
      </w:r>
      <w:r w:rsidR="00101434">
        <w:rPr>
          <w:rFonts w:ascii="Times New Roman" w:hAnsi="Times New Roman" w:cs="Times New Roman"/>
          <w:sz w:val="24"/>
          <w:szCs w:val="24"/>
        </w:rPr>
        <w:t>N/A</w:t>
      </w:r>
    </w:p>
    <w:p w14:paraId="0E6433AF" w14:textId="77777777" w:rsidR="00AC212B" w:rsidRPr="00930237" w:rsidRDefault="00AC212B" w:rsidP="00AC212B">
      <w:pPr>
        <w:spacing w:before="0" w:after="0"/>
        <w:rPr>
          <w:b/>
          <w:noProof/>
          <w:szCs w:val="24"/>
        </w:rPr>
      </w:pPr>
    </w:p>
    <w:p w14:paraId="351F69DC" w14:textId="4EB8F982" w:rsidR="00AC212B" w:rsidRPr="00930237" w:rsidRDefault="00AC212B" w:rsidP="00AC212B">
      <w:pPr>
        <w:pStyle w:val="Heading4"/>
        <w:numPr>
          <w:ilvl w:val="0"/>
          <w:numId w:val="0"/>
        </w:numPr>
        <w:shd w:val="clear" w:color="auto" w:fill="F7CAAC" w:themeFill="accent2" w:themeFillTint="66"/>
        <w:spacing w:after="0"/>
        <w:rPr>
          <w:b/>
        </w:rPr>
      </w:pPr>
      <w:r w:rsidRPr="00930237">
        <w:rPr>
          <w:b/>
        </w:rPr>
        <w:t>2.3.Prioritāte “Ilgtspējīga mobilitāte”</w:t>
      </w:r>
      <w:r w:rsidR="00CD4CD3">
        <w:rPr>
          <w:b/>
        </w:rPr>
        <w:t xml:space="preserve"> </w:t>
      </w:r>
      <w:r w:rsidR="00CD4CD3" w:rsidRPr="00CD4CD3">
        <w:rPr>
          <w:bCs/>
          <w:i/>
          <w:iCs/>
        </w:rPr>
        <w:t>(speciālā prioritāte, kas veltīta pilsētas mobilitāte)</w:t>
      </w:r>
    </w:p>
    <w:p w14:paraId="112CF9FC" w14:textId="29D9FECF" w:rsidR="00AC212B" w:rsidRPr="00930237" w:rsidRDefault="00AC212B" w:rsidP="00AC212B">
      <w:pPr>
        <w:pStyle w:val="Heading4"/>
        <w:numPr>
          <w:ilvl w:val="0"/>
          <w:numId w:val="0"/>
        </w:numPr>
        <w:shd w:val="clear" w:color="auto" w:fill="FBE4D5" w:themeFill="accent2" w:themeFillTint="33"/>
        <w:spacing w:after="0"/>
        <w:rPr>
          <w:b/>
          <w:color w:val="FF0000"/>
          <w:sz w:val="32"/>
          <w:szCs w:val="32"/>
        </w:rPr>
      </w:pPr>
      <w:r w:rsidRPr="00930237">
        <w:rPr>
          <w:b/>
        </w:rPr>
        <w:t>2.3.1.SAM “Veicināt ilgtspējīgu daudzveidu mobilitāti pilsētās”</w:t>
      </w:r>
    </w:p>
    <w:p w14:paraId="5C3665D6" w14:textId="61D0B420" w:rsidR="00AC212B" w:rsidRPr="006E3AD2" w:rsidRDefault="00AC212B" w:rsidP="007545BD">
      <w:pPr>
        <w:pStyle w:val="ListParagraph"/>
        <w:numPr>
          <w:ilvl w:val="0"/>
          <w:numId w:val="60"/>
        </w:numPr>
        <w:spacing w:after="0" w:line="240" w:lineRule="auto"/>
        <w:ind w:left="567" w:hanging="567"/>
        <w:jc w:val="both"/>
        <w:rPr>
          <w:rFonts w:ascii="Times New Roman" w:hAnsi="Times New Roman" w:cs="Times New Roman"/>
          <w:bCs/>
          <w:sz w:val="24"/>
          <w:szCs w:val="24"/>
        </w:rPr>
      </w:pPr>
      <w:r w:rsidRPr="006E3AD2">
        <w:rPr>
          <w:rFonts w:ascii="Times New Roman" w:hAnsi="Times New Roman" w:cs="Times New Roman"/>
          <w:b/>
          <w:noProof/>
          <w:sz w:val="24"/>
          <w:szCs w:val="24"/>
        </w:rPr>
        <w:t>Atbalstāmās darbības:</w:t>
      </w:r>
      <w:r w:rsidR="006E3AD2" w:rsidRPr="006E3AD2">
        <w:rPr>
          <w:rFonts w:ascii="Times New Roman" w:hAnsi="Times New Roman" w:cs="Times New Roman"/>
          <w:b/>
          <w:noProof/>
          <w:sz w:val="24"/>
          <w:szCs w:val="24"/>
        </w:rPr>
        <w:t xml:space="preserve"> </w:t>
      </w:r>
      <w:r w:rsidRPr="006E3AD2">
        <w:rPr>
          <w:rFonts w:ascii="Times New Roman" w:hAnsi="Times New Roman" w:cs="Times New Roman"/>
          <w:sz w:val="24"/>
          <w:szCs w:val="24"/>
        </w:rPr>
        <w:t>Viedo tehnoloģiju ieviešana satiksmes plūsmas regulēšanai vides jautājumu risināšanai.</w:t>
      </w:r>
      <w:r w:rsidR="006E3AD2" w:rsidRPr="006E3AD2">
        <w:rPr>
          <w:rFonts w:ascii="Times New Roman" w:hAnsi="Times New Roman" w:cs="Times New Roman"/>
          <w:sz w:val="24"/>
          <w:szCs w:val="24"/>
        </w:rPr>
        <w:t xml:space="preserve"> </w:t>
      </w:r>
      <w:r w:rsidRPr="006E3AD2">
        <w:rPr>
          <w:rFonts w:ascii="Times New Roman" w:hAnsi="Times New Roman" w:cs="Times New Roman"/>
          <w:sz w:val="24"/>
          <w:szCs w:val="24"/>
        </w:rPr>
        <w:t>Multimodāla sabiedriskā transporta tīkla attīstība,</w:t>
      </w:r>
      <w:r w:rsidRPr="006E3AD2">
        <w:rPr>
          <w:rFonts w:ascii="Times New Roman" w:hAnsi="Times New Roman" w:cs="Times New Roman"/>
          <w:bCs/>
          <w:sz w:val="24"/>
          <w:szCs w:val="24"/>
        </w:rPr>
        <w:t xml:space="preserve"> izveidojot multimodālos mobilitātes punktus, “Park &amp; ride” infrastruktūras attīstība</w:t>
      </w:r>
      <w:r w:rsidR="00AA4FFA">
        <w:rPr>
          <w:rFonts w:ascii="Times New Roman" w:hAnsi="Times New Roman" w:cs="Times New Roman"/>
          <w:bCs/>
          <w:sz w:val="24"/>
          <w:szCs w:val="24"/>
        </w:rPr>
        <w:t xml:space="preserve">. </w:t>
      </w:r>
      <w:r w:rsidR="00C0498A" w:rsidRPr="006E3AD2">
        <w:rPr>
          <w:rFonts w:ascii="Times New Roman" w:hAnsi="Times New Roman" w:cs="Times New Roman"/>
          <w:bCs/>
          <w:sz w:val="24"/>
          <w:szCs w:val="24"/>
        </w:rPr>
        <w:t xml:space="preserve">Veloceļu izbūve </w:t>
      </w:r>
      <w:r w:rsidR="002D5FE2" w:rsidRPr="006E3AD2">
        <w:rPr>
          <w:rFonts w:ascii="Times New Roman" w:hAnsi="Times New Roman" w:cs="Times New Roman"/>
          <w:bCs/>
          <w:sz w:val="24"/>
          <w:szCs w:val="24"/>
        </w:rPr>
        <w:t xml:space="preserve">gar autoceļiem un </w:t>
      </w:r>
      <w:r w:rsidR="00C0498A" w:rsidRPr="006E3AD2">
        <w:rPr>
          <w:rFonts w:ascii="Times New Roman" w:hAnsi="Times New Roman" w:cs="Times New Roman"/>
          <w:bCs/>
          <w:sz w:val="24"/>
          <w:szCs w:val="24"/>
        </w:rPr>
        <w:t>pašvaldību teritorijās atbilstoši spēkā esošajiem pašvaldību teritorijas attīstības plānošanas dokumentiem</w:t>
      </w:r>
      <w:r w:rsidRPr="006E3AD2">
        <w:rPr>
          <w:rFonts w:ascii="Times New Roman" w:hAnsi="Times New Roman" w:cs="Times New Roman"/>
          <w:bCs/>
          <w:sz w:val="24"/>
          <w:szCs w:val="24"/>
        </w:rPr>
        <w:t>.</w:t>
      </w:r>
    </w:p>
    <w:p w14:paraId="5E34F44C" w14:textId="2085C161"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noProof/>
          <w:sz w:val="24"/>
          <w:szCs w:val="24"/>
        </w:rPr>
        <w:t xml:space="preserve">Galvenās mērķgrupas: </w:t>
      </w:r>
      <w:r w:rsidRPr="00930237">
        <w:rPr>
          <w:rFonts w:ascii="Times New Roman" w:hAnsi="Times New Roman" w:cs="Times New Roman"/>
          <w:sz w:val="24"/>
          <w:szCs w:val="24"/>
        </w:rPr>
        <w:t>transporta infrastruktūras un sabiedriskā transporta, kurā veiktas ES fondu līdzekļu investīcijas, lietotāji</w:t>
      </w:r>
      <w:r w:rsidR="00256266">
        <w:rPr>
          <w:rFonts w:ascii="Times New Roman" w:hAnsi="Times New Roman" w:cs="Times New Roman"/>
          <w:sz w:val="24"/>
          <w:szCs w:val="24"/>
        </w:rPr>
        <w:t xml:space="preserve">, </w:t>
      </w:r>
      <w:r w:rsidR="004A58D0">
        <w:rPr>
          <w:rFonts w:ascii="Times New Roman" w:hAnsi="Times New Roman" w:cs="Times New Roman"/>
          <w:sz w:val="24"/>
          <w:szCs w:val="24"/>
        </w:rPr>
        <w:t xml:space="preserve">plānošanas reģioni, </w:t>
      </w:r>
      <w:r w:rsidR="00256266">
        <w:rPr>
          <w:rFonts w:ascii="Times New Roman" w:hAnsi="Times New Roman" w:cs="Times New Roman"/>
          <w:sz w:val="24"/>
          <w:szCs w:val="24"/>
        </w:rPr>
        <w:t>pašvaldības</w:t>
      </w:r>
      <w:r w:rsidRPr="00930237">
        <w:rPr>
          <w:rFonts w:ascii="Times New Roman" w:hAnsi="Times New Roman" w:cs="Times New Roman"/>
          <w:sz w:val="24"/>
          <w:szCs w:val="24"/>
        </w:rPr>
        <w:t>.</w:t>
      </w:r>
    </w:p>
    <w:p w14:paraId="308CEDBD" w14:textId="62FE7438"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Darbības, kas nodrošina vienlīdzību, iekļaušanu un nediskrimināciju:</w:t>
      </w:r>
      <w:r w:rsidRPr="00930237">
        <w:rPr>
          <w:rFonts w:ascii="Times New Roman" w:hAnsi="Times New Roman" w:cs="Times New Roman"/>
          <w:sz w:val="24"/>
          <w:szCs w:val="24"/>
        </w:rPr>
        <w:t xml:space="preserve"> </w:t>
      </w:r>
      <w:r w:rsidRPr="00930237">
        <w:rPr>
          <w:rFonts w:ascii="Times New Roman" w:hAnsi="Times New Roman" w:cs="Times New Roman"/>
          <w:sz w:val="24"/>
          <w:szCs w:val="24"/>
          <w:lang w:bidi="lv-LV"/>
        </w:rPr>
        <w:t>Modernizējot transporta infrastruktūru un ritošo sastāvu, tiks īstenotas būvniecības normatīvajos aktos noteiktās vides un informācijas pieejamības nodrošināšanas darbības personām ar redzes, dzirdes, kustību un garīga rakstura traucējumiem.</w:t>
      </w:r>
      <w:r w:rsidR="00601AA2" w:rsidRPr="00601AA2">
        <w:t xml:space="preserve"> </w:t>
      </w:r>
      <w:r w:rsidR="00601AA2" w:rsidRPr="00601AA2">
        <w:rPr>
          <w:rFonts w:ascii="Times New Roman" w:hAnsi="Times New Roman" w:cs="Times New Roman"/>
          <w:sz w:val="24"/>
          <w:szCs w:val="24"/>
          <w:lang w:bidi="lv-LV"/>
        </w:rPr>
        <w:t>Attīstot transporta infrastruktūru, tiks nodrošināta tās piekļūstamība, tostarp pašapkalpošanās termināļiem (maksājumu termināļi, biļešu automāti, reģistrācijas automāti u.c.); izmantojot tīmekļvietnes un uz mobilajām ierīcēm balstītus pakalpojumus, tostarp mobilās lietotnes, tādējādi sekmējot pilnvērtīgu un efektīvu līdzdalību, uzlabojot piekļuvi transporta infrastruktūrai un pakalpojumiem, kas, pateicoties to sākotnējam dizainam vai vēlākiem pielāgojumiem, atbilst personu ar invaliditāti īpašajām vajadzībām</w:t>
      </w:r>
      <w:r w:rsidR="00601AA2">
        <w:rPr>
          <w:rFonts w:ascii="Times New Roman" w:hAnsi="Times New Roman" w:cs="Times New Roman"/>
          <w:sz w:val="24"/>
          <w:szCs w:val="24"/>
          <w:lang w:bidi="lv-LV"/>
        </w:rPr>
        <w:t>.</w:t>
      </w:r>
    </w:p>
    <w:p w14:paraId="2989353E" w14:textId="2CBA0B01" w:rsidR="00AC212B" w:rsidRPr="00EE7B4B"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Mērķteritorijas, t.sk. plānotais teritoriālo rīku izmantojums</w:t>
      </w:r>
      <w:r w:rsidRPr="00930237">
        <w:rPr>
          <w:rFonts w:ascii="Times New Roman" w:hAnsi="Times New Roman" w:cs="Times New Roman"/>
          <w:sz w:val="24"/>
          <w:szCs w:val="24"/>
        </w:rPr>
        <w:t xml:space="preserve">: Visa Latvija. </w:t>
      </w:r>
      <w:r w:rsidRPr="000D1D33">
        <w:rPr>
          <w:rFonts w:ascii="Times New Roman" w:hAnsi="Times New Roman" w:cs="Times New Roman"/>
          <w:sz w:val="24"/>
          <w:szCs w:val="24"/>
        </w:rPr>
        <w:t>Plānots skatīt kontekstā ar teritori</w:t>
      </w:r>
      <w:r w:rsidR="004A58D0">
        <w:rPr>
          <w:rFonts w:ascii="Times New Roman" w:hAnsi="Times New Roman" w:cs="Times New Roman"/>
          <w:sz w:val="24"/>
          <w:szCs w:val="24"/>
        </w:rPr>
        <w:t>ju</w:t>
      </w:r>
      <w:r w:rsidRPr="000D1D33">
        <w:rPr>
          <w:rFonts w:ascii="Times New Roman" w:hAnsi="Times New Roman" w:cs="Times New Roman"/>
          <w:sz w:val="24"/>
          <w:szCs w:val="24"/>
        </w:rPr>
        <w:t xml:space="preserve"> attīstības </w:t>
      </w:r>
      <w:r w:rsidR="004A58D0">
        <w:rPr>
          <w:rFonts w:ascii="Times New Roman" w:hAnsi="Times New Roman" w:cs="Times New Roman"/>
          <w:sz w:val="24"/>
          <w:szCs w:val="24"/>
        </w:rPr>
        <w:t>plānošanas dokumentiem</w:t>
      </w:r>
      <w:r w:rsidRPr="000D1D33">
        <w:rPr>
          <w:rFonts w:ascii="Times New Roman" w:hAnsi="Times New Roman" w:cs="Times New Roman"/>
          <w:sz w:val="24"/>
          <w:szCs w:val="24"/>
        </w:rPr>
        <w:t>, piemērojot 5.1.1.SAM teritoriālo pieeju</w:t>
      </w:r>
      <w:r w:rsidR="00972A68" w:rsidRPr="000D1D33">
        <w:rPr>
          <w:rFonts w:ascii="Times New Roman" w:hAnsi="Times New Roman" w:cs="Times New Roman"/>
          <w:sz w:val="24"/>
          <w:szCs w:val="24"/>
        </w:rPr>
        <w:t>, taču</w:t>
      </w:r>
      <w:r w:rsidR="009E5B97">
        <w:rPr>
          <w:rFonts w:ascii="Times New Roman" w:hAnsi="Times New Roman" w:cs="Times New Roman"/>
          <w:sz w:val="24"/>
          <w:szCs w:val="24"/>
        </w:rPr>
        <w:t>,</w:t>
      </w:r>
      <w:r w:rsidR="00972A68" w:rsidRPr="000D1D33">
        <w:rPr>
          <w:rFonts w:ascii="Times New Roman" w:hAnsi="Times New Roman" w:cs="Times New Roman"/>
          <w:sz w:val="24"/>
          <w:szCs w:val="24"/>
        </w:rPr>
        <w:t xml:space="preserve"> </w:t>
      </w:r>
      <w:r w:rsidR="00EE7B4B" w:rsidRPr="000D1D33">
        <w:rPr>
          <w:rFonts w:ascii="Times New Roman" w:hAnsi="Times New Roman" w:cs="Times New Roman"/>
          <w:sz w:val="24"/>
          <w:szCs w:val="24"/>
          <w:lang w:bidi="lv-LV"/>
        </w:rPr>
        <w:t xml:space="preserve">plānojot finansējuma sadalījumu, </w:t>
      </w:r>
      <w:r w:rsidR="00972A68" w:rsidRPr="000D1D33">
        <w:rPr>
          <w:rFonts w:ascii="Times New Roman" w:hAnsi="Times New Roman" w:cs="Times New Roman"/>
          <w:sz w:val="24"/>
          <w:szCs w:val="24"/>
          <w:lang w:bidi="lv-LV"/>
        </w:rPr>
        <w:t xml:space="preserve">netiks piemērots </w:t>
      </w:r>
      <w:r w:rsidR="00EC509A" w:rsidRPr="000D1D33">
        <w:rPr>
          <w:rFonts w:ascii="Times New Roman" w:hAnsi="Times New Roman" w:cs="Times New Roman"/>
          <w:sz w:val="24"/>
          <w:szCs w:val="24"/>
          <w:lang w:bidi="lv-LV"/>
        </w:rPr>
        <w:t xml:space="preserve">plānoto teritoriālo rīku izmantojuma </w:t>
      </w:r>
      <w:r w:rsidR="00972A68" w:rsidRPr="000D1D33">
        <w:rPr>
          <w:rFonts w:ascii="Times New Roman" w:hAnsi="Times New Roman" w:cs="Times New Roman"/>
          <w:sz w:val="24"/>
          <w:szCs w:val="24"/>
          <w:lang w:bidi="lv-LV"/>
        </w:rPr>
        <w:t>aprakstā minētais apgrieztais IKP</w:t>
      </w:r>
      <w:r w:rsidRPr="000D1D33">
        <w:rPr>
          <w:rFonts w:ascii="Times New Roman" w:hAnsi="Times New Roman" w:cs="Times New Roman"/>
          <w:sz w:val="24"/>
          <w:szCs w:val="24"/>
        </w:rPr>
        <w:t>.</w:t>
      </w:r>
      <w:r w:rsidR="00972A68" w:rsidRPr="00EE7B4B">
        <w:rPr>
          <w:rFonts w:ascii="Times New Roman" w:hAnsi="Times New Roman" w:cs="Times New Roman"/>
          <w:sz w:val="24"/>
          <w:szCs w:val="24"/>
        </w:rPr>
        <w:t xml:space="preserve"> </w:t>
      </w:r>
    </w:p>
    <w:p w14:paraId="0FCC4D3D" w14:textId="77777777"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Starpreģionālās, pārrobežu un transnacionālās darbības:</w:t>
      </w:r>
      <w:r w:rsidRPr="00930237">
        <w:rPr>
          <w:rFonts w:ascii="Times New Roman" w:hAnsi="Times New Roman" w:cs="Times New Roman"/>
          <w:sz w:val="24"/>
          <w:szCs w:val="24"/>
        </w:rPr>
        <w:t xml:space="preserve"> N/A</w:t>
      </w:r>
    </w:p>
    <w:p w14:paraId="2BBBDC1A" w14:textId="77777777" w:rsidR="00AC212B" w:rsidRPr="00930237" w:rsidRDefault="0002461B" w:rsidP="007545BD">
      <w:pPr>
        <w:pStyle w:val="ListParagraph"/>
        <w:numPr>
          <w:ilvl w:val="0"/>
          <w:numId w:val="60"/>
        </w:numPr>
        <w:spacing w:after="0" w:line="240" w:lineRule="auto"/>
        <w:ind w:left="567" w:hanging="567"/>
        <w:jc w:val="both"/>
        <w:rPr>
          <w:rFonts w:ascii="Times New Roman" w:eastAsia="Times New Roman" w:hAnsi="Times New Roman" w:cs="Times New Roman"/>
          <w:noProof/>
          <w:sz w:val="24"/>
          <w:szCs w:val="24"/>
        </w:rPr>
      </w:pPr>
      <w:r>
        <w:rPr>
          <w:rFonts w:ascii="Times New Roman" w:hAnsi="Times New Roman" w:cs="Times New Roman"/>
          <w:b/>
          <w:sz w:val="24"/>
          <w:szCs w:val="24"/>
        </w:rPr>
        <w:t>F</w:t>
      </w:r>
      <w:r w:rsidR="00AC212B" w:rsidRPr="00930237">
        <w:rPr>
          <w:rFonts w:ascii="Times New Roman" w:hAnsi="Times New Roman" w:cs="Times New Roman"/>
          <w:b/>
          <w:sz w:val="24"/>
          <w:szCs w:val="24"/>
        </w:rPr>
        <w:t>inanšu instrumenti:</w:t>
      </w:r>
      <w:r w:rsidR="00AC212B" w:rsidRPr="00930237">
        <w:rPr>
          <w:rFonts w:ascii="Times New Roman" w:hAnsi="Times New Roman" w:cs="Times New Roman"/>
          <w:sz w:val="24"/>
          <w:szCs w:val="24"/>
        </w:rPr>
        <w:t xml:space="preserve"> </w:t>
      </w:r>
      <w:r w:rsidR="00AC212B" w:rsidRPr="00930237">
        <w:rPr>
          <w:rFonts w:ascii="Times New Roman" w:eastAsia="Times New Roman" w:hAnsi="Times New Roman" w:cs="Times New Roman"/>
          <w:noProof/>
          <w:sz w:val="24"/>
          <w:szCs w:val="24"/>
        </w:rPr>
        <w:t>N/A.</w:t>
      </w:r>
    </w:p>
    <w:p w14:paraId="60F79B19" w14:textId="5F0BC0F7" w:rsidR="00B8254F" w:rsidRDefault="00B8254F">
      <w:pPr>
        <w:spacing w:before="0" w:after="0"/>
        <w:jc w:val="left"/>
        <w:rPr>
          <w:noProof/>
          <w:color w:val="FF0000"/>
          <w:szCs w:val="24"/>
        </w:rPr>
      </w:pPr>
      <w:r>
        <w:rPr>
          <w:noProof/>
          <w:color w:val="FF0000"/>
          <w:szCs w:val="24"/>
        </w:rPr>
        <w:br w:type="page"/>
      </w:r>
    </w:p>
    <w:p w14:paraId="37A2F791" w14:textId="77777777" w:rsidR="00B8254F" w:rsidRDefault="00B8254F" w:rsidP="00B8254F">
      <w:pPr>
        <w:pStyle w:val="Heading3"/>
        <w:numPr>
          <w:ilvl w:val="0"/>
          <w:numId w:val="0"/>
        </w:numPr>
        <w:spacing w:after="0"/>
        <w:rPr>
          <w:b/>
          <w:i w:val="0"/>
          <w:noProof/>
        </w:rPr>
        <w:sectPr w:rsidR="00B8254F" w:rsidSect="00B8254F">
          <w:pgSz w:w="11906" w:h="16838" w:code="9"/>
          <w:pgMar w:top="1417" w:right="1417" w:bottom="1417" w:left="1417" w:header="567" w:footer="510" w:gutter="0"/>
          <w:cols w:space="708"/>
          <w:titlePg/>
          <w:docGrid w:linePitch="360"/>
        </w:sectPr>
      </w:pPr>
    </w:p>
    <w:p w14:paraId="5501BC8D" w14:textId="0997EB43" w:rsidR="00B8254F" w:rsidRPr="00930237" w:rsidRDefault="00B471B0" w:rsidP="00B8254F">
      <w:pPr>
        <w:pStyle w:val="Heading3"/>
        <w:numPr>
          <w:ilvl w:val="0"/>
          <w:numId w:val="0"/>
        </w:numPr>
        <w:spacing w:after="0"/>
        <w:rPr>
          <w:b/>
          <w:i w:val="0"/>
          <w:noProof/>
        </w:rPr>
      </w:pPr>
      <w:bookmarkStart w:id="25" w:name="_Toc69125412"/>
      <w:r>
        <w:rPr>
          <w:b/>
          <w:i w:val="0"/>
          <w:noProof/>
        </w:rPr>
        <w:t>4.tabula</w:t>
      </w:r>
      <w:r w:rsidR="00E261E7">
        <w:rPr>
          <w:b/>
          <w:i w:val="0"/>
          <w:noProof/>
        </w:rPr>
        <w:t xml:space="preserve"> (2)</w:t>
      </w:r>
      <w:r>
        <w:rPr>
          <w:b/>
          <w:i w:val="0"/>
          <w:noProof/>
        </w:rPr>
        <w:t xml:space="preserve"> 2.Politiskā mērķa i</w:t>
      </w:r>
      <w:r w:rsidR="00B8254F" w:rsidRPr="00930237">
        <w:rPr>
          <w:b/>
          <w:i w:val="0"/>
          <w:noProof/>
        </w:rPr>
        <w:t>znākuma rādītāji</w:t>
      </w:r>
      <w:r w:rsidR="00B8254F">
        <w:rPr>
          <w:rStyle w:val="FootnoteReference"/>
          <w:b/>
          <w:i w:val="0"/>
          <w:noProof/>
        </w:rPr>
        <w:footnoteReference w:id="116"/>
      </w:r>
      <w:bookmarkEnd w:id="25"/>
    </w:p>
    <w:p w14:paraId="3EAB5779" w14:textId="77777777" w:rsidR="00B8254F" w:rsidRPr="00930237" w:rsidRDefault="00B8254F" w:rsidP="00B8254F">
      <w:pPr>
        <w:spacing w:before="0" w:after="0"/>
        <w:ind w:left="1080"/>
        <w:rPr>
          <w:rFonts w:eastAsia="Times New Roman"/>
          <w:i/>
          <w:noProof/>
          <w:sz w:val="20"/>
        </w:rPr>
      </w:pPr>
    </w:p>
    <w:tbl>
      <w:tblPr>
        <w:tblW w:w="45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1788"/>
        <w:gridCol w:w="907"/>
        <w:gridCol w:w="1251"/>
        <w:gridCol w:w="3348"/>
        <w:gridCol w:w="1380"/>
        <w:gridCol w:w="1318"/>
        <w:gridCol w:w="1632"/>
      </w:tblGrid>
      <w:tr w:rsidR="00B8254F" w:rsidRPr="00930237" w14:paraId="4FC4C4BE" w14:textId="77777777" w:rsidTr="003155B0">
        <w:trPr>
          <w:trHeight w:val="756"/>
          <w:tblHeader/>
        </w:trPr>
        <w:tc>
          <w:tcPr>
            <w:tcW w:w="476" w:type="pct"/>
            <w:shd w:val="clear" w:color="auto" w:fill="D9D9D9" w:themeFill="background1" w:themeFillShade="D9"/>
            <w:vAlign w:val="center"/>
          </w:tcPr>
          <w:p w14:paraId="4E478629" w14:textId="77777777" w:rsidR="00B8254F" w:rsidRPr="00930237" w:rsidRDefault="00B8254F" w:rsidP="003155B0">
            <w:pPr>
              <w:pStyle w:val="Text1"/>
              <w:spacing w:before="0" w:after="0"/>
              <w:ind w:left="0"/>
              <w:jc w:val="center"/>
              <w:rPr>
                <w:rFonts w:cs="Times New Roman"/>
                <w:b/>
                <w:noProof/>
                <w:sz w:val="18"/>
                <w:szCs w:val="18"/>
              </w:rPr>
            </w:pPr>
            <w:r w:rsidRPr="00930237">
              <w:rPr>
                <w:rFonts w:cs="Times New Roman"/>
                <w:b/>
                <w:noProof/>
                <w:sz w:val="18"/>
                <w:szCs w:val="18"/>
              </w:rPr>
              <w:t>Prioritāte</w:t>
            </w:r>
          </w:p>
        </w:tc>
        <w:tc>
          <w:tcPr>
            <w:tcW w:w="696" w:type="pct"/>
            <w:shd w:val="clear" w:color="auto" w:fill="D9D9D9" w:themeFill="background1" w:themeFillShade="D9"/>
            <w:vAlign w:val="center"/>
          </w:tcPr>
          <w:p w14:paraId="28F2BE7E" w14:textId="77777777" w:rsidR="00B8254F" w:rsidRPr="00930237" w:rsidRDefault="00B8254F" w:rsidP="003155B0">
            <w:pPr>
              <w:pStyle w:val="Text1"/>
              <w:spacing w:before="0" w:after="0"/>
              <w:ind w:left="0"/>
              <w:jc w:val="center"/>
              <w:rPr>
                <w:rFonts w:cs="Times New Roman"/>
                <w:b/>
                <w:noProof/>
                <w:sz w:val="18"/>
                <w:szCs w:val="18"/>
              </w:rPr>
            </w:pPr>
            <w:r w:rsidRPr="00930237">
              <w:rPr>
                <w:rFonts w:cs="Times New Roman"/>
                <w:b/>
                <w:noProof/>
                <w:sz w:val="18"/>
                <w:szCs w:val="18"/>
              </w:rPr>
              <w:t>SAM</w:t>
            </w:r>
          </w:p>
        </w:tc>
        <w:tc>
          <w:tcPr>
            <w:tcW w:w="353" w:type="pct"/>
            <w:shd w:val="clear" w:color="auto" w:fill="D9D9D9" w:themeFill="background1" w:themeFillShade="D9"/>
            <w:vAlign w:val="center"/>
          </w:tcPr>
          <w:p w14:paraId="0382BB53" w14:textId="77777777" w:rsidR="00B8254F" w:rsidRPr="00930237" w:rsidRDefault="00B8254F" w:rsidP="003155B0">
            <w:pPr>
              <w:pStyle w:val="Text1"/>
              <w:spacing w:before="0" w:after="0"/>
              <w:ind w:left="0"/>
              <w:jc w:val="center"/>
              <w:rPr>
                <w:rFonts w:cs="Times New Roman"/>
                <w:b/>
                <w:noProof/>
                <w:sz w:val="18"/>
                <w:szCs w:val="18"/>
              </w:rPr>
            </w:pPr>
            <w:r w:rsidRPr="00930237">
              <w:rPr>
                <w:rFonts w:cs="Times New Roman"/>
                <w:b/>
                <w:noProof/>
                <w:sz w:val="18"/>
                <w:szCs w:val="18"/>
              </w:rPr>
              <w:t>Fonds</w:t>
            </w:r>
          </w:p>
        </w:tc>
        <w:tc>
          <w:tcPr>
            <w:tcW w:w="487" w:type="pct"/>
            <w:shd w:val="clear" w:color="auto" w:fill="D9D9D9" w:themeFill="background1" w:themeFillShade="D9"/>
            <w:vAlign w:val="center"/>
          </w:tcPr>
          <w:p w14:paraId="49590092" w14:textId="77777777" w:rsidR="00B8254F" w:rsidRPr="00930237" w:rsidRDefault="00B8254F" w:rsidP="003155B0">
            <w:pPr>
              <w:pStyle w:val="Text1"/>
              <w:spacing w:before="0" w:after="0"/>
              <w:ind w:left="0"/>
              <w:jc w:val="center"/>
              <w:rPr>
                <w:rFonts w:cs="Times New Roman"/>
                <w:b/>
                <w:noProof/>
                <w:sz w:val="18"/>
                <w:szCs w:val="18"/>
              </w:rPr>
            </w:pPr>
            <w:r w:rsidRPr="00930237">
              <w:rPr>
                <w:rFonts w:cs="Times New Roman"/>
                <w:b/>
                <w:noProof/>
                <w:sz w:val="18"/>
                <w:szCs w:val="18"/>
              </w:rPr>
              <w:t xml:space="preserve">ID </w:t>
            </w:r>
          </w:p>
        </w:tc>
        <w:tc>
          <w:tcPr>
            <w:tcW w:w="1303" w:type="pct"/>
            <w:shd w:val="clear" w:color="auto" w:fill="D9D9D9" w:themeFill="background1" w:themeFillShade="D9"/>
            <w:vAlign w:val="center"/>
          </w:tcPr>
          <w:p w14:paraId="7677BB53" w14:textId="77777777" w:rsidR="00B8254F" w:rsidRPr="00930237" w:rsidRDefault="00B8254F" w:rsidP="003155B0">
            <w:pPr>
              <w:pStyle w:val="Text1"/>
              <w:spacing w:before="0" w:after="0"/>
              <w:ind w:left="0"/>
              <w:jc w:val="center"/>
              <w:rPr>
                <w:rFonts w:cs="Times New Roman"/>
                <w:b/>
                <w:noProof/>
                <w:sz w:val="18"/>
                <w:szCs w:val="18"/>
              </w:rPr>
            </w:pPr>
            <w:r w:rsidRPr="00930237">
              <w:rPr>
                <w:rFonts w:cs="Times New Roman"/>
                <w:b/>
                <w:noProof/>
                <w:sz w:val="18"/>
                <w:szCs w:val="18"/>
              </w:rPr>
              <w:t>Rādītājs</w:t>
            </w:r>
          </w:p>
        </w:tc>
        <w:tc>
          <w:tcPr>
            <w:tcW w:w="537" w:type="pct"/>
            <w:shd w:val="clear" w:color="auto" w:fill="D9D9D9" w:themeFill="background1" w:themeFillShade="D9"/>
            <w:vAlign w:val="center"/>
          </w:tcPr>
          <w:p w14:paraId="6A5A5AA2" w14:textId="77777777" w:rsidR="00B8254F" w:rsidRPr="00930237" w:rsidRDefault="00B8254F" w:rsidP="003155B0">
            <w:pPr>
              <w:pStyle w:val="Text1"/>
              <w:spacing w:before="0" w:after="0"/>
              <w:ind w:left="0"/>
              <w:jc w:val="center"/>
              <w:rPr>
                <w:rFonts w:cs="Times New Roman"/>
                <w:b/>
                <w:noProof/>
                <w:sz w:val="18"/>
                <w:szCs w:val="18"/>
              </w:rPr>
            </w:pPr>
            <w:r w:rsidRPr="00930237">
              <w:rPr>
                <w:rFonts w:cs="Times New Roman"/>
                <w:b/>
                <w:noProof/>
                <w:sz w:val="18"/>
                <w:szCs w:val="18"/>
              </w:rPr>
              <w:t>Mērvienība</w:t>
            </w:r>
          </w:p>
        </w:tc>
        <w:tc>
          <w:tcPr>
            <w:tcW w:w="513" w:type="pct"/>
            <w:shd w:val="clear" w:color="auto" w:fill="D9D9D9" w:themeFill="background1" w:themeFillShade="D9"/>
            <w:vAlign w:val="center"/>
          </w:tcPr>
          <w:p w14:paraId="2753DFE1" w14:textId="77777777" w:rsidR="00B8254F" w:rsidRPr="00930237" w:rsidRDefault="00B8254F" w:rsidP="003155B0">
            <w:pPr>
              <w:pStyle w:val="Text1"/>
              <w:spacing w:before="0" w:after="0"/>
              <w:ind w:left="0"/>
              <w:jc w:val="center"/>
              <w:rPr>
                <w:rFonts w:cs="Times New Roman"/>
                <w:b/>
                <w:noProof/>
                <w:sz w:val="18"/>
                <w:szCs w:val="18"/>
              </w:rPr>
            </w:pPr>
            <w:r w:rsidRPr="00930237">
              <w:rPr>
                <w:rFonts w:cs="Times New Roman"/>
                <w:b/>
                <w:noProof/>
                <w:sz w:val="18"/>
                <w:szCs w:val="18"/>
              </w:rPr>
              <w:t>Starpposma vērtība (2024)</w:t>
            </w:r>
          </w:p>
        </w:tc>
        <w:tc>
          <w:tcPr>
            <w:tcW w:w="635" w:type="pct"/>
            <w:shd w:val="clear" w:color="auto" w:fill="D9D9D9" w:themeFill="background1" w:themeFillShade="D9"/>
            <w:vAlign w:val="center"/>
          </w:tcPr>
          <w:p w14:paraId="57C08B36" w14:textId="77777777" w:rsidR="00B8254F" w:rsidRPr="00930237" w:rsidRDefault="00B8254F" w:rsidP="003155B0">
            <w:pPr>
              <w:pStyle w:val="Text1"/>
              <w:spacing w:before="0" w:after="0"/>
              <w:ind w:left="0"/>
              <w:jc w:val="center"/>
              <w:rPr>
                <w:rFonts w:cs="Times New Roman"/>
                <w:b/>
                <w:noProof/>
                <w:sz w:val="18"/>
                <w:szCs w:val="18"/>
              </w:rPr>
            </w:pPr>
            <w:r w:rsidRPr="00930237">
              <w:rPr>
                <w:rFonts w:cs="Times New Roman"/>
                <w:b/>
                <w:noProof/>
                <w:sz w:val="18"/>
                <w:szCs w:val="18"/>
              </w:rPr>
              <w:t>Plānotā vērtība</w:t>
            </w:r>
          </w:p>
          <w:p w14:paraId="10A9739B" w14:textId="77777777" w:rsidR="00B8254F" w:rsidRPr="00930237" w:rsidRDefault="00B8254F" w:rsidP="003155B0">
            <w:pPr>
              <w:pStyle w:val="Text1"/>
              <w:spacing w:before="0" w:after="0"/>
              <w:ind w:left="0"/>
              <w:jc w:val="center"/>
              <w:rPr>
                <w:rFonts w:cs="Times New Roman"/>
                <w:b/>
                <w:noProof/>
                <w:sz w:val="18"/>
                <w:szCs w:val="18"/>
              </w:rPr>
            </w:pPr>
            <w:r w:rsidRPr="00930237">
              <w:rPr>
                <w:rFonts w:cs="Times New Roman"/>
                <w:b/>
                <w:noProof/>
                <w:sz w:val="18"/>
                <w:szCs w:val="18"/>
              </w:rPr>
              <w:t>(2029)</w:t>
            </w:r>
          </w:p>
        </w:tc>
      </w:tr>
      <w:tr w:rsidR="00B8254F" w:rsidRPr="00930237" w14:paraId="6FFD4A95" w14:textId="77777777" w:rsidTr="003155B0">
        <w:trPr>
          <w:trHeight w:val="427"/>
        </w:trPr>
        <w:tc>
          <w:tcPr>
            <w:tcW w:w="476" w:type="pct"/>
          </w:tcPr>
          <w:p w14:paraId="4ABC9925"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2.2.prioritāte</w:t>
            </w:r>
          </w:p>
          <w:p w14:paraId="404BFE67" w14:textId="77777777" w:rsidR="00B8254F" w:rsidRPr="00930237" w:rsidRDefault="00B8254F" w:rsidP="003155B0">
            <w:pPr>
              <w:pStyle w:val="Text1"/>
              <w:spacing w:before="0" w:after="0"/>
              <w:ind w:left="0"/>
              <w:rPr>
                <w:rFonts w:cs="Times New Roman"/>
                <w:noProof/>
                <w:sz w:val="18"/>
                <w:szCs w:val="18"/>
              </w:rPr>
            </w:pPr>
          </w:p>
        </w:tc>
        <w:tc>
          <w:tcPr>
            <w:tcW w:w="696" w:type="pct"/>
          </w:tcPr>
          <w:p w14:paraId="3E6B86B7" w14:textId="77777777" w:rsidR="00B8254F" w:rsidRPr="00930237" w:rsidRDefault="00B8254F" w:rsidP="003155B0">
            <w:pPr>
              <w:pStyle w:val="Text1"/>
              <w:spacing w:before="0" w:after="0"/>
              <w:ind w:left="0"/>
              <w:rPr>
                <w:rFonts w:cs="Times New Roman"/>
                <w:noProof/>
                <w:sz w:val="18"/>
                <w:szCs w:val="18"/>
              </w:rPr>
            </w:pPr>
            <w:r>
              <w:rPr>
                <w:rFonts w:cs="Times New Roman"/>
                <w:noProof/>
                <w:sz w:val="18"/>
                <w:szCs w:val="18"/>
              </w:rPr>
              <w:t>2.2.1.SAM</w:t>
            </w:r>
          </w:p>
        </w:tc>
        <w:tc>
          <w:tcPr>
            <w:tcW w:w="353" w:type="pct"/>
          </w:tcPr>
          <w:p w14:paraId="3E1BF764" w14:textId="77777777" w:rsidR="00B8254F" w:rsidRPr="00930237" w:rsidRDefault="00B8254F" w:rsidP="003155B0">
            <w:pPr>
              <w:pStyle w:val="Text1"/>
              <w:spacing w:before="0" w:after="0"/>
              <w:ind w:left="0"/>
              <w:rPr>
                <w:rFonts w:cs="Times New Roman"/>
                <w:noProof/>
                <w:sz w:val="18"/>
                <w:szCs w:val="18"/>
              </w:rPr>
            </w:pPr>
            <w:r>
              <w:rPr>
                <w:rFonts w:cs="Times New Roman"/>
                <w:noProof/>
                <w:sz w:val="18"/>
                <w:szCs w:val="18"/>
              </w:rPr>
              <w:t>ERAF</w:t>
            </w:r>
          </w:p>
        </w:tc>
        <w:tc>
          <w:tcPr>
            <w:tcW w:w="487" w:type="pct"/>
          </w:tcPr>
          <w:p w14:paraId="51EE9A28" w14:textId="77777777" w:rsidR="00B8254F" w:rsidRPr="00930237" w:rsidRDefault="00B8254F" w:rsidP="003155B0">
            <w:pPr>
              <w:pStyle w:val="Text1"/>
              <w:spacing w:before="0" w:after="0"/>
              <w:ind w:left="0"/>
              <w:rPr>
                <w:rFonts w:cs="Times New Roman"/>
                <w:sz w:val="18"/>
                <w:szCs w:val="18"/>
              </w:rPr>
            </w:pPr>
            <w:r w:rsidRPr="00A74C0C">
              <w:rPr>
                <w:rFonts w:cs="Times New Roman"/>
                <w:sz w:val="18"/>
                <w:szCs w:val="18"/>
              </w:rPr>
              <w:t>RCO 01</w:t>
            </w:r>
          </w:p>
        </w:tc>
        <w:tc>
          <w:tcPr>
            <w:tcW w:w="1303" w:type="pct"/>
            <w:shd w:val="clear" w:color="auto" w:fill="auto"/>
          </w:tcPr>
          <w:p w14:paraId="499CE0C6" w14:textId="77777777" w:rsidR="00B8254F" w:rsidRPr="00930237" w:rsidRDefault="00B8254F" w:rsidP="003155B0">
            <w:pPr>
              <w:pStyle w:val="Default"/>
              <w:spacing w:after="0" w:line="240" w:lineRule="auto"/>
              <w:jc w:val="both"/>
              <w:rPr>
                <w:color w:val="auto"/>
                <w:sz w:val="18"/>
                <w:szCs w:val="18"/>
              </w:rPr>
            </w:pPr>
            <w:r w:rsidRPr="00276AC5">
              <w:rPr>
                <w:color w:val="auto"/>
                <w:sz w:val="18"/>
                <w:szCs w:val="18"/>
              </w:rPr>
              <w:t>Uzņēmumu skaits, kuri saņem atbalstu (tostarp: mikro, mazie, vidējie, lielie)</w:t>
            </w:r>
          </w:p>
        </w:tc>
        <w:tc>
          <w:tcPr>
            <w:tcW w:w="537" w:type="pct"/>
          </w:tcPr>
          <w:p w14:paraId="2267E984" w14:textId="77777777" w:rsidR="00B8254F" w:rsidRPr="00930237" w:rsidRDefault="00B8254F" w:rsidP="003155B0">
            <w:pPr>
              <w:pStyle w:val="Text1"/>
              <w:spacing w:before="0" w:after="0"/>
              <w:ind w:left="0"/>
              <w:rPr>
                <w:rFonts w:cs="Times New Roman"/>
                <w:noProof/>
                <w:sz w:val="18"/>
                <w:szCs w:val="18"/>
              </w:rPr>
            </w:pPr>
            <w:r w:rsidRPr="001C2599">
              <w:rPr>
                <w:rFonts w:cs="Times New Roman"/>
                <w:noProof/>
                <w:sz w:val="18"/>
                <w:szCs w:val="18"/>
              </w:rPr>
              <w:t>Komersantu skaits</w:t>
            </w:r>
          </w:p>
        </w:tc>
        <w:tc>
          <w:tcPr>
            <w:tcW w:w="513" w:type="pct"/>
            <w:shd w:val="clear" w:color="auto" w:fill="auto"/>
          </w:tcPr>
          <w:p w14:paraId="077641C7" w14:textId="77777777" w:rsidR="00B8254F" w:rsidRPr="00464C07" w:rsidRDefault="00B8254F" w:rsidP="003155B0">
            <w:pPr>
              <w:pStyle w:val="Text1"/>
              <w:spacing w:before="0" w:after="0"/>
              <w:ind w:left="0"/>
              <w:jc w:val="left"/>
              <w:rPr>
                <w:rFonts w:cs="Times New Roman"/>
                <w:noProof/>
                <w:sz w:val="18"/>
                <w:szCs w:val="18"/>
              </w:rPr>
            </w:pPr>
            <w:r w:rsidRPr="00464C07">
              <w:rPr>
                <w:rFonts w:cs="Times New Roman"/>
                <w:noProof/>
                <w:sz w:val="18"/>
                <w:szCs w:val="18"/>
              </w:rPr>
              <w:t>0</w:t>
            </w:r>
          </w:p>
        </w:tc>
        <w:tc>
          <w:tcPr>
            <w:tcW w:w="635" w:type="pct"/>
            <w:shd w:val="clear" w:color="auto" w:fill="auto"/>
          </w:tcPr>
          <w:p w14:paraId="5EC61415" w14:textId="77777777" w:rsidR="00B8254F" w:rsidRPr="00464C07" w:rsidRDefault="00B8254F" w:rsidP="003155B0">
            <w:pPr>
              <w:pStyle w:val="Text1"/>
              <w:spacing w:before="0" w:after="0"/>
              <w:ind w:left="0"/>
              <w:jc w:val="left"/>
              <w:rPr>
                <w:rFonts w:cs="Times New Roman"/>
                <w:noProof/>
                <w:sz w:val="18"/>
                <w:szCs w:val="18"/>
              </w:rPr>
            </w:pPr>
            <w:r w:rsidRPr="00464C07">
              <w:rPr>
                <w:rFonts w:cs="Times New Roman"/>
                <w:noProof/>
                <w:sz w:val="18"/>
                <w:szCs w:val="18"/>
              </w:rPr>
              <w:t>16</w:t>
            </w:r>
          </w:p>
        </w:tc>
      </w:tr>
      <w:tr w:rsidR="00B8254F" w:rsidRPr="00930237" w14:paraId="2E39CC70" w14:textId="77777777" w:rsidTr="003155B0">
        <w:trPr>
          <w:trHeight w:val="427"/>
        </w:trPr>
        <w:tc>
          <w:tcPr>
            <w:tcW w:w="476" w:type="pct"/>
          </w:tcPr>
          <w:p w14:paraId="632337FA"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2.2.prioritāte</w:t>
            </w:r>
          </w:p>
          <w:p w14:paraId="592769C7" w14:textId="77777777" w:rsidR="00B8254F" w:rsidRPr="00930237" w:rsidRDefault="00B8254F" w:rsidP="003155B0">
            <w:pPr>
              <w:pStyle w:val="Text1"/>
              <w:spacing w:before="0" w:after="0"/>
              <w:ind w:left="0"/>
              <w:rPr>
                <w:rFonts w:cs="Times New Roman"/>
                <w:noProof/>
                <w:sz w:val="18"/>
                <w:szCs w:val="18"/>
              </w:rPr>
            </w:pPr>
          </w:p>
        </w:tc>
        <w:tc>
          <w:tcPr>
            <w:tcW w:w="696" w:type="pct"/>
          </w:tcPr>
          <w:p w14:paraId="5811F014" w14:textId="77777777" w:rsidR="00B8254F" w:rsidRPr="00930237" w:rsidRDefault="00B8254F" w:rsidP="003155B0">
            <w:pPr>
              <w:pStyle w:val="Text1"/>
              <w:spacing w:before="0" w:after="0"/>
              <w:ind w:left="0"/>
              <w:rPr>
                <w:rFonts w:cs="Times New Roman"/>
                <w:noProof/>
                <w:sz w:val="18"/>
                <w:szCs w:val="18"/>
              </w:rPr>
            </w:pPr>
            <w:r>
              <w:rPr>
                <w:rFonts w:cs="Times New Roman"/>
                <w:noProof/>
                <w:sz w:val="18"/>
                <w:szCs w:val="18"/>
              </w:rPr>
              <w:t>2.2.2.SAM</w:t>
            </w:r>
          </w:p>
        </w:tc>
        <w:tc>
          <w:tcPr>
            <w:tcW w:w="353" w:type="pct"/>
          </w:tcPr>
          <w:p w14:paraId="4334019D" w14:textId="77777777" w:rsidR="00B8254F" w:rsidRPr="00930237" w:rsidRDefault="00B8254F" w:rsidP="003155B0">
            <w:pPr>
              <w:pStyle w:val="Text1"/>
              <w:spacing w:before="0" w:after="0"/>
              <w:ind w:left="0"/>
              <w:rPr>
                <w:rFonts w:cs="Times New Roman"/>
                <w:noProof/>
                <w:sz w:val="18"/>
                <w:szCs w:val="18"/>
              </w:rPr>
            </w:pPr>
            <w:r>
              <w:rPr>
                <w:rFonts w:cs="Times New Roman"/>
                <w:noProof/>
                <w:sz w:val="18"/>
                <w:szCs w:val="18"/>
              </w:rPr>
              <w:t>KF</w:t>
            </w:r>
          </w:p>
        </w:tc>
        <w:tc>
          <w:tcPr>
            <w:tcW w:w="487" w:type="pct"/>
          </w:tcPr>
          <w:p w14:paraId="3D2EAF6A" w14:textId="77777777" w:rsidR="00B8254F" w:rsidRPr="00930237" w:rsidRDefault="00B8254F" w:rsidP="003155B0">
            <w:pPr>
              <w:pStyle w:val="Text1"/>
              <w:spacing w:before="0" w:after="0"/>
              <w:ind w:left="0"/>
              <w:rPr>
                <w:rFonts w:cs="Times New Roman"/>
                <w:sz w:val="18"/>
                <w:szCs w:val="18"/>
              </w:rPr>
            </w:pPr>
            <w:r w:rsidRPr="00A74C0C">
              <w:rPr>
                <w:rFonts w:cs="Times New Roman"/>
                <w:sz w:val="18"/>
                <w:szCs w:val="18"/>
              </w:rPr>
              <w:t>RCO 01</w:t>
            </w:r>
          </w:p>
        </w:tc>
        <w:tc>
          <w:tcPr>
            <w:tcW w:w="1303" w:type="pct"/>
            <w:shd w:val="clear" w:color="auto" w:fill="auto"/>
          </w:tcPr>
          <w:p w14:paraId="430C4502" w14:textId="77777777" w:rsidR="00B8254F" w:rsidRPr="00930237" w:rsidRDefault="00B8254F" w:rsidP="003155B0">
            <w:pPr>
              <w:pStyle w:val="Default"/>
              <w:spacing w:after="0" w:line="240" w:lineRule="auto"/>
              <w:jc w:val="both"/>
              <w:rPr>
                <w:color w:val="auto"/>
                <w:sz w:val="18"/>
                <w:szCs w:val="18"/>
              </w:rPr>
            </w:pPr>
            <w:r w:rsidRPr="00276AC5">
              <w:rPr>
                <w:color w:val="auto"/>
                <w:sz w:val="18"/>
                <w:szCs w:val="18"/>
              </w:rPr>
              <w:t>Uzņēmumu skaits, kuri saņem atbalstu (tostarp: mikro, mazie, vidējie, lielie)</w:t>
            </w:r>
          </w:p>
        </w:tc>
        <w:tc>
          <w:tcPr>
            <w:tcW w:w="537" w:type="pct"/>
          </w:tcPr>
          <w:p w14:paraId="48C02CDA" w14:textId="77777777" w:rsidR="00B8254F" w:rsidRPr="00930237" w:rsidRDefault="00B8254F" w:rsidP="003155B0">
            <w:pPr>
              <w:pStyle w:val="Text1"/>
              <w:spacing w:before="0" w:after="0"/>
              <w:ind w:left="0"/>
              <w:rPr>
                <w:rFonts w:cs="Times New Roman"/>
                <w:noProof/>
                <w:sz w:val="18"/>
                <w:szCs w:val="18"/>
              </w:rPr>
            </w:pPr>
            <w:r w:rsidRPr="001C2599">
              <w:rPr>
                <w:rFonts w:cs="Times New Roman"/>
                <w:noProof/>
                <w:sz w:val="18"/>
                <w:szCs w:val="18"/>
              </w:rPr>
              <w:t>Komersantu skaits</w:t>
            </w:r>
          </w:p>
        </w:tc>
        <w:tc>
          <w:tcPr>
            <w:tcW w:w="513" w:type="pct"/>
            <w:shd w:val="clear" w:color="auto" w:fill="auto"/>
          </w:tcPr>
          <w:p w14:paraId="0F8579D8" w14:textId="77777777" w:rsidR="00B8254F" w:rsidRPr="00464C07" w:rsidRDefault="00B8254F" w:rsidP="003155B0">
            <w:pPr>
              <w:pStyle w:val="Text1"/>
              <w:spacing w:before="0" w:after="0"/>
              <w:ind w:left="0"/>
              <w:jc w:val="left"/>
              <w:rPr>
                <w:rFonts w:cs="Times New Roman"/>
                <w:noProof/>
                <w:sz w:val="18"/>
                <w:szCs w:val="18"/>
              </w:rPr>
            </w:pPr>
            <w:r w:rsidRPr="00464C07">
              <w:rPr>
                <w:rFonts w:cs="Times New Roman"/>
                <w:noProof/>
                <w:sz w:val="18"/>
                <w:szCs w:val="18"/>
              </w:rPr>
              <w:t>3</w:t>
            </w:r>
          </w:p>
        </w:tc>
        <w:tc>
          <w:tcPr>
            <w:tcW w:w="635" w:type="pct"/>
            <w:shd w:val="clear" w:color="auto" w:fill="auto"/>
          </w:tcPr>
          <w:p w14:paraId="0EA0145C" w14:textId="77777777" w:rsidR="00B8254F" w:rsidRPr="00464C07" w:rsidRDefault="00B8254F" w:rsidP="003155B0">
            <w:pPr>
              <w:pStyle w:val="Text1"/>
              <w:spacing w:before="0" w:after="0"/>
              <w:ind w:left="0"/>
              <w:jc w:val="left"/>
              <w:rPr>
                <w:rFonts w:cs="Times New Roman"/>
                <w:noProof/>
                <w:sz w:val="18"/>
                <w:szCs w:val="18"/>
              </w:rPr>
            </w:pPr>
            <w:r w:rsidRPr="00464C07">
              <w:rPr>
                <w:rFonts w:cs="Times New Roman"/>
                <w:noProof/>
                <w:sz w:val="18"/>
                <w:szCs w:val="18"/>
              </w:rPr>
              <w:t>25</w:t>
            </w:r>
          </w:p>
        </w:tc>
      </w:tr>
      <w:tr w:rsidR="00B8254F" w:rsidRPr="00930237" w14:paraId="4489D680" w14:textId="77777777" w:rsidTr="003155B0">
        <w:trPr>
          <w:trHeight w:val="332"/>
        </w:trPr>
        <w:tc>
          <w:tcPr>
            <w:tcW w:w="476" w:type="pct"/>
          </w:tcPr>
          <w:p w14:paraId="7A64B54F"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2.1.prioritāte</w:t>
            </w:r>
          </w:p>
        </w:tc>
        <w:tc>
          <w:tcPr>
            <w:tcW w:w="696" w:type="pct"/>
          </w:tcPr>
          <w:p w14:paraId="048C82A0"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2.1.1.SAM</w:t>
            </w:r>
          </w:p>
        </w:tc>
        <w:tc>
          <w:tcPr>
            <w:tcW w:w="353" w:type="pct"/>
          </w:tcPr>
          <w:p w14:paraId="1D7BEF65"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ERAF</w:t>
            </w:r>
          </w:p>
        </w:tc>
        <w:tc>
          <w:tcPr>
            <w:tcW w:w="487" w:type="pct"/>
          </w:tcPr>
          <w:p w14:paraId="369BC32B" w14:textId="77777777" w:rsidR="00B8254F" w:rsidRPr="00930237" w:rsidRDefault="00B8254F" w:rsidP="003155B0">
            <w:pPr>
              <w:pStyle w:val="Text1"/>
              <w:spacing w:before="0" w:after="0"/>
              <w:ind w:left="0"/>
              <w:rPr>
                <w:rFonts w:cs="Times New Roman"/>
                <w:sz w:val="18"/>
                <w:szCs w:val="18"/>
              </w:rPr>
            </w:pPr>
            <w:r w:rsidRPr="00930237">
              <w:rPr>
                <w:rFonts w:cs="Times New Roman"/>
                <w:sz w:val="18"/>
                <w:szCs w:val="18"/>
              </w:rPr>
              <w:t>RCO 18</w:t>
            </w:r>
          </w:p>
        </w:tc>
        <w:tc>
          <w:tcPr>
            <w:tcW w:w="1303" w:type="pct"/>
            <w:shd w:val="clear" w:color="auto" w:fill="auto"/>
          </w:tcPr>
          <w:p w14:paraId="109B1B6C" w14:textId="77777777" w:rsidR="00B8254F" w:rsidRPr="00930237" w:rsidRDefault="00B8254F" w:rsidP="003155B0">
            <w:pPr>
              <w:pStyle w:val="Default"/>
              <w:spacing w:after="0" w:line="240" w:lineRule="auto"/>
              <w:jc w:val="both"/>
              <w:rPr>
                <w:color w:val="auto"/>
                <w:sz w:val="18"/>
                <w:szCs w:val="18"/>
              </w:rPr>
            </w:pPr>
            <w:r w:rsidRPr="00930237">
              <w:rPr>
                <w:color w:val="auto"/>
                <w:sz w:val="18"/>
                <w:szCs w:val="18"/>
              </w:rPr>
              <w:t>Mājokļi ar uzlabotu energoefektivitāti</w:t>
            </w:r>
          </w:p>
        </w:tc>
        <w:tc>
          <w:tcPr>
            <w:tcW w:w="537" w:type="pct"/>
          </w:tcPr>
          <w:p w14:paraId="2977A6B3"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Mājokļi</w:t>
            </w:r>
          </w:p>
        </w:tc>
        <w:tc>
          <w:tcPr>
            <w:tcW w:w="513" w:type="pct"/>
            <w:shd w:val="clear" w:color="auto" w:fill="auto"/>
          </w:tcPr>
          <w:p w14:paraId="6E42D7CC" w14:textId="77777777" w:rsidR="00B8254F" w:rsidRPr="00930237" w:rsidRDefault="00B8254F" w:rsidP="003155B0">
            <w:pPr>
              <w:pStyle w:val="Text1"/>
              <w:spacing w:before="0" w:after="0"/>
              <w:ind w:left="0"/>
              <w:rPr>
                <w:rFonts w:cs="Times New Roman"/>
                <w:noProof/>
                <w:sz w:val="18"/>
                <w:szCs w:val="18"/>
              </w:rPr>
            </w:pPr>
            <w:r>
              <w:rPr>
                <w:rFonts w:cs="Times New Roman"/>
                <w:noProof/>
                <w:sz w:val="18"/>
                <w:szCs w:val="18"/>
              </w:rPr>
              <w:t xml:space="preserve">0 </w:t>
            </w:r>
          </w:p>
        </w:tc>
        <w:tc>
          <w:tcPr>
            <w:tcW w:w="635" w:type="pct"/>
            <w:shd w:val="clear" w:color="auto" w:fill="auto"/>
          </w:tcPr>
          <w:p w14:paraId="155DA4D9" w14:textId="77777777" w:rsidR="00B8254F" w:rsidRPr="00930237" w:rsidRDefault="00B8254F" w:rsidP="003155B0">
            <w:pPr>
              <w:pStyle w:val="Text1"/>
              <w:spacing w:before="0" w:after="0"/>
              <w:ind w:left="0"/>
              <w:rPr>
                <w:rFonts w:cs="Times New Roman"/>
                <w:noProof/>
                <w:sz w:val="18"/>
                <w:szCs w:val="18"/>
              </w:rPr>
            </w:pPr>
            <w:r>
              <w:rPr>
                <w:rFonts w:cs="Times New Roman"/>
                <w:noProof/>
                <w:sz w:val="18"/>
                <w:szCs w:val="18"/>
              </w:rPr>
              <w:t xml:space="preserve">21 355 </w:t>
            </w:r>
          </w:p>
        </w:tc>
      </w:tr>
      <w:tr w:rsidR="00B8254F" w:rsidRPr="00930237" w14:paraId="15608E68" w14:textId="77777777" w:rsidTr="003155B0">
        <w:trPr>
          <w:trHeight w:val="332"/>
        </w:trPr>
        <w:tc>
          <w:tcPr>
            <w:tcW w:w="476" w:type="pct"/>
          </w:tcPr>
          <w:p w14:paraId="76F6B2C8"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2.1.prioritāte</w:t>
            </w:r>
          </w:p>
        </w:tc>
        <w:tc>
          <w:tcPr>
            <w:tcW w:w="696" w:type="pct"/>
          </w:tcPr>
          <w:p w14:paraId="71358B07" w14:textId="77777777" w:rsidR="00B8254F" w:rsidRPr="00930237" w:rsidRDefault="00B8254F" w:rsidP="003155B0">
            <w:pPr>
              <w:pStyle w:val="Text1"/>
              <w:spacing w:before="0" w:after="0"/>
              <w:ind w:left="0"/>
              <w:jc w:val="left"/>
              <w:rPr>
                <w:rFonts w:eastAsia="Times New Roman" w:cs="Times New Roman"/>
                <w:sz w:val="18"/>
                <w:szCs w:val="18"/>
              </w:rPr>
            </w:pPr>
            <w:r>
              <w:rPr>
                <w:rFonts w:eastAsia="Times New Roman" w:cs="Times New Roman"/>
                <w:sz w:val="18"/>
                <w:szCs w:val="18"/>
              </w:rPr>
              <w:t>EM/</w:t>
            </w:r>
            <w:r w:rsidRPr="00930237">
              <w:rPr>
                <w:rFonts w:eastAsia="Times New Roman" w:cs="Times New Roman"/>
                <w:sz w:val="18"/>
                <w:szCs w:val="18"/>
              </w:rPr>
              <w:t xml:space="preserve"> </w:t>
            </w:r>
            <w:r>
              <w:rPr>
                <w:rFonts w:eastAsia="Times New Roman" w:cs="Times New Roman"/>
                <w:sz w:val="18"/>
                <w:szCs w:val="18"/>
              </w:rPr>
              <w:t xml:space="preserve">IZM/ </w:t>
            </w:r>
            <w:r w:rsidRPr="00930237">
              <w:rPr>
                <w:rFonts w:eastAsia="Times New Roman" w:cs="Times New Roman"/>
                <w:sz w:val="18"/>
                <w:szCs w:val="18"/>
              </w:rPr>
              <w:t>VARAM: 2.1.1.SAM</w:t>
            </w:r>
          </w:p>
          <w:p w14:paraId="2E238CCC" w14:textId="77777777" w:rsidR="00B8254F" w:rsidRPr="00930237" w:rsidRDefault="00B8254F" w:rsidP="003155B0">
            <w:pPr>
              <w:pStyle w:val="Text1"/>
              <w:spacing w:before="0" w:after="0"/>
              <w:ind w:left="0"/>
              <w:rPr>
                <w:rFonts w:cs="Times New Roman"/>
                <w:noProof/>
                <w:sz w:val="18"/>
                <w:szCs w:val="18"/>
              </w:rPr>
            </w:pPr>
          </w:p>
        </w:tc>
        <w:tc>
          <w:tcPr>
            <w:tcW w:w="353" w:type="pct"/>
          </w:tcPr>
          <w:p w14:paraId="24DD2E53"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ERAF</w:t>
            </w:r>
          </w:p>
        </w:tc>
        <w:tc>
          <w:tcPr>
            <w:tcW w:w="487" w:type="pct"/>
          </w:tcPr>
          <w:p w14:paraId="5446F32D" w14:textId="77777777" w:rsidR="00B8254F" w:rsidRPr="00930237" w:rsidRDefault="00B8254F" w:rsidP="003155B0">
            <w:pPr>
              <w:pStyle w:val="Text1"/>
              <w:spacing w:before="0" w:after="0"/>
              <w:ind w:left="0"/>
              <w:rPr>
                <w:rFonts w:cs="Times New Roman"/>
                <w:sz w:val="18"/>
                <w:szCs w:val="18"/>
              </w:rPr>
            </w:pPr>
            <w:r w:rsidRPr="00930237">
              <w:rPr>
                <w:rFonts w:cs="Times New Roman"/>
                <w:sz w:val="18"/>
                <w:szCs w:val="18"/>
              </w:rPr>
              <w:t>RCO 19</w:t>
            </w:r>
          </w:p>
        </w:tc>
        <w:tc>
          <w:tcPr>
            <w:tcW w:w="1303" w:type="pct"/>
            <w:shd w:val="clear" w:color="auto" w:fill="auto"/>
          </w:tcPr>
          <w:p w14:paraId="40EBFB0F" w14:textId="77777777" w:rsidR="00B8254F" w:rsidRPr="00930237" w:rsidRDefault="00B8254F" w:rsidP="003155B0">
            <w:pPr>
              <w:pStyle w:val="Default"/>
              <w:spacing w:after="0" w:line="240" w:lineRule="auto"/>
              <w:jc w:val="both"/>
              <w:rPr>
                <w:color w:val="auto"/>
                <w:sz w:val="18"/>
                <w:szCs w:val="18"/>
              </w:rPr>
            </w:pPr>
            <w:r w:rsidRPr="00930237">
              <w:rPr>
                <w:color w:val="auto"/>
                <w:sz w:val="18"/>
                <w:szCs w:val="18"/>
              </w:rPr>
              <w:t>Publiskās ēkas ar uzlabotu energoefektivitāti</w:t>
            </w:r>
          </w:p>
        </w:tc>
        <w:tc>
          <w:tcPr>
            <w:tcW w:w="537" w:type="pct"/>
          </w:tcPr>
          <w:p w14:paraId="380B5600"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m</w:t>
            </w:r>
            <w:r w:rsidRPr="00930237">
              <w:rPr>
                <w:rFonts w:cs="Times New Roman"/>
                <w:noProof/>
                <w:sz w:val="18"/>
                <w:szCs w:val="18"/>
                <w:vertAlign w:val="superscript"/>
              </w:rPr>
              <w:t>2</w:t>
            </w:r>
          </w:p>
        </w:tc>
        <w:tc>
          <w:tcPr>
            <w:tcW w:w="513" w:type="pct"/>
            <w:shd w:val="clear" w:color="auto" w:fill="auto"/>
          </w:tcPr>
          <w:p w14:paraId="25EF18E4"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 xml:space="preserve">EM: </w:t>
            </w:r>
            <w:r>
              <w:rPr>
                <w:rFonts w:cs="Times New Roman"/>
                <w:noProof/>
                <w:sz w:val="18"/>
                <w:szCs w:val="18"/>
              </w:rPr>
              <w:t xml:space="preserve">0 </w:t>
            </w:r>
          </w:p>
          <w:p w14:paraId="609AA2F7"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IZM: 0</w:t>
            </w:r>
          </w:p>
          <w:p w14:paraId="276ACA27"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VARAM: 0</w:t>
            </w:r>
          </w:p>
        </w:tc>
        <w:tc>
          <w:tcPr>
            <w:tcW w:w="635" w:type="pct"/>
            <w:shd w:val="clear" w:color="auto" w:fill="auto"/>
          </w:tcPr>
          <w:p w14:paraId="46DA0DA3"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EM:  </w:t>
            </w:r>
            <w:r>
              <w:rPr>
                <w:rFonts w:cs="Times New Roman"/>
                <w:noProof/>
                <w:sz w:val="18"/>
                <w:szCs w:val="18"/>
              </w:rPr>
              <w:t xml:space="preserve">519 084 </w:t>
            </w:r>
          </w:p>
          <w:p w14:paraId="364A0D64"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 xml:space="preserve">IZM: </w:t>
            </w:r>
            <w:r>
              <w:rPr>
                <w:rFonts w:cs="Times New Roman"/>
                <w:noProof/>
                <w:sz w:val="18"/>
                <w:szCs w:val="18"/>
              </w:rPr>
              <w:t>22 966</w:t>
            </w:r>
          </w:p>
          <w:p w14:paraId="51F093BD"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 xml:space="preserve">VARAM: </w:t>
            </w:r>
            <w:r>
              <w:rPr>
                <w:rFonts w:cs="Times New Roman"/>
                <w:noProof/>
                <w:sz w:val="18"/>
                <w:szCs w:val="18"/>
              </w:rPr>
              <w:t xml:space="preserve">78 844  </w:t>
            </w:r>
          </w:p>
        </w:tc>
      </w:tr>
      <w:tr w:rsidR="00B8254F" w:rsidRPr="00930237" w14:paraId="779EA5EA" w14:textId="77777777" w:rsidTr="003155B0">
        <w:trPr>
          <w:trHeight w:val="332"/>
        </w:trPr>
        <w:tc>
          <w:tcPr>
            <w:tcW w:w="476" w:type="pct"/>
            <w:shd w:val="clear" w:color="auto" w:fill="auto"/>
          </w:tcPr>
          <w:p w14:paraId="3443EFF8"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2.1.prioritāte</w:t>
            </w:r>
          </w:p>
        </w:tc>
        <w:tc>
          <w:tcPr>
            <w:tcW w:w="696" w:type="pct"/>
            <w:shd w:val="clear" w:color="auto" w:fill="auto"/>
          </w:tcPr>
          <w:p w14:paraId="2D59BBCF"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2.1.2.SAM</w:t>
            </w:r>
          </w:p>
        </w:tc>
        <w:tc>
          <w:tcPr>
            <w:tcW w:w="353" w:type="pct"/>
            <w:shd w:val="clear" w:color="auto" w:fill="auto"/>
          </w:tcPr>
          <w:p w14:paraId="6686CF4F"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ERAF</w:t>
            </w:r>
          </w:p>
        </w:tc>
        <w:tc>
          <w:tcPr>
            <w:tcW w:w="487" w:type="pct"/>
            <w:shd w:val="clear" w:color="auto" w:fill="auto"/>
          </w:tcPr>
          <w:p w14:paraId="5CCC051B" w14:textId="77777777" w:rsidR="00B8254F" w:rsidRPr="00930237" w:rsidRDefault="00B8254F" w:rsidP="003155B0">
            <w:pPr>
              <w:pStyle w:val="Text1"/>
              <w:spacing w:before="0" w:after="0"/>
              <w:ind w:left="0"/>
              <w:rPr>
                <w:rFonts w:cs="Times New Roman"/>
                <w:sz w:val="18"/>
                <w:szCs w:val="18"/>
              </w:rPr>
            </w:pPr>
            <w:r w:rsidRPr="00930237">
              <w:rPr>
                <w:rFonts w:cs="Times New Roman"/>
                <w:sz w:val="18"/>
                <w:szCs w:val="18"/>
              </w:rPr>
              <w:t>RCO 22</w:t>
            </w:r>
          </w:p>
        </w:tc>
        <w:tc>
          <w:tcPr>
            <w:tcW w:w="1303" w:type="pct"/>
            <w:shd w:val="clear" w:color="auto" w:fill="auto"/>
          </w:tcPr>
          <w:p w14:paraId="19ECBCDF" w14:textId="77777777" w:rsidR="00B8254F" w:rsidRPr="00930237" w:rsidRDefault="00B8254F" w:rsidP="003155B0">
            <w:pPr>
              <w:pStyle w:val="Default"/>
              <w:spacing w:after="0" w:line="240" w:lineRule="auto"/>
              <w:jc w:val="both"/>
              <w:rPr>
                <w:color w:val="auto"/>
                <w:sz w:val="18"/>
                <w:szCs w:val="18"/>
              </w:rPr>
            </w:pPr>
            <w:r w:rsidRPr="00930237">
              <w:rPr>
                <w:color w:val="auto"/>
                <w:sz w:val="18"/>
                <w:szCs w:val="18"/>
              </w:rPr>
              <w:t>Papildu ražošanas jauda atjaunojamai enerģijai (tai skaitā: elektrība, siltumenerģija)</w:t>
            </w:r>
          </w:p>
        </w:tc>
        <w:tc>
          <w:tcPr>
            <w:tcW w:w="537" w:type="pct"/>
            <w:shd w:val="clear" w:color="auto" w:fill="auto"/>
          </w:tcPr>
          <w:p w14:paraId="2A16653F" w14:textId="77777777" w:rsidR="00B8254F" w:rsidRPr="00930237" w:rsidRDefault="00B8254F" w:rsidP="003155B0">
            <w:pPr>
              <w:spacing w:before="0" w:after="0"/>
              <w:textAlignment w:val="center"/>
              <w:rPr>
                <w:sz w:val="18"/>
                <w:szCs w:val="18"/>
              </w:rPr>
            </w:pPr>
            <w:r w:rsidRPr="00930237">
              <w:rPr>
                <w:sz w:val="18"/>
                <w:szCs w:val="18"/>
              </w:rPr>
              <w:t>megavati</w:t>
            </w:r>
          </w:p>
          <w:p w14:paraId="3836D823" w14:textId="77777777" w:rsidR="00B8254F" w:rsidRPr="00930237" w:rsidRDefault="00B8254F" w:rsidP="003155B0">
            <w:pPr>
              <w:pStyle w:val="Text1"/>
              <w:spacing w:before="0" w:after="0"/>
              <w:ind w:left="0"/>
              <w:rPr>
                <w:rFonts w:cs="Times New Roman"/>
                <w:noProof/>
                <w:sz w:val="18"/>
                <w:szCs w:val="18"/>
              </w:rPr>
            </w:pPr>
          </w:p>
        </w:tc>
        <w:tc>
          <w:tcPr>
            <w:tcW w:w="513" w:type="pct"/>
            <w:shd w:val="clear" w:color="auto" w:fill="auto"/>
          </w:tcPr>
          <w:p w14:paraId="2B0E7DAC" w14:textId="77777777" w:rsidR="00B8254F" w:rsidRPr="00930237" w:rsidRDefault="00B8254F" w:rsidP="003155B0">
            <w:pPr>
              <w:pStyle w:val="Text1"/>
              <w:spacing w:before="0" w:after="0"/>
              <w:ind w:left="0"/>
              <w:rPr>
                <w:rFonts w:cs="Times New Roman"/>
                <w:noProof/>
                <w:sz w:val="18"/>
                <w:szCs w:val="18"/>
              </w:rPr>
            </w:pPr>
            <w:r>
              <w:rPr>
                <w:rFonts w:cs="Times New Roman"/>
                <w:noProof/>
                <w:sz w:val="18"/>
                <w:szCs w:val="18"/>
              </w:rPr>
              <w:t xml:space="preserve">0 </w:t>
            </w:r>
          </w:p>
        </w:tc>
        <w:tc>
          <w:tcPr>
            <w:tcW w:w="635" w:type="pct"/>
            <w:shd w:val="clear" w:color="auto" w:fill="auto"/>
          </w:tcPr>
          <w:p w14:paraId="65F809D9" w14:textId="77777777" w:rsidR="00B8254F" w:rsidRPr="00930237" w:rsidRDefault="00B8254F" w:rsidP="003155B0">
            <w:pPr>
              <w:pStyle w:val="Text1"/>
              <w:spacing w:before="0" w:after="0"/>
              <w:ind w:left="0"/>
              <w:rPr>
                <w:rFonts w:cs="Times New Roman"/>
                <w:noProof/>
                <w:sz w:val="18"/>
                <w:szCs w:val="18"/>
              </w:rPr>
            </w:pPr>
            <w:r>
              <w:rPr>
                <w:rFonts w:cs="Times New Roman"/>
                <w:noProof/>
                <w:sz w:val="18"/>
                <w:szCs w:val="18"/>
              </w:rPr>
              <w:t xml:space="preserve">24.52  </w:t>
            </w:r>
          </w:p>
        </w:tc>
      </w:tr>
      <w:tr w:rsidR="00B8254F" w:rsidRPr="00930237" w14:paraId="1AFBA597" w14:textId="77777777" w:rsidTr="003155B0">
        <w:trPr>
          <w:trHeight w:val="332"/>
        </w:trPr>
        <w:tc>
          <w:tcPr>
            <w:tcW w:w="476" w:type="pct"/>
            <w:shd w:val="clear" w:color="auto" w:fill="auto"/>
          </w:tcPr>
          <w:p w14:paraId="1C500B47"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2.1.prirotāte</w:t>
            </w:r>
          </w:p>
        </w:tc>
        <w:tc>
          <w:tcPr>
            <w:tcW w:w="696" w:type="pct"/>
            <w:shd w:val="clear" w:color="auto" w:fill="auto"/>
          </w:tcPr>
          <w:p w14:paraId="45CD73A4"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2.1.3.SAM</w:t>
            </w:r>
          </w:p>
        </w:tc>
        <w:tc>
          <w:tcPr>
            <w:tcW w:w="353" w:type="pct"/>
            <w:shd w:val="clear" w:color="auto" w:fill="auto"/>
          </w:tcPr>
          <w:p w14:paraId="75DA340A"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ERAF</w:t>
            </w:r>
          </w:p>
        </w:tc>
        <w:tc>
          <w:tcPr>
            <w:tcW w:w="487" w:type="pct"/>
            <w:shd w:val="clear" w:color="auto" w:fill="auto"/>
          </w:tcPr>
          <w:p w14:paraId="4F0B5F30" w14:textId="77777777" w:rsidR="00B8254F" w:rsidRPr="00930237" w:rsidRDefault="00B8254F" w:rsidP="003155B0">
            <w:pPr>
              <w:pStyle w:val="Text1"/>
              <w:spacing w:before="0" w:after="0"/>
              <w:ind w:left="0"/>
              <w:rPr>
                <w:rFonts w:cs="Times New Roman"/>
                <w:sz w:val="18"/>
                <w:szCs w:val="18"/>
              </w:rPr>
            </w:pPr>
            <w:r w:rsidRPr="00930237">
              <w:rPr>
                <w:rFonts w:cs="Times New Roman"/>
                <w:sz w:val="18"/>
                <w:szCs w:val="18"/>
              </w:rPr>
              <w:t>RCO 24</w:t>
            </w:r>
          </w:p>
        </w:tc>
        <w:tc>
          <w:tcPr>
            <w:tcW w:w="1303" w:type="pct"/>
            <w:shd w:val="clear" w:color="auto" w:fill="auto"/>
          </w:tcPr>
          <w:p w14:paraId="024FA283" w14:textId="77777777" w:rsidR="00B8254F" w:rsidRPr="00930237" w:rsidRDefault="00B8254F" w:rsidP="003155B0">
            <w:pPr>
              <w:pStyle w:val="Default"/>
              <w:spacing w:after="0" w:line="240" w:lineRule="auto"/>
              <w:jc w:val="both"/>
              <w:rPr>
                <w:color w:val="auto"/>
                <w:sz w:val="18"/>
                <w:szCs w:val="18"/>
              </w:rPr>
            </w:pPr>
            <w:r w:rsidRPr="00930237">
              <w:rPr>
                <w:color w:val="auto"/>
                <w:sz w:val="18"/>
                <w:szCs w:val="18"/>
              </w:rPr>
              <w:t>Investīcijas jaunā vai modernizētā katastrofu uzraudzības, sagatavotības, brīdināšanas un reaģēšanas sistēmā</w:t>
            </w:r>
          </w:p>
        </w:tc>
        <w:tc>
          <w:tcPr>
            <w:tcW w:w="537" w:type="pct"/>
            <w:shd w:val="clear" w:color="auto" w:fill="auto"/>
          </w:tcPr>
          <w:p w14:paraId="441A288C" w14:textId="77777777" w:rsidR="00B8254F" w:rsidRPr="00035913" w:rsidRDefault="00B8254F" w:rsidP="003155B0">
            <w:pPr>
              <w:pStyle w:val="Text1"/>
              <w:spacing w:before="0" w:after="0"/>
              <w:ind w:left="0"/>
              <w:rPr>
                <w:rFonts w:cs="Times New Roman"/>
                <w:i/>
                <w:iCs/>
                <w:noProof/>
                <w:sz w:val="18"/>
                <w:szCs w:val="18"/>
              </w:rPr>
            </w:pPr>
            <w:r w:rsidRPr="00035913">
              <w:rPr>
                <w:rFonts w:cs="Times New Roman"/>
                <w:i/>
                <w:iCs/>
                <w:noProof/>
                <w:sz w:val="18"/>
                <w:szCs w:val="18"/>
              </w:rPr>
              <w:t>euro</w:t>
            </w:r>
          </w:p>
        </w:tc>
        <w:tc>
          <w:tcPr>
            <w:tcW w:w="513" w:type="pct"/>
            <w:shd w:val="clear" w:color="auto" w:fill="auto"/>
          </w:tcPr>
          <w:p w14:paraId="3A925C1A"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0</w:t>
            </w:r>
          </w:p>
        </w:tc>
        <w:tc>
          <w:tcPr>
            <w:tcW w:w="635" w:type="pct"/>
            <w:shd w:val="clear" w:color="auto" w:fill="auto"/>
          </w:tcPr>
          <w:p w14:paraId="1BE428BD"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53 034</w:t>
            </w:r>
            <w:r>
              <w:rPr>
                <w:rFonts w:cs="Times New Roman"/>
                <w:noProof/>
                <w:sz w:val="18"/>
                <w:szCs w:val="18"/>
              </w:rPr>
              <w:t> </w:t>
            </w:r>
            <w:r w:rsidRPr="00930237">
              <w:rPr>
                <w:rFonts w:cs="Times New Roman"/>
                <w:noProof/>
                <w:sz w:val="18"/>
                <w:szCs w:val="18"/>
              </w:rPr>
              <w:t>818</w:t>
            </w:r>
            <w:r>
              <w:rPr>
                <w:rFonts w:cs="Times New Roman"/>
                <w:noProof/>
                <w:sz w:val="18"/>
                <w:szCs w:val="18"/>
              </w:rPr>
              <w:t xml:space="preserve"> </w:t>
            </w:r>
          </w:p>
        </w:tc>
      </w:tr>
      <w:tr w:rsidR="00B8254F" w:rsidRPr="00930237" w14:paraId="0D4BA31E" w14:textId="77777777" w:rsidTr="003155B0">
        <w:trPr>
          <w:trHeight w:val="332"/>
        </w:trPr>
        <w:tc>
          <w:tcPr>
            <w:tcW w:w="476" w:type="pct"/>
            <w:shd w:val="clear" w:color="auto" w:fill="auto"/>
          </w:tcPr>
          <w:p w14:paraId="430C5DE8" w14:textId="77777777" w:rsidR="00B8254F" w:rsidRPr="00930237" w:rsidRDefault="00B8254F" w:rsidP="003155B0">
            <w:pPr>
              <w:pStyle w:val="Text1"/>
              <w:spacing w:before="0" w:after="0"/>
              <w:ind w:left="0"/>
              <w:rPr>
                <w:rFonts w:cs="Times New Roman"/>
                <w:noProof/>
                <w:sz w:val="18"/>
                <w:szCs w:val="18"/>
              </w:rPr>
            </w:pPr>
            <w:r>
              <w:rPr>
                <w:rFonts w:cs="Times New Roman"/>
                <w:noProof/>
                <w:sz w:val="18"/>
                <w:szCs w:val="18"/>
              </w:rPr>
              <w:t>2.2.prioritāte</w:t>
            </w:r>
          </w:p>
        </w:tc>
        <w:tc>
          <w:tcPr>
            <w:tcW w:w="696" w:type="pct"/>
            <w:shd w:val="clear" w:color="auto" w:fill="auto"/>
          </w:tcPr>
          <w:p w14:paraId="4C7B7522" w14:textId="77777777" w:rsidR="00B8254F" w:rsidRPr="00930237" w:rsidRDefault="00B8254F" w:rsidP="003155B0">
            <w:pPr>
              <w:pStyle w:val="Text1"/>
              <w:spacing w:before="0" w:after="0"/>
              <w:ind w:left="0"/>
              <w:rPr>
                <w:rFonts w:cs="Times New Roman"/>
                <w:noProof/>
                <w:sz w:val="18"/>
                <w:szCs w:val="18"/>
              </w:rPr>
            </w:pPr>
            <w:r>
              <w:rPr>
                <w:rFonts w:cs="Times New Roman"/>
                <w:noProof/>
                <w:sz w:val="18"/>
                <w:szCs w:val="18"/>
              </w:rPr>
              <w:t>2.2.3.SAM</w:t>
            </w:r>
          </w:p>
        </w:tc>
        <w:tc>
          <w:tcPr>
            <w:tcW w:w="353" w:type="pct"/>
            <w:shd w:val="clear" w:color="auto" w:fill="auto"/>
          </w:tcPr>
          <w:p w14:paraId="374969C0" w14:textId="77777777" w:rsidR="00B8254F" w:rsidRPr="00930237" w:rsidRDefault="00B8254F" w:rsidP="003155B0">
            <w:pPr>
              <w:pStyle w:val="Text1"/>
              <w:spacing w:before="0" w:after="0"/>
              <w:ind w:left="0"/>
              <w:rPr>
                <w:rFonts w:cs="Times New Roman"/>
                <w:noProof/>
                <w:sz w:val="18"/>
                <w:szCs w:val="18"/>
              </w:rPr>
            </w:pPr>
            <w:r>
              <w:rPr>
                <w:rFonts w:cs="Times New Roman"/>
                <w:noProof/>
                <w:sz w:val="18"/>
                <w:szCs w:val="18"/>
              </w:rPr>
              <w:t>ERAF</w:t>
            </w:r>
          </w:p>
        </w:tc>
        <w:tc>
          <w:tcPr>
            <w:tcW w:w="487" w:type="pct"/>
            <w:shd w:val="clear" w:color="auto" w:fill="auto"/>
          </w:tcPr>
          <w:p w14:paraId="166AC0C5" w14:textId="77777777" w:rsidR="00B8254F" w:rsidRPr="00930237" w:rsidRDefault="00B8254F" w:rsidP="003155B0">
            <w:pPr>
              <w:pStyle w:val="Text1"/>
              <w:spacing w:before="0" w:after="0"/>
              <w:ind w:left="0"/>
              <w:rPr>
                <w:rFonts w:cs="Times New Roman"/>
                <w:sz w:val="18"/>
                <w:szCs w:val="18"/>
              </w:rPr>
            </w:pPr>
            <w:r>
              <w:rPr>
                <w:rFonts w:cs="Times New Roman"/>
                <w:sz w:val="18"/>
                <w:szCs w:val="18"/>
              </w:rPr>
              <w:t xml:space="preserve">RCO 24 </w:t>
            </w:r>
          </w:p>
        </w:tc>
        <w:tc>
          <w:tcPr>
            <w:tcW w:w="1303" w:type="pct"/>
            <w:shd w:val="clear" w:color="auto" w:fill="auto"/>
          </w:tcPr>
          <w:p w14:paraId="18720D20" w14:textId="77777777" w:rsidR="00B8254F" w:rsidRPr="00930237" w:rsidRDefault="00B8254F" w:rsidP="003155B0">
            <w:pPr>
              <w:pStyle w:val="Default"/>
              <w:spacing w:after="0" w:line="240" w:lineRule="auto"/>
              <w:jc w:val="both"/>
              <w:rPr>
                <w:color w:val="auto"/>
                <w:sz w:val="18"/>
                <w:szCs w:val="18"/>
              </w:rPr>
            </w:pPr>
            <w:r w:rsidRPr="004A2693">
              <w:rPr>
                <w:color w:val="auto"/>
                <w:sz w:val="18"/>
                <w:szCs w:val="18"/>
              </w:rPr>
              <w:t>Investīcijas jaunā vai modernizētā katastrofu uzraudzības, sagatavotības, brīdināšanas un reaģēšanas sistēmā</w:t>
            </w:r>
          </w:p>
        </w:tc>
        <w:tc>
          <w:tcPr>
            <w:tcW w:w="537" w:type="pct"/>
            <w:shd w:val="clear" w:color="auto" w:fill="auto"/>
          </w:tcPr>
          <w:p w14:paraId="6A6E4A02" w14:textId="77777777" w:rsidR="00B8254F" w:rsidRPr="00035913" w:rsidRDefault="00B8254F" w:rsidP="003155B0">
            <w:pPr>
              <w:pStyle w:val="Text1"/>
              <w:spacing w:before="0" w:after="0"/>
              <w:ind w:left="0"/>
              <w:rPr>
                <w:rFonts w:cs="Times New Roman"/>
                <w:i/>
                <w:iCs/>
                <w:noProof/>
                <w:sz w:val="18"/>
                <w:szCs w:val="18"/>
              </w:rPr>
            </w:pPr>
            <w:r>
              <w:rPr>
                <w:rFonts w:cs="Times New Roman"/>
                <w:i/>
                <w:iCs/>
                <w:noProof/>
                <w:sz w:val="18"/>
                <w:szCs w:val="18"/>
              </w:rPr>
              <w:t>euro</w:t>
            </w:r>
          </w:p>
        </w:tc>
        <w:tc>
          <w:tcPr>
            <w:tcW w:w="513" w:type="pct"/>
            <w:shd w:val="clear" w:color="auto" w:fill="auto"/>
          </w:tcPr>
          <w:p w14:paraId="241A1036" w14:textId="77777777" w:rsidR="00B8254F" w:rsidRDefault="00B8254F" w:rsidP="003155B0">
            <w:pPr>
              <w:pStyle w:val="Text1"/>
              <w:spacing w:before="0" w:after="0"/>
              <w:ind w:left="0"/>
              <w:rPr>
                <w:rFonts w:cs="Times New Roman"/>
                <w:noProof/>
                <w:sz w:val="18"/>
                <w:szCs w:val="18"/>
              </w:rPr>
            </w:pPr>
            <w:r>
              <w:rPr>
                <w:rFonts w:cs="Times New Roman"/>
                <w:noProof/>
                <w:sz w:val="18"/>
                <w:szCs w:val="18"/>
              </w:rPr>
              <w:t xml:space="preserve">3 562 472 </w:t>
            </w:r>
          </w:p>
          <w:p w14:paraId="16ECA729" w14:textId="77777777" w:rsidR="00B8254F" w:rsidRPr="00930237" w:rsidRDefault="00B8254F" w:rsidP="003155B0">
            <w:pPr>
              <w:pStyle w:val="Text1"/>
              <w:spacing w:before="0" w:after="0"/>
              <w:ind w:left="0"/>
              <w:rPr>
                <w:rFonts w:cs="Times New Roman"/>
                <w:noProof/>
                <w:sz w:val="18"/>
                <w:szCs w:val="18"/>
              </w:rPr>
            </w:pPr>
          </w:p>
        </w:tc>
        <w:tc>
          <w:tcPr>
            <w:tcW w:w="635" w:type="pct"/>
            <w:shd w:val="clear" w:color="auto" w:fill="auto"/>
          </w:tcPr>
          <w:p w14:paraId="0FD58493" w14:textId="77777777" w:rsidR="00B8254F" w:rsidRPr="00930237" w:rsidDel="000975C8" w:rsidRDefault="00B8254F" w:rsidP="003155B0">
            <w:pPr>
              <w:pStyle w:val="Text1"/>
              <w:spacing w:before="0" w:after="0"/>
              <w:ind w:left="0"/>
              <w:rPr>
                <w:rFonts w:cs="Times New Roman"/>
                <w:noProof/>
                <w:sz w:val="18"/>
                <w:szCs w:val="18"/>
              </w:rPr>
            </w:pPr>
            <w:r>
              <w:rPr>
                <w:rFonts w:cs="Times New Roman"/>
                <w:noProof/>
                <w:sz w:val="18"/>
                <w:szCs w:val="18"/>
              </w:rPr>
              <w:t xml:space="preserve">9 987 315 </w:t>
            </w:r>
          </w:p>
        </w:tc>
      </w:tr>
      <w:tr w:rsidR="00B8254F" w:rsidRPr="00930237" w14:paraId="6386E9E6" w14:textId="77777777" w:rsidTr="003155B0">
        <w:trPr>
          <w:trHeight w:val="332"/>
        </w:trPr>
        <w:tc>
          <w:tcPr>
            <w:tcW w:w="476" w:type="pct"/>
          </w:tcPr>
          <w:p w14:paraId="29BD73B7"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2.1.prioritāte</w:t>
            </w:r>
          </w:p>
        </w:tc>
        <w:tc>
          <w:tcPr>
            <w:tcW w:w="696" w:type="pct"/>
          </w:tcPr>
          <w:p w14:paraId="640D07B3"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2.1.3.SAM</w:t>
            </w:r>
          </w:p>
        </w:tc>
        <w:tc>
          <w:tcPr>
            <w:tcW w:w="353" w:type="pct"/>
          </w:tcPr>
          <w:p w14:paraId="62ED3E29"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ERAF</w:t>
            </w:r>
          </w:p>
        </w:tc>
        <w:tc>
          <w:tcPr>
            <w:tcW w:w="487" w:type="pct"/>
          </w:tcPr>
          <w:p w14:paraId="42768675" w14:textId="77777777" w:rsidR="00B8254F" w:rsidRPr="00930237" w:rsidRDefault="00B8254F" w:rsidP="003155B0">
            <w:pPr>
              <w:pStyle w:val="Text1"/>
              <w:spacing w:before="0" w:after="0"/>
              <w:ind w:left="0"/>
              <w:rPr>
                <w:rFonts w:cs="Times New Roman"/>
                <w:sz w:val="18"/>
                <w:szCs w:val="18"/>
              </w:rPr>
            </w:pPr>
            <w:r w:rsidRPr="00930237">
              <w:rPr>
                <w:rFonts w:cs="Times New Roman"/>
                <w:sz w:val="18"/>
                <w:szCs w:val="18"/>
              </w:rPr>
              <w:t>RCO 25</w:t>
            </w:r>
          </w:p>
        </w:tc>
        <w:tc>
          <w:tcPr>
            <w:tcW w:w="1303" w:type="pct"/>
            <w:shd w:val="clear" w:color="auto" w:fill="auto"/>
          </w:tcPr>
          <w:p w14:paraId="58110EFE" w14:textId="77777777" w:rsidR="00B8254F" w:rsidRPr="00930237" w:rsidRDefault="00B8254F" w:rsidP="003155B0">
            <w:pPr>
              <w:pStyle w:val="Default"/>
              <w:spacing w:after="0" w:line="240" w:lineRule="auto"/>
              <w:jc w:val="both"/>
              <w:rPr>
                <w:color w:val="auto"/>
                <w:sz w:val="18"/>
                <w:szCs w:val="18"/>
              </w:rPr>
            </w:pPr>
            <w:r w:rsidRPr="00930237">
              <w:rPr>
                <w:color w:val="auto"/>
                <w:sz w:val="18"/>
                <w:szCs w:val="18"/>
              </w:rPr>
              <w:t>Jaunbūvēta vai nostiprināta piekrastes joslu, upju krasta un ezeru krasta aizsardzība pret plūdiem</w:t>
            </w:r>
          </w:p>
        </w:tc>
        <w:tc>
          <w:tcPr>
            <w:tcW w:w="537" w:type="pct"/>
          </w:tcPr>
          <w:p w14:paraId="217913F8"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km</w:t>
            </w:r>
          </w:p>
        </w:tc>
        <w:tc>
          <w:tcPr>
            <w:tcW w:w="513" w:type="pct"/>
            <w:shd w:val="clear" w:color="auto" w:fill="auto"/>
          </w:tcPr>
          <w:p w14:paraId="3CFFE7F0"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0</w:t>
            </w:r>
          </w:p>
        </w:tc>
        <w:tc>
          <w:tcPr>
            <w:tcW w:w="635" w:type="pct"/>
            <w:shd w:val="clear" w:color="auto" w:fill="auto"/>
          </w:tcPr>
          <w:p w14:paraId="4071A9AB" w14:textId="77777777" w:rsidR="00B8254F" w:rsidRPr="00930237" w:rsidRDefault="00B8254F" w:rsidP="003155B0">
            <w:pPr>
              <w:pStyle w:val="Text1"/>
              <w:spacing w:before="0" w:after="0"/>
              <w:ind w:left="0"/>
              <w:rPr>
                <w:rFonts w:cs="Times New Roman"/>
                <w:noProof/>
                <w:sz w:val="18"/>
                <w:szCs w:val="18"/>
              </w:rPr>
            </w:pPr>
            <w:r>
              <w:rPr>
                <w:rFonts w:cs="Times New Roman"/>
                <w:noProof/>
                <w:sz w:val="18"/>
                <w:szCs w:val="18"/>
              </w:rPr>
              <w:t xml:space="preserve">12 </w:t>
            </w:r>
          </w:p>
        </w:tc>
      </w:tr>
      <w:tr w:rsidR="00B8254F" w:rsidRPr="00930237" w14:paraId="6B5CA5A6" w14:textId="77777777" w:rsidTr="003155B0">
        <w:trPr>
          <w:trHeight w:val="332"/>
        </w:trPr>
        <w:tc>
          <w:tcPr>
            <w:tcW w:w="476" w:type="pct"/>
          </w:tcPr>
          <w:p w14:paraId="49C80228" w14:textId="77777777" w:rsidR="00B8254F" w:rsidRPr="00930237" w:rsidRDefault="00B8254F" w:rsidP="003155B0">
            <w:pPr>
              <w:pStyle w:val="Text1"/>
              <w:spacing w:before="0" w:after="0"/>
              <w:ind w:left="0"/>
              <w:rPr>
                <w:rFonts w:cs="Times New Roman"/>
                <w:noProof/>
                <w:sz w:val="18"/>
                <w:szCs w:val="18"/>
              </w:rPr>
            </w:pPr>
            <w:r>
              <w:rPr>
                <w:rFonts w:cs="Times New Roman"/>
                <w:noProof/>
                <w:sz w:val="18"/>
                <w:szCs w:val="18"/>
              </w:rPr>
              <w:t>2.1.prioritāte</w:t>
            </w:r>
          </w:p>
        </w:tc>
        <w:tc>
          <w:tcPr>
            <w:tcW w:w="696" w:type="pct"/>
          </w:tcPr>
          <w:p w14:paraId="19079E10"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2.1.3.SAM</w:t>
            </w:r>
          </w:p>
          <w:p w14:paraId="54478402" w14:textId="77777777" w:rsidR="00B8254F" w:rsidRPr="00930237" w:rsidRDefault="00B8254F" w:rsidP="003155B0">
            <w:pPr>
              <w:pStyle w:val="Text1"/>
              <w:spacing w:before="0" w:after="0"/>
              <w:ind w:left="0"/>
              <w:rPr>
                <w:rFonts w:cs="Times New Roman"/>
                <w:noProof/>
                <w:sz w:val="18"/>
                <w:szCs w:val="18"/>
              </w:rPr>
            </w:pPr>
          </w:p>
        </w:tc>
        <w:tc>
          <w:tcPr>
            <w:tcW w:w="353" w:type="pct"/>
          </w:tcPr>
          <w:p w14:paraId="56A02368"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ERAF</w:t>
            </w:r>
          </w:p>
        </w:tc>
        <w:tc>
          <w:tcPr>
            <w:tcW w:w="487" w:type="pct"/>
          </w:tcPr>
          <w:p w14:paraId="587B2F16" w14:textId="77777777" w:rsidR="00B8254F" w:rsidRPr="00930237" w:rsidRDefault="00B8254F" w:rsidP="003155B0">
            <w:pPr>
              <w:pStyle w:val="Text1"/>
              <w:spacing w:before="0" w:after="0"/>
              <w:ind w:left="0"/>
              <w:rPr>
                <w:rFonts w:cs="Times New Roman"/>
                <w:sz w:val="18"/>
                <w:szCs w:val="18"/>
              </w:rPr>
            </w:pPr>
            <w:r w:rsidRPr="00930237">
              <w:rPr>
                <w:rFonts w:cs="Times New Roman"/>
                <w:sz w:val="18"/>
                <w:szCs w:val="18"/>
              </w:rPr>
              <w:t>RCO 26</w:t>
            </w:r>
          </w:p>
        </w:tc>
        <w:tc>
          <w:tcPr>
            <w:tcW w:w="1303" w:type="pct"/>
            <w:shd w:val="clear" w:color="auto" w:fill="auto"/>
          </w:tcPr>
          <w:p w14:paraId="08CA44D3" w14:textId="77777777" w:rsidR="00B8254F" w:rsidRPr="00930237" w:rsidRDefault="00B8254F" w:rsidP="003155B0">
            <w:pPr>
              <w:pStyle w:val="Default"/>
              <w:spacing w:after="0" w:line="240" w:lineRule="auto"/>
              <w:jc w:val="both"/>
              <w:rPr>
                <w:color w:val="auto"/>
                <w:sz w:val="18"/>
                <w:szCs w:val="18"/>
              </w:rPr>
            </w:pPr>
            <w:r w:rsidRPr="00930237">
              <w:rPr>
                <w:color w:val="auto"/>
                <w:sz w:val="18"/>
                <w:szCs w:val="18"/>
              </w:rPr>
              <w:t>Zaļā infrastruktūra, kas uzbūvēta vai modernizēta, lai pielāgotos klimata pārmaiņām</w:t>
            </w:r>
          </w:p>
        </w:tc>
        <w:tc>
          <w:tcPr>
            <w:tcW w:w="537" w:type="pct"/>
          </w:tcPr>
          <w:p w14:paraId="52BF005C" w14:textId="77777777" w:rsidR="00B8254F" w:rsidRDefault="00B8254F" w:rsidP="003155B0">
            <w:pPr>
              <w:pStyle w:val="Text1"/>
              <w:spacing w:before="0" w:after="0"/>
              <w:ind w:left="0"/>
              <w:rPr>
                <w:rFonts w:cs="Times New Roman"/>
                <w:noProof/>
                <w:sz w:val="18"/>
                <w:szCs w:val="18"/>
              </w:rPr>
            </w:pPr>
            <w:r>
              <w:rPr>
                <w:rFonts w:cs="Times New Roman"/>
                <w:noProof/>
                <w:sz w:val="18"/>
                <w:szCs w:val="18"/>
              </w:rPr>
              <w:t>h</w:t>
            </w:r>
            <w:r w:rsidRPr="00930237">
              <w:rPr>
                <w:rFonts w:cs="Times New Roman"/>
                <w:noProof/>
                <w:sz w:val="18"/>
                <w:szCs w:val="18"/>
              </w:rPr>
              <w:t>a</w:t>
            </w:r>
          </w:p>
          <w:p w14:paraId="047D9B9F" w14:textId="77777777" w:rsidR="00B8254F" w:rsidRPr="00930237" w:rsidRDefault="00B8254F" w:rsidP="003155B0">
            <w:pPr>
              <w:pStyle w:val="Text1"/>
              <w:spacing w:before="0" w:after="0"/>
              <w:ind w:left="0"/>
              <w:rPr>
                <w:rFonts w:cs="Times New Roman"/>
                <w:noProof/>
                <w:sz w:val="18"/>
                <w:szCs w:val="18"/>
              </w:rPr>
            </w:pPr>
          </w:p>
        </w:tc>
        <w:tc>
          <w:tcPr>
            <w:tcW w:w="513" w:type="pct"/>
            <w:shd w:val="clear" w:color="auto" w:fill="auto"/>
          </w:tcPr>
          <w:p w14:paraId="61C7E034"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0</w:t>
            </w:r>
          </w:p>
          <w:p w14:paraId="4BF102A2" w14:textId="77777777" w:rsidR="00B8254F" w:rsidRPr="00930237" w:rsidRDefault="00B8254F" w:rsidP="003155B0">
            <w:pPr>
              <w:pStyle w:val="Text1"/>
              <w:spacing w:before="0" w:after="0"/>
              <w:ind w:left="0"/>
              <w:rPr>
                <w:rFonts w:cs="Times New Roman"/>
                <w:noProof/>
                <w:sz w:val="18"/>
                <w:szCs w:val="18"/>
              </w:rPr>
            </w:pPr>
          </w:p>
        </w:tc>
        <w:tc>
          <w:tcPr>
            <w:tcW w:w="635" w:type="pct"/>
            <w:shd w:val="clear" w:color="auto" w:fill="auto"/>
          </w:tcPr>
          <w:p w14:paraId="77FECF39" w14:textId="77777777" w:rsidR="00B8254F" w:rsidRPr="00930237" w:rsidRDefault="00B8254F" w:rsidP="003155B0">
            <w:pPr>
              <w:pStyle w:val="Text1"/>
              <w:spacing w:before="0" w:after="0"/>
              <w:ind w:left="0"/>
              <w:rPr>
                <w:rFonts w:cs="Times New Roman"/>
                <w:noProof/>
                <w:sz w:val="18"/>
                <w:szCs w:val="18"/>
              </w:rPr>
            </w:pPr>
            <w:r>
              <w:rPr>
                <w:rFonts w:cs="Times New Roman"/>
                <w:noProof/>
                <w:sz w:val="18"/>
                <w:szCs w:val="18"/>
              </w:rPr>
              <w:t>77</w:t>
            </w:r>
          </w:p>
          <w:p w14:paraId="0560BDC3" w14:textId="77777777" w:rsidR="00B8254F" w:rsidRPr="00930237" w:rsidRDefault="00B8254F" w:rsidP="003155B0">
            <w:pPr>
              <w:pStyle w:val="Text1"/>
              <w:spacing w:before="0" w:after="0"/>
              <w:ind w:left="0"/>
              <w:rPr>
                <w:rFonts w:cs="Times New Roman"/>
                <w:noProof/>
                <w:sz w:val="18"/>
                <w:szCs w:val="18"/>
              </w:rPr>
            </w:pPr>
          </w:p>
        </w:tc>
      </w:tr>
      <w:tr w:rsidR="00B8254F" w:rsidRPr="00930237" w14:paraId="13034C3D" w14:textId="77777777" w:rsidTr="003155B0">
        <w:trPr>
          <w:trHeight w:val="332"/>
        </w:trPr>
        <w:tc>
          <w:tcPr>
            <w:tcW w:w="476" w:type="pct"/>
          </w:tcPr>
          <w:p w14:paraId="5C4BB9E7"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2.1.prioritāte</w:t>
            </w:r>
          </w:p>
        </w:tc>
        <w:tc>
          <w:tcPr>
            <w:tcW w:w="696" w:type="pct"/>
          </w:tcPr>
          <w:p w14:paraId="6027C2A2"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2.1.3.SAM</w:t>
            </w:r>
          </w:p>
        </w:tc>
        <w:tc>
          <w:tcPr>
            <w:tcW w:w="353" w:type="pct"/>
          </w:tcPr>
          <w:p w14:paraId="7062BA62"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ERAF</w:t>
            </w:r>
          </w:p>
        </w:tc>
        <w:tc>
          <w:tcPr>
            <w:tcW w:w="487" w:type="pct"/>
          </w:tcPr>
          <w:p w14:paraId="16953345" w14:textId="77777777" w:rsidR="00B8254F" w:rsidRPr="00930237" w:rsidRDefault="00B8254F" w:rsidP="003155B0">
            <w:pPr>
              <w:pStyle w:val="Text1"/>
              <w:spacing w:before="0" w:after="0"/>
              <w:ind w:left="0"/>
              <w:rPr>
                <w:rFonts w:cs="Times New Roman"/>
                <w:sz w:val="18"/>
                <w:szCs w:val="18"/>
              </w:rPr>
            </w:pPr>
            <w:r w:rsidRPr="00930237">
              <w:rPr>
                <w:rFonts w:cs="Times New Roman"/>
                <w:sz w:val="18"/>
                <w:szCs w:val="18"/>
              </w:rPr>
              <w:t>RCO 27</w:t>
            </w:r>
          </w:p>
        </w:tc>
        <w:tc>
          <w:tcPr>
            <w:tcW w:w="1303" w:type="pct"/>
            <w:shd w:val="clear" w:color="auto" w:fill="auto"/>
          </w:tcPr>
          <w:p w14:paraId="74DCA6AB" w14:textId="77777777" w:rsidR="00B8254F" w:rsidRPr="00930237" w:rsidRDefault="00B8254F" w:rsidP="003155B0">
            <w:pPr>
              <w:pStyle w:val="Default"/>
              <w:spacing w:after="0" w:line="240" w:lineRule="auto"/>
              <w:jc w:val="both"/>
              <w:rPr>
                <w:color w:val="auto"/>
                <w:sz w:val="18"/>
                <w:szCs w:val="18"/>
              </w:rPr>
            </w:pPr>
            <w:r w:rsidRPr="00930237">
              <w:rPr>
                <w:color w:val="auto"/>
                <w:sz w:val="18"/>
                <w:szCs w:val="18"/>
              </w:rPr>
              <w:t>Nacionālās un vietējās stratēģijas, kas vērstas uz pielāgošanos klimata pārmaiņām</w:t>
            </w:r>
          </w:p>
        </w:tc>
        <w:tc>
          <w:tcPr>
            <w:tcW w:w="537" w:type="pct"/>
          </w:tcPr>
          <w:p w14:paraId="4FF2EEB3"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Stratēģiju skaits</w:t>
            </w:r>
          </w:p>
        </w:tc>
        <w:tc>
          <w:tcPr>
            <w:tcW w:w="513" w:type="pct"/>
            <w:shd w:val="clear" w:color="auto" w:fill="auto"/>
          </w:tcPr>
          <w:p w14:paraId="35BC172E"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0</w:t>
            </w:r>
          </w:p>
        </w:tc>
        <w:tc>
          <w:tcPr>
            <w:tcW w:w="635" w:type="pct"/>
            <w:shd w:val="clear" w:color="auto" w:fill="auto"/>
          </w:tcPr>
          <w:p w14:paraId="0BD20480"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15</w:t>
            </w:r>
          </w:p>
        </w:tc>
      </w:tr>
      <w:tr w:rsidR="00B8254F" w:rsidRPr="00930237" w14:paraId="3D618149" w14:textId="77777777" w:rsidTr="003155B0">
        <w:trPr>
          <w:trHeight w:val="332"/>
        </w:trPr>
        <w:tc>
          <w:tcPr>
            <w:tcW w:w="476" w:type="pct"/>
          </w:tcPr>
          <w:p w14:paraId="00907A4F"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2.2.prioritāte</w:t>
            </w:r>
          </w:p>
        </w:tc>
        <w:tc>
          <w:tcPr>
            <w:tcW w:w="696" w:type="pct"/>
          </w:tcPr>
          <w:p w14:paraId="41B0DA60"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2.2.2.SAM</w:t>
            </w:r>
          </w:p>
        </w:tc>
        <w:tc>
          <w:tcPr>
            <w:tcW w:w="353" w:type="pct"/>
          </w:tcPr>
          <w:p w14:paraId="38B67F20" w14:textId="77777777" w:rsidR="00B8254F" w:rsidRDefault="00B8254F" w:rsidP="003155B0">
            <w:pPr>
              <w:pStyle w:val="Text1"/>
              <w:spacing w:before="0" w:after="0"/>
              <w:ind w:left="0"/>
              <w:rPr>
                <w:rFonts w:cs="Times New Roman"/>
                <w:noProof/>
                <w:sz w:val="18"/>
                <w:szCs w:val="18"/>
              </w:rPr>
            </w:pPr>
            <w:r w:rsidRPr="00930237">
              <w:rPr>
                <w:rFonts w:cs="Times New Roman"/>
                <w:noProof/>
                <w:sz w:val="18"/>
                <w:szCs w:val="18"/>
              </w:rPr>
              <w:t>KF</w:t>
            </w:r>
          </w:p>
          <w:p w14:paraId="4C37C34B" w14:textId="77777777" w:rsidR="00B8254F" w:rsidRPr="00930237" w:rsidRDefault="00B8254F" w:rsidP="003155B0">
            <w:pPr>
              <w:pStyle w:val="Text1"/>
              <w:spacing w:before="0" w:after="0"/>
              <w:ind w:left="0"/>
              <w:rPr>
                <w:rFonts w:cs="Times New Roman"/>
                <w:noProof/>
                <w:sz w:val="18"/>
                <w:szCs w:val="18"/>
              </w:rPr>
            </w:pPr>
          </w:p>
        </w:tc>
        <w:tc>
          <w:tcPr>
            <w:tcW w:w="487" w:type="pct"/>
          </w:tcPr>
          <w:p w14:paraId="124BF7D4" w14:textId="77777777" w:rsidR="00B8254F" w:rsidRPr="00930237" w:rsidRDefault="00B8254F" w:rsidP="003155B0">
            <w:pPr>
              <w:pStyle w:val="Text1"/>
              <w:spacing w:before="0" w:after="0"/>
              <w:ind w:left="0"/>
              <w:rPr>
                <w:rFonts w:cs="Times New Roman"/>
                <w:sz w:val="18"/>
                <w:szCs w:val="18"/>
              </w:rPr>
            </w:pPr>
            <w:r w:rsidRPr="00930237">
              <w:rPr>
                <w:rFonts w:cs="Times New Roman"/>
                <w:sz w:val="18"/>
                <w:szCs w:val="18"/>
              </w:rPr>
              <w:t>RCO 34</w:t>
            </w:r>
          </w:p>
        </w:tc>
        <w:tc>
          <w:tcPr>
            <w:tcW w:w="1303" w:type="pct"/>
            <w:shd w:val="clear" w:color="auto" w:fill="auto"/>
          </w:tcPr>
          <w:p w14:paraId="076F42DB" w14:textId="77777777" w:rsidR="00B8254F" w:rsidRPr="00930237" w:rsidRDefault="00B8254F" w:rsidP="003155B0">
            <w:pPr>
              <w:pStyle w:val="Default"/>
              <w:spacing w:after="0" w:line="240" w:lineRule="auto"/>
              <w:jc w:val="both"/>
              <w:rPr>
                <w:color w:val="auto"/>
                <w:sz w:val="18"/>
                <w:szCs w:val="18"/>
              </w:rPr>
            </w:pPr>
            <w:r w:rsidRPr="00930237">
              <w:rPr>
                <w:color w:val="auto"/>
                <w:sz w:val="18"/>
                <w:szCs w:val="18"/>
              </w:rPr>
              <w:t>Papildu jauda atkritumu pārstrādei</w:t>
            </w:r>
          </w:p>
        </w:tc>
        <w:tc>
          <w:tcPr>
            <w:tcW w:w="537" w:type="pct"/>
          </w:tcPr>
          <w:p w14:paraId="52647FEF"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Tonnas/gadā</w:t>
            </w:r>
          </w:p>
        </w:tc>
        <w:tc>
          <w:tcPr>
            <w:tcW w:w="513" w:type="pct"/>
            <w:shd w:val="clear" w:color="auto" w:fill="auto"/>
          </w:tcPr>
          <w:p w14:paraId="748CCC63"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0</w:t>
            </w:r>
          </w:p>
        </w:tc>
        <w:tc>
          <w:tcPr>
            <w:tcW w:w="635" w:type="pct"/>
            <w:shd w:val="clear" w:color="auto" w:fill="auto"/>
          </w:tcPr>
          <w:p w14:paraId="5889E6A1"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95 000</w:t>
            </w:r>
          </w:p>
        </w:tc>
      </w:tr>
      <w:tr w:rsidR="00B8254F" w:rsidRPr="00930237" w14:paraId="339C70BF" w14:textId="77777777" w:rsidTr="003155B0">
        <w:trPr>
          <w:trHeight w:val="332"/>
        </w:trPr>
        <w:tc>
          <w:tcPr>
            <w:tcW w:w="476" w:type="pct"/>
          </w:tcPr>
          <w:p w14:paraId="60A99C58"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2.2.prioritāte</w:t>
            </w:r>
          </w:p>
        </w:tc>
        <w:tc>
          <w:tcPr>
            <w:tcW w:w="696" w:type="pct"/>
          </w:tcPr>
          <w:p w14:paraId="65DFB91A"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2.2.3.SAM</w:t>
            </w:r>
          </w:p>
        </w:tc>
        <w:tc>
          <w:tcPr>
            <w:tcW w:w="353" w:type="pct"/>
          </w:tcPr>
          <w:p w14:paraId="52CD122E"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ERAF</w:t>
            </w:r>
          </w:p>
        </w:tc>
        <w:tc>
          <w:tcPr>
            <w:tcW w:w="487" w:type="pct"/>
          </w:tcPr>
          <w:p w14:paraId="203F5298" w14:textId="77777777" w:rsidR="00B8254F" w:rsidRPr="00930237" w:rsidRDefault="00B8254F" w:rsidP="003155B0">
            <w:pPr>
              <w:pStyle w:val="Text1"/>
              <w:spacing w:before="0" w:after="0"/>
              <w:ind w:left="0"/>
              <w:rPr>
                <w:rFonts w:cs="Times New Roman"/>
                <w:sz w:val="18"/>
                <w:szCs w:val="18"/>
              </w:rPr>
            </w:pPr>
            <w:r w:rsidRPr="00930237">
              <w:rPr>
                <w:rFonts w:cs="Times New Roman"/>
                <w:sz w:val="18"/>
                <w:szCs w:val="18"/>
              </w:rPr>
              <w:t>RCO 37</w:t>
            </w:r>
          </w:p>
        </w:tc>
        <w:tc>
          <w:tcPr>
            <w:tcW w:w="1303" w:type="pct"/>
            <w:shd w:val="clear" w:color="auto" w:fill="auto"/>
          </w:tcPr>
          <w:p w14:paraId="38504991" w14:textId="77777777" w:rsidR="00B8254F" w:rsidRPr="00930237" w:rsidRDefault="00B8254F" w:rsidP="003155B0">
            <w:pPr>
              <w:pStyle w:val="Default"/>
              <w:spacing w:after="0" w:line="240" w:lineRule="auto"/>
              <w:jc w:val="both"/>
              <w:rPr>
                <w:color w:val="auto"/>
                <w:sz w:val="18"/>
                <w:szCs w:val="18"/>
              </w:rPr>
            </w:pPr>
            <w:r w:rsidRPr="00930237">
              <w:rPr>
                <w:color w:val="auto"/>
                <w:sz w:val="18"/>
                <w:szCs w:val="18"/>
              </w:rPr>
              <w:t>Natura 2000 teritoriju platība, uz kurām attiecas aizsardzības un atjaunošanas pasākumi</w:t>
            </w:r>
          </w:p>
        </w:tc>
        <w:tc>
          <w:tcPr>
            <w:tcW w:w="537" w:type="pct"/>
          </w:tcPr>
          <w:p w14:paraId="7B2309ED"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ha</w:t>
            </w:r>
          </w:p>
        </w:tc>
        <w:tc>
          <w:tcPr>
            <w:tcW w:w="513" w:type="pct"/>
            <w:shd w:val="clear" w:color="auto" w:fill="auto"/>
          </w:tcPr>
          <w:p w14:paraId="0A40C987" w14:textId="77777777" w:rsidR="00B8254F" w:rsidRPr="00930237" w:rsidRDefault="00B8254F" w:rsidP="003155B0">
            <w:pPr>
              <w:pStyle w:val="Text1"/>
              <w:spacing w:before="0" w:after="0"/>
              <w:ind w:left="0"/>
              <w:rPr>
                <w:rFonts w:cs="Times New Roman"/>
                <w:noProof/>
                <w:sz w:val="18"/>
                <w:szCs w:val="18"/>
              </w:rPr>
            </w:pPr>
            <w:r>
              <w:rPr>
                <w:rFonts w:cs="Times New Roman"/>
                <w:noProof/>
                <w:sz w:val="18"/>
                <w:szCs w:val="18"/>
              </w:rPr>
              <w:t>3480</w:t>
            </w:r>
          </w:p>
        </w:tc>
        <w:tc>
          <w:tcPr>
            <w:tcW w:w="635" w:type="pct"/>
            <w:shd w:val="clear" w:color="auto" w:fill="auto"/>
          </w:tcPr>
          <w:p w14:paraId="72800067"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 xml:space="preserve"> </w:t>
            </w:r>
            <w:r>
              <w:rPr>
                <w:rFonts w:cs="Times New Roman"/>
                <w:noProof/>
                <w:sz w:val="18"/>
                <w:szCs w:val="18"/>
              </w:rPr>
              <w:t xml:space="preserve">36 374 </w:t>
            </w:r>
          </w:p>
        </w:tc>
      </w:tr>
      <w:tr w:rsidR="00B8254F" w:rsidRPr="00930237" w14:paraId="1EDE7828" w14:textId="77777777" w:rsidTr="003155B0">
        <w:trPr>
          <w:trHeight w:val="332"/>
        </w:trPr>
        <w:tc>
          <w:tcPr>
            <w:tcW w:w="476" w:type="pct"/>
          </w:tcPr>
          <w:p w14:paraId="139E16A6" w14:textId="77777777" w:rsidR="00B8254F" w:rsidRDefault="00B8254F" w:rsidP="003155B0">
            <w:pPr>
              <w:pStyle w:val="Text1"/>
              <w:spacing w:before="0" w:after="0"/>
              <w:ind w:left="0"/>
              <w:rPr>
                <w:rFonts w:cs="Times New Roman"/>
                <w:noProof/>
                <w:sz w:val="18"/>
                <w:szCs w:val="18"/>
              </w:rPr>
            </w:pPr>
            <w:r w:rsidRPr="00930237">
              <w:rPr>
                <w:rFonts w:cs="Times New Roman"/>
                <w:noProof/>
                <w:sz w:val="18"/>
                <w:szCs w:val="18"/>
              </w:rPr>
              <w:t>2.2.prioritāte</w:t>
            </w:r>
          </w:p>
          <w:p w14:paraId="32D787D1" w14:textId="77777777" w:rsidR="00B8254F" w:rsidRPr="00930237" w:rsidRDefault="00B8254F" w:rsidP="003155B0">
            <w:pPr>
              <w:pStyle w:val="Text1"/>
              <w:spacing w:before="0" w:after="0"/>
              <w:ind w:left="0"/>
              <w:rPr>
                <w:rFonts w:cs="Times New Roman"/>
                <w:noProof/>
                <w:sz w:val="18"/>
                <w:szCs w:val="18"/>
              </w:rPr>
            </w:pPr>
          </w:p>
        </w:tc>
        <w:tc>
          <w:tcPr>
            <w:tcW w:w="696" w:type="pct"/>
          </w:tcPr>
          <w:p w14:paraId="11822888"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2.2.3.SAM</w:t>
            </w:r>
          </w:p>
        </w:tc>
        <w:tc>
          <w:tcPr>
            <w:tcW w:w="353" w:type="pct"/>
          </w:tcPr>
          <w:p w14:paraId="4959A772" w14:textId="77777777" w:rsidR="00B8254F" w:rsidRDefault="00B8254F" w:rsidP="003155B0">
            <w:pPr>
              <w:pStyle w:val="Text1"/>
              <w:spacing w:before="0" w:after="0"/>
              <w:ind w:left="0"/>
              <w:rPr>
                <w:rFonts w:cs="Times New Roman"/>
                <w:noProof/>
                <w:sz w:val="18"/>
                <w:szCs w:val="18"/>
              </w:rPr>
            </w:pPr>
            <w:r w:rsidRPr="00930237">
              <w:rPr>
                <w:rFonts w:cs="Times New Roman"/>
                <w:noProof/>
                <w:sz w:val="18"/>
                <w:szCs w:val="18"/>
              </w:rPr>
              <w:t>KF</w:t>
            </w:r>
          </w:p>
          <w:p w14:paraId="0F79A98B" w14:textId="77777777" w:rsidR="00B8254F" w:rsidRPr="00930237" w:rsidRDefault="00B8254F" w:rsidP="003155B0">
            <w:pPr>
              <w:pStyle w:val="Text1"/>
              <w:spacing w:before="0" w:after="0"/>
              <w:ind w:left="0"/>
              <w:rPr>
                <w:rFonts w:cs="Times New Roman"/>
                <w:noProof/>
                <w:sz w:val="18"/>
                <w:szCs w:val="18"/>
              </w:rPr>
            </w:pPr>
          </w:p>
        </w:tc>
        <w:tc>
          <w:tcPr>
            <w:tcW w:w="487" w:type="pct"/>
          </w:tcPr>
          <w:p w14:paraId="4969E6E7" w14:textId="77777777" w:rsidR="00B8254F" w:rsidRPr="00930237" w:rsidRDefault="00B8254F" w:rsidP="003155B0">
            <w:pPr>
              <w:pStyle w:val="Text1"/>
              <w:spacing w:before="0" w:after="0"/>
              <w:ind w:left="0"/>
              <w:rPr>
                <w:rFonts w:cs="Times New Roman"/>
                <w:sz w:val="18"/>
                <w:szCs w:val="18"/>
              </w:rPr>
            </w:pPr>
            <w:r w:rsidRPr="00E742B8">
              <w:rPr>
                <w:rFonts w:cs="Times New Roman"/>
                <w:sz w:val="18"/>
                <w:szCs w:val="18"/>
              </w:rPr>
              <w:t>RCO 38</w:t>
            </w:r>
          </w:p>
        </w:tc>
        <w:tc>
          <w:tcPr>
            <w:tcW w:w="1303" w:type="pct"/>
            <w:shd w:val="clear" w:color="auto" w:fill="auto"/>
          </w:tcPr>
          <w:p w14:paraId="7ECC089A" w14:textId="77777777" w:rsidR="00B8254F" w:rsidRPr="00930237" w:rsidRDefault="00B8254F" w:rsidP="003155B0">
            <w:pPr>
              <w:pStyle w:val="Default"/>
              <w:spacing w:after="0" w:line="240" w:lineRule="auto"/>
              <w:jc w:val="both"/>
              <w:rPr>
                <w:color w:val="auto"/>
                <w:sz w:val="18"/>
                <w:szCs w:val="18"/>
              </w:rPr>
            </w:pPr>
            <w:r w:rsidRPr="00E742B8">
              <w:rPr>
                <w:color w:val="auto"/>
                <w:sz w:val="18"/>
                <w:szCs w:val="18"/>
              </w:rPr>
              <w:t>Atbalstītās rehabilitētās zemes platība</w:t>
            </w:r>
          </w:p>
        </w:tc>
        <w:tc>
          <w:tcPr>
            <w:tcW w:w="537" w:type="pct"/>
          </w:tcPr>
          <w:p w14:paraId="7472F03B"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ha</w:t>
            </w:r>
          </w:p>
        </w:tc>
        <w:tc>
          <w:tcPr>
            <w:tcW w:w="513" w:type="pct"/>
            <w:shd w:val="clear" w:color="auto" w:fill="auto"/>
          </w:tcPr>
          <w:p w14:paraId="78770409" w14:textId="77777777" w:rsidR="00B8254F" w:rsidRDefault="00B8254F" w:rsidP="003155B0">
            <w:pPr>
              <w:pStyle w:val="Text1"/>
              <w:spacing w:before="0" w:after="0"/>
              <w:ind w:left="0"/>
              <w:rPr>
                <w:rFonts w:cs="Times New Roman"/>
                <w:noProof/>
                <w:sz w:val="18"/>
                <w:szCs w:val="18"/>
              </w:rPr>
            </w:pPr>
            <w:r w:rsidRPr="00930237">
              <w:rPr>
                <w:rFonts w:cs="Times New Roman"/>
                <w:noProof/>
                <w:sz w:val="18"/>
                <w:szCs w:val="18"/>
              </w:rPr>
              <w:t>0</w:t>
            </w:r>
          </w:p>
          <w:p w14:paraId="08E2D02C" w14:textId="77777777" w:rsidR="00B8254F" w:rsidRPr="00930237" w:rsidRDefault="00B8254F" w:rsidP="003155B0">
            <w:pPr>
              <w:pStyle w:val="Text1"/>
              <w:spacing w:before="0" w:after="0"/>
              <w:ind w:left="0"/>
              <w:rPr>
                <w:rFonts w:cs="Times New Roman"/>
                <w:noProof/>
                <w:sz w:val="18"/>
                <w:szCs w:val="18"/>
              </w:rPr>
            </w:pPr>
          </w:p>
        </w:tc>
        <w:tc>
          <w:tcPr>
            <w:tcW w:w="635" w:type="pct"/>
            <w:shd w:val="clear" w:color="auto" w:fill="auto"/>
          </w:tcPr>
          <w:p w14:paraId="0058E80D" w14:textId="77777777" w:rsidR="00B8254F" w:rsidRDefault="00B8254F" w:rsidP="003155B0">
            <w:pPr>
              <w:pStyle w:val="Text1"/>
              <w:spacing w:before="0" w:after="0"/>
              <w:ind w:left="0"/>
              <w:rPr>
                <w:rFonts w:cs="Times New Roman"/>
                <w:noProof/>
                <w:sz w:val="18"/>
                <w:szCs w:val="18"/>
              </w:rPr>
            </w:pPr>
            <w:r>
              <w:rPr>
                <w:rFonts w:cs="Times New Roman"/>
                <w:noProof/>
                <w:sz w:val="18"/>
                <w:szCs w:val="18"/>
              </w:rPr>
              <w:t xml:space="preserve">2,3 </w:t>
            </w:r>
          </w:p>
          <w:p w14:paraId="6DCAF9CF" w14:textId="77777777" w:rsidR="00B8254F" w:rsidRPr="00930237" w:rsidRDefault="00B8254F" w:rsidP="003155B0">
            <w:pPr>
              <w:pStyle w:val="Text1"/>
              <w:spacing w:before="0" w:after="0"/>
              <w:ind w:left="0"/>
              <w:rPr>
                <w:rFonts w:cs="Times New Roman"/>
                <w:noProof/>
                <w:sz w:val="18"/>
                <w:szCs w:val="18"/>
              </w:rPr>
            </w:pPr>
          </w:p>
        </w:tc>
      </w:tr>
      <w:tr w:rsidR="00B8254F" w:rsidRPr="00930237" w14:paraId="026189B1" w14:textId="77777777" w:rsidTr="003155B0">
        <w:trPr>
          <w:trHeight w:val="332"/>
        </w:trPr>
        <w:tc>
          <w:tcPr>
            <w:tcW w:w="476" w:type="pct"/>
          </w:tcPr>
          <w:p w14:paraId="57B4656E"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2.2.prioritāte</w:t>
            </w:r>
          </w:p>
        </w:tc>
        <w:tc>
          <w:tcPr>
            <w:tcW w:w="696" w:type="pct"/>
          </w:tcPr>
          <w:p w14:paraId="3EA41111"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2.2.3.SAM</w:t>
            </w:r>
          </w:p>
        </w:tc>
        <w:tc>
          <w:tcPr>
            <w:tcW w:w="353" w:type="pct"/>
          </w:tcPr>
          <w:p w14:paraId="372F866D"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ERAF</w:t>
            </w:r>
          </w:p>
        </w:tc>
        <w:tc>
          <w:tcPr>
            <w:tcW w:w="487" w:type="pct"/>
          </w:tcPr>
          <w:p w14:paraId="3544E7DA" w14:textId="77777777" w:rsidR="00B8254F" w:rsidRPr="00930237" w:rsidRDefault="00B8254F" w:rsidP="003155B0">
            <w:pPr>
              <w:pStyle w:val="Text1"/>
              <w:spacing w:before="0" w:after="0"/>
              <w:ind w:left="0"/>
              <w:rPr>
                <w:rFonts w:cs="Times New Roman"/>
                <w:sz w:val="18"/>
                <w:szCs w:val="18"/>
              </w:rPr>
            </w:pPr>
            <w:r w:rsidRPr="00930237">
              <w:rPr>
                <w:rFonts w:cs="Times New Roman"/>
                <w:sz w:val="18"/>
                <w:szCs w:val="18"/>
              </w:rPr>
              <w:t>RCO 39</w:t>
            </w:r>
          </w:p>
        </w:tc>
        <w:tc>
          <w:tcPr>
            <w:tcW w:w="1303" w:type="pct"/>
            <w:shd w:val="clear" w:color="auto" w:fill="auto"/>
          </w:tcPr>
          <w:p w14:paraId="2F7F7162" w14:textId="77777777" w:rsidR="00B8254F" w:rsidRPr="00930237" w:rsidRDefault="00B8254F" w:rsidP="003155B0">
            <w:pPr>
              <w:pStyle w:val="Default"/>
              <w:spacing w:after="0" w:line="240" w:lineRule="auto"/>
              <w:jc w:val="both"/>
              <w:rPr>
                <w:color w:val="auto"/>
                <w:sz w:val="18"/>
                <w:szCs w:val="18"/>
              </w:rPr>
            </w:pPr>
            <w:r w:rsidRPr="00930237">
              <w:rPr>
                <w:color w:val="auto"/>
                <w:sz w:val="18"/>
                <w:szCs w:val="18"/>
              </w:rPr>
              <w:t>Teritorija, kurā atrodas uzstādītas gaisa piesārņojuma uzraudzības sistēmas</w:t>
            </w:r>
          </w:p>
        </w:tc>
        <w:tc>
          <w:tcPr>
            <w:tcW w:w="537" w:type="pct"/>
          </w:tcPr>
          <w:p w14:paraId="472D989D"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ha</w:t>
            </w:r>
          </w:p>
        </w:tc>
        <w:tc>
          <w:tcPr>
            <w:tcW w:w="513" w:type="pct"/>
            <w:shd w:val="clear" w:color="auto" w:fill="auto"/>
          </w:tcPr>
          <w:p w14:paraId="3B449AF9"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 xml:space="preserve"> </w:t>
            </w:r>
            <w:r>
              <w:rPr>
                <w:rFonts w:cs="Times New Roman"/>
                <w:noProof/>
                <w:sz w:val="18"/>
                <w:szCs w:val="18"/>
              </w:rPr>
              <w:t>6000</w:t>
            </w:r>
          </w:p>
        </w:tc>
        <w:tc>
          <w:tcPr>
            <w:tcW w:w="635" w:type="pct"/>
            <w:shd w:val="clear" w:color="auto" w:fill="auto"/>
          </w:tcPr>
          <w:p w14:paraId="51FA176D"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 xml:space="preserve"> 38 560</w:t>
            </w:r>
          </w:p>
        </w:tc>
      </w:tr>
      <w:tr w:rsidR="00B8254F" w:rsidRPr="00930237" w14:paraId="2C10BFE6" w14:textId="77777777" w:rsidTr="003155B0">
        <w:trPr>
          <w:trHeight w:val="332"/>
        </w:trPr>
        <w:tc>
          <w:tcPr>
            <w:tcW w:w="476" w:type="pct"/>
          </w:tcPr>
          <w:p w14:paraId="72EBFDA6"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2.3.prioritāte</w:t>
            </w:r>
          </w:p>
        </w:tc>
        <w:tc>
          <w:tcPr>
            <w:tcW w:w="696" w:type="pct"/>
          </w:tcPr>
          <w:p w14:paraId="626ECBE8"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2.3.1.SAM</w:t>
            </w:r>
          </w:p>
        </w:tc>
        <w:tc>
          <w:tcPr>
            <w:tcW w:w="353" w:type="pct"/>
          </w:tcPr>
          <w:p w14:paraId="4F9164C3"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ERAF</w:t>
            </w:r>
          </w:p>
        </w:tc>
        <w:tc>
          <w:tcPr>
            <w:tcW w:w="487" w:type="pct"/>
          </w:tcPr>
          <w:p w14:paraId="17D372BF" w14:textId="77777777" w:rsidR="00B8254F" w:rsidRPr="00930237" w:rsidRDefault="00B8254F" w:rsidP="003155B0">
            <w:pPr>
              <w:pStyle w:val="Text1"/>
              <w:spacing w:before="0" w:after="0"/>
              <w:ind w:left="0"/>
              <w:rPr>
                <w:rFonts w:cs="Times New Roman"/>
                <w:sz w:val="18"/>
                <w:szCs w:val="18"/>
              </w:rPr>
            </w:pPr>
            <w:r w:rsidRPr="00930237">
              <w:rPr>
                <w:rFonts w:cs="Times New Roman"/>
                <w:sz w:val="18"/>
                <w:szCs w:val="18"/>
              </w:rPr>
              <w:t>RCO 58</w:t>
            </w:r>
          </w:p>
        </w:tc>
        <w:tc>
          <w:tcPr>
            <w:tcW w:w="1303" w:type="pct"/>
            <w:shd w:val="clear" w:color="auto" w:fill="auto"/>
          </w:tcPr>
          <w:p w14:paraId="25E5BE10" w14:textId="77777777" w:rsidR="00B8254F" w:rsidRPr="00930237" w:rsidRDefault="00B8254F" w:rsidP="003155B0">
            <w:pPr>
              <w:pStyle w:val="Default"/>
              <w:spacing w:after="0" w:line="240" w:lineRule="auto"/>
              <w:jc w:val="both"/>
              <w:rPr>
                <w:color w:val="auto"/>
                <w:sz w:val="18"/>
                <w:szCs w:val="18"/>
              </w:rPr>
            </w:pPr>
            <w:r w:rsidRPr="00930237">
              <w:rPr>
                <w:color w:val="auto"/>
                <w:sz w:val="18"/>
                <w:szCs w:val="18"/>
              </w:rPr>
              <w:t>Atbalstītā velosip</w:t>
            </w:r>
            <w:r>
              <w:rPr>
                <w:color w:val="auto"/>
                <w:sz w:val="18"/>
                <w:szCs w:val="18"/>
              </w:rPr>
              <w:t xml:space="preserve">ēdu </w:t>
            </w:r>
            <w:r w:rsidRPr="00930237">
              <w:rPr>
                <w:color w:val="auto"/>
                <w:sz w:val="18"/>
                <w:szCs w:val="18"/>
              </w:rPr>
              <w:t xml:space="preserve">infrastruktūra </w:t>
            </w:r>
          </w:p>
        </w:tc>
        <w:tc>
          <w:tcPr>
            <w:tcW w:w="537" w:type="pct"/>
          </w:tcPr>
          <w:p w14:paraId="79B939E2"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km</w:t>
            </w:r>
          </w:p>
        </w:tc>
        <w:tc>
          <w:tcPr>
            <w:tcW w:w="513" w:type="pct"/>
            <w:shd w:val="clear" w:color="auto" w:fill="auto"/>
          </w:tcPr>
          <w:p w14:paraId="51EE9DA5"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 xml:space="preserve"> 0</w:t>
            </w:r>
          </w:p>
        </w:tc>
        <w:tc>
          <w:tcPr>
            <w:tcW w:w="635" w:type="pct"/>
            <w:shd w:val="clear" w:color="auto" w:fill="auto"/>
          </w:tcPr>
          <w:p w14:paraId="4A22973C"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 xml:space="preserve"> </w:t>
            </w:r>
            <w:r>
              <w:rPr>
                <w:rFonts w:cs="Times New Roman"/>
                <w:noProof/>
                <w:sz w:val="18"/>
                <w:szCs w:val="18"/>
              </w:rPr>
              <w:t>60</w:t>
            </w:r>
          </w:p>
        </w:tc>
      </w:tr>
      <w:tr w:rsidR="00B8254F" w:rsidRPr="00930237" w14:paraId="21F5F966" w14:textId="77777777" w:rsidTr="003155B0">
        <w:trPr>
          <w:trHeight w:val="505"/>
        </w:trPr>
        <w:tc>
          <w:tcPr>
            <w:tcW w:w="476" w:type="pct"/>
          </w:tcPr>
          <w:p w14:paraId="199EB200" w14:textId="77777777" w:rsidR="00B8254F" w:rsidRPr="00930237" w:rsidRDefault="00B8254F" w:rsidP="003155B0">
            <w:pPr>
              <w:pStyle w:val="Text1"/>
              <w:spacing w:before="0" w:after="0"/>
              <w:ind w:left="0"/>
              <w:rPr>
                <w:rFonts w:cs="Times New Roman"/>
                <w:noProof/>
                <w:sz w:val="18"/>
                <w:szCs w:val="18"/>
              </w:rPr>
            </w:pPr>
            <w:r>
              <w:rPr>
                <w:rFonts w:cs="Times New Roman"/>
                <w:noProof/>
                <w:sz w:val="18"/>
                <w:szCs w:val="18"/>
              </w:rPr>
              <w:t>2.3.</w:t>
            </w:r>
            <w:r w:rsidRPr="00972A52">
              <w:rPr>
                <w:rFonts w:cs="Times New Roman"/>
                <w:noProof/>
                <w:sz w:val="18"/>
                <w:szCs w:val="18"/>
              </w:rPr>
              <w:t>prioritāte</w:t>
            </w:r>
          </w:p>
        </w:tc>
        <w:tc>
          <w:tcPr>
            <w:tcW w:w="696" w:type="pct"/>
          </w:tcPr>
          <w:p w14:paraId="781F5C80" w14:textId="77777777" w:rsidR="00B8254F" w:rsidRPr="00930237" w:rsidRDefault="00B8254F" w:rsidP="003155B0">
            <w:pPr>
              <w:pStyle w:val="Text1"/>
              <w:spacing w:before="0" w:after="0"/>
              <w:ind w:left="0"/>
              <w:rPr>
                <w:rFonts w:cs="Times New Roman"/>
                <w:noProof/>
                <w:sz w:val="18"/>
                <w:szCs w:val="18"/>
              </w:rPr>
            </w:pPr>
            <w:r>
              <w:rPr>
                <w:rFonts w:cs="Times New Roman"/>
                <w:noProof/>
                <w:sz w:val="18"/>
                <w:szCs w:val="18"/>
              </w:rPr>
              <w:t>2.3.1.</w:t>
            </w:r>
            <w:r w:rsidRPr="00972A52">
              <w:rPr>
                <w:rFonts w:cs="Times New Roman"/>
                <w:noProof/>
                <w:sz w:val="18"/>
                <w:szCs w:val="18"/>
              </w:rPr>
              <w:t>SAM</w:t>
            </w:r>
          </w:p>
        </w:tc>
        <w:tc>
          <w:tcPr>
            <w:tcW w:w="353" w:type="pct"/>
          </w:tcPr>
          <w:p w14:paraId="662C84AC" w14:textId="77777777" w:rsidR="00B8254F" w:rsidRPr="00930237" w:rsidRDefault="00B8254F" w:rsidP="003155B0">
            <w:pPr>
              <w:pStyle w:val="Text1"/>
              <w:spacing w:before="0" w:after="0"/>
              <w:ind w:left="0"/>
              <w:rPr>
                <w:rFonts w:cs="Times New Roman"/>
                <w:noProof/>
                <w:sz w:val="18"/>
                <w:szCs w:val="18"/>
              </w:rPr>
            </w:pPr>
            <w:r>
              <w:rPr>
                <w:rFonts w:cs="Times New Roman"/>
                <w:noProof/>
                <w:sz w:val="18"/>
                <w:szCs w:val="18"/>
              </w:rPr>
              <w:t>ERAF</w:t>
            </w:r>
          </w:p>
        </w:tc>
        <w:tc>
          <w:tcPr>
            <w:tcW w:w="487" w:type="pct"/>
          </w:tcPr>
          <w:p w14:paraId="54EAA329" w14:textId="77777777" w:rsidR="00B8254F" w:rsidRPr="00930237" w:rsidRDefault="00B8254F" w:rsidP="003155B0">
            <w:pPr>
              <w:pStyle w:val="Text1"/>
              <w:spacing w:before="0" w:after="0"/>
              <w:ind w:left="0"/>
              <w:rPr>
                <w:rFonts w:cs="Times New Roman"/>
                <w:sz w:val="18"/>
                <w:szCs w:val="18"/>
              </w:rPr>
            </w:pPr>
            <w:r w:rsidRPr="00930237">
              <w:rPr>
                <w:rFonts w:cs="Times New Roman"/>
                <w:sz w:val="18"/>
                <w:szCs w:val="18"/>
              </w:rPr>
              <w:t>RCO 60</w:t>
            </w:r>
          </w:p>
        </w:tc>
        <w:tc>
          <w:tcPr>
            <w:tcW w:w="1303" w:type="pct"/>
            <w:shd w:val="clear" w:color="auto" w:fill="auto"/>
          </w:tcPr>
          <w:p w14:paraId="48822C38" w14:textId="77777777" w:rsidR="00B8254F" w:rsidRPr="00930237" w:rsidRDefault="00B8254F" w:rsidP="003155B0">
            <w:pPr>
              <w:pStyle w:val="Default"/>
              <w:spacing w:after="0" w:line="240" w:lineRule="auto"/>
              <w:jc w:val="both"/>
              <w:rPr>
                <w:color w:val="auto"/>
                <w:sz w:val="18"/>
                <w:szCs w:val="18"/>
              </w:rPr>
            </w:pPr>
            <w:r w:rsidRPr="00930237">
              <w:rPr>
                <w:color w:val="auto"/>
                <w:sz w:val="18"/>
                <w:szCs w:val="18"/>
              </w:rPr>
              <w:t>Pilsētas ar jaunām vai modernizētām digitalizētām pilsētas transporta sistēmām</w:t>
            </w:r>
          </w:p>
        </w:tc>
        <w:tc>
          <w:tcPr>
            <w:tcW w:w="537" w:type="pct"/>
          </w:tcPr>
          <w:p w14:paraId="44E72F65"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Pilsētu skaits</w:t>
            </w:r>
          </w:p>
        </w:tc>
        <w:tc>
          <w:tcPr>
            <w:tcW w:w="513" w:type="pct"/>
            <w:shd w:val="clear" w:color="auto" w:fill="auto"/>
          </w:tcPr>
          <w:p w14:paraId="7412015E" w14:textId="77777777" w:rsidR="00B8254F" w:rsidRPr="00930237" w:rsidRDefault="00B8254F" w:rsidP="003155B0">
            <w:pPr>
              <w:pStyle w:val="Text1"/>
              <w:spacing w:before="0" w:after="0"/>
              <w:ind w:left="0"/>
              <w:rPr>
                <w:rFonts w:cs="Times New Roman"/>
                <w:noProof/>
                <w:sz w:val="18"/>
                <w:szCs w:val="18"/>
              </w:rPr>
            </w:pPr>
            <w:r w:rsidRPr="00972A52">
              <w:rPr>
                <w:rFonts w:cs="Times New Roman"/>
                <w:noProof/>
                <w:sz w:val="18"/>
                <w:szCs w:val="18"/>
              </w:rPr>
              <w:t>0</w:t>
            </w:r>
          </w:p>
        </w:tc>
        <w:tc>
          <w:tcPr>
            <w:tcW w:w="635" w:type="pct"/>
            <w:shd w:val="clear" w:color="auto" w:fill="auto"/>
          </w:tcPr>
          <w:p w14:paraId="71CB5E85" w14:textId="77777777" w:rsidR="00B8254F" w:rsidRPr="00930237" w:rsidRDefault="00B8254F" w:rsidP="003155B0">
            <w:pPr>
              <w:pStyle w:val="Text1"/>
              <w:spacing w:before="0" w:after="0"/>
              <w:ind w:left="0"/>
              <w:rPr>
                <w:rFonts w:cs="Times New Roman"/>
                <w:noProof/>
                <w:sz w:val="18"/>
                <w:szCs w:val="18"/>
              </w:rPr>
            </w:pPr>
            <w:r>
              <w:rPr>
                <w:rFonts w:cs="Times New Roman"/>
                <w:noProof/>
                <w:sz w:val="18"/>
                <w:szCs w:val="18"/>
              </w:rPr>
              <w:t>1</w:t>
            </w:r>
          </w:p>
        </w:tc>
      </w:tr>
      <w:tr w:rsidR="00B8254F" w:rsidRPr="00930237" w14:paraId="6CB058C7" w14:textId="77777777" w:rsidTr="003155B0">
        <w:trPr>
          <w:trHeight w:val="332"/>
        </w:trPr>
        <w:tc>
          <w:tcPr>
            <w:tcW w:w="476" w:type="pct"/>
          </w:tcPr>
          <w:p w14:paraId="746D72E0"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2.2.prioritāte</w:t>
            </w:r>
          </w:p>
          <w:p w14:paraId="25DCFDC1" w14:textId="77777777" w:rsidR="00B8254F" w:rsidRPr="00930237" w:rsidRDefault="00B8254F" w:rsidP="003155B0">
            <w:pPr>
              <w:pStyle w:val="Text1"/>
              <w:spacing w:before="0" w:after="0"/>
              <w:ind w:left="0"/>
              <w:rPr>
                <w:rFonts w:cs="Times New Roman"/>
                <w:noProof/>
                <w:sz w:val="18"/>
                <w:szCs w:val="18"/>
              </w:rPr>
            </w:pPr>
          </w:p>
        </w:tc>
        <w:tc>
          <w:tcPr>
            <w:tcW w:w="696" w:type="pct"/>
          </w:tcPr>
          <w:p w14:paraId="29FF8AB0"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 xml:space="preserve">2.2.3.SAM </w:t>
            </w:r>
          </w:p>
          <w:p w14:paraId="4B7856E8" w14:textId="77777777" w:rsidR="00B8254F" w:rsidRPr="00930237" w:rsidRDefault="00B8254F" w:rsidP="003155B0">
            <w:pPr>
              <w:pStyle w:val="Text1"/>
              <w:spacing w:before="0" w:after="0"/>
              <w:ind w:left="0"/>
              <w:rPr>
                <w:rFonts w:cs="Times New Roman"/>
                <w:noProof/>
                <w:sz w:val="18"/>
                <w:szCs w:val="18"/>
              </w:rPr>
            </w:pPr>
          </w:p>
        </w:tc>
        <w:tc>
          <w:tcPr>
            <w:tcW w:w="353" w:type="pct"/>
          </w:tcPr>
          <w:p w14:paraId="62AADB5F"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ERAF</w:t>
            </w:r>
          </w:p>
        </w:tc>
        <w:tc>
          <w:tcPr>
            <w:tcW w:w="487" w:type="pct"/>
          </w:tcPr>
          <w:p w14:paraId="4FAEA43A" w14:textId="77777777" w:rsidR="00B8254F" w:rsidRPr="00930237" w:rsidRDefault="00B8254F" w:rsidP="003155B0">
            <w:pPr>
              <w:pStyle w:val="Text1"/>
              <w:spacing w:before="0" w:after="0"/>
              <w:ind w:left="0"/>
              <w:rPr>
                <w:rFonts w:cs="Times New Roman"/>
                <w:sz w:val="18"/>
                <w:szCs w:val="18"/>
              </w:rPr>
            </w:pPr>
            <w:r w:rsidRPr="00930237">
              <w:rPr>
                <w:rFonts w:cs="Times New Roman"/>
                <w:sz w:val="18"/>
                <w:szCs w:val="18"/>
              </w:rPr>
              <w:t>RCO 77</w:t>
            </w:r>
          </w:p>
        </w:tc>
        <w:tc>
          <w:tcPr>
            <w:tcW w:w="1303" w:type="pct"/>
            <w:shd w:val="clear" w:color="auto" w:fill="auto"/>
          </w:tcPr>
          <w:p w14:paraId="79DF214E" w14:textId="77777777" w:rsidR="00B8254F" w:rsidRPr="00930237" w:rsidRDefault="00B8254F" w:rsidP="003155B0">
            <w:pPr>
              <w:pStyle w:val="Default"/>
              <w:spacing w:after="0" w:line="240" w:lineRule="auto"/>
              <w:jc w:val="both"/>
              <w:rPr>
                <w:color w:val="auto"/>
                <w:sz w:val="18"/>
                <w:szCs w:val="18"/>
              </w:rPr>
            </w:pPr>
            <w:r w:rsidRPr="00930237">
              <w:rPr>
                <w:color w:val="auto"/>
                <w:sz w:val="18"/>
                <w:szCs w:val="18"/>
              </w:rPr>
              <w:t>Atbalstīto kultūras un tūrisma vietu skaits</w:t>
            </w:r>
          </w:p>
        </w:tc>
        <w:tc>
          <w:tcPr>
            <w:tcW w:w="537" w:type="pct"/>
          </w:tcPr>
          <w:p w14:paraId="000D9E2F"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 xml:space="preserve">Skaits </w:t>
            </w:r>
          </w:p>
        </w:tc>
        <w:tc>
          <w:tcPr>
            <w:tcW w:w="513" w:type="pct"/>
            <w:shd w:val="clear" w:color="auto" w:fill="auto"/>
          </w:tcPr>
          <w:p w14:paraId="257A1378" w14:textId="77777777" w:rsidR="00B8254F" w:rsidRPr="00930237" w:rsidRDefault="00B8254F" w:rsidP="003155B0">
            <w:pPr>
              <w:pStyle w:val="Text1"/>
              <w:spacing w:before="0" w:after="0"/>
              <w:ind w:left="0"/>
              <w:rPr>
                <w:rFonts w:cs="Times New Roman"/>
                <w:noProof/>
                <w:sz w:val="18"/>
                <w:szCs w:val="18"/>
              </w:rPr>
            </w:pPr>
            <w:r w:rsidRPr="00930237">
              <w:rPr>
                <w:rFonts w:cs="Times New Roman"/>
                <w:noProof/>
                <w:sz w:val="18"/>
                <w:szCs w:val="18"/>
              </w:rPr>
              <w:t xml:space="preserve"> 0</w:t>
            </w:r>
          </w:p>
          <w:p w14:paraId="5749A462" w14:textId="77777777" w:rsidR="00B8254F" w:rsidRPr="00930237" w:rsidRDefault="00B8254F" w:rsidP="003155B0">
            <w:pPr>
              <w:pStyle w:val="Text1"/>
              <w:spacing w:before="0" w:after="0"/>
              <w:ind w:left="0"/>
              <w:rPr>
                <w:rFonts w:cs="Times New Roman"/>
                <w:noProof/>
                <w:sz w:val="18"/>
                <w:szCs w:val="18"/>
              </w:rPr>
            </w:pPr>
          </w:p>
        </w:tc>
        <w:tc>
          <w:tcPr>
            <w:tcW w:w="635" w:type="pct"/>
            <w:shd w:val="clear" w:color="auto" w:fill="auto"/>
          </w:tcPr>
          <w:p w14:paraId="3F341726" w14:textId="77777777" w:rsidR="00B8254F" w:rsidRPr="00930237" w:rsidRDefault="00B8254F" w:rsidP="003155B0">
            <w:pPr>
              <w:pStyle w:val="Text1"/>
              <w:tabs>
                <w:tab w:val="center" w:pos="720"/>
              </w:tabs>
              <w:spacing w:before="0" w:after="0"/>
              <w:ind w:left="0"/>
              <w:rPr>
                <w:rFonts w:cs="Times New Roman"/>
                <w:noProof/>
                <w:sz w:val="18"/>
                <w:szCs w:val="18"/>
              </w:rPr>
            </w:pPr>
            <w:r>
              <w:rPr>
                <w:rFonts w:cs="Times New Roman"/>
                <w:noProof/>
                <w:sz w:val="18"/>
                <w:szCs w:val="18"/>
              </w:rPr>
              <w:t xml:space="preserve">4 </w:t>
            </w:r>
            <w:r>
              <w:rPr>
                <w:rFonts w:cs="Times New Roman"/>
                <w:noProof/>
                <w:sz w:val="18"/>
                <w:szCs w:val="18"/>
              </w:rPr>
              <w:tab/>
            </w:r>
          </w:p>
          <w:p w14:paraId="4C68D496" w14:textId="77777777" w:rsidR="00B8254F" w:rsidRPr="00930237" w:rsidRDefault="00B8254F" w:rsidP="003155B0">
            <w:pPr>
              <w:pStyle w:val="Text1"/>
              <w:spacing w:before="0" w:after="0"/>
              <w:ind w:left="0"/>
              <w:rPr>
                <w:rFonts w:cs="Times New Roman"/>
                <w:noProof/>
                <w:sz w:val="18"/>
                <w:szCs w:val="18"/>
              </w:rPr>
            </w:pPr>
          </w:p>
        </w:tc>
      </w:tr>
    </w:tbl>
    <w:p w14:paraId="444AC5C6" w14:textId="77777777" w:rsidR="00B8254F" w:rsidRPr="00930237" w:rsidRDefault="00B8254F" w:rsidP="00B8254F">
      <w:pPr>
        <w:spacing w:before="0" w:after="0"/>
        <w:rPr>
          <w:rFonts w:eastAsia="Times New Roman"/>
          <w:b/>
          <w:iCs/>
          <w:noProof/>
          <w:sz w:val="20"/>
        </w:rPr>
      </w:pPr>
    </w:p>
    <w:p w14:paraId="039223F6" w14:textId="77777777" w:rsidR="00B8254F" w:rsidRPr="00930237" w:rsidRDefault="00B8254F" w:rsidP="00B8254F">
      <w:pPr>
        <w:spacing w:before="0" w:after="0"/>
        <w:rPr>
          <w:rFonts w:eastAsia="Times New Roman"/>
          <w:iCs/>
          <w:noProof/>
          <w:sz w:val="20"/>
        </w:rPr>
      </w:pPr>
      <w:r w:rsidRPr="00930237">
        <w:rPr>
          <w:rFonts w:eastAsia="Times New Roman"/>
          <w:iCs/>
          <w:noProof/>
          <w:sz w:val="20"/>
        </w:rPr>
        <w:t>* Rādītāju sasniedzamās vērtības tiks definētas, kad būs pieejami veikto izvērtējumu rezultāti, kā arī attiecīgo nozaru plānošanas dokumentu izstrādes un saskaņošanas ietvaros.</w:t>
      </w:r>
    </w:p>
    <w:p w14:paraId="6258DCB7" w14:textId="5647CF9F" w:rsidR="00B8254F" w:rsidRDefault="00B8254F" w:rsidP="00B8254F">
      <w:pPr>
        <w:spacing w:before="0" w:after="0"/>
        <w:jc w:val="left"/>
        <w:rPr>
          <w:rFonts w:eastAsia="Times New Roman"/>
          <w:b/>
          <w:iCs/>
          <w:noProof/>
          <w:sz w:val="20"/>
        </w:rPr>
      </w:pPr>
    </w:p>
    <w:p w14:paraId="1BF4FD13" w14:textId="094960BB" w:rsidR="00B8254F" w:rsidRDefault="00B8254F" w:rsidP="00B8254F">
      <w:pPr>
        <w:spacing w:before="0" w:after="0"/>
        <w:jc w:val="left"/>
        <w:rPr>
          <w:rFonts w:eastAsia="Times New Roman"/>
          <w:b/>
          <w:iCs/>
          <w:noProof/>
          <w:sz w:val="20"/>
        </w:rPr>
      </w:pPr>
    </w:p>
    <w:p w14:paraId="57D2637B" w14:textId="7F86778F" w:rsidR="00340D0B" w:rsidRPr="00930237" w:rsidRDefault="00B471B0" w:rsidP="00E261E7">
      <w:pPr>
        <w:pStyle w:val="Heading3"/>
        <w:numPr>
          <w:ilvl w:val="0"/>
          <w:numId w:val="0"/>
        </w:numPr>
        <w:spacing w:after="0"/>
        <w:rPr>
          <w:b/>
          <w:i w:val="0"/>
          <w:noProof/>
        </w:rPr>
      </w:pPr>
      <w:bookmarkStart w:id="26" w:name="_Toc69125413"/>
      <w:r>
        <w:rPr>
          <w:b/>
          <w:i w:val="0"/>
          <w:noProof/>
        </w:rPr>
        <w:t>5.tabula</w:t>
      </w:r>
      <w:r w:rsidR="00E261E7">
        <w:rPr>
          <w:b/>
          <w:i w:val="0"/>
          <w:noProof/>
        </w:rPr>
        <w:t xml:space="preserve"> (3)</w:t>
      </w:r>
      <w:r>
        <w:rPr>
          <w:b/>
          <w:i w:val="0"/>
          <w:noProof/>
        </w:rPr>
        <w:t xml:space="preserve"> 2.Politiskā mērķa r</w:t>
      </w:r>
      <w:r w:rsidR="00340D0B" w:rsidRPr="00930237">
        <w:rPr>
          <w:b/>
          <w:i w:val="0"/>
          <w:noProof/>
        </w:rPr>
        <w:t>ezultātu rādītāji</w:t>
      </w:r>
      <w:r w:rsidR="00340D0B" w:rsidRPr="00930237">
        <w:rPr>
          <w:rStyle w:val="FootnoteReference"/>
          <w:b/>
          <w:i w:val="0"/>
          <w:noProof/>
        </w:rPr>
        <w:footnoteReference w:id="117"/>
      </w:r>
      <w:bookmarkEnd w:id="26"/>
    </w:p>
    <w:p w14:paraId="3D3F4358" w14:textId="77777777" w:rsidR="00340D0B" w:rsidRPr="00930237" w:rsidRDefault="00340D0B" w:rsidP="00340D0B">
      <w:pPr>
        <w:spacing w:before="0" w:after="0"/>
        <w:rPr>
          <w:rFonts w:eastAsia="Times New Roman"/>
          <w:b/>
          <w:iCs/>
          <w:noProof/>
          <w:sz w:val="20"/>
        </w:rPr>
      </w:pPr>
    </w:p>
    <w:tbl>
      <w:tblP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2"/>
        <w:gridCol w:w="1151"/>
        <w:gridCol w:w="835"/>
        <w:gridCol w:w="997"/>
        <w:gridCol w:w="2214"/>
        <w:gridCol w:w="1289"/>
        <w:gridCol w:w="1041"/>
        <w:gridCol w:w="1217"/>
        <w:gridCol w:w="1382"/>
        <w:gridCol w:w="1356"/>
        <w:gridCol w:w="1700"/>
      </w:tblGrid>
      <w:tr w:rsidR="00340D0B" w:rsidRPr="00BF555E" w14:paraId="148F001C" w14:textId="77777777" w:rsidTr="003155B0">
        <w:trPr>
          <w:trHeight w:val="282"/>
          <w:tblHeader/>
        </w:trPr>
        <w:tc>
          <w:tcPr>
            <w:tcW w:w="440" w:type="pct"/>
            <w:shd w:val="clear" w:color="auto" w:fill="D9D9D9" w:themeFill="background1" w:themeFillShade="D9"/>
            <w:vAlign w:val="center"/>
          </w:tcPr>
          <w:p w14:paraId="3F0762C2" w14:textId="77777777" w:rsidR="00340D0B" w:rsidRPr="00BF555E" w:rsidRDefault="00340D0B" w:rsidP="003155B0">
            <w:pPr>
              <w:pStyle w:val="Text1"/>
              <w:spacing w:before="0" w:after="0"/>
              <w:ind w:left="0"/>
              <w:jc w:val="center"/>
              <w:rPr>
                <w:rFonts w:cs="Times New Roman"/>
                <w:b/>
                <w:noProof/>
                <w:sz w:val="18"/>
                <w:szCs w:val="18"/>
              </w:rPr>
            </w:pPr>
            <w:r w:rsidRPr="00BF555E">
              <w:rPr>
                <w:rFonts w:cs="Times New Roman"/>
                <w:b/>
                <w:noProof/>
                <w:sz w:val="18"/>
                <w:szCs w:val="18"/>
              </w:rPr>
              <w:t>Prioritāte</w:t>
            </w:r>
          </w:p>
        </w:tc>
        <w:tc>
          <w:tcPr>
            <w:tcW w:w="398" w:type="pct"/>
            <w:shd w:val="clear" w:color="auto" w:fill="D9D9D9" w:themeFill="background1" w:themeFillShade="D9"/>
            <w:vAlign w:val="center"/>
          </w:tcPr>
          <w:p w14:paraId="19647383" w14:textId="77777777" w:rsidR="00340D0B" w:rsidRPr="00BF555E" w:rsidRDefault="00340D0B" w:rsidP="003155B0">
            <w:pPr>
              <w:pStyle w:val="Text1"/>
              <w:spacing w:before="0" w:after="0"/>
              <w:ind w:left="0"/>
              <w:jc w:val="center"/>
              <w:rPr>
                <w:rFonts w:cs="Times New Roman"/>
                <w:b/>
                <w:noProof/>
                <w:sz w:val="18"/>
                <w:szCs w:val="18"/>
              </w:rPr>
            </w:pPr>
            <w:r w:rsidRPr="00BF555E">
              <w:rPr>
                <w:rFonts w:cs="Times New Roman"/>
                <w:b/>
                <w:noProof/>
                <w:sz w:val="18"/>
                <w:szCs w:val="18"/>
              </w:rPr>
              <w:t>SAM</w:t>
            </w:r>
          </w:p>
        </w:tc>
        <w:tc>
          <w:tcPr>
            <w:tcW w:w="289" w:type="pct"/>
            <w:shd w:val="clear" w:color="auto" w:fill="D9D9D9" w:themeFill="background1" w:themeFillShade="D9"/>
            <w:vAlign w:val="center"/>
          </w:tcPr>
          <w:p w14:paraId="3DB0238F" w14:textId="77777777" w:rsidR="00340D0B" w:rsidRPr="00BF555E" w:rsidRDefault="00340D0B" w:rsidP="003155B0">
            <w:pPr>
              <w:pStyle w:val="Text1"/>
              <w:spacing w:before="0" w:after="0"/>
              <w:ind w:left="0"/>
              <w:jc w:val="center"/>
              <w:rPr>
                <w:rFonts w:cs="Times New Roman"/>
                <w:b/>
                <w:noProof/>
                <w:sz w:val="18"/>
                <w:szCs w:val="18"/>
              </w:rPr>
            </w:pPr>
            <w:r w:rsidRPr="00BF555E">
              <w:rPr>
                <w:rFonts w:cs="Times New Roman"/>
                <w:b/>
                <w:noProof/>
                <w:sz w:val="18"/>
                <w:szCs w:val="18"/>
              </w:rPr>
              <w:t>Fonds</w:t>
            </w:r>
          </w:p>
        </w:tc>
        <w:tc>
          <w:tcPr>
            <w:tcW w:w="345" w:type="pct"/>
            <w:shd w:val="clear" w:color="auto" w:fill="D9D9D9" w:themeFill="background1" w:themeFillShade="D9"/>
            <w:vAlign w:val="center"/>
          </w:tcPr>
          <w:p w14:paraId="2950FCEB" w14:textId="77777777" w:rsidR="00340D0B" w:rsidRPr="00BF555E" w:rsidRDefault="00340D0B" w:rsidP="003155B0">
            <w:pPr>
              <w:pStyle w:val="Text1"/>
              <w:spacing w:before="0" w:after="0"/>
              <w:ind w:left="0"/>
              <w:jc w:val="center"/>
              <w:rPr>
                <w:rFonts w:cs="Times New Roman"/>
                <w:b/>
                <w:noProof/>
                <w:sz w:val="18"/>
                <w:szCs w:val="18"/>
              </w:rPr>
            </w:pPr>
            <w:r w:rsidRPr="00BF555E">
              <w:rPr>
                <w:rFonts w:cs="Times New Roman"/>
                <w:b/>
                <w:noProof/>
                <w:sz w:val="18"/>
                <w:szCs w:val="18"/>
              </w:rPr>
              <w:t xml:space="preserve">ID </w:t>
            </w:r>
          </w:p>
        </w:tc>
        <w:tc>
          <w:tcPr>
            <w:tcW w:w="766" w:type="pct"/>
            <w:shd w:val="clear" w:color="auto" w:fill="D9D9D9" w:themeFill="background1" w:themeFillShade="D9"/>
            <w:vAlign w:val="center"/>
          </w:tcPr>
          <w:p w14:paraId="2303804A" w14:textId="77777777" w:rsidR="00340D0B" w:rsidRPr="00BF555E" w:rsidRDefault="00340D0B" w:rsidP="003155B0">
            <w:pPr>
              <w:pStyle w:val="Text1"/>
              <w:spacing w:before="0" w:after="0"/>
              <w:ind w:left="0"/>
              <w:jc w:val="center"/>
              <w:rPr>
                <w:rFonts w:cs="Times New Roman"/>
                <w:b/>
                <w:noProof/>
                <w:sz w:val="18"/>
                <w:szCs w:val="18"/>
              </w:rPr>
            </w:pPr>
            <w:r w:rsidRPr="00BF555E">
              <w:rPr>
                <w:rFonts w:cs="Times New Roman"/>
                <w:b/>
                <w:noProof/>
                <w:sz w:val="18"/>
                <w:szCs w:val="18"/>
              </w:rPr>
              <w:t xml:space="preserve">Rādītājs </w:t>
            </w:r>
          </w:p>
        </w:tc>
        <w:tc>
          <w:tcPr>
            <w:tcW w:w="446" w:type="pct"/>
            <w:shd w:val="clear" w:color="auto" w:fill="D9D9D9" w:themeFill="background1" w:themeFillShade="D9"/>
            <w:vAlign w:val="center"/>
          </w:tcPr>
          <w:p w14:paraId="585D6435" w14:textId="77777777" w:rsidR="00340D0B" w:rsidRPr="00BF555E" w:rsidRDefault="00340D0B" w:rsidP="003155B0">
            <w:pPr>
              <w:pStyle w:val="Text1"/>
              <w:spacing w:before="0" w:after="0"/>
              <w:ind w:left="0"/>
              <w:jc w:val="center"/>
              <w:rPr>
                <w:rFonts w:cs="Times New Roman"/>
                <w:b/>
                <w:noProof/>
                <w:sz w:val="18"/>
                <w:szCs w:val="18"/>
              </w:rPr>
            </w:pPr>
            <w:r w:rsidRPr="00BF555E">
              <w:rPr>
                <w:rFonts w:cs="Times New Roman"/>
                <w:b/>
                <w:noProof/>
                <w:sz w:val="18"/>
                <w:szCs w:val="18"/>
              </w:rPr>
              <w:t>Mērvienība</w:t>
            </w:r>
          </w:p>
        </w:tc>
        <w:tc>
          <w:tcPr>
            <w:tcW w:w="360" w:type="pct"/>
            <w:shd w:val="clear" w:color="auto" w:fill="D9D9D9" w:themeFill="background1" w:themeFillShade="D9"/>
            <w:vAlign w:val="center"/>
          </w:tcPr>
          <w:p w14:paraId="11DA307B" w14:textId="77777777" w:rsidR="00340D0B" w:rsidRPr="00BF555E" w:rsidRDefault="00340D0B" w:rsidP="003155B0">
            <w:pPr>
              <w:pStyle w:val="Text1"/>
              <w:spacing w:before="0" w:after="0"/>
              <w:ind w:left="0"/>
              <w:jc w:val="center"/>
              <w:rPr>
                <w:rFonts w:cs="Times New Roman"/>
                <w:b/>
                <w:noProof/>
                <w:sz w:val="18"/>
                <w:szCs w:val="18"/>
              </w:rPr>
            </w:pPr>
            <w:r w:rsidRPr="00BF555E">
              <w:rPr>
                <w:rFonts w:cs="Times New Roman"/>
                <w:b/>
                <w:noProof/>
                <w:sz w:val="18"/>
                <w:szCs w:val="18"/>
              </w:rPr>
              <w:t>Sākotnējā vērtība</w:t>
            </w:r>
          </w:p>
        </w:tc>
        <w:tc>
          <w:tcPr>
            <w:tcW w:w="421" w:type="pct"/>
            <w:shd w:val="clear" w:color="auto" w:fill="D9D9D9" w:themeFill="background1" w:themeFillShade="D9"/>
            <w:vAlign w:val="center"/>
          </w:tcPr>
          <w:p w14:paraId="7A828F62" w14:textId="77777777" w:rsidR="00340D0B" w:rsidRPr="00BF555E" w:rsidRDefault="00340D0B" w:rsidP="003155B0">
            <w:pPr>
              <w:pStyle w:val="Text1"/>
              <w:spacing w:before="0" w:after="0"/>
              <w:ind w:left="0"/>
              <w:jc w:val="center"/>
              <w:rPr>
                <w:rFonts w:cs="Times New Roman"/>
                <w:b/>
                <w:noProof/>
                <w:sz w:val="18"/>
                <w:szCs w:val="18"/>
              </w:rPr>
            </w:pPr>
            <w:r w:rsidRPr="00BF555E">
              <w:rPr>
                <w:rFonts w:cs="Times New Roman"/>
                <w:b/>
                <w:noProof/>
                <w:sz w:val="18"/>
                <w:szCs w:val="18"/>
              </w:rPr>
              <w:t>Sākotnējās vērtības gads</w:t>
            </w:r>
          </w:p>
        </w:tc>
        <w:tc>
          <w:tcPr>
            <w:tcW w:w="478" w:type="pct"/>
            <w:shd w:val="clear" w:color="auto" w:fill="D9D9D9" w:themeFill="background1" w:themeFillShade="D9"/>
            <w:vAlign w:val="center"/>
          </w:tcPr>
          <w:p w14:paraId="7DC3A559" w14:textId="77777777" w:rsidR="00340D0B" w:rsidRPr="00BF555E" w:rsidRDefault="00340D0B" w:rsidP="003155B0">
            <w:pPr>
              <w:pStyle w:val="Text1"/>
              <w:spacing w:before="0" w:after="0"/>
              <w:ind w:left="0"/>
              <w:jc w:val="center"/>
              <w:rPr>
                <w:rFonts w:cs="Times New Roman"/>
                <w:b/>
                <w:noProof/>
                <w:sz w:val="18"/>
                <w:szCs w:val="18"/>
              </w:rPr>
            </w:pPr>
            <w:r w:rsidRPr="00BF555E">
              <w:rPr>
                <w:rFonts w:cs="Times New Roman"/>
                <w:b/>
                <w:noProof/>
                <w:sz w:val="18"/>
                <w:szCs w:val="18"/>
              </w:rPr>
              <w:t>Plānotā vērtība (2029)</w:t>
            </w:r>
          </w:p>
          <w:p w14:paraId="55AB462F" w14:textId="77777777" w:rsidR="00340D0B" w:rsidRPr="00BF555E" w:rsidRDefault="00340D0B" w:rsidP="003155B0">
            <w:pPr>
              <w:pStyle w:val="Text1"/>
              <w:spacing w:before="0" w:after="0"/>
              <w:ind w:left="0"/>
              <w:jc w:val="center"/>
              <w:rPr>
                <w:rFonts w:cs="Times New Roman"/>
                <w:b/>
                <w:noProof/>
                <w:sz w:val="18"/>
                <w:szCs w:val="18"/>
              </w:rPr>
            </w:pPr>
          </w:p>
        </w:tc>
        <w:tc>
          <w:tcPr>
            <w:tcW w:w="469" w:type="pct"/>
            <w:shd w:val="clear" w:color="auto" w:fill="D9D9D9" w:themeFill="background1" w:themeFillShade="D9"/>
            <w:vAlign w:val="center"/>
          </w:tcPr>
          <w:p w14:paraId="26B066D9" w14:textId="77777777" w:rsidR="00340D0B" w:rsidRPr="00BF555E" w:rsidRDefault="00340D0B" w:rsidP="003155B0">
            <w:pPr>
              <w:pStyle w:val="Text1"/>
              <w:spacing w:before="0" w:after="0"/>
              <w:ind w:left="0"/>
              <w:jc w:val="center"/>
              <w:rPr>
                <w:rFonts w:cs="Times New Roman"/>
                <w:b/>
                <w:noProof/>
                <w:sz w:val="18"/>
                <w:szCs w:val="18"/>
              </w:rPr>
            </w:pPr>
            <w:r w:rsidRPr="00BF555E">
              <w:rPr>
                <w:rFonts w:cs="Times New Roman"/>
                <w:b/>
                <w:noProof/>
                <w:sz w:val="18"/>
                <w:szCs w:val="18"/>
              </w:rPr>
              <w:t>Datu avots [200]</w:t>
            </w:r>
          </w:p>
        </w:tc>
        <w:tc>
          <w:tcPr>
            <w:tcW w:w="588" w:type="pct"/>
            <w:shd w:val="clear" w:color="auto" w:fill="D9D9D9" w:themeFill="background1" w:themeFillShade="D9"/>
            <w:vAlign w:val="center"/>
          </w:tcPr>
          <w:p w14:paraId="58664A47" w14:textId="77777777" w:rsidR="00340D0B" w:rsidRPr="00BF555E" w:rsidRDefault="00340D0B" w:rsidP="003155B0">
            <w:pPr>
              <w:pStyle w:val="Text1"/>
              <w:spacing w:before="0" w:after="0"/>
              <w:ind w:left="0"/>
              <w:jc w:val="center"/>
              <w:rPr>
                <w:rFonts w:cs="Times New Roman"/>
                <w:b/>
                <w:noProof/>
                <w:sz w:val="18"/>
                <w:szCs w:val="18"/>
              </w:rPr>
            </w:pPr>
            <w:r w:rsidRPr="00BF555E">
              <w:rPr>
                <w:rFonts w:cs="Times New Roman"/>
                <w:b/>
                <w:noProof/>
                <w:sz w:val="18"/>
                <w:szCs w:val="18"/>
              </w:rPr>
              <w:t xml:space="preserve">Komentāri </w:t>
            </w:r>
          </w:p>
          <w:p w14:paraId="673C6F84" w14:textId="77777777" w:rsidR="00340D0B" w:rsidRPr="00BF555E" w:rsidRDefault="00340D0B" w:rsidP="003155B0">
            <w:pPr>
              <w:pStyle w:val="Text1"/>
              <w:spacing w:before="0" w:after="0"/>
              <w:ind w:left="0"/>
              <w:jc w:val="center"/>
              <w:rPr>
                <w:rFonts w:cs="Times New Roman"/>
                <w:b/>
                <w:noProof/>
                <w:sz w:val="18"/>
                <w:szCs w:val="18"/>
              </w:rPr>
            </w:pPr>
            <w:r w:rsidRPr="00BF555E">
              <w:rPr>
                <w:rFonts w:cs="Times New Roman"/>
                <w:b/>
                <w:noProof/>
                <w:sz w:val="18"/>
                <w:szCs w:val="18"/>
              </w:rPr>
              <w:t>[200]</w:t>
            </w:r>
          </w:p>
        </w:tc>
      </w:tr>
      <w:tr w:rsidR="00340D0B" w:rsidRPr="00BF555E" w14:paraId="583EAD86" w14:textId="77777777" w:rsidTr="003155B0">
        <w:trPr>
          <w:trHeight w:val="286"/>
        </w:trPr>
        <w:tc>
          <w:tcPr>
            <w:tcW w:w="440" w:type="pct"/>
          </w:tcPr>
          <w:p w14:paraId="4D03EDE4" w14:textId="77777777" w:rsidR="00340D0B" w:rsidRPr="00BF555E" w:rsidRDefault="00340D0B" w:rsidP="003155B0">
            <w:pPr>
              <w:pStyle w:val="Text1"/>
              <w:spacing w:before="0" w:after="0"/>
              <w:ind w:left="0"/>
              <w:rPr>
                <w:rFonts w:cs="Times New Roman"/>
                <w:noProof/>
                <w:sz w:val="18"/>
                <w:szCs w:val="18"/>
              </w:rPr>
            </w:pPr>
            <w:r w:rsidRPr="000975C8">
              <w:rPr>
                <w:rFonts w:cs="Times New Roman"/>
                <w:noProof/>
                <w:sz w:val="18"/>
                <w:szCs w:val="18"/>
              </w:rPr>
              <w:t>2.1.prioritāte</w:t>
            </w:r>
          </w:p>
        </w:tc>
        <w:tc>
          <w:tcPr>
            <w:tcW w:w="398" w:type="pct"/>
          </w:tcPr>
          <w:p w14:paraId="2ACA14C1" w14:textId="77777777" w:rsidR="00340D0B" w:rsidRPr="00BF555E" w:rsidRDefault="00340D0B" w:rsidP="003155B0">
            <w:pPr>
              <w:pStyle w:val="Text1"/>
              <w:spacing w:before="0" w:after="0"/>
              <w:ind w:left="0"/>
              <w:rPr>
                <w:rFonts w:cs="Times New Roman"/>
                <w:noProof/>
                <w:sz w:val="18"/>
                <w:szCs w:val="18"/>
              </w:rPr>
            </w:pPr>
            <w:r w:rsidRPr="000975C8">
              <w:rPr>
                <w:rFonts w:cs="Times New Roman"/>
                <w:noProof/>
                <w:sz w:val="18"/>
                <w:szCs w:val="18"/>
              </w:rPr>
              <w:t>2.1.3.SAM</w:t>
            </w:r>
          </w:p>
        </w:tc>
        <w:tc>
          <w:tcPr>
            <w:tcW w:w="289" w:type="pct"/>
          </w:tcPr>
          <w:p w14:paraId="258AEA2F" w14:textId="77777777" w:rsidR="00340D0B" w:rsidRPr="00BF555E" w:rsidRDefault="00340D0B" w:rsidP="003155B0">
            <w:pPr>
              <w:pStyle w:val="Text1"/>
              <w:spacing w:before="0" w:after="0"/>
              <w:ind w:left="0"/>
              <w:rPr>
                <w:rFonts w:cs="Times New Roman"/>
                <w:noProof/>
                <w:sz w:val="18"/>
                <w:szCs w:val="18"/>
              </w:rPr>
            </w:pPr>
            <w:r w:rsidRPr="000975C8">
              <w:rPr>
                <w:rFonts w:cs="Times New Roman"/>
                <w:noProof/>
                <w:sz w:val="18"/>
                <w:szCs w:val="18"/>
              </w:rPr>
              <w:t>ERAF</w:t>
            </w:r>
          </w:p>
        </w:tc>
        <w:tc>
          <w:tcPr>
            <w:tcW w:w="345" w:type="pct"/>
          </w:tcPr>
          <w:p w14:paraId="5D46DE25" w14:textId="77777777" w:rsidR="00340D0B" w:rsidRPr="00BF555E" w:rsidRDefault="00340D0B" w:rsidP="003155B0">
            <w:pPr>
              <w:pStyle w:val="Text1"/>
              <w:spacing w:before="0" w:after="0"/>
              <w:ind w:left="0"/>
              <w:rPr>
                <w:rFonts w:cs="Times New Roman"/>
                <w:sz w:val="18"/>
                <w:szCs w:val="18"/>
              </w:rPr>
            </w:pPr>
            <w:r w:rsidRPr="000975C8">
              <w:rPr>
                <w:rFonts w:cs="Times New Roman"/>
                <w:sz w:val="18"/>
                <w:szCs w:val="18"/>
              </w:rPr>
              <w:t>RCR11</w:t>
            </w:r>
          </w:p>
        </w:tc>
        <w:tc>
          <w:tcPr>
            <w:tcW w:w="766" w:type="pct"/>
            <w:shd w:val="clear" w:color="auto" w:fill="auto"/>
          </w:tcPr>
          <w:p w14:paraId="02C51FD1" w14:textId="77777777" w:rsidR="00340D0B" w:rsidRPr="00BF555E" w:rsidRDefault="00340D0B" w:rsidP="003155B0">
            <w:pPr>
              <w:pStyle w:val="Text1"/>
              <w:spacing w:before="0" w:after="0"/>
              <w:ind w:left="0"/>
              <w:rPr>
                <w:rFonts w:cs="Times New Roman"/>
                <w:sz w:val="18"/>
                <w:szCs w:val="18"/>
              </w:rPr>
            </w:pPr>
            <w:r w:rsidRPr="00F82ED5">
              <w:rPr>
                <w:sz w:val="18"/>
                <w:szCs w:val="18"/>
              </w:rPr>
              <w:t>Jaunu un pilnveidotu publisku digitālo pakalpojumu un lietojumprogrammu lietotāji</w:t>
            </w:r>
          </w:p>
        </w:tc>
        <w:tc>
          <w:tcPr>
            <w:tcW w:w="446" w:type="pct"/>
          </w:tcPr>
          <w:p w14:paraId="5F623764" w14:textId="77777777" w:rsidR="00340D0B" w:rsidRPr="00BF555E" w:rsidRDefault="00340D0B" w:rsidP="003155B0">
            <w:pPr>
              <w:pStyle w:val="Text1"/>
              <w:spacing w:before="0" w:after="0"/>
              <w:ind w:left="0"/>
              <w:rPr>
                <w:rFonts w:cs="Times New Roman"/>
                <w:noProof/>
                <w:sz w:val="18"/>
                <w:szCs w:val="18"/>
              </w:rPr>
            </w:pPr>
            <w:r w:rsidRPr="000975C8">
              <w:rPr>
                <w:rFonts w:cs="Times New Roman"/>
                <w:noProof/>
                <w:sz w:val="18"/>
                <w:szCs w:val="18"/>
              </w:rPr>
              <w:t>Lietotāju (juridiskas personas) skaits</w:t>
            </w:r>
          </w:p>
        </w:tc>
        <w:tc>
          <w:tcPr>
            <w:tcW w:w="360" w:type="pct"/>
          </w:tcPr>
          <w:p w14:paraId="55F3E673" w14:textId="77777777" w:rsidR="00340D0B" w:rsidRPr="00BF555E" w:rsidRDefault="00340D0B" w:rsidP="003155B0">
            <w:pPr>
              <w:pStyle w:val="Text1"/>
              <w:spacing w:before="0" w:after="0"/>
              <w:ind w:left="0"/>
              <w:jc w:val="left"/>
              <w:rPr>
                <w:rFonts w:cs="Times New Roman"/>
                <w:noProof/>
                <w:sz w:val="18"/>
                <w:szCs w:val="18"/>
              </w:rPr>
            </w:pPr>
            <w:r>
              <w:rPr>
                <w:rFonts w:cs="Times New Roman"/>
                <w:noProof/>
                <w:sz w:val="18"/>
                <w:szCs w:val="18"/>
              </w:rPr>
              <w:t>0</w:t>
            </w:r>
          </w:p>
        </w:tc>
        <w:tc>
          <w:tcPr>
            <w:tcW w:w="421" w:type="pct"/>
          </w:tcPr>
          <w:p w14:paraId="08DCA292" w14:textId="77777777" w:rsidR="00340D0B" w:rsidRPr="00BF555E" w:rsidRDefault="00340D0B" w:rsidP="003155B0">
            <w:pPr>
              <w:pStyle w:val="Text1"/>
              <w:spacing w:before="0" w:after="0"/>
              <w:ind w:left="0"/>
              <w:jc w:val="left"/>
              <w:rPr>
                <w:rFonts w:cs="Times New Roman"/>
                <w:noProof/>
                <w:sz w:val="18"/>
                <w:szCs w:val="18"/>
              </w:rPr>
            </w:pPr>
            <w:r>
              <w:rPr>
                <w:rFonts w:cs="Times New Roman"/>
                <w:noProof/>
                <w:sz w:val="18"/>
                <w:szCs w:val="18"/>
              </w:rPr>
              <w:t>2020</w:t>
            </w:r>
          </w:p>
        </w:tc>
        <w:tc>
          <w:tcPr>
            <w:tcW w:w="478" w:type="pct"/>
            <w:shd w:val="clear" w:color="auto" w:fill="auto"/>
          </w:tcPr>
          <w:p w14:paraId="135577E2" w14:textId="77777777" w:rsidR="00340D0B" w:rsidRPr="00BF555E" w:rsidRDefault="00340D0B" w:rsidP="003155B0">
            <w:pPr>
              <w:pStyle w:val="Text1"/>
              <w:spacing w:before="0" w:after="0"/>
              <w:ind w:left="0"/>
              <w:jc w:val="left"/>
              <w:rPr>
                <w:rFonts w:cs="Times New Roman"/>
                <w:noProof/>
                <w:sz w:val="18"/>
                <w:szCs w:val="18"/>
              </w:rPr>
            </w:pPr>
            <w:r>
              <w:rPr>
                <w:rFonts w:cs="Times New Roman"/>
                <w:noProof/>
                <w:sz w:val="18"/>
                <w:szCs w:val="18"/>
              </w:rPr>
              <w:t>50</w:t>
            </w:r>
          </w:p>
        </w:tc>
        <w:tc>
          <w:tcPr>
            <w:tcW w:w="469" w:type="pct"/>
            <w:shd w:val="clear" w:color="auto" w:fill="auto"/>
          </w:tcPr>
          <w:p w14:paraId="50E4DF75" w14:textId="77777777" w:rsidR="00340D0B" w:rsidRPr="00BF555E" w:rsidRDefault="00340D0B" w:rsidP="003155B0">
            <w:pPr>
              <w:pStyle w:val="Text1"/>
              <w:spacing w:before="0" w:after="0"/>
              <w:ind w:left="0"/>
              <w:jc w:val="left"/>
              <w:rPr>
                <w:rFonts w:cs="Times New Roman"/>
                <w:sz w:val="18"/>
                <w:szCs w:val="18"/>
              </w:rPr>
            </w:pPr>
            <w:r w:rsidRPr="000975C8">
              <w:rPr>
                <w:rFonts w:cs="Times New Roman"/>
                <w:sz w:val="18"/>
                <w:szCs w:val="18"/>
              </w:rPr>
              <w:t>Projekta dati</w:t>
            </w:r>
          </w:p>
        </w:tc>
        <w:tc>
          <w:tcPr>
            <w:tcW w:w="588" w:type="pct"/>
          </w:tcPr>
          <w:p w14:paraId="775D7AD8" w14:textId="77777777" w:rsidR="00340D0B" w:rsidRPr="00BF555E" w:rsidRDefault="00340D0B" w:rsidP="003155B0">
            <w:pPr>
              <w:spacing w:before="0" w:after="0"/>
              <w:jc w:val="left"/>
              <w:rPr>
                <w:sz w:val="18"/>
                <w:szCs w:val="18"/>
              </w:rPr>
            </w:pPr>
            <w:r w:rsidRPr="000975C8">
              <w:rPr>
                <w:sz w:val="18"/>
                <w:szCs w:val="18"/>
              </w:rPr>
              <w:t>Plānotā vērtība (2029) atbilstoši rādītāju pases aprēķiniem.</w:t>
            </w:r>
          </w:p>
        </w:tc>
      </w:tr>
      <w:tr w:rsidR="00340D0B" w:rsidRPr="00BF555E" w14:paraId="5B62ED4B" w14:textId="77777777" w:rsidTr="003155B0">
        <w:trPr>
          <w:trHeight w:val="286"/>
        </w:trPr>
        <w:tc>
          <w:tcPr>
            <w:tcW w:w="440" w:type="pct"/>
          </w:tcPr>
          <w:p w14:paraId="7793CDA9" w14:textId="77777777" w:rsidR="00340D0B" w:rsidRPr="000975C8" w:rsidRDefault="00340D0B" w:rsidP="003155B0">
            <w:pPr>
              <w:pStyle w:val="Text1"/>
              <w:spacing w:before="0" w:after="0"/>
              <w:ind w:left="0"/>
              <w:rPr>
                <w:rFonts w:cs="Times New Roman"/>
                <w:noProof/>
                <w:sz w:val="18"/>
                <w:szCs w:val="18"/>
              </w:rPr>
            </w:pPr>
            <w:r w:rsidRPr="00E97966">
              <w:rPr>
                <w:rFonts w:cs="Times New Roman"/>
                <w:noProof/>
                <w:sz w:val="18"/>
                <w:szCs w:val="18"/>
              </w:rPr>
              <w:t>2.1.prioritāte</w:t>
            </w:r>
          </w:p>
        </w:tc>
        <w:tc>
          <w:tcPr>
            <w:tcW w:w="398" w:type="pct"/>
          </w:tcPr>
          <w:p w14:paraId="7C45C061" w14:textId="77777777" w:rsidR="00340D0B" w:rsidRPr="000975C8" w:rsidRDefault="00340D0B" w:rsidP="003155B0">
            <w:pPr>
              <w:pStyle w:val="Text1"/>
              <w:spacing w:before="0" w:after="0"/>
              <w:ind w:left="0"/>
              <w:rPr>
                <w:rFonts w:cs="Times New Roman"/>
                <w:noProof/>
                <w:sz w:val="18"/>
                <w:szCs w:val="18"/>
              </w:rPr>
            </w:pPr>
            <w:r w:rsidRPr="00E97966">
              <w:rPr>
                <w:rFonts w:cs="Times New Roman"/>
                <w:noProof/>
                <w:sz w:val="18"/>
                <w:szCs w:val="18"/>
              </w:rPr>
              <w:t>2.1.3.SAM</w:t>
            </w:r>
          </w:p>
        </w:tc>
        <w:tc>
          <w:tcPr>
            <w:tcW w:w="289" w:type="pct"/>
          </w:tcPr>
          <w:p w14:paraId="1AF25056" w14:textId="77777777" w:rsidR="00340D0B" w:rsidRPr="000975C8" w:rsidRDefault="00340D0B" w:rsidP="003155B0">
            <w:pPr>
              <w:pStyle w:val="Text1"/>
              <w:spacing w:before="0" w:after="0"/>
              <w:ind w:left="0"/>
              <w:rPr>
                <w:rFonts w:cs="Times New Roman"/>
                <w:noProof/>
                <w:sz w:val="18"/>
                <w:szCs w:val="18"/>
              </w:rPr>
            </w:pPr>
            <w:r w:rsidRPr="00E97966">
              <w:rPr>
                <w:rFonts w:cs="Times New Roman"/>
                <w:noProof/>
                <w:sz w:val="18"/>
                <w:szCs w:val="18"/>
              </w:rPr>
              <w:t>ERAF</w:t>
            </w:r>
          </w:p>
        </w:tc>
        <w:tc>
          <w:tcPr>
            <w:tcW w:w="345" w:type="pct"/>
          </w:tcPr>
          <w:p w14:paraId="5D00B9E6" w14:textId="77777777" w:rsidR="00340D0B" w:rsidRPr="000975C8" w:rsidRDefault="00340D0B" w:rsidP="003155B0">
            <w:pPr>
              <w:pStyle w:val="Text1"/>
              <w:spacing w:before="0" w:after="0"/>
              <w:ind w:left="0"/>
              <w:rPr>
                <w:rFonts w:cs="Times New Roman"/>
                <w:sz w:val="18"/>
                <w:szCs w:val="18"/>
              </w:rPr>
            </w:pPr>
            <w:r w:rsidRPr="00E97966">
              <w:rPr>
                <w:rFonts w:cs="Times New Roman"/>
                <w:sz w:val="18"/>
                <w:szCs w:val="18"/>
              </w:rPr>
              <w:t>RCR11</w:t>
            </w:r>
          </w:p>
        </w:tc>
        <w:tc>
          <w:tcPr>
            <w:tcW w:w="766" w:type="pct"/>
            <w:shd w:val="clear" w:color="auto" w:fill="auto"/>
          </w:tcPr>
          <w:p w14:paraId="7FE89168" w14:textId="77777777" w:rsidR="00340D0B" w:rsidRPr="000975C8" w:rsidRDefault="00340D0B" w:rsidP="003155B0">
            <w:pPr>
              <w:pStyle w:val="Text1"/>
              <w:spacing w:before="0" w:after="0"/>
              <w:ind w:left="0"/>
              <w:rPr>
                <w:rFonts w:cs="Times New Roman"/>
                <w:sz w:val="18"/>
                <w:szCs w:val="18"/>
              </w:rPr>
            </w:pPr>
            <w:r w:rsidRPr="00F82ED5">
              <w:rPr>
                <w:sz w:val="18"/>
                <w:szCs w:val="18"/>
              </w:rPr>
              <w:t>Jaunu un pilnveidotu publisku digitālo pakalpojumu un lietojumprogrammu lietotāji</w:t>
            </w:r>
          </w:p>
        </w:tc>
        <w:tc>
          <w:tcPr>
            <w:tcW w:w="446" w:type="pct"/>
          </w:tcPr>
          <w:p w14:paraId="181F2F5B" w14:textId="77777777" w:rsidR="00340D0B" w:rsidRPr="000975C8" w:rsidRDefault="00340D0B" w:rsidP="003155B0">
            <w:pPr>
              <w:pStyle w:val="Text1"/>
              <w:spacing w:before="0" w:after="0"/>
              <w:ind w:left="0"/>
              <w:rPr>
                <w:rFonts w:cs="Times New Roman"/>
                <w:noProof/>
                <w:sz w:val="18"/>
                <w:szCs w:val="18"/>
              </w:rPr>
            </w:pPr>
            <w:r w:rsidRPr="00E97966">
              <w:rPr>
                <w:rFonts w:cs="Times New Roman"/>
                <w:noProof/>
                <w:sz w:val="18"/>
                <w:szCs w:val="18"/>
              </w:rPr>
              <w:t>Lietotāju (fiziskas personas) skaits</w:t>
            </w:r>
          </w:p>
        </w:tc>
        <w:tc>
          <w:tcPr>
            <w:tcW w:w="360" w:type="pct"/>
          </w:tcPr>
          <w:p w14:paraId="7F68712C" w14:textId="77777777" w:rsidR="00340D0B" w:rsidRDefault="00340D0B" w:rsidP="003155B0">
            <w:pPr>
              <w:pStyle w:val="Text1"/>
              <w:spacing w:before="0" w:after="0"/>
              <w:ind w:left="0"/>
              <w:jc w:val="left"/>
              <w:rPr>
                <w:rFonts w:cs="Times New Roman"/>
                <w:noProof/>
                <w:sz w:val="18"/>
                <w:szCs w:val="18"/>
              </w:rPr>
            </w:pPr>
            <w:r w:rsidRPr="00E97966">
              <w:rPr>
                <w:rFonts w:cs="Times New Roman"/>
                <w:noProof/>
                <w:sz w:val="18"/>
                <w:szCs w:val="18"/>
              </w:rPr>
              <w:t>706 840</w:t>
            </w:r>
          </w:p>
        </w:tc>
        <w:tc>
          <w:tcPr>
            <w:tcW w:w="421" w:type="pct"/>
          </w:tcPr>
          <w:p w14:paraId="64CAB140" w14:textId="77777777" w:rsidR="00340D0B" w:rsidRDefault="00340D0B" w:rsidP="003155B0">
            <w:pPr>
              <w:pStyle w:val="Text1"/>
              <w:spacing w:before="0" w:after="0"/>
              <w:ind w:left="0"/>
              <w:jc w:val="left"/>
              <w:rPr>
                <w:rFonts w:cs="Times New Roman"/>
                <w:noProof/>
                <w:sz w:val="18"/>
                <w:szCs w:val="18"/>
              </w:rPr>
            </w:pPr>
            <w:r>
              <w:rPr>
                <w:rFonts w:cs="Times New Roman"/>
                <w:noProof/>
                <w:sz w:val="18"/>
                <w:szCs w:val="18"/>
              </w:rPr>
              <w:t>2020</w:t>
            </w:r>
          </w:p>
        </w:tc>
        <w:tc>
          <w:tcPr>
            <w:tcW w:w="478" w:type="pct"/>
            <w:shd w:val="clear" w:color="auto" w:fill="auto"/>
          </w:tcPr>
          <w:p w14:paraId="4EFEBF4A" w14:textId="77777777" w:rsidR="00340D0B" w:rsidRDefault="00340D0B" w:rsidP="003155B0">
            <w:pPr>
              <w:pStyle w:val="Text1"/>
              <w:spacing w:before="0" w:after="0"/>
              <w:ind w:left="0"/>
              <w:jc w:val="left"/>
              <w:rPr>
                <w:rFonts w:cs="Times New Roman"/>
                <w:noProof/>
                <w:sz w:val="18"/>
                <w:szCs w:val="18"/>
              </w:rPr>
            </w:pPr>
            <w:r w:rsidRPr="00E97966">
              <w:rPr>
                <w:rFonts w:cs="Times New Roman"/>
                <w:noProof/>
                <w:sz w:val="18"/>
                <w:szCs w:val="18"/>
              </w:rPr>
              <w:t>1 411 679</w:t>
            </w:r>
          </w:p>
        </w:tc>
        <w:tc>
          <w:tcPr>
            <w:tcW w:w="469" w:type="pct"/>
            <w:shd w:val="clear" w:color="auto" w:fill="auto"/>
          </w:tcPr>
          <w:p w14:paraId="1DFD47F6" w14:textId="77777777" w:rsidR="00340D0B" w:rsidRPr="000975C8" w:rsidRDefault="00340D0B" w:rsidP="003155B0">
            <w:pPr>
              <w:pStyle w:val="Text1"/>
              <w:spacing w:before="0" w:after="0"/>
              <w:ind w:left="0"/>
              <w:jc w:val="left"/>
              <w:rPr>
                <w:rFonts w:cs="Times New Roman"/>
                <w:sz w:val="18"/>
                <w:szCs w:val="18"/>
              </w:rPr>
            </w:pPr>
            <w:r w:rsidRPr="00E97966">
              <w:rPr>
                <w:rFonts w:cs="Times New Roman"/>
                <w:sz w:val="18"/>
                <w:szCs w:val="18"/>
              </w:rPr>
              <w:t>Projekta dati</w:t>
            </w:r>
          </w:p>
        </w:tc>
        <w:tc>
          <w:tcPr>
            <w:tcW w:w="588" w:type="pct"/>
          </w:tcPr>
          <w:p w14:paraId="18BE6630" w14:textId="77777777" w:rsidR="00340D0B" w:rsidRPr="000975C8" w:rsidRDefault="00340D0B" w:rsidP="003155B0">
            <w:pPr>
              <w:spacing w:before="0" w:after="0"/>
              <w:jc w:val="left"/>
              <w:rPr>
                <w:sz w:val="18"/>
                <w:szCs w:val="18"/>
              </w:rPr>
            </w:pPr>
            <w:r w:rsidRPr="00E97966">
              <w:rPr>
                <w:sz w:val="18"/>
                <w:szCs w:val="18"/>
              </w:rPr>
              <w:t>Plānotā vērtība (2029) atbilstoši rādītāju pases apŗēķiniem.</w:t>
            </w:r>
          </w:p>
        </w:tc>
      </w:tr>
      <w:tr w:rsidR="00340D0B" w:rsidRPr="00BF555E" w14:paraId="2AF70383" w14:textId="77777777" w:rsidTr="003155B0">
        <w:trPr>
          <w:trHeight w:val="286"/>
        </w:trPr>
        <w:tc>
          <w:tcPr>
            <w:tcW w:w="440" w:type="pct"/>
            <w:shd w:val="clear" w:color="auto" w:fill="FFFFFF" w:themeFill="background1"/>
          </w:tcPr>
          <w:p w14:paraId="7D363660"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2.1.prioritāte</w:t>
            </w:r>
          </w:p>
        </w:tc>
        <w:tc>
          <w:tcPr>
            <w:tcW w:w="398" w:type="pct"/>
            <w:shd w:val="clear" w:color="auto" w:fill="FFFFFF" w:themeFill="background1"/>
          </w:tcPr>
          <w:p w14:paraId="23D102CD"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EM/ VARAM/ IZM: 2.1.1.SM</w:t>
            </w:r>
          </w:p>
          <w:p w14:paraId="24654B1D" w14:textId="77777777" w:rsidR="00340D0B" w:rsidRPr="00BF555E" w:rsidRDefault="00340D0B" w:rsidP="003155B0">
            <w:pPr>
              <w:pStyle w:val="Text1"/>
              <w:spacing w:before="0" w:after="0"/>
              <w:ind w:left="0"/>
              <w:rPr>
                <w:rFonts w:cs="Times New Roman"/>
                <w:noProof/>
                <w:sz w:val="18"/>
                <w:szCs w:val="18"/>
              </w:rPr>
            </w:pPr>
          </w:p>
        </w:tc>
        <w:tc>
          <w:tcPr>
            <w:tcW w:w="289" w:type="pct"/>
            <w:shd w:val="clear" w:color="auto" w:fill="FFFFFF" w:themeFill="background1"/>
          </w:tcPr>
          <w:p w14:paraId="5CFF6CCD"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ERAF</w:t>
            </w:r>
          </w:p>
        </w:tc>
        <w:tc>
          <w:tcPr>
            <w:tcW w:w="345" w:type="pct"/>
            <w:shd w:val="clear" w:color="auto" w:fill="FFFFFF" w:themeFill="background1"/>
          </w:tcPr>
          <w:p w14:paraId="4DFDE96F" w14:textId="77777777" w:rsidR="00340D0B" w:rsidRPr="00BF555E" w:rsidRDefault="00340D0B" w:rsidP="003155B0">
            <w:pPr>
              <w:pStyle w:val="Text1"/>
              <w:spacing w:before="0" w:after="0"/>
              <w:ind w:left="0"/>
              <w:rPr>
                <w:rFonts w:cs="Times New Roman"/>
                <w:noProof/>
                <w:sz w:val="18"/>
                <w:szCs w:val="18"/>
              </w:rPr>
            </w:pPr>
            <w:r w:rsidRPr="00BF555E">
              <w:rPr>
                <w:rFonts w:cs="Times New Roman"/>
                <w:sz w:val="18"/>
                <w:szCs w:val="18"/>
              </w:rPr>
              <w:t>RCR 26</w:t>
            </w:r>
          </w:p>
        </w:tc>
        <w:tc>
          <w:tcPr>
            <w:tcW w:w="766" w:type="pct"/>
            <w:shd w:val="clear" w:color="auto" w:fill="FFFFFF" w:themeFill="background1"/>
          </w:tcPr>
          <w:p w14:paraId="20F135EC" w14:textId="77777777" w:rsidR="00340D0B" w:rsidRPr="00BF555E" w:rsidRDefault="00340D0B" w:rsidP="003155B0">
            <w:pPr>
              <w:pStyle w:val="Default"/>
              <w:spacing w:after="0" w:line="240" w:lineRule="auto"/>
              <w:jc w:val="both"/>
              <w:rPr>
                <w:noProof/>
                <w:color w:val="auto"/>
                <w:sz w:val="18"/>
                <w:szCs w:val="18"/>
              </w:rPr>
            </w:pPr>
            <w:r w:rsidRPr="00BF555E">
              <w:rPr>
                <w:color w:val="auto"/>
                <w:sz w:val="18"/>
                <w:szCs w:val="18"/>
              </w:rPr>
              <w:t>Primārais enerģijas ikgadējais patēriņš (no tā: mājokļi, publiskās ēkas, uzņēmumi, citi)</w:t>
            </w:r>
          </w:p>
        </w:tc>
        <w:tc>
          <w:tcPr>
            <w:tcW w:w="446" w:type="pct"/>
            <w:shd w:val="clear" w:color="auto" w:fill="FFFFFF" w:themeFill="background1"/>
          </w:tcPr>
          <w:p w14:paraId="60AE561B"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MW</w:t>
            </w:r>
            <w:r>
              <w:rPr>
                <w:rFonts w:cs="Times New Roman"/>
                <w:noProof/>
                <w:sz w:val="18"/>
                <w:szCs w:val="18"/>
              </w:rPr>
              <w:t>h</w:t>
            </w:r>
            <w:r w:rsidRPr="00BF555E">
              <w:rPr>
                <w:rFonts w:cs="Times New Roman"/>
                <w:noProof/>
                <w:sz w:val="18"/>
                <w:szCs w:val="18"/>
              </w:rPr>
              <w:t>/gadā</w:t>
            </w:r>
          </w:p>
        </w:tc>
        <w:tc>
          <w:tcPr>
            <w:tcW w:w="360" w:type="pct"/>
            <w:shd w:val="clear" w:color="auto" w:fill="FFFFFF" w:themeFill="background1"/>
          </w:tcPr>
          <w:p w14:paraId="1B2A2C91"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 xml:space="preserve">EM: </w:t>
            </w:r>
            <w:r>
              <w:rPr>
                <w:rFonts w:cs="Times New Roman"/>
                <w:noProof/>
                <w:sz w:val="18"/>
                <w:szCs w:val="18"/>
              </w:rPr>
              <w:t xml:space="preserve">151 518 </w:t>
            </w:r>
          </w:p>
          <w:p w14:paraId="3BFC7996" w14:textId="77777777" w:rsidR="00340D0B" w:rsidRPr="00BF555E" w:rsidRDefault="00340D0B" w:rsidP="003155B0">
            <w:pPr>
              <w:pStyle w:val="Text1"/>
              <w:spacing w:before="0" w:after="0"/>
              <w:ind w:left="0"/>
              <w:rPr>
                <w:rFonts w:cs="Times New Roman"/>
                <w:noProof/>
                <w:sz w:val="18"/>
                <w:szCs w:val="18"/>
              </w:rPr>
            </w:pPr>
          </w:p>
          <w:p w14:paraId="5FD15132"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VARAM: 874 310</w:t>
            </w:r>
          </w:p>
          <w:p w14:paraId="7C24E5F8" w14:textId="77777777" w:rsidR="00340D0B" w:rsidRPr="00BF555E" w:rsidRDefault="00340D0B" w:rsidP="003155B0">
            <w:pPr>
              <w:pStyle w:val="Text1"/>
              <w:spacing w:before="0" w:after="0"/>
              <w:ind w:left="0"/>
              <w:rPr>
                <w:rFonts w:cs="Times New Roman"/>
                <w:noProof/>
                <w:sz w:val="18"/>
                <w:szCs w:val="18"/>
              </w:rPr>
            </w:pPr>
          </w:p>
          <w:p w14:paraId="2E975022"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IZM: 57 012</w:t>
            </w:r>
          </w:p>
        </w:tc>
        <w:tc>
          <w:tcPr>
            <w:tcW w:w="421" w:type="pct"/>
            <w:shd w:val="clear" w:color="auto" w:fill="FFFFFF" w:themeFill="background1"/>
          </w:tcPr>
          <w:p w14:paraId="7DE9F7B2"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 xml:space="preserve">EM: </w:t>
            </w:r>
            <w:r>
              <w:rPr>
                <w:rFonts w:cs="Times New Roman"/>
                <w:noProof/>
                <w:sz w:val="18"/>
                <w:szCs w:val="18"/>
              </w:rPr>
              <w:t>2019</w:t>
            </w:r>
          </w:p>
          <w:p w14:paraId="13D07595" w14:textId="77777777" w:rsidR="00340D0B" w:rsidRPr="00BF555E" w:rsidRDefault="00340D0B" w:rsidP="003155B0">
            <w:pPr>
              <w:pStyle w:val="Text1"/>
              <w:spacing w:before="0" w:after="0"/>
              <w:ind w:left="0"/>
              <w:rPr>
                <w:rFonts w:cs="Times New Roman"/>
                <w:noProof/>
                <w:sz w:val="18"/>
                <w:szCs w:val="18"/>
              </w:rPr>
            </w:pPr>
          </w:p>
          <w:p w14:paraId="3F3B89CE" w14:textId="77777777" w:rsidR="00340D0B" w:rsidRDefault="00340D0B" w:rsidP="003155B0">
            <w:pPr>
              <w:pStyle w:val="Text1"/>
              <w:spacing w:before="0" w:after="0"/>
              <w:ind w:left="0"/>
              <w:rPr>
                <w:rFonts w:cs="Times New Roman"/>
                <w:noProof/>
                <w:sz w:val="18"/>
                <w:szCs w:val="18"/>
              </w:rPr>
            </w:pPr>
            <w:r w:rsidRPr="00BF555E">
              <w:rPr>
                <w:rFonts w:cs="Times New Roman"/>
                <w:noProof/>
                <w:sz w:val="18"/>
                <w:szCs w:val="18"/>
              </w:rPr>
              <w:t>VARAM: 2019</w:t>
            </w:r>
          </w:p>
          <w:p w14:paraId="6A2271E9" w14:textId="77777777" w:rsidR="00340D0B" w:rsidRPr="00BF555E" w:rsidRDefault="00340D0B" w:rsidP="003155B0">
            <w:pPr>
              <w:pStyle w:val="Text1"/>
              <w:spacing w:before="0" w:after="0"/>
              <w:ind w:left="0"/>
              <w:rPr>
                <w:rFonts w:cs="Times New Roman"/>
                <w:noProof/>
                <w:sz w:val="18"/>
                <w:szCs w:val="18"/>
              </w:rPr>
            </w:pPr>
            <w:r>
              <w:rPr>
                <w:rFonts w:cs="Times New Roman"/>
                <w:noProof/>
                <w:sz w:val="18"/>
                <w:szCs w:val="18"/>
              </w:rPr>
              <w:t>IZM: 2019</w:t>
            </w:r>
          </w:p>
        </w:tc>
        <w:tc>
          <w:tcPr>
            <w:tcW w:w="478" w:type="pct"/>
            <w:shd w:val="clear" w:color="auto" w:fill="FFFFFF" w:themeFill="background1"/>
          </w:tcPr>
          <w:p w14:paraId="4678DBD3"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 xml:space="preserve">EM: </w:t>
            </w:r>
            <w:r>
              <w:rPr>
                <w:rFonts w:cs="Times New Roman"/>
                <w:noProof/>
                <w:sz w:val="18"/>
                <w:szCs w:val="18"/>
              </w:rPr>
              <w:t xml:space="preserve">1 294 955 </w:t>
            </w:r>
          </w:p>
          <w:p w14:paraId="259601E0"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 xml:space="preserve"> 123VARAM: </w:t>
            </w:r>
          </w:p>
          <w:p w14:paraId="06D2A826"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868 806</w:t>
            </w:r>
          </w:p>
          <w:p w14:paraId="5A896F01" w14:textId="77777777" w:rsidR="00340D0B" w:rsidRPr="00BF555E" w:rsidRDefault="00340D0B" w:rsidP="003155B0">
            <w:pPr>
              <w:pStyle w:val="Text1"/>
              <w:spacing w:before="0" w:after="0"/>
              <w:ind w:left="0"/>
              <w:rPr>
                <w:rFonts w:cs="Times New Roman"/>
                <w:noProof/>
                <w:sz w:val="18"/>
                <w:szCs w:val="18"/>
              </w:rPr>
            </w:pPr>
          </w:p>
          <w:p w14:paraId="657451DA"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IZM: 55 244</w:t>
            </w:r>
          </w:p>
        </w:tc>
        <w:tc>
          <w:tcPr>
            <w:tcW w:w="469" w:type="pct"/>
            <w:shd w:val="clear" w:color="auto" w:fill="FFFFFF" w:themeFill="background1"/>
          </w:tcPr>
          <w:p w14:paraId="3A7505E4"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EM: *</w:t>
            </w:r>
          </w:p>
          <w:p w14:paraId="366FD2AC"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VARAM/IZM: Projektu dati</w:t>
            </w:r>
          </w:p>
        </w:tc>
        <w:tc>
          <w:tcPr>
            <w:tcW w:w="588" w:type="pct"/>
            <w:shd w:val="clear" w:color="auto" w:fill="FFFFFF" w:themeFill="background1"/>
          </w:tcPr>
          <w:p w14:paraId="7AF1D7F6" w14:textId="77777777" w:rsidR="00340D0B" w:rsidRPr="00BF555E" w:rsidRDefault="00340D0B" w:rsidP="003155B0">
            <w:pPr>
              <w:spacing w:before="0" w:after="0"/>
              <w:rPr>
                <w:noProof/>
                <w:sz w:val="18"/>
                <w:szCs w:val="18"/>
              </w:rPr>
            </w:pPr>
          </w:p>
        </w:tc>
      </w:tr>
      <w:tr w:rsidR="00340D0B" w:rsidRPr="00BF555E" w14:paraId="3C4A0C2D" w14:textId="77777777" w:rsidTr="003155B0">
        <w:trPr>
          <w:trHeight w:val="286"/>
        </w:trPr>
        <w:tc>
          <w:tcPr>
            <w:tcW w:w="440" w:type="pct"/>
            <w:shd w:val="clear" w:color="auto" w:fill="FFFFFF" w:themeFill="background1"/>
          </w:tcPr>
          <w:p w14:paraId="614E77E7" w14:textId="77777777" w:rsidR="00340D0B" w:rsidRPr="00BF555E" w:rsidRDefault="00340D0B" w:rsidP="003155B0">
            <w:pPr>
              <w:pStyle w:val="Text1"/>
              <w:spacing w:before="0" w:after="0"/>
              <w:ind w:left="0"/>
              <w:rPr>
                <w:rFonts w:cs="Times New Roman"/>
                <w:noProof/>
                <w:sz w:val="18"/>
                <w:szCs w:val="18"/>
              </w:rPr>
            </w:pPr>
            <w:r>
              <w:rPr>
                <w:rFonts w:cs="Times New Roman"/>
                <w:noProof/>
                <w:sz w:val="18"/>
                <w:szCs w:val="18"/>
              </w:rPr>
              <w:t>2.1.prioritāte</w:t>
            </w:r>
          </w:p>
        </w:tc>
        <w:tc>
          <w:tcPr>
            <w:tcW w:w="398" w:type="pct"/>
            <w:shd w:val="clear" w:color="auto" w:fill="FFFFFF" w:themeFill="background1"/>
          </w:tcPr>
          <w:p w14:paraId="1A5AC56B" w14:textId="77777777" w:rsidR="00340D0B" w:rsidRPr="00BF555E" w:rsidRDefault="00340D0B" w:rsidP="003155B0">
            <w:pPr>
              <w:pStyle w:val="Text1"/>
              <w:spacing w:before="0" w:after="0"/>
              <w:ind w:left="0"/>
              <w:rPr>
                <w:rFonts w:cs="Times New Roman"/>
                <w:noProof/>
                <w:sz w:val="18"/>
                <w:szCs w:val="18"/>
              </w:rPr>
            </w:pPr>
            <w:r>
              <w:rPr>
                <w:rFonts w:cs="Times New Roman"/>
                <w:noProof/>
                <w:sz w:val="18"/>
                <w:szCs w:val="18"/>
              </w:rPr>
              <w:t>2.1.2.SAM</w:t>
            </w:r>
          </w:p>
        </w:tc>
        <w:tc>
          <w:tcPr>
            <w:tcW w:w="289" w:type="pct"/>
            <w:shd w:val="clear" w:color="auto" w:fill="FFFFFF" w:themeFill="background1"/>
          </w:tcPr>
          <w:p w14:paraId="27544DF3" w14:textId="77777777" w:rsidR="00340D0B" w:rsidRPr="00BF555E" w:rsidRDefault="00340D0B" w:rsidP="003155B0">
            <w:pPr>
              <w:pStyle w:val="Text1"/>
              <w:spacing w:before="0" w:after="0"/>
              <w:ind w:left="0"/>
              <w:rPr>
                <w:rFonts w:cs="Times New Roman"/>
                <w:noProof/>
                <w:sz w:val="18"/>
                <w:szCs w:val="18"/>
              </w:rPr>
            </w:pPr>
            <w:r>
              <w:rPr>
                <w:rFonts w:cs="Times New Roman"/>
                <w:noProof/>
                <w:sz w:val="18"/>
                <w:szCs w:val="18"/>
              </w:rPr>
              <w:t>EARF</w:t>
            </w:r>
          </w:p>
        </w:tc>
        <w:tc>
          <w:tcPr>
            <w:tcW w:w="345" w:type="pct"/>
            <w:shd w:val="clear" w:color="auto" w:fill="FFFFFF" w:themeFill="background1"/>
          </w:tcPr>
          <w:p w14:paraId="683F1FF8" w14:textId="77777777" w:rsidR="00340D0B" w:rsidRPr="00BF555E" w:rsidRDefault="00340D0B" w:rsidP="003155B0">
            <w:pPr>
              <w:pStyle w:val="Text1"/>
              <w:spacing w:before="0" w:after="0"/>
              <w:ind w:left="0"/>
              <w:rPr>
                <w:rFonts w:cs="Times New Roman"/>
                <w:sz w:val="18"/>
                <w:szCs w:val="18"/>
              </w:rPr>
            </w:pPr>
            <w:r>
              <w:rPr>
                <w:rFonts w:cs="Times New Roman"/>
                <w:sz w:val="18"/>
                <w:szCs w:val="18"/>
              </w:rPr>
              <w:t>RCR 31</w:t>
            </w:r>
          </w:p>
        </w:tc>
        <w:tc>
          <w:tcPr>
            <w:tcW w:w="766" w:type="pct"/>
            <w:shd w:val="clear" w:color="auto" w:fill="FFFFFF" w:themeFill="background1"/>
          </w:tcPr>
          <w:p w14:paraId="58BA4BE0" w14:textId="77777777" w:rsidR="00340D0B" w:rsidRPr="00BF555E" w:rsidRDefault="00340D0B" w:rsidP="003155B0">
            <w:pPr>
              <w:pStyle w:val="Default"/>
              <w:spacing w:after="0" w:line="240" w:lineRule="auto"/>
              <w:jc w:val="both"/>
              <w:rPr>
                <w:color w:val="auto"/>
                <w:sz w:val="18"/>
                <w:szCs w:val="18"/>
              </w:rPr>
            </w:pPr>
            <w:r w:rsidRPr="007911EB">
              <w:rPr>
                <w:iCs/>
                <w:sz w:val="20"/>
                <w:szCs w:val="20"/>
              </w:rPr>
              <w:t>Kopējā saražotā atjaunojamā enerģija (t.sk. elektroenerģija, siltumenerģijas)</w:t>
            </w:r>
          </w:p>
        </w:tc>
        <w:tc>
          <w:tcPr>
            <w:tcW w:w="446" w:type="pct"/>
            <w:shd w:val="clear" w:color="auto" w:fill="FFFFFF" w:themeFill="background1"/>
          </w:tcPr>
          <w:p w14:paraId="7DFDC7F5" w14:textId="77777777" w:rsidR="00340D0B" w:rsidRPr="00BF555E" w:rsidRDefault="00340D0B" w:rsidP="003155B0">
            <w:pPr>
              <w:pStyle w:val="Text1"/>
              <w:spacing w:before="0" w:after="0"/>
              <w:ind w:left="0"/>
              <w:rPr>
                <w:rFonts w:cs="Times New Roman"/>
                <w:noProof/>
                <w:sz w:val="18"/>
                <w:szCs w:val="18"/>
              </w:rPr>
            </w:pPr>
            <w:r>
              <w:rPr>
                <w:rFonts w:cs="Times New Roman"/>
                <w:noProof/>
                <w:sz w:val="18"/>
                <w:szCs w:val="18"/>
              </w:rPr>
              <w:t>MWh/gadā</w:t>
            </w:r>
          </w:p>
        </w:tc>
        <w:tc>
          <w:tcPr>
            <w:tcW w:w="360" w:type="pct"/>
            <w:shd w:val="clear" w:color="auto" w:fill="FFFFFF" w:themeFill="background1"/>
          </w:tcPr>
          <w:p w14:paraId="0BECFE50" w14:textId="77777777" w:rsidR="00340D0B" w:rsidRPr="00BF555E" w:rsidRDefault="00340D0B" w:rsidP="003155B0">
            <w:pPr>
              <w:pStyle w:val="Text1"/>
              <w:spacing w:before="0" w:after="0"/>
              <w:ind w:left="0"/>
              <w:rPr>
                <w:rFonts w:cs="Times New Roman"/>
                <w:noProof/>
                <w:sz w:val="18"/>
                <w:szCs w:val="18"/>
              </w:rPr>
            </w:pPr>
            <w:r>
              <w:rPr>
                <w:rFonts w:cs="Times New Roman"/>
                <w:noProof/>
                <w:sz w:val="18"/>
                <w:szCs w:val="18"/>
              </w:rPr>
              <w:t>0</w:t>
            </w:r>
          </w:p>
        </w:tc>
        <w:tc>
          <w:tcPr>
            <w:tcW w:w="421" w:type="pct"/>
            <w:shd w:val="clear" w:color="auto" w:fill="FFFFFF" w:themeFill="background1"/>
          </w:tcPr>
          <w:p w14:paraId="1DE503BA" w14:textId="77777777" w:rsidR="00340D0B" w:rsidRPr="00BF555E" w:rsidRDefault="00340D0B" w:rsidP="003155B0">
            <w:pPr>
              <w:pStyle w:val="Text1"/>
              <w:spacing w:before="0" w:after="0"/>
              <w:ind w:left="0"/>
              <w:rPr>
                <w:rFonts w:cs="Times New Roman"/>
                <w:noProof/>
                <w:sz w:val="18"/>
                <w:szCs w:val="18"/>
              </w:rPr>
            </w:pPr>
            <w:r>
              <w:rPr>
                <w:rFonts w:cs="Times New Roman"/>
                <w:noProof/>
                <w:sz w:val="18"/>
                <w:szCs w:val="18"/>
              </w:rPr>
              <w:t>2020</w:t>
            </w:r>
          </w:p>
        </w:tc>
        <w:tc>
          <w:tcPr>
            <w:tcW w:w="478" w:type="pct"/>
            <w:shd w:val="clear" w:color="auto" w:fill="FFFFFF" w:themeFill="background1"/>
          </w:tcPr>
          <w:p w14:paraId="75CCC70A" w14:textId="77777777" w:rsidR="00340D0B" w:rsidRPr="00BF555E" w:rsidRDefault="00340D0B" w:rsidP="003155B0">
            <w:pPr>
              <w:pStyle w:val="Text1"/>
              <w:spacing w:before="0" w:after="0"/>
              <w:ind w:left="0"/>
              <w:rPr>
                <w:rFonts w:cs="Times New Roman"/>
                <w:noProof/>
                <w:sz w:val="18"/>
                <w:szCs w:val="18"/>
              </w:rPr>
            </w:pPr>
            <w:r>
              <w:rPr>
                <w:rFonts w:cs="Times New Roman"/>
                <w:noProof/>
                <w:sz w:val="18"/>
                <w:szCs w:val="18"/>
              </w:rPr>
              <w:t xml:space="preserve">11 085 </w:t>
            </w:r>
          </w:p>
        </w:tc>
        <w:tc>
          <w:tcPr>
            <w:tcW w:w="469" w:type="pct"/>
            <w:shd w:val="clear" w:color="auto" w:fill="FFFFFF" w:themeFill="background1"/>
          </w:tcPr>
          <w:p w14:paraId="4BFCCDFB" w14:textId="77777777" w:rsidR="00340D0B" w:rsidRPr="00BF555E" w:rsidRDefault="00340D0B" w:rsidP="003155B0">
            <w:pPr>
              <w:pStyle w:val="Text1"/>
              <w:spacing w:before="0" w:after="0"/>
              <w:ind w:left="0"/>
              <w:rPr>
                <w:rFonts w:cs="Times New Roman"/>
                <w:noProof/>
                <w:sz w:val="18"/>
                <w:szCs w:val="18"/>
              </w:rPr>
            </w:pPr>
            <w:r>
              <w:rPr>
                <w:rFonts w:cs="Times New Roman"/>
                <w:noProof/>
                <w:sz w:val="18"/>
                <w:szCs w:val="18"/>
              </w:rPr>
              <w:t xml:space="preserve">Projektu dati </w:t>
            </w:r>
          </w:p>
        </w:tc>
        <w:tc>
          <w:tcPr>
            <w:tcW w:w="588" w:type="pct"/>
            <w:shd w:val="clear" w:color="auto" w:fill="FFFFFF" w:themeFill="background1"/>
          </w:tcPr>
          <w:p w14:paraId="3C77000F" w14:textId="77777777" w:rsidR="00340D0B" w:rsidRPr="00BF555E" w:rsidRDefault="00340D0B" w:rsidP="003155B0">
            <w:pPr>
              <w:spacing w:before="0" w:after="0"/>
              <w:rPr>
                <w:noProof/>
                <w:sz w:val="18"/>
                <w:szCs w:val="18"/>
              </w:rPr>
            </w:pPr>
          </w:p>
        </w:tc>
      </w:tr>
      <w:tr w:rsidR="00340D0B" w:rsidRPr="00BF555E" w14:paraId="14633DE7" w14:textId="77777777" w:rsidTr="003155B0">
        <w:trPr>
          <w:trHeight w:val="286"/>
        </w:trPr>
        <w:tc>
          <w:tcPr>
            <w:tcW w:w="440" w:type="pct"/>
          </w:tcPr>
          <w:p w14:paraId="7FC1F42F" w14:textId="77777777" w:rsidR="00340D0B" w:rsidRPr="00BF555E" w:rsidRDefault="00340D0B" w:rsidP="003155B0">
            <w:pPr>
              <w:pStyle w:val="Text1"/>
              <w:spacing w:before="0" w:after="0"/>
              <w:ind w:left="0"/>
              <w:rPr>
                <w:rFonts w:cs="Times New Roman"/>
                <w:noProof/>
                <w:sz w:val="18"/>
                <w:szCs w:val="18"/>
              </w:rPr>
            </w:pPr>
            <w:r w:rsidRPr="000975C8">
              <w:rPr>
                <w:rFonts w:cs="Times New Roman"/>
                <w:noProof/>
                <w:sz w:val="18"/>
                <w:szCs w:val="18"/>
              </w:rPr>
              <w:t>2.1.prioritāte</w:t>
            </w:r>
          </w:p>
        </w:tc>
        <w:tc>
          <w:tcPr>
            <w:tcW w:w="398" w:type="pct"/>
          </w:tcPr>
          <w:p w14:paraId="4EC1A71C" w14:textId="77777777" w:rsidR="00340D0B" w:rsidRPr="00BF555E" w:rsidRDefault="00340D0B" w:rsidP="003155B0">
            <w:pPr>
              <w:pStyle w:val="Text1"/>
              <w:spacing w:before="0" w:after="0"/>
              <w:ind w:left="0"/>
              <w:rPr>
                <w:rFonts w:cs="Times New Roman"/>
                <w:noProof/>
                <w:sz w:val="18"/>
                <w:szCs w:val="18"/>
              </w:rPr>
            </w:pPr>
            <w:r w:rsidRPr="000975C8">
              <w:rPr>
                <w:rFonts w:cs="Times New Roman"/>
                <w:noProof/>
                <w:sz w:val="18"/>
                <w:szCs w:val="18"/>
              </w:rPr>
              <w:t>2.1.3.SAM</w:t>
            </w:r>
          </w:p>
        </w:tc>
        <w:tc>
          <w:tcPr>
            <w:tcW w:w="289" w:type="pct"/>
          </w:tcPr>
          <w:p w14:paraId="7634B6B5" w14:textId="77777777" w:rsidR="00340D0B" w:rsidRPr="00BF555E" w:rsidRDefault="00340D0B" w:rsidP="003155B0">
            <w:pPr>
              <w:pStyle w:val="Text1"/>
              <w:spacing w:before="0" w:after="0"/>
              <w:ind w:left="0"/>
              <w:rPr>
                <w:rFonts w:cs="Times New Roman"/>
                <w:noProof/>
                <w:sz w:val="18"/>
                <w:szCs w:val="18"/>
              </w:rPr>
            </w:pPr>
            <w:r w:rsidRPr="000975C8">
              <w:rPr>
                <w:rFonts w:cs="Times New Roman"/>
                <w:noProof/>
                <w:sz w:val="18"/>
                <w:szCs w:val="18"/>
              </w:rPr>
              <w:t>ERAF</w:t>
            </w:r>
          </w:p>
        </w:tc>
        <w:tc>
          <w:tcPr>
            <w:tcW w:w="345" w:type="pct"/>
          </w:tcPr>
          <w:p w14:paraId="5F524047" w14:textId="77777777" w:rsidR="00340D0B" w:rsidRPr="00BF555E" w:rsidRDefault="00340D0B" w:rsidP="003155B0">
            <w:pPr>
              <w:pStyle w:val="Text1"/>
              <w:spacing w:before="0" w:after="0"/>
              <w:ind w:left="0"/>
              <w:rPr>
                <w:rFonts w:cs="Times New Roman"/>
                <w:sz w:val="18"/>
                <w:szCs w:val="18"/>
              </w:rPr>
            </w:pPr>
            <w:r w:rsidRPr="000975C8">
              <w:rPr>
                <w:rFonts w:cs="Times New Roman"/>
                <w:sz w:val="18"/>
                <w:szCs w:val="18"/>
              </w:rPr>
              <w:t>RCR29</w:t>
            </w:r>
          </w:p>
        </w:tc>
        <w:tc>
          <w:tcPr>
            <w:tcW w:w="766" w:type="pct"/>
            <w:shd w:val="clear" w:color="auto" w:fill="auto"/>
          </w:tcPr>
          <w:p w14:paraId="7178CDD0" w14:textId="77777777" w:rsidR="00340D0B" w:rsidRPr="00BF555E" w:rsidRDefault="00340D0B" w:rsidP="003155B0">
            <w:pPr>
              <w:pStyle w:val="Default"/>
              <w:spacing w:after="0" w:line="240" w:lineRule="auto"/>
              <w:jc w:val="both"/>
              <w:rPr>
                <w:color w:val="auto"/>
                <w:sz w:val="18"/>
                <w:szCs w:val="18"/>
              </w:rPr>
            </w:pPr>
            <w:r w:rsidRPr="000975C8">
              <w:rPr>
                <w:color w:val="auto"/>
                <w:sz w:val="18"/>
                <w:szCs w:val="18"/>
              </w:rPr>
              <w:t>Plānotais siltumnīcefekta gāzu emisiju apjoms</w:t>
            </w:r>
          </w:p>
        </w:tc>
        <w:tc>
          <w:tcPr>
            <w:tcW w:w="446" w:type="pct"/>
          </w:tcPr>
          <w:p w14:paraId="427CA597" w14:textId="77777777" w:rsidR="00340D0B" w:rsidRPr="00BF555E" w:rsidRDefault="00340D0B" w:rsidP="003155B0">
            <w:pPr>
              <w:pStyle w:val="Text1"/>
              <w:spacing w:before="0" w:after="0"/>
              <w:ind w:left="0"/>
              <w:rPr>
                <w:rFonts w:cs="Times New Roman"/>
                <w:noProof/>
                <w:sz w:val="18"/>
                <w:szCs w:val="18"/>
              </w:rPr>
            </w:pPr>
            <w:r w:rsidRPr="000975C8">
              <w:rPr>
                <w:rFonts w:cs="Times New Roman"/>
                <w:noProof/>
                <w:sz w:val="18"/>
                <w:szCs w:val="18"/>
              </w:rPr>
              <w:t>CO2 tonnas/gadā</w:t>
            </w:r>
          </w:p>
        </w:tc>
        <w:tc>
          <w:tcPr>
            <w:tcW w:w="360" w:type="pct"/>
          </w:tcPr>
          <w:p w14:paraId="42E9639A" w14:textId="77777777" w:rsidR="00340D0B" w:rsidRPr="00BF555E" w:rsidRDefault="00340D0B" w:rsidP="003155B0">
            <w:pPr>
              <w:pStyle w:val="Text1"/>
              <w:spacing w:before="0" w:after="0"/>
              <w:ind w:left="0"/>
              <w:rPr>
                <w:rFonts w:cs="Times New Roman"/>
                <w:noProof/>
                <w:sz w:val="18"/>
                <w:szCs w:val="18"/>
              </w:rPr>
            </w:pPr>
            <w:r>
              <w:rPr>
                <w:rFonts w:cs="Times New Roman"/>
                <w:noProof/>
                <w:sz w:val="18"/>
                <w:szCs w:val="18"/>
              </w:rPr>
              <w:t>IEM: *</w:t>
            </w:r>
          </w:p>
        </w:tc>
        <w:tc>
          <w:tcPr>
            <w:tcW w:w="421" w:type="pct"/>
          </w:tcPr>
          <w:p w14:paraId="0E9EEB4E" w14:textId="77777777" w:rsidR="00340D0B" w:rsidRPr="00BF555E" w:rsidRDefault="00340D0B" w:rsidP="003155B0">
            <w:pPr>
              <w:pStyle w:val="Text1"/>
              <w:spacing w:before="0" w:after="0"/>
              <w:ind w:left="0"/>
              <w:rPr>
                <w:rFonts w:cs="Times New Roman"/>
                <w:noProof/>
                <w:sz w:val="18"/>
                <w:szCs w:val="18"/>
              </w:rPr>
            </w:pPr>
            <w:r>
              <w:rPr>
                <w:rFonts w:cs="Times New Roman"/>
                <w:noProof/>
                <w:sz w:val="18"/>
                <w:szCs w:val="18"/>
              </w:rPr>
              <w:t>2020</w:t>
            </w:r>
          </w:p>
        </w:tc>
        <w:tc>
          <w:tcPr>
            <w:tcW w:w="478" w:type="pct"/>
            <w:shd w:val="clear" w:color="auto" w:fill="auto"/>
          </w:tcPr>
          <w:p w14:paraId="01B5D972" w14:textId="77777777" w:rsidR="00340D0B" w:rsidRPr="00BF555E" w:rsidRDefault="00340D0B" w:rsidP="003155B0">
            <w:pPr>
              <w:pStyle w:val="Text1"/>
              <w:spacing w:before="0" w:after="0"/>
              <w:ind w:left="0"/>
              <w:rPr>
                <w:rFonts w:cs="Times New Roman"/>
                <w:noProof/>
                <w:sz w:val="18"/>
                <w:szCs w:val="18"/>
              </w:rPr>
            </w:pPr>
            <w:r>
              <w:rPr>
                <w:rFonts w:cs="Times New Roman"/>
                <w:noProof/>
                <w:sz w:val="18"/>
                <w:szCs w:val="18"/>
              </w:rPr>
              <w:t>IEM:*</w:t>
            </w:r>
          </w:p>
        </w:tc>
        <w:tc>
          <w:tcPr>
            <w:tcW w:w="469" w:type="pct"/>
            <w:shd w:val="clear" w:color="auto" w:fill="auto"/>
          </w:tcPr>
          <w:p w14:paraId="3863902E" w14:textId="77777777" w:rsidR="00340D0B" w:rsidRPr="00BF555E" w:rsidRDefault="00340D0B" w:rsidP="003155B0">
            <w:pPr>
              <w:pStyle w:val="Text1"/>
              <w:spacing w:before="0" w:after="0"/>
              <w:ind w:left="0"/>
              <w:rPr>
                <w:rFonts w:cs="Times New Roman"/>
                <w:noProof/>
                <w:sz w:val="18"/>
                <w:szCs w:val="18"/>
              </w:rPr>
            </w:pPr>
            <w:r w:rsidRPr="000975C8">
              <w:rPr>
                <w:rFonts w:cs="Times New Roman"/>
                <w:noProof/>
                <w:sz w:val="18"/>
                <w:szCs w:val="18"/>
              </w:rPr>
              <w:t>Pētījuma dati</w:t>
            </w:r>
          </w:p>
        </w:tc>
        <w:tc>
          <w:tcPr>
            <w:tcW w:w="588" w:type="pct"/>
          </w:tcPr>
          <w:p w14:paraId="5E9EFD2B" w14:textId="77777777" w:rsidR="00340D0B" w:rsidRPr="00BF555E" w:rsidRDefault="00340D0B" w:rsidP="003155B0">
            <w:pPr>
              <w:spacing w:after="0"/>
              <w:rPr>
                <w:noProof/>
                <w:sz w:val="18"/>
                <w:szCs w:val="18"/>
              </w:rPr>
            </w:pPr>
            <w:r w:rsidRPr="000975C8">
              <w:rPr>
                <w:noProof/>
                <w:sz w:val="18"/>
                <w:szCs w:val="18"/>
              </w:rPr>
              <w:t>Bāzes (2020) un plānotā vērtība (2029) atbilstoši pases aprēķiniem.</w:t>
            </w:r>
          </w:p>
        </w:tc>
      </w:tr>
      <w:tr w:rsidR="00340D0B" w:rsidRPr="00BF555E" w14:paraId="793A0222" w14:textId="77777777" w:rsidTr="003155B0">
        <w:trPr>
          <w:trHeight w:val="286"/>
        </w:trPr>
        <w:tc>
          <w:tcPr>
            <w:tcW w:w="440" w:type="pct"/>
          </w:tcPr>
          <w:p w14:paraId="3E4A943F"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2.1.prioritāte</w:t>
            </w:r>
          </w:p>
        </w:tc>
        <w:tc>
          <w:tcPr>
            <w:tcW w:w="398" w:type="pct"/>
          </w:tcPr>
          <w:p w14:paraId="4E25F9BF"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2.1.3.SAM</w:t>
            </w:r>
          </w:p>
          <w:p w14:paraId="21EAEB75" w14:textId="77777777" w:rsidR="00340D0B" w:rsidRPr="00BF555E" w:rsidRDefault="00340D0B" w:rsidP="003155B0">
            <w:pPr>
              <w:pStyle w:val="Text1"/>
              <w:spacing w:before="0" w:after="0"/>
              <w:ind w:left="0"/>
              <w:rPr>
                <w:rFonts w:cs="Times New Roman"/>
                <w:noProof/>
                <w:sz w:val="18"/>
                <w:szCs w:val="18"/>
              </w:rPr>
            </w:pPr>
          </w:p>
        </w:tc>
        <w:tc>
          <w:tcPr>
            <w:tcW w:w="289" w:type="pct"/>
          </w:tcPr>
          <w:p w14:paraId="4C579D87"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ERAF</w:t>
            </w:r>
          </w:p>
        </w:tc>
        <w:tc>
          <w:tcPr>
            <w:tcW w:w="345" w:type="pct"/>
          </w:tcPr>
          <w:p w14:paraId="58431C75" w14:textId="77777777" w:rsidR="00340D0B" w:rsidRPr="00BF555E" w:rsidRDefault="00340D0B" w:rsidP="003155B0">
            <w:pPr>
              <w:pStyle w:val="Text1"/>
              <w:spacing w:before="0" w:after="0"/>
              <w:ind w:left="0"/>
              <w:rPr>
                <w:rFonts w:cs="Times New Roman"/>
                <w:noProof/>
                <w:sz w:val="18"/>
                <w:szCs w:val="18"/>
              </w:rPr>
            </w:pPr>
            <w:r w:rsidRPr="00BF555E">
              <w:rPr>
                <w:rFonts w:cs="Times New Roman"/>
                <w:sz w:val="18"/>
                <w:szCs w:val="18"/>
              </w:rPr>
              <w:t>RCR 35</w:t>
            </w:r>
          </w:p>
        </w:tc>
        <w:tc>
          <w:tcPr>
            <w:tcW w:w="766" w:type="pct"/>
            <w:shd w:val="clear" w:color="auto" w:fill="auto"/>
          </w:tcPr>
          <w:p w14:paraId="21A79B3C" w14:textId="77777777" w:rsidR="00340D0B" w:rsidRPr="00BF555E" w:rsidRDefault="00340D0B" w:rsidP="003155B0">
            <w:pPr>
              <w:pStyle w:val="Default"/>
              <w:spacing w:after="0" w:line="240" w:lineRule="auto"/>
              <w:jc w:val="both"/>
              <w:rPr>
                <w:noProof/>
                <w:color w:val="auto"/>
                <w:sz w:val="18"/>
                <w:szCs w:val="18"/>
              </w:rPr>
            </w:pPr>
            <w:r w:rsidRPr="00BF555E">
              <w:rPr>
                <w:color w:val="auto"/>
                <w:sz w:val="18"/>
                <w:szCs w:val="18"/>
              </w:rPr>
              <w:t>Iedzīvotāji, kas gūst labumu no plūdu aizsardzības pasākumiem</w:t>
            </w:r>
          </w:p>
        </w:tc>
        <w:tc>
          <w:tcPr>
            <w:tcW w:w="446" w:type="pct"/>
          </w:tcPr>
          <w:p w14:paraId="35FB0166"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Iedzīvotāju skaits</w:t>
            </w:r>
          </w:p>
        </w:tc>
        <w:tc>
          <w:tcPr>
            <w:tcW w:w="360" w:type="pct"/>
          </w:tcPr>
          <w:p w14:paraId="79716D29"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187 000</w:t>
            </w:r>
          </w:p>
          <w:p w14:paraId="0F75A633" w14:textId="77777777" w:rsidR="00340D0B" w:rsidRPr="00BF555E" w:rsidRDefault="00340D0B" w:rsidP="003155B0">
            <w:pPr>
              <w:pStyle w:val="Text1"/>
              <w:spacing w:before="0" w:after="0"/>
              <w:ind w:left="0"/>
              <w:rPr>
                <w:rFonts w:cs="Times New Roman"/>
                <w:noProof/>
                <w:sz w:val="18"/>
                <w:szCs w:val="18"/>
              </w:rPr>
            </w:pPr>
          </w:p>
        </w:tc>
        <w:tc>
          <w:tcPr>
            <w:tcW w:w="421" w:type="pct"/>
          </w:tcPr>
          <w:p w14:paraId="2F75A003"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2020</w:t>
            </w:r>
          </w:p>
          <w:p w14:paraId="4E885061" w14:textId="77777777" w:rsidR="00340D0B" w:rsidRPr="00BF555E" w:rsidRDefault="00340D0B" w:rsidP="003155B0">
            <w:pPr>
              <w:pStyle w:val="Text1"/>
              <w:spacing w:before="0" w:after="0"/>
              <w:ind w:left="0"/>
              <w:rPr>
                <w:rFonts w:cs="Times New Roman"/>
                <w:noProof/>
                <w:sz w:val="18"/>
                <w:szCs w:val="18"/>
              </w:rPr>
            </w:pPr>
          </w:p>
        </w:tc>
        <w:tc>
          <w:tcPr>
            <w:tcW w:w="478" w:type="pct"/>
            <w:shd w:val="clear" w:color="auto" w:fill="auto"/>
          </w:tcPr>
          <w:p w14:paraId="5E808968" w14:textId="77777777" w:rsidR="00340D0B" w:rsidRPr="00BF555E" w:rsidRDefault="00340D0B" w:rsidP="003155B0">
            <w:pPr>
              <w:pStyle w:val="Text1"/>
              <w:spacing w:before="0" w:after="0"/>
              <w:ind w:left="0"/>
              <w:rPr>
                <w:rFonts w:cs="Times New Roman"/>
                <w:noProof/>
                <w:sz w:val="18"/>
                <w:szCs w:val="18"/>
              </w:rPr>
            </w:pPr>
            <w:r>
              <w:rPr>
                <w:rFonts w:cs="Times New Roman"/>
                <w:noProof/>
                <w:sz w:val="18"/>
                <w:szCs w:val="18"/>
              </w:rPr>
              <w:t>204 129</w:t>
            </w:r>
          </w:p>
        </w:tc>
        <w:tc>
          <w:tcPr>
            <w:tcW w:w="469" w:type="pct"/>
            <w:shd w:val="clear" w:color="auto" w:fill="auto"/>
          </w:tcPr>
          <w:p w14:paraId="04243167"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Projektu dati</w:t>
            </w:r>
          </w:p>
          <w:p w14:paraId="7B87EEFE" w14:textId="77777777" w:rsidR="00340D0B" w:rsidRPr="00BF555E" w:rsidRDefault="00340D0B" w:rsidP="003155B0">
            <w:pPr>
              <w:pStyle w:val="Text1"/>
              <w:spacing w:before="0" w:after="0"/>
              <w:ind w:left="0"/>
              <w:rPr>
                <w:rFonts w:cs="Times New Roman"/>
                <w:noProof/>
                <w:sz w:val="18"/>
                <w:szCs w:val="18"/>
              </w:rPr>
            </w:pPr>
          </w:p>
        </w:tc>
        <w:tc>
          <w:tcPr>
            <w:tcW w:w="588" w:type="pct"/>
          </w:tcPr>
          <w:p w14:paraId="28E8776B" w14:textId="77777777" w:rsidR="00340D0B" w:rsidRPr="00BF555E" w:rsidRDefault="00340D0B" w:rsidP="003155B0">
            <w:pPr>
              <w:spacing w:before="0" w:after="0"/>
              <w:rPr>
                <w:noProof/>
                <w:sz w:val="18"/>
                <w:szCs w:val="18"/>
              </w:rPr>
            </w:pPr>
            <w:r w:rsidRPr="00BF555E">
              <w:rPr>
                <w:noProof/>
                <w:sz w:val="18"/>
                <w:szCs w:val="18"/>
              </w:rPr>
              <w:t>Bāzes vērtība – 2014. – 2020.gada plānošanas perioda projektu sniegums. Plānotā vērtība (2029) atbilstoši rādītāju pases aprēķiniem.</w:t>
            </w:r>
          </w:p>
        </w:tc>
      </w:tr>
      <w:tr w:rsidR="00340D0B" w:rsidRPr="00BF555E" w14:paraId="2AD400DD" w14:textId="77777777" w:rsidTr="003155B0">
        <w:trPr>
          <w:trHeight w:val="286"/>
        </w:trPr>
        <w:tc>
          <w:tcPr>
            <w:tcW w:w="440" w:type="pct"/>
          </w:tcPr>
          <w:p w14:paraId="4170D062"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2.2.prioritāte</w:t>
            </w:r>
          </w:p>
        </w:tc>
        <w:tc>
          <w:tcPr>
            <w:tcW w:w="398" w:type="pct"/>
          </w:tcPr>
          <w:p w14:paraId="1FF70729"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2.2.1.SAM</w:t>
            </w:r>
          </w:p>
        </w:tc>
        <w:tc>
          <w:tcPr>
            <w:tcW w:w="289" w:type="pct"/>
          </w:tcPr>
          <w:p w14:paraId="62DA7547"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KF</w:t>
            </w:r>
          </w:p>
        </w:tc>
        <w:tc>
          <w:tcPr>
            <w:tcW w:w="345" w:type="pct"/>
          </w:tcPr>
          <w:p w14:paraId="71D20646" w14:textId="77777777" w:rsidR="00340D0B" w:rsidRPr="00BF555E" w:rsidRDefault="00340D0B" w:rsidP="003155B0">
            <w:pPr>
              <w:pStyle w:val="Text1"/>
              <w:spacing w:before="0" w:after="0"/>
              <w:ind w:left="0"/>
              <w:rPr>
                <w:rFonts w:cs="Times New Roman"/>
                <w:sz w:val="18"/>
                <w:szCs w:val="18"/>
              </w:rPr>
            </w:pPr>
            <w:r w:rsidRPr="00BF555E">
              <w:rPr>
                <w:rFonts w:cs="Times New Roman"/>
                <w:sz w:val="18"/>
                <w:szCs w:val="18"/>
              </w:rPr>
              <w:t xml:space="preserve"> r.2.2.1.a</w:t>
            </w:r>
          </w:p>
        </w:tc>
        <w:tc>
          <w:tcPr>
            <w:tcW w:w="766" w:type="pct"/>
            <w:shd w:val="clear" w:color="auto" w:fill="auto"/>
          </w:tcPr>
          <w:p w14:paraId="21479156" w14:textId="77777777" w:rsidR="00340D0B" w:rsidRPr="00BF555E" w:rsidRDefault="00340D0B" w:rsidP="003155B0">
            <w:pPr>
              <w:pStyle w:val="Text1"/>
              <w:spacing w:before="0" w:after="0"/>
              <w:ind w:left="0"/>
              <w:rPr>
                <w:rFonts w:cs="Times New Roman"/>
                <w:sz w:val="18"/>
                <w:szCs w:val="18"/>
              </w:rPr>
            </w:pPr>
            <w:r w:rsidRPr="00BF555E">
              <w:rPr>
                <w:rFonts w:cs="Times New Roman"/>
                <w:sz w:val="18"/>
                <w:szCs w:val="18"/>
              </w:rPr>
              <w:t>Iedzīvotāji, kuriem uzlabota notekūdeņu attīrīšanas kvalitāte un efektivitāte</w:t>
            </w:r>
          </w:p>
        </w:tc>
        <w:tc>
          <w:tcPr>
            <w:tcW w:w="446" w:type="pct"/>
          </w:tcPr>
          <w:p w14:paraId="519F44EB"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Iedzīvotāju skaits</w:t>
            </w:r>
          </w:p>
        </w:tc>
        <w:tc>
          <w:tcPr>
            <w:tcW w:w="360" w:type="pct"/>
          </w:tcPr>
          <w:p w14:paraId="6623B972" w14:textId="77777777" w:rsidR="00340D0B" w:rsidRPr="00BF555E" w:rsidRDefault="00340D0B" w:rsidP="003155B0">
            <w:pPr>
              <w:pStyle w:val="Text1"/>
              <w:spacing w:before="0" w:after="0"/>
              <w:ind w:left="0"/>
              <w:rPr>
                <w:rFonts w:cs="Times New Roman"/>
                <w:noProof/>
                <w:sz w:val="18"/>
                <w:szCs w:val="18"/>
              </w:rPr>
            </w:pPr>
            <w:r>
              <w:rPr>
                <w:rFonts w:cs="Times New Roman"/>
                <w:noProof/>
                <w:sz w:val="18"/>
                <w:szCs w:val="18"/>
              </w:rPr>
              <w:t xml:space="preserve">656 710 </w:t>
            </w:r>
          </w:p>
        </w:tc>
        <w:tc>
          <w:tcPr>
            <w:tcW w:w="421" w:type="pct"/>
          </w:tcPr>
          <w:p w14:paraId="038E2E99" w14:textId="77777777" w:rsidR="00340D0B" w:rsidRPr="00BF555E" w:rsidRDefault="00340D0B" w:rsidP="003155B0">
            <w:pPr>
              <w:pStyle w:val="Text1"/>
              <w:spacing w:before="0" w:after="0"/>
              <w:ind w:left="0"/>
              <w:rPr>
                <w:rFonts w:cs="Times New Roman"/>
                <w:noProof/>
                <w:sz w:val="18"/>
                <w:szCs w:val="18"/>
              </w:rPr>
            </w:pPr>
            <w:r>
              <w:rPr>
                <w:rFonts w:cs="Times New Roman"/>
                <w:noProof/>
                <w:sz w:val="18"/>
                <w:szCs w:val="18"/>
              </w:rPr>
              <w:t xml:space="preserve"> 2021 </w:t>
            </w:r>
          </w:p>
        </w:tc>
        <w:tc>
          <w:tcPr>
            <w:tcW w:w="478" w:type="pct"/>
            <w:shd w:val="clear" w:color="auto" w:fill="auto"/>
          </w:tcPr>
          <w:p w14:paraId="009E5171" w14:textId="77777777" w:rsidR="00340D0B" w:rsidRDefault="00340D0B" w:rsidP="003155B0">
            <w:pPr>
              <w:pStyle w:val="Text1"/>
              <w:spacing w:before="0" w:after="0"/>
              <w:ind w:left="0"/>
              <w:rPr>
                <w:rFonts w:cs="Times New Roman"/>
                <w:noProof/>
                <w:sz w:val="18"/>
                <w:szCs w:val="18"/>
              </w:rPr>
            </w:pPr>
            <w:r>
              <w:rPr>
                <w:rFonts w:cs="Times New Roman"/>
                <w:noProof/>
                <w:sz w:val="18"/>
                <w:szCs w:val="18"/>
              </w:rPr>
              <w:t xml:space="preserve">713 510 </w:t>
            </w:r>
          </w:p>
          <w:p w14:paraId="54A715D2" w14:textId="77777777" w:rsidR="00340D0B" w:rsidRPr="00BF555E" w:rsidRDefault="00340D0B" w:rsidP="003155B0">
            <w:pPr>
              <w:pStyle w:val="Text1"/>
              <w:spacing w:before="0" w:after="0"/>
              <w:ind w:left="0"/>
              <w:rPr>
                <w:rFonts w:cs="Times New Roman"/>
                <w:noProof/>
                <w:sz w:val="18"/>
                <w:szCs w:val="18"/>
              </w:rPr>
            </w:pPr>
          </w:p>
        </w:tc>
        <w:tc>
          <w:tcPr>
            <w:tcW w:w="469" w:type="pct"/>
            <w:shd w:val="clear" w:color="auto" w:fill="auto"/>
          </w:tcPr>
          <w:p w14:paraId="28FCF4DB"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Projektu dati</w:t>
            </w:r>
          </w:p>
        </w:tc>
        <w:tc>
          <w:tcPr>
            <w:tcW w:w="588" w:type="pct"/>
          </w:tcPr>
          <w:p w14:paraId="0B4A3327" w14:textId="77777777" w:rsidR="00340D0B" w:rsidRPr="00BF555E" w:rsidRDefault="00340D0B" w:rsidP="003155B0">
            <w:pPr>
              <w:spacing w:before="0" w:after="0"/>
              <w:rPr>
                <w:noProof/>
                <w:sz w:val="18"/>
                <w:szCs w:val="18"/>
              </w:rPr>
            </w:pPr>
            <w:r w:rsidRPr="00BF555E">
              <w:rPr>
                <w:noProof/>
                <w:sz w:val="18"/>
                <w:szCs w:val="18"/>
              </w:rPr>
              <w:t>Programmas specifiskais rādītājs</w:t>
            </w:r>
          </w:p>
          <w:p w14:paraId="38991E7C" w14:textId="77777777" w:rsidR="00340D0B" w:rsidRDefault="00340D0B" w:rsidP="003155B0">
            <w:pPr>
              <w:spacing w:before="0" w:after="0"/>
              <w:rPr>
                <w:noProof/>
                <w:sz w:val="18"/>
                <w:szCs w:val="18"/>
              </w:rPr>
            </w:pPr>
            <w:r w:rsidRPr="00BF555E">
              <w:rPr>
                <w:noProof/>
                <w:sz w:val="18"/>
                <w:szCs w:val="18"/>
              </w:rPr>
              <w:t>Bāzes vērtība – 2014. – 2020.gada plānošanas perioda projektu sniegums</w:t>
            </w:r>
          </w:p>
          <w:p w14:paraId="6533412E" w14:textId="77777777" w:rsidR="00340D0B" w:rsidRPr="00CA31CF" w:rsidRDefault="00340D0B" w:rsidP="003155B0">
            <w:pPr>
              <w:spacing w:before="0" w:after="0"/>
              <w:rPr>
                <w:noProof/>
                <w:sz w:val="18"/>
                <w:szCs w:val="18"/>
              </w:rPr>
            </w:pPr>
            <w:r w:rsidRPr="00CA31CF">
              <w:rPr>
                <w:noProof/>
                <w:sz w:val="18"/>
                <w:szCs w:val="18"/>
              </w:rPr>
              <w:t>.</w:t>
            </w:r>
          </w:p>
          <w:p w14:paraId="7A585C25" w14:textId="77777777" w:rsidR="00340D0B" w:rsidRPr="00BF555E" w:rsidRDefault="00340D0B" w:rsidP="003155B0">
            <w:pPr>
              <w:spacing w:before="0" w:after="0"/>
              <w:rPr>
                <w:noProof/>
                <w:sz w:val="18"/>
                <w:szCs w:val="18"/>
              </w:rPr>
            </w:pPr>
            <w:r w:rsidRPr="00CA31CF">
              <w:rPr>
                <w:noProof/>
                <w:sz w:val="18"/>
                <w:szCs w:val="18"/>
              </w:rPr>
              <w:t>Plānotā vērtība (2029) atbilstoši rādītāju pases aprēķiniem.</w:t>
            </w:r>
          </w:p>
        </w:tc>
      </w:tr>
      <w:tr w:rsidR="00340D0B" w:rsidRPr="00BF555E" w14:paraId="54F0ECE8" w14:textId="77777777" w:rsidTr="003155B0">
        <w:trPr>
          <w:trHeight w:val="286"/>
        </w:trPr>
        <w:tc>
          <w:tcPr>
            <w:tcW w:w="440" w:type="pct"/>
          </w:tcPr>
          <w:p w14:paraId="2231D6DC"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2.2.prioritāte</w:t>
            </w:r>
          </w:p>
        </w:tc>
        <w:tc>
          <w:tcPr>
            <w:tcW w:w="398" w:type="pct"/>
          </w:tcPr>
          <w:p w14:paraId="6D0C6EB7"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2.2.2.SAM</w:t>
            </w:r>
          </w:p>
        </w:tc>
        <w:tc>
          <w:tcPr>
            <w:tcW w:w="289" w:type="pct"/>
          </w:tcPr>
          <w:p w14:paraId="1100568C"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KF</w:t>
            </w:r>
          </w:p>
        </w:tc>
        <w:tc>
          <w:tcPr>
            <w:tcW w:w="345" w:type="pct"/>
          </w:tcPr>
          <w:p w14:paraId="5504FA45" w14:textId="77777777" w:rsidR="00340D0B" w:rsidRPr="00BF555E" w:rsidRDefault="00340D0B" w:rsidP="003155B0">
            <w:pPr>
              <w:pStyle w:val="Text1"/>
              <w:spacing w:before="0" w:after="0"/>
              <w:ind w:left="0"/>
              <w:rPr>
                <w:rFonts w:cs="Times New Roman"/>
                <w:noProof/>
                <w:sz w:val="18"/>
                <w:szCs w:val="18"/>
              </w:rPr>
            </w:pPr>
            <w:r w:rsidRPr="00BF555E">
              <w:rPr>
                <w:rFonts w:cs="Times New Roman"/>
                <w:sz w:val="18"/>
                <w:szCs w:val="18"/>
              </w:rPr>
              <w:t>RCR 47</w:t>
            </w:r>
          </w:p>
        </w:tc>
        <w:tc>
          <w:tcPr>
            <w:tcW w:w="766" w:type="pct"/>
            <w:shd w:val="clear" w:color="auto" w:fill="auto"/>
          </w:tcPr>
          <w:p w14:paraId="3B0218DC" w14:textId="77777777" w:rsidR="00340D0B" w:rsidRPr="00BF555E" w:rsidRDefault="00340D0B" w:rsidP="003155B0">
            <w:pPr>
              <w:pStyle w:val="Text1"/>
              <w:spacing w:before="0" w:after="0"/>
              <w:ind w:left="0"/>
              <w:rPr>
                <w:rFonts w:cs="Times New Roman"/>
                <w:noProof/>
                <w:sz w:val="18"/>
                <w:szCs w:val="18"/>
              </w:rPr>
            </w:pPr>
            <w:r w:rsidRPr="00BF555E">
              <w:rPr>
                <w:rFonts w:cs="Times New Roman"/>
                <w:sz w:val="18"/>
                <w:szCs w:val="18"/>
              </w:rPr>
              <w:t xml:space="preserve">Pārstrādāto atkritumu apjoms </w:t>
            </w:r>
          </w:p>
        </w:tc>
        <w:tc>
          <w:tcPr>
            <w:tcW w:w="446" w:type="pct"/>
          </w:tcPr>
          <w:p w14:paraId="5A808A0F"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Tonnas/gadā</w:t>
            </w:r>
          </w:p>
        </w:tc>
        <w:tc>
          <w:tcPr>
            <w:tcW w:w="360" w:type="pct"/>
          </w:tcPr>
          <w:p w14:paraId="103D4EFF"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 xml:space="preserve">355 050 </w:t>
            </w:r>
          </w:p>
        </w:tc>
        <w:tc>
          <w:tcPr>
            <w:tcW w:w="421" w:type="pct"/>
          </w:tcPr>
          <w:p w14:paraId="1B0C558B"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2018</w:t>
            </w:r>
          </w:p>
        </w:tc>
        <w:tc>
          <w:tcPr>
            <w:tcW w:w="478" w:type="pct"/>
            <w:shd w:val="clear" w:color="auto" w:fill="auto"/>
          </w:tcPr>
          <w:p w14:paraId="433A8538" w14:textId="77777777" w:rsidR="00340D0B" w:rsidRPr="00BF555E" w:rsidRDefault="00340D0B" w:rsidP="003155B0">
            <w:pPr>
              <w:pStyle w:val="Text1"/>
              <w:spacing w:before="0" w:after="0"/>
              <w:ind w:left="0"/>
              <w:jc w:val="center"/>
              <w:rPr>
                <w:rFonts w:cs="Times New Roman"/>
                <w:noProof/>
                <w:sz w:val="18"/>
                <w:szCs w:val="18"/>
              </w:rPr>
            </w:pPr>
            <w:r w:rsidRPr="00BF555E">
              <w:rPr>
                <w:rFonts w:cs="Times New Roman"/>
                <w:noProof/>
                <w:sz w:val="18"/>
                <w:szCs w:val="18"/>
              </w:rPr>
              <w:t>622 050</w:t>
            </w:r>
          </w:p>
        </w:tc>
        <w:tc>
          <w:tcPr>
            <w:tcW w:w="469" w:type="pct"/>
            <w:shd w:val="clear" w:color="auto" w:fill="auto"/>
          </w:tcPr>
          <w:p w14:paraId="37159960"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projektu dati</w:t>
            </w:r>
          </w:p>
        </w:tc>
        <w:tc>
          <w:tcPr>
            <w:tcW w:w="588" w:type="pct"/>
          </w:tcPr>
          <w:p w14:paraId="52A9BE28" w14:textId="77777777" w:rsidR="00340D0B" w:rsidRPr="00BF555E" w:rsidRDefault="00340D0B" w:rsidP="003155B0">
            <w:pPr>
              <w:spacing w:before="0" w:after="0"/>
              <w:rPr>
                <w:noProof/>
                <w:sz w:val="18"/>
                <w:szCs w:val="18"/>
              </w:rPr>
            </w:pPr>
            <w:r w:rsidRPr="00BF555E">
              <w:rPr>
                <w:noProof/>
                <w:sz w:val="18"/>
                <w:szCs w:val="18"/>
              </w:rPr>
              <w:t>Bāzes vērtība, noteikta atbisltoši pārstrādāto un kompostēto atkritumu apjomam pieskaitot iepakojuma, NTL un EEIA pārstrāde apjomus 2018.g., kā arī ievērojot 2014 – 2020.gaeda plānošanas perioda izpili (172 000) un plānoto projektu apmēru. Plānotā vērtība (2029) atbilstoši rādītāju pases aprēķiniem.</w:t>
            </w:r>
          </w:p>
        </w:tc>
      </w:tr>
      <w:tr w:rsidR="00340D0B" w:rsidRPr="00BF555E" w14:paraId="4E01E83C" w14:textId="77777777" w:rsidTr="003155B0">
        <w:trPr>
          <w:trHeight w:val="286"/>
        </w:trPr>
        <w:tc>
          <w:tcPr>
            <w:tcW w:w="440" w:type="pct"/>
          </w:tcPr>
          <w:p w14:paraId="39BD5B18"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2.2.prioritāte</w:t>
            </w:r>
          </w:p>
        </w:tc>
        <w:tc>
          <w:tcPr>
            <w:tcW w:w="398" w:type="pct"/>
          </w:tcPr>
          <w:p w14:paraId="305C8741"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2.2.2. SAM</w:t>
            </w:r>
          </w:p>
        </w:tc>
        <w:tc>
          <w:tcPr>
            <w:tcW w:w="289" w:type="pct"/>
          </w:tcPr>
          <w:p w14:paraId="68BD92CA"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KF</w:t>
            </w:r>
          </w:p>
        </w:tc>
        <w:tc>
          <w:tcPr>
            <w:tcW w:w="345" w:type="pct"/>
          </w:tcPr>
          <w:p w14:paraId="4BB548D7" w14:textId="77777777" w:rsidR="00340D0B" w:rsidRPr="00BF555E" w:rsidRDefault="00340D0B" w:rsidP="003155B0">
            <w:pPr>
              <w:pStyle w:val="Text1"/>
              <w:spacing w:before="0" w:after="0"/>
              <w:ind w:left="0"/>
              <w:rPr>
                <w:rFonts w:cs="Times New Roman"/>
                <w:sz w:val="18"/>
                <w:szCs w:val="18"/>
              </w:rPr>
            </w:pPr>
            <w:r w:rsidRPr="00BF555E">
              <w:rPr>
                <w:rFonts w:cs="Times New Roman"/>
                <w:sz w:val="18"/>
                <w:szCs w:val="18"/>
              </w:rPr>
              <w:t>RCR 103</w:t>
            </w:r>
          </w:p>
        </w:tc>
        <w:tc>
          <w:tcPr>
            <w:tcW w:w="766" w:type="pct"/>
            <w:shd w:val="clear" w:color="auto" w:fill="auto"/>
          </w:tcPr>
          <w:p w14:paraId="04B84ACF" w14:textId="77777777" w:rsidR="00340D0B" w:rsidRPr="00BF555E" w:rsidRDefault="00340D0B" w:rsidP="003155B0">
            <w:pPr>
              <w:pStyle w:val="Text1"/>
              <w:spacing w:before="0" w:after="0"/>
              <w:ind w:left="0"/>
              <w:rPr>
                <w:rFonts w:cs="Times New Roman"/>
                <w:sz w:val="18"/>
                <w:szCs w:val="18"/>
              </w:rPr>
            </w:pPr>
            <w:r w:rsidRPr="00BF555E">
              <w:rPr>
                <w:rFonts w:cs="Times New Roman"/>
                <w:sz w:val="18"/>
                <w:szCs w:val="18"/>
              </w:rPr>
              <w:t>Dalīti savākti atkritumi</w:t>
            </w:r>
          </w:p>
        </w:tc>
        <w:tc>
          <w:tcPr>
            <w:tcW w:w="446" w:type="pct"/>
          </w:tcPr>
          <w:p w14:paraId="2D1A8D7D" w14:textId="77777777" w:rsidR="00340D0B" w:rsidRPr="00BF555E" w:rsidRDefault="00340D0B" w:rsidP="003155B0">
            <w:pPr>
              <w:pStyle w:val="Text1"/>
              <w:spacing w:before="0" w:after="0"/>
              <w:ind w:left="0"/>
              <w:rPr>
                <w:rFonts w:cs="Times New Roman"/>
                <w:noProof/>
                <w:sz w:val="18"/>
                <w:szCs w:val="18"/>
              </w:rPr>
            </w:pPr>
            <w:r w:rsidRPr="00BF555E">
              <w:rPr>
                <w:rFonts w:cs="Times New Roman"/>
                <w:sz w:val="18"/>
                <w:szCs w:val="18"/>
              </w:rPr>
              <w:t>tonnas/gadā</w:t>
            </w:r>
          </w:p>
        </w:tc>
        <w:tc>
          <w:tcPr>
            <w:tcW w:w="360" w:type="pct"/>
          </w:tcPr>
          <w:p w14:paraId="6EB2C747"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188 807 (tikai iepakojums)</w:t>
            </w:r>
          </w:p>
        </w:tc>
        <w:tc>
          <w:tcPr>
            <w:tcW w:w="421" w:type="pct"/>
          </w:tcPr>
          <w:p w14:paraId="5B93EAF3"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2018</w:t>
            </w:r>
          </w:p>
        </w:tc>
        <w:tc>
          <w:tcPr>
            <w:tcW w:w="478" w:type="pct"/>
            <w:shd w:val="clear" w:color="auto" w:fill="auto"/>
          </w:tcPr>
          <w:p w14:paraId="54A9455E" w14:textId="77777777" w:rsidR="00340D0B" w:rsidRPr="00BF555E" w:rsidRDefault="00340D0B" w:rsidP="003155B0">
            <w:pPr>
              <w:pStyle w:val="Text1"/>
              <w:spacing w:before="0" w:after="0"/>
              <w:ind w:left="0"/>
              <w:jc w:val="center"/>
              <w:rPr>
                <w:rFonts w:cs="Times New Roman"/>
                <w:noProof/>
                <w:sz w:val="18"/>
                <w:szCs w:val="18"/>
              </w:rPr>
            </w:pPr>
            <w:r w:rsidRPr="00BF555E">
              <w:rPr>
                <w:rFonts w:cs="Times New Roman"/>
                <w:noProof/>
                <w:sz w:val="18"/>
                <w:szCs w:val="18"/>
              </w:rPr>
              <w:t>198 807</w:t>
            </w:r>
          </w:p>
        </w:tc>
        <w:tc>
          <w:tcPr>
            <w:tcW w:w="469" w:type="pct"/>
            <w:shd w:val="clear" w:color="auto" w:fill="auto"/>
          </w:tcPr>
          <w:p w14:paraId="7CD6FFDC"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projektu dati</w:t>
            </w:r>
          </w:p>
        </w:tc>
        <w:tc>
          <w:tcPr>
            <w:tcW w:w="588" w:type="pct"/>
          </w:tcPr>
          <w:p w14:paraId="5F229D85" w14:textId="77777777" w:rsidR="00340D0B" w:rsidRPr="00BF555E" w:rsidRDefault="00340D0B" w:rsidP="003155B0">
            <w:pPr>
              <w:spacing w:before="0" w:after="0"/>
              <w:rPr>
                <w:noProof/>
                <w:sz w:val="18"/>
                <w:szCs w:val="18"/>
              </w:rPr>
            </w:pPr>
            <w:r w:rsidRPr="00BF555E">
              <w:rPr>
                <w:noProof/>
                <w:sz w:val="18"/>
                <w:szCs w:val="18"/>
              </w:rPr>
              <w:t>Bāzes vērtība noteikta atbilstoši LVĢMC datu bāzes datiem 2018.gadā. Plānotā vērtība (2029) atbilstoši rādītāju pases aprēķiniem.</w:t>
            </w:r>
          </w:p>
        </w:tc>
      </w:tr>
      <w:tr w:rsidR="00340D0B" w:rsidRPr="00BF555E" w14:paraId="6CFC10A9" w14:textId="77777777" w:rsidTr="003155B0">
        <w:trPr>
          <w:trHeight w:val="286"/>
        </w:trPr>
        <w:tc>
          <w:tcPr>
            <w:tcW w:w="440" w:type="pct"/>
          </w:tcPr>
          <w:p w14:paraId="3A37155F"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2.2.prioritāte</w:t>
            </w:r>
          </w:p>
          <w:p w14:paraId="6E3BB39A" w14:textId="77777777" w:rsidR="00340D0B" w:rsidRPr="00BF555E" w:rsidRDefault="00340D0B" w:rsidP="003155B0">
            <w:pPr>
              <w:pStyle w:val="Text1"/>
              <w:spacing w:before="0" w:after="0"/>
              <w:ind w:left="0"/>
              <w:rPr>
                <w:rFonts w:cs="Times New Roman"/>
                <w:noProof/>
                <w:sz w:val="18"/>
                <w:szCs w:val="18"/>
              </w:rPr>
            </w:pPr>
          </w:p>
        </w:tc>
        <w:tc>
          <w:tcPr>
            <w:tcW w:w="398" w:type="pct"/>
          </w:tcPr>
          <w:p w14:paraId="03660FD6"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2.2.3.SAM</w:t>
            </w:r>
          </w:p>
          <w:p w14:paraId="7D7A4600" w14:textId="77777777" w:rsidR="00340D0B" w:rsidRPr="00BF555E" w:rsidRDefault="00340D0B" w:rsidP="003155B0">
            <w:pPr>
              <w:pStyle w:val="Text1"/>
              <w:spacing w:before="0" w:after="0"/>
              <w:ind w:left="0"/>
              <w:rPr>
                <w:rFonts w:cs="Times New Roman"/>
                <w:noProof/>
                <w:sz w:val="18"/>
                <w:szCs w:val="18"/>
              </w:rPr>
            </w:pPr>
          </w:p>
        </w:tc>
        <w:tc>
          <w:tcPr>
            <w:tcW w:w="289" w:type="pct"/>
          </w:tcPr>
          <w:p w14:paraId="56DC7638"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ERAF</w:t>
            </w:r>
          </w:p>
        </w:tc>
        <w:tc>
          <w:tcPr>
            <w:tcW w:w="345" w:type="pct"/>
          </w:tcPr>
          <w:p w14:paraId="62B024DF" w14:textId="77777777" w:rsidR="00340D0B" w:rsidRPr="00BF555E" w:rsidRDefault="00340D0B" w:rsidP="003155B0">
            <w:pPr>
              <w:pStyle w:val="Text1"/>
              <w:spacing w:before="0" w:after="0"/>
              <w:ind w:left="0"/>
              <w:rPr>
                <w:rFonts w:cs="Times New Roman"/>
                <w:noProof/>
                <w:sz w:val="18"/>
                <w:szCs w:val="18"/>
              </w:rPr>
            </w:pPr>
            <w:r w:rsidRPr="00BF555E">
              <w:rPr>
                <w:rFonts w:cs="Times New Roman"/>
                <w:sz w:val="18"/>
                <w:szCs w:val="18"/>
              </w:rPr>
              <w:t>RCR 50</w:t>
            </w:r>
          </w:p>
        </w:tc>
        <w:tc>
          <w:tcPr>
            <w:tcW w:w="766" w:type="pct"/>
            <w:shd w:val="clear" w:color="auto" w:fill="auto"/>
          </w:tcPr>
          <w:p w14:paraId="1A8379BF" w14:textId="77777777" w:rsidR="00340D0B" w:rsidRPr="00BF555E" w:rsidRDefault="00340D0B" w:rsidP="003155B0">
            <w:pPr>
              <w:pStyle w:val="Default"/>
              <w:spacing w:after="0" w:line="240" w:lineRule="auto"/>
              <w:jc w:val="both"/>
              <w:rPr>
                <w:noProof/>
                <w:color w:val="auto"/>
                <w:sz w:val="18"/>
                <w:szCs w:val="18"/>
              </w:rPr>
            </w:pPr>
            <w:r w:rsidRPr="00BF555E">
              <w:rPr>
                <w:color w:val="auto"/>
                <w:sz w:val="18"/>
                <w:szCs w:val="18"/>
              </w:rPr>
              <w:t>Iedzīvotāji, kas gūst labumu no gaisa kvalitātes pasākumiem</w:t>
            </w:r>
          </w:p>
        </w:tc>
        <w:tc>
          <w:tcPr>
            <w:tcW w:w="446" w:type="pct"/>
          </w:tcPr>
          <w:p w14:paraId="40E25C18"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Iedzīvotāju skaits</w:t>
            </w:r>
          </w:p>
        </w:tc>
        <w:tc>
          <w:tcPr>
            <w:tcW w:w="360" w:type="pct"/>
          </w:tcPr>
          <w:p w14:paraId="46F3D80A"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0</w:t>
            </w:r>
          </w:p>
        </w:tc>
        <w:tc>
          <w:tcPr>
            <w:tcW w:w="421" w:type="pct"/>
          </w:tcPr>
          <w:p w14:paraId="13B3D0E0"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2021</w:t>
            </w:r>
          </w:p>
        </w:tc>
        <w:tc>
          <w:tcPr>
            <w:tcW w:w="478" w:type="pct"/>
            <w:shd w:val="clear" w:color="auto" w:fill="auto"/>
          </w:tcPr>
          <w:p w14:paraId="7460E1A9" w14:textId="77777777" w:rsidR="00340D0B" w:rsidRPr="00BF555E" w:rsidRDefault="00340D0B" w:rsidP="003155B0">
            <w:pPr>
              <w:pStyle w:val="Text1"/>
              <w:spacing w:before="0" w:after="0"/>
              <w:ind w:left="0"/>
              <w:jc w:val="center"/>
              <w:rPr>
                <w:rFonts w:cs="Times New Roman"/>
                <w:iCs/>
                <w:noProof/>
                <w:sz w:val="18"/>
                <w:szCs w:val="18"/>
              </w:rPr>
            </w:pPr>
            <w:r>
              <w:rPr>
                <w:rFonts w:cs="Times New Roman"/>
                <w:iCs/>
                <w:noProof/>
                <w:sz w:val="18"/>
                <w:szCs w:val="18"/>
              </w:rPr>
              <w:t xml:space="preserve">   124    682 </w:t>
            </w:r>
          </w:p>
          <w:p w14:paraId="43BE0AC1" w14:textId="77777777" w:rsidR="00340D0B" w:rsidRPr="00BF555E" w:rsidRDefault="00340D0B" w:rsidP="003155B0">
            <w:pPr>
              <w:pStyle w:val="Text1"/>
              <w:spacing w:before="0" w:after="0"/>
              <w:ind w:left="0"/>
              <w:jc w:val="center"/>
              <w:rPr>
                <w:rFonts w:cs="Times New Roman"/>
                <w:noProof/>
                <w:sz w:val="18"/>
                <w:szCs w:val="18"/>
              </w:rPr>
            </w:pPr>
          </w:p>
        </w:tc>
        <w:tc>
          <w:tcPr>
            <w:tcW w:w="469" w:type="pct"/>
            <w:shd w:val="clear" w:color="auto" w:fill="auto"/>
          </w:tcPr>
          <w:p w14:paraId="6CAF596A"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projektu dati</w:t>
            </w:r>
          </w:p>
        </w:tc>
        <w:tc>
          <w:tcPr>
            <w:tcW w:w="588" w:type="pct"/>
          </w:tcPr>
          <w:p w14:paraId="1E062667" w14:textId="77777777" w:rsidR="00340D0B" w:rsidRPr="00BF555E" w:rsidRDefault="00340D0B" w:rsidP="003155B0">
            <w:pPr>
              <w:spacing w:before="0" w:after="0"/>
              <w:rPr>
                <w:noProof/>
                <w:sz w:val="18"/>
                <w:szCs w:val="18"/>
              </w:rPr>
            </w:pPr>
            <w:r w:rsidRPr="00BF555E">
              <w:rPr>
                <w:sz w:val="18"/>
                <w:szCs w:val="18"/>
              </w:rPr>
              <w:t xml:space="preserve"> </w:t>
            </w:r>
            <w:r w:rsidRPr="00BF555E">
              <w:rPr>
                <w:noProof/>
                <w:sz w:val="18"/>
                <w:szCs w:val="18"/>
              </w:rPr>
              <w:t>Plānotā vērtība (2029) atbilstoši rādītāju pases aprēķiniem.</w:t>
            </w:r>
          </w:p>
        </w:tc>
      </w:tr>
      <w:tr w:rsidR="00340D0B" w:rsidRPr="00BF555E" w14:paraId="12FA43AB" w14:textId="77777777" w:rsidTr="003155B0">
        <w:trPr>
          <w:trHeight w:val="286"/>
        </w:trPr>
        <w:tc>
          <w:tcPr>
            <w:tcW w:w="440" w:type="pct"/>
          </w:tcPr>
          <w:p w14:paraId="1D181C08"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2.1.prioritāte</w:t>
            </w:r>
          </w:p>
          <w:p w14:paraId="40F82377" w14:textId="77777777" w:rsidR="00340D0B" w:rsidRPr="00BF555E" w:rsidRDefault="00340D0B" w:rsidP="003155B0">
            <w:pPr>
              <w:pStyle w:val="Text1"/>
              <w:spacing w:before="0" w:after="0"/>
              <w:ind w:left="0"/>
              <w:rPr>
                <w:rFonts w:cs="Times New Roman"/>
                <w:noProof/>
                <w:sz w:val="18"/>
                <w:szCs w:val="18"/>
              </w:rPr>
            </w:pPr>
          </w:p>
        </w:tc>
        <w:tc>
          <w:tcPr>
            <w:tcW w:w="398" w:type="pct"/>
          </w:tcPr>
          <w:p w14:paraId="0A756DCA"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2.1.3.SAM</w:t>
            </w:r>
          </w:p>
          <w:p w14:paraId="5601A4E4" w14:textId="77777777" w:rsidR="00340D0B" w:rsidRPr="00BF555E" w:rsidRDefault="00340D0B" w:rsidP="003155B0">
            <w:pPr>
              <w:pStyle w:val="Text1"/>
              <w:spacing w:before="0" w:after="0"/>
              <w:ind w:left="0"/>
              <w:rPr>
                <w:rFonts w:cs="Times New Roman"/>
                <w:noProof/>
                <w:sz w:val="18"/>
                <w:szCs w:val="18"/>
              </w:rPr>
            </w:pPr>
          </w:p>
        </w:tc>
        <w:tc>
          <w:tcPr>
            <w:tcW w:w="289" w:type="pct"/>
          </w:tcPr>
          <w:p w14:paraId="181F95BF"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ERAF</w:t>
            </w:r>
          </w:p>
        </w:tc>
        <w:tc>
          <w:tcPr>
            <w:tcW w:w="345" w:type="pct"/>
          </w:tcPr>
          <w:p w14:paraId="0EC08ED7" w14:textId="77777777" w:rsidR="00340D0B" w:rsidRPr="00BF555E" w:rsidRDefault="00340D0B" w:rsidP="003155B0">
            <w:pPr>
              <w:pStyle w:val="Text1"/>
              <w:spacing w:before="0" w:after="0"/>
              <w:ind w:left="0"/>
              <w:rPr>
                <w:rFonts w:cs="Times New Roman"/>
                <w:noProof/>
                <w:sz w:val="18"/>
                <w:szCs w:val="18"/>
              </w:rPr>
            </w:pPr>
            <w:r w:rsidRPr="00BF555E">
              <w:rPr>
                <w:rFonts w:cs="Times New Roman"/>
                <w:sz w:val="18"/>
                <w:szCs w:val="18"/>
              </w:rPr>
              <w:t>RCR 95</w:t>
            </w:r>
          </w:p>
        </w:tc>
        <w:tc>
          <w:tcPr>
            <w:tcW w:w="766" w:type="pct"/>
            <w:shd w:val="clear" w:color="auto" w:fill="auto"/>
          </w:tcPr>
          <w:p w14:paraId="0C348867" w14:textId="77777777" w:rsidR="00340D0B" w:rsidRPr="00BF555E" w:rsidRDefault="00340D0B" w:rsidP="003155B0">
            <w:pPr>
              <w:pStyle w:val="Text1"/>
              <w:spacing w:before="0" w:after="0"/>
              <w:ind w:left="0"/>
              <w:rPr>
                <w:rFonts w:cs="Times New Roman"/>
                <w:noProof/>
                <w:sz w:val="18"/>
                <w:szCs w:val="18"/>
              </w:rPr>
            </w:pPr>
            <w:r w:rsidRPr="00BF555E">
              <w:rPr>
                <w:rFonts w:cs="Times New Roman"/>
                <w:sz w:val="18"/>
                <w:szCs w:val="18"/>
              </w:rPr>
              <w:t>Iedzīvotāji, kuriem ir pieejama jauna vai uzlabota zaļā infrastruktūra</w:t>
            </w:r>
          </w:p>
        </w:tc>
        <w:tc>
          <w:tcPr>
            <w:tcW w:w="446" w:type="pct"/>
          </w:tcPr>
          <w:p w14:paraId="56619708" w14:textId="77777777" w:rsidR="00340D0B" w:rsidRPr="00BF555E" w:rsidRDefault="00340D0B" w:rsidP="003155B0">
            <w:pPr>
              <w:pStyle w:val="Text1"/>
              <w:spacing w:before="0" w:after="0"/>
              <w:ind w:left="0"/>
              <w:rPr>
                <w:rFonts w:cs="Times New Roman"/>
                <w:noProof/>
                <w:sz w:val="18"/>
                <w:szCs w:val="18"/>
              </w:rPr>
            </w:pPr>
            <w:r w:rsidRPr="00BF555E">
              <w:rPr>
                <w:rFonts w:cs="Times New Roman"/>
                <w:sz w:val="18"/>
                <w:szCs w:val="18"/>
              </w:rPr>
              <w:t>Iedzīvotāju skaits (2 km radiusā)</w:t>
            </w:r>
          </w:p>
        </w:tc>
        <w:tc>
          <w:tcPr>
            <w:tcW w:w="360" w:type="pct"/>
          </w:tcPr>
          <w:p w14:paraId="78EBEFE9"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0</w:t>
            </w:r>
          </w:p>
        </w:tc>
        <w:tc>
          <w:tcPr>
            <w:tcW w:w="421" w:type="pct"/>
          </w:tcPr>
          <w:p w14:paraId="0E5FADF7"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2020</w:t>
            </w:r>
          </w:p>
        </w:tc>
        <w:tc>
          <w:tcPr>
            <w:tcW w:w="478" w:type="pct"/>
            <w:shd w:val="clear" w:color="auto" w:fill="auto"/>
          </w:tcPr>
          <w:p w14:paraId="07A19B00" w14:textId="77777777" w:rsidR="00340D0B" w:rsidRPr="00BF555E" w:rsidRDefault="00340D0B" w:rsidP="003155B0">
            <w:pPr>
              <w:pStyle w:val="Text1"/>
              <w:spacing w:before="0" w:after="0"/>
              <w:ind w:left="0"/>
              <w:jc w:val="center"/>
              <w:rPr>
                <w:rFonts w:cs="Times New Roman"/>
                <w:noProof/>
                <w:sz w:val="18"/>
                <w:szCs w:val="18"/>
              </w:rPr>
            </w:pPr>
            <w:r w:rsidRPr="00BF555E">
              <w:rPr>
                <w:rFonts w:cs="Times New Roman"/>
                <w:noProof/>
                <w:sz w:val="18"/>
                <w:szCs w:val="18"/>
              </w:rPr>
              <w:t xml:space="preserve">  </w:t>
            </w:r>
          </w:p>
          <w:p w14:paraId="5DC4004D" w14:textId="77777777" w:rsidR="00340D0B" w:rsidRPr="00BF555E" w:rsidRDefault="00340D0B" w:rsidP="003155B0">
            <w:pPr>
              <w:pStyle w:val="Text1"/>
              <w:spacing w:before="0" w:after="0"/>
              <w:ind w:left="0"/>
              <w:jc w:val="center"/>
              <w:rPr>
                <w:rFonts w:cs="Times New Roman"/>
                <w:noProof/>
                <w:sz w:val="18"/>
                <w:szCs w:val="18"/>
              </w:rPr>
            </w:pPr>
            <w:r>
              <w:rPr>
                <w:rFonts w:cs="Times New Roman"/>
                <w:noProof/>
                <w:sz w:val="18"/>
                <w:szCs w:val="18"/>
              </w:rPr>
              <w:t>90 858</w:t>
            </w:r>
          </w:p>
          <w:p w14:paraId="434C77BE" w14:textId="77777777" w:rsidR="00340D0B" w:rsidRPr="00BF555E" w:rsidRDefault="00340D0B" w:rsidP="003155B0">
            <w:pPr>
              <w:pStyle w:val="Text1"/>
              <w:spacing w:before="0" w:after="0"/>
              <w:ind w:left="0"/>
              <w:jc w:val="center"/>
              <w:rPr>
                <w:rFonts w:cs="Times New Roman"/>
                <w:noProof/>
                <w:sz w:val="18"/>
                <w:szCs w:val="18"/>
              </w:rPr>
            </w:pPr>
          </w:p>
          <w:p w14:paraId="679A91D5" w14:textId="77777777" w:rsidR="00340D0B" w:rsidRPr="00BF555E" w:rsidRDefault="00340D0B" w:rsidP="003155B0">
            <w:pPr>
              <w:pStyle w:val="Text1"/>
              <w:spacing w:before="0" w:after="0"/>
              <w:ind w:left="0"/>
              <w:jc w:val="center"/>
              <w:rPr>
                <w:rFonts w:cs="Times New Roman"/>
                <w:noProof/>
                <w:sz w:val="18"/>
                <w:szCs w:val="18"/>
              </w:rPr>
            </w:pPr>
          </w:p>
        </w:tc>
        <w:tc>
          <w:tcPr>
            <w:tcW w:w="469" w:type="pct"/>
            <w:shd w:val="clear" w:color="auto" w:fill="auto"/>
          </w:tcPr>
          <w:p w14:paraId="2FD9821B"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Projektu dati</w:t>
            </w:r>
          </w:p>
        </w:tc>
        <w:tc>
          <w:tcPr>
            <w:tcW w:w="588" w:type="pct"/>
          </w:tcPr>
          <w:p w14:paraId="46610499" w14:textId="77777777" w:rsidR="00340D0B" w:rsidRPr="00BF555E" w:rsidRDefault="00340D0B" w:rsidP="003155B0">
            <w:pPr>
              <w:spacing w:before="0" w:after="0"/>
              <w:rPr>
                <w:noProof/>
                <w:sz w:val="18"/>
                <w:szCs w:val="18"/>
              </w:rPr>
            </w:pPr>
            <w:r w:rsidRPr="00BF555E">
              <w:rPr>
                <w:noProof/>
                <w:sz w:val="18"/>
                <w:szCs w:val="18"/>
              </w:rPr>
              <w:t>Plānotā vērtība (2029) atbilstoši rādītāju pases aprēķiniem.</w:t>
            </w:r>
          </w:p>
        </w:tc>
      </w:tr>
      <w:tr w:rsidR="00340D0B" w:rsidRPr="00BF555E" w14:paraId="212701F8" w14:textId="77777777" w:rsidTr="003155B0">
        <w:trPr>
          <w:trHeight w:val="286"/>
        </w:trPr>
        <w:tc>
          <w:tcPr>
            <w:tcW w:w="440" w:type="pct"/>
          </w:tcPr>
          <w:p w14:paraId="2602A1AF"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2.2.prioritāte</w:t>
            </w:r>
          </w:p>
        </w:tc>
        <w:tc>
          <w:tcPr>
            <w:tcW w:w="398" w:type="pct"/>
          </w:tcPr>
          <w:p w14:paraId="4E0170A5"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2.2.3.SAM</w:t>
            </w:r>
          </w:p>
        </w:tc>
        <w:tc>
          <w:tcPr>
            <w:tcW w:w="289" w:type="pct"/>
          </w:tcPr>
          <w:p w14:paraId="284B3B04"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ERAF</w:t>
            </w:r>
          </w:p>
        </w:tc>
        <w:tc>
          <w:tcPr>
            <w:tcW w:w="345" w:type="pct"/>
          </w:tcPr>
          <w:p w14:paraId="6923D075" w14:textId="77777777" w:rsidR="00340D0B" w:rsidRPr="00BF555E" w:rsidRDefault="00340D0B" w:rsidP="003155B0">
            <w:pPr>
              <w:pStyle w:val="Text1"/>
              <w:spacing w:before="0" w:after="0"/>
              <w:ind w:left="0"/>
              <w:rPr>
                <w:rFonts w:cs="Times New Roman"/>
                <w:sz w:val="18"/>
                <w:szCs w:val="18"/>
              </w:rPr>
            </w:pPr>
            <w:r w:rsidRPr="00BF555E">
              <w:rPr>
                <w:rFonts w:cs="Times New Roman"/>
                <w:sz w:val="18"/>
                <w:szCs w:val="18"/>
              </w:rPr>
              <w:t xml:space="preserve"> r.2.2.3.a</w:t>
            </w:r>
          </w:p>
        </w:tc>
        <w:tc>
          <w:tcPr>
            <w:tcW w:w="766" w:type="pct"/>
            <w:shd w:val="clear" w:color="auto" w:fill="auto"/>
          </w:tcPr>
          <w:p w14:paraId="1E0107B3" w14:textId="77777777" w:rsidR="00340D0B" w:rsidRPr="00BF555E" w:rsidRDefault="00340D0B" w:rsidP="003155B0">
            <w:pPr>
              <w:pStyle w:val="Text1"/>
              <w:spacing w:before="0" w:after="0"/>
              <w:ind w:left="0"/>
              <w:rPr>
                <w:rFonts w:cs="Times New Roman"/>
                <w:sz w:val="18"/>
                <w:szCs w:val="18"/>
              </w:rPr>
            </w:pPr>
            <w:r w:rsidRPr="00BF555E">
              <w:rPr>
                <w:rFonts w:cs="Times New Roman"/>
                <w:sz w:val="18"/>
                <w:szCs w:val="18"/>
              </w:rPr>
              <w:t>Atjaunotas degradētas ekosistēmas</w:t>
            </w:r>
          </w:p>
        </w:tc>
        <w:tc>
          <w:tcPr>
            <w:tcW w:w="446" w:type="pct"/>
          </w:tcPr>
          <w:p w14:paraId="289126C9"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ha</w:t>
            </w:r>
          </w:p>
        </w:tc>
        <w:tc>
          <w:tcPr>
            <w:tcW w:w="360" w:type="pct"/>
          </w:tcPr>
          <w:p w14:paraId="6389AECE" w14:textId="77777777" w:rsidR="00340D0B" w:rsidRPr="00BF555E" w:rsidRDefault="00340D0B" w:rsidP="003155B0">
            <w:pPr>
              <w:pStyle w:val="Text1"/>
              <w:spacing w:before="0" w:after="0"/>
              <w:ind w:left="0"/>
              <w:rPr>
                <w:rFonts w:cs="Times New Roman"/>
                <w:noProof/>
                <w:sz w:val="18"/>
                <w:szCs w:val="18"/>
              </w:rPr>
            </w:pPr>
            <w:r>
              <w:rPr>
                <w:rFonts w:cs="Times New Roman"/>
                <w:noProof/>
                <w:sz w:val="18"/>
                <w:szCs w:val="18"/>
              </w:rPr>
              <w:t xml:space="preserve">2546 </w:t>
            </w:r>
          </w:p>
        </w:tc>
        <w:tc>
          <w:tcPr>
            <w:tcW w:w="421" w:type="pct"/>
          </w:tcPr>
          <w:p w14:paraId="3404011C" w14:textId="77777777" w:rsidR="00340D0B" w:rsidRPr="00BF555E" w:rsidRDefault="00340D0B" w:rsidP="003155B0">
            <w:pPr>
              <w:pStyle w:val="Text1"/>
              <w:spacing w:before="0" w:after="0"/>
              <w:ind w:left="0"/>
              <w:rPr>
                <w:rFonts w:cs="Times New Roman"/>
                <w:noProof/>
                <w:sz w:val="18"/>
                <w:szCs w:val="18"/>
              </w:rPr>
            </w:pPr>
            <w:r>
              <w:rPr>
                <w:rFonts w:cs="Times New Roman"/>
                <w:noProof/>
                <w:sz w:val="18"/>
                <w:szCs w:val="18"/>
              </w:rPr>
              <w:t xml:space="preserve">2021 </w:t>
            </w:r>
          </w:p>
        </w:tc>
        <w:tc>
          <w:tcPr>
            <w:tcW w:w="478" w:type="pct"/>
            <w:shd w:val="clear" w:color="auto" w:fill="auto"/>
          </w:tcPr>
          <w:p w14:paraId="18AB54B5" w14:textId="77777777" w:rsidR="00340D0B" w:rsidRPr="00BF555E" w:rsidRDefault="00340D0B" w:rsidP="003155B0">
            <w:pPr>
              <w:pStyle w:val="Text1"/>
              <w:spacing w:before="0" w:after="0"/>
              <w:ind w:left="0"/>
              <w:jc w:val="center"/>
              <w:rPr>
                <w:rFonts w:cs="Times New Roman"/>
                <w:noProof/>
                <w:sz w:val="18"/>
                <w:szCs w:val="18"/>
              </w:rPr>
            </w:pPr>
            <w:r>
              <w:rPr>
                <w:rFonts w:cs="Times New Roman"/>
                <w:noProof/>
                <w:sz w:val="18"/>
                <w:szCs w:val="18"/>
              </w:rPr>
              <w:t xml:space="preserve">9 546 </w:t>
            </w:r>
          </w:p>
        </w:tc>
        <w:tc>
          <w:tcPr>
            <w:tcW w:w="469" w:type="pct"/>
            <w:shd w:val="clear" w:color="auto" w:fill="auto"/>
          </w:tcPr>
          <w:p w14:paraId="7FDD6CCE"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Projektu dati</w:t>
            </w:r>
          </w:p>
        </w:tc>
        <w:tc>
          <w:tcPr>
            <w:tcW w:w="588" w:type="pct"/>
          </w:tcPr>
          <w:p w14:paraId="6CA41EDB" w14:textId="77777777" w:rsidR="00340D0B" w:rsidRPr="00BF555E" w:rsidRDefault="00340D0B" w:rsidP="003155B0">
            <w:pPr>
              <w:spacing w:before="0" w:after="0"/>
              <w:rPr>
                <w:noProof/>
                <w:sz w:val="18"/>
                <w:szCs w:val="18"/>
              </w:rPr>
            </w:pPr>
            <w:r w:rsidRPr="00BF555E">
              <w:rPr>
                <w:noProof/>
                <w:sz w:val="18"/>
                <w:szCs w:val="18"/>
              </w:rPr>
              <w:t>Programmas specifiskais rādītājs</w:t>
            </w:r>
          </w:p>
          <w:p w14:paraId="6F40B9DB" w14:textId="77777777" w:rsidR="00340D0B" w:rsidRPr="00BF555E" w:rsidRDefault="00340D0B" w:rsidP="003155B0">
            <w:pPr>
              <w:spacing w:before="0" w:after="0"/>
              <w:rPr>
                <w:noProof/>
                <w:sz w:val="18"/>
                <w:szCs w:val="18"/>
              </w:rPr>
            </w:pPr>
            <w:r w:rsidRPr="00BF555E">
              <w:rPr>
                <w:noProof/>
                <w:sz w:val="18"/>
                <w:szCs w:val="18"/>
              </w:rPr>
              <w:t>*Vērtības tiks noteikta atbilstoši VPP 2021-2027.</w:t>
            </w:r>
          </w:p>
        </w:tc>
      </w:tr>
      <w:tr w:rsidR="00340D0B" w:rsidRPr="00BF555E" w14:paraId="7C6FEBED" w14:textId="77777777" w:rsidTr="003155B0">
        <w:trPr>
          <w:trHeight w:val="286"/>
        </w:trPr>
        <w:tc>
          <w:tcPr>
            <w:tcW w:w="440" w:type="pct"/>
          </w:tcPr>
          <w:p w14:paraId="708340DC"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2.2.prioritāte</w:t>
            </w:r>
          </w:p>
          <w:p w14:paraId="765C39D8" w14:textId="77777777" w:rsidR="00340D0B" w:rsidRPr="00BF555E" w:rsidRDefault="00340D0B" w:rsidP="003155B0">
            <w:pPr>
              <w:pStyle w:val="Text1"/>
              <w:spacing w:before="0" w:after="0"/>
              <w:ind w:left="0"/>
              <w:rPr>
                <w:rFonts w:cs="Times New Roman"/>
                <w:noProof/>
                <w:sz w:val="18"/>
                <w:szCs w:val="18"/>
              </w:rPr>
            </w:pPr>
          </w:p>
        </w:tc>
        <w:tc>
          <w:tcPr>
            <w:tcW w:w="398" w:type="pct"/>
          </w:tcPr>
          <w:p w14:paraId="4B241279"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 xml:space="preserve">2.2.3.SAM </w:t>
            </w:r>
          </w:p>
        </w:tc>
        <w:tc>
          <w:tcPr>
            <w:tcW w:w="289" w:type="pct"/>
          </w:tcPr>
          <w:p w14:paraId="41E5814D"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KF</w:t>
            </w:r>
          </w:p>
          <w:p w14:paraId="1C9E3C8B" w14:textId="77777777" w:rsidR="00340D0B" w:rsidRPr="00BF555E" w:rsidRDefault="00340D0B" w:rsidP="003155B0">
            <w:pPr>
              <w:pStyle w:val="Text1"/>
              <w:spacing w:before="0" w:after="0"/>
              <w:ind w:left="0"/>
              <w:rPr>
                <w:rFonts w:cs="Times New Roman"/>
                <w:noProof/>
                <w:sz w:val="18"/>
                <w:szCs w:val="18"/>
              </w:rPr>
            </w:pPr>
          </w:p>
        </w:tc>
        <w:tc>
          <w:tcPr>
            <w:tcW w:w="345" w:type="pct"/>
          </w:tcPr>
          <w:p w14:paraId="7D85649A" w14:textId="77777777" w:rsidR="00340D0B" w:rsidRPr="00BF555E" w:rsidRDefault="00340D0B" w:rsidP="003155B0">
            <w:pPr>
              <w:pStyle w:val="Text1"/>
              <w:spacing w:before="0" w:after="0"/>
              <w:ind w:left="0"/>
              <w:rPr>
                <w:rFonts w:cs="Times New Roman"/>
                <w:noProof/>
                <w:sz w:val="18"/>
                <w:szCs w:val="18"/>
              </w:rPr>
            </w:pPr>
            <w:r w:rsidRPr="00BF555E">
              <w:rPr>
                <w:rFonts w:cs="Times New Roman"/>
                <w:sz w:val="18"/>
                <w:szCs w:val="18"/>
              </w:rPr>
              <w:t>RCR 52</w:t>
            </w:r>
          </w:p>
        </w:tc>
        <w:tc>
          <w:tcPr>
            <w:tcW w:w="766" w:type="pct"/>
            <w:shd w:val="clear" w:color="auto" w:fill="auto"/>
          </w:tcPr>
          <w:p w14:paraId="01716C6C" w14:textId="77777777" w:rsidR="00340D0B" w:rsidRPr="00BF555E" w:rsidRDefault="00340D0B" w:rsidP="003155B0">
            <w:pPr>
              <w:pStyle w:val="Text1"/>
              <w:spacing w:before="0" w:after="0"/>
              <w:ind w:left="0"/>
              <w:rPr>
                <w:rFonts w:cs="Times New Roman"/>
                <w:noProof/>
                <w:sz w:val="18"/>
                <w:szCs w:val="18"/>
              </w:rPr>
            </w:pPr>
            <w:r w:rsidRPr="00BF555E">
              <w:rPr>
                <w:rFonts w:cs="Times New Roman"/>
                <w:sz w:val="18"/>
                <w:szCs w:val="18"/>
              </w:rPr>
              <w:t>Atjaunota zeme, ko izmanto zaļajām zonām, sociālajiem mājokļiem, saimnieciskām vai citām vajadzībām</w:t>
            </w:r>
          </w:p>
        </w:tc>
        <w:tc>
          <w:tcPr>
            <w:tcW w:w="446" w:type="pct"/>
          </w:tcPr>
          <w:p w14:paraId="7759241A"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ha</w:t>
            </w:r>
          </w:p>
        </w:tc>
        <w:tc>
          <w:tcPr>
            <w:tcW w:w="360" w:type="pct"/>
          </w:tcPr>
          <w:p w14:paraId="31CAF47B"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2.5</w:t>
            </w:r>
          </w:p>
          <w:p w14:paraId="5211DB70" w14:textId="77777777" w:rsidR="00340D0B" w:rsidRPr="00BF555E" w:rsidRDefault="00340D0B" w:rsidP="003155B0">
            <w:pPr>
              <w:pStyle w:val="Text1"/>
              <w:spacing w:before="0" w:after="0"/>
              <w:ind w:left="0"/>
              <w:rPr>
                <w:rFonts w:cs="Times New Roman"/>
                <w:noProof/>
                <w:sz w:val="18"/>
                <w:szCs w:val="18"/>
              </w:rPr>
            </w:pPr>
          </w:p>
        </w:tc>
        <w:tc>
          <w:tcPr>
            <w:tcW w:w="421" w:type="pct"/>
          </w:tcPr>
          <w:p w14:paraId="121C3FD7"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2023</w:t>
            </w:r>
          </w:p>
          <w:p w14:paraId="60C9E103" w14:textId="77777777" w:rsidR="00340D0B" w:rsidRPr="00BF555E" w:rsidRDefault="00340D0B" w:rsidP="003155B0">
            <w:pPr>
              <w:pStyle w:val="Text1"/>
              <w:spacing w:before="0" w:after="0"/>
              <w:ind w:left="0"/>
              <w:rPr>
                <w:rFonts w:cs="Times New Roman"/>
                <w:noProof/>
                <w:sz w:val="18"/>
                <w:szCs w:val="18"/>
              </w:rPr>
            </w:pPr>
          </w:p>
        </w:tc>
        <w:tc>
          <w:tcPr>
            <w:tcW w:w="478" w:type="pct"/>
            <w:shd w:val="clear" w:color="auto" w:fill="auto"/>
          </w:tcPr>
          <w:p w14:paraId="3BCA1BFD" w14:textId="77777777" w:rsidR="00340D0B" w:rsidRPr="00BF555E" w:rsidRDefault="00340D0B" w:rsidP="003155B0">
            <w:pPr>
              <w:pStyle w:val="Text1"/>
              <w:spacing w:before="0" w:after="0"/>
              <w:ind w:left="0"/>
              <w:jc w:val="center"/>
              <w:rPr>
                <w:rFonts w:cs="Times New Roman"/>
                <w:noProof/>
                <w:sz w:val="18"/>
                <w:szCs w:val="18"/>
              </w:rPr>
            </w:pPr>
            <w:r>
              <w:rPr>
                <w:rFonts w:cs="Times New Roman"/>
                <w:noProof/>
                <w:sz w:val="18"/>
                <w:szCs w:val="18"/>
              </w:rPr>
              <w:t xml:space="preserve">10 </w:t>
            </w:r>
          </w:p>
        </w:tc>
        <w:tc>
          <w:tcPr>
            <w:tcW w:w="469" w:type="pct"/>
            <w:shd w:val="clear" w:color="auto" w:fill="auto"/>
          </w:tcPr>
          <w:p w14:paraId="53A081F7"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Projekti</w:t>
            </w:r>
          </w:p>
        </w:tc>
        <w:tc>
          <w:tcPr>
            <w:tcW w:w="588" w:type="pct"/>
          </w:tcPr>
          <w:p w14:paraId="4FA6BE64" w14:textId="77777777" w:rsidR="00340D0B" w:rsidRPr="00BF555E" w:rsidRDefault="00340D0B" w:rsidP="003155B0">
            <w:pPr>
              <w:spacing w:before="0" w:after="0"/>
              <w:rPr>
                <w:noProof/>
                <w:sz w:val="18"/>
                <w:szCs w:val="18"/>
              </w:rPr>
            </w:pPr>
            <w:r w:rsidRPr="00BF555E">
              <w:rPr>
                <w:noProof/>
                <w:sz w:val="18"/>
                <w:szCs w:val="18"/>
              </w:rPr>
              <w:t xml:space="preserve">Par bāzes vērtību pieņemta 2014.-2020. plānošanas periodā sasniegtādzamā iznākuma rādītāja vērtība. Plānotā vērtība (2029) atbilstoši rādītāju pases aprēķiniem.  </w:t>
            </w:r>
          </w:p>
          <w:p w14:paraId="4AE2DE1D" w14:textId="77777777" w:rsidR="00340D0B" w:rsidRPr="00BF555E" w:rsidRDefault="00340D0B" w:rsidP="003155B0">
            <w:pPr>
              <w:spacing w:before="0" w:after="0"/>
              <w:rPr>
                <w:noProof/>
                <w:sz w:val="18"/>
                <w:szCs w:val="18"/>
              </w:rPr>
            </w:pPr>
          </w:p>
        </w:tc>
      </w:tr>
      <w:tr w:rsidR="00340D0B" w:rsidRPr="00BF555E" w14:paraId="2D8E5298" w14:textId="77777777" w:rsidTr="003155B0">
        <w:trPr>
          <w:trHeight w:val="286"/>
        </w:trPr>
        <w:tc>
          <w:tcPr>
            <w:tcW w:w="440" w:type="pct"/>
          </w:tcPr>
          <w:p w14:paraId="6CBAEACA"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2.2.prioritāte</w:t>
            </w:r>
          </w:p>
        </w:tc>
        <w:tc>
          <w:tcPr>
            <w:tcW w:w="398" w:type="pct"/>
          </w:tcPr>
          <w:p w14:paraId="59CE45C9"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2.2.3.SAM</w:t>
            </w:r>
          </w:p>
        </w:tc>
        <w:tc>
          <w:tcPr>
            <w:tcW w:w="289" w:type="pct"/>
          </w:tcPr>
          <w:p w14:paraId="59581A57"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ERAF</w:t>
            </w:r>
          </w:p>
        </w:tc>
        <w:tc>
          <w:tcPr>
            <w:tcW w:w="345" w:type="pct"/>
          </w:tcPr>
          <w:p w14:paraId="23F77225" w14:textId="77777777" w:rsidR="00340D0B" w:rsidRPr="00BF555E" w:rsidRDefault="00340D0B" w:rsidP="003155B0">
            <w:pPr>
              <w:pStyle w:val="Text1"/>
              <w:spacing w:before="0" w:after="0"/>
              <w:ind w:left="0"/>
              <w:rPr>
                <w:rFonts w:cs="Times New Roman"/>
                <w:sz w:val="18"/>
                <w:szCs w:val="18"/>
              </w:rPr>
            </w:pPr>
            <w:r w:rsidRPr="00BF555E">
              <w:rPr>
                <w:rFonts w:cs="Times New Roman"/>
                <w:sz w:val="18"/>
                <w:szCs w:val="18"/>
              </w:rPr>
              <w:t xml:space="preserve"> r.2.2.3.b</w:t>
            </w:r>
          </w:p>
        </w:tc>
        <w:tc>
          <w:tcPr>
            <w:tcW w:w="766" w:type="pct"/>
            <w:shd w:val="clear" w:color="auto" w:fill="auto"/>
          </w:tcPr>
          <w:p w14:paraId="66E2B68D" w14:textId="77777777" w:rsidR="00340D0B" w:rsidRPr="00BF555E" w:rsidRDefault="00340D0B" w:rsidP="003155B0">
            <w:pPr>
              <w:pStyle w:val="Default"/>
              <w:spacing w:after="0" w:line="240" w:lineRule="auto"/>
              <w:jc w:val="both"/>
              <w:rPr>
                <w:color w:val="auto"/>
                <w:sz w:val="18"/>
                <w:szCs w:val="18"/>
              </w:rPr>
            </w:pPr>
            <w:r w:rsidRPr="00BF555E">
              <w:rPr>
                <w:color w:val="auto"/>
                <w:sz w:val="18"/>
                <w:szCs w:val="18"/>
              </w:rPr>
              <w:t>Nodrošinātais klim</w:t>
            </w:r>
            <w:r>
              <w:rPr>
                <w:color w:val="auto"/>
                <w:sz w:val="18"/>
                <w:szCs w:val="18"/>
              </w:rPr>
              <w:t>a</w:t>
            </w:r>
            <w:r w:rsidRPr="00BF555E">
              <w:rPr>
                <w:color w:val="auto"/>
                <w:sz w:val="18"/>
                <w:szCs w:val="18"/>
              </w:rPr>
              <w:t>ta un vides monitorings</w:t>
            </w:r>
          </w:p>
        </w:tc>
        <w:tc>
          <w:tcPr>
            <w:tcW w:w="446" w:type="pct"/>
          </w:tcPr>
          <w:p w14:paraId="22823982"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Vietu skaits</w:t>
            </w:r>
          </w:p>
        </w:tc>
        <w:tc>
          <w:tcPr>
            <w:tcW w:w="360" w:type="pct"/>
          </w:tcPr>
          <w:p w14:paraId="78E4F47C"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w:t>
            </w:r>
          </w:p>
        </w:tc>
        <w:tc>
          <w:tcPr>
            <w:tcW w:w="421" w:type="pct"/>
          </w:tcPr>
          <w:p w14:paraId="02842519" w14:textId="77777777" w:rsidR="00340D0B" w:rsidRPr="00BF555E" w:rsidRDefault="00340D0B" w:rsidP="003155B0">
            <w:pPr>
              <w:pStyle w:val="Text1"/>
              <w:spacing w:before="0" w:after="0"/>
              <w:ind w:left="0"/>
              <w:rPr>
                <w:rFonts w:cs="Times New Roman"/>
                <w:noProof/>
                <w:sz w:val="18"/>
                <w:szCs w:val="18"/>
              </w:rPr>
            </w:pPr>
            <w:r>
              <w:rPr>
                <w:rFonts w:cs="Times New Roman"/>
                <w:noProof/>
                <w:sz w:val="18"/>
                <w:szCs w:val="18"/>
              </w:rPr>
              <w:t xml:space="preserve">2021 </w:t>
            </w:r>
          </w:p>
        </w:tc>
        <w:tc>
          <w:tcPr>
            <w:tcW w:w="478" w:type="pct"/>
            <w:shd w:val="clear" w:color="auto" w:fill="auto"/>
          </w:tcPr>
          <w:p w14:paraId="228FE0DD" w14:textId="77777777" w:rsidR="00340D0B" w:rsidRPr="00BF555E" w:rsidRDefault="00340D0B" w:rsidP="003155B0">
            <w:pPr>
              <w:pStyle w:val="Text1"/>
              <w:spacing w:before="0" w:after="0"/>
              <w:ind w:left="0"/>
              <w:jc w:val="center"/>
              <w:rPr>
                <w:rFonts w:cs="Times New Roman"/>
                <w:noProof/>
                <w:sz w:val="18"/>
                <w:szCs w:val="18"/>
              </w:rPr>
            </w:pPr>
            <w:r w:rsidRPr="00BF555E">
              <w:rPr>
                <w:rFonts w:cs="Times New Roman"/>
                <w:noProof/>
                <w:sz w:val="18"/>
                <w:szCs w:val="18"/>
              </w:rPr>
              <w:t>*</w:t>
            </w:r>
          </w:p>
        </w:tc>
        <w:tc>
          <w:tcPr>
            <w:tcW w:w="469" w:type="pct"/>
            <w:shd w:val="clear" w:color="auto" w:fill="auto"/>
          </w:tcPr>
          <w:p w14:paraId="04B23B48"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Projektu dati</w:t>
            </w:r>
          </w:p>
        </w:tc>
        <w:tc>
          <w:tcPr>
            <w:tcW w:w="588" w:type="pct"/>
          </w:tcPr>
          <w:p w14:paraId="4498FE17" w14:textId="77777777" w:rsidR="00340D0B" w:rsidRPr="00BF555E" w:rsidRDefault="00340D0B" w:rsidP="003155B0">
            <w:pPr>
              <w:spacing w:before="0" w:after="0"/>
              <w:rPr>
                <w:noProof/>
                <w:sz w:val="18"/>
                <w:szCs w:val="18"/>
              </w:rPr>
            </w:pPr>
            <w:r w:rsidRPr="00BF555E">
              <w:rPr>
                <w:noProof/>
                <w:sz w:val="18"/>
                <w:szCs w:val="18"/>
              </w:rPr>
              <w:t>Programmas specifiskais rādītājs</w:t>
            </w:r>
          </w:p>
          <w:p w14:paraId="3C589664" w14:textId="77777777" w:rsidR="00340D0B" w:rsidRPr="00BF555E" w:rsidRDefault="00340D0B" w:rsidP="003155B0">
            <w:pPr>
              <w:spacing w:before="0" w:after="0"/>
              <w:rPr>
                <w:noProof/>
                <w:sz w:val="18"/>
                <w:szCs w:val="18"/>
              </w:rPr>
            </w:pPr>
            <w:r w:rsidRPr="00BF555E">
              <w:rPr>
                <w:noProof/>
                <w:sz w:val="18"/>
                <w:szCs w:val="18"/>
              </w:rPr>
              <w:t>*Vērtības tiks noteikta atbilstoši VPP 2021-2027.</w:t>
            </w:r>
          </w:p>
        </w:tc>
      </w:tr>
      <w:tr w:rsidR="00340D0B" w:rsidRPr="00BF555E" w14:paraId="488A8714" w14:textId="77777777" w:rsidTr="003155B0">
        <w:trPr>
          <w:trHeight w:val="286"/>
        </w:trPr>
        <w:tc>
          <w:tcPr>
            <w:tcW w:w="440" w:type="pct"/>
          </w:tcPr>
          <w:p w14:paraId="48036A02"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2.</w:t>
            </w:r>
            <w:r>
              <w:rPr>
                <w:rFonts w:cs="Times New Roman"/>
                <w:noProof/>
                <w:sz w:val="18"/>
                <w:szCs w:val="18"/>
              </w:rPr>
              <w:t>3</w:t>
            </w:r>
            <w:r w:rsidRPr="00BF555E">
              <w:rPr>
                <w:rFonts w:cs="Times New Roman"/>
                <w:noProof/>
                <w:sz w:val="18"/>
                <w:szCs w:val="18"/>
              </w:rPr>
              <w:t>.prioritāte</w:t>
            </w:r>
          </w:p>
        </w:tc>
        <w:tc>
          <w:tcPr>
            <w:tcW w:w="398" w:type="pct"/>
          </w:tcPr>
          <w:p w14:paraId="4606B1EE"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2</w:t>
            </w:r>
            <w:r>
              <w:rPr>
                <w:rFonts w:cs="Times New Roman"/>
                <w:noProof/>
                <w:sz w:val="18"/>
                <w:szCs w:val="18"/>
              </w:rPr>
              <w:t>.3.1</w:t>
            </w:r>
            <w:r w:rsidRPr="00BF555E">
              <w:rPr>
                <w:rFonts w:cs="Times New Roman"/>
                <w:noProof/>
                <w:sz w:val="18"/>
                <w:szCs w:val="18"/>
              </w:rPr>
              <w:t>.SAM</w:t>
            </w:r>
          </w:p>
        </w:tc>
        <w:tc>
          <w:tcPr>
            <w:tcW w:w="289" w:type="pct"/>
          </w:tcPr>
          <w:p w14:paraId="09E4E42F"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ERAF</w:t>
            </w:r>
          </w:p>
        </w:tc>
        <w:tc>
          <w:tcPr>
            <w:tcW w:w="345" w:type="pct"/>
          </w:tcPr>
          <w:p w14:paraId="2D12A80E" w14:textId="77777777" w:rsidR="00340D0B" w:rsidRPr="00BF555E" w:rsidRDefault="00340D0B" w:rsidP="003155B0">
            <w:pPr>
              <w:pStyle w:val="Text1"/>
              <w:spacing w:before="0" w:after="0"/>
              <w:ind w:left="0"/>
              <w:rPr>
                <w:rFonts w:cs="Times New Roman"/>
                <w:sz w:val="18"/>
                <w:szCs w:val="18"/>
              </w:rPr>
            </w:pPr>
            <w:r w:rsidRPr="00E40A4D">
              <w:rPr>
                <w:rFonts w:cs="Times New Roman"/>
                <w:sz w:val="18"/>
                <w:szCs w:val="18"/>
                <w:lang w:bidi="lv-LV"/>
              </w:rPr>
              <w:t>r.2.3.1.a</w:t>
            </w:r>
          </w:p>
        </w:tc>
        <w:tc>
          <w:tcPr>
            <w:tcW w:w="766" w:type="pct"/>
            <w:shd w:val="clear" w:color="auto" w:fill="auto"/>
          </w:tcPr>
          <w:p w14:paraId="3FC5F7C7" w14:textId="77777777" w:rsidR="00340D0B" w:rsidRPr="00BF555E" w:rsidRDefault="00340D0B" w:rsidP="003155B0">
            <w:pPr>
              <w:pStyle w:val="Text1"/>
              <w:spacing w:before="0" w:after="0"/>
              <w:ind w:left="0"/>
              <w:rPr>
                <w:rFonts w:cs="Times New Roman"/>
                <w:sz w:val="18"/>
                <w:szCs w:val="18"/>
              </w:rPr>
            </w:pPr>
            <w:r w:rsidRPr="00E40A4D">
              <w:rPr>
                <w:rFonts w:cs="Times New Roman"/>
                <w:sz w:val="18"/>
                <w:szCs w:val="18"/>
                <w:lang w:bidi="lv-LV"/>
              </w:rPr>
              <w:t>Veloinfrastruktūras lietotāju īpatsvars</w:t>
            </w:r>
          </w:p>
        </w:tc>
        <w:tc>
          <w:tcPr>
            <w:tcW w:w="446" w:type="pct"/>
          </w:tcPr>
          <w:p w14:paraId="28BF6D34" w14:textId="77777777" w:rsidR="00340D0B" w:rsidRPr="00BF555E" w:rsidRDefault="00340D0B" w:rsidP="003155B0">
            <w:pPr>
              <w:pStyle w:val="Text1"/>
              <w:spacing w:before="0" w:after="0"/>
              <w:ind w:left="0"/>
              <w:rPr>
                <w:rFonts w:cs="Times New Roman"/>
                <w:noProof/>
                <w:sz w:val="18"/>
                <w:szCs w:val="18"/>
              </w:rPr>
            </w:pPr>
            <w:r>
              <w:rPr>
                <w:rFonts w:cs="Times New Roman"/>
                <w:noProof/>
                <w:sz w:val="18"/>
                <w:szCs w:val="18"/>
              </w:rPr>
              <w:t>%</w:t>
            </w:r>
          </w:p>
        </w:tc>
        <w:tc>
          <w:tcPr>
            <w:tcW w:w="360" w:type="pct"/>
          </w:tcPr>
          <w:p w14:paraId="52CD2A8C" w14:textId="77777777" w:rsidR="00340D0B" w:rsidRDefault="00340D0B" w:rsidP="003155B0">
            <w:pPr>
              <w:pStyle w:val="Text1"/>
              <w:spacing w:before="0" w:after="0"/>
              <w:ind w:left="0"/>
              <w:rPr>
                <w:rFonts w:cs="Times New Roman"/>
                <w:noProof/>
                <w:sz w:val="18"/>
                <w:szCs w:val="18"/>
              </w:rPr>
            </w:pPr>
            <w:r>
              <w:rPr>
                <w:rFonts w:cs="Times New Roman"/>
                <w:noProof/>
                <w:sz w:val="18"/>
                <w:szCs w:val="18"/>
              </w:rPr>
              <w:t>6,4</w:t>
            </w:r>
          </w:p>
        </w:tc>
        <w:tc>
          <w:tcPr>
            <w:tcW w:w="421" w:type="pct"/>
          </w:tcPr>
          <w:p w14:paraId="23E621B7" w14:textId="77777777" w:rsidR="00340D0B" w:rsidRDefault="00340D0B" w:rsidP="003155B0">
            <w:pPr>
              <w:pStyle w:val="Text1"/>
              <w:spacing w:before="0" w:after="0"/>
              <w:ind w:left="0"/>
              <w:rPr>
                <w:rFonts w:cs="Times New Roman"/>
                <w:noProof/>
                <w:sz w:val="18"/>
                <w:szCs w:val="18"/>
              </w:rPr>
            </w:pPr>
            <w:r>
              <w:rPr>
                <w:rFonts w:cs="Times New Roman"/>
                <w:noProof/>
                <w:sz w:val="18"/>
                <w:szCs w:val="18"/>
              </w:rPr>
              <w:t>2019</w:t>
            </w:r>
          </w:p>
        </w:tc>
        <w:tc>
          <w:tcPr>
            <w:tcW w:w="478" w:type="pct"/>
            <w:shd w:val="clear" w:color="auto" w:fill="auto"/>
          </w:tcPr>
          <w:p w14:paraId="4EA82FB0" w14:textId="77777777" w:rsidR="00340D0B" w:rsidRDefault="00340D0B" w:rsidP="003155B0">
            <w:pPr>
              <w:pStyle w:val="Text1"/>
              <w:spacing w:before="0" w:after="0"/>
              <w:ind w:left="0"/>
              <w:jc w:val="center"/>
              <w:rPr>
                <w:rFonts w:cs="Times New Roman"/>
                <w:noProof/>
                <w:sz w:val="18"/>
                <w:szCs w:val="18"/>
              </w:rPr>
            </w:pPr>
            <w:r>
              <w:rPr>
                <w:rFonts w:cs="Times New Roman"/>
                <w:noProof/>
                <w:sz w:val="18"/>
                <w:szCs w:val="18"/>
              </w:rPr>
              <w:t>10</w:t>
            </w:r>
          </w:p>
        </w:tc>
        <w:tc>
          <w:tcPr>
            <w:tcW w:w="469" w:type="pct"/>
            <w:shd w:val="clear" w:color="auto" w:fill="auto"/>
          </w:tcPr>
          <w:p w14:paraId="253A5459" w14:textId="77777777" w:rsidR="00340D0B" w:rsidRPr="005D1743" w:rsidRDefault="00340D0B" w:rsidP="003155B0">
            <w:pPr>
              <w:pStyle w:val="Text1"/>
              <w:spacing w:before="0" w:after="0"/>
              <w:ind w:left="0"/>
              <w:rPr>
                <w:rFonts w:cs="Times New Roman"/>
                <w:noProof/>
                <w:sz w:val="18"/>
                <w:szCs w:val="18"/>
              </w:rPr>
            </w:pPr>
            <w:r w:rsidRPr="005D1743">
              <w:rPr>
                <w:rFonts w:cs="Times New Roman"/>
                <w:noProof/>
                <w:sz w:val="18"/>
                <w:szCs w:val="18"/>
              </w:rPr>
              <w:t xml:space="preserve">Pētījuma dati </w:t>
            </w:r>
          </w:p>
        </w:tc>
        <w:tc>
          <w:tcPr>
            <w:tcW w:w="588" w:type="pct"/>
          </w:tcPr>
          <w:p w14:paraId="49C292E7" w14:textId="77777777" w:rsidR="00340D0B" w:rsidRPr="00E40A4D" w:rsidRDefault="00340D0B" w:rsidP="003155B0">
            <w:pPr>
              <w:pStyle w:val="Text1"/>
              <w:spacing w:before="0" w:after="0"/>
              <w:ind w:left="0"/>
              <w:rPr>
                <w:noProof/>
                <w:sz w:val="18"/>
                <w:szCs w:val="18"/>
              </w:rPr>
            </w:pPr>
            <w:r w:rsidRPr="005D1743">
              <w:rPr>
                <w:rFonts w:cs="Times New Roman"/>
                <w:noProof/>
                <w:sz w:val="18"/>
                <w:szCs w:val="18"/>
              </w:rPr>
              <w:t>CSP neapkopo datus par veloinfrastruktūras lietotāju skaitu, līdz ar to, plānošanas perioda beigās būs nepieciešams veikt jaunu pētījumu, lai noteikti faktiski sasniegto vērtību.</w:t>
            </w:r>
          </w:p>
        </w:tc>
      </w:tr>
      <w:tr w:rsidR="00340D0B" w:rsidRPr="00BF555E" w14:paraId="33375166" w14:textId="77777777" w:rsidTr="003155B0">
        <w:trPr>
          <w:trHeight w:val="286"/>
        </w:trPr>
        <w:tc>
          <w:tcPr>
            <w:tcW w:w="440" w:type="pct"/>
          </w:tcPr>
          <w:p w14:paraId="056CD7F8"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2.2.prioritāte</w:t>
            </w:r>
          </w:p>
          <w:p w14:paraId="3BA6066F" w14:textId="77777777" w:rsidR="00340D0B" w:rsidRPr="00BF555E" w:rsidRDefault="00340D0B" w:rsidP="003155B0">
            <w:pPr>
              <w:pStyle w:val="Text1"/>
              <w:spacing w:before="0" w:after="0"/>
              <w:ind w:left="0"/>
              <w:rPr>
                <w:rFonts w:cs="Times New Roman"/>
                <w:noProof/>
                <w:sz w:val="18"/>
                <w:szCs w:val="18"/>
              </w:rPr>
            </w:pPr>
          </w:p>
        </w:tc>
        <w:tc>
          <w:tcPr>
            <w:tcW w:w="398" w:type="pct"/>
          </w:tcPr>
          <w:p w14:paraId="6B5192C9"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2.2.3.SAM</w:t>
            </w:r>
          </w:p>
          <w:p w14:paraId="33790748" w14:textId="77777777" w:rsidR="00340D0B" w:rsidRPr="00BF555E" w:rsidRDefault="00340D0B" w:rsidP="003155B0">
            <w:pPr>
              <w:pStyle w:val="Text1"/>
              <w:spacing w:before="0" w:after="0"/>
              <w:ind w:left="0"/>
              <w:rPr>
                <w:rFonts w:cs="Times New Roman"/>
                <w:noProof/>
                <w:sz w:val="18"/>
                <w:szCs w:val="18"/>
              </w:rPr>
            </w:pPr>
          </w:p>
        </w:tc>
        <w:tc>
          <w:tcPr>
            <w:tcW w:w="289" w:type="pct"/>
          </w:tcPr>
          <w:p w14:paraId="45191C1D"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ERAF</w:t>
            </w:r>
          </w:p>
        </w:tc>
        <w:tc>
          <w:tcPr>
            <w:tcW w:w="345" w:type="pct"/>
          </w:tcPr>
          <w:p w14:paraId="6F585EE5" w14:textId="77777777" w:rsidR="00340D0B" w:rsidRPr="00BF555E" w:rsidRDefault="00340D0B" w:rsidP="003155B0">
            <w:pPr>
              <w:pStyle w:val="Text1"/>
              <w:spacing w:before="0" w:after="0"/>
              <w:ind w:left="0"/>
              <w:rPr>
                <w:rFonts w:cs="Times New Roman"/>
                <w:sz w:val="18"/>
                <w:szCs w:val="18"/>
              </w:rPr>
            </w:pPr>
            <w:r w:rsidRPr="00BF555E">
              <w:rPr>
                <w:rFonts w:cs="Times New Roman"/>
                <w:sz w:val="18"/>
                <w:szCs w:val="18"/>
              </w:rPr>
              <w:t>RCR 77</w:t>
            </w:r>
          </w:p>
        </w:tc>
        <w:tc>
          <w:tcPr>
            <w:tcW w:w="766" w:type="pct"/>
            <w:shd w:val="clear" w:color="auto" w:fill="auto"/>
          </w:tcPr>
          <w:p w14:paraId="2C3D79A5" w14:textId="77777777" w:rsidR="00340D0B" w:rsidRPr="00BF555E" w:rsidRDefault="00340D0B" w:rsidP="003155B0">
            <w:pPr>
              <w:pStyle w:val="Text1"/>
              <w:spacing w:before="0" w:after="0"/>
              <w:ind w:left="0"/>
              <w:rPr>
                <w:rFonts w:cs="Times New Roman"/>
                <w:sz w:val="18"/>
                <w:szCs w:val="18"/>
              </w:rPr>
            </w:pPr>
            <w:r w:rsidRPr="00BF555E">
              <w:rPr>
                <w:rFonts w:cs="Times New Roman"/>
                <w:sz w:val="18"/>
                <w:szCs w:val="18"/>
              </w:rPr>
              <w:t>Atbalstīto kultūras un tūrisma vietu apmeklētāju skaits</w:t>
            </w:r>
          </w:p>
        </w:tc>
        <w:tc>
          <w:tcPr>
            <w:tcW w:w="446" w:type="pct"/>
          </w:tcPr>
          <w:p w14:paraId="4D706B8F"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Apmeklētāji/ gadā</w:t>
            </w:r>
          </w:p>
        </w:tc>
        <w:tc>
          <w:tcPr>
            <w:tcW w:w="360" w:type="pct"/>
          </w:tcPr>
          <w:p w14:paraId="6CDB24C3"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235 000</w:t>
            </w:r>
          </w:p>
          <w:p w14:paraId="2E1E488C" w14:textId="77777777" w:rsidR="00340D0B" w:rsidRPr="00BF555E" w:rsidRDefault="00340D0B" w:rsidP="003155B0">
            <w:pPr>
              <w:pStyle w:val="Text1"/>
              <w:spacing w:before="0" w:after="0"/>
              <w:ind w:left="0"/>
              <w:rPr>
                <w:rFonts w:cs="Times New Roman"/>
                <w:noProof/>
                <w:sz w:val="18"/>
                <w:szCs w:val="18"/>
              </w:rPr>
            </w:pPr>
          </w:p>
        </w:tc>
        <w:tc>
          <w:tcPr>
            <w:tcW w:w="421" w:type="pct"/>
          </w:tcPr>
          <w:p w14:paraId="5AD1F880" w14:textId="77777777" w:rsidR="00340D0B" w:rsidRPr="00BF555E" w:rsidRDefault="00340D0B" w:rsidP="003155B0">
            <w:pPr>
              <w:pStyle w:val="Text1"/>
              <w:spacing w:before="0" w:after="0"/>
              <w:ind w:left="0"/>
              <w:rPr>
                <w:rFonts w:cs="Times New Roman"/>
                <w:noProof/>
                <w:sz w:val="18"/>
                <w:szCs w:val="18"/>
              </w:rPr>
            </w:pPr>
            <w:r>
              <w:rPr>
                <w:rFonts w:cs="Times New Roman"/>
                <w:noProof/>
                <w:sz w:val="18"/>
                <w:szCs w:val="18"/>
              </w:rPr>
              <w:t xml:space="preserve">2021 </w:t>
            </w:r>
          </w:p>
          <w:p w14:paraId="443737F1" w14:textId="77777777" w:rsidR="00340D0B" w:rsidRPr="00BF555E" w:rsidRDefault="00340D0B" w:rsidP="003155B0">
            <w:pPr>
              <w:pStyle w:val="Text1"/>
              <w:spacing w:before="0" w:after="0"/>
              <w:ind w:left="0"/>
              <w:rPr>
                <w:rFonts w:cs="Times New Roman"/>
                <w:noProof/>
                <w:sz w:val="18"/>
                <w:szCs w:val="18"/>
              </w:rPr>
            </w:pPr>
          </w:p>
        </w:tc>
        <w:tc>
          <w:tcPr>
            <w:tcW w:w="478" w:type="pct"/>
            <w:shd w:val="clear" w:color="auto" w:fill="auto"/>
          </w:tcPr>
          <w:p w14:paraId="1569F28B" w14:textId="77777777" w:rsidR="00340D0B" w:rsidRPr="00BF555E" w:rsidRDefault="00340D0B" w:rsidP="003155B0">
            <w:pPr>
              <w:pStyle w:val="Text1"/>
              <w:spacing w:before="0" w:after="0"/>
              <w:ind w:left="0"/>
              <w:jc w:val="center"/>
              <w:rPr>
                <w:rFonts w:cs="Times New Roman"/>
                <w:noProof/>
                <w:sz w:val="18"/>
                <w:szCs w:val="18"/>
              </w:rPr>
            </w:pPr>
            <w:r>
              <w:rPr>
                <w:rFonts w:cs="Times New Roman"/>
                <w:noProof/>
                <w:sz w:val="18"/>
                <w:szCs w:val="18"/>
              </w:rPr>
              <w:t>385 000</w:t>
            </w:r>
          </w:p>
          <w:p w14:paraId="1C8A77BE" w14:textId="77777777" w:rsidR="00340D0B" w:rsidRPr="00BF555E" w:rsidRDefault="00340D0B" w:rsidP="003155B0">
            <w:pPr>
              <w:pStyle w:val="Text1"/>
              <w:spacing w:before="0" w:after="0"/>
              <w:ind w:left="0"/>
              <w:rPr>
                <w:rFonts w:cs="Times New Roman"/>
                <w:noProof/>
                <w:sz w:val="18"/>
                <w:szCs w:val="18"/>
              </w:rPr>
            </w:pPr>
          </w:p>
        </w:tc>
        <w:tc>
          <w:tcPr>
            <w:tcW w:w="469" w:type="pct"/>
            <w:shd w:val="clear" w:color="auto" w:fill="auto"/>
          </w:tcPr>
          <w:p w14:paraId="0720852D"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Projektu dati</w:t>
            </w:r>
          </w:p>
          <w:p w14:paraId="05A1B7F6" w14:textId="77777777" w:rsidR="00340D0B" w:rsidRPr="00BF555E" w:rsidRDefault="00340D0B" w:rsidP="003155B0">
            <w:pPr>
              <w:pStyle w:val="Text1"/>
              <w:spacing w:before="0" w:after="0"/>
              <w:ind w:left="0"/>
              <w:rPr>
                <w:rFonts w:cs="Times New Roman"/>
                <w:noProof/>
                <w:sz w:val="18"/>
                <w:szCs w:val="18"/>
              </w:rPr>
            </w:pPr>
          </w:p>
        </w:tc>
        <w:tc>
          <w:tcPr>
            <w:tcW w:w="588" w:type="pct"/>
          </w:tcPr>
          <w:p w14:paraId="281B1D14" w14:textId="77777777" w:rsidR="00340D0B" w:rsidRPr="00BF555E" w:rsidRDefault="00340D0B" w:rsidP="003155B0">
            <w:pPr>
              <w:spacing w:before="0" w:after="0"/>
              <w:rPr>
                <w:noProof/>
                <w:sz w:val="18"/>
                <w:szCs w:val="18"/>
              </w:rPr>
            </w:pPr>
          </w:p>
        </w:tc>
      </w:tr>
    </w:tbl>
    <w:p w14:paraId="6C3A7451" w14:textId="77777777" w:rsidR="00340D0B" w:rsidRPr="00930237" w:rsidRDefault="00340D0B" w:rsidP="00340D0B">
      <w:pPr>
        <w:spacing w:before="0" w:after="0"/>
        <w:rPr>
          <w:b/>
          <w:noProof/>
          <w:sz w:val="20"/>
        </w:rPr>
      </w:pPr>
    </w:p>
    <w:p w14:paraId="198D4575" w14:textId="77777777" w:rsidR="00340D0B" w:rsidRPr="00930237" w:rsidRDefault="00340D0B" w:rsidP="00340D0B">
      <w:pPr>
        <w:spacing w:before="0" w:after="0"/>
        <w:rPr>
          <w:rFonts w:eastAsia="Times New Roman"/>
          <w:iCs/>
          <w:noProof/>
          <w:sz w:val="20"/>
        </w:rPr>
      </w:pPr>
      <w:r w:rsidRPr="00930237">
        <w:rPr>
          <w:rFonts w:eastAsia="Times New Roman"/>
          <w:iCs/>
          <w:noProof/>
          <w:sz w:val="20"/>
        </w:rPr>
        <w:t>* Rādītāju sasniedzamās vērtības tiks definētas, kad būs pieejami veikto izvērtējumu rezultāti, kā arī attiecīgo nozaru plānošanas dokumentu izstrādes un saskaņošanas ietvaros.</w:t>
      </w:r>
    </w:p>
    <w:p w14:paraId="5BAE610F" w14:textId="77777777" w:rsidR="00340D0B" w:rsidRPr="00930237" w:rsidRDefault="00340D0B" w:rsidP="00340D0B">
      <w:pPr>
        <w:rPr>
          <w:sz w:val="20"/>
        </w:rPr>
      </w:pPr>
    </w:p>
    <w:p w14:paraId="4BCE6832" w14:textId="77777777" w:rsidR="00340D0B" w:rsidRPr="00930237" w:rsidRDefault="00340D0B" w:rsidP="00340D0B">
      <w:pPr>
        <w:rPr>
          <w:sz w:val="20"/>
        </w:rPr>
      </w:pPr>
    </w:p>
    <w:p w14:paraId="488027A5" w14:textId="77777777" w:rsidR="00340D0B" w:rsidRPr="00BB7C97" w:rsidRDefault="00340D0B" w:rsidP="00340D0B"/>
    <w:p w14:paraId="5F10ABC4" w14:textId="77777777" w:rsidR="00B8254F" w:rsidRDefault="00B8254F" w:rsidP="00B8254F">
      <w:pPr>
        <w:spacing w:before="0" w:after="0"/>
        <w:jc w:val="left"/>
        <w:rPr>
          <w:rFonts w:eastAsia="Times New Roman"/>
          <w:b/>
          <w:iCs/>
          <w:noProof/>
          <w:sz w:val="20"/>
        </w:rPr>
        <w:sectPr w:rsidR="00B8254F" w:rsidSect="00B471B0">
          <w:pgSz w:w="16838" w:h="11906" w:orient="landscape" w:code="9"/>
          <w:pgMar w:top="1418" w:right="1418" w:bottom="1418" w:left="1418" w:header="567" w:footer="510" w:gutter="0"/>
          <w:cols w:space="708"/>
          <w:titlePg/>
          <w:docGrid w:linePitch="360"/>
        </w:sectPr>
      </w:pPr>
    </w:p>
    <w:p w14:paraId="7ECC95CE" w14:textId="5BD94E25" w:rsidR="00AC212B" w:rsidRPr="00930237" w:rsidRDefault="00AC212B" w:rsidP="00AC212B">
      <w:pPr>
        <w:pStyle w:val="Heading3"/>
        <w:numPr>
          <w:ilvl w:val="0"/>
          <w:numId w:val="0"/>
        </w:numPr>
        <w:shd w:val="clear" w:color="auto" w:fill="FFF2CC" w:themeFill="accent4" w:themeFillTint="33"/>
        <w:spacing w:after="0"/>
        <w:rPr>
          <w:b/>
          <w:i w:val="0"/>
          <w:noProof/>
        </w:rPr>
      </w:pPr>
      <w:bookmarkStart w:id="27" w:name="_Toc69125414"/>
      <w:r w:rsidRPr="00930237">
        <w:rPr>
          <w:b/>
          <w:i w:val="0"/>
          <w:noProof/>
        </w:rPr>
        <w:t>3.politikas mērķis “</w:t>
      </w:r>
      <w:r w:rsidR="005B52DD" w:rsidRPr="005B52DD">
        <w:rPr>
          <w:b/>
          <w:i w:val="0"/>
          <w:noProof/>
        </w:rPr>
        <w:t>Ciešāk savienota Eiropa, uzlabojot mobilitāti</w:t>
      </w:r>
      <w:r w:rsidRPr="00930237">
        <w:rPr>
          <w:b/>
          <w:i w:val="0"/>
          <w:noProof/>
        </w:rPr>
        <w:t>”</w:t>
      </w:r>
      <w:bookmarkEnd w:id="27"/>
    </w:p>
    <w:p w14:paraId="248EF089" w14:textId="77777777" w:rsidR="00AC212B" w:rsidRPr="00930237" w:rsidRDefault="00AC212B" w:rsidP="00AC212B">
      <w:pPr>
        <w:shd w:val="clear" w:color="auto" w:fill="FFFFFF"/>
        <w:spacing w:before="0" w:after="0"/>
        <w:rPr>
          <w:noProof/>
          <w:color w:val="000000" w:themeColor="text1"/>
          <w:szCs w:val="24"/>
        </w:rPr>
      </w:pPr>
    </w:p>
    <w:p w14:paraId="1AAE8DF1" w14:textId="625A9CB2" w:rsidR="00AC212B" w:rsidRPr="00930237" w:rsidRDefault="00AC212B" w:rsidP="00AC212B">
      <w:pPr>
        <w:pStyle w:val="Heading4"/>
        <w:numPr>
          <w:ilvl w:val="0"/>
          <w:numId w:val="0"/>
        </w:numPr>
        <w:shd w:val="clear" w:color="auto" w:fill="F7CAAC" w:themeFill="accent2" w:themeFillTint="66"/>
        <w:spacing w:after="0"/>
        <w:rPr>
          <w:b/>
          <w:noProof/>
          <w:color w:val="FF0000"/>
        </w:rPr>
      </w:pPr>
      <w:r w:rsidRPr="00930237">
        <w:rPr>
          <w:b/>
          <w:noProof/>
        </w:rPr>
        <w:t>3.</w:t>
      </w:r>
      <w:r w:rsidR="00DF0BFF">
        <w:rPr>
          <w:b/>
          <w:noProof/>
        </w:rPr>
        <w:t>1</w:t>
      </w:r>
      <w:r w:rsidRPr="00930237">
        <w:rPr>
          <w:b/>
          <w:noProof/>
        </w:rPr>
        <w:t>.prioritāte “Ilgtspējīga TEN-T infrastruktūra”</w:t>
      </w:r>
    </w:p>
    <w:p w14:paraId="358805AF" w14:textId="493A4D54" w:rsidR="00AC212B" w:rsidRPr="00930237" w:rsidRDefault="00AC212B" w:rsidP="00AC212B">
      <w:pPr>
        <w:pStyle w:val="Heading4"/>
        <w:numPr>
          <w:ilvl w:val="0"/>
          <w:numId w:val="0"/>
        </w:numPr>
        <w:shd w:val="clear" w:color="auto" w:fill="FBE4D5" w:themeFill="accent2" w:themeFillTint="33"/>
        <w:spacing w:after="0"/>
        <w:rPr>
          <w:b/>
          <w:color w:val="FF0000"/>
          <w:szCs w:val="24"/>
        </w:rPr>
      </w:pPr>
      <w:r w:rsidRPr="00930237">
        <w:rPr>
          <w:b/>
          <w:szCs w:val="24"/>
        </w:rPr>
        <w:t>3.</w:t>
      </w:r>
      <w:r w:rsidR="00DF0BFF">
        <w:rPr>
          <w:b/>
          <w:szCs w:val="24"/>
        </w:rPr>
        <w:t>1</w:t>
      </w:r>
      <w:r w:rsidRPr="00930237">
        <w:rPr>
          <w:b/>
          <w:szCs w:val="24"/>
        </w:rPr>
        <w:t>.1.SAM “Attīstīt ilgtspējīgu, pret klimatu izturīgu, inteliģentu, drošu un vairākveidu TEN-T infrastruktūru”</w:t>
      </w:r>
    </w:p>
    <w:p w14:paraId="51D860F2" w14:textId="77777777" w:rsidR="00FC29FC" w:rsidRPr="007323C7"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sz w:val="24"/>
          <w:szCs w:val="24"/>
          <w:lang w:eastAsia="en-US" w:bidi="ar-SA"/>
        </w:rPr>
      </w:pPr>
      <w:r w:rsidRPr="006E3AD2">
        <w:rPr>
          <w:rFonts w:ascii="Times New Roman" w:hAnsi="Times New Roman" w:cs="Times New Roman"/>
          <w:b/>
          <w:noProof/>
          <w:sz w:val="24"/>
          <w:szCs w:val="24"/>
        </w:rPr>
        <w:t xml:space="preserve">Atbalstāmās darbības: </w:t>
      </w:r>
      <w:r w:rsidRPr="006E3AD2">
        <w:rPr>
          <w:rFonts w:ascii="Times New Roman" w:hAnsi="Times New Roman" w:cs="Times New Roman"/>
          <w:sz w:val="24"/>
          <w:szCs w:val="24"/>
        </w:rPr>
        <w:t xml:space="preserve">Valsts galveno autoceļu TEN-T tīklā pārbūve, uzlabojot ceļu satiksmes drošību, </w:t>
      </w:r>
      <w:r w:rsidRPr="006E3AD2">
        <w:rPr>
          <w:rFonts w:ascii="Times New Roman" w:hAnsi="Times New Roman" w:cs="Times New Roman"/>
          <w:color w:val="000000"/>
          <w:sz w:val="24"/>
          <w:szCs w:val="24"/>
        </w:rPr>
        <w:t>jauna valsts galvenā autoceļa posma izbūve</w:t>
      </w:r>
      <w:r w:rsidRPr="006E3AD2">
        <w:rPr>
          <w:rFonts w:ascii="Times New Roman" w:hAnsi="Times New Roman" w:cs="Times New Roman"/>
          <w:noProof/>
          <w:sz w:val="24"/>
          <w:szCs w:val="24"/>
        </w:rPr>
        <w:t>.</w:t>
      </w:r>
      <w:r w:rsidR="006E3AD2" w:rsidRPr="006E3AD2">
        <w:rPr>
          <w:rFonts w:ascii="Times New Roman" w:hAnsi="Times New Roman" w:cs="Times New Roman"/>
          <w:noProof/>
          <w:sz w:val="24"/>
          <w:szCs w:val="24"/>
        </w:rPr>
        <w:t xml:space="preserve"> </w:t>
      </w:r>
    </w:p>
    <w:p w14:paraId="0225B9FB" w14:textId="6371A5AC" w:rsidR="00AC212B" w:rsidRPr="006E3AD2"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sz w:val="24"/>
          <w:szCs w:val="24"/>
          <w:lang w:eastAsia="en-US" w:bidi="ar-SA"/>
        </w:rPr>
      </w:pPr>
      <w:r w:rsidRPr="006E3AD2">
        <w:rPr>
          <w:rFonts w:ascii="Times New Roman" w:eastAsia="Times New Roman" w:hAnsi="Times New Roman" w:cs="Times New Roman"/>
          <w:sz w:val="24"/>
          <w:szCs w:val="24"/>
          <w:lang w:eastAsia="en-US" w:bidi="ar-SA"/>
        </w:rPr>
        <w:t>Eiropas transporta tīklā esošās dzelzceļa infrastruktūras modernizācija un jaunas izveide; dzelzceļa pasažieru infrastruktūras modernizācija;</w:t>
      </w:r>
      <w:r w:rsidR="00AF7978" w:rsidRPr="006E3AD2">
        <w:rPr>
          <w:rFonts w:ascii="Times New Roman" w:eastAsia="Times New Roman" w:hAnsi="Times New Roman" w:cs="Times New Roman"/>
          <w:sz w:val="24"/>
          <w:szCs w:val="24"/>
          <w:lang w:eastAsia="en-US" w:bidi="ar-SA"/>
        </w:rPr>
        <w:t xml:space="preserve"> </w:t>
      </w:r>
      <w:r w:rsidRPr="006E3AD2">
        <w:rPr>
          <w:rFonts w:ascii="Times New Roman" w:eastAsia="Times New Roman" w:hAnsi="Times New Roman" w:cs="Times New Roman"/>
          <w:sz w:val="24"/>
          <w:szCs w:val="24"/>
          <w:lang w:eastAsia="en-US" w:bidi="ar-SA"/>
        </w:rPr>
        <w:t xml:space="preserve">drošības </w:t>
      </w:r>
      <w:r w:rsidR="00FC29FC">
        <w:rPr>
          <w:rFonts w:ascii="Times New Roman" w:eastAsia="Times New Roman" w:hAnsi="Times New Roman" w:cs="Times New Roman"/>
          <w:sz w:val="24"/>
          <w:szCs w:val="24"/>
          <w:lang w:eastAsia="en-US" w:bidi="ar-SA"/>
        </w:rPr>
        <w:t xml:space="preserve">un digitalizācijas </w:t>
      </w:r>
      <w:r w:rsidRPr="006E3AD2">
        <w:rPr>
          <w:rFonts w:ascii="Times New Roman" w:eastAsia="Times New Roman" w:hAnsi="Times New Roman" w:cs="Times New Roman"/>
          <w:sz w:val="24"/>
          <w:szCs w:val="24"/>
          <w:lang w:eastAsia="en-US" w:bidi="ar-SA"/>
        </w:rPr>
        <w:t>pasākumu īstenošana</w:t>
      </w:r>
      <w:r w:rsidR="00FC29FC">
        <w:rPr>
          <w:rFonts w:ascii="Times New Roman" w:eastAsia="Times New Roman" w:hAnsi="Times New Roman" w:cs="Times New Roman"/>
          <w:sz w:val="24"/>
          <w:szCs w:val="24"/>
          <w:lang w:eastAsia="en-US" w:bidi="ar-SA"/>
        </w:rPr>
        <w:t xml:space="preserve">, </w:t>
      </w:r>
      <w:r w:rsidR="00FC29FC" w:rsidRPr="00FC29FC">
        <w:rPr>
          <w:rFonts w:ascii="Times New Roman" w:eastAsia="Times New Roman" w:hAnsi="Times New Roman" w:cs="Times New Roman"/>
          <w:sz w:val="24"/>
          <w:szCs w:val="24"/>
          <w:lang w:eastAsia="en-US" w:bidi="ar-SA"/>
        </w:rPr>
        <w:t>energoefektivitātes uzlabošana sabiedriskajā transportā, sekmējot ritošā sastāva atjaunošanu sabiedriskajos pasažieru pārvadājumos</w:t>
      </w:r>
      <w:r w:rsidRPr="006E3AD2">
        <w:rPr>
          <w:rFonts w:ascii="Times New Roman" w:eastAsia="Times New Roman" w:hAnsi="Times New Roman" w:cs="Times New Roman"/>
          <w:sz w:val="24"/>
          <w:szCs w:val="24"/>
          <w:lang w:eastAsia="en-US" w:bidi="ar-SA"/>
        </w:rPr>
        <w:t>.</w:t>
      </w:r>
    </w:p>
    <w:p w14:paraId="7C5C8428" w14:textId="534A714C"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Rīgas pilsētas transporta infrastruktūras izbūve, pārbūve un atjaunošana, nodrošinot integrētas transporta sistēmas veidošanu, uzlabojot transporta infrastruktūras tehniskos parametrus un satiksmes drošību</w:t>
      </w:r>
      <w:r w:rsidR="006D4555">
        <w:rPr>
          <w:rFonts w:ascii="Times New Roman" w:hAnsi="Times New Roman" w:cs="Times New Roman"/>
          <w:sz w:val="24"/>
          <w:szCs w:val="24"/>
        </w:rPr>
        <w:t>, sabiedriskā transporta attīstība</w:t>
      </w:r>
      <w:r w:rsidRPr="00930237">
        <w:rPr>
          <w:rFonts w:ascii="Times New Roman" w:hAnsi="Times New Roman" w:cs="Times New Roman"/>
          <w:sz w:val="24"/>
          <w:szCs w:val="24"/>
        </w:rPr>
        <w:t>.</w:t>
      </w:r>
    </w:p>
    <w:p w14:paraId="0446F8A9" w14:textId="5DCDB0F3"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 xml:space="preserve">Nacionālās </w:t>
      </w:r>
      <w:r w:rsidR="00021056" w:rsidRPr="00930237">
        <w:rPr>
          <w:rFonts w:ascii="Times New Roman" w:hAnsi="Times New Roman" w:cs="Times New Roman"/>
          <w:sz w:val="24"/>
          <w:szCs w:val="24"/>
        </w:rPr>
        <w:t xml:space="preserve">nozīmes </w:t>
      </w:r>
      <w:r w:rsidRPr="00930237">
        <w:rPr>
          <w:rFonts w:ascii="Times New Roman" w:hAnsi="Times New Roman" w:cs="Times New Roman"/>
          <w:sz w:val="24"/>
          <w:szCs w:val="24"/>
        </w:rPr>
        <w:t>centru maģistrālo ielu un esošo maršrutu attīstība, kas nodrošina atsevišķu pilsētu daļu efektīvu savstarpējo sasaisti un sasaisti ar TEN-T tīklu, alternatīvu kravas ceļu izbūve, pārbūve vai modernizācija.</w:t>
      </w:r>
    </w:p>
    <w:p w14:paraId="31BE14D5" w14:textId="35868604" w:rsidR="00AC212B" w:rsidRPr="00930237" w:rsidRDefault="00605296"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605296">
        <w:rPr>
          <w:rFonts w:ascii="Times New Roman" w:eastAsia="Times New Roman" w:hAnsi="Times New Roman" w:cs="Times New Roman"/>
          <w:iCs/>
          <w:noProof/>
          <w:sz w:val="24"/>
          <w:szCs w:val="24"/>
        </w:rPr>
        <w:t>Autoceļu robežšķērsošanas vietu infrastruktūras attīstība, viedu muitas kontroles tehnoloģiju un automatizētu risinājumu transportlīdzekļu kustības nodrošināšanai muitas kontroles punktos ieviešana, efektivizējot kontroli, palielinot drošības līmeni un samazinot robežas šķērsošanai nepieciešamo laiku.</w:t>
      </w:r>
      <w:r>
        <w:rPr>
          <w:rFonts w:ascii="Times New Roman" w:eastAsia="Times New Roman" w:hAnsi="Times New Roman" w:cs="Times New Roman"/>
          <w:iCs/>
          <w:noProof/>
          <w:sz w:val="24"/>
          <w:szCs w:val="24"/>
        </w:rPr>
        <w:t xml:space="preserve"> </w:t>
      </w:r>
    </w:p>
    <w:p w14:paraId="6431F403" w14:textId="65794904"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noProof/>
          <w:sz w:val="24"/>
          <w:szCs w:val="24"/>
        </w:rPr>
        <w:t xml:space="preserve">Galvenās mērķgrupas: </w:t>
      </w:r>
      <w:r w:rsidRPr="00930237">
        <w:rPr>
          <w:rFonts w:ascii="Times New Roman" w:hAnsi="Times New Roman" w:cs="Times New Roman"/>
          <w:sz w:val="24"/>
          <w:szCs w:val="24"/>
        </w:rPr>
        <w:t>transporta infrastruktūras un sabiedriskā transporta, kurā veikti ES fondu līdzekļu investīcijas, lietotāji</w:t>
      </w:r>
      <w:r w:rsidR="00256266">
        <w:rPr>
          <w:rFonts w:ascii="Times New Roman" w:hAnsi="Times New Roman" w:cs="Times New Roman"/>
          <w:sz w:val="24"/>
          <w:szCs w:val="24"/>
        </w:rPr>
        <w:t>,</w:t>
      </w:r>
      <w:r w:rsidR="004A58D0">
        <w:rPr>
          <w:rFonts w:ascii="Times New Roman" w:hAnsi="Times New Roman" w:cs="Times New Roman"/>
          <w:sz w:val="24"/>
          <w:szCs w:val="24"/>
        </w:rPr>
        <w:t xml:space="preserve"> plānošanas reģioni,</w:t>
      </w:r>
      <w:r w:rsidR="00256266">
        <w:rPr>
          <w:rFonts w:ascii="Times New Roman" w:hAnsi="Times New Roman" w:cs="Times New Roman"/>
          <w:sz w:val="24"/>
          <w:szCs w:val="24"/>
        </w:rPr>
        <w:t xml:space="preserve"> pašvaldības</w:t>
      </w:r>
      <w:r w:rsidRPr="00930237">
        <w:rPr>
          <w:rFonts w:ascii="Times New Roman" w:hAnsi="Times New Roman" w:cs="Times New Roman"/>
          <w:sz w:val="24"/>
          <w:szCs w:val="24"/>
        </w:rPr>
        <w:t>.</w:t>
      </w:r>
    </w:p>
    <w:p w14:paraId="6B6AFF9D" w14:textId="669C8B4C"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Darbības, kas nodrošina vienlīdzību, iekļaušanu un nediskrimināciju:</w:t>
      </w:r>
      <w:r w:rsidRPr="00930237">
        <w:rPr>
          <w:rFonts w:ascii="Times New Roman" w:hAnsi="Times New Roman" w:cs="Times New Roman"/>
          <w:sz w:val="24"/>
          <w:szCs w:val="24"/>
        </w:rPr>
        <w:t xml:space="preserve"> </w:t>
      </w:r>
      <w:r w:rsidRPr="00930237">
        <w:rPr>
          <w:rFonts w:ascii="Times New Roman" w:hAnsi="Times New Roman" w:cs="Times New Roman"/>
          <w:sz w:val="24"/>
          <w:szCs w:val="24"/>
          <w:lang w:bidi="lv-LV"/>
        </w:rPr>
        <w:t>Modernizējot transporta infrastruktūru un ritošo sastāvu, tiks īstenotas būvniecības normatīvajos aktos noteiktās vides un informācijas pieejamības nodrošināšanas darbības personām ar redzes, dzirdes, kustību un garīga rakstura traucējumiem</w:t>
      </w:r>
      <w:r w:rsidRPr="00930237">
        <w:rPr>
          <w:rFonts w:ascii="Times New Roman" w:hAnsi="Times New Roman" w:cs="Times New Roman"/>
          <w:sz w:val="24"/>
          <w:szCs w:val="24"/>
        </w:rPr>
        <w:t>.</w:t>
      </w:r>
      <w:r w:rsidR="00601AA2">
        <w:rPr>
          <w:rFonts w:ascii="Times New Roman" w:hAnsi="Times New Roman" w:cs="Times New Roman"/>
          <w:sz w:val="24"/>
          <w:szCs w:val="24"/>
        </w:rPr>
        <w:t xml:space="preserve"> </w:t>
      </w:r>
      <w:r w:rsidR="00601AA2" w:rsidRPr="00601AA2">
        <w:rPr>
          <w:rFonts w:ascii="Times New Roman" w:hAnsi="Times New Roman" w:cs="Times New Roman"/>
          <w:sz w:val="24"/>
          <w:szCs w:val="24"/>
        </w:rPr>
        <w:t>Attīstot transporta infrastruktūru, tiks nodrošināta tās piekļūstamība, tostarp pašapkalpošanās termināļiem  (maksājumu termināļi, biļešu automāti, reģistrācijas automāti u.c.); izmantojot tīmekļvietnes un uz mobilajām ierīcēm balstītus pakalpojumus, tostarp mobilās lietotnes, tādējādi sekmējot pilnvērtīgu un efektīvu līdzdalību, uzlabojot piekļuvi transporta infrastruktūrai un pakalpojumiem, kas, pateicoties to sākotnējam dizainam vai vēlākiem pielāgojumiem, atbilst personu ar invaliditāti īpašajām vajadzībām.</w:t>
      </w:r>
    </w:p>
    <w:p w14:paraId="02DD12CA" w14:textId="390302F0"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Mērķteritorijas, t.sk. plānotais teritoriālo rīku izmantojums</w:t>
      </w:r>
      <w:r w:rsidRPr="00930237">
        <w:rPr>
          <w:rFonts w:ascii="Times New Roman" w:hAnsi="Times New Roman" w:cs="Times New Roman"/>
          <w:sz w:val="24"/>
          <w:szCs w:val="24"/>
        </w:rPr>
        <w:t xml:space="preserve">: Visa Latvija. Plānots skatīt kontekstā ar </w:t>
      </w:r>
      <w:r w:rsidR="004A58D0" w:rsidRPr="00930237">
        <w:rPr>
          <w:rFonts w:ascii="Times New Roman" w:hAnsi="Times New Roman" w:cs="Times New Roman"/>
          <w:sz w:val="24"/>
          <w:szCs w:val="24"/>
        </w:rPr>
        <w:t>teritori</w:t>
      </w:r>
      <w:r w:rsidR="004A58D0">
        <w:rPr>
          <w:rFonts w:ascii="Times New Roman" w:hAnsi="Times New Roman" w:cs="Times New Roman"/>
          <w:sz w:val="24"/>
          <w:szCs w:val="24"/>
        </w:rPr>
        <w:t>ju</w:t>
      </w:r>
      <w:r w:rsidR="004A58D0" w:rsidRPr="00930237">
        <w:rPr>
          <w:rFonts w:ascii="Times New Roman" w:hAnsi="Times New Roman" w:cs="Times New Roman"/>
          <w:sz w:val="24"/>
          <w:szCs w:val="24"/>
        </w:rPr>
        <w:t xml:space="preserve"> </w:t>
      </w:r>
      <w:r w:rsidRPr="00930237">
        <w:rPr>
          <w:rFonts w:ascii="Times New Roman" w:hAnsi="Times New Roman" w:cs="Times New Roman"/>
          <w:sz w:val="24"/>
          <w:szCs w:val="24"/>
        </w:rPr>
        <w:t xml:space="preserve">attīstības </w:t>
      </w:r>
      <w:r w:rsidR="004A58D0">
        <w:rPr>
          <w:rFonts w:ascii="Times New Roman" w:hAnsi="Times New Roman" w:cs="Times New Roman"/>
          <w:sz w:val="24"/>
          <w:szCs w:val="24"/>
        </w:rPr>
        <w:t>plānošanas dokumentiem</w:t>
      </w:r>
      <w:r w:rsidRPr="00930237">
        <w:rPr>
          <w:rFonts w:ascii="Times New Roman" w:hAnsi="Times New Roman" w:cs="Times New Roman"/>
          <w:sz w:val="24"/>
          <w:szCs w:val="24"/>
        </w:rPr>
        <w:t>, piemērojot 5.1.1.SAM teritoriālo pieeju</w:t>
      </w:r>
      <w:r w:rsidR="00710DDA" w:rsidRPr="00930237">
        <w:rPr>
          <w:rFonts w:ascii="Times New Roman" w:hAnsi="Times New Roman" w:cs="Times New Roman"/>
          <w:sz w:val="24"/>
          <w:szCs w:val="24"/>
          <w:lang w:bidi="lv-LV"/>
        </w:rPr>
        <w:t>, taču</w:t>
      </w:r>
      <w:r w:rsidR="00114CE6">
        <w:rPr>
          <w:rFonts w:ascii="Times New Roman" w:hAnsi="Times New Roman" w:cs="Times New Roman"/>
          <w:sz w:val="24"/>
          <w:szCs w:val="24"/>
          <w:lang w:bidi="lv-LV"/>
        </w:rPr>
        <w:t>,</w:t>
      </w:r>
      <w:r w:rsidR="00710DDA" w:rsidRPr="00930237">
        <w:rPr>
          <w:rFonts w:ascii="Times New Roman" w:hAnsi="Times New Roman" w:cs="Times New Roman"/>
          <w:sz w:val="24"/>
          <w:szCs w:val="24"/>
          <w:lang w:bidi="lv-LV"/>
        </w:rPr>
        <w:t xml:space="preserve"> </w:t>
      </w:r>
      <w:r w:rsidR="00114CE6" w:rsidRPr="00930237">
        <w:rPr>
          <w:rFonts w:ascii="Times New Roman" w:hAnsi="Times New Roman" w:cs="Times New Roman"/>
          <w:sz w:val="24"/>
          <w:szCs w:val="24"/>
          <w:lang w:bidi="lv-LV"/>
        </w:rPr>
        <w:t>plānojot finansējuma sadalījumu</w:t>
      </w:r>
      <w:r w:rsidR="00114CE6">
        <w:rPr>
          <w:rFonts w:ascii="Times New Roman" w:hAnsi="Times New Roman" w:cs="Times New Roman"/>
          <w:sz w:val="24"/>
          <w:szCs w:val="24"/>
          <w:lang w:bidi="lv-LV"/>
        </w:rPr>
        <w:t>,</w:t>
      </w:r>
      <w:r w:rsidR="00114CE6" w:rsidRPr="00930237">
        <w:rPr>
          <w:rFonts w:ascii="Times New Roman" w:hAnsi="Times New Roman" w:cs="Times New Roman"/>
          <w:sz w:val="24"/>
          <w:szCs w:val="24"/>
          <w:lang w:bidi="lv-LV"/>
        </w:rPr>
        <w:t xml:space="preserve"> </w:t>
      </w:r>
      <w:r w:rsidR="00710DDA" w:rsidRPr="00930237">
        <w:rPr>
          <w:rFonts w:ascii="Times New Roman" w:hAnsi="Times New Roman" w:cs="Times New Roman"/>
          <w:sz w:val="24"/>
          <w:szCs w:val="24"/>
          <w:lang w:bidi="lv-LV"/>
        </w:rPr>
        <w:t>netiks piemērots plānoto teritoriālo rīku izmantojuma aprakstā minētais apgrieztais IKP</w:t>
      </w:r>
      <w:r w:rsidRPr="00930237">
        <w:rPr>
          <w:rFonts w:ascii="Times New Roman" w:hAnsi="Times New Roman" w:cs="Times New Roman"/>
          <w:sz w:val="24"/>
          <w:szCs w:val="24"/>
        </w:rPr>
        <w:t>.</w:t>
      </w:r>
    </w:p>
    <w:p w14:paraId="4614DF68" w14:textId="4B07AC24" w:rsidR="001D49E3" w:rsidRPr="001D49E3" w:rsidRDefault="00AC212B" w:rsidP="007545BD">
      <w:pPr>
        <w:pStyle w:val="Normal1"/>
        <w:numPr>
          <w:ilvl w:val="0"/>
          <w:numId w:val="60"/>
        </w:numPr>
        <w:spacing w:line="240" w:lineRule="auto"/>
        <w:ind w:left="567" w:hanging="567"/>
        <w:jc w:val="both"/>
        <w:rPr>
          <w:rFonts w:ascii="Times New Roman" w:hAnsi="Times New Roman" w:cs="Times New Roman"/>
          <w:sz w:val="24"/>
          <w:szCs w:val="24"/>
          <w:lang w:bidi="lv-LV"/>
        </w:rPr>
      </w:pPr>
      <w:r w:rsidRPr="00930237">
        <w:rPr>
          <w:rFonts w:ascii="Times New Roman" w:hAnsi="Times New Roman" w:cs="Times New Roman"/>
          <w:b/>
          <w:sz w:val="24"/>
          <w:szCs w:val="24"/>
        </w:rPr>
        <w:t>Starpreģionālās, pārrobežu un transnacionālās darbības:</w:t>
      </w:r>
      <w:r w:rsidRPr="00930237">
        <w:rPr>
          <w:rFonts w:ascii="Times New Roman" w:hAnsi="Times New Roman" w:cs="Times New Roman"/>
          <w:sz w:val="24"/>
          <w:szCs w:val="24"/>
        </w:rPr>
        <w:t xml:space="preserve"> </w:t>
      </w:r>
      <w:r w:rsidRPr="00930237">
        <w:rPr>
          <w:rFonts w:ascii="Times New Roman" w:hAnsi="Times New Roman" w:cs="Times New Roman"/>
          <w:sz w:val="24"/>
          <w:szCs w:val="24"/>
          <w:lang w:bidi="lv-LV"/>
        </w:rPr>
        <w:t xml:space="preserve">Pārrobežu projektus, piemēram, Rail Baltica,  plānots īstenot </w:t>
      </w:r>
      <w:r w:rsidR="00AA4FFA">
        <w:rPr>
          <w:rFonts w:ascii="Times New Roman" w:hAnsi="Times New Roman" w:cs="Times New Roman"/>
          <w:sz w:val="24"/>
          <w:szCs w:val="24"/>
          <w:lang w:bidi="lv-LV"/>
        </w:rPr>
        <w:t xml:space="preserve">no </w:t>
      </w:r>
      <w:r w:rsidRPr="00930237">
        <w:rPr>
          <w:rFonts w:ascii="Times New Roman" w:hAnsi="Times New Roman" w:cs="Times New Roman"/>
          <w:sz w:val="24"/>
          <w:szCs w:val="24"/>
          <w:lang w:bidi="lv-LV"/>
        </w:rPr>
        <w:t xml:space="preserve">Eiropas infrastruktūras savienošanas instrumenta, </w:t>
      </w:r>
      <w:r w:rsidR="00AA4FFA" w:rsidRPr="00AA4FFA">
        <w:rPr>
          <w:rFonts w:ascii="Times New Roman" w:hAnsi="Times New Roman" w:cs="Times New Roman"/>
          <w:sz w:val="24"/>
          <w:szCs w:val="24"/>
          <w:lang w:bidi="lv-LV"/>
        </w:rPr>
        <w:t xml:space="preserve">līdzekļiem, savukārt valsts autoceļu rekonstrukcijas projektus pierobežas teritorijā - </w:t>
      </w:r>
      <w:r w:rsidRPr="00930237">
        <w:rPr>
          <w:rFonts w:ascii="Times New Roman" w:hAnsi="Times New Roman" w:cs="Times New Roman"/>
          <w:sz w:val="24"/>
          <w:szCs w:val="24"/>
          <w:lang w:bidi="lv-LV"/>
        </w:rPr>
        <w:t>Eiropas teritoriālās sadarbības mērķa (</w:t>
      </w:r>
      <w:r w:rsidR="00D75C71">
        <w:rPr>
          <w:rFonts w:ascii="Times New Roman" w:hAnsi="Times New Roman" w:cs="Times New Roman"/>
          <w:sz w:val="24"/>
          <w:szCs w:val="24"/>
          <w:lang w:bidi="lv-LV"/>
        </w:rPr>
        <w:t>INTERREG</w:t>
      </w:r>
      <w:r w:rsidRPr="00930237">
        <w:rPr>
          <w:rFonts w:ascii="Times New Roman" w:hAnsi="Times New Roman" w:cs="Times New Roman"/>
          <w:sz w:val="24"/>
          <w:szCs w:val="24"/>
          <w:lang w:bidi="lv-LV"/>
        </w:rPr>
        <w:t>) ietvaros.</w:t>
      </w:r>
      <w:r w:rsidR="00C048EF">
        <w:rPr>
          <w:rFonts w:ascii="Times New Roman" w:hAnsi="Times New Roman" w:cs="Times New Roman"/>
          <w:sz w:val="24"/>
          <w:szCs w:val="24"/>
          <w:lang w:bidi="lv-LV"/>
        </w:rPr>
        <w:t xml:space="preserve"> </w:t>
      </w:r>
    </w:p>
    <w:p w14:paraId="3E1B07BC" w14:textId="52374BC4" w:rsidR="00AC212B" w:rsidRPr="00930237" w:rsidRDefault="0002461B" w:rsidP="007545BD">
      <w:pPr>
        <w:pStyle w:val="Normal1"/>
        <w:numPr>
          <w:ilvl w:val="0"/>
          <w:numId w:val="60"/>
        </w:numPr>
        <w:spacing w:line="240" w:lineRule="auto"/>
        <w:ind w:left="567" w:hanging="567"/>
        <w:jc w:val="both"/>
        <w:rPr>
          <w:rFonts w:ascii="Times New Roman" w:hAnsi="Times New Roman" w:cs="Times New Roman"/>
          <w:color w:val="FF0000"/>
          <w:sz w:val="24"/>
          <w:szCs w:val="24"/>
        </w:rPr>
      </w:pPr>
      <w:r>
        <w:rPr>
          <w:rFonts w:ascii="Times New Roman" w:hAnsi="Times New Roman" w:cs="Times New Roman"/>
          <w:b/>
          <w:sz w:val="24"/>
          <w:szCs w:val="24"/>
        </w:rPr>
        <w:t>F</w:t>
      </w:r>
      <w:r w:rsidR="00AC212B" w:rsidRPr="00930237">
        <w:rPr>
          <w:rFonts w:ascii="Times New Roman" w:hAnsi="Times New Roman" w:cs="Times New Roman"/>
          <w:b/>
          <w:sz w:val="24"/>
          <w:szCs w:val="24"/>
        </w:rPr>
        <w:t>inanšu instrumenti:</w:t>
      </w:r>
      <w:r w:rsidR="00AC212B" w:rsidRPr="00930237">
        <w:rPr>
          <w:rFonts w:ascii="Times New Roman" w:hAnsi="Times New Roman" w:cs="Times New Roman"/>
          <w:sz w:val="24"/>
          <w:szCs w:val="24"/>
        </w:rPr>
        <w:t xml:space="preserve"> N/A.</w:t>
      </w:r>
    </w:p>
    <w:p w14:paraId="2E049230" w14:textId="77777777" w:rsidR="00AC212B" w:rsidRPr="00930237" w:rsidRDefault="00AC212B" w:rsidP="00AC212B">
      <w:pPr>
        <w:spacing w:before="0" w:after="0"/>
        <w:rPr>
          <w:noProof/>
          <w:color w:val="000000" w:themeColor="text1"/>
          <w:szCs w:val="24"/>
        </w:rPr>
      </w:pPr>
    </w:p>
    <w:p w14:paraId="0068FB95" w14:textId="0F0396A6" w:rsidR="00AC212B" w:rsidRPr="00930237" w:rsidRDefault="00AC212B" w:rsidP="00AC212B">
      <w:pPr>
        <w:pStyle w:val="Heading4"/>
        <w:numPr>
          <w:ilvl w:val="0"/>
          <w:numId w:val="0"/>
        </w:numPr>
        <w:shd w:val="clear" w:color="auto" w:fill="FBE4D5" w:themeFill="accent2" w:themeFillTint="33"/>
        <w:spacing w:after="0"/>
        <w:rPr>
          <w:b/>
          <w:color w:val="FF0000"/>
          <w:szCs w:val="24"/>
        </w:rPr>
      </w:pPr>
      <w:r w:rsidRPr="00930237">
        <w:rPr>
          <w:b/>
        </w:rPr>
        <w:t>3.</w:t>
      </w:r>
      <w:r w:rsidR="00DF0BFF">
        <w:rPr>
          <w:b/>
        </w:rPr>
        <w:t>1</w:t>
      </w:r>
      <w:r w:rsidRPr="00930237">
        <w:rPr>
          <w:b/>
        </w:rPr>
        <w:t>.2.SAM “</w:t>
      </w:r>
      <w:r w:rsidRPr="00930237">
        <w:rPr>
          <w:b/>
          <w:szCs w:val="24"/>
        </w:rPr>
        <w:t>Attīstīt un uzlabot ilgtspējīgu, klimatnoturīgu, inteleģentu un intermodālu mobilitāti nacionālā, reģionālā līmenī, ietverot uzlabotu piekļuvi TEN-T un pārrobežu mobilitāti”</w:t>
      </w:r>
    </w:p>
    <w:p w14:paraId="568822D3" w14:textId="77777777"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noProof/>
          <w:sz w:val="24"/>
          <w:szCs w:val="24"/>
        </w:rPr>
        <w:t xml:space="preserve">Atbalstāmās darbības: </w:t>
      </w:r>
      <w:r w:rsidRPr="00930237">
        <w:rPr>
          <w:rFonts w:ascii="Times New Roman" w:hAnsi="Times New Roman" w:cs="Times New Roman"/>
          <w:sz w:val="24"/>
          <w:szCs w:val="24"/>
        </w:rPr>
        <w:t>To valsts reģionālo autoceļu pārbūve, kas savieno starptautiskas, nacionālas un reģionālas nozīmes attīstības centrus ar TEN-T autoceļu tīklu.</w:t>
      </w:r>
    </w:p>
    <w:p w14:paraId="3FACCC20" w14:textId="77777777"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Reģionālās nozīmes centru maģistrālo ielu un esošo maršrutu attīstība, kas nodrošina atsevišķu pilsētu daļu efektīvu savstarpējo sasaisti un sasaisti ar TEN-T tīklu.</w:t>
      </w:r>
    </w:p>
    <w:p w14:paraId="631FB6D3" w14:textId="193358FE" w:rsidR="00AC212B" w:rsidRPr="00930237" w:rsidRDefault="00ED60B4"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ED60B4">
        <w:rPr>
          <w:rFonts w:ascii="Times New Roman" w:hAnsi="Times New Roman" w:cs="Times New Roman"/>
          <w:sz w:val="24"/>
          <w:szCs w:val="24"/>
        </w:rPr>
        <w:t>Lielo ostu publiskās infrastruktūras attīstība, t</w:t>
      </w:r>
      <w:r w:rsidR="00102172">
        <w:rPr>
          <w:rFonts w:ascii="Times New Roman" w:hAnsi="Times New Roman" w:cs="Times New Roman"/>
          <w:sz w:val="24"/>
          <w:szCs w:val="24"/>
        </w:rPr>
        <w:t>.sk.</w:t>
      </w:r>
      <w:r w:rsidRPr="00ED60B4">
        <w:rPr>
          <w:rFonts w:ascii="Times New Roman" w:hAnsi="Times New Roman" w:cs="Times New Roman"/>
          <w:sz w:val="24"/>
          <w:szCs w:val="24"/>
        </w:rPr>
        <w:t>, videi draudzīgas ostas infrastruktūras attīstība,</w:t>
      </w:r>
      <w:r w:rsidR="0013731E">
        <w:rPr>
          <w:rFonts w:ascii="Times New Roman" w:hAnsi="Times New Roman" w:cs="Times New Roman"/>
          <w:sz w:val="24"/>
          <w:szCs w:val="24"/>
        </w:rPr>
        <w:t xml:space="preserve"> alternatīvo degvielu pieejamīb</w:t>
      </w:r>
      <w:r w:rsidR="007D0DEC">
        <w:rPr>
          <w:rFonts w:ascii="Times New Roman" w:hAnsi="Times New Roman" w:cs="Times New Roman"/>
          <w:sz w:val="24"/>
          <w:szCs w:val="24"/>
        </w:rPr>
        <w:t>as</w:t>
      </w:r>
      <w:r w:rsidR="0013731E">
        <w:rPr>
          <w:rFonts w:ascii="Times New Roman" w:hAnsi="Times New Roman" w:cs="Times New Roman"/>
          <w:sz w:val="24"/>
          <w:szCs w:val="24"/>
        </w:rPr>
        <w:t>, elektrotīkla pieslēgumi</w:t>
      </w:r>
      <w:r w:rsidR="007D0DEC">
        <w:rPr>
          <w:rFonts w:ascii="Times New Roman" w:hAnsi="Times New Roman" w:cs="Times New Roman"/>
          <w:sz w:val="24"/>
          <w:szCs w:val="24"/>
        </w:rPr>
        <w:t>em</w:t>
      </w:r>
      <w:r w:rsidRPr="00ED60B4">
        <w:rPr>
          <w:rFonts w:ascii="Times New Roman" w:hAnsi="Times New Roman" w:cs="Times New Roman"/>
          <w:sz w:val="24"/>
          <w:szCs w:val="24"/>
        </w:rPr>
        <w:t xml:space="preserve"> pie piestātnēm un drošu kuģošanas apstākļu nodrošināšana</w:t>
      </w:r>
      <w:r w:rsidR="00AC212B" w:rsidRPr="00930237">
        <w:rPr>
          <w:rFonts w:ascii="Times New Roman" w:hAnsi="Times New Roman" w:cs="Times New Roman"/>
          <w:sz w:val="24"/>
          <w:szCs w:val="24"/>
        </w:rPr>
        <w:t>.</w:t>
      </w:r>
    </w:p>
    <w:p w14:paraId="52B59644" w14:textId="61E9C291"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noProof/>
          <w:sz w:val="24"/>
          <w:szCs w:val="24"/>
        </w:rPr>
        <w:t xml:space="preserve">Galvenās mērķgrupas: </w:t>
      </w:r>
      <w:r w:rsidRPr="00930237">
        <w:rPr>
          <w:rFonts w:ascii="Times New Roman" w:hAnsi="Times New Roman" w:cs="Times New Roman"/>
          <w:sz w:val="24"/>
          <w:szCs w:val="24"/>
        </w:rPr>
        <w:t>transporta infrastruktūras, kurā veikti ES fondu līdzekļu investīcijas, lietotāji</w:t>
      </w:r>
      <w:r w:rsidR="00256266">
        <w:rPr>
          <w:rFonts w:ascii="Times New Roman" w:hAnsi="Times New Roman" w:cs="Times New Roman"/>
          <w:sz w:val="24"/>
          <w:szCs w:val="24"/>
        </w:rPr>
        <w:t xml:space="preserve">, </w:t>
      </w:r>
      <w:r w:rsidR="004A58D0">
        <w:rPr>
          <w:rFonts w:ascii="Times New Roman" w:hAnsi="Times New Roman" w:cs="Times New Roman"/>
          <w:sz w:val="24"/>
          <w:szCs w:val="24"/>
        </w:rPr>
        <w:t xml:space="preserve">plānošanas reģioni, </w:t>
      </w:r>
      <w:r w:rsidR="00256266">
        <w:rPr>
          <w:rFonts w:ascii="Times New Roman" w:hAnsi="Times New Roman" w:cs="Times New Roman"/>
          <w:sz w:val="24"/>
          <w:szCs w:val="24"/>
        </w:rPr>
        <w:t>pašvaldības</w:t>
      </w:r>
      <w:r w:rsidRPr="00930237">
        <w:rPr>
          <w:rFonts w:ascii="Times New Roman" w:hAnsi="Times New Roman" w:cs="Times New Roman"/>
          <w:sz w:val="24"/>
          <w:szCs w:val="24"/>
        </w:rPr>
        <w:t>.</w:t>
      </w:r>
    </w:p>
    <w:p w14:paraId="1B5291D6" w14:textId="1F55A5CA"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Darbības, kas nodrošina vienlīdzību, iekļaušanu un nediskrimināciju:</w:t>
      </w:r>
      <w:r w:rsidRPr="00930237">
        <w:rPr>
          <w:rFonts w:ascii="Times New Roman" w:hAnsi="Times New Roman" w:cs="Times New Roman"/>
          <w:sz w:val="24"/>
          <w:szCs w:val="24"/>
        </w:rPr>
        <w:t xml:space="preserve"> Modernizējot transporta infrastruktūru, tiks īstenotas būvniecības normatīvajos aktos noteiktās vides un informācijas pieejamības nodrošināšanas darbības personām ar redzes, dzirdes, kustību un garīga rakstura traucējumiem.</w:t>
      </w:r>
      <w:r w:rsidR="00601AA2">
        <w:rPr>
          <w:rFonts w:ascii="Times New Roman" w:hAnsi="Times New Roman" w:cs="Times New Roman"/>
          <w:sz w:val="24"/>
          <w:szCs w:val="24"/>
        </w:rPr>
        <w:t xml:space="preserve"> </w:t>
      </w:r>
      <w:r w:rsidR="00601AA2" w:rsidRPr="00601AA2">
        <w:rPr>
          <w:rFonts w:ascii="Times New Roman" w:hAnsi="Times New Roman" w:cs="Times New Roman"/>
          <w:sz w:val="24"/>
          <w:szCs w:val="24"/>
        </w:rPr>
        <w:t>Attīstot transporta publisko infrastruktūru, tiks nodrošināta tās piekļūstamība, tostarp pašapkalpošanās termināļiem  (maksājumu termināļi, biļešu automāti, reģistrācijas automāti u.c.); izmantojot tīmekļvietnes un uz mobilajām ierīcēm balstītus pakalpojumus, tostarp mobilās lietotnes, tādējādi sekmējot pilnvērtīgu un efektīvu līdzdalību, uzlabojot piekļuvi transporta infrastruktūrai un pakalpojumiem, kas, pateicoties to sākotnējam dizainam vai vēlākiem pielāgojumiem, atbilst personu ar invaliditāti īpašajām vajadzībām.</w:t>
      </w:r>
    </w:p>
    <w:p w14:paraId="49B17E22" w14:textId="0DC91631"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Mērķteritorijas, t.sk. plānotais teritoriālo rīku izmantojums</w:t>
      </w:r>
      <w:r w:rsidRPr="00930237">
        <w:rPr>
          <w:rFonts w:ascii="Times New Roman" w:hAnsi="Times New Roman" w:cs="Times New Roman"/>
          <w:sz w:val="24"/>
          <w:szCs w:val="24"/>
        </w:rPr>
        <w:t xml:space="preserve">: Visa Latvija. Plānots skatīt kontekstā ar </w:t>
      </w:r>
      <w:r w:rsidR="004A58D0">
        <w:rPr>
          <w:rFonts w:ascii="Times New Roman" w:hAnsi="Times New Roman" w:cs="Times New Roman"/>
          <w:sz w:val="24"/>
          <w:szCs w:val="24"/>
        </w:rPr>
        <w:t>teritoriju</w:t>
      </w:r>
      <w:r w:rsidR="004A58D0" w:rsidRPr="00930237">
        <w:rPr>
          <w:rFonts w:ascii="Times New Roman" w:hAnsi="Times New Roman" w:cs="Times New Roman"/>
          <w:sz w:val="24"/>
          <w:szCs w:val="24"/>
        </w:rPr>
        <w:t xml:space="preserve"> </w:t>
      </w:r>
      <w:r w:rsidRPr="00930237">
        <w:rPr>
          <w:rFonts w:ascii="Times New Roman" w:hAnsi="Times New Roman" w:cs="Times New Roman"/>
          <w:sz w:val="24"/>
          <w:szCs w:val="24"/>
        </w:rPr>
        <w:t xml:space="preserve">attīstības </w:t>
      </w:r>
      <w:r w:rsidR="004A58D0">
        <w:rPr>
          <w:rFonts w:ascii="Times New Roman" w:hAnsi="Times New Roman" w:cs="Times New Roman"/>
          <w:sz w:val="24"/>
          <w:szCs w:val="24"/>
        </w:rPr>
        <w:t>plānošanas dokumentiem</w:t>
      </w:r>
      <w:r w:rsidRPr="00930237">
        <w:rPr>
          <w:rFonts w:ascii="Times New Roman" w:hAnsi="Times New Roman" w:cs="Times New Roman"/>
          <w:sz w:val="24"/>
          <w:szCs w:val="24"/>
        </w:rPr>
        <w:t>, piemērojot 5.1.1.SAM teritoriālo pieeju</w:t>
      </w:r>
      <w:r w:rsidR="00710DDA" w:rsidRPr="00930237">
        <w:rPr>
          <w:rFonts w:ascii="Times New Roman" w:hAnsi="Times New Roman" w:cs="Times New Roman"/>
          <w:sz w:val="24"/>
          <w:szCs w:val="24"/>
          <w:lang w:bidi="lv-LV"/>
        </w:rPr>
        <w:t>, taču</w:t>
      </w:r>
      <w:r w:rsidR="00B53875">
        <w:rPr>
          <w:rFonts w:ascii="Times New Roman" w:hAnsi="Times New Roman" w:cs="Times New Roman"/>
          <w:sz w:val="24"/>
          <w:szCs w:val="24"/>
          <w:lang w:bidi="lv-LV"/>
        </w:rPr>
        <w:t>,</w:t>
      </w:r>
      <w:r w:rsidR="00B53875" w:rsidRPr="00B53875">
        <w:rPr>
          <w:rFonts w:ascii="Times New Roman" w:eastAsia="Calibri" w:hAnsi="Times New Roman" w:cs="Times New Roman"/>
          <w:sz w:val="24"/>
          <w:szCs w:val="24"/>
          <w:lang w:eastAsia="lv-LV" w:bidi="lv-LV"/>
        </w:rPr>
        <w:t xml:space="preserve"> </w:t>
      </w:r>
      <w:r w:rsidR="00B53875" w:rsidRPr="00B53875">
        <w:rPr>
          <w:rFonts w:ascii="Times New Roman" w:hAnsi="Times New Roman" w:cs="Times New Roman"/>
          <w:sz w:val="24"/>
          <w:szCs w:val="24"/>
          <w:lang w:bidi="lv-LV"/>
        </w:rPr>
        <w:t>plānojot finansējuma sadalījumu</w:t>
      </w:r>
      <w:r w:rsidR="00B53875">
        <w:rPr>
          <w:rFonts w:ascii="Times New Roman" w:hAnsi="Times New Roman" w:cs="Times New Roman"/>
          <w:sz w:val="24"/>
          <w:szCs w:val="24"/>
          <w:lang w:bidi="lv-LV"/>
        </w:rPr>
        <w:t>,</w:t>
      </w:r>
      <w:r w:rsidR="00710DDA" w:rsidRPr="00930237">
        <w:rPr>
          <w:rFonts w:ascii="Times New Roman" w:hAnsi="Times New Roman" w:cs="Times New Roman"/>
          <w:sz w:val="24"/>
          <w:szCs w:val="24"/>
          <w:lang w:bidi="lv-LV"/>
        </w:rPr>
        <w:t xml:space="preserve"> netiks piemērots plānoto teritoriālo rīku izmantojuma aprakstā minētais apgrieztais IKP</w:t>
      </w:r>
      <w:r w:rsidRPr="00930237">
        <w:rPr>
          <w:rFonts w:ascii="Times New Roman" w:hAnsi="Times New Roman" w:cs="Times New Roman"/>
          <w:sz w:val="24"/>
          <w:szCs w:val="24"/>
        </w:rPr>
        <w:t>.</w:t>
      </w:r>
      <w:r w:rsidR="00C048EF">
        <w:rPr>
          <w:rFonts w:ascii="Times New Roman" w:hAnsi="Times New Roman" w:cs="Times New Roman"/>
          <w:sz w:val="24"/>
          <w:szCs w:val="24"/>
        </w:rPr>
        <w:t xml:space="preserve"> </w:t>
      </w:r>
    </w:p>
    <w:p w14:paraId="3940AB74" w14:textId="1452A39F" w:rsidR="00AC212B" w:rsidRPr="00C048EF" w:rsidRDefault="00AC212B" w:rsidP="007545BD">
      <w:pPr>
        <w:pStyle w:val="Normal1"/>
        <w:numPr>
          <w:ilvl w:val="0"/>
          <w:numId w:val="60"/>
        </w:numPr>
        <w:spacing w:line="240" w:lineRule="auto"/>
        <w:ind w:left="567" w:hanging="567"/>
        <w:jc w:val="both"/>
        <w:rPr>
          <w:rFonts w:ascii="Times New Roman" w:hAnsi="Times New Roman" w:cs="Times New Roman"/>
          <w:sz w:val="24"/>
          <w:szCs w:val="24"/>
          <w:lang w:bidi="lv-LV"/>
        </w:rPr>
      </w:pPr>
      <w:r w:rsidRPr="00930237">
        <w:rPr>
          <w:rFonts w:ascii="Times New Roman" w:hAnsi="Times New Roman" w:cs="Times New Roman"/>
          <w:b/>
          <w:sz w:val="24"/>
          <w:szCs w:val="24"/>
        </w:rPr>
        <w:t>Starpreģionālās, pārrobežu un transnacionālās darbības:</w:t>
      </w:r>
      <w:r w:rsidRPr="00930237">
        <w:rPr>
          <w:rFonts w:ascii="Times New Roman" w:hAnsi="Times New Roman" w:cs="Times New Roman"/>
          <w:sz w:val="24"/>
          <w:szCs w:val="24"/>
        </w:rPr>
        <w:t xml:space="preserve"> </w:t>
      </w:r>
      <w:r w:rsidRPr="00930237">
        <w:rPr>
          <w:rFonts w:ascii="Times New Roman" w:hAnsi="Times New Roman" w:cs="Times New Roman"/>
          <w:sz w:val="24"/>
          <w:szCs w:val="24"/>
          <w:lang w:bidi="lv-LV"/>
        </w:rPr>
        <w:t>Pārrobežu projektus, piemēram, Rail Baltica, valsts autoceļu rekonstrukcija pierobežas teritorijā, plānots īstenot Eiropas infrastruktūras savienošanas instrumenta, kā arī Eiropas teritoriālās sadarbības mērķa (</w:t>
      </w:r>
      <w:r w:rsidR="00D75C71">
        <w:rPr>
          <w:rFonts w:ascii="Times New Roman" w:hAnsi="Times New Roman" w:cs="Times New Roman"/>
          <w:sz w:val="24"/>
          <w:szCs w:val="24"/>
          <w:lang w:bidi="lv-LV"/>
        </w:rPr>
        <w:t>INTERREG</w:t>
      </w:r>
      <w:r w:rsidRPr="00930237">
        <w:rPr>
          <w:rFonts w:ascii="Times New Roman" w:hAnsi="Times New Roman" w:cs="Times New Roman"/>
          <w:sz w:val="24"/>
          <w:szCs w:val="24"/>
          <w:lang w:bidi="lv-LV"/>
        </w:rPr>
        <w:t>) ietvaros.</w:t>
      </w:r>
      <w:r w:rsidR="00C048EF">
        <w:rPr>
          <w:rFonts w:ascii="Times New Roman" w:hAnsi="Times New Roman" w:cs="Times New Roman"/>
          <w:sz w:val="24"/>
          <w:szCs w:val="24"/>
          <w:lang w:bidi="lv-LV"/>
        </w:rPr>
        <w:t xml:space="preserve"> </w:t>
      </w:r>
      <w:r w:rsidR="00C048EF" w:rsidRPr="001D49E3">
        <w:rPr>
          <w:rFonts w:ascii="Times New Roman" w:hAnsi="Times New Roman" w:cs="Times New Roman"/>
          <w:sz w:val="24"/>
          <w:szCs w:val="24"/>
          <w:lang w:bidi="lv-LV"/>
        </w:rPr>
        <w:t>Sakārtojot ostu koplietošanas infrastruktūru 3.</w:t>
      </w:r>
      <w:r w:rsidR="00DA560F">
        <w:rPr>
          <w:rFonts w:ascii="Times New Roman" w:hAnsi="Times New Roman" w:cs="Times New Roman"/>
          <w:sz w:val="24"/>
          <w:szCs w:val="24"/>
          <w:lang w:bidi="lv-LV"/>
        </w:rPr>
        <w:t>1</w:t>
      </w:r>
      <w:r w:rsidR="00C048EF" w:rsidRPr="001D49E3">
        <w:rPr>
          <w:rFonts w:ascii="Times New Roman" w:hAnsi="Times New Roman" w:cs="Times New Roman"/>
          <w:sz w:val="24"/>
          <w:szCs w:val="24"/>
          <w:lang w:bidi="lv-LV"/>
        </w:rPr>
        <w:t>.2</w:t>
      </w:r>
      <w:r w:rsidR="00C048EF">
        <w:rPr>
          <w:rFonts w:ascii="Times New Roman" w:hAnsi="Times New Roman" w:cs="Times New Roman"/>
          <w:sz w:val="24"/>
          <w:szCs w:val="24"/>
          <w:lang w:bidi="lv-LV"/>
        </w:rPr>
        <w:t>.SAM</w:t>
      </w:r>
      <w:r w:rsidR="00C048EF" w:rsidRPr="001D49E3">
        <w:rPr>
          <w:rFonts w:ascii="Times New Roman" w:hAnsi="Times New Roman" w:cs="Times New Roman"/>
          <w:sz w:val="24"/>
          <w:szCs w:val="24"/>
          <w:lang w:bidi="lv-LV"/>
        </w:rPr>
        <w:t xml:space="preserve"> ietvaros, tiks uzlabota vides kvalitāte ostu teritorijās, veicinot </w:t>
      </w:r>
      <w:r w:rsidR="00C048EF">
        <w:rPr>
          <w:rFonts w:ascii="Times New Roman" w:hAnsi="Times New Roman" w:cs="Times New Roman"/>
          <w:sz w:val="24"/>
          <w:szCs w:val="24"/>
          <w:lang w:bidi="lv-LV"/>
        </w:rPr>
        <w:t>ESSBJR mērķa “Glābiet</w:t>
      </w:r>
      <w:r w:rsidR="00C048EF" w:rsidRPr="001D49E3">
        <w:rPr>
          <w:rFonts w:ascii="Times New Roman" w:hAnsi="Times New Roman" w:cs="Times New Roman"/>
          <w:sz w:val="24"/>
          <w:szCs w:val="24"/>
          <w:lang w:bidi="lv-LV"/>
        </w:rPr>
        <w:t xml:space="preserve"> jūru” sasniegšanu, kā arī veicinot emisiju samazināšanas</w:t>
      </w:r>
      <w:r w:rsidR="00C048EF">
        <w:rPr>
          <w:rFonts w:ascii="Times New Roman" w:hAnsi="Times New Roman" w:cs="Times New Roman"/>
          <w:sz w:val="24"/>
          <w:szCs w:val="24"/>
          <w:lang w:bidi="lv-LV"/>
        </w:rPr>
        <w:t xml:space="preserve"> mērķa</w:t>
      </w:r>
      <w:r w:rsidR="00B915F6">
        <w:rPr>
          <w:rFonts w:ascii="Times New Roman" w:hAnsi="Times New Roman" w:cs="Times New Roman"/>
          <w:sz w:val="24"/>
          <w:szCs w:val="24"/>
          <w:lang w:bidi="lv-LV"/>
        </w:rPr>
        <w:t xml:space="preserve"> sasniegšanu</w:t>
      </w:r>
      <w:r w:rsidR="00C048EF">
        <w:rPr>
          <w:rFonts w:ascii="Times New Roman" w:hAnsi="Times New Roman" w:cs="Times New Roman"/>
          <w:sz w:val="24"/>
          <w:szCs w:val="24"/>
          <w:lang w:bidi="lv-LV"/>
        </w:rPr>
        <w:t xml:space="preserve"> prioritātē “Tīra</w:t>
      </w:r>
      <w:r w:rsidR="00C048EF" w:rsidRPr="001D49E3">
        <w:rPr>
          <w:rFonts w:ascii="Times New Roman" w:hAnsi="Times New Roman" w:cs="Times New Roman"/>
          <w:sz w:val="24"/>
          <w:szCs w:val="24"/>
          <w:lang w:bidi="lv-LV"/>
        </w:rPr>
        <w:t xml:space="preserve"> kuģošana”</w:t>
      </w:r>
      <w:r w:rsidR="00C048EF">
        <w:rPr>
          <w:rFonts w:ascii="Times New Roman" w:hAnsi="Times New Roman" w:cs="Times New Roman"/>
          <w:sz w:val="24"/>
          <w:szCs w:val="24"/>
          <w:lang w:bidi="lv-LV"/>
        </w:rPr>
        <w:t xml:space="preserve">. </w:t>
      </w:r>
    </w:p>
    <w:p w14:paraId="00FE5776" w14:textId="3E4E894C" w:rsidR="00AC212B" w:rsidRPr="00C048EF" w:rsidRDefault="0002461B" w:rsidP="007545BD">
      <w:pPr>
        <w:pStyle w:val="Normal1"/>
        <w:numPr>
          <w:ilvl w:val="0"/>
          <w:numId w:val="60"/>
        </w:numPr>
        <w:ind w:left="567" w:hanging="567"/>
        <w:rPr>
          <w:szCs w:val="24"/>
        </w:rPr>
      </w:pPr>
      <w:r>
        <w:rPr>
          <w:rFonts w:ascii="Times New Roman" w:hAnsi="Times New Roman" w:cs="Times New Roman"/>
          <w:b/>
          <w:sz w:val="24"/>
          <w:szCs w:val="24"/>
        </w:rPr>
        <w:t>F</w:t>
      </w:r>
      <w:r w:rsidR="00AC212B" w:rsidRPr="006750B5">
        <w:rPr>
          <w:rFonts w:ascii="Times New Roman" w:hAnsi="Times New Roman" w:cs="Times New Roman"/>
          <w:b/>
          <w:sz w:val="24"/>
          <w:szCs w:val="24"/>
        </w:rPr>
        <w:t>inanšu instrumenti:</w:t>
      </w:r>
      <w:r w:rsidR="00AC212B" w:rsidRPr="00C048EF">
        <w:rPr>
          <w:szCs w:val="24"/>
        </w:rPr>
        <w:t xml:space="preserve"> </w:t>
      </w:r>
      <w:r w:rsidR="00AC212B" w:rsidRPr="006750B5">
        <w:rPr>
          <w:rFonts w:ascii="Times New Roman" w:hAnsi="Times New Roman" w:cs="Times New Roman"/>
          <w:sz w:val="24"/>
          <w:szCs w:val="24"/>
          <w:lang w:bidi="lv-LV"/>
        </w:rPr>
        <w:t>N/A.</w:t>
      </w:r>
    </w:p>
    <w:p w14:paraId="386E06EF" w14:textId="13CE87B3" w:rsidR="00AC212B" w:rsidRDefault="00AC212B" w:rsidP="006750B5">
      <w:pPr>
        <w:pStyle w:val="Normal1"/>
        <w:ind w:left="567"/>
        <w:rPr>
          <w:szCs w:val="24"/>
        </w:rPr>
      </w:pPr>
    </w:p>
    <w:p w14:paraId="04D06489" w14:textId="77777777" w:rsidR="00340D0B" w:rsidRDefault="00340D0B">
      <w:pPr>
        <w:spacing w:before="0" w:after="0"/>
        <w:jc w:val="left"/>
        <w:rPr>
          <w:rFonts w:eastAsia="Times New Roman"/>
          <w:b/>
          <w:noProof/>
        </w:rPr>
      </w:pPr>
      <w:r>
        <w:rPr>
          <w:b/>
          <w:i/>
          <w:noProof/>
        </w:rPr>
        <w:br w:type="page"/>
      </w:r>
    </w:p>
    <w:p w14:paraId="24B75F14" w14:textId="77777777" w:rsidR="00340D0B" w:rsidRDefault="00340D0B" w:rsidP="00340D0B">
      <w:pPr>
        <w:pStyle w:val="Heading3"/>
        <w:numPr>
          <w:ilvl w:val="0"/>
          <w:numId w:val="0"/>
        </w:numPr>
        <w:spacing w:after="0"/>
        <w:rPr>
          <w:b/>
          <w:i w:val="0"/>
          <w:noProof/>
        </w:rPr>
        <w:sectPr w:rsidR="00340D0B" w:rsidSect="00B8254F">
          <w:pgSz w:w="11906" w:h="16838" w:code="9"/>
          <w:pgMar w:top="1417" w:right="1417" w:bottom="1417" w:left="1417" w:header="567" w:footer="510" w:gutter="0"/>
          <w:cols w:space="708"/>
          <w:titlePg/>
          <w:docGrid w:linePitch="360"/>
        </w:sectPr>
      </w:pPr>
    </w:p>
    <w:p w14:paraId="6FE097C6" w14:textId="30D7FC9A" w:rsidR="00340D0B" w:rsidRPr="00930237" w:rsidRDefault="00B471B0" w:rsidP="00340D0B">
      <w:pPr>
        <w:pStyle w:val="Heading3"/>
        <w:numPr>
          <w:ilvl w:val="0"/>
          <w:numId w:val="0"/>
        </w:numPr>
        <w:spacing w:after="0"/>
        <w:rPr>
          <w:b/>
          <w:i w:val="0"/>
          <w:noProof/>
        </w:rPr>
      </w:pPr>
      <w:bookmarkStart w:id="28" w:name="_Toc69125415"/>
      <w:r>
        <w:rPr>
          <w:b/>
          <w:i w:val="0"/>
          <w:noProof/>
        </w:rPr>
        <w:t>6.tabula</w:t>
      </w:r>
      <w:r w:rsidR="005156FC">
        <w:rPr>
          <w:b/>
          <w:i w:val="0"/>
          <w:noProof/>
        </w:rPr>
        <w:t xml:space="preserve"> (2)</w:t>
      </w:r>
      <w:r>
        <w:rPr>
          <w:b/>
          <w:i w:val="0"/>
          <w:noProof/>
        </w:rPr>
        <w:t xml:space="preserve"> 3.Politiskā mērķa i</w:t>
      </w:r>
      <w:r w:rsidR="00340D0B" w:rsidRPr="00930237">
        <w:rPr>
          <w:b/>
          <w:i w:val="0"/>
          <w:noProof/>
        </w:rPr>
        <w:t>znākuma rādītāji</w:t>
      </w:r>
      <w:r w:rsidR="00340D0B">
        <w:rPr>
          <w:rStyle w:val="FootnoteReference"/>
          <w:b/>
          <w:i w:val="0"/>
          <w:noProof/>
        </w:rPr>
        <w:footnoteReference w:id="118"/>
      </w:r>
      <w:bookmarkEnd w:id="28"/>
    </w:p>
    <w:p w14:paraId="162B6C63" w14:textId="77777777" w:rsidR="00340D0B" w:rsidRPr="00930237" w:rsidRDefault="00340D0B" w:rsidP="00340D0B">
      <w:pPr>
        <w:spacing w:before="0" w:after="0"/>
        <w:ind w:left="1080"/>
        <w:rPr>
          <w:rFonts w:eastAsia="Times New Roman"/>
          <w:i/>
          <w:noProof/>
          <w:sz w:val="20"/>
        </w:rPr>
      </w:pPr>
    </w:p>
    <w:tbl>
      <w:tblPr>
        <w:tblW w:w="45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1788"/>
        <w:gridCol w:w="907"/>
        <w:gridCol w:w="1251"/>
        <w:gridCol w:w="3348"/>
        <w:gridCol w:w="1380"/>
        <w:gridCol w:w="1318"/>
        <w:gridCol w:w="1632"/>
      </w:tblGrid>
      <w:tr w:rsidR="00340D0B" w:rsidRPr="00930237" w14:paraId="518477EA" w14:textId="77777777" w:rsidTr="003155B0">
        <w:trPr>
          <w:trHeight w:val="756"/>
          <w:tblHeader/>
        </w:trPr>
        <w:tc>
          <w:tcPr>
            <w:tcW w:w="476" w:type="pct"/>
            <w:shd w:val="clear" w:color="auto" w:fill="D9D9D9" w:themeFill="background1" w:themeFillShade="D9"/>
            <w:vAlign w:val="center"/>
          </w:tcPr>
          <w:p w14:paraId="1AE9C358" w14:textId="77777777" w:rsidR="00340D0B" w:rsidRPr="00930237" w:rsidRDefault="00340D0B" w:rsidP="003155B0">
            <w:pPr>
              <w:pStyle w:val="Text1"/>
              <w:spacing w:before="0" w:after="0"/>
              <w:ind w:left="0"/>
              <w:jc w:val="center"/>
              <w:rPr>
                <w:rFonts w:cs="Times New Roman"/>
                <w:b/>
                <w:noProof/>
                <w:sz w:val="18"/>
                <w:szCs w:val="18"/>
              </w:rPr>
            </w:pPr>
            <w:r w:rsidRPr="00930237">
              <w:rPr>
                <w:rFonts w:cs="Times New Roman"/>
                <w:b/>
                <w:noProof/>
                <w:sz w:val="18"/>
                <w:szCs w:val="18"/>
              </w:rPr>
              <w:t>Prioritāte</w:t>
            </w:r>
          </w:p>
        </w:tc>
        <w:tc>
          <w:tcPr>
            <w:tcW w:w="696" w:type="pct"/>
            <w:shd w:val="clear" w:color="auto" w:fill="D9D9D9" w:themeFill="background1" w:themeFillShade="D9"/>
            <w:vAlign w:val="center"/>
          </w:tcPr>
          <w:p w14:paraId="14F7D559" w14:textId="77777777" w:rsidR="00340D0B" w:rsidRPr="00930237" w:rsidRDefault="00340D0B" w:rsidP="003155B0">
            <w:pPr>
              <w:pStyle w:val="Text1"/>
              <w:spacing w:before="0" w:after="0"/>
              <w:ind w:left="0"/>
              <w:jc w:val="center"/>
              <w:rPr>
                <w:rFonts w:cs="Times New Roman"/>
                <w:b/>
                <w:noProof/>
                <w:sz w:val="18"/>
                <w:szCs w:val="18"/>
              </w:rPr>
            </w:pPr>
            <w:r w:rsidRPr="00930237">
              <w:rPr>
                <w:rFonts w:cs="Times New Roman"/>
                <w:b/>
                <w:noProof/>
                <w:sz w:val="18"/>
                <w:szCs w:val="18"/>
              </w:rPr>
              <w:t>SAM</w:t>
            </w:r>
          </w:p>
        </w:tc>
        <w:tc>
          <w:tcPr>
            <w:tcW w:w="353" w:type="pct"/>
            <w:shd w:val="clear" w:color="auto" w:fill="D9D9D9" w:themeFill="background1" w:themeFillShade="D9"/>
            <w:vAlign w:val="center"/>
          </w:tcPr>
          <w:p w14:paraId="02C06AA9" w14:textId="77777777" w:rsidR="00340D0B" w:rsidRPr="00930237" w:rsidRDefault="00340D0B" w:rsidP="003155B0">
            <w:pPr>
              <w:pStyle w:val="Text1"/>
              <w:spacing w:before="0" w:after="0"/>
              <w:ind w:left="0"/>
              <w:jc w:val="center"/>
              <w:rPr>
                <w:rFonts w:cs="Times New Roman"/>
                <w:b/>
                <w:noProof/>
                <w:sz w:val="18"/>
                <w:szCs w:val="18"/>
              </w:rPr>
            </w:pPr>
            <w:r w:rsidRPr="00930237">
              <w:rPr>
                <w:rFonts w:cs="Times New Roman"/>
                <w:b/>
                <w:noProof/>
                <w:sz w:val="18"/>
                <w:szCs w:val="18"/>
              </w:rPr>
              <w:t>Fonds</w:t>
            </w:r>
          </w:p>
        </w:tc>
        <w:tc>
          <w:tcPr>
            <w:tcW w:w="487" w:type="pct"/>
            <w:shd w:val="clear" w:color="auto" w:fill="D9D9D9" w:themeFill="background1" w:themeFillShade="D9"/>
            <w:vAlign w:val="center"/>
          </w:tcPr>
          <w:p w14:paraId="2AC89922" w14:textId="77777777" w:rsidR="00340D0B" w:rsidRPr="00930237" w:rsidRDefault="00340D0B" w:rsidP="003155B0">
            <w:pPr>
              <w:pStyle w:val="Text1"/>
              <w:spacing w:before="0" w:after="0"/>
              <w:ind w:left="0"/>
              <w:jc w:val="center"/>
              <w:rPr>
                <w:rFonts w:cs="Times New Roman"/>
                <w:b/>
                <w:noProof/>
                <w:sz w:val="18"/>
                <w:szCs w:val="18"/>
              </w:rPr>
            </w:pPr>
            <w:r w:rsidRPr="00930237">
              <w:rPr>
                <w:rFonts w:cs="Times New Roman"/>
                <w:b/>
                <w:noProof/>
                <w:sz w:val="18"/>
                <w:szCs w:val="18"/>
              </w:rPr>
              <w:t xml:space="preserve">ID </w:t>
            </w:r>
          </w:p>
        </w:tc>
        <w:tc>
          <w:tcPr>
            <w:tcW w:w="1303" w:type="pct"/>
            <w:shd w:val="clear" w:color="auto" w:fill="D9D9D9" w:themeFill="background1" w:themeFillShade="D9"/>
            <w:vAlign w:val="center"/>
          </w:tcPr>
          <w:p w14:paraId="6CA7689F" w14:textId="77777777" w:rsidR="00340D0B" w:rsidRPr="00930237" w:rsidRDefault="00340D0B" w:rsidP="003155B0">
            <w:pPr>
              <w:pStyle w:val="Text1"/>
              <w:spacing w:before="0" w:after="0"/>
              <w:ind w:left="0"/>
              <w:jc w:val="center"/>
              <w:rPr>
                <w:rFonts w:cs="Times New Roman"/>
                <w:b/>
                <w:noProof/>
                <w:sz w:val="18"/>
                <w:szCs w:val="18"/>
              </w:rPr>
            </w:pPr>
            <w:r w:rsidRPr="00930237">
              <w:rPr>
                <w:rFonts w:cs="Times New Roman"/>
                <w:b/>
                <w:noProof/>
                <w:sz w:val="18"/>
                <w:szCs w:val="18"/>
              </w:rPr>
              <w:t>Rādītājs</w:t>
            </w:r>
          </w:p>
        </w:tc>
        <w:tc>
          <w:tcPr>
            <w:tcW w:w="537" w:type="pct"/>
            <w:shd w:val="clear" w:color="auto" w:fill="D9D9D9" w:themeFill="background1" w:themeFillShade="D9"/>
            <w:vAlign w:val="center"/>
          </w:tcPr>
          <w:p w14:paraId="6D65803D" w14:textId="77777777" w:rsidR="00340D0B" w:rsidRPr="00930237" w:rsidRDefault="00340D0B" w:rsidP="003155B0">
            <w:pPr>
              <w:pStyle w:val="Text1"/>
              <w:spacing w:before="0" w:after="0"/>
              <w:ind w:left="0"/>
              <w:jc w:val="center"/>
              <w:rPr>
                <w:rFonts w:cs="Times New Roman"/>
                <w:b/>
                <w:noProof/>
                <w:sz w:val="18"/>
                <w:szCs w:val="18"/>
              </w:rPr>
            </w:pPr>
            <w:r w:rsidRPr="00930237">
              <w:rPr>
                <w:rFonts w:cs="Times New Roman"/>
                <w:b/>
                <w:noProof/>
                <w:sz w:val="18"/>
                <w:szCs w:val="18"/>
              </w:rPr>
              <w:t>Mērvienība</w:t>
            </w:r>
          </w:p>
        </w:tc>
        <w:tc>
          <w:tcPr>
            <w:tcW w:w="513" w:type="pct"/>
            <w:shd w:val="clear" w:color="auto" w:fill="D9D9D9" w:themeFill="background1" w:themeFillShade="D9"/>
            <w:vAlign w:val="center"/>
          </w:tcPr>
          <w:p w14:paraId="69F59453" w14:textId="77777777" w:rsidR="00340D0B" w:rsidRPr="00930237" w:rsidRDefault="00340D0B" w:rsidP="003155B0">
            <w:pPr>
              <w:pStyle w:val="Text1"/>
              <w:spacing w:before="0" w:after="0"/>
              <w:ind w:left="0"/>
              <w:jc w:val="center"/>
              <w:rPr>
                <w:rFonts w:cs="Times New Roman"/>
                <w:b/>
                <w:noProof/>
                <w:sz w:val="18"/>
                <w:szCs w:val="18"/>
              </w:rPr>
            </w:pPr>
            <w:r w:rsidRPr="00930237">
              <w:rPr>
                <w:rFonts w:cs="Times New Roman"/>
                <w:b/>
                <w:noProof/>
                <w:sz w:val="18"/>
                <w:szCs w:val="18"/>
              </w:rPr>
              <w:t>Starpposma vērtība (2024)</w:t>
            </w:r>
          </w:p>
        </w:tc>
        <w:tc>
          <w:tcPr>
            <w:tcW w:w="635" w:type="pct"/>
            <w:shd w:val="clear" w:color="auto" w:fill="D9D9D9" w:themeFill="background1" w:themeFillShade="D9"/>
            <w:vAlign w:val="center"/>
          </w:tcPr>
          <w:p w14:paraId="0D483136" w14:textId="77777777" w:rsidR="00340D0B" w:rsidRPr="00930237" w:rsidRDefault="00340D0B" w:rsidP="003155B0">
            <w:pPr>
              <w:pStyle w:val="Text1"/>
              <w:spacing w:before="0" w:after="0"/>
              <w:ind w:left="0"/>
              <w:jc w:val="center"/>
              <w:rPr>
                <w:rFonts w:cs="Times New Roman"/>
                <w:b/>
                <w:noProof/>
                <w:sz w:val="18"/>
                <w:szCs w:val="18"/>
              </w:rPr>
            </w:pPr>
            <w:r w:rsidRPr="00930237">
              <w:rPr>
                <w:rFonts w:cs="Times New Roman"/>
                <w:b/>
                <w:noProof/>
                <w:sz w:val="18"/>
                <w:szCs w:val="18"/>
              </w:rPr>
              <w:t>Plānotā vērtība</w:t>
            </w:r>
          </w:p>
          <w:p w14:paraId="25949E2A" w14:textId="77777777" w:rsidR="00340D0B" w:rsidRPr="00930237" w:rsidRDefault="00340D0B" w:rsidP="003155B0">
            <w:pPr>
              <w:pStyle w:val="Text1"/>
              <w:spacing w:before="0" w:after="0"/>
              <w:ind w:left="0"/>
              <w:jc w:val="center"/>
              <w:rPr>
                <w:rFonts w:cs="Times New Roman"/>
                <w:b/>
                <w:noProof/>
                <w:sz w:val="18"/>
                <w:szCs w:val="18"/>
              </w:rPr>
            </w:pPr>
            <w:r w:rsidRPr="00930237">
              <w:rPr>
                <w:rFonts w:cs="Times New Roman"/>
                <w:b/>
                <w:noProof/>
                <w:sz w:val="18"/>
                <w:szCs w:val="18"/>
              </w:rPr>
              <w:t>(2029)</w:t>
            </w:r>
          </w:p>
        </w:tc>
      </w:tr>
      <w:tr w:rsidR="00340D0B" w:rsidRPr="00930237" w14:paraId="3717556B" w14:textId="77777777" w:rsidTr="003155B0">
        <w:trPr>
          <w:trHeight w:val="332"/>
        </w:trPr>
        <w:tc>
          <w:tcPr>
            <w:tcW w:w="476" w:type="pct"/>
          </w:tcPr>
          <w:p w14:paraId="61F930DC" w14:textId="77777777" w:rsidR="00340D0B" w:rsidRPr="00930237" w:rsidRDefault="00340D0B" w:rsidP="003155B0">
            <w:pPr>
              <w:pStyle w:val="Text1"/>
              <w:spacing w:before="0" w:after="0"/>
              <w:ind w:left="0"/>
              <w:rPr>
                <w:rFonts w:cs="Times New Roman"/>
                <w:noProof/>
                <w:sz w:val="18"/>
                <w:szCs w:val="18"/>
              </w:rPr>
            </w:pPr>
            <w:r>
              <w:rPr>
                <w:rFonts w:cs="Times New Roman"/>
                <w:noProof/>
                <w:sz w:val="18"/>
                <w:szCs w:val="18"/>
              </w:rPr>
              <w:t>3.1</w:t>
            </w:r>
            <w:r w:rsidRPr="00930237">
              <w:rPr>
                <w:rFonts w:cs="Times New Roman"/>
                <w:noProof/>
                <w:sz w:val="18"/>
                <w:szCs w:val="18"/>
              </w:rPr>
              <w:t>.prioritāte</w:t>
            </w:r>
          </w:p>
        </w:tc>
        <w:tc>
          <w:tcPr>
            <w:tcW w:w="696" w:type="pct"/>
          </w:tcPr>
          <w:p w14:paraId="2FD4547F" w14:textId="77777777" w:rsidR="00340D0B" w:rsidRPr="00930237" w:rsidRDefault="00340D0B" w:rsidP="003155B0">
            <w:pPr>
              <w:pStyle w:val="Text1"/>
              <w:spacing w:before="0" w:after="0"/>
              <w:ind w:left="0"/>
              <w:rPr>
                <w:rFonts w:cs="Times New Roman"/>
                <w:noProof/>
                <w:sz w:val="18"/>
                <w:szCs w:val="18"/>
              </w:rPr>
            </w:pPr>
            <w:r>
              <w:rPr>
                <w:rFonts w:cs="Times New Roman"/>
                <w:noProof/>
                <w:sz w:val="18"/>
                <w:szCs w:val="18"/>
              </w:rPr>
              <w:t>3.1</w:t>
            </w:r>
            <w:r w:rsidRPr="00930237">
              <w:rPr>
                <w:rFonts w:cs="Times New Roman"/>
                <w:noProof/>
                <w:sz w:val="18"/>
                <w:szCs w:val="18"/>
              </w:rPr>
              <w:t>.</w:t>
            </w:r>
            <w:r>
              <w:rPr>
                <w:rFonts w:cs="Times New Roman"/>
                <w:noProof/>
                <w:sz w:val="18"/>
                <w:szCs w:val="18"/>
              </w:rPr>
              <w:t>1.</w:t>
            </w:r>
            <w:r w:rsidRPr="00930237">
              <w:rPr>
                <w:rFonts w:cs="Times New Roman"/>
                <w:noProof/>
                <w:sz w:val="18"/>
                <w:szCs w:val="18"/>
              </w:rPr>
              <w:t>SAM</w:t>
            </w:r>
          </w:p>
        </w:tc>
        <w:tc>
          <w:tcPr>
            <w:tcW w:w="353" w:type="pct"/>
          </w:tcPr>
          <w:p w14:paraId="7FBA472D" w14:textId="77777777" w:rsidR="00340D0B" w:rsidRPr="00930237" w:rsidRDefault="00340D0B" w:rsidP="003155B0">
            <w:pPr>
              <w:pStyle w:val="Text1"/>
              <w:spacing w:before="0" w:after="0"/>
              <w:ind w:left="0"/>
              <w:rPr>
                <w:rFonts w:cs="Times New Roman"/>
                <w:noProof/>
                <w:sz w:val="18"/>
                <w:szCs w:val="18"/>
              </w:rPr>
            </w:pPr>
            <w:r>
              <w:rPr>
                <w:rFonts w:cs="Times New Roman"/>
                <w:noProof/>
                <w:sz w:val="18"/>
                <w:szCs w:val="18"/>
              </w:rPr>
              <w:t>KF</w:t>
            </w:r>
          </w:p>
        </w:tc>
        <w:tc>
          <w:tcPr>
            <w:tcW w:w="487" w:type="pct"/>
          </w:tcPr>
          <w:p w14:paraId="28498EA6" w14:textId="77777777" w:rsidR="00340D0B" w:rsidRPr="00930237" w:rsidRDefault="00340D0B" w:rsidP="003155B0">
            <w:pPr>
              <w:pStyle w:val="Text1"/>
              <w:spacing w:before="0" w:after="0"/>
              <w:ind w:left="0"/>
              <w:rPr>
                <w:rFonts w:cs="Times New Roman"/>
                <w:sz w:val="18"/>
                <w:szCs w:val="18"/>
              </w:rPr>
            </w:pPr>
            <w:r w:rsidRPr="00930237">
              <w:rPr>
                <w:rFonts w:cs="Times New Roman"/>
                <w:sz w:val="18"/>
                <w:szCs w:val="18"/>
              </w:rPr>
              <w:t>RCO 47</w:t>
            </w:r>
          </w:p>
        </w:tc>
        <w:tc>
          <w:tcPr>
            <w:tcW w:w="1303" w:type="pct"/>
            <w:shd w:val="clear" w:color="auto" w:fill="auto"/>
          </w:tcPr>
          <w:p w14:paraId="28F22F2D" w14:textId="77777777" w:rsidR="00340D0B" w:rsidRPr="00930237" w:rsidRDefault="00340D0B" w:rsidP="003155B0">
            <w:pPr>
              <w:pStyle w:val="Default"/>
              <w:spacing w:after="0" w:line="240" w:lineRule="auto"/>
              <w:jc w:val="both"/>
              <w:rPr>
                <w:color w:val="auto"/>
                <w:sz w:val="18"/>
                <w:szCs w:val="18"/>
              </w:rPr>
            </w:pPr>
            <w:r w:rsidRPr="00930237">
              <w:rPr>
                <w:color w:val="auto"/>
                <w:sz w:val="18"/>
                <w:szCs w:val="18"/>
              </w:rPr>
              <w:t>Jaun</w:t>
            </w:r>
            <w:r>
              <w:rPr>
                <w:color w:val="auto"/>
                <w:sz w:val="18"/>
                <w:szCs w:val="18"/>
              </w:rPr>
              <w:t>u</w:t>
            </w:r>
            <w:r w:rsidRPr="00930237">
              <w:rPr>
                <w:color w:val="auto"/>
                <w:sz w:val="18"/>
                <w:szCs w:val="18"/>
              </w:rPr>
              <w:t xml:space="preserve"> vai modernizētu dzelzceļa sliežu garums – TEN-T</w:t>
            </w:r>
          </w:p>
        </w:tc>
        <w:tc>
          <w:tcPr>
            <w:tcW w:w="537" w:type="pct"/>
          </w:tcPr>
          <w:p w14:paraId="6E08A604" w14:textId="77777777" w:rsidR="00340D0B" w:rsidRPr="00930237" w:rsidRDefault="00340D0B" w:rsidP="003155B0">
            <w:pPr>
              <w:pStyle w:val="Text1"/>
              <w:spacing w:before="0" w:after="0"/>
              <w:ind w:left="0"/>
              <w:rPr>
                <w:rFonts w:cs="Times New Roman"/>
                <w:noProof/>
                <w:sz w:val="18"/>
                <w:szCs w:val="18"/>
              </w:rPr>
            </w:pPr>
            <w:r w:rsidRPr="00930237">
              <w:rPr>
                <w:rFonts w:cs="Times New Roman"/>
                <w:noProof/>
                <w:sz w:val="18"/>
                <w:szCs w:val="18"/>
              </w:rPr>
              <w:t>km</w:t>
            </w:r>
          </w:p>
        </w:tc>
        <w:tc>
          <w:tcPr>
            <w:tcW w:w="513" w:type="pct"/>
            <w:shd w:val="clear" w:color="auto" w:fill="auto"/>
          </w:tcPr>
          <w:p w14:paraId="5CD5CB08" w14:textId="77777777" w:rsidR="00340D0B" w:rsidRPr="00930237" w:rsidRDefault="00340D0B" w:rsidP="003155B0">
            <w:pPr>
              <w:pStyle w:val="Text1"/>
              <w:spacing w:before="0" w:after="0"/>
              <w:ind w:left="0"/>
              <w:rPr>
                <w:rFonts w:cs="Times New Roman"/>
                <w:noProof/>
                <w:sz w:val="18"/>
                <w:szCs w:val="18"/>
              </w:rPr>
            </w:pPr>
            <w:r w:rsidRPr="00930237">
              <w:rPr>
                <w:rFonts w:cs="Times New Roman"/>
                <w:noProof/>
                <w:sz w:val="18"/>
                <w:szCs w:val="18"/>
              </w:rPr>
              <w:t xml:space="preserve"> </w:t>
            </w:r>
            <w:r>
              <w:rPr>
                <w:rFonts w:cs="Times New Roman"/>
                <w:noProof/>
                <w:sz w:val="18"/>
                <w:szCs w:val="18"/>
              </w:rPr>
              <w:t>0</w:t>
            </w:r>
          </w:p>
        </w:tc>
        <w:tc>
          <w:tcPr>
            <w:tcW w:w="635" w:type="pct"/>
            <w:shd w:val="clear" w:color="auto" w:fill="auto"/>
          </w:tcPr>
          <w:p w14:paraId="10DADB2F" w14:textId="77777777" w:rsidR="00340D0B" w:rsidRPr="00930237" w:rsidRDefault="00340D0B" w:rsidP="003155B0">
            <w:pPr>
              <w:pStyle w:val="Text1"/>
              <w:spacing w:before="0" w:after="0"/>
              <w:ind w:left="0"/>
              <w:rPr>
                <w:rFonts w:cs="Times New Roman"/>
                <w:noProof/>
                <w:sz w:val="18"/>
                <w:szCs w:val="18"/>
              </w:rPr>
            </w:pPr>
            <w:r w:rsidRPr="00930237">
              <w:rPr>
                <w:rFonts w:cs="Times New Roman"/>
                <w:noProof/>
                <w:sz w:val="18"/>
                <w:szCs w:val="18"/>
              </w:rPr>
              <w:t xml:space="preserve"> </w:t>
            </w:r>
            <w:r>
              <w:rPr>
                <w:rFonts w:cs="Times New Roman"/>
                <w:noProof/>
                <w:sz w:val="18"/>
                <w:szCs w:val="18"/>
              </w:rPr>
              <w:t>130</w:t>
            </w:r>
          </w:p>
        </w:tc>
      </w:tr>
      <w:tr w:rsidR="00340D0B" w:rsidRPr="00930237" w14:paraId="0380C872" w14:textId="77777777" w:rsidTr="003155B0">
        <w:trPr>
          <w:trHeight w:val="332"/>
        </w:trPr>
        <w:tc>
          <w:tcPr>
            <w:tcW w:w="476" w:type="pct"/>
          </w:tcPr>
          <w:p w14:paraId="1534BE51" w14:textId="77777777" w:rsidR="00340D0B" w:rsidRPr="00930237" w:rsidRDefault="00340D0B" w:rsidP="003155B0">
            <w:pPr>
              <w:pStyle w:val="Text1"/>
              <w:spacing w:before="0" w:after="0"/>
              <w:ind w:left="0"/>
              <w:rPr>
                <w:rFonts w:cs="Times New Roman"/>
                <w:noProof/>
                <w:sz w:val="18"/>
                <w:szCs w:val="18"/>
              </w:rPr>
            </w:pPr>
            <w:r w:rsidRPr="00930237">
              <w:rPr>
                <w:rFonts w:cs="Times New Roman"/>
                <w:noProof/>
                <w:sz w:val="18"/>
                <w:szCs w:val="18"/>
              </w:rPr>
              <w:t>3.</w:t>
            </w:r>
            <w:r>
              <w:rPr>
                <w:rFonts w:cs="Times New Roman"/>
                <w:noProof/>
                <w:sz w:val="18"/>
                <w:szCs w:val="18"/>
              </w:rPr>
              <w:t>1</w:t>
            </w:r>
            <w:r w:rsidRPr="00930237">
              <w:rPr>
                <w:rFonts w:cs="Times New Roman"/>
                <w:noProof/>
                <w:sz w:val="18"/>
                <w:szCs w:val="18"/>
              </w:rPr>
              <w:t>.prioritāte</w:t>
            </w:r>
          </w:p>
        </w:tc>
        <w:tc>
          <w:tcPr>
            <w:tcW w:w="696" w:type="pct"/>
          </w:tcPr>
          <w:p w14:paraId="2375F81A" w14:textId="77777777" w:rsidR="00340D0B" w:rsidRPr="00930237" w:rsidRDefault="00340D0B" w:rsidP="003155B0">
            <w:pPr>
              <w:pStyle w:val="Text1"/>
              <w:spacing w:before="0" w:after="0"/>
              <w:ind w:left="0"/>
              <w:rPr>
                <w:rFonts w:cs="Times New Roman"/>
                <w:noProof/>
                <w:sz w:val="18"/>
                <w:szCs w:val="18"/>
              </w:rPr>
            </w:pPr>
            <w:r w:rsidRPr="00930237">
              <w:rPr>
                <w:rFonts w:cs="Times New Roman"/>
                <w:noProof/>
                <w:sz w:val="18"/>
                <w:szCs w:val="18"/>
              </w:rPr>
              <w:t>3.</w:t>
            </w:r>
            <w:r>
              <w:rPr>
                <w:rFonts w:cs="Times New Roman"/>
                <w:noProof/>
                <w:sz w:val="18"/>
                <w:szCs w:val="18"/>
              </w:rPr>
              <w:t>1</w:t>
            </w:r>
            <w:r w:rsidRPr="00930237">
              <w:rPr>
                <w:rFonts w:cs="Times New Roman"/>
                <w:noProof/>
                <w:sz w:val="18"/>
                <w:szCs w:val="18"/>
              </w:rPr>
              <w:t>.1.SAM</w:t>
            </w:r>
          </w:p>
        </w:tc>
        <w:tc>
          <w:tcPr>
            <w:tcW w:w="353" w:type="pct"/>
          </w:tcPr>
          <w:p w14:paraId="7FBBCCA4" w14:textId="77777777" w:rsidR="00340D0B" w:rsidRPr="00930237" w:rsidRDefault="00340D0B" w:rsidP="003155B0">
            <w:pPr>
              <w:pStyle w:val="Text1"/>
              <w:spacing w:before="0" w:after="0"/>
              <w:ind w:left="0"/>
              <w:rPr>
                <w:rFonts w:cs="Times New Roman"/>
                <w:noProof/>
                <w:sz w:val="18"/>
                <w:szCs w:val="18"/>
              </w:rPr>
            </w:pPr>
            <w:r>
              <w:rPr>
                <w:rFonts w:cs="Times New Roman"/>
                <w:noProof/>
                <w:sz w:val="18"/>
                <w:szCs w:val="18"/>
              </w:rPr>
              <w:t>KF</w:t>
            </w:r>
          </w:p>
        </w:tc>
        <w:tc>
          <w:tcPr>
            <w:tcW w:w="487" w:type="pct"/>
          </w:tcPr>
          <w:p w14:paraId="62A6AF8E" w14:textId="77777777" w:rsidR="00340D0B" w:rsidRPr="00930237" w:rsidRDefault="00340D0B" w:rsidP="003155B0">
            <w:pPr>
              <w:pStyle w:val="Text1"/>
              <w:spacing w:before="0" w:after="0"/>
              <w:ind w:left="0"/>
              <w:rPr>
                <w:rFonts w:cs="Times New Roman"/>
                <w:sz w:val="18"/>
                <w:szCs w:val="18"/>
              </w:rPr>
            </w:pPr>
            <w:r w:rsidRPr="00930237">
              <w:rPr>
                <w:rFonts w:cs="Times New Roman"/>
                <w:sz w:val="18"/>
                <w:szCs w:val="18"/>
              </w:rPr>
              <w:t>RCO 43</w:t>
            </w:r>
          </w:p>
        </w:tc>
        <w:tc>
          <w:tcPr>
            <w:tcW w:w="1303" w:type="pct"/>
            <w:shd w:val="clear" w:color="auto" w:fill="auto"/>
          </w:tcPr>
          <w:p w14:paraId="2FA9BDB8" w14:textId="77777777" w:rsidR="00340D0B" w:rsidRPr="00930237" w:rsidRDefault="00340D0B" w:rsidP="003155B0">
            <w:pPr>
              <w:pStyle w:val="Default"/>
              <w:spacing w:after="0" w:line="240" w:lineRule="auto"/>
              <w:jc w:val="both"/>
              <w:rPr>
                <w:color w:val="auto"/>
                <w:sz w:val="18"/>
                <w:szCs w:val="18"/>
              </w:rPr>
            </w:pPr>
            <w:r w:rsidRPr="00930237">
              <w:rPr>
                <w:color w:val="auto"/>
                <w:sz w:val="18"/>
                <w:szCs w:val="18"/>
              </w:rPr>
              <w:t>Jaunu vai modernizētu ceļu garums - TEN-T</w:t>
            </w:r>
          </w:p>
        </w:tc>
        <w:tc>
          <w:tcPr>
            <w:tcW w:w="537" w:type="pct"/>
          </w:tcPr>
          <w:p w14:paraId="1DDFFB3C" w14:textId="77777777" w:rsidR="00340D0B" w:rsidRPr="00930237" w:rsidRDefault="00340D0B" w:rsidP="003155B0">
            <w:pPr>
              <w:pStyle w:val="Text1"/>
              <w:spacing w:before="0" w:after="0"/>
              <w:ind w:left="0"/>
              <w:rPr>
                <w:rFonts w:cs="Times New Roman"/>
                <w:noProof/>
                <w:sz w:val="18"/>
                <w:szCs w:val="18"/>
              </w:rPr>
            </w:pPr>
            <w:r w:rsidRPr="00930237">
              <w:rPr>
                <w:rFonts w:cs="Times New Roman"/>
                <w:noProof/>
                <w:sz w:val="18"/>
                <w:szCs w:val="18"/>
              </w:rPr>
              <w:t>km</w:t>
            </w:r>
          </w:p>
        </w:tc>
        <w:tc>
          <w:tcPr>
            <w:tcW w:w="513" w:type="pct"/>
            <w:shd w:val="clear" w:color="auto" w:fill="auto"/>
          </w:tcPr>
          <w:p w14:paraId="34B5F9E6" w14:textId="77777777" w:rsidR="00340D0B" w:rsidRPr="00930237" w:rsidRDefault="00340D0B" w:rsidP="003155B0">
            <w:pPr>
              <w:pStyle w:val="Text1"/>
              <w:spacing w:before="0" w:after="0"/>
              <w:ind w:left="0"/>
              <w:rPr>
                <w:rFonts w:cs="Times New Roman"/>
                <w:noProof/>
                <w:sz w:val="18"/>
                <w:szCs w:val="18"/>
              </w:rPr>
            </w:pPr>
            <w:r w:rsidRPr="00930237">
              <w:rPr>
                <w:rFonts w:cs="Times New Roman"/>
                <w:noProof/>
                <w:sz w:val="18"/>
                <w:szCs w:val="18"/>
              </w:rPr>
              <w:t>0</w:t>
            </w:r>
          </w:p>
        </w:tc>
        <w:tc>
          <w:tcPr>
            <w:tcW w:w="635" w:type="pct"/>
            <w:shd w:val="clear" w:color="auto" w:fill="auto"/>
          </w:tcPr>
          <w:p w14:paraId="4440C2DF" w14:textId="77777777" w:rsidR="00340D0B" w:rsidRPr="00930237" w:rsidRDefault="00340D0B" w:rsidP="003155B0">
            <w:pPr>
              <w:pStyle w:val="Text1"/>
              <w:spacing w:before="0" w:after="0"/>
              <w:ind w:left="0"/>
              <w:rPr>
                <w:rFonts w:cs="Times New Roman"/>
                <w:noProof/>
                <w:sz w:val="18"/>
                <w:szCs w:val="18"/>
              </w:rPr>
            </w:pPr>
            <w:r>
              <w:rPr>
                <w:rFonts w:cs="Times New Roman"/>
                <w:noProof/>
                <w:sz w:val="18"/>
                <w:szCs w:val="18"/>
              </w:rPr>
              <w:t>40</w:t>
            </w:r>
          </w:p>
        </w:tc>
      </w:tr>
      <w:tr w:rsidR="00340D0B" w:rsidRPr="00930237" w14:paraId="6791F4C6" w14:textId="77777777" w:rsidTr="003155B0">
        <w:trPr>
          <w:trHeight w:val="332"/>
        </w:trPr>
        <w:tc>
          <w:tcPr>
            <w:tcW w:w="476" w:type="pct"/>
          </w:tcPr>
          <w:p w14:paraId="7E96724F" w14:textId="77777777" w:rsidR="00340D0B" w:rsidRPr="00930237" w:rsidRDefault="00340D0B" w:rsidP="003155B0">
            <w:pPr>
              <w:pStyle w:val="Text1"/>
              <w:spacing w:before="0" w:after="0"/>
              <w:ind w:left="0"/>
              <w:rPr>
                <w:rFonts w:cs="Times New Roman"/>
                <w:noProof/>
                <w:sz w:val="18"/>
                <w:szCs w:val="18"/>
              </w:rPr>
            </w:pPr>
            <w:r w:rsidRPr="00930237">
              <w:rPr>
                <w:rFonts w:cs="Times New Roman"/>
                <w:noProof/>
                <w:sz w:val="18"/>
                <w:szCs w:val="18"/>
              </w:rPr>
              <w:t>3.</w:t>
            </w:r>
            <w:r>
              <w:rPr>
                <w:rFonts w:cs="Times New Roman"/>
                <w:noProof/>
                <w:sz w:val="18"/>
                <w:szCs w:val="18"/>
              </w:rPr>
              <w:t>1</w:t>
            </w:r>
            <w:r w:rsidRPr="00930237">
              <w:rPr>
                <w:rFonts w:cs="Times New Roman"/>
                <w:noProof/>
                <w:sz w:val="18"/>
                <w:szCs w:val="18"/>
              </w:rPr>
              <w:t>.prioritāte</w:t>
            </w:r>
          </w:p>
        </w:tc>
        <w:tc>
          <w:tcPr>
            <w:tcW w:w="696" w:type="pct"/>
          </w:tcPr>
          <w:p w14:paraId="6CAC4A0A" w14:textId="77777777" w:rsidR="00340D0B" w:rsidRPr="00930237" w:rsidRDefault="00340D0B" w:rsidP="003155B0">
            <w:pPr>
              <w:pStyle w:val="Text1"/>
              <w:spacing w:before="0" w:after="0"/>
              <w:ind w:left="0"/>
              <w:rPr>
                <w:rFonts w:cs="Times New Roman"/>
                <w:noProof/>
                <w:sz w:val="18"/>
                <w:szCs w:val="18"/>
              </w:rPr>
            </w:pPr>
            <w:r w:rsidRPr="00930237">
              <w:rPr>
                <w:rFonts w:cs="Times New Roman"/>
                <w:noProof/>
                <w:sz w:val="18"/>
                <w:szCs w:val="18"/>
              </w:rPr>
              <w:t>3.</w:t>
            </w:r>
            <w:r>
              <w:rPr>
                <w:rFonts w:cs="Times New Roman"/>
                <w:noProof/>
                <w:sz w:val="18"/>
                <w:szCs w:val="18"/>
              </w:rPr>
              <w:t>1</w:t>
            </w:r>
            <w:r w:rsidRPr="00930237">
              <w:rPr>
                <w:rFonts w:cs="Times New Roman"/>
                <w:noProof/>
                <w:sz w:val="18"/>
                <w:szCs w:val="18"/>
              </w:rPr>
              <w:t>.2.SAM</w:t>
            </w:r>
          </w:p>
        </w:tc>
        <w:tc>
          <w:tcPr>
            <w:tcW w:w="353" w:type="pct"/>
          </w:tcPr>
          <w:p w14:paraId="28A15FE4" w14:textId="77777777" w:rsidR="00340D0B" w:rsidRPr="00930237" w:rsidRDefault="00340D0B" w:rsidP="003155B0">
            <w:pPr>
              <w:pStyle w:val="Text1"/>
              <w:spacing w:before="0" w:after="0"/>
              <w:ind w:left="0"/>
              <w:rPr>
                <w:rFonts w:cs="Times New Roman"/>
                <w:noProof/>
                <w:sz w:val="18"/>
                <w:szCs w:val="18"/>
              </w:rPr>
            </w:pPr>
            <w:r>
              <w:rPr>
                <w:rFonts w:cs="Times New Roman"/>
                <w:noProof/>
                <w:sz w:val="18"/>
                <w:szCs w:val="18"/>
              </w:rPr>
              <w:t>KF</w:t>
            </w:r>
          </w:p>
        </w:tc>
        <w:tc>
          <w:tcPr>
            <w:tcW w:w="487" w:type="pct"/>
          </w:tcPr>
          <w:p w14:paraId="51E863DA" w14:textId="77777777" w:rsidR="00340D0B" w:rsidRPr="00930237" w:rsidRDefault="00340D0B" w:rsidP="003155B0">
            <w:pPr>
              <w:pStyle w:val="Text1"/>
              <w:spacing w:before="0" w:after="0"/>
              <w:ind w:left="0"/>
              <w:rPr>
                <w:rFonts w:cs="Times New Roman"/>
                <w:sz w:val="18"/>
                <w:szCs w:val="18"/>
              </w:rPr>
            </w:pPr>
            <w:r w:rsidRPr="00930237">
              <w:rPr>
                <w:rFonts w:cs="Times New Roman"/>
                <w:sz w:val="18"/>
                <w:szCs w:val="18"/>
              </w:rPr>
              <w:t>RCO 46</w:t>
            </w:r>
          </w:p>
        </w:tc>
        <w:tc>
          <w:tcPr>
            <w:tcW w:w="1303" w:type="pct"/>
            <w:shd w:val="clear" w:color="auto" w:fill="auto"/>
          </w:tcPr>
          <w:p w14:paraId="5B4B7A9C" w14:textId="77777777" w:rsidR="00340D0B" w:rsidRPr="00930237" w:rsidRDefault="00340D0B" w:rsidP="003155B0">
            <w:pPr>
              <w:pStyle w:val="Default"/>
              <w:spacing w:after="0" w:line="240" w:lineRule="auto"/>
              <w:jc w:val="both"/>
              <w:rPr>
                <w:color w:val="auto"/>
                <w:sz w:val="18"/>
                <w:szCs w:val="18"/>
              </w:rPr>
            </w:pPr>
            <w:r w:rsidRPr="00930237">
              <w:rPr>
                <w:color w:val="auto"/>
                <w:sz w:val="18"/>
                <w:szCs w:val="18"/>
              </w:rPr>
              <w:t>Rekonstruēto vai modernizēto ceļu garums – kas nav TEN-T</w:t>
            </w:r>
          </w:p>
        </w:tc>
        <w:tc>
          <w:tcPr>
            <w:tcW w:w="537" w:type="pct"/>
          </w:tcPr>
          <w:p w14:paraId="79AB9965" w14:textId="77777777" w:rsidR="00340D0B" w:rsidRPr="00930237" w:rsidRDefault="00340D0B" w:rsidP="003155B0">
            <w:pPr>
              <w:pStyle w:val="Text1"/>
              <w:spacing w:before="0" w:after="0"/>
              <w:ind w:left="0"/>
              <w:rPr>
                <w:rFonts w:cs="Times New Roman"/>
                <w:noProof/>
                <w:sz w:val="18"/>
                <w:szCs w:val="18"/>
              </w:rPr>
            </w:pPr>
            <w:r w:rsidRPr="00930237">
              <w:rPr>
                <w:rFonts w:cs="Times New Roman"/>
                <w:noProof/>
                <w:sz w:val="18"/>
                <w:szCs w:val="18"/>
              </w:rPr>
              <w:t>km</w:t>
            </w:r>
          </w:p>
        </w:tc>
        <w:tc>
          <w:tcPr>
            <w:tcW w:w="513" w:type="pct"/>
            <w:shd w:val="clear" w:color="auto" w:fill="auto"/>
          </w:tcPr>
          <w:p w14:paraId="4728B904" w14:textId="77777777" w:rsidR="00340D0B" w:rsidRPr="00930237" w:rsidRDefault="00340D0B" w:rsidP="003155B0">
            <w:pPr>
              <w:pStyle w:val="Text1"/>
              <w:spacing w:before="0" w:after="0"/>
              <w:ind w:left="0"/>
              <w:rPr>
                <w:rFonts w:cs="Times New Roman"/>
                <w:noProof/>
                <w:sz w:val="18"/>
                <w:szCs w:val="18"/>
              </w:rPr>
            </w:pPr>
            <w:r w:rsidRPr="00930237">
              <w:rPr>
                <w:sz w:val="18"/>
                <w:szCs w:val="18"/>
              </w:rPr>
              <w:t xml:space="preserve"> 0</w:t>
            </w:r>
          </w:p>
        </w:tc>
        <w:tc>
          <w:tcPr>
            <w:tcW w:w="635" w:type="pct"/>
            <w:shd w:val="clear" w:color="auto" w:fill="auto"/>
          </w:tcPr>
          <w:p w14:paraId="004EBC14" w14:textId="77777777" w:rsidR="00340D0B" w:rsidRPr="00930237" w:rsidRDefault="00340D0B" w:rsidP="003155B0">
            <w:pPr>
              <w:pStyle w:val="Text1"/>
              <w:spacing w:before="0" w:after="0"/>
              <w:ind w:left="0"/>
              <w:rPr>
                <w:rFonts w:cs="Times New Roman"/>
                <w:noProof/>
                <w:sz w:val="18"/>
                <w:szCs w:val="18"/>
              </w:rPr>
            </w:pPr>
            <w:r w:rsidRPr="00930237">
              <w:rPr>
                <w:sz w:val="18"/>
                <w:szCs w:val="18"/>
              </w:rPr>
              <w:t xml:space="preserve"> </w:t>
            </w:r>
            <w:r>
              <w:rPr>
                <w:sz w:val="18"/>
                <w:szCs w:val="18"/>
              </w:rPr>
              <w:t>50</w:t>
            </w:r>
          </w:p>
        </w:tc>
      </w:tr>
      <w:tr w:rsidR="00340D0B" w:rsidRPr="00930237" w14:paraId="3149405D" w14:textId="77777777" w:rsidTr="003155B0">
        <w:trPr>
          <w:trHeight w:val="332"/>
        </w:trPr>
        <w:tc>
          <w:tcPr>
            <w:tcW w:w="476" w:type="pct"/>
          </w:tcPr>
          <w:p w14:paraId="656841E5" w14:textId="77777777" w:rsidR="00340D0B" w:rsidRPr="00930237" w:rsidRDefault="00340D0B" w:rsidP="003155B0">
            <w:pPr>
              <w:pStyle w:val="Text1"/>
              <w:spacing w:before="0" w:after="0"/>
              <w:ind w:left="0"/>
              <w:rPr>
                <w:rFonts w:cs="Times New Roman"/>
                <w:noProof/>
                <w:sz w:val="18"/>
                <w:szCs w:val="18"/>
              </w:rPr>
            </w:pPr>
            <w:r w:rsidRPr="00930237">
              <w:rPr>
                <w:rFonts w:cs="Times New Roman"/>
                <w:noProof/>
                <w:sz w:val="18"/>
                <w:szCs w:val="18"/>
              </w:rPr>
              <w:t>3.</w:t>
            </w:r>
            <w:r>
              <w:rPr>
                <w:rFonts w:cs="Times New Roman"/>
                <w:noProof/>
                <w:sz w:val="18"/>
                <w:szCs w:val="18"/>
              </w:rPr>
              <w:t>1</w:t>
            </w:r>
            <w:r w:rsidRPr="00930237">
              <w:rPr>
                <w:rFonts w:cs="Times New Roman"/>
                <w:noProof/>
                <w:sz w:val="18"/>
                <w:szCs w:val="18"/>
              </w:rPr>
              <w:t>.prioritāte</w:t>
            </w:r>
          </w:p>
        </w:tc>
        <w:tc>
          <w:tcPr>
            <w:tcW w:w="696" w:type="pct"/>
          </w:tcPr>
          <w:p w14:paraId="6BB4E0FB" w14:textId="77777777" w:rsidR="00340D0B" w:rsidRPr="00930237" w:rsidRDefault="00340D0B" w:rsidP="003155B0">
            <w:pPr>
              <w:pStyle w:val="Text1"/>
              <w:spacing w:before="0" w:after="0"/>
              <w:ind w:left="0"/>
              <w:rPr>
                <w:rFonts w:cs="Times New Roman"/>
                <w:noProof/>
                <w:sz w:val="18"/>
                <w:szCs w:val="18"/>
              </w:rPr>
            </w:pPr>
            <w:r w:rsidRPr="00930237">
              <w:rPr>
                <w:rFonts w:cs="Times New Roman"/>
                <w:noProof/>
                <w:sz w:val="18"/>
                <w:szCs w:val="18"/>
              </w:rPr>
              <w:t>3.</w:t>
            </w:r>
            <w:r>
              <w:rPr>
                <w:rFonts w:cs="Times New Roman"/>
                <w:noProof/>
                <w:sz w:val="18"/>
                <w:szCs w:val="18"/>
              </w:rPr>
              <w:t>1</w:t>
            </w:r>
            <w:r w:rsidRPr="00930237">
              <w:rPr>
                <w:rFonts w:cs="Times New Roman"/>
                <w:noProof/>
                <w:sz w:val="18"/>
                <w:szCs w:val="18"/>
              </w:rPr>
              <w:t>.</w:t>
            </w:r>
            <w:r>
              <w:rPr>
                <w:rFonts w:cs="Times New Roman"/>
                <w:noProof/>
                <w:sz w:val="18"/>
                <w:szCs w:val="18"/>
              </w:rPr>
              <w:t>1</w:t>
            </w:r>
            <w:r w:rsidRPr="00930237">
              <w:rPr>
                <w:rFonts w:cs="Times New Roman"/>
                <w:noProof/>
                <w:sz w:val="18"/>
                <w:szCs w:val="18"/>
              </w:rPr>
              <w:t>.SAM</w:t>
            </w:r>
          </w:p>
        </w:tc>
        <w:tc>
          <w:tcPr>
            <w:tcW w:w="353" w:type="pct"/>
          </w:tcPr>
          <w:p w14:paraId="1527E184" w14:textId="77777777" w:rsidR="00340D0B" w:rsidRPr="00930237" w:rsidRDefault="00340D0B" w:rsidP="003155B0">
            <w:pPr>
              <w:pStyle w:val="Text1"/>
              <w:spacing w:before="0" w:after="0"/>
              <w:ind w:left="0"/>
              <w:rPr>
                <w:rFonts w:cs="Times New Roman"/>
                <w:noProof/>
                <w:sz w:val="18"/>
                <w:szCs w:val="18"/>
              </w:rPr>
            </w:pPr>
            <w:r w:rsidRPr="00930237">
              <w:rPr>
                <w:rFonts w:cs="Times New Roman"/>
                <w:noProof/>
                <w:sz w:val="18"/>
                <w:szCs w:val="18"/>
              </w:rPr>
              <w:t>KF</w:t>
            </w:r>
          </w:p>
        </w:tc>
        <w:tc>
          <w:tcPr>
            <w:tcW w:w="487" w:type="pct"/>
          </w:tcPr>
          <w:p w14:paraId="360340D2" w14:textId="77777777" w:rsidR="00340D0B" w:rsidRPr="00930237" w:rsidRDefault="00340D0B" w:rsidP="003155B0">
            <w:pPr>
              <w:pStyle w:val="Text1"/>
              <w:spacing w:before="0" w:after="0"/>
              <w:ind w:left="0"/>
              <w:rPr>
                <w:rFonts w:cs="Times New Roman"/>
                <w:sz w:val="18"/>
                <w:szCs w:val="18"/>
              </w:rPr>
            </w:pPr>
            <w:r w:rsidRPr="00930237">
              <w:rPr>
                <w:rFonts w:cs="Times New Roman"/>
                <w:sz w:val="18"/>
                <w:szCs w:val="18"/>
              </w:rPr>
              <w:t>RCO 53</w:t>
            </w:r>
          </w:p>
        </w:tc>
        <w:tc>
          <w:tcPr>
            <w:tcW w:w="1303" w:type="pct"/>
            <w:shd w:val="clear" w:color="auto" w:fill="auto"/>
          </w:tcPr>
          <w:p w14:paraId="35DA9726" w14:textId="77777777" w:rsidR="00340D0B" w:rsidRPr="00930237" w:rsidRDefault="00340D0B" w:rsidP="003155B0">
            <w:pPr>
              <w:pStyle w:val="Default"/>
              <w:spacing w:after="0" w:line="240" w:lineRule="auto"/>
              <w:jc w:val="both"/>
              <w:rPr>
                <w:color w:val="auto"/>
                <w:sz w:val="18"/>
                <w:szCs w:val="18"/>
              </w:rPr>
            </w:pPr>
            <w:r w:rsidRPr="00930237">
              <w:rPr>
                <w:color w:val="auto"/>
                <w:sz w:val="18"/>
                <w:szCs w:val="18"/>
              </w:rPr>
              <w:t>Jaunas vai modernizētas dzelzceļa stacijas un pieturas</w:t>
            </w:r>
          </w:p>
        </w:tc>
        <w:tc>
          <w:tcPr>
            <w:tcW w:w="537" w:type="pct"/>
          </w:tcPr>
          <w:p w14:paraId="1DE564FF" w14:textId="77777777" w:rsidR="00340D0B" w:rsidRPr="00930237" w:rsidRDefault="00340D0B" w:rsidP="003155B0">
            <w:pPr>
              <w:pStyle w:val="Text1"/>
              <w:spacing w:before="0" w:after="0"/>
              <w:ind w:left="0"/>
              <w:rPr>
                <w:rFonts w:cs="Times New Roman"/>
                <w:noProof/>
                <w:sz w:val="18"/>
                <w:szCs w:val="18"/>
              </w:rPr>
            </w:pPr>
            <w:r w:rsidRPr="00930237">
              <w:rPr>
                <w:rFonts w:cs="Times New Roman"/>
                <w:noProof/>
                <w:sz w:val="18"/>
                <w:szCs w:val="18"/>
              </w:rPr>
              <w:t>Staciju/pieturu skaits</w:t>
            </w:r>
          </w:p>
        </w:tc>
        <w:tc>
          <w:tcPr>
            <w:tcW w:w="513" w:type="pct"/>
            <w:shd w:val="clear" w:color="auto" w:fill="auto"/>
          </w:tcPr>
          <w:p w14:paraId="04605C76" w14:textId="77777777" w:rsidR="00340D0B" w:rsidRPr="00930237" w:rsidRDefault="00340D0B" w:rsidP="003155B0">
            <w:pPr>
              <w:pStyle w:val="Text1"/>
              <w:spacing w:before="0" w:after="0"/>
              <w:ind w:left="0"/>
              <w:rPr>
                <w:rFonts w:cs="Times New Roman"/>
                <w:noProof/>
                <w:sz w:val="18"/>
                <w:szCs w:val="18"/>
              </w:rPr>
            </w:pPr>
            <w:r w:rsidRPr="00930237">
              <w:rPr>
                <w:rFonts w:cs="Times New Roman"/>
                <w:noProof/>
                <w:sz w:val="18"/>
                <w:szCs w:val="18"/>
              </w:rPr>
              <w:t xml:space="preserve"> </w:t>
            </w:r>
            <w:r>
              <w:rPr>
                <w:rFonts w:cs="Times New Roman"/>
                <w:noProof/>
                <w:sz w:val="18"/>
                <w:szCs w:val="18"/>
              </w:rPr>
              <w:t>0</w:t>
            </w:r>
          </w:p>
        </w:tc>
        <w:tc>
          <w:tcPr>
            <w:tcW w:w="635" w:type="pct"/>
            <w:shd w:val="clear" w:color="auto" w:fill="auto"/>
          </w:tcPr>
          <w:p w14:paraId="7FC7DBD4" w14:textId="77777777" w:rsidR="00340D0B" w:rsidRPr="00930237" w:rsidRDefault="00340D0B" w:rsidP="003155B0">
            <w:pPr>
              <w:pStyle w:val="Text1"/>
              <w:spacing w:before="0" w:after="0"/>
              <w:ind w:left="0"/>
              <w:rPr>
                <w:rFonts w:cs="Times New Roman"/>
                <w:noProof/>
                <w:sz w:val="18"/>
                <w:szCs w:val="18"/>
              </w:rPr>
            </w:pPr>
            <w:r w:rsidRPr="00930237">
              <w:rPr>
                <w:rFonts w:cs="Times New Roman"/>
                <w:noProof/>
                <w:sz w:val="18"/>
                <w:szCs w:val="18"/>
              </w:rPr>
              <w:t xml:space="preserve"> </w:t>
            </w:r>
            <w:r>
              <w:rPr>
                <w:rFonts w:cs="Times New Roman"/>
                <w:noProof/>
                <w:sz w:val="18"/>
                <w:szCs w:val="18"/>
              </w:rPr>
              <w:t>40</w:t>
            </w:r>
          </w:p>
        </w:tc>
      </w:tr>
    </w:tbl>
    <w:p w14:paraId="6236FC6F" w14:textId="77777777" w:rsidR="00340D0B" w:rsidRPr="00930237" w:rsidRDefault="00340D0B" w:rsidP="00340D0B">
      <w:pPr>
        <w:spacing w:before="0" w:after="0"/>
        <w:rPr>
          <w:rFonts w:eastAsia="Times New Roman"/>
          <w:b/>
          <w:iCs/>
          <w:noProof/>
          <w:sz w:val="20"/>
        </w:rPr>
      </w:pPr>
    </w:p>
    <w:p w14:paraId="727F278E" w14:textId="77777777" w:rsidR="00340D0B" w:rsidRPr="00930237" w:rsidRDefault="00340D0B" w:rsidP="00340D0B">
      <w:pPr>
        <w:spacing w:before="0" w:after="0"/>
        <w:rPr>
          <w:rFonts w:eastAsia="Times New Roman"/>
          <w:iCs/>
          <w:noProof/>
          <w:sz w:val="20"/>
        </w:rPr>
      </w:pPr>
      <w:r w:rsidRPr="00930237">
        <w:rPr>
          <w:rFonts w:eastAsia="Times New Roman"/>
          <w:iCs/>
          <w:noProof/>
          <w:sz w:val="20"/>
        </w:rPr>
        <w:t>* Rādītāju sasniedzamās vērtības tiks definētas, kad būs pieejami veikto izvērtējumu rezultāti, kā arī attiecīgo nozaru plānošanas dokumentu izstrādes un saskaņošanas ietvaros.</w:t>
      </w:r>
    </w:p>
    <w:p w14:paraId="131D6EBF" w14:textId="77777777" w:rsidR="00340D0B" w:rsidRPr="00930237" w:rsidRDefault="00340D0B" w:rsidP="00340D0B">
      <w:pPr>
        <w:spacing w:before="0" w:after="0"/>
        <w:rPr>
          <w:rFonts w:eastAsia="Times New Roman"/>
          <w:b/>
          <w:iCs/>
          <w:noProof/>
          <w:sz w:val="20"/>
        </w:rPr>
      </w:pPr>
    </w:p>
    <w:p w14:paraId="6B2E481C" w14:textId="1C82A0B0" w:rsidR="00340D0B" w:rsidRPr="00930237" w:rsidRDefault="005156FC" w:rsidP="005156FC">
      <w:pPr>
        <w:pStyle w:val="Heading3"/>
        <w:numPr>
          <w:ilvl w:val="0"/>
          <w:numId w:val="0"/>
        </w:numPr>
        <w:spacing w:after="0"/>
        <w:rPr>
          <w:b/>
          <w:i w:val="0"/>
          <w:noProof/>
        </w:rPr>
      </w:pPr>
      <w:bookmarkStart w:id="29" w:name="_Toc69125416"/>
      <w:r>
        <w:rPr>
          <w:b/>
          <w:i w:val="0"/>
          <w:noProof/>
        </w:rPr>
        <w:t>7.tabula (3)</w:t>
      </w:r>
      <w:r w:rsidR="00B471B0">
        <w:rPr>
          <w:b/>
          <w:i w:val="0"/>
          <w:noProof/>
        </w:rPr>
        <w:t xml:space="preserve"> 3.Politiskā mērķa r</w:t>
      </w:r>
      <w:r w:rsidR="00340D0B" w:rsidRPr="00930237">
        <w:rPr>
          <w:b/>
          <w:i w:val="0"/>
          <w:noProof/>
        </w:rPr>
        <w:t>ezultātu rādītāji</w:t>
      </w:r>
      <w:r w:rsidR="00340D0B" w:rsidRPr="00930237">
        <w:rPr>
          <w:rStyle w:val="FootnoteReference"/>
          <w:b/>
          <w:i w:val="0"/>
          <w:noProof/>
        </w:rPr>
        <w:footnoteReference w:id="119"/>
      </w:r>
      <w:bookmarkEnd w:id="29"/>
    </w:p>
    <w:p w14:paraId="6991593F" w14:textId="77777777" w:rsidR="00340D0B" w:rsidRPr="00930237" w:rsidRDefault="00340D0B" w:rsidP="005156FC">
      <w:pPr>
        <w:spacing w:before="0" w:after="0"/>
        <w:rPr>
          <w:rFonts w:eastAsia="Times New Roman"/>
          <w:b/>
          <w:iCs/>
          <w:noProof/>
          <w:sz w:val="20"/>
        </w:rPr>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2"/>
        <w:gridCol w:w="1151"/>
        <w:gridCol w:w="836"/>
        <w:gridCol w:w="996"/>
        <w:gridCol w:w="2214"/>
        <w:gridCol w:w="1288"/>
        <w:gridCol w:w="1041"/>
        <w:gridCol w:w="1218"/>
        <w:gridCol w:w="1383"/>
        <w:gridCol w:w="1355"/>
        <w:gridCol w:w="1274"/>
      </w:tblGrid>
      <w:tr w:rsidR="00340D0B" w:rsidRPr="00BF555E" w14:paraId="772D6F92" w14:textId="77777777" w:rsidTr="006624B3">
        <w:trPr>
          <w:trHeight w:val="282"/>
          <w:tblHeader/>
        </w:trPr>
        <w:tc>
          <w:tcPr>
            <w:tcW w:w="453" w:type="pct"/>
            <w:shd w:val="clear" w:color="auto" w:fill="D9D9D9" w:themeFill="background1" w:themeFillShade="D9"/>
            <w:vAlign w:val="center"/>
          </w:tcPr>
          <w:p w14:paraId="0819C87E" w14:textId="77777777" w:rsidR="00340D0B" w:rsidRPr="00BF555E" w:rsidRDefault="00340D0B" w:rsidP="003155B0">
            <w:pPr>
              <w:pStyle w:val="Text1"/>
              <w:spacing w:before="0" w:after="0"/>
              <w:ind w:left="0"/>
              <w:jc w:val="center"/>
              <w:rPr>
                <w:rFonts w:cs="Times New Roman"/>
                <w:b/>
                <w:noProof/>
                <w:sz w:val="18"/>
                <w:szCs w:val="18"/>
              </w:rPr>
            </w:pPr>
            <w:r w:rsidRPr="00BF555E">
              <w:rPr>
                <w:rFonts w:cs="Times New Roman"/>
                <w:b/>
                <w:noProof/>
                <w:sz w:val="18"/>
                <w:szCs w:val="18"/>
              </w:rPr>
              <w:t>Prioritāte</w:t>
            </w:r>
          </w:p>
        </w:tc>
        <w:tc>
          <w:tcPr>
            <w:tcW w:w="410" w:type="pct"/>
            <w:shd w:val="clear" w:color="auto" w:fill="D9D9D9" w:themeFill="background1" w:themeFillShade="D9"/>
            <w:vAlign w:val="center"/>
          </w:tcPr>
          <w:p w14:paraId="602D2DE3" w14:textId="77777777" w:rsidR="00340D0B" w:rsidRPr="00BF555E" w:rsidRDefault="00340D0B" w:rsidP="003155B0">
            <w:pPr>
              <w:pStyle w:val="Text1"/>
              <w:spacing w:before="0" w:after="0"/>
              <w:ind w:left="0"/>
              <w:jc w:val="center"/>
              <w:rPr>
                <w:rFonts w:cs="Times New Roman"/>
                <w:b/>
                <w:noProof/>
                <w:sz w:val="18"/>
                <w:szCs w:val="18"/>
              </w:rPr>
            </w:pPr>
            <w:r w:rsidRPr="00BF555E">
              <w:rPr>
                <w:rFonts w:cs="Times New Roman"/>
                <w:b/>
                <w:noProof/>
                <w:sz w:val="18"/>
                <w:szCs w:val="18"/>
              </w:rPr>
              <w:t>SAM</w:t>
            </w:r>
          </w:p>
        </w:tc>
        <w:tc>
          <w:tcPr>
            <w:tcW w:w="298" w:type="pct"/>
            <w:shd w:val="clear" w:color="auto" w:fill="D9D9D9" w:themeFill="background1" w:themeFillShade="D9"/>
            <w:vAlign w:val="center"/>
          </w:tcPr>
          <w:p w14:paraId="40464C6F" w14:textId="77777777" w:rsidR="00340D0B" w:rsidRPr="00BF555E" w:rsidRDefault="00340D0B" w:rsidP="003155B0">
            <w:pPr>
              <w:pStyle w:val="Text1"/>
              <w:spacing w:before="0" w:after="0"/>
              <w:ind w:left="0"/>
              <w:jc w:val="center"/>
              <w:rPr>
                <w:rFonts w:cs="Times New Roman"/>
                <w:b/>
                <w:noProof/>
                <w:sz w:val="18"/>
                <w:szCs w:val="18"/>
              </w:rPr>
            </w:pPr>
            <w:r w:rsidRPr="00BF555E">
              <w:rPr>
                <w:rFonts w:cs="Times New Roman"/>
                <w:b/>
                <w:noProof/>
                <w:sz w:val="18"/>
                <w:szCs w:val="18"/>
              </w:rPr>
              <w:t>Fonds</w:t>
            </w:r>
          </w:p>
        </w:tc>
        <w:tc>
          <w:tcPr>
            <w:tcW w:w="355" w:type="pct"/>
            <w:shd w:val="clear" w:color="auto" w:fill="D9D9D9" w:themeFill="background1" w:themeFillShade="D9"/>
            <w:vAlign w:val="center"/>
          </w:tcPr>
          <w:p w14:paraId="63EF1889" w14:textId="77777777" w:rsidR="00340D0B" w:rsidRPr="00BF555E" w:rsidRDefault="00340D0B" w:rsidP="003155B0">
            <w:pPr>
              <w:pStyle w:val="Text1"/>
              <w:spacing w:before="0" w:after="0"/>
              <w:ind w:left="0"/>
              <w:jc w:val="center"/>
              <w:rPr>
                <w:rFonts w:cs="Times New Roman"/>
                <w:b/>
                <w:noProof/>
                <w:sz w:val="18"/>
                <w:szCs w:val="18"/>
              </w:rPr>
            </w:pPr>
            <w:r w:rsidRPr="00BF555E">
              <w:rPr>
                <w:rFonts w:cs="Times New Roman"/>
                <w:b/>
                <w:noProof/>
                <w:sz w:val="18"/>
                <w:szCs w:val="18"/>
              </w:rPr>
              <w:t xml:space="preserve">ID </w:t>
            </w:r>
          </w:p>
        </w:tc>
        <w:tc>
          <w:tcPr>
            <w:tcW w:w="789" w:type="pct"/>
            <w:shd w:val="clear" w:color="auto" w:fill="D9D9D9" w:themeFill="background1" w:themeFillShade="D9"/>
            <w:vAlign w:val="center"/>
          </w:tcPr>
          <w:p w14:paraId="668D3448" w14:textId="77777777" w:rsidR="00340D0B" w:rsidRPr="00BF555E" w:rsidRDefault="00340D0B" w:rsidP="003155B0">
            <w:pPr>
              <w:pStyle w:val="Text1"/>
              <w:spacing w:before="0" w:after="0"/>
              <w:ind w:left="0"/>
              <w:jc w:val="center"/>
              <w:rPr>
                <w:rFonts w:cs="Times New Roman"/>
                <w:b/>
                <w:noProof/>
                <w:sz w:val="18"/>
                <w:szCs w:val="18"/>
              </w:rPr>
            </w:pPr>
            <w:r w:rsidRPr="00BF555E">
              <w:rPr>
                <w:rFonts w:cs="Times New Roman"/>
                <w:b/>
                <w:noProof/>
                <w:sz w:val="18"/>
                <w:szCs w:val="18"/>
              </w:rPr>
              <w:t xml:space="preserve">Rādītājs </w:t>
            </w:r>
          </w:p>
        </w:tc>
        <w:tc>
          <w:tcPr>
            <w:tcW w:w="459" w:type="pct"/>
            <w:shd w:val="clear" w:color="auto" w:fill="D9D9D9" w:themeFill="background1" w:themeFillShade="D9"/>
            <w:vAlign w:val="center"/>
          </w:tcPr>
          <w:p w14:paraId="521B994E" w14:textId="77777777" w:rsidR="00340D0B" w:rsidRPr="00BF555E" w:rsidRDefault="00340D0B" w:rsidP="003155B0">
            <w:pPr>
              <w:pStyle w:val="Text1"/>
              <w:spacing w:before="0" w:after="0"/>
              <w:ind w:left="0"/>
              <w:jc w:val="center"/>
              <w:rPr>
                <w:rFonts w:cs="Times New Roman"/>
                <w:b/>
                <w:noProof/>
                <w:sz w:val="18"/>
                <w:szCs w:val="18"/>
              </w:rPr>
            </w:pPr>
            <w:r w:rsidRPr="00BF555E">
              <w:rPr>
                <w:rFonts w:cs="Times New Roman"/>
                <w:b/>
                <w:noProof/>
                <w:sz w:val="18"/>
                <w:szCs w:val="18"/>
              </w:rPr>
              <w:t>Mērvienība</w:t>
            </w:r>
          </w:p>
        </w:tc>
        <w:tc>
          <w:tcPr>
            <w:tcW w:w="371" w:type="pct"/>
            <w:shd w:val="clear" w:color="auto" w:fill="D9D9D9" w:themeFill="background1" w:themeFillShade="D9"/>
            <w:vAlign w:val="center"/>
          </w:tcPr>
          <w:p w14:paraId="07D51570" w14:textId="77777777" w:rsidR="00340D0B" w:rsidRPr="00BF555E" w:rsidRDefault="00340D0B" w:rsidP="003155B0">
            <w:pPr>
              <w:pStyle w:val="Text1"/>
              <w:spacing w:before="0" w:after="0"/>
              <w:ind w:left="0"/>
              <w:jc w:val="center"/>
              <w:rPr>
                <w:rFonts w:cs="Times New Roman"/>
                <w:b/>
                <w:noProof/>
                <w:sz w:val="18"/>
                <w:szCs w:val="18"/>
              </w:rPr>
            </w:pPr>
            <w:r w:rsidRPr="00BF555E">
              <w:rPr>
                <w:rFonts w:cs="Times New Roman"/>
                <w:b/>
                <w:noProof/>
                <w:sz w:val="18"/>
                <w:szCs w:val="18"/>
              </w:rPr>
              <w:t>Sākotnējā vērtība</w:t>
            </w:r>
          </w:p>
        </w:tc>
        <w:tc>
          <w:tcPr>
            <w:tcW w:w="434" w:type="pct"/>
            <w:shd w:val="clear" w:color="auto" w:fill="D9D9D9" w:themeFill="background1" w:themeFillShade="D9"/>
            <w:vAlign w:val="center"/>
          </w:tcPr>
          <w:p w14:paraId="14A423D6" w14:textId="77777777" w:rsidR="00340D0B" w:rsidRPr="00BF555E" w:rsidRDefault="00340D0B" w:rsidP="003155B0">
            <w:pPr>
              <w:pStyle w:val="Text1"/>
              <w:spacing w:before="0" w:after="0"/>
              <w:ind w:left="0"/>
              <w:jc w:val="center"/>
              <w:rPr>
                <w:rFonts w:cs="Times New Roman"/>
                <w:b/>
                <w:noProof/>
                <w:sz w:val="18"/>
                <w:szCs w:val="18"/>
              </w:rPr>
            </w:pPr>
            <w:r w:rsidRPr="00BF555E">
              <w:rPr>
                <w:rFonts w:cs="Times New Roman"/>
                <w:b/>
                <w:noProof/>
                <w:sz w:val="18"/>
                <w:szCs w:val="18"/>
              </w:rPr>
              <w:t>Sākotnējās vērtības gads</w:t>
            </w:r>
          </w:p>
        </w:tc>
        <w:tc>
          <w:tcPr>
            <w:tcW w:w="493" w:type="pct"/>
            <w:shd w:val="clear" w:color="auto" w:fill="D9D9D9" w:themeFill="background1" w:themeFillShade="D9"/>
            <w:vAlign w:val="center"/>
          </w:tcPr>
          <w:p w14:paraId="77FF7A6B" w14:textId="77777777" w:rsidR="00340D0B" w:rsidRPr="00BF555E" w:rsidRDefault="00340D0B" w:rsidP="003155B0">
            <w:pPr>
              <w:pStyle w:val="Text1"/>
              <w:spacing w:before="0" w:after="0"/>
              <w:ind w:left="0"/>
              <w:jc w:val="center"/>
              <w:rPr>
                <w:rFonts w:cs="Times New Roman"/>
                <w:b/>
                <w:noProof/>
                <w:sz w:val="18"/>
                <w:szCs w:val="18"/>
              </w:rPr>
            </w:pPr>
            <w:r w:rsidRPr="00BF555E">
              <w:rPr>
                <w:rFonts w:cs="Times New Roman"/>
                <w:b/>
                <w:noProof/>
                <w:sz w:val="18"/>
                <w:szCs w:val="18"/>
              </w:rPr>
              <w:t>Plānotā vērtība (2029)</w:t>
            </w:r>
          </w:p>
          <w:p w14:paraId="1F08451F" w14:textId="77777777" w:rsidR="00340D0B" w:rsidRPr="00BF555E" w:rsidRDefault="00340D0B" w:rsidP="003155B0">
            <w:pPr>
              <w:pStyle w:val="Text1"/>
              <w:spacing w:before="0" w:after="0"/>
              <w:ind w:left="0"/>
              <w:jc w:val="center"/>
              <w:rPr>
                <w:rFonts w:cs="Times New Roman"/>
                <w:b/>
                <w:noProof/>
                <w:sz w:val="18"/>
                <w:szCs w:val="18"/>
              </w:rPr>
            </w:pPr>
          </w:p>
        </w:tc>
        <w:tc>
          <w:tcPr>
            <w:tcW w:w="483" w:type="pct"/>
            <w:shd w:val="clear" w:color="auto" w:fill="D9D9D9" w:themeFill="background1" w:themeFillShade="D9"/>
            <w:vAlign w:val="center"/>
          </w:tcPr>
          <w:p w14:paraId="1B507F9E" w14:textId="77777777" w:rsidR="00340D0B" w:rsidRPr="00BF555E" w:rsidRDefault="00340D0B" w:rsidP="003155B0">
            <w:pPr>
              <w:pStyle w:val="Text1"/>
              <w:spacing w:before="0" w:after="0"/>
              <w:ind w:left="0"/>
              <w:jc w:val="center"/>
              <w:rPr>
                <w:rFonts w:cs="Times New Roman"/>
                <w:b/>
                <w:noProof/>
                <w:sz w:val="18"/>
                <w:szCs w:val="18"/>
              </w:rPr>
            </w:pPr>
            <w:r w:rsidRPr="00BF555E">
              <w:rPr>
                <w:rFonts w:cs="Times New Roman"/>
                <w:b/>
                <w:noProof/>
                <w:sz w:val="18"/>
                <w:szCs w:val="18"/>
              </w:rPr>
              <w:t>Datu avots [200]</w:t>
            </w:r>
          </w:p>
        </w:tc>
        <w:tc>
          <w:tcPr>
            <w:tcW w:w="454" w:type="pct"/>
            <w:shd w:val="clear" w:color="auto" w:fill="D9D9D9" w:themeFill="background1" w:themeFillShade="D9"/>
            <w:vAlign w:val="center"/>
          </w:tcPr>
          <w:p w14:paraId="7A3CA391" w14:textId="77777777" w:rsidR="00340D0B" w:rsidRPr="00BF555E" w:rsidRDefault="00340D0B" w:rsidP="003155B0">
            <w:pPr>
              <w:pStyle w:val="Text1"/>
              <w:spacing w:before="0" w:after="0"/>
              <w:ind w:left="0"/>
              <w:jc w:val="center"/>
              <w:rPr>
                <w:rFonts w:cs="Times New Roman"/>
                <w:b/>
                <w:noProof/>
                <w:sz w:val="18"/>
                <w:szCs w:val="18"/>
              </w:rPr>
            </w:pPr>
            <w:r w:rsidRPr="00BF555E">
              <w:rPr>
                <w:rFonts w:cs="Times New Roman"/>
                <w:b/>
                <w:noProof/>
                <w:sz w:val="18"/>
                <w:szCs w:val="18"/>
              </w:rPr>
              <w:t xml:space="preserve">Komentāri </w:t>
            </w:r>
          </w:p>
          <w:p w14:paraId="035BE359" w14:textId="77777777" w:rsidR="00340D0B" w:rsidRPr="00BF555E" w:rsidRDefault="00340D0B" w:rsidP="003155B0">
            <w:pPr>
              <w:pStyle w:val="Text1"/>
              <w:spacing w:before="0" w:after="0"/>
              <w:ind w:left="0"/>
              <w:jc w:val="center"/>
              <w:rPr>
                <w:rFonts w:cs="Times New Roman"/>
                <w:b/>
                <w:noProof/>
                <w:sz w:val="18"/>
                <w:szCs w:val="18"/>
              </w:rPr>
            </w:pPr>
            <w:r w:rsidRPr="00BF555E">
              <w:rPr>
                <w:rFonts w:cs="Times New Roman"/>
                <w:b/>
                <w:noProof/>
                <w:sz w:val="18"/>
                <w:szCs w:val="18"/>
              </w:rPr>
              <w:t>[200]</w:t>
            </w:r>
          </w:p>
        </w:tc>
      </w:tr>
      <w:tr w:rsidR="00340D0B" w:rsidRPr="00BF555E" w14:paraId="0EE4F0E7" w14:textId="77777777" w:rsidTr="006624B3">
        <w:trPr>
          <w:trHeight w:val="286"/>
        </w:trPr>
        <w:tc>
          <w:tcPr>
            <w:tcW w:w="453" w:type="pct"/>
          </w:tcPr>
          <w:p w14:paraId="251E349E" w14:textId="77777777" w:rsidR="00340D0B" w:rsidRPr="00085468" w:rsidRDefault="00340D0B" w:rsidP="003155B0">
            <w:pPr>
              <w:pStyle w:val="Text1"/>
              <w:spacing w:before="0" w:after="0"/>
              <w:ind w:left="0"/>
              <w:rPr>
                <w:rFonts w:cs="Times New Roman"/>
                <w:noProof/>
                <w:sz w:val="18"/>
                <w:szCs w:val="18"/>
              </w:rPr>
            </w:pPr>
            <w:r w:rsidRPr="00320A32">
              <w:rPr>
                <w:rFonts w:cs="Times New Roman"/>
                <w:noProof/>
                <w:sz w:val="18"/>
                <w:szCs w:val="18"/>
              </w:rPr>
              <w:t>3.1.prioritāte</w:t>
            </w:r>
          </w:p>
        </w:tc>
        <w:tc>
          <w:tcPr>
            <w:tcW w:w="410" w:type="pct"/>
          </w:tcPr>
          <w:p w14:paraId="12D55F8D" w14:textId="77777777" w:rsidR="00340D0B" w:rsidRPr="00085468" w:rsidRDefault="00340D0B" w:rsidP="003155B0">
            <w:pPr>
              <w:pStyle w:val="Text1"/>
              <w:spacing w:before="0" w:after="0"/>
              <w:ind w:left="0"/>
              <w:rPr>
                <w:rFonts w:cs="Times New Roman"/>
                <w:noProof/>
                <w:sz w:val="18"/>
                <w:szCs w:val="18"/>
              </w:rPr>
            </w:pPr>
            <w:r w:rsidRPr="00320A32">
              <w:rPr>
                <w:rFonts w:cs="Times New Roman"/>
                <w:noProof/>
                <w:sz w:val="18"/>
                <w:szCs w:val="18"/>
              </w:rPr>
              <w:t>3.1.1.SAM</w:t>
            </w:r>
          </w:p>
        </w:tc>
        <w:tc>
          <w:tcPr>
            <w:tcW w:w="298" w:type="pct"/>
          </w:tcPr>
          <w:p w14:paraId="1EBF6902" w14:textId="77777777" w:rsidR="00340D0B" w:rsidRPr="00085468" w:rsidRDefault="00340D0B" w:rsidP="003155B0">
            <w:pPr>
              <w:pStyle w:val="Text1"/>
              <w:spacing w:before="0" w:after="0"/>
              <w:ind w:left="0"/>
              <w:rPr>
                <w:rFonts w:cs="Times New Roman"/>
                <w:noProof/>
                <w:sz w:val="18"/>
                <w:szCs w:val="18"/>
              </w:rPr>
            </w:pPr>
            <w:r w:rsidRPr="00320A32">
              <w:rPr>
                <w:rFonts w:cs="Times New Roman"/>
                <w:noProof/>
                <w:sz w:val="18"/>
                <w:szCs w:val="18"/>
              </w:rPr>
              <w:t>KF</w:t>
            </w:r>
          </w:p>
        </w:tc>
        <w:tc>
          <w:tcPr>
            <w:tcW w:w="355" w:type="pct"/>
          </w:tcPr>
          <w:p w14:paraId="302C41D4" w14:textId="77777777" w:rsidR="00340D0B" w:rsidRPr="00085468" w:rsidRDefault="00340D0B" w:rsidP="003155B0">
            <w:pPr>
              <w:pStyle w:val="Text1"/>
              <w:spacing w:before="0" w:after="0"/>
              <w:ind w:left="0"/>
              <w:rPr>
                <w:rFonts w:cs="Times New Roman"/>
                <w:sz w:val="18"/>
                <w:szCs w:val="18"/>
              </w:rPr>
            </w:pPr>
            <w:r w:rsidRPr="00320A32">
              <w:rPr>
                <w:rFonts w:cs="Times New Roman"/>
                <w:sz w:val="18"/>
                <w:szCs w:val="18"/>
              </w:rPr>
              <w:t>RCR 56</w:t>
            </w:r>
          </w:p>
        </w:tc>
        <w:tc>
          <w:tcPr>
            <w:tcW w:w="789" w:type="pct"/>
            <w:shd w:val="clear" w:color="auto" w:fill="auto"/>
          </w:tcPr>
          <w:p w14:paraId="2CE61C29" w14:textId="77777777" w:rsidR="00340D0B" w:rsidRPr="00085468" w:rsidRDefault="00340D0B" w:rsidP="003155B0">
            <w:pPr>
              <w:pStyle w:val="Text1"/>
              <w:spacing w:before="0" w:after="0"/>
              <w:ind w:left="0"/>
              <w:rPr>
                <w:rFonts w:cs="Times New Roman"/>
                <w:sz w:val="18"/>
                <w:szCs w:val="18"/>
              </w:rPr>
            </w:pPr>
            <w:r w:rsidRPr="00320A32">
              <w:rPr>
                <w:rFonts w:cs="Times New Roman"/>
                <w:sz w:val="18"/>
                <w:szCs w:val="18"/>
              </w:rPr>
              <w:t>Laika ietaupījums no uzlabotas autoceļu infrastruktūras</w:t>
            </w:r>
          </w:p>
        </w:tc>
        <w:tc>
          <w:tcPr>
            <w:tcW w:w="459" w:type="pct"/>
          </w:tcPr>
          <w:p w14:paraId="12D328F0" w14:textId="77777777" w:rsidR="00340D0B" w:rsidRPr="00085468" w:rsidRDefault="00340D0B" w:rsidP="003155B0">
            <w:pPr>
              <w:pStyle w:val="Text1"/>
              <w:spacing w:before="0" w:after="0"/>
              <w:ind w:left="0"/>
              <w:rPr>
                <w:rFonts w:cs="Times New Roman"/>
                <w:noProof/>
                <w:sz w:val="18"/>
                <w:szCs w:val="18"/>
              </w:rPr>
            </w:pPr>
            <w:r w:rsidRPr="00320A32">
              <w:rPr>
                <w:rFonts w:cs="Times New Roman"/>
                <w:noProof/>
                <w:sz w:val="18"/>
                <w:szCs w:val="18"/>
              </w:rPr>
              <w:t>Dienas / gadā</w:t>
            </w:r>
          </w:p>
        </w:tc>
        <w:tc>
          <w:tcPr>
            <w:tcW w:w="371" w:type="pct"/>
          </w:tcPr>
          <w:p w14:paraId="49D64312" w14:textId="77777777" w:rsidR="00340D0B" w:rsidRPr="00085468" w:rsidRDefault="00340D0B" w:rsidP="003155B0">
            <w:pPr>
              <w:pStyle w:val="Text1"/>
              <w:spacing w:before="0" w:after="0"/>
              <w:ind w:left="0"/>
              <w:rPr>
                <w:rFonts w:cs="Times New Roman"/>
                <w:noProof/>
                <w:sz w:val="18"/>
                <w:szCs w:val="18"/>
              </w:rPr>
            </w:pPr>
            <w:r w:rsidRPr="00320A32">
              <w:rPr>
                <w:rFonts w:cs="Times New Roman"/>
                <w:noProof/>
                <w:sz w:val="18"/>
                <w:szCs w:val="18"/>
              </w:rPr>
              <w:t>0</w:t>
            </w:r>
          </w:p>
        </w:tc>
        <w:tc>
          <w:tcPr>
            <w:tcW w:w="434" w:type="pct"/>
          </w:tcPr>
          <w:p w14:paraId="3BD7F91C" w14:textId="77777777" w:rsidR="00340D0B" w:rsidRPr="00085468" w:rsidRDefault="00340D0B" w:rsidP="003155B0">
            <w:pPr>
              <w:pStyle w:val="Text1"/>
              <w:spacing w:before="0" w:after="0"/>
              <w:ind w:left="0"/>
              <w:rPr>
                <w:rFonts w:cs="Times New Roman"/>
                <w:noProof/>
                <w:sz w:val="18"/>
                <w:szCs w:val="18"/>
              </w:rPr>
            </w:pPr>
            <w:r w:rsidRPr="00320A32">
              <w:rPr>
                <w:rFonts w:cs="Times New Roman"/>
                <w:noProof/>
                <w:sz w:val="18"/>
                <w:szCs w:val="18"/>
              </w:rPr>
              <w:t>2020</w:t>
            </w:r>
          </w:p>
        </w:tc>
        <w:tc>
          <w:tcPr>
            <w:tcW w:w="493" w:type="pct"/>
            <w:shd w:val="clear" w:color="auto" w:fill="auto"/>
          </w:tcPr>
          <w:p w14:paraId="677C6C67" w14:textId="77777777" w:rsidR="00340D0B" w:rsidRPr="00085468" w:rsidRDefault="00340D0B" w:rsidP="003155B0">
            <w:pPr>
              <w:pStyle w:val="Text1"/>
              <w:spacing w:before="0" w:after="0"/>
              <w:ind w:left="0"/>
              <w:jc w:val="center"/>
              <w:rPr>
                <w:rFonts w:cs="Times New Roman"/>
                <w:noProof/>
                <w:sz w:val="18"/>
                <w:szCs w:val="18"/>
              </w:rPr>
            </w:pPr>
            <w:r w:rsidRPr="00320A32">
              <w:rPr>
                <w:rFonts w:cs="Times New Roman"/>
                <w:noProof/>
                <w:sz w:val="18"/>
                <w:szCs w:val="18"/>
              </w:rPr>
              <w:t>6 dienas / gadā</w:t>
            </w:r>
          </w:p>
        </w:tc>
        <w:tc>
          <w:tcPr>
            <w:tcW w:w="483" w:type="pct"/>
            <w:shd w:val="clear" w:color="auto" w:fill="auto"/>
          </w:tcPr>
          <w:p w14:paraId="2B57A554" w14:textId="77777777" w:rsidR="00340D0B" w:rsidRPr="00085468" w:rsidRDefault="00340D0B" w:rsidP="003155B0">
            <w:pPr>
              <w:pStyle w:val="Text1"/>
              <w:spacing w:before="0" w:after="0"/>
              <w:ind w:left="0"/>
            </w:pPr>
            <w:r w:rsidRPr="00320A32">
              <w:rPr>
                <w:rFonts w:cs="Times New Roman"/>
                <w:noProof/>
                <w:sz w:val="18"/>
                <w:szCs w:val="18"/>
              </w:rPr>
              <w:t>Projektu dati</w:t>
            </w:r>
          </w:p>
        </w:tc>
        <w:tc>
          <w:tcPr>
            <w:tcW w:w="454" w:type="pct"/>
          </w:tcPr>
          <w:p w14:paraId="5C6E4F4C" w14:textId="77777777" w:rsidR="00340D0B" w:rsidRPr="00BF555E" w:rsidRDefault="00340D0B" w:rsidP="003155B0">
            <w:pPr>
              <w:spacing w:before="0" w:after="0"/>
              <w:rPr>
                <w:noProof/>
                <w:sz w:val="18"/>
                <w:szCs w:val="18"/>
              </w:rPr>
            </w:pPr>
          </w:p>
        </w:tc>
      </w:tr>
      <w:tr w:rsidR="00340D0B" w:rsidRPr="00BF555E" w14:paraId="6DC2BF82" w14:textId="77777777" w:rsidTr="006624B3">
        <w:trPr>
          <w:trHeight w:val="286"/>
        </w:trPr>
        <w:tc>
          <w:tcPr>
            <w:tcW w:w="453" w:type="pct"/>
          </w:tcPr>
          <w:p w14:paraId="7FFA7CAB" w14:textId="77777777" w:rsidR="00340D0B" w:rsidRPr="00085468" w:rsidRDefault="00340D0B" w:rsidP="003155B0">
            <w:pPr>
              <w:pStyle w:val="Text1"/>
              <w:spacing w:before="0" w:after="0"/>
              <w:ind w:left="0"/>
              <w:rPr>
                <w:rFonts w:cs="Times New Roman"/>
                <w:noProof/>
                <w:sz w:val="18"/>
                <w:szCs w:val="18"/>
              </w:rPr>
            </w:pPr>
            <w:r w:rsidRPr="00320A32">
              <w:rPr>
                <w:rFonts w:cs="Times New Roman"/>
                <w:noProof/>
                <w:sz w:val="18"/>
                <w:szCs w:val="18"/>
              </w:rPr>
              <w:t>3.1.prioritāte</w:t>
            </w:r>
          </w:p>
        </w:tc>
        <w:tc>
          <w:tcPr>
            <w:tcW w:w="410" w:type="pct"/>
          </w:tcPr>
          <w:p w14:paraId="478DB983" w14:textId="77777777" w:rsidR="00340D0B" w:rsidRPr="00085468" w:rsidRDefault="00340D0B" w:rsidP="003155B0">
            <w:pPr>
              <w:pStyle w:val="Text1"/>
              <w:spacing w:before="0" w:after="0"/>
              <w:ind w:left="0"/>
              <w:rPr>
                <w:rFonts w:cs="Times New Roman"/>
                <w:noProof/>
                <w:sz w:val="18"/>
                <w:szCs w:val="18"/>
              </w:rPr>
            </w:pPr>
            <w:r w:rsidRPr="00320A32">
              <w:rPr>
                <w:rFonts w:cs="Times New Roman"/>
                <w:noProof/>
                <w:sz w:val="18"/>
                <w:szCs w:val="18"/>
              </w:rPr>
              <w:t>3.1.2.SAM</w:t>
            </w:r>
          </w:p>
        </w:tc>
        <w:tc>
          <w:tcPr>
            <w:tcW w:w="298" w:type="pct"/>
          </w:tcPr>
          <w:p w14:paraId="2312A724" w14:textId="77777777" w:rsidR="00340D0B" w:rsidRPr="00085468" w:rsidRDefault="00340D0B" w:rsidP="003155B0">
            <w:pPr>
              <w:pStyle w:val="Text1"/>
              <w:spacing w:before="0" w:after="0"/>
              <w:ind w:left="0"/>
              <w:rPr>
                <w:rFonts w:cs="Times New Roman"/>
                <w:noProof/>
                <w:sz w:val="18"/>
                <w:szCs w:val="18"/>
              </w:rPr>
            </w:pPr>
            <w:r>
              <w:rPr>
                <w:rFonts w:cs="Times New Roman"/>
                <w:noProof/>
                <w:sz w:val="18"/>
                <w:szCs w:val="18"/>
              </w:rPr>
              <w:t>KF</w:t>
            </w:r>
          </w:p>
        </w:tc>
        <w:tc>
          <w:tcPr>
            <w:tcW w:w="355" w:type="pct"/>
          </w:tcPr>
          <w:p w14:paraId="1DA2CDAC" w14:textId="77777777" w:rsidR="00340D0B" w:rsidRPr="00085468" w:rsidRDefault="00340D0B" w:rsidP="003155B0">
            <w:pPr>
              <w:pStyle w:val="Text1"/>
              <w:spacing w:before="0" w:after="0"/>
              <w:ind w:left="0"/>
              <w:rPr>
                <w:rFonts w:cs="Times New Roman"/>
                <w:sz w:val="18"/>
                <w:szCs w:val="18"/>
              </w:rPr>
            </w:pPr>
            <w:r w:rsidRPr="00320A32">
              <w:rPr>
                <w:rFonts w:cs="Times New Roman"/>
                <w:sz w:val="18"/>
                <w:szCs w:val="18"/>
              </w:rPr>
              <w:t>RCR 56</w:t>
            </w:r>
          </w:p>
        </w:tc>
        <w:tc>
          <w:tcPr>
            <w:tcW w:w="789" w:type="pct"/>
            <w:shd w:val="clear" w:color="auto" w:fill="auto"/>
          </w:tcPr>
          <w:p w14:paraId="09B8FECD" w14:textId="77777777" w:rsidR="00340D0B" w:rsidRPr="00085468" w:rsidRDefault="00340D0B" w:rsidP="003155B0">
            <w:pPr>
              <w:pStyle w:val="Text1"/>
              <w:spacing w:before="0" w:after="0"/>
              <w:ind w:left="0"/>
              <w:rPr>
                <w:rFonts w:cs="Times New Roman"/>
                <w:sz w:val="18"/>
                <w:szCs w:val="18"/>
              </w:rPr>
            </w:pPr>
            <w:r w:rsidRPr="00320A32">
              <w:rPr>
                <w:rFonts w:cs="Times New Roman"/>
                <w:sz w:val="18"/>
                <w:szCs w:val="18"/>
              </w:rPr>
              <w:t>Laika ietaupījums no uzlabotas autoceļu infrastruktūras</w:t>
            </w:r>
          </w:p>
        </w:tc>
        <w:tc>
          <w:tcPr>
            <w:tcW w:w="459" w:type="pct"/>
          </w:tcPr>
          <w:p w14:paraId="1913C49C" w14:textId="77777777" w:rsidR="00340D0B" w:rsidRPr="00085468" w:rsidRDefault="00340D0B" w:rsidP="003155B0">
            <w:pPr>
              <w:pStyle w:val="Text1"/>
              <w:spacing w:before="0" w:after="0"/>
              <w:ind w:left="0"/>
              <w:rPr>
                <w:rFonts w:cs="Times New Roman"/>
                <w:noProof/>
                <w:sz w:val="18"/>
                <w:szCs w:val="18"/>
              </w:rPr>
            </w:pPr>
            <w:r w:rsidRPr="00320A32">
              <w:rPr>
                <w:rFonts w:cs="Times New Roman"/>
                <w:noProof/>
                <w:sz w:val="18"/>
                <w:szCs w:val="18"/>
              </w:rPr>
              <w:t>Dienas / gadā</w:t>
            </w:r>
          </w:p>
        </w:tc>
        <w:tc>
          <w:tcPr>
            <w:tcW w:w="371" w:type="pct"/>
          </w:tcPr>
          <w:p w14:paraId="266A48C0" w14:textId="77777777" w:rsidR="00340D0B" w:rsidRPr="00085468" w:rsidRDefault="00340D0B" w:rsidP="003155B0">
            <w:pPr>
              <w:pStyle w:val="Text1"/>
              <w:spacing w:before="0" w:after="0"/>
              <w:ind w:left="0"/>
              <w:rPr>
                <w:rFonts w:cs="Times New Roman"/>
                <w:noProof/>
                <w:sz w:val="18"/>
                <w:szCs w:val="18"/>
              </w:rPr>
            </w:pPr>
            <w:r w:rsidRPr="00320A32">
              <w:rPr>
                <w:rFonts w:cs="Times New Roman"/>
                <w:noProof/>
                <w:sz w:val="18"/>
                <w:szCs w:val="18"/>
              </w:rPr>
              <w:t>0</w:t>
            </w:r>
          </w:p>
        </w:tc>
        <w:tc>
          <w:tcPr>
            <w:tcW w:w="434" w:type="pct"/>
          </w:tcPr>
          <w:p w14:paraId="5675AA71" w14:textId="77777777" w:rsidR="00340D0B" w:rsidRPr="00085468" w:rsidRDefault="00340D0B" w:rsidP="003155B0">
            <w:pPr>
              <w:pStyle w:val="Text1"/>
              <w:spacing w:before="0" w:after="0"/>
              <w:ind w:left="0"/>
              <w:rPr>
                <w:rFonts w:cs="Times New Roman"/>
                <w:noProof/>
                <w:sz w:val="18"/>
                <w:szCs w:val="18"/>
              </w:rPr>
            </w:pPr>
            <w:r w:rsidRPr="00320A32">
              <w:rPr>
                <w:rFonts w:cs="Times New Roman"/>
                <w:noProof/>
                <w:sz w:val="18"/>
                <w:szCs w:val="18"/>
              </w:rPr>
              <w:t>2020</w:t>
            </w:r>
          </w:p>
        </w:tc>
        <w:tc>
          <w:tcPr>
            <w:tcW w:w="493" w:type="pct"/>
            <w:shd w:val="clear" w:color="auto" w:fill="auto"/>
          </w:tcPr>
          <w:p w14:paraId="7B188FD5" w14:textId="77777777" w:rsidR="00340D0B" w:rsidRPr="00085468" w:rsidRDefault="00340D0B" w:rsidP="003155B0">
            <w:pPr>
              <w:pStyle w:val="Text1"/>
              <w:spacing w:before="0" w:after="0"/>
              <w:ind w:left="0"/>
              <w:jc w:val="center"/>
              <w:rPr>
                <w:rFonts w:cs="Times New Roman"/>
                <w:noProof/>
                <w:sz w:val="18"/>
                <w:szCs w:val="18"/>
              </w:rPr>
            </w:pPr>
            <w:r w:rsidRPr="00320A32">
              <w:rPr>
                <w:rFonts w:cs="Times New Roman"/>
                <w:noProof/>
                <w:sz w:val="18"/>
                <w:szCs w:val="18"/>
              </w:rPr>
              <w:t>3 dienas / gadā</w:t>
            </w:r>
          </w:p>
        </w:tc>
        <w:tc>
          <w:tcPr>
            <w:tcW w:w="483" w:type="pct"/>
            <w:shd w:val="clear" w:color="auto" w:fill="auto"/>
          </w:tcPr>
          <w:p w14:paraId="7852D5F6" w14:textId="77777777" w:rsidR="00340D0B" w:rsidRPr="00085468" w:rsidRDefault="00340D0B" w:rsidP="003155B0">
            <w:pPr>
              <w:pStyle w:val="Text1"/>
              <w:spacing w:before="0" w:after="0"/>
              <w:ind w:left="0"/>
            </w:pPr>
            <w:r w:rsidRPr="00320A32">
              <w:rPr>
                <w:rFonts w:cs="Times New Roman"/>
                <w:noProof/>
                <w:sz w:val="18"/>
                <w:szCs w:val="18"/>
              </w:rPr>
              <w:t>Projektu dati</w:t>
            </w:r>
          </w:p>
        </w:tc>
        <w:tc>
          <w:tcPr>
            <w:tcW w:w="454" w:type="pct"/>
          </w:tcPr>
          <w:p w14:paraId="1CE73AAD" w14:textId="77777777" w:rsidR="00340D0B" w:rsidRPr="00BF555E" w:rsidRDefault="00340D0B" w:rsidP="003155B0">
            <w:pPr>
              <w:spacing w:before="0" w:after="0"/>
              <w:rPr>
                <w:noProof/>
                <w:sz w:val="18"/>
                <w:szCs w:val="18"/>
              </w:rPr>
            </w:pPr>
          </w:p>
        </w:tc>
      </w:tr>
      <w:tr w:rsidR="00340D0B" w:rsidRPr="00BF555E" w14:paraId="77260EFA" w14:textId="77777777" w:rsidTr="006624B3">
        <w:trPr>
          <w:trHeight w:val="286"/>
        </w:trPr>
        <w:tc>
          <w:tcPr>
            <w:tcW w:w="453" w:type="pct"/>
          </w:tcPr>
          <w:p w14:paraId="6339D510"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3.1.prioritāte</w:t>
            </w:r>
          </w:p>
        </w:tc>
        <w:tc>
          <w:tcPr>
            <w:tcW w:w="410" w:type="pct"/>
          </w:tcPr>
          <w:p w14:paraId="3CAFA3F3"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3.1.1.SAM</w:t>
            </w:r>
          </w:p>
        </w:tc>
        <w:tc>
          <w:tcPr>
            <w:tcW w:w="298" w:type="pct"/>
          </w:tcPr>
          <w:p w14:paraId="393172A6" w14:textId="77777777" w:rsidR="00340D0B" w:rsidRPr="00BF555E" w:rsidRDefault="00340D0B" w:rsidP="003155B0">
            <w:pPr>
              <w:pStyle w:val="Text1"/>
              <w:spacing w:before="0" w:after="0"/>
              <w:ind w:left="0"/>
              <w:rPr>
                <w:rFonts w:cs="Times New Roman"/>
                <w:noProof/>
                <w:sz w:val="18"/>
                <w:szCs w:val="18"/>
              </w:rPr>
            </w:pPr>
            <w:r>
              <w:rPr>
                <w:rFonts w:cs="Times New Roman"/>
                <w:noProof/>
                <w:sz w:val="18"/>
                <w:szCs w:val="18"/>
              </w:rPr>
              <w:t>KF</w:t>
            </w:r>
          </w:p>
        </w:tc>
        <w:tc>
          <w:tcPr>
            <w:tcW w:w="355" w:type="pct"/>
          </w:tcPr>
          <w:p w14:paraId="39082E2F" w14:textId="77777777" w:rsidR="00340D0B" w:rsidRPr="00BF555E" w:rsidRDefault="00340D0B" w:rsidP="003155B0">
            <w:pPr>
              <w:pStyle w:val="Text1"/>
              <w:spacing w:before="0" w:after="0"/>
              <w:ind w:left="0"/>
              <w:rPr>
                <w:rFonts w:cs="Times New Roman"/>
                <w:noProof/>
                <w:sz w:val="18"/>
                <w:szCs w:val="18"/>
              </w:rPr>
            </w:pPr>
            <w:r w:rsidRPr="00BF555E">
              <w:rPr>
                <w:rFonts w:cs="Times New Roman"/>
                <w:sz w:val="18"/>
                <w:szCs w:val="18"/>
              </w:rPr>
              <w:t>RCR 101</w:t>
            </w:r>
          </w:p>
        </w:tc>
        <w:tc>
          <w:tcPr>
            <w:tcW w:w="789" w:type="pct"/>
            <w:shd w:val="clear" w:color="auto" w:fill="auto"/>
          </w:tcPr>
          <w:p w14:paraId="09E09FCA" w14:textId="77777777" w:rsidR="00340D0B" w:rsidRPr="00BF555E" w:rsidRDefault="00340D0B" w:rsidP="003155B0">
            <w:pPr>
              <w:pStyle w:val="Text1"/>
              <w:spacing w:before="0" w:after="0"/>
              <w:ind w:left="0"/>
              <w:rPr>
                <w:rFonts w:cs="Times New Roman"/>
                <w:noProof/>
                <w:sz w:val="18"/>
                <w:szCs w:val="18"/>
              </w:rPr>
            </w:pPr>
            <w:r w:rsidRPr="00BF555E">
              <w:rPr>
                <w:rFonts w:cs="Times New Roman"/>
                <w:sz w:val="18"/>
                <w:szCs w:val="18"/>
              </w:rPr>
              <w:t>Laika ietaupījums, pateicoties uzlabotai dzelzceļa infrastruktūrai</w:t>
            </w:r>
          </w:p>
        </w:tc>
        <w:tc>
          <w:tcPr>
            <w:tcW w:w="459" w:type="pct"/>
          </w:tcPr>
          <w:p w14:paraId="095EAC47"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Dienas/gadā</w:t>
            </w:r>
          </w:p>
        </w:tc>
        <w:tc>
          <w:tcPr>
            <w:tcW w:w="371" w:type="pct"/>
          </w:tcPr>
          <w:p w14:paraId="1003D37F" w14:textId="77777777" w:rsidR="00340D0B" w:rsidRPr="00BF555E" w:rsidRDefault="00340D0B" w:rsidP="003155B0">
            <w:pPr>
              <w:pStyle w:val="Text1"/>
              <w:spacing w:before="0" w:after="0"/>
              <w:ind w:left="0"/>
              <w:rPr>
                <w:rFonts w:cs="Times New Roman"/>
                <w:noProof/>
                <w:sz w:val="18"/>
                <w:szCs w:val="18"/>
              </w:rPr>
            </w:pPr>
            <w:r>
              <w:rPr>
                <w:rFonts w:cs="Times New Roman"/>
                <w:noProof/>
                <w:sz w:val="18"/>
                <w:szCs w:val="18"/>
              </w:rPr>
              <w:t>0</w:t>
            </w:r>
          </w:p>
        </w:tc>
        <w:tc>
          <w:tcPr>
            <w:tcW w:w="434" w:type="pct"/>
          </w:tcPr>
          <w:p w14:paraId="7DD56F59" w14:textId="77777777" w:rsidR="00340D0B" w:rsidRPr="00BF555E" w:rsidRDefault="00340D0B" w:rsidP="003155B0">
            <w:pPr>
              <w:pStyle w:val="Text1"/>
              <w:spacing w:before="0" w:after="0"/>
              <w:ind w:left="0"/>
              <w:rPr>
                <w:rFonts w:cs="Times New Roman"/>
                <w:noProof/>
                <w:sz w:val="18"/>
                <w:szCs w:val="18"/>
              </w:rPr>
            </w:pPr>
            <w:r>
              <w:rPr>
                <w:rFonts w:cs="Times New Roman"/>
                <w:noProof/>
                <w:sz w:val="18"/>
                <w:szCs w:val="18"/>
              </w:rPr>
              <w:t>2020</w:t>
            </w:r>
          </w:p>
        </w:tc>
        <w:tc>
          <w:tcPr>
            <w:tcW w:w="493" w:type="pct"/>
            <w:shd w:val="clear" w:color="auto" w:fill="auto"/>
          </w:tcPr>
          <w:p w14:paraId="001D9CBA" w14:textId="77777777" w:rsidR="00340D0B" w:rsidRPr="00BF555E" w:rsidRDefault="00340D0B" w:rsidP="003155B0">
            <w:pPr>
              <w:pStyle w:val="Text1"/>
              <w:spacing w:before="0" w:after="0"/>
              <w:ind w:left="0"/>
              <w:jc w:val="center"/>
              <w:rPr>
                <w:rFonts w:cs="Times New Roman"/>
                <w:noProof/>
                <w:sz w:val="18"/>
                <w:szCs w:val="18"/>
              </w:rPr>
            </w:pPr>
            <w:r w:rsidRPr="00BF555E">
              <w:rPr>
                <w:rFonts w:cs="Times New Roman"/>
                <w:noProof/>
                <w:sz w:val="18"/>
                <w:szCs w:val="18"/>
              </w:rPr>
              <w:t xml:space="preserve"> </w:t>
            </w:r>
            <w:r w:rsidRPr="00BF555E">
              <w:rPr>
                <w:rFonts w:cs="Times New Roman"/>
                <w:noProof/>
                <w:sz w:val="18"/>
                <w:szCs w:val="18"/>
                <w:lang w:bidi="lv-LV"/>
              </w:rPr>
              <w:t>5 dienas/gadā (1 vilcienu pārim)*</w:t>
            </w:r>
          </w:p>
        </w:tc>
        <w:tc>
          <w:tcPr>
            <w:tcW w:w="483" w:type="pct"/>
            <w:shd w:val="clear" w:color="auto" w:fill="auto"/>
          </w:tcPr>
          <w:p w14:paraId="0B12348F" w14:textId="77777777" w:rsidR="00340D0B" w:rsidRPr="00BF555E" w:rsidRDefault="00340D0B" w:rsidP="003155B0">
            <w:pPr>
              <w:pStyle w:val="Text1"/>
              <w:spacing w:before="0" w:after="0"/>
              <w:ind w:left="0"/>
              <w:rPr>
                <w:rFonts w:cs="Times New Roman"/>
                <w:noProof/>
                <w:sz w:val="18"/>
                <w:szCs w:val="18"/>
              </w:rPr>
            </w:pPr>
            <w:r w:rsidRPr="00FC29FC">
              <w:rPr>
                <w:rFonts w:cs="Times New Roman"/>
                <w:noProof/>
                <w:sz w:val="18"/>
                <w:szCs w:val="18"/>
                <w:lang w:bidi="lv-LV"/>
              </w:rPr>
              <w:t>Valsts akciju sabiedrības “Latvijas dzelzceļš” publiskās lietošanas dzelzceļa infrastruktūras tīkla pārskats 2021Dzelzceļa tīklu pārskats 2020*</w:t>
            </w:r>
          </w:p>
        </w:tc>
        <w:tc>
          <w:tcPr>
            <w:tcW w:w="454" w:type="pct"/>
          </w:tcPr>
          <w:p w14:paraId="54771323" w14:textId="77777777" w:rsidR="00340D0B" w:rsidRPr="00BF555E" w:rsidRDefault="00340D0B" w:rsidP="003155B0">
            <w:pPr>
              <w:spacing w:before="0" w:after="0"/>
              <w:rPr>
                <w:noProof/>
                <w:sz w:val="18"/>
                <w:szCs w:val="18"/>
              </w:rPr>
            </w:pPr>
          </w:p>
        </w:tc>
      </w:tr>
    </w:tbl>
    <w:p w14:paraId="0A19859C" w14:textId="77777777" w:rsidR="00340D0B" w:rsidRPr="00930237" w:rsidRDefault="00340D0B" w:rsidP="00340D0B">
      <w:pPr>
        <w:spacing w:before="0" w:after="0"/>
        <w:rPr>
          <w:b/>
          <w:noProof/>
          <w:sz w:val="20"/>
        </w:rPr>
      </w:pPr>
    </w:p>
    <w:p w14:paraId="10275DA8" w14:textId="77777777" w:rsidR="00340D0B" w:rsidRPr="00930237" w:rsidRDefault="00340D0B" w:rsidP="00340D0B">
      <w:pPr>
        <w:spacing w:before="0" w:after="0"/>
        <w:rPr>
          <w:rFonts w:eastAsia="Times New Roman"/>
          <w:iCs/>
          <w:noProof/>
          <w:sz w:val="20"/>
        </w:rPr>
      </w:pPr>
      <w:r w:rsidRPr="00930237">
        <w:rPr>
          <w:rFonts w:eastAsia="Times New Roman"/>
          <w:iCs/>
          <w:noProof/>
          <w:sz w:val="20"/>
        </w:rPr>
        <w:t>* Rādītāju sasniedzamās vērtības tiks definētas, kad būs pieejami veikto izvērtējumu rezultāti, kā arī attiecīgo nozaru plānošanas dokumentu izstrādes un saskaņošanas ietvaros.</w:t>
      </w:r>
    </w:p>
    <w:p w14:paraId="5140C169" w14:textId="7A788D2C" w:rsidR="00340D0B" w:rsidRDefault="00340D0B">
      <w:pPr>
        <w:spacing w:before="0" w:after="0"/>
        <w:jc w:val="left"/>
        <w:rPr>
          <w:sz w:val="20"/>
        </w:rPr>
      </w:pPr>
      <w:r>
        <w:rPr>
          <w:sz w:val="20"/>
        </w:rPr>
        <w:br w:type="page"/>
      </w:r>
    </w:p>
    <w:p w14:paraId="5F50930D" w14:textId="77777777" w:rsidR="00340D0B" w:rsidRDefault="00340D0B" w:rsidP="006750B5">
      <w:pPr>
        <w:pStyle w:val="Heading3"/>
        <w:numPr>
          <w:ilvl w:val="0"/>
          <w:numId w:val="0"/>
        </w:numPr>
        <w:shd w:val="clear" w:color="auto" w:fill="FFF2CC" w:themeFill="accent4" w:themeFillTint="33"/>
        <w:spacing w:after="0"/>
        <w:rPr>
          <w:b/>
          <w:i w:val="0"/>
          <w:noProof/>
        </w:rPr>
        <w:sectPr w:rsidR="00340D0B" w:rsidSect="00340D0B">
          <w:pgSz w:w="16838" w:h="11906" w:orient="landscape" w:code="9"/>
          <w:pgMar w:top="1418" w:right="1418" w:bottom="1418" w:left="1418" w:header="567" w:footer="510" w:gutter="0"/>
          <w:cols w:space="708"/>
          <w:titlePg/>
          <w:docGrid w:linePitch="360"/>
        </w:sectPr>
      </w:pPr>
    </w:p>
    <w:p w14:paraId="38176C70" w14:textId="29C75690" w:rsidR="00AC212B" w:rsidRPr="006750B5" w:rsidRDefault="00AC212B" w:rsidP="006750B5">
      <w:pPr>
        <w:pStyle w:val="Heading3"/>
        <w:numPr>
          <w:ilvl w:val="0"/>
          <w:numId w:val="0"/>
        </w:numPr>
        <w:shd w:val="clear" w:color="auto" w:fill="FFF2CC" w:themeFill="accent4" w:themeFillTint="33"/>
        <w:spacing w:after="0"/>
        <w:rPr>
          <w:b/>
          <w:noProof/>
        </w:rPr>
      </w:pPr>
      <w:bookmarkStart w:id="30" w:name="_Toc69125417"/>
      <w:r w:rsidRPr="006750B5">
        <w:rPr>
          <w:b/>
          <w:i w:val="0"/>
          <w:noProof/>
        </w:rPr>
        <w:t>4.politikas mērķis “</w:t>
      </w:r>
      <w:r w:rsidR="00AA3948" w:rsidRPr="00AA3948">
        <w:rPr>
          <w:b/>
          <w:i w:val="0"/>
          <w:noProof/>
        </w:rPr>
        <w:t>Sociālāka un iekļaujošāka Eiropa, īstenojot Eiropas sociālo tiesību pīlāru</w:t>
      </w:r>
      <w:r w:rsidRPr="006750B5">
        <w:rPr>
          <w:b/>
          <w:i w:val="0"/>
          <w:noProof/>
        </w:rPr>
        <w:t>”</w:t>
      </w:r>
      <w:bookmarkEnd w:id="30"/>
    </w:p>
    <w:p w14:paraId="75A7D4A2" w14:textId="77777777" w:rsidR="00AC212B" w:rsidRPr="00C048EF" w:rsidRDefault="00AC212B" w:rsidP="006750B5">
      <w:pPr>
        <w:pStyle w:val="Normal1"/>
        <w:ind w:left="567"/>
        <w:rPr>
          <w:szCs w:val="24"/>
        </w:rPr>
      </w:pPr>
    </w:p>
    <w:p w14:paraId="429543C9" w14:textId="77777777" w:rsidR="00AC212B" w:rsidRPr="006750B5" w:rsidRDefault="00AC212B" w:rsidP="006750B5">
      <w:pPr>
        <w:pStyle w:val="Heading4"/>
        <w:numPr>
          <w:ilvl w:val="0"/>
          <w:numId w:val="0"/>
        </w:numPr>
        <w:shd w:val="clear" w:color="auto" w:fill="F7CAAC" w:themeFill="accent2" w:themeFillTint="66"/>
        <w:spacing w:after="0"/>
        <w:rPr>
          <w:b/>
          <w:bCs/>
          <w:noProof/>
          <w:shd w:val="clear" w:color="auto" w:fill="F7CAAC" w:themeFill="accent2" w:themeFillTint="66"/>
        </w:rPr>
      </w:pPr>
      <w:r w:rsidRPr="006750B5">
        <w:rPr>
          <w:b/>
          <w:bCs/>
          <w:noProof/>
          <w:shd w:val="clear" w:color="auto" w:fill="F7CAAC" w:themeFill="accent2" w:themeFillTint="66"/>
        </w:rPr>
        <w:t>4.1.Prioritāte “Veselības veicināšana un aprūpe”</w:t>
      </w:r>
    </w:p>
    <w:p w14:paraId="73565673" w14:textId="5FDA31A8" w:rsidR="00AC212B" w:rsidRPr="00E93A16" w:rsidRDefault="00AC212B" w:rsidP="00C048EF">
      <w:pPr>
        <w:pStyle w:val="Heading4"/>
        <w:numPr>
          <w:ilvl w:val="0"/>
          <w:numId w:val="0"/>
        </w:numPr>
        <w:shd w:val="clear" w:color="auto" w:fill="FBE4D5" w:themeFill="accent2" w:themeFillTint="33"/>
        <w:spacing w:after="0"/>
        <w:rPr>
          <w:b/>
        </w:rPr>
      </w:pPr>
      <w:bookmarkStart w:id="31" w:name="_Hlk64380812"/>
      <w:r w:rsidRPr="006750B5">
        <w:rPr>
          <w:b/>
        </w:rPr>
        <w:t xml:space="preserve">4.1.1.SAM “Nodrošināt vienlīdzīgu piekļuvi veselības aprūpei un stiprināt </w:t>
      </w:r>
      <w:r w:rsidRPr="00E93A16">
        <w:rPr>
          <w:b/>
        </w:rPr>
        <w:t>veselības sistēmu”</w:t>
      </w:r>
    </w:p>
    <w:bookmarkEnd w:id="31"/>
    <w:p w14:paraId="523F7136" w14:textId="334DED2D" w:rsidR="00AC212B" w:rsidRPr="00173113"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6653D2">
        <w:rPr>
          <w:rFonts w:ascii="Times New Roman" w:hAnsi="Times New Roman" w:cs="Times New Roman"/>
          <w:b/>
          <w:sz w:val="24"/>
          <w:szCs w:val="24"/>
        </w:rPr>
        <w:t>Atbalstāmās darbības:</w:t>
      </w:r>
      <w:r w:rsidRPr="00173113">
        <w:rPr>
          <w:rFonts w:ascii="Times New Roman" w:hAnsi="Times New Roman" w:cs="Times New Roman"/>
          <w:sz w:val="24"/>
          <w:szCs w:val="24"/>
        </w:rPr>
        <w:t xml:space="preserve"> Lai mazinātu profilaktiski un medicīniski novēršamo nāves gadījumu skaitu, ir būtiski uzlabojama veselības aprūpes pieejamība un kvalitāte, paredzot ieguldījumus ārstniecības iestāžu attīstībai visos aprūpes līmeņos</w:t>
      </w:r>
      <w:r w:rsidRPr="006E3AD2">
        <w:rPr>
          <w:rFonts w:ascii="Times New Roman" w:hAnsi="Times New Roman" w:cs="Times New Roman"/>
          <w:sz w:val="24"/>
          <w:szCs w:val="24"/>
          <w:vertAlign w:val="superscript"/>
        </w:rPr>
        <w:footnoteReference w:id="120"/>
      </w:r>
      <w:r w:rsidRPr="00173113">
        <w:rPr>
          <w:rFonts w:ascii="Times New Roman" w:hAnsi="Times New Roman" w:cs="Times New Roman"/>
          <w:sz w:val="24"/>
          <w:szCs w:val="24"/>
        </w:rPr>
        <w:t xml:space="preserve">, </w:t>
      </w:r>
      <w:r w:rsidR="0075172A">
        <w:rPr>
          <w:rFonts w:ascii="Times New Roman" w:hAnsi="Times New Roman" w:cs="Times New Roman"/>
          <w:sz w:val="24"/>
          <w:szCs w:val="24"/>
        </w:rPr>
        <w:t>atbilstoši pakalpojumu sniedzēju kartējumam</w:t>
      </w:r>
      <w:r w:rsidR="0075172A">
        <w:rPr>
          <w:rStyle w:val="FootnoteReference"/>
          <w:rFonts w:ascii="Times New Roman" w:hAnsi="Times New Roman" w:cs="Times New Roman"/>
          <w:sz w:val="24"/>
          <w:szCs w:val="24"/>
        </w:rPr>
        <w:footnoteReference w:id="121"/>
      </w:r>
      <w:r w:rsidR="0075172A">
        <w:rPr>
          <w:rFonts w:ascii="Times New Roman" w:hAnsi="Times New Roman" w:cs="Times New Roman"/>
          <w:sz w:val="24"/>
          <w:szCs w:val="24"/>
        </w:rPr>
        <w:t xml:space="preserve"> </w:t>
      </w:r>
      <w:r w:rsidRPr="00173113">
        <w:rPr>
          <w:rFonts w:ascii="Times New Roman" w:hAnsi="Times New Roman" w:cs="Times New Roman"/>
          <w:sz w:val="24"/>
          <w:szCs w:val="24"/>
        </w:rPr>
        <w:t xml:space="preserve">t.sk. </w:t>
      </w:r>
      <w:bookmarkStart w:id="32" w:name="_Hlk46907207"/>
      <w:r w:rsidRPr="00173113">
        <w:rPr>
          <w:rFonts w:ascii="Times New Roman" w:hAnsi="Times New Roman" w:cs="Times New Roman"/>
          <w:sz w:val="24"/>
          <w:szCs w:val="24"/>
        </w:rPr>
        <w:t xml:space="preserve">nodrošinot ārstniecības iestāžu gatavību potenciālo sabiedrības veselības krīžu ierobežošanai. </w:t>
      </w:r>
    </w:p>
    <w:bookmarkEnd w:id="32"/>
    <w:p w14:paraId="66E71322" w14:textId="4DD25BDF" w:rsidR="00AC212B" w:rsidRPr="00930237"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iCs/>
          <w:noProof/>
          <w:sz w:val="24"/>
          <w:szCs w:val="24"/>
        </w:rPr>
      </w:pPr>
      <w:r w:rsidRPr="00930237">
        <w:rPr>
          <w:rFonts w:ascii="Times New Roman" w:eastAsia="Times New Roman" w:hAnsi="Times New Roman" w:cs="Times New Roman"/>
          <w:iCs/>
          <w:noProof/>
          <w:sz w:val="24"/>
          <w:szCs w:val="24"/>
        </w:rPr>
        <w:t>Ieguldījumi veselības aprūpes infrastruktūras attīstībai veicami visaptverošu sistēmisku pasākumu attīstībai, t</w:t>
      </w:r>
      <w:r w:rsidR="00102172">
        <w:rPr>
          <w:rFonts w:ascii="Times New Roman" w:eastAsia="Times New Roman" w:hAnsi="Times New Roman" w:cs="Times New Roman"/>
          <w:iCs/>
          <w:noProof/>
          <w:sz w:val="24"/>
          <w:szCs w:val="24"/>
        </w:rPr>
        <w:t>.sk.</w:t>
      </w:r>
      <w:r w:rsidRPr="00930237">
        <w:rPr>
          <w:rFonts w:ascii="Times New Roman" w:eastAsia="Times New Roman" w:hAnsi="Times New Roman" w:cs="Times New Roman"/>
          <w:iCs/>
          <w:noProof/>
          <w:sz w:val="24"/>
          <w:szCs w:val="24"/>
        </w:rPr>
        <w:t xml:space="preserve"> </w:t>
      </w:r>
      <w:r w:rsidR="0075172A" w:rsidRPr="0075172A">
        <w:rPr>
          <w:rFonts w:ascii="Times New Roman" w:eastAsia="Times New Roman" w:hAnsi="Times New Roman" w:cs="Times New Roman"/>
          <w:iCs/>
          <w:noProof/>
          <w:sz w:val="24"/>
          <w:szCs w:val="24"/>
        </w:rPr>
        <w:t xml:space="preserve">prioritāri </w:t>
      </w:r>
      <w:r w:rsidRPr="00930237">
        <w:rPr>
          <w:rFonts w:ascii="Times New Roman" w:eastAsia="Times New Roman" w:hAnsi="Times New Roman" w:cs="Times New Roman"/>
          <w:iCs/>
          <w:noProof/>
          <w:sz w:val="24"/>
          <w:szCs w:val="24"/>
        </w:rPr>
        <w:t xml:space="preserve">turpinot iesākto ārstniecības iestāžu teritoriālās sadarbības attīstīšanu, primārās aprūpes centru attīstību, specifisko pakalpojumu koncentrēšanai augstāka līmeņa ārstniecības iestādēs un ambulatorās (t.sk. primārās) aprūpes pakalpojumu tuvināšanai iedzīvotājiem. Svarīgi stiprināt primārās veselības aprūpes lomu veselības aprūpē, paplašinot ģimenes ārsta praksē sniegto pakalpojumu klāstu, kā arī risināt bērnu zobārstniecības prakšu pieejamību. </w:t>
      </w:r>
    </w:p>
    <w:p w14:paraId="49D5FC7B" w14:textId="787E7829" w:rsidR="00AC212B" w:rsidRPr="00930237"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iCs/>
          <w:noProof/>
          <w:sz w:val="24"/>
          <w:szCs w:val="24"/>
        </w:rPr>
      </w:pPr>
      <w:r w:rsidRPr="00930237">
        <w:rPr>
          <w:rFonts w:ascii="Times New Roman" w:eastAsia="Times New Roman" w:hAnsi="Times New Roman" w:cs="Times New Roman"/>
          <w:iCs/>
          <w:noProof/>
          <w:sz w:val="24"/>
          <w:szCs w:val="24"/>
        </w:rPr>
        <w:t>Tāpat nepieciešama veselības nozares valsts informācijas sistēmu pilnveidošana, to savstarpējā integrācija un integrācija ar citu nozaru valsts informācijas sistēmām vienreizes principa īstenošanai, pacienta elektroniskās veselības kartes attīstīšana, biznesa inteliģences risinājumu ieviešana un kiberdrošības stiprināšana, attālināto veselības aprūpes pakalpojumu risinājumu ieviešana</w:t>
      </w:r>
      <w:r w:rsidR="008C6118">
        <w:rPr>
          <w:rFonts w:ascii="Times New Roman" w:eastAsia="Times New Roman" w:hAnsi="Times New Roman" w:cs="Times New Roman"/>
          <w:iCs/>
          <w:noProof/>
          <w:sz w:val="24"/>
          <w:szCs w:val="24"/>
        </w:rPr>
        <w:t xml:space="preserve"> (t.sk. telemedicīnas attīstība)</w:t>
      </w:r>
      <w:r w:rsidRPr="00930237">
        <w:rPr>
          <w:rFonts w:ascii="Times New Roman" w:eastAsia="Times New Roman" w:hAnsi="Times New Roman" w:cs="Times New Roman"/>
          <w:iCs/>
          <w:noProof/>
          <w:sz w:val="24"/>
          <w:szCs w:val="24"/>
        </w:rPr>
        <w:t>, stacionāro ārstniecības iestāžu informācijas sistēmu attīstīšana, jaunu datu vākšanas un analīzes IKT platformu un risinājumu izstrāde, nenosodošas ziņošanas un mācīšanās sistēmas par pacientu drošību ieviešana un mākslīgā intelekta risinājumu ieviešana un attīstīšana.</w:t>
      </w:r>
    </w:p>
    <w:p w14:paraId="3143E190" w14:textId="6E6C103E" w:rsidR="00AC212B" w:rsidRPr="00930237" w:rsidRDefault="0075172A" w:rsidP="007545BD">
      <w:pPr>
        <w:pStyle w:val="ListParagraph"/>
        <w:numPr>
          <w:ilvl w:val="0"/>
          <w:numId w:val="60"/>
        </w:numPr>
        <w:spacing w:after="0" w:line="240" w:lineRule="auto"/>
        <w:ind w:left="567" w:hanging="567"/>
        <w:jc w:val="both"/>
        <w:rPr>
          <w:rFonts w:ascii="Times New Roman" w:eastAsia="Times New Roman" w:hAnsi="Times New Roman" w:cs="Times New Roman"/>
          <w:iCs/>
          <w:noProof/>
          <w:sz w:val="24"/>
          <w:szCs w:val="24"/>
        </w:rPr>
      </w:pPr>
      <w:r w:rsidRPr="0075172A">
        <w:rPr>
          <w:rFonts w:ascii="Times New Roman" w:eastAsia="Times New Roman" w:hAnsi="Times New Roman" w:cs="Times New Roman"/>
          <w:iCs/>
          <w:noProof/>
          <w:sz w:val="24"/>
          <w:szCs w:val="24"/>
        </w:rPr>
        <w:t>Attīstot visaptverošu un integrētu veselības aprūpes sistēmu,</w:t>
      </w:r>
      <w:r>
        <w:rPr>
          <w:rFonts w:ascii="Times New Roman" w:eastAsia="Times New Roman" w:hAnsi="Times New Roman" w:cs="Times New Roman"/>
          <w:iCs/>
          <w:noProof/>
          <w:sz w:val="24"/>
          <w:szCs w:val="24"/>
        </w:rPr>
        <w:t xml:space="preserve"> </w:t>
      </w:r>
      <w:r w:rsidRPr="0075172A">
        <w:rPr>
          <w:rFonts w:ascii="Times New Roman" w:eastAsia="Times New Roman" w:hAnsi="Times New Roman" w:cs="Times New Roman"/>
          <w:iCs/>
          <w:noProof/>
          <w:sz w:val="24"/>
          <w:szCs w:val="24"/>
        </w:rPr>
        <w:t>b</w:t>
      </w:r>
      <w:r w:rsidR="00AC212B" w:rsidRPr="00930237">
        <w:rPr>
          <w:rFonts w:ascii="Times New Roman" w:eastAsia="Times New Roman" w:hAnsi="Times New Roman" w:cs="Times New Roman"/>
          <w:iCs/>
          <w:noProof/>
          <w:sz w:val="24"/>
          <w:szCs w:val="24"/>
        </w:rPr>
        <w:t xml:space="preserve">ūtiski ieguldījumi nepieciešami universitāšu slimnīcu attīstībai, kur, lai nodrošinātu un attīstītu slimnīcās sniegtos </w:t>
      </w:r>
      <w:r w:rsidR="008C6118">
        <w:rPr>
          <w:rFonts w:ascii="Times New Roman" w:eastAsia="Times New Roman" w:hAnsi="Times New Roman" w:cs="Times New Roman"/>
          <w:iCs/>
          <w:noProof/>
          <w:sz w:val="24"/>
          <w:szCs w:val="24"/>
        </w:rPr>
        <w:t xml:space="preserve">primārā, sekundārā un terciārā līmeņa </w:t>
      </w:r>
      <w:r w:rsidR="00AC212B" w:rsidRPr="00930237">
        <w:rPr>
          <w:rFonts w:ascii="Times New Roman" w:eastAsia="Times New Roman" w:hAnsi="Times New Roman" w:cs="Times New Roman"/>
          <w:iCs/>
          <w:noProof/>
          <w:sz w:val="24"/>
          <w:szCs w:val="24"/>
        </w:rPr>
        <w:t xml:space="preserve">ārstnieciskos pakalpojumus atbilstoši augsti specializētas universitātes klīnikas standartiem, svarīgi ir modernizēt un paplašināt slimnīcu infrastruktūru. Lielajās universitātes slimnīcās </w:t>
      </w:r>
      <w:r w:rsidR="00180D48">
        <w:rPr>
          <w:rFonts w:ascii="Times New Roman" w:eastAsia="Times New Roman" w:hAnsi="Times New Roman" w:cs="Times New Roman"/>
          <w:iCs/>
          <w:noProof/>
          <w:sz w:val="24"/>
          <w:szCs w:val="24"/>
        </w:rPr>
        <w:t>primāri</w:t>
      </w:r>
      <w:r w:rsidR="00180D48" w:rsidRPr="00930237">
        <w:rPr>
          <w:rFonts w:ascii="Times New Roman" w:eastAsia="Times New Roman" w:hAnsi="Times New Roman" w:cs="Times New Roman"/>
          <w:iCs/>
          <w:noProof/>
          <w:sz w:val="24"/>
          <w:szCs w:val="24"/>
        </w:rPr>
        <w:t xml:space="preserve"> </w:t>
      </w:r>
      <w:r w:rsidR="00AC212B" w:rsidRPr="00930237">
        <w:rPr>
          <w:rFonts w:ascii="Times New Roman" w:eastAsia="Times New Roman" w:hAnsi="Times New Roman" w:cs="Times New Roman"/>
          <w:iCs/>
          <w:noProof/>
          <w:sz w:val="24"/>
          <w:szCs w:val="24"/>
        </w:rPr>
        <w:t>tiek nodrošināta sekundārā un terciārā līmeņa ambulatorā un stacionārā ārstniecība (neatliekamā un plānveida), kā arī dažādu sabiedrības veselības krīžu rezultātā iepriekš neplānotu veselības aprūpes pakalpojumu sniegšana, studentu un rezidentu apmācība, veselības aprūpes speciālistu tālākizglītība, kā arī zinātniskā un pētnieciskā darbība. Šīs slimnīcas sniedz pakalpojumus visiem Latvijas iedzīvotājiem, piemēram, VSIA “Paula Stradiņa klīniskā universitātes slimnīca”, aptuveni 40% no sekundārās veselības aprūpes pacientiem un 50% no terciārās veselības aprūpes pacientiem nāk no teritorijām ārpus Rīgas, un šīs slimnīcas sniedz palīdzību citām ārstniecības iestādēm pacientu diagnostikā un ārstēšanā. Viena no būtiskākajām problēmām ir telpu trūkums un to stāvoklis, kas neatbilst valsts normatīvajiem aktiem, piemēram, telpu platība, griestu augstums, ugunsdrošība, strāvas padeve, gaisa apmaiņa u.c., un daļa no vecajām slimnīcu ēkām ir kultūras pieminekļi, un to būtiska pārbūve un piemērošana mūsdienu prasībām nav atļauta un iespējama, kas apdraud veselības aprūpi nepieciešamajā apjomā un kvalitātē.</w:t>
      </w:r>
    </w:p>
    <w:p w14:paraId="143113DA" w14:textId="27CE0874" w:rsidR="00AC212B" w:rsidRPr="00930237"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iCs/>
          <w:noProof/>
          <w:sz w:val="24"/>
          <w:szCs w:val="24"/>
        </w:rPr>
      </w:pPr>
      <w:r w:rsidRPr="00930237">
        <w:rPr>
          <w:rFonts w:ascii="Times New Roman" w:eastAsia="Times New Roman" w:hAnsi="Times New Roman" w:cs="Times New Roman"/>
          <w:iCs/>
          <w:noProof/>
          <w:sz w:val="24"/>
          <w:szCs w:val="24"/>
        </w:rPr>
        <w:t xml:space="preserve"> </w:t>
      </w:r>
      <w:r w:rsidR="0075172A" w:rsidRPr="0075172A">
        <w:rPr>
          <w:rFonts w:ascii="Times New Roman" w:eastAsia="Times New Roman" w:hAnsi="Times New Roman" w:cs="Times New Roman"/>
          <w:iCs/>
          <w:noProof/>
          <w:sz w:val="24"/>
          <w:szCs w:val="24"/>
        </w:rPr>
        <w:t xml:space="preserve">Savstarpējai dažādu līmeņu pakalpojumu integrācijai </w:t>
      </w:r>
      <w:r w:rsidRPr="00930237">
        <w:rPr>
          <w:rFonts w:ascii="Times New Roman" w:eastAsia="Times New Roman" w:hAnsi="Times New Roman" w:cs="Times New Roman"/>
          <w:iCs/>
          <w:noProof/>
          <w:sz w:val="24"/>
          <w:szCs w:val="24"/>
        </w:rPr>
        <w:t xml:space="preserve">ieguldījumi </w:t>
      </w:r>
      <w:r w:rsidR="0075172A">
        <w:rPr>
          <w:rFonts w:ascii="Times New Roman" w:eastAsia="Times New Roman" w:hAnsi="Times New Roman" w:cs="Times New Roman"/>
          <w:iCs/>
          <w:noProof/>
          <w:sz w:val="24"/>
          <w:szCs w:val="24"/>
        </w:rPr>
        <w:t>t</w:t>
      </w:r>
      <w:r w:rsidR="00102172">
        <w:rPr>
          <w:rFonts w:ascii="Times New Roman" w:eastAsia="Times New Roman" w:hAnsi="Times New Roman" w:cs="Times New Roman"/>
          <w:iCs/>
          <w:noProof/>
          <w:sz w:val="24"/>
          <w:szCs w:val="24"/>
        </w:rPr>
        <w:t>.sk.</w:t>
      </w:r>
      <w:r w:rsidR="0075172A">
        <w:rPr>
          <w:rFonts w:ascii="Times New Roman" w:eastAsia="Times New Roman" w:hAnsi="Times New Roman" w:cs="Times New Roman"/>
          <w:iCs/>
          <w:noProof/>
          <w:sz w:val="24"/>
          <w:szCs w:val="24"/>
        </w:rPr>
        <w:t xml:space="preserve"> </w:t>
      </w:r>
      <w:r w:rsidRPr="00930237">
        <w:rPr>
          <w:rFonts w:ascii="Times New Roman" w:eastAsia="Times New Roman" w:hAnsi="Times New Roman" w:cs="Times New Roman"/>
          <w:iCs/>
          <w:noProof/>
          <w:sz w:val="24"/>
          <w:szCs w:val="24"/>
        </w:rPr>
        <w:t xml:space="preserve">nepieciešami psihiatrijas un narkoloģijas profila ļoti novecojušo ārstniecības iestāžu infrastruktūras attīstībai, paliatīvās aprūpes, HOSPICE (Aprūpes programmas un filozofija nedziedināmi (termināli) slimo pacientu fiziskās un emocionālās aprūpes nodrošināšana) pakalpojumu attīstīšanai, medicīnas ierīču atjaunošanai un izcilības centru izveidošanai zināšanu pārnesei (ēku </w:t>
      </w:r>
      <w:r w:rsidR="00027FEF" w:rsidRPr="00027FEF">
        <w:rPr>
          <w:rFonts w:ascii="Times New Roman" w:eastAsia="Times New Roman" w:hAnsi="Times New Roman" w:cs="Times New Roman"/>
          <w:iCs/>
          <w:noProof/>
          <w:sz w:val="24"/>
          <w:szCs w:val="24"/>
        </w:rPr>
        <w:t>energoefektivitātes paaugstināšana</w:t>
      </w:r>
      <w:r w:rsidRPr="00930237">
        <w:rPr>
          <w:rFonts w:ascii="Times New Roman" w:eastAsia="Times New Roman" w:hAnsi="Times New Roman" w:cs="Times New Roman"/>
          <w:iCs/>
          <w:noProof/>
          <w:sz w:val="24"/>
          <w:szCs w:val="24"/>
        </w:rPr>
        <w:t xml:space="preserve">, pārbūve, būvniecība, telpu aprīkošana, medicīnas ierīču un aprīkojuma iegāde, t.sk. vides pieejamības nodrošināšana). </w:t>
      </w:r>
      <w:r w:rsidR="0075172A" w:rsidRPr="0075172A">
        <w:rPr>
          <w:rFonts w:ascii="Times New Roman" w:eastAsia="Times New Roman" w:hAnsi="Times New Roman" w:cs="Times New Roman"/>
          <w:iCs/>
          <w:noProof/>
          <w:sz w:val="24"/>
          <w:szCs w:val="24"/>
        </w:rPr>
        <w:t xml:space="preserve">Ņemot vērā ierobežotos cilvēkresursus veselības aprūpē, </w:t>
      </w:r>
      <w:r w:rsidR="0075172A" w:rsidRPr="003517A2">
        <w:rPr>
          <w:rFonts w:ascii="Times New Roman" w:eastAsia="Times New Roman" w:hAnsi="Times New Roman" w:cs="Times New Roman"/>
          <w:iCs/>
          <w:noProof/>
          <w:sz w:val="24"/>
          <w:szCs w:val="24"/>
        </w:rPr>
        <w:t>būtiski nodrošināt atbilstošu infrastruktūru nepieciešamajai mācību un zināšanu pilnveidošanas bāzei.</w:t>
      </w:r>
      <w:r w:rsidR="0075172A" w:rsidRPr="0075172A">
        <w:t xml:space="preserve"> </w:t>
      </w:r>
      <w:r w:rsidR="0075172A" w:rsidRPr="0075172A">
        <w:rPr>
          <w:rFonts w:ascii="Times New Roman" w:eastAsia="Times New Roman" w:hAnsi="Times New Roman" w:cs="Times New Roman"/>
          <w:iCs/>
          <w:noProof/>
          <w:sz w:val="24"/>
          <w:szCs w:val="24"/>
        </w:rPr>
        <w:t>Ņemot vērā, ka pieaug cilvēku skaits ar vienu vai vairākām hroniskām slimībām, nepieciešams attīstīt esošos un izstrādāt jaunus uz pacientu vērstus integrētus veselības un sociālās aprūpes pakalpojumu organizēšanas un sniegšanas modeļus, t</w:t>
      </w:r>
      <w:r w:rsidR="00102172">
        <w:rPr>
          <w:rFonts w:ascii="Times New Roman" w:eastAsia="Times New Roman" w:hAnsi="Times New Roman" w:cs="Times New Roman"/>
          <w:iCs/>
          <w:noProof/>
          <w:sz w:val="24"/>
          <w:szCs w:val="24"/>
        </w:rPr>
        <w:t>.sk.</w:t>
      </w:r>
      <w:r w:rsidR="0075172A" w:rsidRPr="0075172A">
        <w:rPr>
          <w:rFonts w:ascii="Times New Roman" w:eastAsia="Times New Roman" w:hAnsi="Times New Roman" w:cs="Times New Roman"/>
          <w:iCs/>
          <w:noProof/>
          <w:sz w:val="24"/>
          <w:szCs w:val="24"/>
        </w:rPr>
        <w:t xml:space="preserve"> iekļaujot digitālos veselības aprūpes pakalpojumus, jo īpaši pacientiem ar psihiskām slimībām un uzvedības traucējumiem, nedziedināmi slimajiem un citām mērķa grupām, kuru kvalitatīvas aprūpes nodrošināšanai nepieciešama starpnozaru sadarbība, piemēram, lai attīstītu sabiedrībā balstītus pakapojumus.</w:t>
      </w:r>
    </w:p>
    <w:p w14:paraId="39D35110" w14:textId="6C319A37" w:rsidR="00AC212B" w:rsidRPr="00930237"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iCs/>
          <w:noProof/>
          <w:sz w:val="24"/>
          <w:szCs w:val="24"/>
        </w:rPr>
      </w:pPr>
      <w:r w:rsidRPr="00930237">
        <w:rPr>
          <w:rFonts w:ascii="Times New Roman" w:eastAsia="Times New Roman" w:hAnsi="Times New Roman" w:cs="Times New Roman"/>
          <w:iCs/>
          <w:noProof/>
          <w:sz w:val="24"/>
          <w:szCs w:val="24"/>
        </w:rPr>
        <w:t xml:space="preserve">Lai nodrošinātu ātru un efektīvu palīdzības sniegšanu pirmsslimnīcas posmā, </w:t>
      </w:r>
      <w:r w:rsidR="0075172A" w:rsidRPr="0075172A">
        <w:rPr>
          <w:rFonts w:ascii="Times New Roman" w:eastAsia="Times New Roman" w:hAnsi="Times New Roman" w:cs="Times New Roman"/>
          <w:iCs/>
          <w:noProof/>
          <w:sz w:val="24"/>
          <w:szCs w:val="24"/>
        </w:rPr>
        <w:t xml:space="preserve">nodrošinot prioritāri noteikto ambulatoro pakalpojumu tuvināšanu iedzīvotājiem un specializēto pakalpojumu koncentrēšanu </w:t>
      </w:r>
      <w:r w:rsidRPr="00930237">
        <w:rPr>
          <w:rFonts w:ascii="Times New Roman" w:eastAsia="Times New Roman" w:hAnsi="Times New Roman" w:cs="Times New Roman"/>
          <w:iCs/>
          <w:noProof/>
          <w:sz w:val="24"/>
          <w:szCs w:val="24"/>
        </w:rPr>
        <w:t xml:space="preserve">nepieciešami ieguldījumi neatliekamās medicīniskās palīdzības dienesta aprīkojuma un specializētā autotransporta nodrošināšanā. </w:t>
      </w:r>
    </w:p>
    <w:p w14:paraId="08491C4E" w14:textId="45234A97" w:rsidR="00AC212B" w:rsidRPr="00930237" w:rsidRDefault="0075172A" w:rsidP="007545BD">
      <w:pPr>
        <w:pStyle w:val="ListParagraph"/>
        <w:numPr>
          <w:ilvl w:val="0"/>
          <w:numId w:val="60"/>
        </w:numPr>
        <w:spacing w:after="0" w:line="240" w:lineRule="auto"/>
        <w:ind w:left="567" w:hanging="567"/>
        <w:jc w:val="both"/>
        <w:rPr>
          <w:rFonts w:ascii="Times New Roman" w:eastAsia="Times New Roman" w:hAnsi="Times New Roman" w:cs="Times New Roman"/>
          <w:iCs/>
          <w:noProof/>
          <w:sz w:val="24"/>
          <w:szCs w:val="24"/>
        </w:rPr>
      </w:pPr>
      <w:r w:rsidRPr="0075172A">
        <w:rPr>
          <w:rFonts w:ascii="Times New Roman" w:eastAsia="Times New Roman" w:hAnsi="Times New Roman" w:cs="Times New Roman"/>
          <w:iCs/>
          <w:noProof/>
          <w:sz w:val="24"/>
          <w:szCs w:val="24"/>
        </w:rPr>
        <w:t>Ņemot vērā iepriekšminēto, lai īstenotu prioritāri noteikto pasākumu ieviešanu</w:t>
      </w:r>
      <w:r>
        <w:rPr>
          <w:rFonts w:ascii="Times New Roman" w:eastAsia="Times New Roman" w:hAnsi="Times New Roman" w:cs="Times New Roman"/>
          <w:iCs/>
          <w:noProof/>
          <w:sz w:val="24"/>
          <w:szCs w:val="24"/>
        </w:rPr>
        <w:t>,</w:t>
      </w:r>
      <w:r w:rsidRPr="0075172A">
        <w:rPr>
          <w:rFonts w:ascii="Times New Roman" w:eastAsia="Times New Roman" w:hAnsi="Times New Roman" w:cs="Times New Roman"/>
          <w:iCs/>
          <w:noProof/>
          <w:sz w:val="24"/>
          <w:szCs w:val="24"/>
        </w:rPr>
        <w:t xml:space="preserve"> </w:t>
      </w:r>
      <w:r>
        <w:rPr>
          <w:rFonts w:ascii="Times New Roman" w:eastAsia="Times New Roman" w:hAnsi="Times New Roman" w:cs="Times New Roman"/>
          <w:iCs/>
          <w:noProof/>
          <w:sz w:val="24"/>
          <w:szCs w:val="24"/>
        </w:rPr>
        <w:t>i</w:t>
      </w:r>
      <w:r w:rsidR="00AC212B" w:rsidRPr="00930237">
        <w:rPr>
          <w:rFonts w:ascii="Times New Roman" w:eastAsia="Times New Roman" w:hAnsi="Times New Roman" w:cs="Times New Roman"/>
          <w:iCs/>
          <w:noProof/>
          <w:sz w:val="24"/>
          <w:szCs w:val="24"/>
        </w:rPr>
        <w:t>eguldījumi nepieciešami visaptversošas veselības aprūpes infrastruktūras attīstībai</w:t>
      </w:r>
      <w:r>
        <w:rPr>
          <w:rFonts w:ascii="Times New Roman" w:eastAsia="Times New Roman" w:hAnsi="Times New Roman" w:cs="Times New Roman"/>
          <w:iCs/>
          <w:noProof/>
          <w:sz w:val="24"/>
          <w:szCs w:val="24"/>
        </w:rPr>
        <w:t xml:space="preserve"> </w:t>
      </w:r>
      <w:r w:rsidRPr="0075172A">
        <w:rPr>
          <w:rFonts w:ascii="Times New Roman" w:eastAsia="Times New Roman" w:hAnsi="Times New Roman" w:cs="Times New Roman"/>
          <w:iCs/>
          <w:noProof/>
          <w:sz w:val="24"/>
          <w:szCs w:val="24"/>
        </w:rPr>
        <w:t>noteiktajās jomās</w:t>
      </w:r>
      <w:r w:rsidR="00AC212B" w:rsidRPr="00930237">
        <w:rPr>
          <w:rFonts w:ascii="Times New Roman" w:eastAsia="Times New Roman" w:hAnsi="Times New Roman" w:cs="Times New Roman"/>
          <w:iCs/>
          <w:noProof/>
          <w:sz w:val="24"/>
          <w:szCs w:val="24"/>
        </w:rPr>
        <w:t>, lai visu līmeņu pakalpojumi būtu pieejami mūsdienīg</w:t>
      </w:r>
      <w:r>
        <w:rPr>
          <w:rFonts w:ascii="Times New Roman" w:eastAsia="Times New Roman" w:hAnsi="Times New Roman" w:cs="Times New Roman"/>
          <w:iCs/>
          <w:noProof/>
          <w:sz w:val="24"/>
          <w:szCs w:val="24"/>
        </w:rPr>
        <w:t>ā</w:t>
      </w:r>
      <w:r w:rsidR="00AC212B" w:rsidRPr="00930237">
        <w:rPr>
          <w:rFonts w:ascii="Times New Roman" w:eastAsia="Times New Roman" w:hAnsi="Times New Roman" w:cs="Times New Roman"/>
          <w:iCs/>
          <w:noProof/>
          <w:sz w:val="24"/>
          <w:szCs w:val="24"/>
        </w:rPr>
        <w:t xml:space="preserve"> un drošā veselības aprūpes infrastruktūrā stacionārajās un ambulatorajās ārstniecības iestādēs Rīgā un reģionos, t.sk. ārstniecības iestāžu sadarbības attīstīšanai, kas būtiski, lai sniegtie pakalpojumi pacientiem būtu pieejami un izmaksu ziņā efektīvi, kā arī lai nodrošinātu tādus darba vides apstākļus, kas veicina efektīvāku ārstniecības personu piesaisti un noturēšanu valsts apmaksātajā veselības aprūpes sektorā. </w:t>
      </w:r>
      <w:r w:rsidR="008C6118">
        <w:rPr>
          <w:rFonts w:ascii="Times New Roman" w:eastAsia="Times New Roman" w:hAnsi="Times New Roman" w:cs="Times New Roman"/>
          <w:iCs/>
          <w:noProof/>
          <w:sz w:val="24"/>
          <w:szCs w:val="24"/>
        </w:rPr>
        <w:t>Ņemot vērā, ka 58% no visiem ambulatorajiem pakalpojumiem tiek sniegti dažādu līmeņu slimnīcās (turklāt 43% no šiem ambulatorajiem pakalpojumiem tiek sniegti universitātes slimnīcās) svarīgi attīstīt ne tikai ārpusslimnīcu ambulatoro infrastruktūru, bet arī slimnīcas, lai nodrošinātu pacientiem ērti pieejamu, kvalitatīvu veselības aprūpes infrastruktūru.</w:t>
      </w:r>
    </w:p>
    <w:p w14:paraId="77CF96DA" w14:textId="262705DC"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noProof/>
          <w:sz w:val="24"/>
          <w:szCs w:val="24"/>
        </w:rPr>
      </w:pPr>
      <w:r w:rsidRPr="00930237">
        <w:rPr>
          <w:rFonts w:ascii="Times New Roman" w:hAnsi="Times New Roman" w:cs="Times New Roman"/>
          <w:b/>
          <w:noProof/>
          <w:sz w:val="24"/>
          <w:szCs w:val="24"/>
        </w:rPr>
        <w:t xml:space="preserve">Galvenās mērķgrupas: </w:t>
      </w:r>
      <w:r w:rsidRPr="00930237">
        <w:rPr>
          <w:rFonts w:ascii="Times New Roman" w:hAnsi="Times New Roman" w:cs="Times New Roman"/>
          <w:bCs/>
          <w:color w:val="000000" w:themeColor="text1"/>
          <w:sz w:val="24"/>
          <w:szCs w:val="24"/>
        </w:rPr>
        <w:t>Visi Latvijas iedzīvotāji, veselības aprūpes pakalpojumu sniedzēji, VM padotības iestādes, ārstniecības iestādes.</w:t>
      </w:r>
    </w:p>
    <w:p w14:paraId="71DB2413" w14:textId="44D2D3E7"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noProof/>
          <w:sz w:val="24"/>
          <w:szCs w:val="24"/>
        </w:rPr>
      </w:pPr>
      <w:r w:rsidRPr="00930237">
        <w:rPr>
          <w:rFonts w:ascii="Times New Roman" w:hAnsi="Times New Roman" w:cs="Times New Roman"/>
          <w:b/>
          <w:sz w:val="24"/>
          <w:szCs w:val="24"/>
        </w:rPr>
        <w:t>Darbības, kas nodrošina vienlīdzību, iekļaušanu un nediskrimināciju:</w:t>
      </w:r>
      <w:r w:rsidRPr="00930237">
        <w:rPr>
          <w:rFonts w:ascii="Times New Roman" w:hAnsi="Times New Roman" w:cs="Times New Roman"/>
          <w:sz w:val="24"/>
          <w:szCs w:val="24"/>
        </w:rPr>
        <w:t xml:space="preserve"> projektu un pasākumu īstenošanā un vadībā tiks nodrošināta informācijas un vides pieejamības, nediskriminācijas pēc vecuma, dzimuma, etniskās piederības u.c. pazīmes un vienlīdzīgu iespēju principu ievērošana. Veicot ieguldījumus veselības aprūpes infrastruktūrā, tiks īstenoti vides un informācijas pieejamības nodrošināšanas pasākumi personām ar redzes, dzirdes, kustību un garīga rakstura traucējumiem. Piemēram,  </w:t>
      </w:r>
      <w:r w:rsidR="00601AA2">
        <w:rPr>
          <w:rFonts w:ascii="Times New Roman" w:hAnsi="Times New Roman" w:cs="Times New Roman"/>
          <w:sz w:val="24"/>
          <w:szCs w:val="24"/>
        </w:rPr>
        <w:t>tiks</w:t>
      </w:r>
      <w:r w:rsidRPr="00930237">
        <w:rPr>
          <w:rFonts w:ascii="Times New Roman" w:hAnsi="Times New Roman" w:cs="Times New Roman"/>
          <w:sz w:val="24"/>
          <w:szCs w:val="24"/>
        </w:rPr>
        <w:t xml:space="preserve"> īstenoti vizuālās informācijas uzlabojumi, evakuācijas sistēmu pielāgošana un nodrošināšana cilvēkiem ar invaliditāti, ierīkotas uzbrauktuves, pandusi, pacēlāji, uzstādītas viegli atveramas vai automātiskas durvis u.c.</w:t>
      </w:r>
    </w:p>
    <w:p w14:paraId="7F03E8E8" w14:textId="77777777"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Mērķteritorijas, t.sk. plānotais teritoriālo rīku izmantojums</w:t>
      </w:r>
      <w:r w:rsidRPr="00930237">
        <w:rPr>
          <w:rFonts w:ascii="Times New Roman" w:hAnsi="Times New Roman" w:cs="Times New Roman"/>
          <w:sz w:val="24"/>
          <w:szCs w:val="24"/>
        </w:rPr>
        <w:t>: Visa Latvija.</w:t>
      </w:r>
    </w:p>
    <w:p w14:paraId="540AFDCC" w14:textId="77777777"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Starpreģionālās, pārrobežu un transnacionālās darbības:</w:t>
      </w:r>
      <w:r w:rsidRPr="00930237">
        <w:rPr>
          <w:rFonts w:ascii="Times New Roman" w:hAnsi="Times New Roman" w:cs="Times New Roman"/>
          <w:sz w:val="24"/>
          <w:szCs w:val="24"/>
        </w:rPr>
        <w:t xml:space="preserve"> N/A</w:t>
      </w:r>
    </w:p>
    <w:p w14:paraId="44B75C24" w14:textId="79C06F4A" w:rsidR="00AC212B" w:rsidRPr="00930237" w:rsidRDefault="0002461B" w:rsidP="007545BD">
      <w:pPr>
        <w:pStyle w:val="Normal1"/>
        <w:numPr>
          <w:ilvl w:val="0"/>
          <w:numId w:val="60"/>
        </w:numPr>
        <w:spacing w:line="240" w:lineRule="auto"/>
        <w:ind w:left="567" w:hanging="567"/>
        <w:jc w:val="both"/>
        <w:rPr>
          <w:rFonts w:ascii="Times New Roman" w:hAnsi="Times New Roman" w:cs="Times New Roman"/>
          <w:color w:val="FF0000"/>
          <w:sz w:val="24"/>
          <w:szCs w:val="24"/>
        </w:rPr>
      </w:pPr>
      <w:r>
        <w:rPr>
          <w:rFonts w:ascii="Times New Roman" w:hAnsi="Times New Roman" w:cs="Times New Roman"/>
          <w:b/>
          <w:sz w:val="24"/>
          <w:szCs w:val="24"/>
        </w:rPr>
        <w:t>F</w:t>
      </w:r>
      <w:r w:rsidR="00AC212B" w:rsidRPr="00930237">
        <w:rPr>
          <w:rFonts w:ascii="Times New Roman" w:hAnsi="Times New Roman" w:cs="Times New Roman"/>
          <w:b/>
          <w:sz w:val="24"/>
          <w:szCs w:val="24"/>
        </w:rPr>
        <w:t>inanšu instrumenti:</w:t>
      </w:r>
      <w:r w:rsidR="00AC212B" w:rsidRPr="00930237">
        <w:rPr>
          <w:rFonts w:ascii="Times New Roman" w:hAnsi="Times New Roman" w:cs="Times New Roman"/>
          <w:sz w:val="24"/>
          <w:szCs w:val="24"/>
        </w:rPr>
        <w:t xml:space="preserve"> N/A.</w:t>
      </w:r>
    </w:p>
    <w:p w14:paraId="4956B389" w14:textId="77777777" w:rsidR="00AC212B" w:rsidRPr="00930237" w:rsidRDefault="00AC212B" w:rsidP="00AC212B">
      <w:pPr>
        <w:spacing w:before="0" w:after="0"/>
        <w:ind w:left="567" w:hanging="567"/>
        <w:rPr>
          <w:noProof/>
          <w:szCs w:val="24"/>
        </w:rPr>
      </w:pPr>
    </w:p>
    <w:p w14:paraId="1E325C2C" w14:textId="77777777" w:rsidR="00AC212B" w:rsidRPr="00930237" w:rsidRDefault="00AC212B" w:rsidP="00AC212B">
      <w:pPr>
        <w:pStyle w:val="Heading4"/>
        <w:numPr>
          <w:ilvl w:val="0"/>
          <w:numId w:val="0"/>
        </w:numPr>
        <w:shd w:val="clear" w:color="auto" w:fill="FBE4D5" w:themeFill="accent2" w:themeFillTint="33"/>
        <w:spacing w:after="0"/>
        <w:rPr>
          <w:b/>
          <w:szCs w:val="24"/>
        </w:rPr>
      </w:pPr>
      <w:r w:rsidRPr="00930237">
        <w:rPr>
          <w:b/>
          <w:szCs w:val="24"/>
        </w:rPr>
        <w:t>4.1.2.SAM “Veicināt darba ņēmēju, darba devēju un uzņēmumu pielāgošanos pārmaiņām, aktīvu un veselīgu novecošanos, kā arī veicināt veselīgu un labi pielāgotu darba vidi veselības risku novēršanai”</w:t>
      </w:r>
    </w:p>
    <w:p w14:paraId="1870A095" w14:textId="65981396" w:rsidR="006750B5"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sz w:val="24"/>
          <w:szCs w:val="24"/>
        </w:rPr>
      </w:pPr>
      <w:r w:rsidRPr="006750B5">
        <w:rPr>
          <w:rFonts w:ascii="Times New Roman" w:eastAsia="Times New Roman" w:hAnsi="Times New Roman" w:cs="Times New Roman"/>
          <w:b/>
          <w:sz w:val="24"/>
          <w:szCs w:val="24"/>
        </w:rPr>
        <w:t xml:space="preserve">Atbalstāmās darbības: </w:t>
      </w:r>
      <w:r w:rsidR="00F75653" w:rsidRPr="006750B5">
        <w:rPr>
          <w:rFonts w:ascii="Times New Roman" w:eastAsia="Times New Roman" w:hAnsi="Times New Roman" w:cs="Times New Roman"/>
          <w:sz w:val="24"/>
          <w:szCs w:val="24"/>
        </w:rPr>
        <w:t>Lai veicinātu aktīvu un veselīgu novecošanos, jāņem vērā būtiskākās problēmas, kas skar L</w:t>
      </w:r>
      <w:r w:rsidR="00855BE5">
        <w:rPr>
          <w:rFonts w:ascii="Times New Roman" w:eastAsia="Times New Roman" w:hAnsi="Times New Roman" w:cs="Times New Roman"/>
          <w:sz w:val="24"/>
          <w:szCs w:val="24"/>
        </w:rPr>
        <w:t>R</w:t>
      </w:r>
      <w:r w:rsidR="00F75653" w:rsidRPr="006750B5">
        <w:rPr>
          <w:rFonts w:ascii="Times New Roman" w:eastAsia="Times New Roman" w:hAnsi="Times New Roman" w:cs="Times New Roman"/>
          <w:sz w:val="24"/>
          <w:szCs w:val="24"/>
        </w:rPr>
        <w:t xml:space="preserve"> iedzīvotājus - proti ar</w:t>
      </w:r>
      <w:r w:rsidR="008C6118" w:rsidRPr="006750B5">
        <w:rPr>
          <w:rFonts w:ascii="Times New Roman" w:eastAsia="Times New Roman" w:hAnsi="Times New Roman" w:cs="Times New Roman"/>
          <w:sz w:val="24"/>
          <w:szCs w:val="24"/>
        </w:rPr>
        <w:t xml:space="preserve"> dzīvesveidu saistītie riska faktori tostarp neveselīgi uztura paradumi, mazkustīgs dzīvesveids, smēķēšana, alkohola un citu atkarību izraisošo vielu lietošana ir cēlonis trešdaļai visu nāves gadījumu Latvijā. Profilaktiski novēršamo nāves gadījumu skaits Latvijā ir otrs augstākais ES. </w:t>
      </w:r>
      <w:r w:rsidR="0098229B" w:rsidRPr="006750B5">
        <w:rPr>
          <w:rFonts w:ascii="Times New Roman" w:eastAsia="Times New Roman" w:hAnsi="Times New Roman" w:cs="Times New Roman"/>
          <w:sz w:val="24"/>
          <w:szCs w:val="24"/>
        </w:rPr>
        <w:t xml:space="preserve">Galvenie ar dzīvesveidu saistītie </w:t>
      </w:r>
      <w:r w:rsidR="00B0138C" w:rsidRPr="006750B5">
        <w:rPr>
          <w:rFonts w:ascii="Times New Roman" w:eastAsia="Times New Roman" w:hAnsi="Times New Roman" w:cs="Times New Roman"/>
          <w:sz w:val="24"/>
          <w:szCs w:val="24"/>
        </w:rPr>
        <w:t xml:space="preserve">faktori - </w:t>
      </w:r>
      <w:r w:rsidR="00AC79EB" w:rsidRPr="006750B5">
        <w:rPr>
          <w:rFonts w:ascii="Times New Roman" w:eastAsia="Times New Roman" w:hAnsi="Times New Roman" w:cs="Times New Roman"/>
          <w:sz w:val="24"/>
          <w:szCs w:val="24"/>
        </w:rPr>
        <w:t>a</w:t>
      </w:r>
      <w:r w:rsidR="008C6118" w:rsidRPr="006750B5">
        <w:rPr>
          <w:rFonts w:ascii="Times New Roman" w:eastAsia="Times New Roman" w:hAnsi="Times New Roman" w:cs="Times New Roman"/>
          <w:sz w:val="24"/>
          <w:szCs w:val="24"/>
        </w:rPr>
        <w:t>ptaukošanās izplatība sabiedrībā ir daudz augstāka par ES vidējo rādītāju – Latvijā liekais svars ir katrai ceturtajai sievietei un katram sestajam vīrietim</w:t>
      </w:r>
      <w:r w:rsidR="00B0138C" w:rsidRPr="006750B5">
        <w:rPr>
          <w:rFonts w:ascii="Times New Roman" w:eastAsia="Times New Roman" w:hAnsi="Times New Roman" w:cs="Times New Roman"/>
          <w:sz w:val="24"/>
          <w:szCs w:val="24"/>
        </w:rPr>
        <w:t>,</w:t>
      </w:r>
      <w:r w:rsidR="008C6118" w:rsidRPr="006750B5">
        <w:rPr>
          <w:rFonts w:ascii="Times New Roman" w:eastAsia="Times New Roman" w:hAnsi="Times New Roman" w:cs="Times New Roman"/>
          <w:sz w:val="24"/>
          <w:szCs w:val="24"/>
        </w:rPr>
        <w:t xml:space="preserve"> </w:t>
      </w:r>
      <w:r w:rsidR="00B0138C" w:rsidRPr="006750B5">
        <w:rPr>
          <w:rFonts w:ascii="Times New Roman" w:eastAsia="Times New Roman" w:hAnsi="Times New Roman" w:cs="Times New Roman"/>
          <w:sz w:val="24"/>
          <w:szCs w:val="24"/>
        </w:rPr>
        <w:t>b</w:t>
      </w:r>
      <w:r w:rsidR="008C6118" w:rsidRPr="006750B5">
        <w:rPr>
          <w:rFonts w:ascii="Times New Roman" w:eastAsia="Times New Roman" w:hAnsi="Times New Roman" w:cs="Times New Roman"/>
          <w:sz w:val="24"/>
          <w:szCs w:val="24"/>
        </w:rPr>
        <w:t xml:space="preserve">ērnu vidū gandrīz vienai ceturtdaļai 7-gadīgo pirmklasnieku ir </w:t>
      </w:r>
      <w:r w:rsidR="00BC295D" w:rsidRPr="006750B5">
        <w:rPr>
          <w:rFonts w:ascii="Times New Roman" w:eastAsia="Times New Roman" w:hAnsi="Times New Roman" w:cs="Times New Roman"/>
          <w:sz w:val="24"/>
          <w:szCs w:val="24"/>
        </w:rPr>
        <w:t>lieka</w:t>
      </w:r>
      <w:r w:rsidR="008C6118" w:rsidRPr="006750B5">
        <w:rPr>
          <w:rFonts w:ascii="Times New Roman" w:eastAsia="Times New Roman" w:hAnsi="Times New Roman" w:cs="Times New Roman"/>
          <w:sz w:val="24"/>
          <w:szCs w:val="24"/>
        </w:rPr>
        <w:t xml:space="preserve"> ķermeņa masa un aptaukošanās</w:t>
      </w:r>
      <w:r w:rsidR="00B0138C" w:rsidRPr="006750B5">
        <w:rPr>
          <w:rFonts w:ascii="Times New Roman" w:eastAsia="Times New Roman" w:hAnsi="Times New Roman" w:cs="Times New Roman"/>
          <w:sz w:val="24"/>
          <w:szCs w:val="24"/>
        </w:rPr>
        <w:t>,</w:t>
      </w:r>
      <w:r w:rsidR="008C6118" w:rsidRPr="006750B5">
        <w:rPr>
          <w:rFonts w:ascii="Times New Roman" w:eastAsia="Times New Roman" w:hAnsi="Times New Roman" w:cs="Times New Roman"/>
          <w:sz w:val="24"/>
          <w:szCs w:val="24"/>
        </w:rPr>
        <w:t xml:space="preserve"> </w:t>
      </w:r>
      <w:r w:rsidR="00B0138C" w:rsidRPr="006750B5">
        <w:rPr>
          <w:rFonts w:ascii="Times New Roman" w:eastAsia="Times New Roman" w:hAnsi="Times New Roman" w:cs="Times New Roman"/>
          <w:sz w:val="24"/>
          <w:szCs w:val="24"/>
        </w:rPr>
        <w:t>a</w:t>
      </w:r>
      <w:r w:rsidR="00CD45DF" w:rsidRPr="006750B5">
        <w:rPr>
          <w:rFonts w:ascii="Times New Roman" w:eastAsia="Times New Roman" w:hAnsi="Times New Roman" w:cs="Times New Roman"/>
          <w:sz w:val="24"/>
          <w:szCs w:val="24"/>
        </w:rPr>
        <w:t xml:space="preserve">ptaukošanās skar arī vienu piektdaļu pusaudžu </w:t>
      </w:r>
      <w:r w:rsidR="008C6118" w:rsidRPr="006750B5">
        <w:rPr>
          <w:rFonts w:ascii="Times New Roman" w:eastAsia="Times New Roman" w:hAnsi="Times New Roman" w:cs="Times New Roman"/>
          <w:sz w:val="24"/>
          <w:szCs w:val="24"/>
        </w:rPr>
        <w:t>(11, 13 un 15 gadu vec</w:t>
      </w:r>
      <w:r w:rsidR="00CD45DF" w:rsidRPr="006750B5">
        <w:rPr>
          <w:rFonts w:ascii="Times New Roman" w:eastAsia="Times New Roman" w:hAnsi="Times New Roman" w:cs="Times New Roman"/>
          <w:sz w:val="24"/>
          <w:szCs w:val="24"/>
        </w:rPr>
        <w:t>umā</w:t>
      </w:r>
      <w:r w:rsidR="008C6118" w:rsidRPr="006750B5">
        <w:rPr>
          <w:rFonts w:ascii="Times New Roman" w:eastAsia="Times New Roman" w:hAnsi="Times New Roman" w:cs="Times New Roman"/>
          <w:sz w:val="24"/>
          <w:szCs w:val="24"/>
        </w:rPr>
        <w:t>)</w:t>
      </w:r>
      <w:r w:rsidR="00CD45DF" w:rsidRPr="006750B5">
        <w:rPr>
          <w:rFonts w:ascii="Times New Roman" w:eastAsia="Times New Roman" w:hAnsi="Times New Roman" w:cs="Times New Roman"/>
          <w:sz w:val="24"/>
          <w:szCs w:val="24"/>
        </w:rPr>
        <w:t xml:space="preserve">. </w:t>
      </w:r>
      <w:r w:rsidR="00557524" w:rsidRPr="006750B5">
        <w:rPr>
          <w:rFonts w:ascii="Times New Roman" w:eastAsia="Times New Roman" w:hAnsi="Times New Roman" w:cs="Times New Roman"/>
          <w:sz w:val="24"/>
          <w:szCs w:val="24"/>
        </w:rPr>
        <w:t>Runājot par</w:t>
      </w:r>
      <w:r w:rsidR="00CD45DF" w:rsidRPr="006750B5">
        <w:rPr>
          <w:rFonts w:ascii="Times New Roman" w:eastAsia="Times New Roman" w:hAnsi="Times New Roman" w:cs="Times New Roman"/>
          <w:sz w:val="24"/>
          <w:szCs w:val="24"/>
        </w:rPr>
        <w:t xml:space="preserve"> p</w:t>
      </w:r>
      <w:r w:rsidR="008C6118" w:rsidRPr="006750B5">
        <w:rPr>
          <w:rFonts w:ascii="Times New Roman" w:eastAsia="Times New Roman" w:hAnsi="Times New Roman" w:cs="Times New Roman"/>
          <w:sz w:val="24"/>
          <w:szCs w:val="24"/>
        </w:rPr>
        <w:t>ieauguš</w:t>
      </w:r>
      <w:r w:rsidR="00557524" w:rsidRPr="006750B5">
        <w:rPr>
          <w:rFonts w:ascii="Times New Roman" w:eastAsia="Times New Roman" w:hAnsi="Times New Roman" w:cs="Times New Roman"/>
          <w:sz w:val="24"/>
          <w:szCs w:val="24"/>
        </w:rPr>
        <w:t>ajiem -</w:t>
      </w:r>
      <w:r w:rsidR="008C6118" w:rsidRPr="006750B5">
        <w:rPr>
          <w:rFonts w:ascii="Times New Roman" w:eastAsia="Times New Roman" w:hAnsi="Times New Roman" w:cs="Times New Roman"/>
          <w:sz w:val="24"/>
          <w:szCs w:val="24"/>
        </w:rPr>
        <w:t xml:space="preserve"> </w:t>
      </w:r>
      <w:r w:rsidR="00557524" w:rsidRPr="006750B5">
        <w:rPr>
          <w:rFonts w:ascii="Times New Roman" w:eastAsia="Times New Roman" w:hAnsi="Times New Roman" w:cs="Times New Roman"/>
          <w:sz w:val="24"/>
          <w:szCs w:val="24"/>
        </w:rPr>
        <w:t>bieži</w:t>
      </w:r>
      <w:r w:rsidR="008C6118" w:rsidRPr="006750B5">
        <w:rPr>
          <w:rFonts w:ascii="Times New Roman" w:eastAsia="Times New Roman" w:hAnsi="Times New Roman" w:cs="Times New Roman"/>
          <w:sz w:val="24"/>
          <w:szCs w:val="24"/>
        </w:rPr>
        <w:t xml:space="preserve"> raksturīgs mazkustīgs dzīvesveids. Tikai viena ceturtdaļa iedzīvotāju nodarbojas ar 30 minū</w:t>
      </w:r>
      <w:r w:rsidR="00557524" w:rsidRPr="006750B5">
        <w:rPr>
          <w:rFonts w:ascii="Times New Roman" w:eastAsia="Times New Roman" w:hAnsi="Times New Roman" w:cs="Times New Roman"/>
          <w:sz w:val="24"/>
          <w:szCs w:val="24"/>
        </w:rPr>
        <w:t>šu</w:t>
      </w:r>
      <w:r w:rsidR="008C6118" w:rsidRPr="006750B5">
        <w:rPr>
          <w:rFonts w:ascii="Times New Roman" w:eastAsia="Times New Roman" w:hAnsi="Times New Roman" w:cs="Times New Roman"/>
          <w:sz w:val="24"/>
          <w:szCs w:val="24"/>
        </w:rPr>
        <w:t xml:space="preserve"> ilgām fiziskām aktivitātēm vismaz 2 reizes nedēļā</w:t>
      </w:r>
      <w:r w:rsidR="00557524" w:rsidRPr="006750B5">
        <w:rPr>
          <w:rFonts w:ascii="Times New Roman" w:eastAsia="Times New Roman" w:hAnsi="Times New Roman" w:cs="Times New Roman"/>
          <w:sz w:val="24"/>
          <w:szCs w:val="24"/>
        </w:rPr>
        <w:t xml:space="preserve"> un tikai</w:t>
      </w:r>
      <w:r w:rsidR="008C6118" w:rsidRPr="006750B5">
        <w:rPr>
          <w:rFonts w:ascii="Times New Roman" w:eastAsia="Times New Roman" w:hAnsi="Times New Roman" w:cs="Times New Roman"/>
          <w:sz w:val="24"/>
          <w:szCs w:val="24"/>
        </w:rPr>
        <w:t xml:space="preserve"> 9,5% iedzīvotāju nodarbojas ar vismaz 30 minūšu ilgām fiziskām aktivitātēm četras reizes nedēļā un biežāk. Vienlaikus L</w:t>
      </w:r>
      <w:r w:rsidR="00855BE5">
        <w:rPr>
          <w:rFonts w:ascii="Times New Roman" w:eastAsia="Times New Roman" w:hAnsi="Times New Roman" w:cs="Times New Roman"/>
          <w:sz w:val="24"/>
          <w:szCs w:val="24"/>
        </w:rPr>
        <w:t>R</w:t>
      </w:r>
      <w:r w:rsidR="008C6118" w:rsidRPr="006750B5">
        <w:rPr>
          <w:rFonts w:ascii="Times New Roman" w:eastAsia="Times New Roman" w:hAnsi="Times New Roman" w:cs="Times New Roman"/>
          <w:sz w:val="24"/>
          <w:szCs w:val="24"/>
        </w:rPr>
        <w:t xml:space="preserve"> ir lielāks alkohola patēriņš uz vienu iedzīvotāju nekā vairumā citu ES valstu. Ik dienu regulāri smēķē katrs ceturtais pieaugušais. Kaut arī pēdējos gados būtiski ir samazinājies cigaretes un ūdenspīpes smēķējošo 13-15 gadīgo jauniešu īpatsvars, tomēr ir palielinājies to jauniešu īpatsvars, kuri ir pamēģinājuši vai regulāri smēķē elektroniskās cigaretes. Pieaugot dažādu jauno tehnoloģiju (viedierīču) nozīmei ikdienas dzīvē, pieaug arī to personu, īpaši bērnu un jauniešu, skaits, k</w:t>
      </w:r>
      <w:r w:rsidR="00F75653" w:rsidRPr="006750B5">
        <w:rPr>
          <w:rFonts w:ascii="Times New Roman" w:eastAsia="Times New Roman" w:hAnsi="Times New Roman" w:cs="Times New Roman"/>
          <w:sz w:val="24"/>
          <w:szCs w:val="24"/>
        </w:rPr>
        <w:t>as</w:t>
      </w:r>
      <w:r w:rsidR="008C6118" w:rsidRPr="006750B5">
        <w:rPr>
          <w:rFonts w:ascii="Times New Roman" w:eastAsia="Times New Roman" w:hAnsi="Times New Roman" w:cs="Times New Roman"/>
          <w:sz w:val="24"/>
          <w:szCs w:val="24"/>
        </w:rPr>
        <w:t xml:space="preserve"> ikdienā pārmērīgi aizraujas ar šo tehnoloģiju lietošanu. Tāpat </w:t>
      </w:r>
      <w:r w:rsidR="00557524" w:rsidRPr="006750B5">
        <w:rPr>
          <w:rFonts w:ascii="Times New Roman" w:eastAsia="Times New Roman" w:hAnsi="Times New Roman" w:cs="Times New Roman"/>
          <w:sz w:val="24"/>
          <w:szCs w:val="24"/>
        </w:rPr>
        <w:t>s</w:t>
      </w:r>
      <w:r w:rsidR="008C6118" w:rsidRPr="006750B5">
        <w:rPr>
          <w:rFonts w:ascii="Times New Roman" w:eastAsia="Times New Roman" w:hAnsi="Times New Roman" w:cs="Times New Roman"/>
          <w:sz w:val="24"/>
          <w:szCs w:val="24"/>
        </w:rPr>
        <w:t>abiedrībā, ir populāras arī dažādas azartspēles un videospēles, t</w:t>
      </w:r>
      <w:r w:rsidR="00102172">
        <w:rPr>
          <w:rFonts w:ascii="Times New Roman" w:eastAsia="Times New Roman" w:hAnsi="Times New Roman" w:cs="Times New Roman"/>
          <w:sz w:val="24"/>
          <w:szCs w:val="24"/>
        </w:rPr>
        <w:t>.sk.</w:t>
      </w:r>
      <w:r w:rsidR="008C6118" w:rsidRPr="006750B5">
        <w:rPr>
          <w:rFonts w:ascii="Times New Roman" w:eastAsia="Times New Roman" w:hAnsi="Times New Roman" w:cs="Times New Roman"/>
          <w:sz w:val="24"/>
          <w:szCs w:val="24"/>
        </w:rPr>
        <w:t xml:space="preserve"> interaktīvajā vidē. Pētījuma dati rāda, ka 6,4% respondentu varētu skart azartspēļu </w:t>
      </w:r>
      <w:r w:rsidR="00557524" w:rsidRPr="006750B5">
        <w:rPr>
          <w:rFonts w:ascii="Times New Roman" w:eastAsia="Times New Roman" w:hAnsi="Times New Roman" w:cs="Times New Roman"/>
          <w:sz w:val="24"/>
          <w:szCs w:val="24"/>
        </w:rPr>
        <w:t>atkarība</w:t>
      </w:r>
      <w:r w:rsidR="008C6118" w:rsidRPr="006750B5">
        <w:rPr>
          <w:rFonts w:ascii="Times New Roman" w:eastAsia="Times New Roman" w:hAnsi="Times New Roman" w:cs="Times New Roman"/>
          <w:sz w:val="24"/>
          <w:szCs w:val="24"/>
        </w:rPr>
        <w:t>, t</w:t>
      </w:r>
      <w:r w:rsidR="00102172">
        <w:rPr>
          <w:rFonts w:ascii="Times New Roman" w:eastAsia="Times New Roman" w:hAnsi="Times New Roman" w:cs="Times New Roman"/>
          <w:sz w:val="24"/>
          <w:szCs w:val="24"/>
        </w:rPr>
        <w:t>.sk.</w:t>
      </w:r>
      <w:r w:rsidR="008C6118" w:rsidRPr="006750B5">
        <w:rPr>
          <w:rFonts w:ascii="Times New Roman" w:eastAsia="Times New Roman" w:hAnsi="Times New Roman" w:cs="Times New Roman"/>
          <w:sz w:val="24"/>
          <w:szCs w:val="24"/>
        </w:rPr>
        <w:t xml:space="preserve"> </w:t>
      </w:r>
      <w:r w:rsidR="00557524" w:rsidRPr="006750B5">
        <w:rPr>
          <w:rFonts w:ascii="Times New Roman" w:eastAsia="Times New Roman" w:hAnsi="Times New Roman" w:cs="Times New Roman"/>
          <w:sz w:val="24"/>
          <w:szCs w:val="24"/>
        </w:rPr>
        <w:t xml:space="preserve">atkarība no dalības </w:t>
      </w:r>
      <w:r w:rsidR="008C6118" w:rsidRPr="006750B5">
        <w:rPr>
          <w:rFonts w:ascii="Times New Roman" w:eastAsia="Times New Roman" w:hAnsi="Times New Roman" w:cs="Times New Roman"/>
          <w:sz w:val="24"/>
          <w:szCs w:val="24"/>
        </w:rPr>
        <w:t>loterij</w:t>
      </w:r>
      <w:r w:rsidR="00557524" w:rsidRPr="006750B5">
        <w:rPr>
          <w:rFonts w:ascii="Times New Roman" w:eastAsia="Times New Roman" w:hAnsi="Times New Roman" w:cs="Times New Roman"/>
          <w:sz w:val="24"/>
          <w:szCs w:val="24"/>
        </w:rPr>
        <w:t>ās.</w:t>
      </w:r>
      <w:r w:rsidR="008C6118" w:rsidRPr="006750B5">
        <w:rPr>
          <w:rFonts w:ascii="Times New Roman" w:eastAsia="Times New Roman" w:hAnsi="Times New Roman" w:cs="Times New Roman"/>
          <w:sz w:val="24"/>
          <w:szCs w:val="24"/>
        </w:rPr>
        <w:t xml:space="preserve"> Iedzīvotāju zināšanas par seksuālās un reproduktīvās veselības jautājumiem, jo īpaši dažādās sociālās atstumtības un nabadzības riskam pakļautajās grupās, ir nepietiekamas un joprojām ir salīdzinoši augsts nepilngadīgo grūtnieču skaits, kā arī salīdzinoši augsts mākslīgi veikto abortu skaits nepilngadīgām sievietēm. </w:t>
      </w:r>
      <w:r w:rsidR="00557524" w:rsidRPr="006750B5">
        <w:rPr>
          <w:rFonts w:ascii="Times New Roman" w:eastAsia="Times New Roman" w:hAnsi="Times New Roman" w:cs="Times New Roman"/>
          <w:sz w:val="24"/>
          <w:szCs w:val="24"/>
        </w:rPr>
        <w:t>Izsmiešana un apcelšana</w:t>
      </w:r>
      <w:r w:rsidR="008C6118" w:rsidRPr="006750B5">
        <w:rPr>
          <w:rFonts w:ascii="Times New Roman" w:eastAsia="Times New Roman" w:hAnsi="Times New Roman" w:cs="Times New Roman"/>
          <w:sz w:val="24"/>
          <w:szCs w:val="24"/>
        </w:rPr>
        <w:t xml:space="preserve"> bērnu vidū Latvijā ir otra augstākā E</w:t>
      </w:r>
      <w:r w:rsidR="00855BE5">
        <w:rPr>
          <w:rFonts w:ascii="Times New Roman" w:eastAsia="Times New Roman" w:hAnsi="Times New Roman" w:cs="Times New Roman"/>
          <w:sz w:val="24"/>
          <w:szCs w:val="24"/>
        </w:rPr>
        <w:t>S</w:t>
      </w:r>
      <w:r w:rsidR="008C6118" w:rsidRPr="006750B5">
        <w:rPr>
          <w:rFonts w:ascii="Times New Roman" w:eastAsia="Times New Roman" w:hAnsi="Times New Roman" w:cs="Times New Roman"/>
          <w:sz w:val="24"/>
          <w:szCs w:val="24"/>
        </w:rPr>
        <w:t xml:space="preserve">. Vidēji katrs piektais skolēns izglītības iestādēs cieš no </w:t>
      </w:r>
      <w:r w:rsidR="00557524" w:rsidRPr="006750B5">
        <w:rPr>
          <w:rFonts w:ascii="Times New Roman" w:eastAsia="Times New Roman" w:hAnsi="Times New Roman" w:cs="Times New Roman"/>
          <w:sz w:val="24"/>
          <w:szCs w:val="24"/>
        </w:rPr>
        <w:t>izsmiešanas un apcelšanas</w:t>
      </w:r>
      <w:r w:rsidR="008C6118" w:rsidRPr="006750B5">
        <w:rPr>
          <w:rFonts w:ascii="Times New Roman" w:eastAsia="Times New Roman" w:hAnsi="Times New Roman" w:cs="Times New Roman"/>
          <w:sz w:val="24"/>
          <w:szCs w:val="24"/>
        </w:rPr>
        <w:t xml:space="preserve">. Latvijas iedzīvotāju psihoemocionālais stāvoklis ir pasliktinājies, un pieaug to cilvēku skaits, kuri izjūt stresu, sasprindzinājumu un nomāktību. Pašnāvību skaits pēdējos gados ir samazinājies, tomēr joprojām tas saglabājas augsts, īpaši vīriešu vidū. </w:t>
      </w:r>
    </w:p>
    <w:p w14:paraId="1F4B6F1B" w14:textId="79820E24" w:rsidR="008C6118" w:rsidRPr="006750B5" w:rsidRDefault="008C6118" w:rsidP="007545BD">
      <w:pPr>
        <w:pStyle w:val="ListParagraph"/>
        <w:numPr>
          <w:ilvl w:val="0"/>
          <w:numId w:val="60"/>
        </w:numPr>
        <w:spacing w:after="0" w:line="240" w:lineRule="auto"/>
        <w:ind w:left="567" w:hanging="567"/>
        <w:jc w:val="both"/>
        <w:rPr>
          <w:rFonts w:ascii="Times New Roman" w:eastAsia="Times New Roman" w:hAnsi="Times New Roman" w:cs="Times New Roman"/>
          <w:sz w:val="24"/>
          <w:szCs w:val="24"/>
        </w:rPr>
      </w:pPr>
      <w:r w:rsidRPr="006750B5">
        <w:rPr>
          <w:rFonts w:ascii="Times New Roman" w:eastAsia="Times New Roman" w:hAnsi="Times New Roman" w:cs="Times New Roman"/>
          <w:sz w:val="24"/>
          <w:szCs w:val="24"/>
        </w:rPr>
        <w:t>Primāri svarīgi sabiedrības veselības veicināšanā ir izglītot sabiedrību par sirds un asinsvadu sistēmas slimību (SAS) un onkoloģisko slimību profilaksi. SAS ir galvenais mirstības cēlonis Latvijā – 2019. gadā 15 tūkstoši mirušo jeb 55% no kopējā mirušo skaita, t.sk. 24% sirds išēmiskas slimības, 18% cerebrovaskulāras slimības. ES nāves cēloņu struktūrā galvenā cēloņu grupa arī ir SAS – 36%. SAS ir arī viens no galvenajiem invaliditātes cēloņiem. 22% pieaugušo pirmreizējās invaliditātes cēlonis 2018. gadā bija SAS. Ļaundabīgie audzēji ir otrs biežākais (pēc SAS) Latvijas iedzīvotāju nāves cēlonis. L</w:t>
      </w:r>
      <w:r w:rsidR="00855BE5">
        <w:rPr>
          <w:rFonts w:ascii="Times New Roman" w:eastAsia="Times New Roman" w:hAnsi="Times New Roman" w:cs="Times New Roman"/>
          <w:sz w:val="24"/>
          <w:szCs w:val="24"/>
        </w:rPr>
        <w:t>R</w:t>
      </w:r>
      <w:r w:rsidRPr="006750B5">
        <w:rPr>
          <w:rFonts w:ascii="Times New Roman" w:eastAsia="Times New Roman" w:hAnsi="Times New Roman" w:cs="Times New Roman"/>
          <w:sz w:val="24"/>
          <w:szCs w:val="24"/>
        </w:rPr>
        <w:t xml:space="preserve"> ik gadu no ļaundabīgajiem audzējiem nomirst ap 6000 cilvēku, jeb ap 22% no visiem mirušajiem (2019. gadā – 5924). 2019. gadā 27% no tiem bija vecumā līdz 64 gadiem. Tāpat kā SAS arī ļaundabīgie audzēji ir viens no galvenajiem invaliditātes cēloņiem. 23% pieaugušo pirmreizējās invaliditātes cēlonis 2018. gadā bija ļaundabīgie audzēji.</w:t>
      </w:r>
    </w:p>
    <w:p w14:paraId="0D06CFD1" w14:textId="6D9BEFA6" w:rsidR="00AC212B" w:rsidRPr="00930237" w:rsidRDefault="008C6118"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AC79EB">
        <w:rPr>
          <w:rFonts w:ascii="Times New Roman" w:hAnsi="Times New Roman" w:cs="Times New Roman"/>
          <w:sz w:val="24"/>
          <w:szCs w:val="24"/>
        </w:rPr>
        <w:t>Ņemot vērā visu iepriekšminēto</w:t>
      </w:r>
      <w:r w:rsidR="00AC212B" w:rsidRPr="00930237">
        <w:rPr>
          <w:rFonts w:ascii="Times New Roman" w:hAnsi="Times New Roman" w:cs="Times New Roman"/>
          <w:sz w:val="24"/>
          <w:szCs w:val="24"/>
        </w:rPr>
        <w:t xml:space="preserve">, </w:t>
      </w:r>
      <w:r w:rsidRPr="008C6118">
        <w:rPr>
          <w:rFonts w:ascii="Times New Roman" w:hAnsi="Times New Roman" w:cs="Times New Roman"/>
          <w:sz w:val="24"/>
          <w:szCs w:val="24"/>
        </w:rPr>
        <w:t>tiks nodrošināti dažādām iedzīvotāju mērķgrupām pielāgoti veselības veicināšanas un slimību profilakses pasākumi lokālā līmenī, piemēram, nodarbības/lekcijas, interešu grupas, semināri, atbalsta grupas, nometnes, konkrētu rīcību vai iespēju popularizējošu pasākumi u</w:t>
      </w:r>
      <w:r w:rsidR="009861BC">
        <w:rPr>
          <w:rFonts w:ascii="Times New Roman" w:hAnsi="Times New Roman" w:cs="Times New Roman"/>
          <w:sz w:val="24"/>
          <w:szCs w:val="24"/>
        </w:rPr>
        <w:t>.</w:t>
      </w:r>
      <w:r w:rsidRPr="008C6118">
        <w:rPr>
          <w:rFonts w:ascii="Times New Roman" w:hAnsi="Times New Roman" w:cs="Times New Roman"/>
          <w:sz w:val="24"/>
          <w:szCs w:val="24"/>
        </w:rPr>
        <w:t>tml.</w:t>
      </w:r>
      <w:r w:rsidR="009861BC">
        <w:rPr>
          <w:rFonts w:ascii="Times New Roman" w:hAnsi="Times New Roman" w:cs="Times New Roman"/>
          <w:sz w:val="24"/>
          <w:szCs w:val="24"/>
        </w:rPr>
        <w:t xml:space="preserve"> .N</w:t>
      </w:r>
      <w:r w:rsidRPr="008C6118">
        <w:rPr>
          <w:rFonts w:ascii="Times New Roman" w:hAnsi="Times New Roman" w:cs="Times New Roman"/>
          <w:sz w:val="24"/>
          <w:szCs w:val="24"/>
        </w:rPr>
        <w:t>acionālā līmenī - kampaņas, sabiedrības informēšanas pasākumi, izglītošanas un apmācības programmas dažādām mērķa grupām u</w:t>
      </w:r>
      <w:r w:rsidR="009861BC">
        <w:rPr>
          <w:rFonts w:ascii="Times New Roman" w:hAnsi="Times New Roman" w:cs="Times New Roman"/>
          <w:sz w:val="24"/>
          <w:szCs w:val="24"/>
        </w:rPr>
        <w:t>.</w:t>
      </w:r>
      <w:r w:rsidRPr="008C6118">
        <w:rPr>
          <w:rFonts w:ascii="Times New Roman" w:hAnsi="Times New Roman" w:cs="Times New Roman"/>
          <w:sz w:val="24"/>
          <w:szCs w:val="24"/>
        </w:rPr>
        <w:t>tml.</w:t>
      </w:r>
      <w:r w:rsidR="009861BC">
        <w:rPr>
          <w:rFonts w:ascii="Times New Roman" w:hAnsi="Times New Roman" w:cs="Times New Roman"/>
          <w:sz w:val="24"/>
          <w:szCs w:val="24"/>
        </w:rPr>
        <w:t xml:space="preserve"> </w:t>
      </w:r>
      <w:r w:rsidRPr="008C6118">
        <w:rPr>
          <w:rFonts w:ascii="Times New Roman" w:hAnsi="Times New Roman" w:cs="Times New Roman"/>
          <w:sz w:val="24"/>
          <w:szCs w:val="24"/>
        </w:rPr>
        <w:t xml:space="preserve">Pasākumi tiks plānoti par veselīgu uzturu, regulāru fizisko aktivitāšu nozīmi, smēķēšanas un alkohola un citu atkarību izraisošo vielu lietošanas negatīvo ietekmi uz veselību, kā arī par atkarību izraisošo procesu ietekmi uz veselību, vienlaikus </w:t>
      </w:r>
      <w:r w:rsidR="00AC212B" w:rsidRPr="00930237">
        <w:rPr>
          <w:rFonts w:ascii="Times New Roman" w:hAnsi="Times New Roman" w:cs="Times New Roman"/>
          <w:sz w:val="24"/>
          <w:szCs w:val="24"/>
        </w:rPr>
        <w:t xml:space="preserve">pilnveidojot un stiprinot </w:t>
      </w:r>
      <w:r w:rsidRPr="008C6118">
        <w:rPr>
          <w:rFonts w:ascii="Times New Roman" w:hAnsi="Times New Roman" w:cs="Times New Roman"/>
          <w:sz w:val="24"/>
          <w:szCs w:val="24"/>
        </w:rPr>
        <w:t>iedzīvotāju zināšanas arī par psihisko</w:t>
      </w:r>
      <w:r>
        <w:rPr>
          <w:rFonts w:ascii="Times New Roman" w:hAnsi="Times New Roman" w:cs="Times New Roman"/>
          <w:sz w:val="24"/>
          <w:szCs w:val="24"/>
        </w:rPr>
        <w:t xml:space="preserve"> </w:t>
      </w:r>
      <w:r w:rsidR="00AC212B" w:rsidRPr="00930237">
        <w:rPr>
          <w:rFonts w:ascii="Times New Roman" w:hAnsi="Times New Roman" w:cs="Times New Roman"/>
          <w:sz w:val="24"/>
          <w:szCs w:val="24"/>
        </w:rPr>
        <w:t xml:space="preserve">un </w:t>
      </w:r>
      <w:r w:rsidRPr="008C6118">
        <w:rPr>
          <w:rFonts w:ascii="Times New Roman" w:hAnsi="Times New Roman" w:cs="Times New Roman"/>
          <w:sz w:val="24"/>
          <w:szCs w:val="24"/>
        </w:rPr>
        <w:t>emocionālo, kā arī seksuālo un reproduktīvo veselību.</w:t>
      </w:r>
      <w:r>
        <w:rPr>
          <w:rFonts w:ascii="Times New Roman" w:hAnsi="Times New Roman" w:cs="Times New Roman"/>
          <w:sz w:val="24"/>
          <w:szCs w:val="24"/>
        </w:rPr>
        <w:t xml:space="preserve"> </w:t>
      </w:r>
      <w:r w:rsidRPr="008C6118">
        <w:rPr>
          <w:rFonts w:ascii="Times New Roman" w:hAnsi="Times New Roman" w:cs="Times New Roman"/>
          <w:sz w:val="24"/>
          <w:szCs w:val="24"/>
        </w:rPr>
        <w:t>Atbalstāma darbība būs arī veselības monitorings un pētījumi dažādās jomās</w:t>
      </w:r>
      <w:r w:rsidRPr="008C6118" w:rsidDel="008C6118">
        <w:rPr>
          <w:rFonts w:ascii="Times New Roman" w:hAnsi="Times New Roman" w:cs="Times New Roman"/>
          <w:sz w:val="24"/>
          <w:szCs w:val="24"/>
        </w:rPr>
        <w:t xml:space="preserve"> </w:t>
      </w:r>
      <w:r w:rsidR="00AC212B" w:rsidRPr="00930237">
        <w:rPr>
          <w:rFonts w:ascii="Times New Roman" w:hAnsi="Times New Roman" w:cs="Times New Roman"/>
          <w:sz w:val="24"/>
          <w:szCs w:val="24"/>
        </w:rPr>
        <w:t xml:space="preserve">jaunu IT risinājumu </w:t>
      </w:r>
      <w:r w:rsidRPr="008C6118">
        <w:rPr>
          <w:rFonts w:ascii="Times New Roman" w:hAnsi="Times New Roman" w:cs="Times New Roman"/>
          <w:sz w:val="24"/>
          <w:szCs w:val="24"/>
        </w:rPr>
        <w:t>izstrāde, kā arī veselības saglabāšana un uzlabošanas pasākumu īstenošana, kā rezultātā būs palielinājusies tā iedzīvotāju daļa, kas veselības dēļ ir mainīju</w:t>
      </w:r>
      <w:r w:rsidR="004D38E7">
        <w:rPr>
          <w:rFonts w:ascii="Times New Roman" w:hAnsi="Times New Roman" w:cs="Times New Roman"/>
          <w:sz w:val="24"/>
          <w:szCs w:val="24"/>
        </w:rPr>
        <w:t>s</w:t>
      </w:r>
      <w:r w:rsidRPr="008C6118">
        <w:rPr>
          <w:rFonts w:ascii="Times New Roman" w:hAnsi="Times New Roman" w:cs="Times New Roman"/>
          <w:sz w:val="24"/>
          <w:szCs w:val="24"/>
        </w:rPr>
        <w:t xml:space="preserve">i dzīvesveida paradumus, </w:t>
      </w:r>
      <w:r w:rsidR="004D38E7">
        <w:rPr>
          <w:rFonts w:ascii="Times New Roman" w:hAnsi="Times New Roman" w:cs="Times New Roman"/>
          <w:sz w:val="24"/>
          <w:szCs w:val="24"/>
        </w:rPr>
        <w:t>ļaujot</w:t>
      </w:r>
      <w:r w:rsidRPr="008C6118">
        <w:rPr>
          <w:rFonts w:ascii="Times New Roman" w:hAnsi="Times New Roman" w:cs="Times New Roman"/>
          <w:sz w:val="24"/>
          <w:szCs w:val="24"/>
        </w:rPr>
        <w:t xml:space="preserve"> iedzīvotājiem ilgāk saglabāt veselību un novērst iespējamu slimību attīstību</w:t>
      </w:r>
      <w:r w:rsidR="00AC212B" w:rsidRPr="00930237">
        <w:rPr>
          <w:rFonts w:ascii="Times New Roman" w:hAnsi="Times New Roman" w:cs="Times New Roman"/>
          <w:sz w:val="24"/>
          <w:szCs w:val="24"/>
        </w:rPr>
        <w:t>.</w:t>
      </w:r>
    </w:p>
    <w:p w14:paraId="595F3182" w14:textId="2A24FF7A" w:rsidR="00AC212B" w:rsidRPr="00930237"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iCs/>
          <w:noProof/>
          <w:sz w:val="24"/>
          <w:szCs w:val="24"/>
        </w:rPr>
      </w:pPr>
      <w:r w:rsidRPr="00930237">
        <w:rPr>
          <w:rFonts w:ascii="Times New Roman" w:eastAsia="Times New Roman" w:hAnsi="Times New Roman" w:cs="Times New Roman"/>
          <w:iCs/>
          <w:noProof/>
          <w:sz w:val="24"/>
          <w:szCs w:val="24"/>
        </w:rPr>
        <w:t>Tāpat plānots īstenot pierādījumos balstītas narkotiku lietošanas profilakses programmas, kas vienlaikus vērstas uz drošas vides veidošanu un likumpārkāpumu novēršanu, vienlaikus sitprinot kapacitāti un kvalitāti narkotiku profilakses jomā. Programmas vērstas uz sociālās uzvedības veidošanu, lai novērstu agresivitāti, mobingu, vardarbību un citas deviantas uzvedības, kas vienlaikus ir arī riska faktori atkarību izraisošo vielu lietošanai vēlākos gados, kā arī izveidotu stabilu sadarbības un atbalsta sistēmu darbam ar nepilngadīgiem likumpārkāpējiem ar atkarību izraisošo vielu lietošanas traucējumiem.</w:t>
      </w:r>
      <w:r w:rsidRPr="00930237">
        <w:rPr>
          <w:rFonts w:ascii="Times New Roman" w:hAnsi="Times New Roman" w:cs="Times New Roman"/>
          <w:sz w:val="24"/>
          <w:szCs w:val="24"/>
        </w:rPr>
        <w:t xml:space="preserve"> </w:t>
      </w:r>
    </w:p>
    <w:p w14:paraId="33FB24FD" w14:textId="180D031D"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 xml:space="preserve">Lai nodrošinātu no azartspēlēm un izlozēm atkarīgo personu atgriešanos darba tirgū, plānots izstrādāt azartspēļu atkarības līmeņa un uzvedības monitoringa analītisko rīku, kas ļauj identificēt riskantos spēlētājus, kuriem vēl nav diagnosticēta procesu atkarība, tādējādi veicinot augstāku nodarbinātību, uzlabojot darba kvalitāti un ražīgumu. Veikt regulāros pētījumus par indicētās profilakses īstenotām programmām, procesu atkarības (it īpaši azartspēļu atkarībai interaktīvajā vidē) novēršanai citās valstīs, kas atbilst labās prakses principiem, piedāvājot ieviešanai Latvijā strukturētu, teorijā balstītu un empīriski pamatotu (novērtētu) programmu (turpmāk – interaktīvās intervences programmu). </w:t>
      </w:r>
      <w:r w:rsidR="008C6118" w:rsidRPr="00C51F92">
        <w:rPr>
          <w:rFonts w:ascii="Times New Roman" w:hAnsi="Times New Roman" w:cs="Times New Roman"/>
          <w:sz w:val="24"/>
          <w:szCs w:val="24"/>
        </w:rPr>
        <w:t>Tāpat ir plānots izglītot sabiedrību par procesu atkarības riskiem un pieejamo palīdzību iedzīvotājiem, kuri cieš no procesu atkarības</w:t>
      </w:r>
      <w:r w:rsidR="000E5285">
        <w:rPr>
          <w:rFonts w:ascii="Times New Roman" w:hAnsi="Times New Roman" w:cs="Times New Roman"/>
          <w:sz w:val="24"/>
          <w:szCs w:val="24"/>
        </w:rPr>
        <w:t>,</w:t>
      </w:r>
      <w:r w:rsidR="008C6118" w:rsidRPr="00C51F92">
        <w:rPr>
          <w:rFonts w:ascii="Times New Roman" w:hAnsi="Times New Roman" w:cs="Times New Roman"/>
          <w:sz w:val="24"/>
          <w:szCs w:val="24"/>
        </w:rPr>
        <w:t xml:space="preserve"> </w:t>
      </w:r>
      <w:r w:rsidR="008C6118">
        <w:rPr>
          <w:rFonts w:ascii="Times New Roman" w:hAnsi="Times New Roman" w:cs="Times New Roman"/>
          <w:sz w:val="24"/>
          <w:szCs w:val="24"/>
        </w:rPr>
        <w:t>vienlaikus izstrādājot un ieviešot arī profilakses programmu izglītības iestādēs par procesu atkarības riskiem, kā arī ī</w:t>
      </w:r>
      <w:r w:rsidR="008C6118" w:rsidRPr="00C51F92">
        <w:rPr>
          <w:rFonts w:ascii="Times New Roman" w:hAnsi="Times New Roman" w:cs="Times New Roman"/>
          <w:sz w:val="24"/>
          <w:szCs w:val="24"/>
        </w:rPr>
        <w:t>steno</w:t>
      </w:r>
      <w:r w:rsidR="008C6118">
        <w:rPr>
          <w:rFonts w:ascii="Times New Roman" w:hAnsi="Times New Roman" w:cs="Times New Roman"/>
          <w:sz w:val="24"/>
          <w:szCs w:val="24"/>
        </w:rPr>
        <w:t xml:space="preserve">jot </w:t>
      </w:r>
      <w:r w:rsidR="008C6118" w:rsidRPr="00C51F92">
        <w:rPr>
          <w:rFonts w:ascii="Times New Roman" w:hAnsi="Times New Roman" w:cs="Times New Roman"/>
          <w:sz w:val="24"/>
          <w:szCs w:val="24"/>
        </w:rPr>
        <w:t>iedzīvotāju paradumu monitoringu, veicot regulārus pētījumus par atkarības izraisošo procesu lietošanas tendencēm un paradumiem valst</w:t>
      </w:r>
      <w:r w:rsidR="008C6118">
        <w:rPr>
          <w:rFonts w:ascii="Times New Roman" w:hAnsi="Times New Roman" w:cs="Times New Roman"/>
          <w:sz w:val="24"/>
          <w:szCs w:val="24"/>
        </w:rPr>
        <w:t xml:space="preserve">ī. </w:t>
      </w:r>
    </w:p>
    <w:p w14:paraId="44C6D2CE" w14:textId="3139D40A"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noProof/>
          <w:color w:val="000000" w:themeColor="text1"/>
          <w:sz w:val="24"/>
          <w:szCs w:val="24"/>
        </w:rPr>
      </w:pPr>
      <w:r w:rsidRPr="00930237">
        <w:rPr>
          <w:rFonts w:ascii="Times New Roman" w:eastAsia="Times New Roman" w:hAnsi="Times New Roman" w:cs="Times New Roman"/>
          <w:b/>
          <w:sz w:val="24"/>
          <w:szCs w:val="24"/>
        </w:rPr>
        <w:t xml:space="preserve">Galvenās mērķgrupas: </w:t>
      </w:r>
      <w:r w:rsidRPr="00930237">
        <w:rPr>
          <w:rFonts w:ascii="Times New Roman" w:hAnsi="Times New Roman" w:cs="Times New Roman"/>
          <w:sz w:val="24"/>
          <w:szCs w:val="24"/>
        </w:rPr>
        <w:t xml:space="preserve">Visi Latvijas iedzīvotāji, ārstniecības iestādes, izglītības iestādes, </w:t>
      </w:r>
      <w:r w:rsidR="004A58D0">
        <w:rPr>
          <w:rFonts w:ascii="Times New Roman" w:hAnsi="Times New Roman" w:cs="Times New Roman"/>
          <w:sz w:val="24"/>
          <w:szCs w:val="24"/>
        </w:rPr>
        <w:t xml:space="preserve">plānošanas reģioni, </w:t>
      </w:r>
      <w:r w:rsidRPr="00930237">
        <w:rPr>
          <w:rFonts w:ascii="Times New Roman" w:hAnsi="Times New Roman" w:cs="Times New Roman"/>
          <w:sz w:val="24"/>
          <w:szCs w:val="24"/>
        </w:rPr>
        <w:t xml:space="preserve">pašvaldības, noteiktas sabiedrības grupas (piemēram, bērni un jaunieši, personas ar vielu un procesu atkarībām </w:t>
      </w:r>
      <w:r w:rsidR="008C6118">
        <w:rPr>
          <w:rFonts w:ascii="Times New Roman" w:hAnsi="Times New Roman" w:cs="Times New Roman"/>
          <w:sz w:val="24"/>
          <w:szCs w:val="24"/>
        </w:rPr>
        <w:t>un s</w:t>
      </w:r>
      <w:r w:rsidR="008C6118" w:rsidRPr="005E546F">
        <w:rPr>
          <w:rFonts w:ascii="Times New Roman" w:hAnsi="Times New Roman" w:cs="Times New Roman"/>
          <w:sz w:val="24"/>
          <w:szCs w:val="24"/>
        </w:rPr>
        <w:t>ociālās atstumtības riskam pakļautās iedzīvotāju grupas</w:t>
      </w:r>
      <w:r w:rsidR="008C6118">
        <w:rPr>
          <w:rFonts w:ascii="Times New Roman" w:hAnsi="Times New Roman" w:cs="Times New Roman"/>
          <w:sz w:val="24"/>
          <w:szCs w:val="24"/>
        </w:rPr>
        <w:t xml:space="preserve">, vecāki, darba ņēmēji (jo īpaši gados vecāki) </w:t>
      </w:r>
      <w:r w:rsidRPr="00930237">
        <w:rPr>
          <w:rFonts w:ascii="Times New Roman" w:hAnsi="Times New Roman" w:cs="Times New Roman"/>
          <w:sz w:val="24"/>
          <w:szCs w:val="24"/>
        </w:rPr>
        <w:t xml:space="preserve">u.c.), biedrības un nodibinājumi, </w:t>
      </w:r>
      <w:r w:rsidRPr="00930237">
        <w:rPr>
          <w:rFonts w:ascii="Times New Roman" w:hAnsi="Times New Roman" w:cs="Times New Roman"/>
          <w:noProof/>
          <w:color w:val="000000" w:themeColor="text1"/>
          <w:sz w:val="24"/>
          <w:szCs w:val="24"/>
        </w:rPr>
        <w:t>tiesībaizsardzības un bērnu tiesību aizstāvošās institūcijas (piemēram, tiesas un sociālās korekcijas iestādes)</w:t>
      </w:r>
      <w:r w:rsidRPr="00930237">
        <w:rPr>
          <w:rFonts w:ascii="Times New Roman" w:hAnsi="Times New Roman" w:cs="Times New Roman"/>
          <w:sz w:val="24"/>
          <w:szCs w:val="24"/>
        </w:rPr>
        <w:t>.</w:t>
      </w:r>
    </w:p>
    <w:p w14:paraId="1A91FAF6" w14:textId="77777777"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Darbības, kas nodrošina vienlīdzību, iekļaušanu un nediskrimināciju:</w:t>
      </w:r>
      <w:r w:rsidRPr="00930237">
        <w:rPr>
          <w:rFonts w:ascii="Times New Roman" w:hAnsi="Times New Roman" w:cs="Times New Roman"/>
          <w:sz w:val="24"/>
          <w:szCs w:val="24"/>
        </w:rPr>
        <w:t xml:space="preserve"> projektu un pasākumu īstenošanā un vadībā tiks nodrošināta informācijas un vides pieejamības, nediskriminācijas pēc vecuma, dzimuma, etniskās piederības u.c. pazīmes un vienlīdzīgu iespēju principu ievērošana. Tiks nodrošināta veselības veicināšana un slimību profilakse, kas vērsta uz atšķirību mazināšanu sieviešu un vīriešu paredzamajā mūža ilgumā; sabiedrībā valdošo stereotipu un priekšstatu maiņas pasākumi par sievietes un vīrieša lomām un tām atbilstošu uzvedību attiecībā uz rūpēm par savu veselību un dzīvesveidu. Veicot pētījumus, dati tiks analizēti  dzimuma, vecuma, invaliditātes griezumā, ņemot vērā personu specifiskās situācijas un vajadzības. Semināru, apmācību, darbnīcu un konferenču politikas plānotājiem un saturā tiks integrēti vienlīdzīgu iespēju un nediskriminācijas jautājumi.</w:t>
      </w:r>
    </w:p>
    <w:p w14:paraId="6D5565D6" w14:textId="77777777" w:rsidR="00AC212B" w:rsidRPr="00930237" w:rsidRDefault="00AC212B" w:rsidP="00356CFE">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Mērķteritorijas, t.sk. plānotais teritoriālo rīku izmantojums</w:t>
      </w:r>
      <w:r w:rsidRPr="00930237">
        <w:rPr>
          <w:rFonts w:ascii="Times New Roman" w:hAnsi="Times New Roman" w:cs="Times New Roman"/>
          <w:sz w:val="24"/>
          <w:szCs w:val="24"/>
        </w:rPr>
        <w:t>: Visa Latvija.</w:t>
      </w:r>
    </w:p>
    <w:p w14:paraId="0030C4F9" w14:textId="38EDCBB3" w:rsidR="00AC212B" w:rsidRPr="0047464F" w:rsidRDefault="00AC212B" w:rsidP="00356CFE">
      <w:pPr>
        <w:numPr>
          <w:ilvl w:val="0"/>
          <w:numId w:val="60"/>
        </w:numPr>
        <w:spacing w:before="0" w:after="0"/>
        <w:ind w:left="567" w:hanging="567"/>
        <w:rPr>
          <w:rFonts w:eastAsia="Arial"/>
          <w:szCs w:val="24"/>
        </w:rPr>
      </w:pPr>
      <w:r w:rsidRPr="00930237">
        <w:rPr>
          <w:b/>
          <w:szCs w:val="24"/>
        </w:rPr>
        <w:t>Starpreģionālās, pārrobežu un transnacionālās darbības:</w:t>
      </w:r>
      <w:r w:rsidRPr="00930237">
        <w:rPr>
          <w:szCs w:val="24"/>
        </w:rPr>
        <w:t xml:space="preserve"> </w:t>
      </w:r>
      <w:r w:rsidR="00001E75" w:rsidRPr="00001E75">
        <w:rPr>
          <w:szCs w:val="24"/>
        </w:rPr>
        <w:t>Intervenci var īstenot citā ES dalībvalstī, kā arī ārpus ES, ja darbība veicina konkrētā mērķa sasniegšanu. Sadarbību ar ieinteresētajām pusēm vienā vai vairākās citās valstīs var integrēt projektā, lai stiprinātu darbu pie projekta mērķiem. Sadarbību ar ieinteresētajām pusēm vienā vai vairākās citās valstīs var arī ietvert kā papildinājumu īstenošanā jau esošam projektam, lai veicinātu projekta mērķu sasniegšanu. Abus iespējamos variantus var izmantot saskaņā ar tādām stratēģijām, kā piemēram, Agenda 2030 vai ESSBJ</w:t>
      </w:r>
      <w:r w:rsidR="00E81FB9">
        <w:rPr>
          <w:szCs w:val="24"/>
        </w:rPr>
        <w:t>R.</w:t>
      </w:r>
      <w:r w:rsidR="00861AF6">
        <w:rPr>
          <w:rFonts w:eastAsia="Arial"/>
          <w:szCs w:val="24"/>
        </w:rPr>
        <w:t xml:space="preserve"> </w:t>
      </w:r>
      <w:r w:rsidR="0047464F">
        <w:rPr>
          <w:rFonts w:eastAsia="Arial"/>
          <w:szCs w:val="24"/>
        </w:rPr>
        <w:t xml:space="preserve">4.1.2.SAM </w:t>
      </w:r>
      <w:r w:rsidR="00460B7D">
        <w:rPr>
          <w:rFonts w:eastAsia="Arial"/>
          <w:szCs w:val="24"/>
        </w:rPr>
        <w:t xml:space="preserve">ietvaros paredzētās darbības </w:t>
      </w:r>
      <w:r w:rsidR="0047464F">
        <w:rPr>
          <w:rFonts w:eastAsia="Arial"/>
          <w:szCs w:val="24"/>
        </w:rPr>
        <w:t>var sniegt</w:t>
      </w:r>
      <w:r w:rsidR="0047464F" w:rsidRPr="0047464F">
        <w:rPr>
          <w:rFonts w:eastAsia="Arial"/>
          <w:szCs w:val="24"/>
        </w:rPr>
        <w:t xml:space="preserve"> ieguldījumu ESSBJR politikas virziena “</w:t>
      </w:r>
      <w:r w:rsidR="0047464F">
        <w:rPr>
          <w:rFonts w:eastAsia="Arial"/>
          <w:szCs w:val="24"/>
        </w:rPr>
        <w:t>Veselība</w:t>
      </w:r>
      <w:r w:rsidR="0047464F" w:rsidRPr="0047464F">
        <w:rPr>
          <w:rFonts w:eastAsia="Arial"/>
          <w:szCs w:val="24"/>
        </w:rPr>
        <w:t>” īstenošanā.</w:t>
      </w:r>
    </w:p>
    <w:p w14:paraId="6A012C3E" w14:textId="3EF12F4B" w:rsidR="00AC212B" w:rsidRPr="00930237" w:rsidRDefault="0002461B" w:rsidP="00356CFE">
      <w:pPr>
        <w:pStyle w:val="Normal1"/>
        <w:numPr>
          <w:ilvl w:val="0"/>
          <w:numId w:val="60"/>
        </w:numPr>
        <w:spacing w:line="240" w:lineRule="auto"/>
        <w:ind w:left="567" w:hanging="567"/>
        <w:jc w:val="both"/>
        <w:rPr>
          <w:rFonts w:ascii="Times New Roman" w:hAnsi="Times New Roman" w:cs="Times New Roman"/>
          <w:color w:val="FF0000"/>
          <w:sz w:val="24"/>
          <w:szCs w:val="24"/>
        </w:rPr>
      </w:pPr>
      <w:r>
        <w:rPr>
          <w:rFonts w:ascii="Times New Roman" w:hAnsi="Times New Roman" w:cs="Times New Roman"/>
          <w:b/>
          <w:sz w:val="24"/>
          <w:szCs w:val="24"/>
        </w:rPr>
        <w:t>F</w:t>
      </w:r>
      <w:r w:rsidR="00AC212B" w:rsidRPr="00930237">
        <w:rPr>
          <w:rFonts w:ascii="Times New Roman" w:hAnsi="Times New Roman" w:cs="Times New Roman"/>
          <w:b/>
          <w:sz w:val="24"/>
          <w:szCs w:val="24"/>
        </w:rPr>
        <w:t>inanšu instrumenti:</w:t>
      </w:r>
      <w:r w:rsidR="00AC212B" w:rsidRPr="00930237">
        <w:rPr>
          <w:rFonts w:ascii="Times New Roman" w:hAnsi="Times New Roman" w:cs="Times New Roman"/>
          <w:sz w:val="24"/>
          <w:szCs w:val="24"/>
        </w:rPr>
        <w:t xml:space="preserve"> N/A.</w:t>
      </w:r>
    </w:p>
    <w:p w14:paraId="4A0B31AC" w14:textId="77777777" w:rsidR="00AC212B" w:rsidRPr="00930237" w:rsidRDefault="00AC212B" w:rsidP="00AC212B">
      <w:pPr>
        <w:spacing w:before="0" w:after="0"/>
        <w:ind w:left="567" w:hanging="567"/>
        <w:rPr>
          <w:b/>
          <w:bCs/>
          <w:szCs w:val="24"/>
        </w:rPr>
      </w:pPr>
    </w:p>
    <w:p w14:paraId="2A7D71F8" w14:textId="167BA4DA" w:rsidR="00AC212B" w:rsidRPr="00930237" w:rsidRDefault="00AC212B" w:rsidP="00AC212B">
      <w:pPr>
        <w:pStyle w:val="Heading4"/>
        <w:numPr>
          <w:ilvl w:val="0"/>
          <w:numId w:val="0"/>
        </w:numPr>
        <w:spacing w:after="0"/>
        <w:rPr>
          <w:b/>
        </w:rPr>
      </w:pPr>
      <w:r w:rsidRPr="00930237">
        <w:rPr>
          <w:b/>
          <w:shd w:val="clear" w:color="auto" w:fill="FBE4D5" w:themeFill="accent2" w:themeFillTint="33"/>
        </w:rPr>
        <w:t>4.1.3.SAM “</w:t>
      </w:r>
      <w:r w:rsidR="004E7884" w:rsidRPr="004E7884">
        <w:rPr>
          <w:b/>
          <w:shd w:val="clear" w:color="auto" w:fill="FBE4D5" w:themeFill="accent2" w:themeFillTint="33"/>
        </w:rPr>
        <w:t>Uzlabot vienlīdzīgu un savlaicīgu piekļuvi kvalitatīviem, ilgtspējīgiem un izmaksu ziņā pieejamiem veselības aprūpes pakalpojumiem, uzlabojot veselības aprūpes sistēmu efektivitāti un izturētspēju</w:t>
      </w:r>
      <w:r w:rsidRPr="00930237">
        <w:rPr>
          <w:b/>
          <w:shd w:val="clear" w:color="auto" w:fill="FBE4D5" w:themeFill="accent2" w:themeFillTint="33"/>
        </w:rPr>
        <w:t>”</w:t>
      </w:r>
    </w:p>
    <w:p w14:paraId="298A12CF" w14:textId="77777777"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b/>
          <w:color w:val="FF0000"/>
          <w:sz w:val="24"/>
          <w:szCs w:val="24"/>
        </w:rPr>
      </w:pPr>
      <w:r w:rsidRPr="00930237">
        <w:rPr>
          <w:rFonts w:ascii="Times New Roman" w:hAnsi="Times New Roman" w:cs="Times New Roman"/>
          <w:b/>
          <w:sz w:val="24"/>
          <w:szCs w:val="24"/>
        </w:rPr>
        <w:t xml:space="preserve">Atbalstāmās darbības: </w:t>
      </w:r>
      <w:r w:rsidRPr="00930237">
        <w:rPr>
          <w:rFonts w:ascii="Times New Roman" w:hAnsi="Times New Roman" w:cs="Times New Roman"/>
          <w:sz w:val="24"/>
          <w:szCs w:val="24"/>
        </w:rPr>
        <w:t>Lai risinātu cilvēkresursu attīstības problēmas veselības jomā,</w:t>
      </w:r>
      <w:r w:rsidRPr="00930237">
        <w:rPr>
          <w:rFonts w:ascii="Times New Roman" w:hAnsi="Times New Roman" w:cs="Times New Roman"/>
        </w:rPr>
        <w:t xml:space="preserve"> </w:t>
      </w:r>
      <w:r w:rsidRPr="00930237">
        <w:rPr>
          <w:rFonts w:ascii="Times New Roman" w:hAnsi="Times New Roman" w:cs="Times New Roman"/>
          <w:sz w:val="24"/>
          <w:szCs w:val="24"/>
        </w:rPr>
        <w:t xml:space="preserve">kā arī mazinātu sabiedrības veselības krīžu izraisītās sekas, tiks sekmēta </w:t>
      </w:r>
      <w:r w:rsidRPr="00930237">
        <w:rPr>
          <w:rFonts w:ascii="Times New Roman" w:hAnsi="Times New Roman" w:cs="Times New Roman"/>
          <w:bCs/>
          <w:color w:val="000000" w:themeColor="text1"/>
          <w:sz w:val="24"/>
          <w:szCs w:val="24"/>
        </w:rPr>
        <w:t>ārstniecības personu un ārstniecības atbalsta personu profesionālās pilnveides nodrošināšana, tālākizglītības sistēmas izveide, uzturēšana un attīstība, izcilības centru darbības nodrošināšana zināšanu pārnesē, atbalsts rezidentu apmācībām īpaši atbalstāmajās specialitātēs, kompensācijas ārstniecības personām par profesionālās darbības uzsākšanu vai atsākšanu veselības aprūpē, mentoringa programmu, karjeras un talantu vadības programmu ieviešana un ārstniecības personu piesaiste darbam reģionos vai īpaši atbalstāmajās veselības nozares jomās un profesijās. Rezultātā tiks uzlabota pieejamība nepieciešamajām ārstniecības personām un uzlabota ārstniecības, ārstniecības atbalsta personu, farmaceitiskās aprūpes pakalpojumu sniedzēju un sociālajā jomā strādājošo speciālistu kvalifikācija, prasmes un iemaņas, kā arī pilnveidotas zināšanas, uzlabojot pieejamību veselības aprūpes pakalpojumiem iedzīvotājiem.</w:t>
      </w:r>
    </w:p>
    <w:p w14:paraId="31004F44" w14:textId="082A0713"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Tāpat, svarīgi īstenot visaptverošus pasākumus, t</w:t>
      </w:r>
      <w:r w:rsidR="00102172">
        <w:rPr>
          <w:rFonts w:ascii="Times New Roman" w:hAnsi="Times New Roman" w:cs="Times New Roman"/>
          <w:sz w:val="24"/>
          <w:szCs w:val="24"/>
        </w:rPr>
        <w:t>.sk.</w:t>
      </w:r>
      <w:r w:rsidRPr="00930237">
        <w:rPr>
          <w:rFonts w:ascii="Times New Roman" w:hAnsi="Times New Roman" w:cs="Times New Roman"/>
          <w:sz w:val="24"/>
          <w:szCs w:val="24"/>
        </w:rPr>
        <w:t xml:space="preserve"> turpināt darbu pie iesāktās kvalitātes nodrošināšanas sistēmas izstrādes, kas jau novērtēta, kā nepieciešama un vērtīga veselības aprūpes pakalpojumu kvalitātes un pieejamības attīstībā. Lai uzlabotu pacientu drošību, plānoti pētījumi veselības aprūpes kvalitātes novērtēšanai un uzlabošanai, kvalitātes indikatoru un uz starptautiski atzītām vadlīnijām balstītu profesionāļu izstrādātu klīnisko algoritmu, klīnisko pacientu ceļu ieviešana visās veselības aprūpes jomās, IT risinājumu izstrāde, cilvēkresursu kapacitātes stiprināšana kvalitātes nodrošināšanas sistēmas ietvaros, sabiedrības informēšana par aktualitātēm nozarē, veselības aprūpes pakalpojumu saņemšanas iespējām, pacientu apmierinātības ar veselības aprūpi novērtēšana un strīdu risināšanas efektīvu mehānismu veselības aprūpes sistēmā izstrāde.</w:t>
      </w:r>
    </w:p>
    <w:p w14:paraId="73EDA2CA" w14:textId="726985F8"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b/>
          <w:color w:val="FF0000"/>
          <w:sz w:val="24"/>
          <w:szCs w:val="24"/>
        </w:rPr>
      </w:pPr>
      <w:r w:rsidRPr="00930237">
        <w:rPr>
          <w:rFonts w:ascii="Times New Roman" w:hAnsi="Times New Roman" w:cs="Times New Roman"/>
          <w:b/>
          <w:sz w:val="24"/>
          <w:szCs w:val="24"/>
        </w:rPr>
        <w:t xml:space="preserve">Galvenās mērķgrupas: </w:t>
      </w:r>
      <w:r w:rsidRPr="00930237">
        <w:rPr>
          <w:rFonts w:ascii="Times New Roman" w:eastAsia="Times New Roman" w:hAnsi="Times New Roman" w:cs="Times New Roman"/>
          <w:sz w:val="24"/>
          <w:szCs w:val="24"/>
        </w:rPr>
        <w:t xml:space="preserve">ārstniecības personas, rezidenti īpaši atbalstāmajās specialitātēs, </w:t>
      </w:r>
      <w:r w:rsidR="008C6118">
        <w:rPr>
          <w:rFonts w:ascii="Times New Roman" w:eastAsia="Times New Roman" w:hAnsi="Times New Roman" w:cs="Times New Roman"/>
          <w:sz w:val="24"/>
          <w:szCs w:val="24"/>
        </w:rPr>
        <w:t xml:space="preserve">veselības aprūpes pakalpojumu sniegšanā iesaistītās personas, ārstniecības atbalsta personas, </w:t>
      </w:r>
      <w:r w:rsidRPr="00930237">
        <w:rPr>
          <w:rFonts w:ascii="Times New Roman" w:eastAsia="Times New Roman" w:hAnsi="Times New Roman" w:cs="Times New Roman"/>
          <w:sz w:val="24"/>
          <w:szCs w:val="24"/>
        </w:rPr>
        <w:t>ārstniecības iestādes, biedrības un nodibinājumi, visi Latvijas iedzīvotāji un noteiktas sabiedrības grupas (piemēram, bērni un jaunieši).</w:t>
      </w:r>
    </w:p>
    <w:p w14:paraId="7E8B1D55" w14:textId="13C505AD"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b/>
          <w:color w:val="FF0000"/>
          <w:sz w:val="24"/>
          <w:szCs w:val="24"/>
        </w:rPr>
      </w:pPr>
      <w:r w:rsidRPr="00930237">
        <w:rPr>
          <w:rFonts w:ascii="Times New Roman" w:hAnsi="Times New Roman" w:cs="Times New Roman"/>
          <w:b/>
          <w:sz w:val="24"/>
          <w:szCs w:val="24"/>
        </w:rPr>
        <w:t xml:space="preserve">Darbības, kas nodrošina vienlīdzību, iekļaušanu un nediskrimināciju: </w:t>
      </w:r>
      <w:r w:rsidRPr="00930237">
        <w:rPr>
          <w:rFonts w:ascii="Times New Roman" w:hAnsi="Times New Roman" w:cs="Times New Roman"/>
          <w:sz w:val="24"/>
          <w:szCs w:val="24"/>
        </w:rPr>
        <w:t>Veselības aprūpes jomas cilvēkresursu apmācību saturā tiks integrēti vienlīdzīgu iespēju  aspekti - dzimumu līdztiesība, invaliditāte, vecums vai etniskā piederība u</w:t>
      </w:r>
      <w:r w:rsidR="007903C4">
        <w:rPr>
          <w:rFonts w:ascii="Times New Roman" w:hAnsi="Times New Roman" w:cs="Times New Roman"/>
          <w:sz w:val="24"/>
          <w:szCs w:val="24"/>
        </w:rPr>
        <w:t>.c.</w:t>
      </w:r>
      <w:r w:rsidRPr="00930237">
        <w:rPr>
          <w:rFonts w:ascii="Times New Roman" w:hAnsi="Times New Roman" w:cs="Times New Roman"/>
          <w:sz w:val="24"/>
          <w:szCs w:val="24"/>
        </w:rPr>
        <w:t>diskriminācijas veidi. Mācību materiāli būs pieejami arī elektroniski, nodrošinot iespēju personām ar redzes invaliditāti veikt materiāla tālummaiņu. Projekta vadība, apmācību un informēšanas pasākumi u.c. projekta darbības tiks īstenotas pielāgotās telpās personām ar invaliditāti, nodrošinot nepieciešamo aprīkojumu iekļūšanai telpās un pielāgotas informācijas tehnoloģijas, ja tas ir nepieciešams.</w:t>
      </w:r>
    </w:p>
    <w:p w14:paraId="39F1531F" w14:textId="77777777"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Mērķteritorijas, t.sk. plānotais teritoriālo rīku izmantojums</w:t>
      </w:r>
      <w:r w:rsidRPr="00930237">
        <w:rPr>
          <w:rFonts w:ascii="Times New Roman" w:hAnsi="Times New Roman" w:cs="Times New Roman"/>
          <w:sz w:val="24"/>
          <w:szCs w:val="24"/>
        </w:rPr>
        <w:t>: Visa Latvija.</w:t>
      </w:r>
    </w:p>
    <w:p w14:paraId="7A0E8EDF" w14:textId="77777777"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Starpreģionālās, pārrobežu un transnacionālās darbības:</w:t>
      </w:r>
      <w:r w:rsidRPr="00930237">
        <w:rPr>
          <w:rFonts w:ascii="Times New Roman" w:hAnsi="Times New Roman" w:cs="Times New Roman"/>
          <w:sz w:val="24"/>
          <w:szCs w:val="24"/>
        </w:rPr>
        <w:t xml:space="preserve"> N/A</w:t>
      </w:r>
    </w:p>
    <w:p w14:paraId="1B8BED36" w14:textId="0BF44AD7" w:rsidR="00AC212B" w:rsidRPr="00930237" w:rsidRDefault="0002461B" w:rsidP="007545BD">
      <w:pPr>
        <w:pStyle w:val="Normal1"/>
        <w:numPr>
          <w:ilvl w:val="0"/>
          <w:numId w:val="60"/>
        </w:numPr>
        <w:spacing w:line="240" w:lineRule="auto"/>
        <w:ind w:left="567" w:hanging="567"/>
        <w:jc w:val="both"/>
        <w:rPr>
          <w:rFonts w:ascii="Times New Roman" w:hAnsi="Times New Roman" w:cs="Times New Roman"/>
          <w:color w:val="FF0000"/>
          <w:sz w:val="24"/>
          <w:szCs w:val="24"/>
        </w:rPr>
      </w:pPr>
      <w:r>
        <w:rPr>
          <w:rFonts w:ascii="Times New Roman" w:hAnsi="Times New Roman" w:cs="Times New Roman"/>
          <w:b/>
          <w:sz w:val="24"/>
          <w:szCs w:val="24"/>
        </w:rPr>
        <w:t>F</w:t>
      </w:r>
      <w:r w:rsidR="00AC212B" w:rsidRPr="00930237">
        <w:rPr>
          <w:rFonts w:ascii="Times New Roman" w:hAnsi="Times New Roman" w:cs="Times New Roman"/>
          <w:b/>
          <w:sz w:val="24"/>
          <w:szCs w:val="24"/>
        </w:rPr>
        <w:t>inanšu instrumenti:</w:t>
      </w:r>
      <w:r w:rsidR="00AC212B" w:rsidRPr="00930237">
        <w:rPr>
          <w:rFonts w:ascii="Times New Roman" w:hAnsi="Times New Roman" w:cs="Times New Roman"/>
          <w:sz w:val="24"/>
          <w:szCs w:val="24"/>
        </w:rPr>
        <w:t xml:space="preserve"> N/A.</w:t>
      </w:r>
    </w:p>
    <w:p w14:paraId="6217EF2E" w14:textId="77777777" w:rsidR="00AC212B" w:rsidRPr="00930237" w:rsidRDefault="00AC212B" w:rsidP="00AC212B">
      <w:pPr>
        <w:spacing w:before="0" w:after="0"/>
      </w:pPr>
    </w:p>
    <w:p w14:paraId="4B3FAB40" w14:textId="77777777" w:rsidR="00AC212B" w:rsidRPr="00930237" w:rsidRDefault="00AC212B" w:rsidP="00AC212B">
      <w:pPr>
        <w:spacing w:before="0" w:after="0"/>
      </w:pPr>
    </w:p>
    <w:p w14:paraId="64999389" w14:textId="77777777" w:rsidR="00AC212B" w:rsidRPr="00930237" w:rsidRDefault="00AC212B" w:rsidP="00AC212B">
      <w:pPr>
        <w:pStyle w:val="Heading4"/>
        <w:numPr>
          <w:ilvl w:val="0"/>
          <w:numId w:val="0"/>
        </w:numPr>
        <w:shd w:val="clear" w:color="auto" w:fill="F7CAAC" w:themeFill="accent2" w:themeFillTint="66"/>
        <w:spacing w:after="0"/>
        <w:rPr>
          <w:b/>
        </w:rPr>
      </w:pPr>
      <w:r w:rsidRPr="00930237">
        <w:rPr>
          <w:b/>
          <w:shd w:val="clear" w:color="auto" w:fill="F7CAAC" w:themeFill="accent2" w:themeFillTint="66"/>
        </w:rPr>
        <w:t>4.2.Prioritāte “Izglītība, prasmes un mūžizglītība”</w:t>
      </w:r>
    </w:p>
    <w:p w14:paraId="72BDCE13" w14:textId="77777777" w:rsidR="00AC212B" w:rsidRPr="00930237" w:rsidRDefault="00AC212B" w:rsidP="00AC212B">
      <w:pPr>
        <w:pStyle w:val="Heading4"/>
        <w:numPr>
          <w:ilvl w:val="0"/>
          <w:numId w:val="0"/>
        </w:numPr>
        <w:shd w:val="clear" w:color="auto" w:fill="FBE4D5" w:themeFill="accent2" w:themeFillTint="33"/>
        <w:spacing w:after="0"/>
        <w:rPr>
          <w:b/>
          <w:szCs w:val="24"/>
        </w:rPr>
      </w:pPr>
      <w:r w:rsidRPr="00930237">
        <w:rPr>
          <w:b/>
          <w:szCs w:val="24"/>
        </w:rPr>
        <w:t>4.2.1.SAM “Uzlabot piekļuvi iekļaujošiem un kvalitatīviem pakalpojumiem izglītībā, mācībās un mūžizglītībā, attīstot infrastruktūru, tostarp stiprinot tālmācību, tiešsaistes izglītību un mācības”</w:t>
      </w:r>
    </w:p>
    <w:p w14:paraId="7697B0E6" w14:textId="10196206" w:rsidR="00AC212B" w:rsidRPr="00930237" w:rsidRDefault="00AC212B" w:rsidP="007545BD">
      <w:pPr>
        <w:numPr>
          <w:ilvl w:val="0"/>
          <w:numId w:val="60"/>
        </w:numPr>
        <w:spacing w:before="0" w:after="0"/>
        <w:ind w:left="567" w:hanging="567"/>
        <w:contextualSpacing/>
        <w:rPr>
          <w:szCs w:val="24"/>
        </w:rPr>
      </w:pPr>
      <w:r w:rsidRPr="00930237">
        <w:rPr>
          <w:b/>
          <w:noProof/>
          <w:szCs w:val="24"/>
        </w:rPr>
        <w:t>Atbalstāmās darbības:</w:t>
      </w:r>
      <w:r w:rsidRPr="00930237">
        <w:rPr>
          <w:rFonts w:eastAsia="Times New Roman"/>
          <w:b/>
          <w:iCs/>
          <w:noProof/>
          <w:szCs w:val="24"/>
        </w:rPr>
        <w:t xml:space="preserve"> </w:t>
      </w:r>
      <w:r w:rsidRPr="00930237">
        <w:rPr>
          <w:rFonts w:eastAsia="Times New Roman"/>
          <w:szCs w:val="24"/>
        </w:rPr>
        <w:t xml:space="preserve">Atbalsts </w:t>
      </w:r>
      <w:r w:rsidR="00242D6D" w:rsidRPr="00242D6D">
        <w:rPr>
          <w:rFonts w:eastAsia="Times New Roman"/>
          <w:szCs w:val="24"/>
        </w:rPr>
        <w:t>pilnveidotā vispārējās izglītības satura īstenošanai nepieciešamo resursu</w:t>
      </w:r>
      <w:r w:rsidR="00242D6D" w:rsidRPr="00242D6D" w:rsidDel="00242D6D">
        <w:rPr>
          <w:rFonts w:eastAsia="Times New Roman"/>
          <w:szCs w:val="24"/>
        </w:rPr>
        <w:t xml:space="preserve"> </w:t>
      </w:r>
      <w:r w:rsidRPr="00930237">
        <w:rPr>
          <w:rFonts w:eastAsia="Times New Roman"/>
          <w:szCs w:val="24"/>
        </w:rPr>
        <w:t xml:space="preserve">pilnveidošanai, tostarp </w:t>
      </w:r>
      <w:sdt>
        <w:sdtPr>
          <w:tag w:val="goog_rdk_19"/>
          <w:id w:val="771371313"/>
        </w:sdtPr>
        <w:sdtEndPr/>
        <w:sdtContent>
          <w:r w:rsidRPr="00930237">
            <w:rPr>
              <w:rFonts w:eastAsia="Times New Roman"/>
              <w:szCs w:val="24"/>
            </w:rPr>
            <w:t xml:space="preserve">pirmsskolas izglītības iestādēm to nodrošināšanai ar kvalitatīvas izglītības īstenošanai nepieciešamajiem mācību </w:t>
          </w:r>
          <w:r w:rsidRPr="00F35FD3">
            <w:rPr>
              <w:rFonts w:eastAsia="Times New Roman"/>
              <w:szCs w:val="24"/>
            </w:rPr>
            <w:t>līdzekļiem</w:t>
          </w:r>
          <w:r w:rsidR="00F35FD3" w:rsidRPr="00F35FD3">
            <w:rPr>
              <w:rFonts w:eastAsia="Times New Roman"/>
              <w:szCs w:val="24"/>
            </w:rPr>
            <w:t xml:space="preserve"> (t.sk. digitālajiem) </w:t>
          </w:r>
          <w:r w:rsidRPr="00930237">
            <w:rPr>
              <w:rFonts w:eastAsia="Times New Roman"/>
              <w:szCs w:val="24"/>
            </w:rPr>
            <w:t xml:space="preserve">un aprīkojumu, vispārējās </w:t>
          </w:r>
          <w:r w:rsidR="00242D6D" w:rsidRPr="00242D6D">
            <w:rPr>
              <w:rFonts w:eastAsia="Times New Roman"/>
              <w:szCs w:val="24"/>
            </w:rPr>
            <w:t xml:space="preserve">un profesionālās </w:t>
          </w:r>
          <w:r w:rsidRPr="00930237">
            <w:rPr>
              <w:rFonts w:eastAsia="Times New Roman"/>
              <w:szCs w:val="24"/>
            </w:rPr>
            <w:t xml:space="preserve">izglītības iestādēm - </w:t>
          </w:r>
        </w:sdtContent>
      </w:sdt>
      <w:r w:rsidRPr="00930237">
        <w:rPr>
          <w:rFonts w:eastAsia="Times New Roman"/>
          <w:szCs w:val="24"/>
        </w:rPr>
        <w:t xml:space="preserve">datu bāzēm, STEM vajadzībām </w:t>
      </w:r>
      <w:r w:rsidR="00F35FD3" w:rsidRPr="00930237">
        <w:rPr>
          <w:rFonts w:eastAsia="Times New Roman"/>
          <w:szCs w:val="24"/>
        </w:rPr>
        <w:t>nepieciešam</w:t>
      </w:r>
      <w:r w:rsidR="00F35FD3">
        <w:rPr>
          <w:rFonts w:eastAsia="Times New Roman"/>
          <w:szCs w:val="24"/>
        </w:rPr>
        <w:t>o</w:t>
      </w:r>
      <w:r w:rsidR="00F35FD3" w:rsidRPr="00930237">
        <w:rPr>
          <w:rFonts w:eastAsia="Times New Roman"/>
          <w:szCs w:val="24"/>
        </w:rPr>
        <w:t xml:space="preserve"> </w:t>
      </w:r>
      <w:r w:rsidRPr="00930237">
        <w:rPr>
          <w:rFonts w:eastAsia="Times New Roman"/>
          <w:szCs w:val="24"/>
        </w:rPr>
        <w:t>aprīkojum</w:t>
      </w:r>
      <w:sdt>
        <w:sdtPr>
          <w:tag w:val="goog_rdk_20"/>
          <w:id w:val="2090424895"/>
        </w:sdtPr>
        <w:sdtEndPr/>
        <w:sdtContent>
          <w:r w:rsidR="00F35FD3">
            <w:rPr>
              <w:rFonts w:eastAsia="Times New Roman"/>
              <w:szCs w:val="24"/>
            </w:rPr>
            <w:t>u</w:t>
          </w:r>
        </w:sdtContent>
      </w:sdt>
      <w:r w:rsidR="00242D6D">
        <w:t xml:space="preserve"> </w:t>
      </w:r>
      <w:r w:rsidRPr="00930237">
        <w:rPr>
          <w:rFonts w:eastAsia="Times New Roman"/>
          <w:szCs w:val="24"/>
        </w:rPr>
        <w:t>un tehnoloģij</w:t>
      </w:r>
      <w:sdt>
        <w:sdtPr>
          <w:tag w:val="goog_rdk_22"/>
          <w:id w:val="1643692550"/>
        </w:sdtPr>
        <w:sdtEndPr/>
        <w:sdtContent>
          <w:r w:rsidRPr="00930237">
            <w:rPr>
              <w:rFonts w:eastAsia="Times New Roman"/>
              <w:szCs w:val="24"/>
            </w:rPr>
            <w:t>ā</w:t>
          </w:r>
          <w:r w:rsidR="00F35FD3">
            <w:rPr>
              <w:rFonts w:eastAsia="Times New Roman"/>
              <w:szCs w:val="24"/>
            </w:rPr>
            <w:t>m</w:t>
          </w:r>
        </w:sdtContent>
      </w:sdt>
      <w:sdt>
        <w:sdtPr>
          <w:tag w:val="goog_rdk_23"/>
          <w:id w:val="-1111508826"/>
        </w:sdtPr>
        <w:sdtEndPr/>
        <w:sdtContent/>
      </w:sdt>
      <w:r w:rsidRPr="00930237">
        <w:rPr>
          <w:rFonts w:eastAsia="Times New Roman"/>
          <w:szCs w:val="24"/>
        </w:rPr>
        <w:t xml:space="preserve">, kā arī IT skolvadības un mācību procesa risinājumiem, lai nodrošinātu mācību līdzekļu un aprīkojuma atbilstību </w:t>
      </w:r>
      <w:sdt>
        <w:sdtPr>
          <w:tag w:val="goog_rdk_24"/>
          <w:id w:val="270130380"/>
        </w:sdtPr>
        <w:sdtEndPr/>
        <w:sdtContent>
          <w:r w:rsidRPr="00930237">
            <w:rPr>
              <w:rFonts w:eastAsia="Times New Roman"/>
              <w:szCs w:val="24"/>
            </w:rPr>
            <w:t>pilnveidotā</w:t>
          </w:r>
        </w:sdtContent>
      </w:sdt>
      <w:sdt>
        <w:sdtPr>
          <w:tag w:val="goog_rdk_25"/>
          <w:id w:val="-657836994"/>
        </w:sdtPr>
        <w:sdtEndPr/>
        <w:sdtContent/>
      </w:sdt>
      <w:r w:rsidRPr="00930237">
        <w:rPr>
          <w:rFonts w:eastAsia="Times New Roman"/>
          <w:szCs w:val="24"/>
        </w:rPr>
        <w:t xml:space="preserve"> mācību satura īstenošanas vajadzībām.</w:t>
      </w:r>
    </w:p>
    <w:p w14:paraId="346A6D74" w14:textId="6662729F" w:rsidR="00AC212B" w:rsidRDefault="00AC212B" w:rsidP="007545BD">
      <w:pPr>
        <w:numPr>
          <w:ilvl w:val="0"/>
          <w:numId w:val="60"/>
        </w:numPr>
        <w:spacing w:before="0" w:after="0"/>
        <w:ind w:left="567" w:hanging="567"/>
        <w:rPr>
          <w:rFonts w:eastAsia="Arial"/>
          <w:szCs w:val="24"/>
        </w:rPr>
      </w:pPr>
      <w:r w:rsidRPr="00930237">
        <w:rPr>
          <w:rFonts w:eastAsia="Arial"/>
          <w:szCs w:val="24"/>
        </w:rPr>
        <w:t xml:space="preserve">Atbalsts profesionālās izglītības, t.sk. kultūrizglītības, iestāžu un koledžu infrastruktūras, mācību vides un pieejamības uzlabošanai, tostarp </w:t>
      </w:r>
      <w:r w:rsidR="00DD69EB" w:rsidRPr="00DD69EB">
        <w:rPr>
          <w:rFonts w:eastAsia="Arial"/>
          <w:szCs w:val="24"/>
        </w:rPr>
        <w:t>mācību klašu</w:t>
      </w:r>
      <w:r w:rsidR="00242D6D">
        <w:rPr>
          <w:rFonts w:eastAsia="Arial"/>
          <w:szCs w:val="24"/>
        </w:rPr>
        <w:t>,</w:t>
      </w:r>
      <w:r w:rsidR="00DD69EB" w:rsidRPr="00DD69EB">
        <w:rPr>
          <w:rFonts w:eastAsia="Arial"/>
          <w:szCs w:val="24"/>
        </w:rPr>
        <w:t xml:space="preserve"> </w:t>
      </w:r>
      <w:r w:rsidRPr="00930237">
        <w:rPr>
          <w:rFonts w:eastAsia="Arial"/>
          <w:szCs w:val="24"/>
        </w:rPr>
        <w:t xml:space="preserve">mācību poligonu, testa laboratoriju un darbnīcu modernizācija, </w:t>
      </w:r>
      <w:r w:rsidR="00DD69EB" w:rsidRPr="00DD69EB">
        <w:rPr>
          <w:rFonts w:eastAsia="Arial"/>
          <w:szCs w:val="24"/>
        </w:rPr>
        <w:t>koplietošanas telpu, t</w:t>
      </w:r>
      <w:r w:rsidR="00102172">
        <w:rPr>
          <w:rFonts w:eastAsia="Arial"/>
          <w:szCs w:val="24"/>
        </w:rPr>
        <w:t>.sk.</w:t>
      </w:r>
      <w:r w:rsidR="00DD69EB" w:rsidRPr="00DD69EB">
        <w:rPr>
          <w:rFonts w:eastAsia="Arial"/>
          <w:szCs w:val="24"/>
        </w:rPr>
        <w:t xml:space="preserve"> sporta un dienesta viesnīcu infrastruktūras modernizēšana, </w:t>
      </w:r>
      <w:r w:rsidRPr="00930237">
        <w:rPr>
          <w:rFonts w:eastAsia="Arial"/>
          <w:szCs w:val="24"/>
        </w:rPr>
        <w:t>tehnoloģiju, t.sk. dizaina tehnoloģiju, un IT risinājumu iegāde mācību satura un procesa digitalizācijai, lai stiprinātu audzēkņu inovācijas, tehnoloģiju un radošuma prasmju attīstību un nodrošinātu izglītojamo centrētu pieeju atbilstoši nozaru</w:t>
      </w:r>
      <w:r w:rsidR="004A58D0">
        <w:rPr>
          <w:rFonts w:eastAsia="Arial"/>
          <w:szCs w:val="24"/>
        </w:rPr>
        <w:t>, t.sk. reģionālā perspektīvā,</w:t>
      </w:r>
      <w:r w:rsidRPr="00930237">
        <w:rPr>
          <w:rFonts w:eastAsia="Arial"/>
          <w:szCs w:val="24"/>
        </w:rPr>
        <w:t xml:space="preserve"> vajadzībām, kā arī inovāciju un radošo eksperimentu rezultātu pārnesei produktos un pakalpojumos praktiskā pielietojumā, saskatot nākotnes perspektīvas starpnozaru izglītības attīstībai. </w:t>
      </w:r>
    </w:p>
    <w:p w14:paraId="717BB857" w14:textId="31E80338" w:rsidR="002834E0" w:rsidRPr="006E3AD2" w:rsidRDefault="002834E0" w:rsidP="007545BD">
      <w:pPr>
        <w:pStyle w:val="ListParagraph"/>
        <w:numPr>
          <w:ilvl w:val="0"/>
          <w:numId w:val="60"/>
        </w:numPr>
        <w:spacing w:after="0" w:line="240" w:lineRule="auto"/>
        <w:ind w:left="567" w:hanging="567"/>
        <w:jc w:val="both"/>
        <w:rPr>
          <w:rFonts w:eastAsia="Arial"/>
          <w:szCs w:val="24"/>
        </w:rPr>
      </w:pPr>
      <w:r w:rsidRPr="002834E0">
        <w:rPr>
          <w:rFonts w:ascii="Times New Roman" w:eastAsia="Arial" w:hAnsi="Times New Roman" w:cs="Times New Roman"/>
          <w:sz w:val="24"/>
          <w:szCs w:val="24"/>
        </w:rPr>
        <w:t>Atbalsts augstskolu STEM, t</w:t>
      </w:r>
      <w:r w:rsidR="00102172">
        <w:rPr>
          <w:rFonts w:ascii="Times New Roman" w:eastAsia="Arial" w:hAnsi="Times New Roman" w:cs="Times New Roman"/>
          <w:sz w:val="24"/>
          <w:szCs w:val="24"/>
        </w:rPr>
        <w:t>.sk.</w:t>
      </w:r>
      <w:r w:rsidRPr="002834E0">
        <w:rPr>
          <w:rFonts w:ascii="Times New Roman" w:eastAsia="Arial" w:hAnsi="Times New Roman" w:cs="Times New Roman"/>
          <w:sz w:val="24"/>
          <w:szCs w:val="24"/>
        </w:rPr>
        <w:t xml:space="preserve"> radošo industriju un medicīnas, studiju vides attīstībai, tostarp infrastruktūras un aprīkojuma modernizācijai, industrijai 4.0 atbilstošo tehnoloģiju ieviešanai studiju procesā, koplietošanas risinājumu ieviešanai, lai stiprinātu augstākās izglītības, t</w:t>
      </w:r>
      <w:r w:rsidR="00102172">
        <w:rPr>
          <w:rFonts w:ascii="Times New Roman" w:eastAsia="Arial" w:hAnsi="Times New Roman" w:cs="Times New Roman"/>
          <w:sz w:val="24"/>
          <w:szCs w:val="24"/>
        </w:rPr>
        <w:t>.sk.</w:t>
      </w:r>
      <w:r w:rsidRPr="002834E0">
        <w:rPr>
          <w:rFonts w:ascii="Times New Roman" w:eastAsia="Arial" w:hAnsi="Times New Roman" w:cs="Times New Roman"/>
          <w:sz w:val="24"/>
          <w:szCs w:val="24"/>
        </w:rPr>
        <w:t xml:space="preserve"> kultūrizglītības, institūcijas kā zināšanu radīšanas, tehnoloģiju pārneses un inovāciju centrus gudrai izaugsmei.</w:t>
      </w:r>
    </w:p>
    <w:p w14:paraId="71F5C564" w14:textId="287618DF" w:rsidR="00AC212B" w:rsidRPr="00930237" w:rsidRDefault="00AC212B" w:rsidP="007545BD">
      <w:pPr>
        <w:numPr>
          <w:ilvl w:val="0"/>
          <w:numId w:val="60"/>
        </w:numPr>
        <w:spacing w:before="0" w:after="0"/>
        <w:ind w:left="567" w:hanging="567"/>
        <w:rPr>
          <w:rFonts w:eastAsia="Arial"/>
          <w:szCs w:val="24"/>
        </w:rPr>
      </w:pPr>
      <w:r w:rsidRPr="00930237">
        <w:rPr>
          <w:rFonts w:eastAsia="Arial"/>
          <w:szCs w:val="24"/>
        </w:rPr>
        <w:t>Jaunu vietu izveide pirmsskolas vecuma bērnu uzņemšanai, nepieciešama pašvaldību pirmsskolas izglītības iestāžu ēku vai atsevišķu telpu būvniecība, t.sk. piebūves u</w:t>
      </w:r>
      <w:r w:rsidR="007903C4">
        <w:rPr>
          <w:rFonts w:eastAsia="Arial"/>
          <w:szCs w:val="24"/>
        </w:rPr>
        <w:t>.c.</w:t>
      </w:r>
      <w:r w:rsidRPr="00930237">
        <w:rPr>
          <w:rFonts w:eastAsia="Arial"/>
          <w:szCs w:val="24"/>
        </w:rPr>
        <w:t xml:space="preserve"> pirmsskolas izglītības pieejamību veicinoši risinājumi, teritorijas labiekārtošana, lai veicinātu pašvaldību iespējas uzņemties aktīvāku lomu ģimenēm labvēlīgākas vides veidošanā savā administratīvajā teritorijā, palīdzētu pašvaldībām risināt esošās nepilnības pirmsskolas izglītības un bērnu pieskatīšanas pakalpojuma pieejamības jomā, kā arī veicinātu pirmskolas izglītības kvalitāti. </w:t>
      </w:r>
    </w:p>
    <w:p w14:paraId="7CA28DC0" w14:textId="7DD88D67" w:rsidR="00AC212B" w:rsidRPr="00930237" w:rsidRDefault="00AC212B" w:rsidP="007545BD">
      <w:pPr>
        <w:numPr>
          <w:ilvl w:val="0"/>
          <w:numId w:val="60"/>
        </w:numPr>
        <w:spacing w:before="0" w:after="0"/>
        <w:ind w:left="567" w:hanging="567"/>
        <w:rPr>
          <w:rFonts w:eastAsia="Times New Roman"/>
          <w:szCs w:val="24"/>
        </w:rPr>
      </w:pPr>
      <w:r w:rsidRPr="00930237">
        <w:rPr>
          <w:rFonts w:eastAsia="Times New Roman"/>
          <w:szCs w:val="24"/>
        </w:rPr>
        <w:t xml:space="preserve">Atbalsts speciālās izglītības iestāžu materiāltehniskā nodrošinājuma un mācību līdzekļu pilnveidošanai atbilstoši </w:t>
      </w:r>
      <w:sdt>
        <w:sdtPr>
          <w:tag w:val="goog_rdk_27"/>
          <w:id w:val="-1910369405"/>
        </w:sdtPr>
        <w:sdtEndPr/>
        <w:sdtContent>
          <w:sdt>
            <w:sdtPr>
              <w:tag w:val="goog_rdk_28"/>
              <w:id w:val="-356111218"/>
            </w:sdtPr>
            <w:sdtEndPr/>
            <w:sdtContent/>
          </w:sdt>
        </w:sdtContent>
      </w:sdt>
      <w:r w:rsidRPr="00930237">
        <w:rPr>
          <w:rFonts w:eastAsia="Times New Roman"/>
          <w:szCs w:val="24"/>
        </w:rPr>
        <w:t>speciālās izglītības vajadzīb</w:t>
      </w:r>
      <w:sdt>
        <w:sdtPr>
          <w:tag w:val="goog_rdk_29"/>
          <w:id w:val="-935440837"/>
        </w:sdtPr>
        <w:sdtEndPr/>
        <w:sdtContent>
          <w:r w:rsidRPr="00930237">
            <w:rPr>
              <w:rFonts w:eastAsia="Times New Roman"/>
              <w:szCs w:val="24"/>
            </w:rPr>
            <w:t>u grozam</w:t>
          </w:r>
        </w:sdtContent>
      </w:sdt>
      <w:sdt>
        <w:sdtPr>
          <w:tag w:val="goog_rdk_30"/>
          <w:id w:val="-1997412552"/>
        </w:sdtPr>
        <w:sdtEndPr/>
        <w:sdtContent/>
      </w:sdt>
      <w:r w:rsidRPr="00930237">
        <w:rPr>
          <w:rFonts w:eastAsia="Times New Roman"/>
          <w:szCs w:val="24"/>
        </w:rPr>
        <w:t xml:space="preserve">, veicinot izglītojamo ar </w:t>
      </w:r>
      <w:r w:rsidR="00280D88">
        <w:rPr>
          <w:rFonts w:eastAsia="Times New Roman"/>
          <w:szCs w:val="24"/>
        </w:rPr>
        <w:t>speciālām</w:t>
      </w:r>
      <w:r w:rsidR="00280D88" w:rsidRPr="00930237">
        <w:rPr>
          <w:rFonts w:eastAsia="Times New Roman"/>
          <w:szCs w:val="24"/>
        </w:rPr>
        <w:t xml:space="preserve"> </w:t>
      </w:r>
      <w:r w:rsidRPr="00930237">
        <w:rPr>
          <w:rFonts w:eastAsia="Times New Roman"/>
          <w:szCs w:val="24"/>
        </w:rPr>
        <w:t>vajadzībām iekļaušanu.</w:t>
      </w:r>
    </w:p>
    <w:p w14:paraId="03250BD8" w14:textId="77777777" w:rsidR="00AC212B" w:rsidRPr="00930237" w:rsidRDefault="00AC212B" w:rsidP="007545BD">
      <w:pPr>
        <w:pStyle w:val="ListParagraph"/>
        <w:numPr>
          <w:ilvl w:val="0"/>
          <w:numId w:val="60"/>
        </w:numPr>
        <w:spacing w:after="0" w:line="240" w:lineRule="auto"/>
        <w:ind w:left="567" w:hanging="567"/>
        <w:contextualSpacing w:val="0"/>
        <w:jc w:val="both"/>
        <w:rPr>
          <w:rFonts w:ascii="Times New Roman" w:eastAsia="Times New Roman" w:hAnsi="Times New Roman" w:cs="Times New Roman"/>
          <w:sz w:val="24"/>
          <w:szCs w:val="24"/>
        </w:rPr>
      </w:pPr>
      <w:r w:rsidRPr="00930237">
        <w:rPr>
          <w:rFonts w:ascii="Times New Roman" w:eastAsia="Times New Roman" w:hAnsi="Times New Roman" w:cs="Times New Roman"/>
          <w:sz w:val="24"/>
          <w:szCs w:val="24"/>
        </w:rPr>
        <w:t>Atbalsts fokālo punktu izveidei valstī savlaicīga atbalsta sniegšanai pedagogiem, izglītības iestādēm un vecākiem darbā ar bērniem, kuriem ir dažādas mācīšanās vajadzības, tādējādi stiprinot iekļaujošas izglītības pieejamību.</w:t>
      </w:r>
    </w:p>
    <w:p w14:paraId="3F441225" w14:textId="02F81405" w:rsidR="00AC212B" w:rsidRPr="00930237" w:rsidRDefault="00AC212B" w:rsidP="007545BD">
      <w:pPr>
        <w:numPr>
          <w:ilvl w:val="0"/>
          <w:numId w:val="60"/>
        </w:numPr>
        <w:spacing w:before="0" w:after="0"/>
        <w:ind w:left="567" w:hanging="567"/>
        <w:rPr>
          <w:rFonts w:eastAsia="Arial"/>
          <w:szCs w:val="24"/>
        </w:rPr>
      </w:pPr>
      <w:r w:rsidRPr="00930237">
        <w:rPr>
          <w:rFonts w:eastAsia="Arial"/>
          <w:szCs w:val="24"/>
        </w:rPr>
        <w:t>A</w:t>
      </w:r>
      <w:r w:rsidRPr="00930237">
        <w:rPr>
          <w:rFonts w:eastAsia="Times New Roman"/>
          <w:szCs w:val="24"/>
        </w:rPr>
        <w:t>tbalsts asistīvo tehnoloģiju (tehnisko palīglīdzekļu) apmaiņas sistēmas izglītības iestādēm izveide, t</w:t>
      </w:r>
      <w:r w:rsidR="00102172">
        <w:rPr>
          <w:rFonts w:eastAsia="Times New Roman"/>
          <w:szCs w:val="24"/>
        </w:rPr>
        <w:t>.sk.</w:t>
      </w:r>
      <w:r w:rsidRPr="00930237">
        <w:rPr>
          <w:rFonts w:eastAsia="Times New Roman"/>
          <w:szCs w:val="24"/>
        </w:rPr>
        <w:t xml:space="preserve"> sistēmas darbības nodrošināšanā iesaistīto speciālistu un izglītības iestāžu darbinieku apmācība, asistīvo tehnoloģiju iegāde un apmaiņas sistēmas ieviešana izmēģinājumprojektu veidā, sekmējot vienlīdzīgu pieeju kvalitatīvai izglītībai.</w:t>
      </w:r>
    </w:p>
    <w:p w14:paraId="3178E385" w14:textId="7191C59A" w:rsidR="00AC212B" w:rsidRPr="00930237" w:rsidRDefault="00AC212B" w:rsidP="007545BD">
      <w:pPr>
        <w:numPr>
          <w:ilvl w:val="0"/>
          <w:numId w:val="60"/>
        </w:numPr>
        <w:spacing w:before="0" w:after="0"/>
        <w:ind w:left="567" w:hanging="567"/>
        <w:contextualSpacing/>
        <w:rPr>
          <w:rFonts w:eastAsia="Times New Roman"/>
          <w:szCs w:val="24"/>
        </w:rPr>
      </w:pPr>
      <w:r w:rsidRPr="00930237">
        <w:rPr>
          <w:b/>
          <w:noProof/>
          <w:szCs w:val="24"/>
        </w:rPr>
        <w:t xml:space="preserve">Galvenās mērķgrupas: </w:t>
      </w:r>
      <w:r w:rsidRPr="00930237">
        <w:rPr>
          <w:rFonts w:eastAsia="Times New Roman"/>
          <w:szCs w:val="24"/>
        </w:rPr>
        <w:t>Pirmsskolas, vispārējās un profesionālās izglītības</w:t>
      </w:r>
      <w:r w:rsidR="00280D88">
        <w:rPr>
          <w:rFonts w:eastAsia="Times New Roman"/>
          <w:szCs w:val="24"/>
        </w:rPr>
        <w:t>, t.sk. kultūrizglītības</w:t>
      </w:r>
      <w:r w:rsidRPr="00930237">
        <w:rPr>
          <w:rFonts w:eastAsia="Times New Roman"/>
          <w:szCs w:val="24"/>
        </w:rPr>
        <w:t xml:space="preserve"> iestādes, speciālās izglītības iestādes, </w:t>
      </w:r>
      <w:r w:rsidR="00280D88">
        <w:rPr>
          <w:rFonts w:eastAsia="Times New Roman"/>
          <w:szCs w:val="24"/>
        </w:rPr>
        <w:t xml:space="preserve">augstskolas, </w:t>
      </w:r>
      <w:r w:rsidRPr="00930237">
        <w:rPr>
          <w:rFonts w:eastAsia="Times New Roman"/>
          <w:szCs w:val="24"/>
        </w:rPr>
        <w:t xml:space="preserve">koledžas, to pedagogi, </w:t>
      </w:r>
      <w:r w:rsidR="00280D88" w:rsidRPr="00280D88">
        <w:rPr>
          <w:rFonts w:eastAsia="Times New Roman"/>
          <w:szCs w:val="24"/>
        </w:rPr>
        <w:t>akadēmiskais personāls, studējošie</w:t>
      </w:r>
      <w:r w:rsidR="008544CD">
        <w:rPr>
          <w:rFonts w:eastAsia="Times New Roman"/>
          <w:szCs w:val="24"/>
        </w:rPr>
        <w:t>,</w:t>
      </w:r>
      <w:r w:rsidR="00280D88" w:rsidRPr="00280D88">
        <w:rPr>
          <w:rFonts w:eastAsia="Times New Roman"/>
          <w:szCs w:val="24"/>
        </w:rPr>
        <w:t xml:space="preserve"> </w:t>
      </w:r>
      <w:r w:rsidRPr="00930237">
        <w:rPr>
          <w:rFonts w:eastAsia="Times New Roman"/>
          <w:szCs w:val="24"/>
        </w:rPr>
        <w:t>izglītojamie, kā arī viņu vecāki</w:t>
      </w:r>
      <w:r w:rsidR="00680ABD">
        <w:rPr>
          <w:rFonts w:eastAsia="Times New Roman"/>
          <w:szCs w:val="24"/>
        </w:rPr>
        <w:t>.</w:t>
      </w:r>
    </w:p>
    <w:p w14:paraId="05BD3A24" w14:textId="6A25F74B" w:rsidR="00AC212B" w:rsidRPr="00930237" w:rsidRDefault="00AC212B" w:rsidP="007545BD">
      <w:pPr>
        <w:numPr>
          <w:ilvl w:val="0"/>
          <w:numId w:val="60"/>
        </w:numPr>
        <w:spacing w:before="0" w:after="0"/>
        <w:ind w:left="567" w:hanging="567"/>
        <w:rPr>
          <w:rFonts w:eastAsia="Arial"/>
          <w:szCs w:val="24"/>
        </w:rPr>
      </w:pPr>
      <w:r w:rsidRPr="00930237">
        <w:rPr>
          <w:rFonts w:eastAsia="Arial"/>
          <w:b/>
          <w:szCs w:val="24"/>
        </w:rPr>
        <w:t>Darbības, kas nodrošina vienlīdzību, iekļaušanu un nediskrimināciju:</w:t>
      </w:r>
      <w:r w:rsidRPr="00930237">
        <w:rPr>
          <w:rFonts w:eastAsia="Arial"/>
          <w:szCs w:val="24"/>
        </w:rPr>
        <w:t xml:space="preserve"> </w:t>
      </w:r>
      <w:r w:rsidR="00601AA2">
        <w:rPr>
          <w:rFonts w:eastAsia="Arial"/>
          <w:szCs w:val="24"/>
        </w:rPr>
        <w:t>p</w:t>
      </w:r>
      <w:r w:rsidRPr="00930237">
        <w:rPr>
          <w:rFonts w:eastAsia="Arial"/>
          <w:szCs w:val="24"/>
        </w:rPr>
        <w:t>rojektu vadībā un īstenošanā tiks nodrošināta informācijas un vides pieejamība, nediskriminācija pēc vecuma, dzimuma, etniskās piederības u.c. pazīmēm,  vienlīdzīgu iespēju principu ievērošana u.c. Uzlabojot piekļuvi iekļaujošiem un kvalitatīviem izglītības pakalpojumiem, tiks īstenoti vides un informācijas pieejamības nodrošināšanas pasākumi izglītojamiem, t</w:t>
      </w:r>
      <w:r w:rsidR="00A75CD7">
        <w:rPr>
          <w:rFonts w:eastAsia="Arial"/>
          <w:szCs w:val="24"/>
        </w:rPr>
        <w:t>.sk.</w:t>
      </w:r>
      <w:r w:rsidRPr="00930237">
        <w:rPr>
          <w:rFonts w:eastAsia="Arial"/>
          <w:szCs w:val="24"/>
        </w:rPr>
        <w:t xml:space="preserve"> ar īpašām vajadzībām, kā arī tiks atbilstoši pielāgoti projekta darbību īstenošanā izmantojamie dokumenti, materiāli</w:t>
      </w:r>
      <w:r w:rsidR="00601AA2">
        <w:rPr>
          <w:rFonts w:eastAsia="Arial"/>
          <w:szCs w:val="24"/>
        </w:rPr>
        <w:t>,</w:t>
      </w:r>
      <w:r w:rsidR="00601AA2">
        <w:t xml:space="preserve"> </w:t>
      </w:r>
      <w:r w:rsidR="00601AA2" w:rsidRPr="00601AA2">
        <w:rPr>
          <w:rFonts w:eastAsia="Arial"/>
          <w:szCs w:val="24"/>
        </w:rPr>
        <w:t>tostarp mācību satura un procesa digitalizācijā tiks nodr</w:t>
      </w:r>
      <w:r w:rsidR="00601AA2">
        <w:rPr>
          <w:rFonts w:eastAsia="Arial"/>
          <w:szCs w:val="24"/>
        </w:rPr>
        <w:t>ošināta produktu un pakalpojumu</w:t>
      </w:r>
      <w:r w:rsidR="00601AA2" w:rsidRPr="00601AA2">
        <w:rPr>
          <w:rFonts w:eastAsia="Arial"/>
          <w:szCs w:val="24"/>
        </w:rPr>
        <w:t xml:space="preserve"> piekļūstamība</w:t>
      </w:r>
      <w:r w:rsidRPr="00930237">
        <w:rPr>
          <w:rFonts w:eastAsia="Arial"/>
          <w:szCs w:val="24"/>
        </w:rPr>
        <w:t>. Programmas ieviešanas rezultātā tiks veicināta dzimumu līdzsvarota līdzdalība darba tirgū un tiks mazināti šķēršļi nodarbinātībai, sniedzot atbalstu nelabvēlīgākā situācijā esošām personām, lai uzsāktu darba attiecības vai iesaistītos aktivitātēs, kas veicina nodarbinātību un labāku darba un privātās dzīves līdzsvaru.</w:t>
      </w:r>
    </w:p>
    <w:p w14:paraId="476C1BDE" w14:textId="0F2F6C38" w:rsidR="00AC212B" w:rsidRPr="00930237" w:rsidRDefault="00AC212B" w:rsidP="007545BD">
      <w:pPr>
        <w:pStyle w:val="ListParagraph"/>
        <w:numPr>
          <w:ilvl w:val="0"/>
          <w:numId w:val="60"/>
        </w:numPr>
        <w:spacing w:after="0" w:line="240" w:lineRule="auto"/>
        <w:ind w:left="567" w:hanging="567"/>
        <w:contextualSpacing w:val="0"/>
        <w:jc w:val="both"/>
        <w:rPr>
          <w:rFonts w:ascii="Times New Roman" w:eastAsia="Arial" w:hAnsi="Times New Roman" w:cs="Times New Roman"/>
          <w:sz w:val="24"/>
          <w:szCs w:val="24"/>
        </w:rPr>
      </w:pPr>
      <w:r w:rsidRPr="00930237">
        <w:rPr>
          <w:rFonts w:ascii="Times New Roman" w:eastAsia="Arial" w:hAnsi="Times New Roman" w:cs="Times New Roman"/>
          <w:b/>
          <w:sz w:val="24"/>
          <w:szCs w:val="24"/>
        </w:rPr>
        <w:t>Mērķteritorijas, t.sk. plānotais teritoriālo rīku izmantojums</w:t>
      </w:r>
      <w:r w:rsidRPr="00930237">
        <w:rPr>
          <w:rFonts w:ascii="Times New Roman" w:eastAsia="Arial" w:hAnsi="Times New Roman" w:cs="Times New Roman"/>
          <w:sz w:val="24"/>
          <w:szCs w:val="24"/>
        </w:rPr>
        <w:t>: Visa Latvija</w:t>
      </w:r>
      <w:r w:rsidR="00256266">
        <w:rPr>
          <w:rFonts w:ascii="Times New Roman" w:eastAsia="Arial" w:hAnsi="Times New Roman" w:cs="Times New Roman"/>
          <w:sz w:val="24"/>
          <w:szCs w:val="24"/>
        </w:rPr>
        <w:t xml:space="preserve">, </w:t>
      </w:r>
      <w:r w:rsidR="00256266" w:rsidRPr="00256266">
        <w:rPr>
          <w:rFonts w:ascii="Times New Roman" w:eastAsia="Arial" w:hAnsi="Times New Roman" w:cs="Times New Roman"/>
          <w:sz w:val="24"/>
          <w:szCs w:val="24"/>
        </w:rPr>
        <w:t xml:space="preserve"> attiecībā uz profesionālās izglītības attīstību paredzēts piemērot teritoriālo pieeju atbalsta sniegšanā, balstoties uz reģionu attīstības plānošanas dokumentiem</w:t>
      </w:r>
      <w:r w:rsidR="004A58D0">
        <w:rPr>
          <w:rFonts w:ascii="Times New Roman" w:eastAsia="Arial" w:hAnsi="Times New Roman" w:cs="Times New Roman"/>
          <w:sz w:val="24"/>
          <w:szCs w:val="24"/>
        </w:rPr>
        <w:t>.</w:t>
      </w:r>
      <w:r w:rsidRPr="00930237">
        <w:rPr>
          <w:rFonts w:ascii="Times New Roman" w:eastAsia="Arial" w:hAnsi="Times New Roman" w:cs="Times New Roman"/>
          <w:sz w:val="24"/>
          <w:szCs w:val="24"/>
        </w:rPr>
        <w:t xml:space="preserve"> Attiecībā uz pirmskolas izglītības pieejamības veicināšanu – Rīgas metropoles areāls un pašvaldības, kurās ir nepietiekami nodrošināta pieeja pirmsskolas izglītībai (ievērojams vietu trūkums pirmsskolas izglītības iestādēs atbilstoši rindu reģistros reģistrētajam bērnu skaitam, t.i., rindā ir vairāk nekā 100 bērnu).</w:t>
      </w:r>
    </w:p>
    <w:p w14:paraId="1975F49C" w14:textId="77777777" w:rsidR="00AC212B" w:rsidRPr="00930237" w:rsidRDefault="00AC212B" w:rsidP="007545BD">
      <w:pPr>
        <w:numPr>
          <w:ilvl w:val="0"/>
          <w:numId w:val="60"/>
        </w:numPr>
        <w:spacing w:before="0" w:after="0"/>
        <w:ind w:left="567" w:hanging="567"/>
        <w:rPr>
          <w:rFonts w:eastAsia="Arial"/>
          <w:szCs w:val="24"/>
        </w:rPr>
      </w:pPr>
      <w:r w:rsidRPr="00930237">
        <w:rPr>
          <w:rFonts w:eastAsia="Arial"/>
          <w:b/>
          <w:szCs w:val="24"/>
        </w:rPr>
        <w:t>Starpreģionālās, pārrobežu un transnacionālās darbības:</w:t>
      </w:r>
      <w:r w:rsidRPr="00930237">
        <w:rPr>
          <w:rFonts w:eastAsia="Arial"/>
          <w:szCs w:val="24"/>
        </w:rPr>
        <w:t xml:space="preserve"> N/A</w:t>
      </w:r>
    </w:p>
    <w:p w14:paraId="5D35B9CB" w14:textId="04802CB2" w:rsidR="00AC212B" w:rsidRPr="00930237" w:rsidRDefault="0002461B" w:rsidP="007545BD">
      <w:pPr>
        <w:numPr>
          <w:ilvl w:val="0"/>
          <w:numId w:val="60"/>
        </w:numPr>
        <w:spacing w:before="0" w:after="0"/>
        <w:ind w:left="567" w:hanging="567"/>
        <w:rPr>
          <w:rFonts w:eastAsia="Arial"/>
          <w:color w:val="FF0000"/>
          <w:szCs w:val="24"/>
        </w:rPr>
      </w:pPr>
      <w:r>
        <w:rPr>
          <w:rFonts w:eastAsia="Arial"/>
          <w:b/>
          <w:szCs w:val="24"/>
        </w:rPr>
        <w:t>F</w:t>
      </w:r>
      <w:r w:rsidR="00AC212B" w:rsidRPr="00930237">
        <w:rPr>
          <w:rFonts w:eastAsia="Arial"/>
          <w:b/>
          <w:szCs w:val="24"/>
        </w:rPr>
        <w:t>inanšu instrumenti:</w:t>
      </w:r>
      <w:r w:rsidR="00AC212B" w:rsidRPr="00930237">
        <w:rPr>
          <w:rFonts w:eastAsia="Arial"/>
          <w:szCs w:val="24"/>
        </w:rPr>
        <w:t xml:space="preserve"> N/A.</w:t>
      </w:r>
    </w:p>
    <w:p w14:paraId="712598A1" w14:textId="77777777" w:rsidR="00AC212B" w:rsidRPr="00930237" w:rsidRDefault="00AC212B" w:rsidP="006750B5">
      <w:pPr>
        <w:pStyle w:val="ListParagraph"/>
        <w:spacing w:after="0" w:line="240" w:lineRule="auto"/>
        <w:ind w:left="567" w:hanging="567"/>
        <w:jc w:val="both"/>
        <w:rPr>
          <w:rFonts w:ascii="Times New Roman" w:hAnsi="Times New Roman" w:cs="Times New Roman"/>
          <w:noProof/>
          <w:color w:val="FF0000"/>
          <w:szCs w:val="24"/>
        </w:rPr>
      </w:pPr>
    </w:p>
    <w:p w14:paraId="4A5D4A4E" w14:textId="77777777" w:rsidR="00AC212B" w:rsidRPr="00930237" w:rsidRDefault="00AC212B" w:rsidP="00AC212B">
      <w:pPr>
        <w:pStyle w:val="Heading4"/>
        <w:numPr>
          <w:ilvl w:val="0"/>
          <w:numId w:val="0"/>
        </w:numPr>
        <w:shd w:val="clear" w:color="auto" w:fill="FBE4D5" w:themeFill="accent2" w:themeFillTint="33"/>
        <w:spacing w:after="0"/>
        <w:rPr>
          <w:b/>
          <w:szCs w:val="24"/>
        </w:rPr>
      </w:pPr>
      <w:r w:rsidRPr="00930237">
        <w:rPr>
          <w:b/>
          <w:szCs w:val="24"/>
        </w:rPr>
        <w:t>4.2.2.SAM “Uzlabot izglītības un mācību sistēmu kvalitāti, efektivitāti un atbilstību darba tirgum, lai atbalstītu pamatprasmju, tostarp digitālo prasmju, apguvi”</w:t>
      </w:r>
      <w:r w:rsidRPr="00930237">
        <w:rPr>
          <w:rFonts w:eastAsia="Calibri"/>
          <w:b/>
          <w:szCs w:val="24"/>
        </w:rPr>
        <w:t xml:space="preserve"> </w:t>
      </w:r>
    </w:p>
    <w:p w14:paraId="77F868E0" w14:textId="7F1F1146" w:rsidR="00AC212B" w:rsidRPr="006E3AD2" w:rsidRDefault="00AC212B" w:rsidP="007545BD">
      <w:pPr>
        <w:numPr>
          <w:ilvl w:val="0"/>
          <w:numId w:val="60"/>
        </w:numPr>
        <w:spacing w:before="0" w:after="0"/>
        <w:ind w:left="567" w:hanging="567"/>
        <w:contextualSpacing/>
        <w:rPr>
          <w:rFonts w:eastAsia="Times New Roman"/>
          <w:szCs w:val="24"/>
        </w:rPr>
      </w:pPr>
      <w:r w:rsidRPr="006E3AD2">
        <w:rPr>
          <w:rFonts w:eastAsia="Times New Roman"/>
          <w:b/>
          <w:szCs w:val="24"/>
        </w:rPr>
        <w:t xml:space="preserve">Atbalstāmās darbības: </w:t>
      </w:r>
      <w:r w:rsidRPr="006E3AD2">
        <w:rPr>
          <w:rFonts w:eastAsia="Times New Roman"/>
          <w:szCs w:val="24"/>
        </w:rPr>
        <w:t>atbalsts kultūras pasākumu</w:t>
      </w:r>
      <w:r w:rsidR="00242D6D">
        <w:rPr>
          <w:rFonts w:eastAsia="Times New Roman"/>
          <w:szCs w:val="24"/>
        </w:rPr>
        <w:t>,</w:t>
      </w:r>
      <w:r w:rsidRPr="006E3AD2">
        <w:rPr>
          <w:rFonts w:eastAsia="Times New Roman"/>
          <w:szCs w:val="24"/>
        </w:rPr>
        <w:t xml:space="preserve"> iestāžu (muzeji,</w:t>
      </w:r>
      <w:r w:rsidR="00F35FD3" w:rsidRPr="006E3AD2">
        <w:rPr>
          <w:rFonts w:eastAsia="Times New Roman"/>
          <w:szCs w:val="24"/>
        </w:rPr>
        <w:t xml:space="preserve"> bibliotēkas</w:t>
      </w:r>
      <w:r w:rsidRPr="006E3AD2">
        <w:rPr>
          <w:rFonts w:eastAsia="Times New Roman"/>
          <w:szCs w:val="24"/>
        </w:rPr>
        <w:t xml:space="preserve"> u.c.) </w:t>
      </w:r>
      <w:r w:rsidR="00242D6D">
        <w:rPr>
          <w:rFonts w:eastAsia="Times New Roman"/>
          <w:szCs w:val="24"/>
        </w:rPr>
        <w:t xml:space="preserve">un uzņēmumu </w:t>
      </w:r>
      <w:r w:rsidRPr="006E3AD2">
        <w:rPr>
          <w:rFonts w:eastAsia="Times New Roman"/>
          <w:szCs w:val="24"/>
        </w:rPr>
        <w:t>apmeklējumam, veicinot pirmskolas</w:t>
      </w:r>
      <w:r w:rsidR="00242D6D">
        <w:rPr>
          <w:rFonts w:eastAsia="Times New Roman"/>
          <w:szCs w:val="24"/>
        </w:rPr>
        <w:t>,</w:t>
      </w:r>
      <w:r w:rsidRPr="006E3AD2">
        <w:rPr>
          <w:rFonts w:eastAsia="Times New Roman"/>
          <w:szCs w:val="24"/>
        </w:rPr>
        <w:t xml:space="preserve"> </w:t>
      </w:r>
      <w:r w:rsidR="00242D6D" w:rsidRPr="00242D6D">
        <w:rPr>
          <w:rFonts w:eastAsia="Times New Roman"/>
          <w:szCs w:val="24"/>
        </w:rPr>
        <w:t xml:space="preserve">vispārējās un profesionālās </w:t>
      </w:r>
      <w:r w:rsidRPr="006E3AD2">
        <w:rPr>
          <w:rFonts w:eastAsia="Times New Roman"/>
          <w:szCs w:val="24"/>
        </w:rPr>
        <w:t xml:space="preserve">izglītības </w:t>
      </w:r>
      <w:r w:rsidR="00242D6D">
        <w:rPr>
          <w:rFonts w:eastAsia="Times New Roman"/>
          <w:szCs w:val="24"/>
        </w:rPr>
        <w:t xml:space="preserve">iestādēs izglītības </w:t>
      </w:r>
      <w:r w:rsidRPr="006E3AD2">
        <w:rPr>
          <w:rFonts w:eastAsia="Times New Roman"/>
          <w:szCs w:val="24"/>
        </w:rPr>
        <w:t>kvalitāti un efektivitāti.</w:t>
      </w:r>
    </w:p>
    <w:p w14:paraId="0FDC51B7" w14:textId="174EB83E" w:rsidR="00AC212B" w:rsidRPr="006E3AD2" w:rsidRDefault="00AC212B" w:rsidP="007545BD">
      <w:pPr>
        <w:numPr>
          <w:ilvl w:val="0"/>
          <w:numId w:val="60"/>
        </w:numPr>
        <w:spacing w:before="0" w:after="0"/>
        <w:ind w:left="567" w:hanging="567"/>
        <w:contextualSpacing/>
        <w:rPr>
          <w:rFonts w:eastAsia="Times New Roman"/>
          <w:szCs w:val="24"/>
        </w:rPr>
      </w:pPr>
      <w:r w:rsidRPr="006E3AD2">
        <w:rPr>
          <w:rFonts w:eastAsia="Times New Roman"/>
          <w:szCs w:val="24"/>
        </w:rPr>
        <w:t>Atbalsts mācību iniciatīvām kompetenču satura kvalitatīvai ieviešanai un talantu attīstībai, paredzot starpdisciplinārus pasākumus, kas saistīti ar mācību un audzināšanas darba saturu un karjeras attīstības atbalstu, tostarp pasākumus vecākiem un metodisko atbalstu pedagogiem; nacionāla un starptautiska mēroga pasākumus izglītojamo talantu attīstībai un pieredzes apmaiņai, pilotprojektus mācību izcilības attīstībai un izplatīšanai, tostarp izglītības izaicinājumu risināšanai mazapdzīvotās vietās un izmantojot digitālo risinājumu, lai veicinātu vispārējās, profesionālas un profesionālās ievirzes izglītības kvalitāti un pieejamību, t</w:t>
      </w:r>
      <w:r w:rsidR="00102172">
        <w:rPr>
          <w:rFonts w:eastAsia="Times New Roman"/>
          <w:szCs w:val="24"/>
        </w:rPr>
        <w:t>.sk</w:t>
      </w:r>
      <w:r w:rsidRPr="006E3AD2">
        <w:rPr>
          <w:rFonts w:eastAsia="Times New Roman"/>
          <w:szCs w:val="24"/>
        </w:rPr>
        <w:t xml:space="preserve"> nodrošinātu iekļaujošu izglītību, kā arī paaugstinātu izglītojamo īpatsvaru ar augstiem mācību sasniegumiem.</w:t>
      </w:r>
    </w:p>
    <w:p w14:paraId="1237822B" w14:textId="5BCE2A60" w:rsidR="00AC212B" w:rsidRPr="006E3AD2" w:rsidRDefault="00AC212B" w:rsidP="007545BD">
      <w:pPr>
        <w:numPr>
          <w:ilvl w:val="0"/>
          <w:numId w:val="60"/>
        </w:numPr>
        <w:spacing w:before="0" w:after="0"/>
        <w:ind w:left="567" w:hanging="567"/>
        <w:contextualSpacing/>
        <w:rPr>
          <w:rFonts w:eastAsia="Times New Roman"/>
          <w:szCs w:val="24"/>
        </w:rPr>
      </w:pPr>
      <w:r w:rsidRPr="006E3AD2">
        <w:rPr>
          <w:rFonts w:eastAsia="Times New Roman"/>
          <w:szCs w:val="24"/>
        </w:rPr>
        <w:t>Atbalsts izglītības procesa individualizācijai un starpnozaru sadarbībai profesionālās izglītības izcilībai, tostarp</w:t>
      </w:r>
      <w:r w:rsidR="00280D88" w:rsidRPr="006E3AD2">
        <w:rPr>
          <w:rFonts w:eastAsia="Times New Roman"/>
          <w:szCs w:val="24"/>
        </w:rPr>
        <w:t>, izglītojamo</w:t>
      </w:r>
      <w:r w:rsidRPr="006E3AD2">
        <w:rPr>
          <w:rFonts w:eastAsia="Times New Roman"/>
          <w:szCs w:val="24"/>
        </w:rPr>
        <w:t xml:space="preserve"> uzņēm</w:t>
      </w:r>
      <w:r w:rsidR="00280D88" w:rsidRPr="006E3AD2">
        <w:rPr>
          <w:rFonts w:eastAsia="Times New Roman"/>
          <w:szCs w:val="24"/>
        </w:rPr>
        <w:t>ējsp</w:t>
      </w:r>
      <w:r w:rsidR="00242D6D">
        <w:rPr>
          <w:rFonts w:eastAsia="Times New Roman"/>
          <w:szCs w:val="24"/>
        </w:rPr>
        <w:t>ē</w:t>
      </w:r>
      <w:r w:rsidR="00280D88" w:rsidRPr="006E3AD2">
        <w:rPr>
          <w:rFonts w:eastAsia="Times New Roman"/>
          <w:szCs w:val="24"/>
        </w:rPr>
        <w:t>jas</w:t>
      </w:r>
      <w:r w:rsidRPr="006E3AD2">
        <w:rPr>
          <w:rFonts w:eastAsia="Times New Roman"/>
          <w:szCs w:val="24"/>
        </w:rPr>
        <w:t xml:space="preserve"> attīstībai, darba vidē balstītu mācību īstenošanai; atbilstoša mācību satura (tostarp starpdisciplināra, kā arī ilgtspējīgas un “zaļās” ražošanas jomā), metožu un mācību līdzekļu attīstībai, elastīga izglītības piedāvājuma radīšanai (mācību satura digitalizācija, e-mācību forma un citas ieguves formas, daļējas kvalifikācijas iegūšanas iespēju paplašināšana) un tā koordinētai nodrošināšana</w:t>
      </w:r>
      <w:r w:rsidR="00242D6D">
        <w:rPr>
          <w:rFonts w:eastAsia="Times New Roman"/>
          <w:szCs w:val="24"/>
        </w:rPr>
        <w:t>i</w:t>
      </w:r>
      <w:r w:rsidRPr="006E3AD2">
        <w:rPr>
          <w:rFonts w:eastAsia="Times New Roman"/>
          <w:szCs w:val="24"/>
        </w:rPr>
        <w:t xml:space="preserve"> pieaugušajiem, kā arī izglītības iestāžu pārvaldības stiprināšanai, tādējādi veicinot profesionālās izglītības kvalitāti, tās atbilstību un spēju ātri reaģēt uz </w:t>
      </w:r>
      <w:r w:rsidR="00256266" w:rsidRPr="006E3AD2">
        <w:rPr>
          <w:rFonts w:eastAsia="Times New Roman"/>
          <w:szCs w:val="24"/>
        </w:rPr>
        <w:t xml:space="preserve">valsts un reģionu </w:t>
      </w:r>
      <w:r w:rsidRPr="006E3AD2">
        <w:rPr>
          <w:rFonts w:eastAsia="Times New Roman"/>
          <w:szCs w:val="24"/>
        </w:rPr>
        <w:t>darba tirgus prasībām</w:t>
      </w:r>
      <w:r w:rsidR="00DD69EB" w:rsidRPr="006E3AD2">
        <w:rPr>
          <w:rFonts w:eastAsia="Times New Roman"/>
          <w:szCs w:val="24"/>
        </w:rPr>
        <w:t xml:space="preserve"> sakārtotā un kvalitatīvā darba vidē</w:t>
      </w:r>
      <w:r w:rsidRPr="006E3AD2">
        <w:rPr>
          <w:rFonts w:eastAsia="Times New Roman"/>
          <w:szCs w:val="24"/>
        </w:rPr>
        <w:t>, izglītojamo un pieaugušo iesaisti profesionālajā izglītībā, t.sk. veicinot elastīgas prasmju pilnveides un pārkvalifikācijas iespējas.</w:t>
      </w:r>
    </w:p>
    <w:p w14:paraId="7689774C" w14:textId="479F17C9" w:rsidR="00AC212B" w:rsidRPr="006E3AD2" w:rsidRDefault="00AC212B" w:rsidP="007545BD">
      <w:pPr>
        <w:numPr>
          <w:ilvl w:val="0"/>
          <w:numId w:val="60"/>
        </w:numPr>
        <w:spacing w:before="0" w:after="0"/>
        <w:ind w:left="567" w:hanging="567"/>
        <w:contextualSpacing/>
        <w:rPr>
          <w:rFonts w:eastAsia="Times New Roman"/>
          <w:szCs w:val="24"/>
        </w:rPr>
      </w:pPr>
      <w:r w:rsidRPr="006E3AD2">
        <w:rPr>
          <w:rFonts w:eastAsia="Times New Roman"/>
          <w:szCs w:val="24"/>
        </w:rPr>
        <w:t xml:space="preserve">Atbalsts paredzēts arī izcilu pedagogu sagatavošanai un piesaistei izglītības iestādēm, tostarp atbalsts jaunizveidoto pedagogu sagatavošanas programmu īstenošanas pilnveidei un indukcijas gadam, mērķtiecīgai mācību un metodiskā atbalsta sniegšanai pedagogiem. Atbalsts pārejai no studiju programmas un virziena akreditācijas uz ciklisku institucionālo akreditāciju augstākajā izglītībā, ieguldot akreditācijas aģentūras kapacitātes pilnveidē, nodrošinot metodisko atbalstu augstskolām un e-risinājumu attīstībai, investējot ekspertu un darbinieku mācībās, t.sk. īstenojot pilotakreditācijas un mācību ciklus augstskolām. Atbalsts paredzēts, lai veicinātu izglītības kvalitāti un efektivitāti visos izglītības līmeņos.  </w:t>
      </w:r>
    </w:p>
    <w:p w14:paraId="3D604566" w14:textId="20CA1703" w:rsidR="00280D88" w:rsidRPr="006E3AD2" w:rsidRDefault="00280D88" w:rsidP="007545BD">
      <w:pPr>
        <w:numPr>
          <w:ilvl w:val="0"/>
          <w:numId w:val="60"/>
        </w:numPr>
        <w:spacing w:before="0" w:after="0"/>
        <w:ind w:left="567" w:hanging="567"/>
        <w:contextualSpacing/>
        <w:rPr>
          <w:rFonts w:eastAsia="Times New Roman"/>
          <w:szCs w:val="24"/>
        </w:rPr>
      </w:pPr>
      <w:r w:rsidRPr="006E3AD2">
        <w:rPr>
          <w:rFonts w:eastAsia="Times New Roman"/>
          <w:szCs w:val="24"/>
        </w:rPr>
        <w:t xml:space="preserve">Atbalsts pilotprojekta īstenošanā profesoru vietu izveidei, tostarp jaunos pētnieciskos virzienos un jomās, kurās izveidoti RIS3 izcilības centri, </w:t>
      </w:r>
      <w:r w:rsidR="00242D6D" w:rsidRPr="00242D6D">
        <w:rPr>
          <w:rFonts w:eastAsia="Times New Roman"/>
          <w:szCs w:val="24"/>
        </w:rPr>
        <w:t xml:space="preserve">un akadēmiskā personāla kompetenču modeļa ieviešanai, personāla atlases un motivēšanas sistēmas pilnveidei, </w:t>
      </w:r>
      <w:r w:rsidRPr="006E3AD2">
        <w:rPr>
          <w:rFonts w:eastAsia="Times New Roman"/>
          <w:szCs w:val="24"/>
        </w:rPr>
        <w:t>sekmējot akadēmiskās karjeras sistēmas reformas ieviešanu un garantētās nodarbinātības (tenure) sistēmas institucionalizēšanu, palielinot zinātnes un inovāciju lomu augstskolās.</w:t>
      </w:r>
    </w:p>
    <w:p w14:paraId="376F86A2" w14:textId="41ABC025" w:rsidR="00280D88" w:rsidRPr="006E3AD2" w:rsidRDefault="00280D88" w:rsidP="007545BD">
      <w:pPr>
        <w:numPr>
          <w:ilvl w:val="0"/>
          <w:numId w:val="60"/>
        </w:numPr>
        <w:spacing w:before="0" w:after="0"/>
        <w:ind w:left="567" w:hanging="567"/>
        <w:contextualSpacing/>
        <w:rPr>
          <w:rFonts w:eastAsia="Times New Roman"/>
          <w:szCs w:val="24"/>
        </w:rPr>
      </w:pPr>
      <w:r w:rsidRPr="006E3AD2">
        <w:rPr>
          <w:rFonts w:eastAsia="Times New Roman"/>
          <w:szCs w:val="24"/>
        </w:rPr>
        <w:tab/>
        <w:t>Atbalsts digitālo risinājumu, t</w:t>
      </w:r>
      <w:r w:rsidR="00102172">
        <w:rPr>
          <w:rFonts w:eastAsia="Times New Roman"/>
          <w:szCs w:val="24"/>
        </w:rPr>
        <w:t>.sk.</w:t>
      </w:r>
      <w:r w:rsidRPr="006E3AD2">
        <w:rPr>
          <w:rFonts w:eastAsia="Times New Roman"/>
          <w:szCs w:val="24"/>
        </w:rPr>
        <w:t xml:space="preserve"> koplietošanas risinājumu, ieviešanai augstākajā izglītībā, tehnoloģiju ieviešanai un attīstībai studiju procesā, jo īpaši mācīšanas un mācīšanās procesa digitalizācijā un student-centrēta mācību procesa nodrošināšanā, studiju satura digitalizācijai un progresīvo digitālo kompetenču, t</w:t>
      </w:r>
      <w:r w:rsidR="00102172">
        <w:rPr>
          <w:rFonts w:eastAsia="Times New Roman"/>
          <w:szCs w:val="24"/>
        </w:rPr>
        <w:t>.sk.</w:t>
      </w:r>
      <w:r w:rsidRPr="006E3AD2">
        <w:rPr>
          <w:rFonts w:eastAsia="Times New Roman"/>
          <w:szCs w:val="24"/>
        </w:rPr>
        <w:t xml:space="preserve"> pedagoģiski digitālo kompetenču, attīstībā, lai nodrošinātu Eiropas augstākās izglītības telpā konkurētspējīgu augstākās izglītības piedāvājumu, ņemot vērā digitālo transformāciju.</w:t>
      </w:r>
    </w:p>
    <w:p w14:paraId="12B289FC" w14:textId="24A24178" w:rsidR="00AC212B" w:rsidRPr="006E3AD2" w:rsidRDefault="00AC212B" w:rsidP="007545BD">
      <w:pPr>
        <w:numPr>
          <w:ilvl w:val="0"/>
          <w:numId w:val="60"/>
        </w:numPr>
        <w:spacing w:before="0" w:after="0"/>
        <w:ind w:left="567" w:hanging="567"/>
        <w:contextualSpacing/>
        <w:rPr>
          <w:rFonts w:eastAsia="Times New Roman"/>
          <w:szCs w:val="24"/>
        </w:rPr>
      </w:pPr>
      <w:r w:rsidRPr="006E3AD2">
        <w:rPr>
          <w:rFonts w:eastAsia="Times New Roman"/>
          <w:szCs w:val="24"/>
        </w:rPr>
        <w:t>Atbalsts izglītības kvalitātes monitoringa sistēmas attīstībai, tostarp nodrošinot izglītības kvalitātes vērtēšanas instrumentu attīstību, dalību starptautiskajos salīdzinošajos izglītības pētījumos (piemēram, OECD, PISA, TALIS u.c.) un izglītības kvalitātes starptautisko ekspertu komandu piesaisti izglītības kvalitātes sistēmas pilnveidei. Atbalsts pasākumupieejamībai izglītojamajiem pamata un vidējās izglītības programmās, tādējādi mazinot sociālo nevienlīdzību un nodrošinot kultūras pakalpojumu pieejamību un izglītojamo un pedagogu kultūras kompetences paaugstināšanu, veicinot izglītības kvalitāti un efektivitāti.</w:t>
      </w:r>
    </w:p>
    <w:p w14:paraId="66644743" w14:textId="138DFF85" w:rsidR="00AC212B" w:rsidRPr="006E3AD2" w:rsidRDefault="00AC212B" w:rsidP="007545BD">
      <w:pPr>
        <w:numPr>
          <w:ilvl w:val="0"/>
          <w:numId w:val="60"/>
        </w:numPr>
        <w:spacing w:before="0" w:after="0"/>
        <w:ind w:left="567" w:hanging="567"/>
        <w:contextualSpacing/>
        <w:rPr>
          <w:rFonts w:eastAsia="Times New Roman"/>
          <w:szCs w:val="24"/>
        </w:rPr>
      </w:pPr>
      <w:r w:rsidRPr="006E3AD2">
        <w:rPr>
          <w:rFonts w:eastAsia="Times New Roman"/>
          <w:b/>
          <w:szCs w:val="24"/>
        </w:rPr>
        <w:t>Galvenās mērķgrupas:</w:t>
      </w:r>
      <w:r w:rsidRPr="006E3AD2">
        <w:rPr>
          <w:rFonts w:eastAsia="Times New Roman"/>
          <w:szCs w:val="24"/>
        </w:rPr>
        <w:t xml:space="preserve"> Pirmsskolas izglītības iestādes, vispārējās, profesionālās un profesionālās ievirzes izglītības iestādes, pedagogi un izglītojamie, t</w:t>
      </w:r>
      <w:r w:rsidR="00102172">
        <w:rPr>
          <w:rFonts w:eastAsia="Times New Roman"/>
          <w:szCs w:val="24"/>
        </w:rPr>
        <w:t>.sk.</w:t>
      </w:r>
      <w:r w:rsidRPr="006E3AD2">
        <w:rPr>
          <w:rFonts w:eastAsia="Times New Roman"/>
          <w:szCs w:val="24"/>
        </w:rPr>
        <w:t xml:space="preserve"> izglītojamie sociālās atstumtības riska grupā, ar speciālām vajadzībām; izglītojamo vecāki; pedagogu sagatavošanas studiju programmu absolventi, augstskolas, </w:t>
      </w:r>
      <w:r w:rsidR="00F35FD3" w:rsidRPr="006E3AD2">
        <w:rPr>
          <w:rFonts w:eastAsia="Times New Roman"/>
          <w:szCs w:val="24"/>
        </w:rPr>
        <w:t xml:space="preserve">koledžas, </w:t>
      </w:r>
      <w:r w:rsidRPr="006E3AD2">
        <w:rPr>
          <w:rFonts w:eastAsia="Times New Roman"/>
          <w:szCs w:val="24"/>
        </w:rPr>
        <w:t xml:space="preserve">akadēmiskais personāls, studējošie; valsts pārvaldes iestādes, sociālie un sadarbības partneri, to darbinieki, uzņēmumi, darba devēju organizācijas u.c. profesionālās izglītības iestāžu, t.sk. koledžu, sadarbības partneri, </w:t>
      </w:r>
      <w:r w:rsidR="00242D6D" w:rsidRPr="00242D6D">
        <w:rPr>
          <w:rFonts w:eastAsia="Times New Roman"/>
          <w:szCs w:val="24"/>
        </w:rPr>
        <w:t>nacionālā augstākās izglītības kvalitātes aģentūra</w:t>
      </w:r>
      <w:r w:rsidRPr="006E3AD2">
        <w:rPr>
          <w:rFonts w:eastAsia="Times New Roman"/>
          <w:szCs w:val="24"/>
        </w:rPr>
        <w:t>, kultūras institūcijas un nozarē nodarbinātie</w:t>
      </w:r>
      <w:r w:rsidR="00680ABD" w:rsidRPr="006E3AD2">
        <w:rPr>
          <w:rFonts w:eastAsia="Times New Roman"/>
          <w:szCs w:val="24"/>
        </w:rPr>
        <w:t>.</w:t>
      </w:r>
    </w:p>
    <w:p w14:paraId="300EB074" w14:textId="33FA179F" w:rsidR="00AC212B" w:rsidRPr="006E3AD2" w:rsidRDefault="00AC212B" w:rsidP="007545BD">
      <w:pPr>
        <w:numPr>
          <w:ilvl w:val="0"/>
          <w:numId w:val="60"/>
        </w:numPr>
        <w:spacing w:before="0" w:after="0"/>
        <w:ind w:left="567" w:hanging="567"/>
        <w:rPr>
          <w:rFonts w:eastAsia="Arial"/>
          <w:szCs w:val="24"/>
        </w:rPr>
      </w:pPr>
      <w:r w:rsidRPr="006E3AD2">
        <w:rPr>
          <w:rFonts w:eastAsia="Arial"/>
          <w:b/>
          <w:szCs w:val="24"/>
        </w:rPr>
        <w:t>Darbības, kas nodrošina vienlīdzību, iekļaušanu un nediskrimināciju:</w:t>
      </w:r>
      <w:r w:rsidRPr="006E3AD2">
        <w:rPr>
          <w:rFonts w:eastAsia="Arial"/>
          <w:szCs w:val="24"/>
        </w:rPr>
        <w:t xml:space="preserve"> </w:t>
      </w:r>
      <w:r w:rsidRPr="006E3AD2">
        <w:rPr>
          <w:rFonts w:eastAsia="Times New Roman"/>
          <w:szCs w:val="24"/>
        </w:rPr>
        <w:t xml:space="preserve">projektu un pasākumu īstenošanā un vadībā tiks nodrošināta informācijas un vides pieejamības, nediskriminācijas pēc vecuma, dzimuma, etniskās piederības u.c. pazīmes un vienlīdzīgu iespēju principu ievērošana. Īstenojot pasākumus izglītojamajiem un pedagogiem tiks sekmēta vienlīdzīga pieeja kvalitatīvai izglītībai visos līmeņos un prasmju pilnveidošanai meitenēm un zēniem veicinot vienlīdzīgus sasniegumu rādītājus dažādos mācību priekšmetos, lai nodrošinātu atbilstību darba tirgus prasībām, tostarp izglītojamiem ar speciālām vajadzībām un sociālā atstumtības riska grupā. </w:t>
      </w:r>
    </w:p>
    <w:p w14:paraId="3E94272F" w14:textId="6C56338F" w:rsidR="00AC212B" w:rsidRPr="006E3AD2" w:rsidRDefault="00AC212B" w:rsidP="007545BD">
      <w:pPr>
        <w:numPr>
          <w:ilvl w:val="0"/>
          <w:numId w:val="60"/>
        </w:numPr>
        <w:spacing w:before="0" w:after="0"/>
        <w:ind w:left="567" w:hanging="567"/>
        <w:rPr>
          <w:rFonts w:eastAsia="Arial"/>
          <w:szCs w:val="24"/>
        </w:rPr>
      </w:pPr>
      <w:r w:rsidRPr="006E3AD2">
        <w:rPr>
          <w:rFonts w:eastAsia="Arial"/>
          <w:b/>
          <w:szCs w:val="24"/>
        </w:rPr>
        <w:t>Mērķteritorijas, t.sk. plānotais teritoriālo rīku izmantojums</w:t>
      </w:r>
      <w:r w:rsidRPr="006E3AD2">
        <w:rPr>
          <w:rFonts w:eastAsia="Arial"/>
          <w:szCs w:val="24"/>
        </w:rPr>
        <w:t>: Visa Latvija.</w:t>
      </w:r>
    </w:p>
    <w:p w14:paraId="2CDEA2B7" w14:textId="69236B4F" w:rsidR="00943ACA" w:rsidRPr="0047464F" w:rsidRDefault="00AC212B" w:rsidP="00356CFE">
      <w:pPr>
        <w:numPr>
          <w:ilvl w:val="0"/>
          <w:numId w:val="60"/>
        </w:numPr>
        <w:spacing w:before="0" w:after="0"/>
        <w:ind w:left="567" w:hanging="567"/>
        <w:rPr>
          <w:rFonts w:eastAsia="Arial"/>
          <w:szCs w:val="24"/>
        </w:rPr>
      </w:pPr>
      <w:r w:rsidRPr="006E3AD2">
        <w:rPr>
          <w:rFonts w:eastAsia="Arial"/>
          <w:b/>
          <w:szCs w:val="24"/>
        </w:rPr>
        <w:t>Starpreģionālās, pārrobežu un transnacionālās darbības:</w:t>
      </w:r>
      <w:r w:rsidRPr="006E3AD2">
        <w:rPr>
          <w:rFonts w:eastAsia="Arial"/>
          <w:szCs w:val="24"/>
        </w:rPr>
        <w:t xml:space="preserve"> </w:t>
      </w:r>
      <w:r w:rsidR="00943ACA" w:rsidRPr="006E3AD2">
        <w:rPr>
          <w:rFonts w:eastAsia="Arial"/>
          <w:szCs w:val="24"/>
        </w:rPr>
        <w:t>Intervenci var īstenot citā ES dalībvalstī, kā arī ārpus ES, ja darbība veicina konkrētā mērķa sasniegšanu. Sadarbību ar ieinteresētajām pusēm vienā vai vairākās citās valstīs var integrēt projektā, lai stiprinātu darbu pie projekta mērķiem. Sadarbību ar ieinteresētajām pusēm vienā vai vairākās citās valstīs var arī ietvert kā papildinājumu īstenošanā jau esošam projektam, lai veicinātu projekta mērķu sasniegšanu. Abus iespējamos variantus var izmantot saskaņā ar tādām stratēģijām, kā piemēram, Agenda 2030 vai ESSBJR.</w:t>
      </w:r>
      <w:r w:rsidR="0047464F" w:rsidRPr="0047464F">
        <w:rPr>
          <w:rFonts w:eastAsia="Arial"/>
          <w:szCs w:val="24"/>
        </w:rPr>
        <w:t xml:space="preserve"> </w:t>
      </w:r>
      <w:r w:rsidR="0047464F">
        <w:rPr>
          <w:rFonts w:eastAsia="Arial"/>
          <w:szCs w:val="24"/>
        </w:rPr>
        <w:t xml:space="preserve">4.2.2.SAM </w:t>
      </w:r>
      <w:r w:rsidR="0048314B">
        <w:rPr>
          <w:rFonts w:eastAsia="Arial"/>
          <w:szCs w:val="24"/>
        </w:rPr>
        <w:t xml:space="preserve">ietvaros paredzētās darbības </w:t>
      </w:r>
      <w:r w:rsidR="0047464F">
        <w:rPr>
          <w:rFonts w:eastAsia="Arial"/>
          <w:szCs w:val="24"/>
        </w:rPr>
        <w:t>var sniegt</w:t>
      </w:r>
      <w:r w:rsidR="0047464F" w:rsidRPr="0047464F">
        <w:rPr>
          <w:rFonts w:eastAsia="Arial"/>
          <w:szCs w:val="24"/>
        </w:rPr>
        <w:t xml:space="preserve"> ieguldījumu ESSBJR politikas virziena “Izglītība” īstenošanā.</w:t>
      </w:r>
    </w:p>
    <w:p w14:paraId="024DEAF3" w14:textId="3492DD52" w:rsidR="00AC212B" w:rsidRPr="00930237" w:rsidRDefault="0002461B" w:rsidP="00356CFE">
      <w:pPr>
        <w:pStyle w:val="ListParagraph"/>
        <w:numPr>
          <w:ilvl w:val="0"/>
          <w:numId w:val="60"/>
        </w:numPr>
        <w:spacing w:after="0" w:line="240" w:lineRule="auto"/>
        <w:ind w:left="567" w:hanging="567"/>
        <w:jc w:val="both"/>
        <w:rPr>
          <w:rFonts w:ascii="Times New Roman" w:eastAsia="Times New Roman" w:hAnsi="Times New Roman" w:cs="Times New Roman"/>
          <w:szCs w:val="24"/>
        </w:rPr>
      </w:pPr>
      <w:r>
        <w:rPr>
          <w:rFonts w:ascii="Times New Roman" w:hAnsi="Times New Roman" w:cs="Times New Roman"/>
          <w:b/>
          <w:sz w:val="24"/>
          <w:szCs w:val="24"/>
        </w:rPr>
        <w:t>F</w:t>
      </w:r>
      <w:r w:rsidR="00AC212B" w:rsidRPr="00930237">
        <w:rPr>
          <w:rFonts w:ascii="Times New Roman" w:hAnsi="Times New Roman" w:cs="Times New Roman"/>
          <w:b/>
          <w:sz w:val="24"/>
          <w:szCs w:val="24"/>
        </w:rPr>
        <w:t>inanšu instrumenti:</w:t>
      </w:r>
      <w:r w:rsidR="00AC212B" w:rsidRPr="00930237">
        <w:rPr>
          <w:rFonts w:ascii="Times New Roman" w:hAnsi="Times New Roman" w:cs="Times New Roman"/>
          <w:sz w:val="24"/>
          <w:szCs w:val="24"/>
        </w:rPr>
        <w:t xml:space="preserve"> N/A.</w:t>
      </w:r>
    </w:p>
    <w:p w14:paraId="023B2288" w14:textId="77777777" w:rsidR="00AC212B" w:rsidRPr="00930237" w:rsidRDefault="00AC212B" w:rsidP="00AC212B">
      <w:pPr>
        <w:pStyle w:val="ListParagraph"/>
        <w:spacing w:after="0" w:line="240" w:lineRule="auto"/>
        <w:ind w:left="567"/>
        <w:jc w:val="both"/>
        <w:rPr>
          <w:rFonts w:ascii="Times New Roman" w:eastAsia="Times New Roman" w:hAnsi="Times New Roman" w:cs="Times New Roman"/>
          <w:szCs w:val="24"/>
        </w:rPr>
      </w:pPr>
    </w:p>
    <w:p w14:paraId="31A85C01" w14:textId="70CC838D" w:rsidR="00AC212B" w:rsidRPr="00930237" w:rsidRDefault="00AC212B" w:rsidP="00AC212B">
      <w:pPr>
        <w:pStyle w:val="Heading4"/>
        <w:numPr>
          <w:ilvl w:val="0"/>
          <w:numId w:val="0"/>
        </w:numPr>
        <w:shd w:val="clear" w:color="auto" w:fill="FBE4D5" w:themeFill="accent2" w:themeFillTint="33"/>
        <w:spacing w:after="0"/>
        <w:rPr>
          <w:b/>
          <w:szCs w:val="24"/>
          <w:lang w:eastAsia="en-US" w:bidi="ar-SA"/>
        </w:rPr>
      </w:pPr>
      <w:r w:rsidRPr="00930237">
        <w:rPr>
          <w:b/>
          <w:szCs w:val="24"/>
        </w:rPr>
        <w:t>4.2.3.SAM “Veicināt vienlīdzīgu piekļuvi kvalitatīvai un iekļaujošai izglītībai un mācībām un to pabeigšanu, jo īpaši nelabvēlīgā situācijā esošām grupām, sākot no agrīnās pirmsskolas izglītības un aprūpes līdz pat vispārējai, profesionālajai un augstākajai izglītībai, kā arī pieaugušo izglītībā un mācībās, tostarp veicinot mācību mobilitāti visiem”</w:t>
      </w:r>
    </w:p>
    <w:p w14:paraId="6EE3897A" w14:textId="594594A2" w:rsidR="00DD46F7" w:rsidRDefault="00AC212B" w:rsidP="007545BD">
      <w:pPr>
        <w:numPr>
          <w:ilvl w:val="0"/>
          <w:numId w:val="60"/>
        </w:numPr>
        <w:spacing w:before="0" w:after="0"/>
        <w:ind w:left="567" w:hanging="567"/>
        <w:rPr>
          <w:rFonts w:eastAsia="Times New Roman"/>
          <w:szCs w:val="24"/>
        </w:rPr>
      </w:pPr>
      <w:r w:rsidRPr="00930237">
        <w:rPr>
          <w:rFonts w:eastAsia="Times New Roman"/>
          <w:b/>
          <w:szCs w:val="24"/>
        </w:rPr>
        <w:t xml:space="preserve">Atbalstāmās darbības: </w:t>
      </w:r>
      <w:r w:rsidRPr="00930237">
        <w:rPr>
          <w:rFonts w:eastAsia="Times New Roman"/>
          <w:szCs w:val="24"/>
        </w:rPr>
        <w:t>Pasākumi priekšlaicīgas mācību pamešanas riskam pakļautiem izglītojamiem (t.sk. izglītojamiem ar speciālām vajadzībām, mācīšanās grūtībām, sociāli ekonomiskiem riskiem pakļautiem bērniem, pāri</w:t>
      </w:r>
      <w:r w:rsidR="00DD46F7">
        <w:rPr>
          <w:rFonts w:eastAsia="Times New Roman"/>
          <w:szCs w:val="24"/>
        </w:rPr>
        <w:t xml:space="preserve"> </w:t>
      </w:r>
      <w:r w:rsidRPr="00930237">
        <w:rPr>
          <w:rFonts w:eastAsia="Times New Roman"/>
          <w:szCs w:val="24"/>
        </w:rPr>
        <w:t>darīšanai pakļautiem bērniem, u.c.) mācīšanās atbalstam un mentoringam, sadarbības iniciatīvām ar vecākiem</w:t>
      </w:r>
      <w:r w:rsidR="00280D88">
        <w:rPr>
          <w:rFonts w:eastAsia="Times New Roman"/>
          <w:szCs w:val="24"/>
        </w:rPr>
        <w:t>,</w:t>
      </w:r>
      <w:r w:rsidR="00280D88" w:rsidRPr="00280D88">
        <w:rPr>
          <w:rFonts w:eastAsia="Times New Roman"/>
          <w:szCs w:val="24"/>
        </w:rPr>
        <w:t xml:space="preserve"> t.sk. izpratnes veicināšanai par iekļaujošu izglītību, </w:t>
      </w:r>
      <w:r w:rsidRPr="00930237">
        <w:rPr>
          <w:rFonts w:eastAsia="Times New Roman"/>
          <w:szCs w:val="24"/>
        </w:rPr>
        <w:t xml:space="preserve">un </w:t>
      </w:r>
      <w:r w:rsidR="00280D88" w:rsidRPr="00280D88">
        <w:rPr>
          <w:rFonts w:eastAsia="Times New Roman"/>
          <w:szCs w:val="24"/>
        </w:rPr>
        <w:t xml:space="preserve">pilsoniskās iniciatīvas attīstībai ar </w:t>
      </w:r>
      <w:r w:rsidRPr="00930237">
        <w:rPr>
          <w:rFonts w:eastAsia="Times New Roman"/>
          <w:szCs w:val="24"/>
        </w:rPr>
        <w:t>vietējo kopienu, tostarp efektīvam darbam ar reemigrējušiem un imigrantu bērniem, un mazākumtautībām, aktīvi iesaistot vecākus, ģimenes un citus sabiedrības locekļus, lai mazinātu atstumtības un mācību pārtraukšanas risku izglītības iestādēs</w:t>
      </w:r>
      <w:r w:rsidR="00280D88">
        <w:rPr>
          <w:rFonts w:eastAsia="Times New Roman"/>
          <w:szCs w:val="24"/>
        </w:rPr>
        <w:t>, kā arī COVID-19 krīzes ietekmi</w:t>
      </w:r>
      <w:r w:rsidRPr="00930237">
        <w:rPr>
          <w:rFonts w:eastAsia="Times New Roman"/>
          <w:szCs w:val="24"/>
        </w:rPr>
        <w:t xml:space="preserve">. </w:t>
      </w:r>
    </w:p>
    <w:p w14:paraId="47B0842A" w14:textId="5E45F515" w:rsidR="00AC212B" w:rsidRPr="00930237" w:rsidRDefault="00DD46F7" w:rsidP="007545BD">
      <w:pPr>
        <w:numPr>
          <w:ilvl w:val="0"/>
          <w:numId w:val="60"/>
        </w:numPr>
        <w:spacing w:before="0" w:after="0"/>
        <w:ind w:left="567" w:hanging="567"/>
      </w:pPr>
      <w:r w:rsidRPr="00930237">
        <w:t xml:space="preserve">Atbalsts </w:t>
      </w:r>
      <w:r w:rsidR="00280D88">
        <w:t>ne</w:t>
      </w:r>
      <w:r w:rsidRPr="00930237">
        <w:t>formālās izglītības (t.sk. interešu izglītības) mērķtiecīgai nodrošināšanai izglītības iestādē, sekmējot vienlīdzīgu pieeju kvalitatīvai izglītībai</w:t>
      </w:r>
      <w:r>
        <w:t>.</w:t>
      </w:r>
      <w:r w:rsidRPr="00DD46F7">
        <w:t xml:space="preserve"> </w:t>
      </w:r>
      <w:r>
        <w:t>Br</w:t>
      </w:r>
      <w:r w:rsidRPr="00930237">
        <w:t>īvā laika un bērnu pieskatīšanas pakalpojumu pieejamības paplašināšana</w:t>
      </w:r>
      <w:r>
        <w:t>,</w:t>
      </w:r>
      <w:r w:rsidRPr="00DD46F7">
        <w:t xml:space="preserve"> t</w:t>
      </w:r>
      <w:r w:rsidR="00280D88">
        <w:t>.sk.</w:t>
      </w:r>
      <w:r w:rsidRPr="00DD46F7">
        <w:t xml:space="preserve"> īstenojot interešu izglītību pie citiem īstenotājiem ārpus izglītības iestādes</w:t>
      </w:r>
      <w:r>
        <w:t>,</w:t>
      </w:r>
      <w:r w:rsidRPr="00DD46F7">
        <w:t xml:space="preserve"> </w:t>
      </w:r>
      <w:r w:rsidRPr="00930237">
        <w:t>sociālās atstumtības riskam pakļautiem izglītojamajiem un bērniem ar speciālām vajadzībām, primāri atbalstot  maznodrošinātos un sociālā riska grupas</w:t>
      </w:r>
      <w:r>
        <w:t xml:space="preserve">. </w:t>
      </w:r>
    </w:p>
    <w:p w14:paraId="59CB0EC1" w14:textId="77777777" w:rsidR="00AC212B" w:rsidRPr="00930237" w:rsidRDefault="00AC212B" w:rsidP="007545BD">
      <w:pPr>
        <w:numPr>
          <w:ilvl w:val="0"/>
          <w:numId w:val="60"/>
        </w:numPr>
        <w:spacing w:before="0" w:after="0"/>
        <w:ind w:left="567" w:hanging="567"/>
        <w:rPr>
          <w:rFonts w:eastAsia="Times New Roman"/>
          <w:szCs w:val="24"/>
        </w:rPr>
      </w:pPr>
      <w:r w:rsidRPr="00930237">
        <w:rPr>
          <w:rFonts w:eastAsia="Times New Roman"/>
          <w:szCs w:val="24"/>
        </w:rPr>
        <w:t>Pasākumi NEET jauniešu no 15 līdz 29 gadiem atbalstam, lai sekmētu to atgriešanos izglītībā vai nodarbinātības uzsākšanu, nodrošinot jaunietim individuālu</w:t>
      </w:r>
      <w:sdt>
        <w:sdtPr>
          <w:rPr>
            <w:rFonts w:eastAsia="Times New Roman"/>
            <w:szCs w:val="24"/>
          </w:rPr>
          <w:tag w:val="goog_rdk_145"/>
          <w:id w:val="-1647664702"/>
        </w:sdtPr>
        <w:sdtEndPr/>
        <w:sdtContent>
          <w:r w:rsidRPr="00930237">
            <w:rPr>
              <w:rFonts w:eastAsia="Times New Roman"/>
              <w:szCs w:val="24"/>
            </w:rPr>
            <w:t>, kompleksu</w:t>
          </w:r>
        </w:sdtContent>
      </w:sdt>
      <w:r w:rsidRPr="00930237">
        <w:rPr>
          <w:rFonts w:eastAsia="Times New Roman"/>
          <w:szCs w:val="24"/>
        </w:rPr>
        <w:t xml:space="preserve"> </w:t>
      </w:r>
      <w:sdt>
        <w:sdtPr>
          <w:rPr>
            <w:rFonts w:eastAsia="Times New Roman"/>
            <w:szCs w:val="24"/>
          </w:rPr>
          <w:tag w:val="goog_rdk_146"/>
          <w:id w:val="-468514519"/>
        </w:sdtPr>
        <w:sdtEndPr/>
        <w:sdtContent/>
      </w:sdt>
      <w:r w:rsidRPr="00930237">
        <w:rPr>
          <w:rFonts w:eastAsia="Times New Roman"/>
          <w:szCs w:val="24"/>
        </w:rPr>
        <w:t>atbalstu</w:t>
      </w:r>
      <w:sdt>
        <w:sdtPr>
          <w:rPr>
            <w:rFonts w:eastAsia="Times New Roman"/>
            <w:szCs w:val="24"/>
          </w:rPr>
          <w:tag w:val="goog_rdk_147"/>
          <w:id w:val="-1183595027"/>
        </w:sdtPr>
        <w:sdtEndPr/>
        <w:sdtContent>
          <w:r w:rsidRPr="00930237">
            <w:rPr>
              <w:rFonts w:eastAsia="Times New Roman"/>
              <w:szCs w:val="24"/>
            </w:rPr>
            <w:t xml:space="preserve"> (t.sk. mentoru</w:t>
          </w:r>
        </w:sdtContent>
      </w:sdt>
      <w:sdt>
        <w:sdtPr>
          <w:rPr>
            <w:rFonts w:eastAsia="Times New Roman"/>
            <w:szCs w:val="24"/>
          </w:rPr>
          <w:tag w:val="goog_rdk_150"/>
          <w:id w:val="1738288067"/>
        </w:sdtPr>
        <w:sdtEndPr/>
        <w:sdtContent>
          <w:r w:rsidRPr="00930237">
            <w:rPr>
              <w:rFonts w:eastAsia="Times New Roman"/>
              <w:szCs w:val="24"/>
            </w:rPr>
            <w:t>)</w:t>
          </w:r>
        </w:sdtContent>
      </w:sdt>
      <w:r w:rsidRPr="00930237">
        <w:rPr>
          <w:rFonts w:eastAsia="Times New Roman"/>
          <w:szCs w:val="24"/>
        </w:rPr>
        <w:t xml:space="preserve"> un mācību iespējas. </w:t>
      </w:r>
    </w:p>
    <w:p w14:paraId="5E01F799" w14:textId="25DA9127" w:rsidR="00AC212B" w:rsidRPr="00930237" w:rsidRDefault="00AC212B" w:rsidP="007545BD">
      <w:pPr>
        <w:numPr>
          <w:ilvl w:val="0"/>
          <w:numId w:val="60"/>
        </w:numPr>
        <w:spacing w:before="0" w:after="0"/>
        <w:ind w:left="567" w:hanging="567"/>
        <w:rPr>
          <w:rFonts w:eastAsia="Times New Roman"/>
          <w:szCs w:val="24"/>
        </w:rPr>
      </w:pPr>
      <w:r w:rsidRPr="00930237">
        <w:rPr>
          <w:rFonts w:eastAsia="Times New Roman"/>
          <w:b/>
          <w:szCs w:val="24"/>
        </w:rPr>
        <w:t xml:space="preserve">Galvenās mērķgrupas: </w:t>
      </w:r>
      <w:r w:rsidRPr="00930237">
        <w:rPr>
          <w:rFonts w:eastAsia="Times New Roman"/>
          <w:szCs w:val="24"/>
        </w:rPr>
        <w:t>Izglītības iestādes, pedagogi un izglītojamie, kā arī viņu vecāki, pašvaldības, bērni</w:t>
      </w:r>
      <w:r w:rsidR="00F35FD3">
        <w:rPr>
          <w:rFonts w:eastAsia="Times New Roman"/>
          <w:szCs w:val="24"/>
        </w:rPr>
        <w:t xml:space="preserve"> un jaunieši</w:t>
      </w:r>
      <w:r w:rsidRPr="00930237">
        <w:rPr>
          <w:rFonts w:eastAsia="Times New Roman"/>
          <w:szCs w:val="24"/>
        </w:rPr>
        <w:t xml:space="preserve"> ar speciālām vajadzībām, sociālas atstumtības riskam pakļauti izglītojamie, bērni un jaunieši no 7 līdz 25 gadiem ar funkcionēšanas traucējumiem, kuri iegūst pamatizglītību un vidējo izglītību, NEET jaunieši no 15 līdz 29 gadiem, valsts pārvaldes iestādes, NVO</w:t>
      </w:r>
      <w:r w:rsidR="00680ABD">
        <w:rPr>
          <w:rFonts w:eastAsia="Times New Roman"/>
          <w:szCs w:val="24"/>
        </w:rPr>
        <w:t>.</w:t>
      </w:r>
    </w:p>
    <w:p w14:paraId="0C84A198" w14:textId="77777777" w:rsidR="00AC212B" w:rsidRPr="00930237" w:rsidRDefault="00AC212B" w:rsidP="007545BD">
      <w:pPr>
        <w:numPr>
          <w:ilvl w:val="0"/>
          <w:numId w:val="60"/>
        </w:numPr>
        <w:spacing w:before="0" w:after="0"/>
        <w:ind w:left="567" w:hanging="567"/>
        <w:rPr>
          <w:rFonts w:eastAsia="Arial"/>
          <w:szCs w:val="24"/>
        </w:rPr>
      </w:pPr>
      <w:r w:rsidRPr="00930237">
        <w:rPr>
          <w:rFonts w:eastAsia="Arial"/>
          <w:b/>
          <w:szCs w:val="24"/>
        </w:rPr>
        <w:t>Darbības, kas nodrošina vienlīdzību, iekļaušanu un nediskrimināciju:</w:t>
      </w:r>
      <w:r w:rsidRPr="00930237">
        <w:rPr>
          <w:rFonts w:eastAsia="Times New Roman"/>
          <w:szCs w:val="24"/>
        </w:rPr>
        <w:t xml:space="preserve"> Projektu vadībā un īstenošanā tiks nodrošināta informācijas un vides pieejamība, nediskriminācija pēc vecuma, dzimuma, etniskās piederības u.c. pazīmēm, vienlīdzīgu iespēju principu ievērošana u.c. Īstenojot pasākumus vienlīdzīgas piekļuves un iekļaujošas izglītības pieejamības nodrošināšanai tiks īstenoti pasākumi izglītojamiem ar speciālām vajadzībām, mācīšanās grūtībām, sociāli ekonomiskiem riskiem pakļautiem bērniem, pāridarīšanai pakļautiem bērniem, u.c., mācīšanās atbalstam, veicinot sociālās atstumtības riskam pakļautu izglītojamo iekļaušanu izglītībā. Vienlaikus, uzlabojot interešu izglītības, brīvā laika un bērnu pieskatīšanas pakalpojumu pieejamību, tiks veicināta līdzsvarota dzimumu līdzdalība darba tirgū, kā arī labāks darba un privātās dzīves līdzsvars.</w:t>
      </w:r>
    </w:p>
    <w:p w14:paraId="5738051B" w14:textId="2DD522FC" w:rsidR="00AC212B" w:rsidRPr="00930237" w:rsidRDefault="00AC212B" w:rsidP="00356CFE">
      <w:pPr>
        <w:numPr>
          <w:ilvl w:val="0"/>
          <w:numId w:val="60"/>
        </w:numPr>
        <w:spacing w:before="0" w:after="0"/>
        <w:ind w:left="567" w:hanging="567"/>
        <w:rPr>
          <w:rFonts w:eastAsia="Arial"/>
          <w:szCs w:val="24"/>
        </w:rPr>
      </w:pPr>
      <w:r w:rsidRPr="00930237">
        <w:rPr>
          <w:rFonts w:eastAsia="Arial"/>
          <w:b/>
          <w:szCs w:val="24"/>
        </w:rPr>
        <w:t>Mērķteritorijas, t.sk. plānotais teritoriālo rīku izmantojums</w:t>
      </w:r>
      <w:r w:rsidRPr="00930237">
        <w:rPr>
          <w:rFonts w:eastAsia="Arial"/>
          <w:szCs w:val="24"/>
        </w:rPr>
        <w:t>: Visa Latvija</w:t>
      </w:r>
      <w:r w:rsidR="00F338E0">
        <w:rPr>
          <w:rFonts w:eastAsia="Arial"/>
          <w:szCs w:val="24"/>
        </w:rPr>
        <w:t xml:space="preserve">, </w:t>
      </w:r>
      <w:r w:rsidR="00F338E0" w:rsidRPr="00F338E0">
        <w:rPr>
          <w:rFonts w:eastAsia="Arial"/>
          <w:szCs w:val="24"/>
        </w:rPr>
        <w:t xml:space="preserve"> attiecībā uz atbalstu interešu izglītībai paredzēts piemērot teritoriālo pieeju atbalsta sniegšanā, balstoties uz reģionu attīstības plānošanas dokumentiem</w:t>
      </w:r>
      <w:r w:rsidRPr="00930237">
        <w:rPr>
          <w:rFonts w:eastAsia="Arial"/>
          <w:szCs w:val="24"/>
        </w:rPr>
        <w:t>.</w:t>
      </w:r>
    </w:p>
    <w:p w14:paraId="1B28C230" w14:textId="0B561CD6" w:rsidR="00AC212B" w:rsidRPr="00930237" w:rsidRDefault="00AC212B" w:rsidP="00356CFE">
      <w:pPr>
        <w:numPr>
          <w:ilvl w:val="0"/>
          <w:numId w:val="60"/>
        </w:numPr>
        <w:spacing w:before="0" w:after="0"/>
        <w:ind w:left="567" w:hanging="567"/>
        <w:rPr>
          <w:rFonts w:eastAsia="Arial"/>
          <w:szCs w:val="24"/>
        </w:rPr>
      </w:pPr>
      <w:r w:rsidRPr="00930237">
        <w:rPr>
          <w:rFonts w:eastAsia="Arial"/>
          <w:b/>
          <w:szCs w:val="24"/>
        </w:rPr>
        <w:t>Starpreģionālās, pārrobežu un transnacionālās darbības:</w:t>
      </w:r>
      <w:r w:rsidRPr="00930237">
        <w:rPr>
          <w:rFonts w:eastAsia="Arial"/>
          <w:szCs w:val="24"/>
        </w:rPr>
        <w:t xml:space="preserve"> </w:t>
      </w:r>
      <w:r w:rsidR="00B75A9A" w:rsidRPr="00B75A9A">
        <w:t xml:space="preserve"> </w:t>
      </w:r>
      <w:r w:rsidR="00B75A9A" w:rsidRPr="00B75A9A">
        <w:rPr>
          <w:rFonts w:eastAsia="Arial"/>
          <w:szCs w:val="24"/>
        </w:rPr>
        <w:t>Intervenci var īstenot citā ES dalībvalstī, kā arī ārpus ES, ja darbība veicina konkrētā mērķa sasniegšanu. Sadarbību ar ieinteresētajām pusēm vienā vai vairākās citās valstīs var integrēt projektā, lai stiprinātu darbu pie projekta mērķiem. Sadarbību ar ieinteresētajām pusēm vienā vai vairākās citās valstīs var arī ietvert kā papildinājumu īstenošanā jau esošam projektam, lai veicinātu projekta mērķu sasniegšanu. Abus iespējamos variantus var izmantot saskaņā ar tādām stratēģijām, kā piemēram, Agenda 2030 vai ESSBJR</w:t>
      </w:r>
      <w:r w:rsidR="00B75A9A">
        <w:rPr>
          <w:rFonts w:eastAsia="Arial"/>
          <w:szCs w:val="24"/>
        </w:rPr>
        <w:t>.</w:t>
      </w:r>
      <w:r w:rsidR="0047464F">
        <w:rPr>
          <w:rFonts w:eastAsia="Arial"/>
          <w:szCs w:val="24"/>
        </w:rPr>
        <w:t xml:space="preserve"> 4.2.3.SAM </w:t>
      </w:r>
      <w:r w:rsidR="0048314B">
        <w:rPr>
          <w:rFonts w:eastAsia="Arial"/>
          <w:szCs w:val="24"/>
        </w:rPr>
        <w:t xml:space="preserve">ietvaros paredzētās darbības </w:t>
      </w:r>
      <w:r w:rsidR="0047464F">
        <w:rPr>
          <w:rFonts w:eastAsia="Arial"/>
          <w:szCs w:val="24"/>
        </w:rPr>
        <w:t>var sniegt</w:t>
      </w:r>
      <w:r w:rsidR="0047464F" w:rsidRPr="0047464F">
        <w:rPr>
          <w:rFonts w:eastAsia="Arial"/>
          <w:szCs w:val="24"/>
        </w:rPr>
        <w:t xml:space="preserve"> ieguldījumu ESSBJR politikas virziena “Izglītība” īstenošanā.</w:t>
      </w:r>
    </w:p>
    <w:p w14:paraId="05AE7C10" w14:textId="55DC0B40" w:rsidR="00AC212B" w:rsidRPr="00930237" w:rsidRDefault="0002461B" w:rsidP="00356CFE">
      <w:pPr>
        <w:numPr>
          <w:ilvl w:val="0"/>
          <w:numId w:val="60"/>
        </w:numPr>
        <w:spacing w:before="0" w:after="0"/>
        <w:ind w:left="567" w:hanging="567"/>
        <w:rPr>
          <w:rFonts w:eastAsia="Arial"/>
          <w:color w:val="FF0000"/>
          <w:szCs w:val="24"/>
        </w:rPr>
      </w:pPr>
      <w:r>
        <w:rPr>
          <w:rFonts w:eastAsia="Arial"/>
          <w:b/>
          <w:szCs w:val="24"/>
        </w:rPr>
        <w:t>F</w:t>
      </w:r>
      <w:r w:rsidR="00AC212B" w:rsidRPr="00930237">
        <w:rPr>
          <w:rFonts w:eastAsia="Arial"/>
          <w:b/>
          <w:szCs w:val="24"/>
        </w:rPr>
        <w:t>inanšu instrumenti:</w:t>
      </w:r>
      <w:r w:rsidR="00AC212B" w:rsidRPr="00930237">
        <w:rPr>
          <w:rFonts w:eastAsia="Arial"/>
          <w:szCs w:val="24"/>
        </w:rPr>
        <w:t xml:space="preserve"> N/A.</w:t>
      </w:r>
    </w:p>
    <w:p w14:paraId="11DA3660" w14:textId="77777777" w:rsidR="00AC212B" w:rsidRPr="00930237" w:rsidRDefault="00AC212B" w:rsidP="00356CFE">
      <w:pPr>
        <w:pStyle w:val="Normal1"/>
        <w:spacing w:line="240" w:lineRule="auto"/>
        <w:ind w:left="567" w:hanging="567"/>
        <w:jc w:val="both"/>
        <w:rPr>
          <w:rFonts w:ascii="Times New Roman" w:eastAsia="Times New Roman" w:hAnsi="Times New Roman" w:cs="Times New Roman"/>
          <w:sz w:val="24"/>
          <w:szCs w:val="24"/>
        </w:rPr>
      </w:pPr>
    </w:p>
    <w:p w14:paraId="7B64BC11" w14:textId="47CA11BE" w:rsidR="00AC212B" w:rsidRPr="00930237" w:rsidRDefault="00AC212B" w:rsidP="00AC212B">
      <w:pPr>
        <w:pStyle w:val="Heading4"/>
        <w:numPr>
          <w:ilvl w:val="0"/>
          <w:numId w:val="0"/>
        </w:numPr>
        <w:shd w:val="clear" w:color="auto" w:fill="FBE4D5" w:themeFill="accent2" w:themeFillTint="33"/>
        <w:spacing w:after="0"/>
        <w:rPr>
          <w:b/>
          <w:szCs w:val="24"/>
          <w:lang w:eastAsia="en-US" w:bidi="ar-SA"/>
        </w:rPr>
      </w:pPr>
      <w:r w:rsidRPr="00930237">
        <w:rPr>
          <w:b/>
          <w:szCs w:val="24"/>
        </w:rPr>
        <w:t>4.2.4.SAM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veicinot profesionālo mobilitāti”</w:t>
      </w:r>
    </w:p>
    <w:p w14:paraId="628FC50B" w14:textId="73972EB7" w:rsidR="00AC212B" w:rsidRPr="00930237" w:rsidRDefault="00AC212B" w:rsidP="007545BD">
      <w:pPr>
        <w:numPr>
          <w:ilvl w:val="0"/>
          <w:numId w:val="60"/>
        </w:numPr>
        <w:spacing w:before="0" w:after="0"/>
        <w:ind w:left="567" w:hanging="567"/>
        <w:rPr>
          <w:rFonts w:eastAsia="Arial"/>
          <w:bCs/>
          <w:noProof/>
          <w:szCs w:val="24"/>
        </w:rPr>
      </w:pPr>
      <w:r w:rsidRPr="00930237">
        <w:rPr>
          <w:rFonts w:eastAsia="Times New Roman"/>
          <w:b/>
          <w:szCs w:val="24"/>
        </w:rPr>
        <w:t xml:space="preserve">Atbalstāmās darbības: </w:t>
      </w:r>
      <w:r w:rsidRPr="00930237">
        <w:rPr>
          <w:rFonts w:eastAsia="Arial"/>
          <w:szCs w:val="24"/>
        </w:rPr>
        <w:t>Atbalsts</w:t>
      </w:r>
      <w:r w:rsidRPr="00930237">
        <w:rPr>
          <w:rFonts w:eastAsia="Arial"/>
          <w:bCs/>
          <w:noProof/>
          <w:szCs w:val="24"/>
        </w:rPr>
        <w:t xml:space="preserve"> </w:t>
      </w:r>
      <w:r w:rsidR="00DD69EB">
        <w:rPr>
          <w:rFonts w:eastAsia="Arial"/>
          <w:bCs/>
          <w:noProof/>
          <w:szCs w:val="24"/>
        </w:rPr>
        <w:t>nodarbinātajiem</w:t>
      </w:r>
      <w:r w:rsidR="00DD69EB" w:rsidRPr="00930237">
        <w:rPr>
          <w:rFonts w:eastAsia="Arial"/>
          <w:bCs/>
          <w:noProof/>
          <w:szCs w:val="24"/>
        </w:rPr>
        <w:t xml:space="preserve"> </w:t>
      </w:r>
      <w:r w:rsidRPr="00930237">
        <w:rPr>
          <w:rFonts w:eastAsia="Arial"/>
          <w:bCs/>
          <w:noProof/>
          <w:szCs w:val="24"/>
        </w:rPr>
        <w:t>tautsaimniecības attīstībai</w:t>
      </w:r>
      <w:r w:rsidR="00680ABD">
        <w:rPr>
          <w:rFonts w:eastAsia="Arial"/>
          <w:bCs/>
          <w:noProof/>
          <w:szCs w:val="24"/>
        </w:rPr>
        <w:t>, t.sk. sasaistē ar reģionu darba specifiku,</w:t>
      </w:r>
      <w:r w:rsidRPr="00930237">
        <w:rPr>
          <w:rFonts w:eastAsia="Arial"/>
          <w:bCs/>
          <w:noProof/>
          <w:szCs w:val="24"/>
        </w:rPr>
        <w:t xml:space="preserve"> nepieciešamo zināšanu un prasmju apguvei, individuālo mācību vajadzību noteikšanai un personu profilēšanai, </w:t>
      </w:r>
      <w:r w:rsidR="00280D88" w:rsidRPr="00280D88">
        <w:rPr>
          <w:rFonts w:eastAsia="Arial"/>
          <w:bCs/>
          <w:noProof/>
          <w:szCs w:val="24"/>
        </w:rPr>
        <w:t>t.sk. pārorientējot iegūt kvalifikāciju vai trūkstošās prasmes darbam augošajās nozarēs</w:t>
      </w:r>
      <w:r w:rsidR="00280D88">
        <w:rPr>
          <w:rFonts w:eastAsia="Arial"/>
          <w:bCs/>
          <w:noProof/>
          <w:szCs w:val="24"/>
        </w:rPr>
        <w:t>,</w:t>
      </w:r>
      <w:r w:rsidR="00280D88" w:rsidRPr="00280D88">
        <w:rPr>
          <w:rFonts w:eastAsia="Arial"/>
          <w:bCs/>
          <w:noProof/>
          <w:szCs w:val="24"/>
        </w:rPr>
        <w:t xml:space="preserve"> </w:t>
      </w:r>
      <w:r w:rsidRPr="00930237">
        <w:rPr>
          <w:rFonts w:eastAsia="Arial"/>
          <w:bCs/>
          <w:noProof/>
          <w:szCs w:val="24"/>
        </w:rPr>
        <w:t>mācību šķēršļu pārvarēšanai (t.sk. mobilitātēs atbalsts, bērnu pieskatīšanas atbalsts u.c.), elastīgai mācību piedāvājuma attīstībai</w:t>
      </w:r>
      <w:r w:rsidR="00280D88">
        <w:rPr>
          <w:rFonts w:eastAsia="Arial"/>
          <w:bCs/>
          <w:noProof/>
          <w:szCs w:val="24"/>
        </w:rPr>
        <w:t xml:space="preserve"> </w:t>
      </w:r>
      <w:r w:rsidR="00280D88" w:rsidRPr="00280D88">
        <w:rPr>
          <w:rFonts w:eastAsia="Arial"/>
          <w:bCs/>
          <w:noProof/>
          <w:szCs w:val="24"/>
        </w:rPr>
        <w:t>un pieejamības veicināšanai (piem., veicinot globālā tiešsaistes mācību piedāvājuma pieejamību Latvijā)</w:t>
      </w:r>
      <w:r w:rsidRPr="00930237">
        <w:rPr>
          <w:rFonts w:eastAsia="Arial"/>
          <w:bCs/>
          <w:noProof/>
          <w:szCs w:val="24"/>
        </w:rPr>
        <w:t xml:space="preserve">, tostarp pieaugušo izpratnes un motivācijas veicināšanai par mācīšanos, kā arī pieaugušo koordinatoru un pieaugušo izglītotāju darba kvalitātes un prasmju stiprināšanai. Sniegtais atbalsts uzlabos </w:t>
      </w:r>
      <w:r w:rsidR="00DD69EB">
        <w:rPr>
          <w:rFonts w:eastAsia="Arial"/>
          <w:bCs/>
          <w:noProof/>
          <w:szCs w:val="24"/>
        </w:rPr>
        <w:t>darba spēka</w:t>
      </w:r>
      <w:r w:rsidRPr="00930237">
        <w:rPr>
          <w:rFonts w:eastAsia="Arial"/>
          <w:bCs/>
          <w:noProof/>
          <w:szCs w:val="24"/>
        </w:rPr>
        <w:t xml:space="preserve"> kvalitāti</w:t>
      </w:r>
      <w:r w:rsidR="00DD69EB">
        <w:rPr>
          <w:rFonts w:eastAsia="Arial"/>
          <w:bCs/>
          <w:noProof/>
          <w:szCs w:val="24"/>
        </w:rPr>
        <w:t>, kapaciāti</w:t>
      </w:r>
      <w:r w:rsidRPr="00930237">
        <w:rPr>
          <w:rFonts w:eastAsia="Arial"/>
          <w:bCs/>
          <w:noProof/>
          <w:szCs w:val="24"/>
        </w:rPr>
        <w:t xml:space="preserve"> un efektivitātitostarp palielinot līdzdalību pieaugušo izglītībā, kā arī atbalstīs prasmju (t.sk. valodu un digitālo prasmju) ieguvi un atzīšanu.</w:t>
      </w:r>
    </w:p>
    <w:p w14:paraId="4087345A" w14:textId="268AC7B9" w:rsidR="00AC212B" w:rsidRPr="00930237" w:rsidRDefault="00AC212B" w:rsidP="007545BD">
      <w:pPr>
        <w:numPr>
          <w:ilvl w:val="0"/>
          <w:numId w:val="60"/>
        </w:numPr>
        <w:spacing w:before="0" w:after="0"/>
        <w:ind w:left="567" w:hanging="567"/>
        <w:rPr>
          <w:rFonts w:eastAsia="Times New Roman"/>
          <w:szCs w:val="24"/>
        </w:rPr>
      </w:pPr>
      <w:r w:rsidRPr="00930237">
        <w:rPr>
          <w:rFonts w:eastAsia="Times New Roman"/>
        </w:rPr>
        <w:t xml:space="preserve">Atbalsts sabiedrības digitālo iespēju izmantošanas </w:t>
      </w:r>
      <w:r w:rsidR="00323A8A">
        <w:rPr>
          <w:rFonts w:eastAsia="Times New Roman"/>
        </w:rPr>
        <w:t>veicināšanai</w:t>
      </w:r>
      <w:r w:rsidRPr="00930237">
        <w:rPr>
          <w:rFonts w:eastAsia="Times New Roman"/>
        </w:rPr>
        <w:t>, paaugstinot IKT iespēju izmantošanu iedzīvotājiem, mazinot digitālo plaisu sabiedrībā,</w:t>
      </w:r>
      <w:r w:rsidR="00F35FD3">
        <w:rPr>
          <w:rFonts w:eastAsia="Times New Roman"/>
        </w:rPr>
        <w:t xml:space="preserve"> </w:t>
      </w:r>
      <w:r w:rsidR="00F35FD3" w:rsidRPr="00E9568B">
        <w:rPr>
          <w:rFonts w:eastAsia="Times New Roman"/>
        </w:rPr>
        <w:t>t.sk. nodrošinot pamata IKT prasmju paaugstināšanu personām, kas pakļautas sociālās atstumtības un diskriminācijas ri</w:t>
      </w:r>
      <w:r w:rsidR="00F35FD3">
        <w:rPr>
          <w:rFonts w:eastAsia="Times New Roman"/>
        </w:rPr>
        <w:t>skam</w:t>
      </w:r>
      <w:r w:rsidR="00323A8A">
        <w:rPr>
          <w:rFonts w:eastAsia="Times New Roman"/>
        </w:rPr>
        <w:t>,</w:t>
      </w:r>
      <w:r w:rsidR="00F35FD3">
        <w:rPr>
          <w:rFonts w:eastAsia="Times New Roman"/>
        </w:rPr>
        <w:t xml:space="preserve"> tostarp reģionos un laukos,</w:t>
      </w:r>
      <w:r w:rsidRPr="00930237">
        <w:rPr>
          <w:rFonts w:eastAsia="Times New Roman"/>
        </w:rPr>
        <w:t xml:space="preserve"> atbalstot </w:t>
      </w:r>
      <w:r w:rsidRPr="00930237">
        <w:rPr>
          <w:rFonts w:eastAsia="Times New Roman"/>
        </w:rPr>
        <w:br/>
        <w:t xml:space="preserve">e-prasmju komunikācijas un mācību pasākumus, </w:t>
      </w:r>
      <w:r w:rsidRPr="00930237">
        <w:rPr>
          <w:rFonts w:eastAsia="Times New Roman"/>
          <w:szCs w:val="24"/>
        </w:rPr>
        <w:t xml:space="preserve">veicinot atvērto datu, atvērto digitālo </w:t>
      </w:r>
      <w:r w:rsidR="00323A8A">
        <w:rPr>
          <w:rFonts w:eastAsia="Times New Roman"/>
          <w:szCs w:val="24"/>
        </w:rPr>
        <w:t>risinājumu</w:t>
      </w:r>
      <w:r w:rsidRPr="00930237">
        <w:rPr>
          <w:rFonts w:eastAsia="Times New Roman"/>
          <w:szCs w:val="24"/>
        </w:rPr>
        <w:t xml:space="preserve"> un platformu un saskarņu plašāku izmantošanu. Atbalsts digitālo aģentu un mentoru tīkla un kompetenču attīstībai</w:t>
      </w:r>
      <w:r w:rsidR="00F338E0">
        <w:rPr>
          <w:rFonts w:eastAsia="Times New Roman"/>
          <w:szCs w:val="24"/>
        </w:rPr>
        <w:t xml:space="preserve"> </w:t>
      </w:r>
      <w:r w:rsidR="00F338E0" w:rsidRPr="00F338E0">
        <w:rPr>
          <w:rFonts w:eastAsia="Times New Roman"/>
          <w:szCs w:val="24"/>
        </w:rPr>
        <w:t>un pamatprasmju nodošanas aktivitātēm</w:t>
      </w:r>
      <w:r w:rsidRPr="00930237">
        <w:rPr>
          <w:rFonts w:eastAsia="Times New Roman"/>
        </w:rPr>
        <w:t>.</w:t>
      </w:r>
      <w:r w:rsidRPr="00930237">
        <w:t xml:space="preserve"> </w:t>
      </w:r>
      <w:r w:rsidRPr="00930237">
        <w:rPr>
          <w:rFonts w:eastAsia="Times New Roman"/>
        </w:rPr>
        <w:t>Atbalsts nodrošinās savstarpēja papildinātību ar 1.2.2.</w:t>
      </w:r>
      <w:r w:rsidR="00DD69EB">
        <w:rPr>
          <w:rFonts w:eastAsia="Times New Roman"/>
        </w:rPr>
        <w:t xml:space="preserve"> un 1.3.1.</w:t>
      </w:r>
      <w:r w:rsidRPr="00930237">
        <w:rPr>
          <w:rFonts w:eastAsia="Times New Roman"/>
        </w:rPr>
        <w:t>SAM aktivitātēm to mērķu sekmīgai sasniegšanai.</w:t>
      </w:r>
    </w:p>
    <w:p w14:paraId="1DF0361E" w14:textId="2290F36D" w:rsidR="00AC212B" w:rsidRPr="00930237" w:rsidRDefault="00280D88" w:rsidP="007545BD">
      <w:pPr>
        <w:numPr>
          <w:ilvl w:val="0"/>
          <w:numId w:val="60"/>
        </w:numPr>
        <w:spacing w:before="0" w:after="0"/>
        <w:ind w:left="567" w:hanging="567"/>
        <w:rPr>
          <w:rFonts w:eastAsia="Times New Roman"/>
          <w:szCs w:val="24"/>
        </w:rPr>
      </w:pPr>
      <w:r w:rsidRPr="00280D88">
        <w:rPr>
          <w:rFonts w:eastAsia="Times New Roman"/>
          <w:szCs w:val="24"/>
        </w:rPr>
        <w:t>Atbalsts nozaru vajadzībās balstītai pieaugušo izglītībai</w:t>
      </w:r>
      <w:r>
        <w:rPr>
          <w:rFonts w:eastAsia="Times New Roman"/>
          <w:szCs w:val="24"/>
        </w:rPr>
        <w:t>:</w:t>
      </w:r>
      <w:r w:rsidRPr="00280D88">
        <w:rPr>
          <w:rFonts w:eastAsia="Times New Roman"/>
          <w:szCs w:val="24"/>
        </w:rPr>
        <w:t xml:space="preserve"> </w:t>
      </w:r>
      <w:r w:rsidR="00AC212B" w:rsidRPr="00930237">
        <w:rPr>
          <w:rFonts w:eastAsia="Times New Roman"/>
          <w:szCs w:val="24"/>
        </w:rPr>
        <w:t xml:space="preserve">atbalsts uzņēmumu izaugsmes vajadzībās balstītai, mērķorientētai </w:t>
      </w:r>
      <w:r w:rsidR="00DD69EB" w:rsidRPr="00DD69EB">
        <w:rPr>
          <w:rFonts w:eastAsia="Times New Roman"/>
          <w:szCs w:val="24"/>
        </w:rPr>
        <w:t xml:space="preserve">nodarbināto personisko un profesionālo prasmju celšanai </w:t>
      </w:r>
      <w:r w:rsidR="00AC212B" w:rsidRPr="00930237">
        <w:rPr>
          <w:rFonts w:eastAsia="Times New Roman"/>
          <w:szCs w:val="24"/>
        </w:rPr>
        <w:t xml:space="preserve">un mācību barjeru mazināšanai, primāri </w:t>
      </w:r>
      <w:r w:rsidRPr="00280D88">
        <w:rPr>
          <w:rFonts w:eastAsia="Times New Roman"/>
          <w:szCs w:val="24"/>
        </w:rPr>
        <w:t xml:space="preserve">publisko un privāto partnerību veidošanai, tostarp </w:t>
      </w:r>
      <w:r w:rsidR="00AC212B" w:rsidRPr="00930237">
        <w:rPr>
          <w:rFonts w:eastAsia="Times New Roman"/>
          <w:szCs w:val="24"/>
        </w:rPr>
        <w:t xml:space="preserve">prasmju fondu </w:t>
      </w:r>
      <w:r w:rsidRPr="00280D88">
        <w:rPr>
          <w:rFonts w:eastAsia="Times New Roman"/>
          <w:szCs w:val="24"/>
        </w:rPr>
        <w:t xml:space="preserve">koncepta izveides un pilotēšanas </w:t>
      </w:r>
      <w:r w:rsidR="00AC212B" w:rsidRPr="00930237">
        <w:rPr>
          <w:rFonts w:eastAsia="Times New Roman"/>
          <w:szCs w:val="24"/>
        </w:rPr>
        <w:t>veidā</w:t>
      </w:r>
      <w:r w:rsidR="00DD69EB">
        <w:rPr>
          <w:rFonts w:eastAsia="Times New Roman"/>
          <w:szCs w:val="24"/>
        </w:rPr>
        <w:t>.</w:t>
      </w:r>
      <w:r w:rsidR="00AC212B" w:rsidRPr="00930237">
        <w:rPr>
          <w:rFonts w:eastAsia="Times New Roman"/>
          <w:szCs w:val="24"/>
        </w:rPr>
        <w:t xml:space="preserve"> </w:t>
      </w:r>
      <w:r w:rsidR="00DD69EB">
        <w:rPr>
          <w:rFonts w:eastAsia="Times New Roman"/>
          <w:szCs w:val="24"/>
        </w:rPr>
        <w:t xml:space="preserve">Tādejādi </w:t>
      </w:r>
      <w:r w:rsidR="00AC212B" w:rsidRPr="00930237">
        <w:rPr>
          <w:rFonts w:eastAsia="Times New Roman"/>
          <w:szCs w:val="24"/>
        </w:rPr>
        <w:t xml:space="preserve">nodrošinot </w:t>
      </w:r>
      <w:r w:rsidR="00DD69EB">
        <w:rPr>
          <w:rFonts w:eastAsia="Times New Roman"/>
          <w:szCs w:val="24"/>
        </w:rPr>
        <w:t xml:space="preserve">arī </w:t>
      </w:r>
      <w:r w:rsidR="00AC212B" w:rsidRPr="00930237">
        <w:rPr>
          <w:rFonts w:eastAsia="Times New Roman"/>
          <w:szCs w:val="24"/>
        </w:rPr>
        <w:t>nozares uzņēmumu pasūtītas darbinieku mācības uzņēmumu darba ražīguma un produktivitātes veicināšanai</w:t>
      </w:r>
      <w:r>
        <w:rPr>
          <w:rFonts w:eastAsia="Times New Roman"/>
          <w:szCs w:val="24"/>
        </w:rPr>
        <w:t>,</w:t>
      </w:r>
      <w:r w:rsidR="00AC212B" w:rsidRPr="00930237">
        <w:rPr>
          <w:rFonts w:eastAsia="Times New Roman"/>
          <w:szCs w:val="24"/>
        </w:rPr>
        <w:t xml:space="preserve"> </w:t>
      </w:r>
      <w:r w:rsidRPr="00280D88">
        <w:rPr>
          <w:rFonts w:eastAsia="Times New Roman"/>
          <w:szCs w:val="24"/>
        </w:rPr>
        <w:t xml:space="preserve">potenciāla darba spēka piesaistīšanai un izglītošanai atbilstoši nozares uzņēmumu vajadzībām </w:t>
      </w:r>
      <w:r w:rsidR="00AC212B" w:rsidRPr="00930237">
        <w:rPr>
          <w:rFonts w:eastAsia="Times New Roman"/>
          <w:szCs w:val="24"/>
        </w:rPr>
        <w:t xml:space="preserve">un stratēģiskai uzņēmumu cilvēkresursu attīstībai un plānošanai. Caur prasmju fondu </w:t>
      </w:r>
      <w:r>
        <w:rPr>
          <w:rFonts w:eastAsia="Times New Roman"/>
          <w:szCs w:val="24"/>
        </w:rPr>
        <w:t xml:space="preserve">pieeju </w:t>
      </w:r>
      <w:r w:rsidR="00AC212B" w:rsidRPr="00930237">
        <w:rPr>
          <w:rFonts w:eastAsia="Times New Roman"/>
          <w:szCs w:val="24"/>
        </w:rPr>
        <w:t xml:space="preserve">plānots attīstīt </w:t>
      </w:r>
      <w:r w:rsidR="00DD69EB">
        <w:rPr>
          <w:rFonts w:eastAsia="Times New Roman"/>
          <w:szCs w:val="24"/>
        </w:rPr>
        <w:t xml:space="preserve">sociālajā dialogā balstītu sistēmu </w:t>
      </w:r>
      <w:r w:rsidR="00AC212B" w:rsidRPr="00930237">
        <w:rPr>
          <w:rFonts w:eastAsia="Times New Roman"/>
          <w:szCs w:val="24"/>
        </w:rPr>
        <w:t xml:space="preserve">nodarbināto prasmju attīstībā ātrai un efektīvai darbaspēka pielāgošanai </w:t>
      </w:r>
      <w:r w:rsidR="00F338E0" w:rsidRPr="00F338E0">
        <w:rPr>
          <w:rFonts w:eastAsia="Times New Roman"/>
          <w:szCs w:val="24"/>
        </w:rPr>
        <w:t xml:space="preserve">valsts un reģiona </w:t>
      </w:r>
      <w:r w:rsidR="00AC212B" w:rsidRPr="00930237">
        <w:rPr>
          <w:rFonts w:eastAsia="Times New Roman"/>
          <w:szCs w:val="24"/>
        </w:rPr>
        <w:t>darba tirgus attīstības vajadzībām.</w:t>
      </w:r>
      <w:r w:rsidR="00DD69EB" w:rsidRPr="00DD69EB">
        <w:t xml:space="preserve"> </w:t>
      </w:r>
      <w:r w:rsidR="00DD69EB" w:rsidRPr="00DD69EB">
        <w:rPr>
          <w:rFonts w:eastAsia="Times New Roman"/>
          <w:szCs w:val="24"/>
        </w:rPr>
        <w:t xml:space="preserve">Izstrādāt </w:t>
      </w:r>
      <w:r>
        <w:rPr>
          <w:rFonts w:eastAsia="Times New Roman"/>
          <w:szCs w:val="24"/>
        </w:rPr>
        <w:t xml:space="preserve">Latvijas komersantam atbilstošu </w:t>
      </w:r>
      <w:r w:rsidR="00DD69EB" w:rsidRPr="00DD69EB">
        <w:rPr>
          <w:rFonts w:eastAsia="Times New Roman"/>
          <w:szCs w:val="24"/>
        </w:rPr>
        <w:t xml:space="preserve">prasmju fondu finansēšanas un darbības modeli, </w:t>
      </w:r>
      <w:r>
        <w:rPr>
          <w:rFonts w:eastAsia="Times New Roman"/>
          <w:szCs w:val="24"/>
        </w:rPr>
        <w:t xml:space="preserve">ar nodomu tam </w:t>
      </w:r>
      <w:r w:rsidR="00DD69EB" w:rsidRPr="00DD69EB">
        <w:rPr>
          <w:rFonts w:eastAsia="Times New Roman"/>
          <w:szCs w:val="24"/>
        </w:rPr>
        <w:t>ilgtermiņā kļūt par pašregulējošu un pašfinansējošu struktūru</w:t>
      </w:r>
      <w:r w:rsidR="00DD69EB">
        <w:rPr>
          <w:rFonts w:eastAsia="Times New Roman"/>
          <w:szCs w:val="24"/>
        </w:rPr>
        <w:t>.</w:t>
      </w:r>
    </w:p>
    <w:p w14:paraId="2358D313" w14:textId="0D42201E" w:rsidR="00AC212B" w:rsidRPr="00930237" w:rsidRDefault="00AC212B" w:rsidP="007545BD">
      <w:pPr>
        <w:numPr>
          <w:ilvl w:val="0"/>
          <w:numId w:val="60"/>
        </w:numPr>
        <w:spacing w:before="0" w:after="0"/>
        <w:ind w:left="567" w:hanging="567"/>
        <w:rPr>
          <w:rFonts w:eastAsia="Times New Roman"/>
          <w:szCs w:val="24"/>
        </w:rPr>
      </w:pPr>
      <w:r w:rsidRPr="00930237">
        <w:rPr>
          <w:rFonts w:eastAsia="Times New Roman"/>
          <w:b/>
          <w:szCs w:val="24"/>
        </w:rPr>
        <w:t xml:space="preserve">Galvenās mērķgrupas: </w:t>
      </w:r>
      <w:r w:rsidRPr="00930237">
        <w:rPr>
          <w:rFonts w:eastAsia="Times New Roman"/>
          <w:szCs w:val="24"/>
        </w:rPr>
        <w:t xml:space="preserve">Nodarbināti pieaugušie, prioritāri nodarbinātie pirmspensijas vecumā, </w:t>
      </w:r>
      <w:sdt>
        <w:sdtPr>
          <w:tag w:val="goog_rdk_160"/>
          <w:id w:val="1863395375"/>
        </w:sdtPr>
        <w:sdtEndPr/>
        <w:sdtContent/>
      </w:sdt>
      <w:r w:rsidRPr="00930237">
        <w:rPr>
          <w:rFonts w:eastAsia="Times New Roman"/>
          <w:szCs w:val="24"/>
        </w:rPr>
        <w:t xml:space="preserve">nodarbinātie zemas kvalifikācijas profesijās, uzņēmēji, </w:t>
      </w:r>
      <w:r w:rsidR="00DD69EB" w:rsidRPr="00DD69EB">
        <w:rPr>
          <w:rFonts w:eastAsia="Times New Roman"/>
          <w:szCs w:val="24"/>
        </w:rPr>
        <w:t>sociālo partneru organizācijas</w:t>
      </w:r>
      <w:r w:rsidR="00DD69EB">
        <w:rPr>
          <w:rFonts w:eastAsia="Times New Roman"/>
          <w:szCs w:val="24"/>
        </w:rPr>
        <w:t xml:space="preserve">, </w:t>
      </w:r>
      <w:r w:rsidR="00323A8A" w:rsidRPr="00323A8A">
        <w:rPr>
          <w:rFonts w:eastAsia="Times New Roman"/>
          <w:szCs w:val="24"/>
        </w:rPr>
        <w:t xml:space="preserve">bibliotekāri, Valsts un pašvaldību vienotie klientu apkalpošanas centri, </w:t>
      </w:r>
      <w:r w:rsidRPr="00930237">
        <w:rPr>
          <w:rFonts w:eastAsia="Times New Roman"/>
          <w:szCs w:val="24"/>
        </w:rPr>
        <w:t>NVO, darba ņēmēju un nozaru</w:t>
      </w:r>
      <w:r w:rsidR="00931FB2">
        <w:rPr>
          <w:rFonts w:eastAsia="Times New Roman"/>
          <w:szCs w:val="24"/>
        </w:rPr>
        <w:t xml:space="preserve">, </w:t>
      </w:r>
      <w:r w:rsidR="00931FB2" w:rsidRPr="00931FB2">
        <w:rPr>
          <w:rFonts w:eastAsia="Times New Roman"/>
          <w:szCs w:val="24"/>
        </w:rPr>
        <w:t>darba devēju</w:t>
      </w:r>
      <w:r w:rsidRPr="00930237">
        <w:rPr>
          <w:rFonts w:eastAsia="Times New Roman"/>
          <w:szCs w:val="24"/>
        </w:rPr>
        <w:t xml:space="preserve"> organizācijas</w:t>
      </w:r>
      <w:r w:rsidR="00931FB2">
        <w:rPr>
          <w:rFonts w:eastAsia="Times New Roman"/>
          <w:szCs w:val="24"/>
        </w:rPr>
        <w:t xml:space="preserve">, </w:t>
      </w:r>
      <w:r w:rsidR="004A58D0">
        <w:rPr>
          <w:rFonts w:eastAsia="Times New Roman"/>
          <w:szCs w:val="24"/>
        </w:rPr>
        <w:t xml:space="preserve">plānošanas reģioni, </w:t>
      </w:r>
      <w:r w:rsidR="00931FB2">
        <w:rPr>
          <w:rFonts w:eastAsia="Times New Roman"/>
          <w:szCs w:val="24"/>
        </w:rPr>
        <w:t>pašvaldības</w:t>
      </w:r>
      <w:r w:rsidR="00680ABD">
        <w:rPr>
          <w:rFonts w:eastAsia="Times New Roman"/>
          <w:szCs w:val="24"/>
        </w:rPr>
        <w:t>.</w:t>
      </w:r>
    </w:p>
    <w:p w14:paraId="21A63FE5" w14:textId="0598E9DC" w:rsidR="00AC212B" w:rsidRPr="00930237" w:rsidRDefault="00AC212B" w:rsidP="007545BD">
      <w:pPr>
        <w:numPr>
          <w:ilvl w:val="0"/>
          <w:numId w:val="60"/>
        </w:numPr>
        <w:spacing w:before="0" w:after="0"/>
        <w:ind w:left="567" w:hanging="567"/>
        <w:rPr>
          <w:rFonts w:eastAsia="Arial"/>
          <w:szCs w:val="24"/>
        </w:rPr>
      </w:pPr>
      <w:r w:rsidRPr="00930237">
        <w:rPr>
          <w:rFonts w:eastAsia="Arial"/>
          <w:b/>
          <w:szCs w:val="24"/>
        </w:rPr>
        <w:t>Darbības, kas nodrošina vienlīdzību, iekļaušanu un nediskrimināciju:</w:t>
      </w:r>
      <w:r w:rsidRPr="00930237">
        <w:rPr>
          <w:rFonts w:eastAsia="Arial"/>
          <w:szCs w:val="24"/>
        </w:rPr>
        <w:t xml:space="preserve"> Projektu un pasākumu īstenošanā un vadībā tiks nodrošināta informācijas un vides pieejamības, nediskriminācijas pēc vecuma, dzimuma, etniskās piederības u.c. pazīmes un vienlīdzīgu iespēju principu ievērošana. SAM ietvaros tiks paredzēts atbalsts sociālās atstumtības riskam pakļautajām mērķa grupām saņemt pakalpojumus un piedalīties sabiedrības politiskajā, ekonomiskajā, sociālajā un kultūras dzīvē, lai veicinātu to dalību un iesaisti atbalsta pasākumos, paredzot atvieglojumus vai specifisku atbalstu, piemēram, ceļa izdevumu kompensācijas, līdzmaksājumu samazinājums</w:t>
      </w:r>
      <w:r w:rsidR="00601AA2">
        <w:rPr>
          <w:rFonts w:eastAsia="Arial"/>
          <w:szCs w:val="24"/>
        </w:rPr>
        <w:t>,</w:t>
      </w:r>
      <w:r w:rsidR="00601AA2" w:rsidRPr="00601AA2">
        <w:rPr>
          <w:rFonts w:eastAsia="Arial"/>
          <w:szCs w:val="24"/>
        </w:rPr>
        <w:t xml:space="preserve"> </w:t>
      </w:r>
      <w:r w:rsidR="00601AA2" w:rsidRPr="00666EBE">
        <w:rPr>
          <w:rFonts w:eastAsia="Arial"/>
          <w:szCs w:val="24"/>
        </w:rPr>
        <w:t>mobilitātēs atbalsts, bērnu pieskatīšanas atbalsts</w:t>
      </w:r>
      <w:r w:rsidRPr="00930237">
        <w:rPr>
          <w:rFonts w:eastAsia="Arial"/>
          <w:szCs w:val="24"/>
        </w:rPr>
        <w:t xml:space="preserve"> utt.</w:t>
      </w:r>
    </w:p>
    <w:p w14:paraId="01EDEC51" w14:textId="56504349" w:rsidR="00AC212B" w:rsidRPr="00930237" w:rsidRDefault="00AC212B" w:rsidP="007545BD">
      <w:pPr>
        <w:numPr>
          <w:ilvl w:val="0"/>
          <w:numId w:val="60"/>
        </w:numPr>
        <w:spacing w:before="0" w:after="0"/>
        <w:ind w:left="567" w:hanging="567"/>
        <w:rPr>
          <w:rFonts w:eastAsia="Arial"/>
          <w:szCs w:val="24"/>
        </w:rPr>
      </w:pPr>
      <w:r w:rsidRPr="00930237">
        <w:rPr>
          <w:rFonts w:eastAsia="Arial"/>
          <w:b/>
          <w:szCs w:val="24"/>
        </w:rPr>
        <w:t>Mērķteritorijas, t.sk. plānotais teritoriālo rīku izmantojums</w:t>
      </w:r>
      <w:r w:rsidRPr="00930237">
        <w:rPr>
          <w:rFonts w:eastAsia="Arial"/>
          <w:szCs w:val="24"/>
        </w:rPr>
        <w:t>: Visa Latvija</w:t>
      </w:r>
      <w:r w:rsidR="00F338E0">
        <w:rPr>
          <w:rFonts w:eastAsia="Arial"/>
          <w:szCs w:val="24"/>
        </w:rPr>
        <w:t>,</w:t>
      </w:r>
      <w:r w:rsidR="00F338E0" w:rsidRPr="00F338E0">
        <w:rPr>
          <w:rFonts w:eastAsia="Arial"/>
          <w:szCs w:val="24"/>
        </w:rPr>
        <w:t xml:space="preserve"> t.sk. piemērojot 5.1.1. SAM teritoriālo pieeju  atbalsta sniegšanā, balstoties uz reģionu attīstības plānošanas dokumentiem</w:t>
      </w:r>
      <w:r w:rsidRPr="00930237">
        <w:rPr>
          <w:rFonts w:eastAsia="Arial"/>
          <w:szCs w:val="24"/>
        </w:rPr>
        <w:t>.</w:t>
      </w:r>
    </w:p>
    <w:p w14:paraId="1F8F94C7" w14:textId="7E369817" w:rsidR="00AC212B" w:rsidRPr="00930237" w:rsidRDefault="00AC212B" w:rsidP="007545BD">
      <w:pPr>
        <w:numPr>
          <w:ilvl w:val="0"/>
          <w:numId w:val="60"/>
        </w:numPr>
        <w:spacing w:before="0" w:after="0"/>
        <w:ind w:left="567" w:hanging="567"/>
        <w:rPr>
          <w:rFonts w:eastAsia="Arial"/>
          <w:szCs w:val="24"/>
        </w:rPr>
      </w:pPr>
      <w:r w:rsidRPr="00930237">
        <w:rPr>
          <w:rFonts w:eastAsia="Arial"/>
          <w:b/>
          <w:szCs w:val="24"/>
        </w:rPr>
        <w:t>Starpreģionālās, pārrobežu un transnacionālās darbības:</w:t>
      </w:r>
      <w:r w:rsidRPr="00930237">
        <w:rPr>
          <w:rFonts w:eastAsia="Arial"/>
          <w:szCs w:val="24"/>
        </w:rPr>
        <w:t xml:space="preserve"> </w:t>
      </w:r>
      <w:r w:rsidR="00323A8A">
        <w:rPr>
          <w:rFonts w:eastAsia="Arial"/>
          <w:szCs w:val="24"/>
        </w:rPr>
        <w:t>N/A</w:t>
      </w:r>
      <w:r w:rsidRPr="00930237">
        <w:rPr>
          <w:rFonts w:eastAsia="Arial"/>
          <w:szCs w:val="24"/>
        </w:rPr>
        <w:t xml:space="preserve">  </w:t>
      </w:r>
    </w:p>
    <w:p w14:paraId="624B565B" w14:textId="2D16EB4E" w:rsidR="00AC212B" w:rsidRPr="00930237" w:rsidRDefault="0002461B" w:rsidP="007545BD">
      <w:pPr>
        <w:pStyle w:val="Normal1"/>
        <w:numPr>
          <w:ilvl w:val="0"/>
          <w:numId w:val="60"/>
        </w:numPr>
        <w:spacing w:line="240" w:lineRule="auto"/>
        <w:ind w:left="567" w:hanging="567"/>
        <w:jc w:val="both"/>
        <w:rPr>
          <w:rFonts w:ascii="Times New Roman" w:eastAsia="Times New Roman" w:hAnsi="Times New Roman" w:cs="Times New Roman"/>
          <w:sz w:val="24"/>
          <w:szCs w:val="24"/>
        </w:rPr>
      </w:pPr>
      <w:r>
        <w:rPr>
          <w:rFonts w:ascii="Times New Roman" w:hAnsi="Times New Roman" w:cs="Times New Roman"/>
          <w:b/>
          <w:sz w:val="24"/>
          <w:szCs w:val="24"/>
          <w:lang w:eastAsia="lv-LV" w:bidi="lv-LV"/>
        </w:rPr>
        <w:t>F</w:t>
      </w:r>
      <w:r w:rsidR="00AC212B" w:rsidRPr="00930237">
        <w:rPr>
          <w:rFonts w:ascii="Times New Roman" w:hAnsi="Times New Roman" w:cs="Times New Roman"/>
          <w:b/>
          <w:sz w:val="24"/>
          <w:szCs w:val="24"/>
          <w:lang w:eastAsia="lv-LV" w:bidi="lv-LV"/>
        </w:rPr>
        <w:t>inanšu instrumenti:</w:t>
      </w:r>
      <w:r w:rsidR="00AC212B" w:rsidRPr="00930237">
        <w:rPr>
          <w:rFonts w:ascii="Times New Roman" w:hAnsi="Times New Roman" w:cs="Times New Roman"/>
          <w:sz w:val="24"/>
          <w:szCs w:val="24"/>
          <w:lang w:eastAsia="lv-LV" w:bidi="lv-LV"/>
        </w:rPr>
        <w:t xml:space="preserve"> N/A</w:t>
      </w:r>
    </w:p>
    <w:p w14:paraId="7F3CDD83" w14:textId="77777777" w:rsidR="00AC212B" w:rsidRPr="00930237" w:rsidRDefault="00AC212B" w:rsidP="00AC212B">
      <w:pPr>
        <w:pStyle w:val="Normal1"/>
        <w:spacing w:line="240" w:lineRule="auto"/>
        <w:ind w:left="567" w:hanging="567"/>
        <w:jc w:val="both"/>
        <w:rPr>
          <w:rFonts w:ascii="Times New Roman" w:eastAsia="Times New Roman" w:hAnsi="Times New Roman" w:cs="Times New Roman"/>
          <w:sz w:val="24"/>
          <w:szCs w:val="24"/>
        </w:rPr>
      </w:pPr>
    </w:p>
    <w:p w14:paraId="5D0ADF7A" w14:textId="77777777" w:rsidR="00AC212B" w:rsidRPr="00930237" w:rsidRDefault="00AC212B" w:rsidP="00AC212B">
      <w:pPr>
        <w:pStyle w:val="Heading4"/>
        <w:numPr>
          <w:ilvl w:val="0"/>
          <w:numId w:val="0"/>
        </w:numPr>
        <w:shd w:val="clear" w:color="auto" w:fill="F7CAAC" w:themeFill="accent2" w:themeFillTint="66"/>
        <w:spacing w:after="0"/>
        <w:rPr>
          <w:b/>
          <w:noProof/>
        </w:rPr>
      </w:pPr>
      <w:r w:rsidRPr="00930237">
        <w:rPr>
          <w:b/>
          <w:noProof/>
        </w:rPr>
        <w:t>4.3.Prioritāte “Nodarbinātība un sociālā iekļaušana”</w:t>
      </w:r>
    </w:p>
    <w:p w14:paraId="052C32F3" w14:textId="77777777" w:rsidR="00AC212B" w:rsidRPr="00930237" w:rsidRDefault="00AC212B" w:rsidP="00AC212B">
      <w:pPr>
        <w:pStyle w:val="Heading4"/>
        <w:numPr>
          <w:ilvl w:val="0"/>
          <w:numId w:val="0"/>
        </w:numPr>
        <w:shd w:val="clear" w:color="auto" w:fill="FBE4D5" w:themeFill="accent2" w:themeFillTint="33"/>
        <w:spacing w:after="0"/>
        <w:rPr>
          <w:b/>
          <w:noProof/>
        </w:rPr>
      </w:pPr>
      <w:r w:rsidRPr="00930237">
        <w:rPr>
          <w:b/>
          <w:noProof/>
        </w:rPr>
        <w:t>4.3.1.SAM “Veicināt sociāli atstumto kopienu, migrantu un nelabvēlīgā situācijā esošo grupu sociāli ekonomisko integrāciju, izmantojot integrētus pasākumus, tostarp mājokļu un sociālo pakalpojumu jomā”</w:t>
      </w:r>
    </w:p>
    <w:p w14:paraId="0BAB4FC6" w14:textId="0DBC0067" w:rsidR="00AC212B" w:rsidRPr="00930237"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iCs/>
          <w:noProof/>
          <w:sz w:val="24"/>
          <w:szCs w:val="24"/>
        </w:rPr>
      </w:pPr>
      <w:r w:rsidRPr="00930237">
        <w:rPr>
          <w:rFonts w:ascii="Times New Roman" w:eastAsia="Times New Roman" w:hAnsi="Times New Roman" w:cs="Times New Roman"/>
          <w:b/>
          <w:noProof/>
          <w:sz w:val="24"/>
          <w:szCs w:val="24"/>
        </w:rPr>
        <w:t>Atbalstāmās darības</w:t>
      </w:r>
      <w:r w:rsidRPr="00930237">
        <w:rPr>
          <w:rFonts w:ascii="Times New Roman" w:eastAsia="Times New Roman" w:hAnsi="Times New Roman" w:cs="Times New Roman"/>
          <w:noProof/>
          <w:sz w:val="24"/>
          <w:szCs w:val="24"/>
        </w:rPr>
        <w:t>:</w:t>
      </w:r>
      <w:r w:rsidRPr="00930237">
        <w:rPr>
          <w:rFonts w:ascii="Times New Roman" w:eastAsia="Times New Roman" w:hAnsi="Times New Roman" w:cs="Times New Roman"/>
          <w:iCs/>
          <w:noProof/>
          <w:sz w:val="24"/>
          <w:szCs w:val="24"/>
        </w:rPr>
        <w:t xml:space="preserve"> Ieguldījumi plānoti ģimeniskai videi pietuvinātu pakalpojumu infrastruktūras izveidei, izveidojot infrastruktūru jaunai valsts sociālās aprūpes centru pakalpojumu formai </w:t>
      </w:r>
      <w:r w:rsidR="0087131A" w:rsidRPr="00930237">
        <w:rPr>
          <w:rFonts w:ascii="Times New Roman" w:eastAsia="Times New Roman" w:hAnsi="Times New Roman" w:cs="Times New Roman"/>
          <w:color w:val="000000"/>
          <w:sz w:val="24"/>
          <w:szCs w:val="24"/>
        </w:rPr>
        <w:t xml:space="preserve">(5 pakalpojumu sniegšanas vietas * 24 bērni) </w:t>
      </w:r>
      <w:r w:rsidR="0087131A" w:rsidRPr="00930237">
        <w:rPr>
          <w:rFonts w:ascii="Times New Roman" w:eastAsia="Times New Roman" w:hAnsi="Times New Roman" w:cs="Times New Roman"/>
          <w:iCs/>
          <w:noProof/>
          <w:sz w:val="24"/>
          <w:szCs w:val="24"/>
        </w:rPr>
        <w:t>tuvinot tos kopienā sniegtajiem pakalpojumiem. Atbalsts palielinās pakalpojuma pieejamību, kvalitāti un efektivitāti, sekmējot cilvēka neatkarīgas dzīves iespējas un dzīves kvalitātes saglabāšanu vai uzlabošanu, nodrošinot nepieciešamo atbalstu un vidi ārpusģimenes aprūpē esošiem bērniem un jauniešiem</w:t>
      </w:r>
      <w:r w:rsidRPr="00930237">
        <w:rPr>
          <w:rFonts w:ascii="Times New Roman" w:eastAsia="Times New Roman" w:hAnsi="Times New Roman" w:cs="Times New Roman"/>
          <w:iCs/>
          <w:noProof/>
          <w:sz w:val="24"/>
          <w:szCs w:val="24"/>
        </w:rPr>
        <w:t>.</w:t>
      </w:r>
    </w:p>
    <w:p w14:paraId="46201AF2" w14:textId="12105DC3" w:rsidR="00AC212B" w:rsidRPr="00930237"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iCs/>
          <w:noProof/>
          <w:sz w:val="24"/>
          <w:szCs w:val="24"/>
        </w:rPr>
      </w:pPr>
      <w:r w:rsidRPr="00930237">
        <w:rPr>
          <w:rFonts w:ascii="Times New Roman" w:eastAsia="Times New Roman" w:hAnsi="Times New Roman" w:cs="Times New Roman"/>
          <w:iCs/>
          <w:noProof/>
          <w:sz w:val="24"/>
          <w:szCs w:val="24"/>
        </w:rPr>
        <w:t>Sekmējot vienlīdzīgas iespējas iesaistīties darba tirgū un uzlabojot profesionālo mobilitāti, tiek plānoti ieguldījumi nodrošinot kvalitatīvu sociālo</w:t>
      </w:r>
      <w:r w:rsidR="00327319">
        <w:rPr>
          <w:rFonts w:ascii="Times New Roman" w:eastAsia="Times New Roman" w:hAnsi="Times New Roman" w:cs="Times New Roman"/>
          <w:iCs/>
          <w:noProof/>
          <w:sz w:val="24"/>
          <w:szCs w:val="24"/>
        </w:rPr>
        <w:t xml:space="preserve"> </w:t>
      </w:r>
      <w:r w:rsidR="00327319" w:rsidRPr="678DA801">
        <w:rPr>
          <w:rFonts w:ascii="Times New Roman" w:eastAsia="Times New Roman" w:hAnsi="Times New Roman" w:cs="Times New Roman"/>
          <w:noProof/>
          <w:sz w:val="24"/>
          <w:szCs w:val="24"/>
        </w:rPr>
        <w:t>un pašvaldības īres</w:t>
      </w:r>
      <w:r w:rsidRPr="00930237">
        <w:rPr>
          <w:rFonts w:ascii="Times New Roman" w:eastAsia="Times New Roman" w:hAnsi="Times New Roman" w:cs="Times New Roman"/>
          <w:iCs/>
          <w:noProof/>
          <w:sz w:val="24"/>
          <w:szCs w:val="24"/>
        </w:rPr>
        <w:t xml:space="preserve"> mājokļu pieejamību īpaši nelabvēlīgā situācijā esošām personām, t.sk. bāreņiem un bez vecāku gādības palikušajiem bērniem pēc pilngadības sasniegšanas, personām ar invaliditāti, bēgļiem un personām ar alternatīvo statusu, maznodrošinātām personām, repatriantiem. Atbalstu plānots sniegt sociālo </w:t>
      </w:r>
      <w:r w:rsidR="00327319" w:rsidRPr="678DA801">
        <w:rPr>
          <w:rFonts w:ascii="Times New Roman" w:eastAsia="Times New Roman" w:hAnsi="Times New Roman" w:cs="Times New Roman"/>
          <w:noProof/>
          <w:sz w:val="24"/>
          <w:szCs w:val="24"/>
        </w:rPr>
        <w:t xml:space="preserve">vai pašvaldības īres </w:t>
      </w:r>
      <w:r w:rsidRPr="00930237">
        <w:rPr>
          <w:rFonts w:ascii="Times New Roman" w:eastAsia="Times New Roman" w:hAnsi="Times New Roman" w:cs="Times New Roman"/>
          <w:iCs/>
          <w:noProof/>
          <w:sz w:val="24"/>
          <w:szCs w:val="24"/>
        </w:rPr>
        <w:t>mājokļu atjaunošanas vai jauna fonda izbūvē, t.sk aprīkošanā</w:t>
      </w:r>
      <w:r w:rsidR="00027FEF">
        <w:rPr>
          <w:rFonts w:ascii="Times New Roman" w:eastAsia="Times New Roman" w:hAnsi="Times New Roman" w:cs="Times New Roman"/>
          <w:iCs/>
          <w:noProof/>
          <w:sz w:val="24"/>
          <w:szCs w:val="24"/>
        </w:rPr>
        <w:t>.</w:t>
      </w:r>
    </w:p>
    <w:p w14:paraId="58B6A2B5" w14:textId="300BC279" w:rsidR="00AC212B" w:rsidRPr="00930237" w:rsidRDefault="00D95F68" w:rsidP="007545BD">
      <w:pPr>
        <w:pStyle w:val="ListParagraph"/>
        <w:numPr>
          <w:ilvl w:val="0"/>
          <w:numId w:val="60"/>
        </w:numPr>
        <w:spacing w:after="0" w:line="240" w:lineRule="auto"/>
        <w:ind w:left="567" w:hanging="567"/>
        <w:jc w:val="both"/>
        <w:rPr>
          <w:rFonts w:ascii="Times New Roman" w:eastAsia="Times New Roman" w:hAnsi="Times New Roman" w:cs="Times New Roman"/>
          <w:iCs/>
          <w:noProof/>
          <w:sz w:val="24"/>
          <w:szCs w:val="24"/>
        </w:rPr>
      </w:pPr>
      <w:r w:rsidRPr="00930237">
        <w:rPr>
          <w:rFonts w:ascii="Times New Roman" w:eastAsia="Times New Roman" w:hAnsi="Times New Roman" w:cs="Times New Roman"/>
          <w:iCs/>
          <w:noProof/>
          <w:sz w:val="24"/>
          <w:szCs w:val="24"/>
        </w:rPr>
        <w:t>Plānots atbalsts Labklājības ministrijas infrastruktūras pieejamības nodrošināšanai, īstenojot pasākumus vides pieejamības nodrošināšanai un materiāltehniskā nodrošinājuma iegādei. Pielāgojot L</w:t>
      </w:r>
      <w:r w:rsidR="00A75CD7">
        <w:rPr>
          <w:rFonts w:ascii="Times New Roman" w:eastAsia="Times New Roman" w:hAnsi="Times New Roman" w:cs="Times New Roman"/>
          <w:iCs/>
          <w:noProof/>
          <w:sz w:val="24"/>
          <w:szCs w:val="24"/>
        </w:rPr>
        <w:t>M</w:t>
      </w:r>
      <w:r w:rsidRPr="00930237">
        <w:rPr>
          <w:rFonts w:ascii="Times New Roman" w:eastAsia="Times New Roman" w:hAnsi="Times New Roman" w:cs="Times New Roman"/>
          <w:iCs/>
          <w:noProof/>
          <w:sz w:val="24"/>
          <w:szCs w:val="24"/>
        </w:rPr>
        <w:t xml:space="preserve"> infrastruktūru, tiks sekmētas iespējas iedzīvotājiem (t.sk. personām ar invaliditāti, funkcionāliem traucējumiem, funkcionēšanas ierobežojumiem, kā arī, piemēram, vecākiem ar bērnu ratiņiem, personām ar veselības problēmām u.c.) būt nodarbinātiem un iesaistīties politikas izstrādē un īstenošanā</w:t>
      </w:r>
      <w:r w:rsidR="00AC212B" w:rsidRPr="00930237">
        <w:rPr>
          <w:rFonts w:ascii="Times New Roman" w:eastAsia="Times New Roman" w:hAnsi="Times New Roman" w:cs="Times New Roman"/>
          <w:iCs/>
          <w:noProof/>
          <w:sz w:val="24"/>
          <w:szCs w:val="24"/>
        </w:rPr>
        <w:t>.</w:t>
      </w:r>
    </w:p>
    <w:p w14:paraId="718CF010" w14:textId="6D9C79C1" w:rsidR="00AC212B" w:rsidRPr="00930237"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noProof/>
          <w:sz w:val="24"/>
          <w:szCs w:val="24"/>
        </w:rPr>
      </w:pPr>
      <w:r w:rsidRPr="00930237">
        <w:rPr>
          <w:rFonts w:ascii="Times New Roman" w:eastAsia="Times New Roman" w:hAnsi="Times New Roman" w:cs="Times New Roman"/>
          <w:noProof/>
          <w:sz w:val="24"/>
          <w:szCs w:val="24"/>
        </w:rPr>
        <w:t>Uzlabojot vides pieejamību personām ar kustību traucējumiem paredzēts atbalsts mājokļu piemērošanai, daudzdzīvokļu ēkām izbūvējot liftus</w:t>
      </w:r>
      <w:r w:rsidR="004909C3">
        <w:rPr>
          <w:rFonts w:ascii="Times New Roman" w:eastAsia="Times New Roman" w:hAnsi="Times New Roman" w:cs="Times New Roman"/>
          <w:noProof/>
          <w:sz w:val="24"/>
          <w:szCs w:val="24"/>
        </w:rPr>
        <w:t xml:space="preserve"> </w:t>
      </w:r>
      <w:r w:rsidR="004909C3" w:rsidRPr="004909C3">
        <w:rPr>
          <w:rFonts w:ascii="Times New Roman" w:eastAsia="Times New Roman" w:hAnsi="Times New Roman" w:cs="Times New Roman"/>
          <w:noProof/>
          <w:sz w:val="24"/>
          <w:szCs w:val="24"/>
        </w:rPr>
        <w:t>un pielāgojot saistīto infrastruktūru</w:t>
      </w:r>
      <w:r w:rsidRPr="00930237">
        <w:rPr>
          <w:rFonts w:ascii="Times New Roman" w:eastAsia="Times New Roman" w:hAnsi="Times New Roman" w:cs="Times New Roman"/>
          <w:noProof/>
          <w:sz w:val="24"/>
          <w:szCs w:val="24"/>
        </w:rPr>
        <w:t>. Mājokļu vides pieejamības uzlabošana personām ar kustību traucējumiem veicinātu šo personu veiksmīgāku iekļaušanos sabiedrībā, nodrošinot pārvietošanās brīvību, tādā veidā veicinot šo personu iesaistīšanos darba tirgū un pieeju veselības, izglītības un sociālajiem pakalpojumiem.</w:t>
      </w:r>
    </w:p>
    <w:p w14:paraId="46E28EBF" w14:textId="45DF3E75"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b/>
          <w:noProof/>
          <w:sz w:val="24"/>
          <w:szCs w:val="24"/>
        </w:rPr>
      </w:pPr>
      <w:r w:rsidRPr="00930237">
        <w:rPr>
          <w:rFonts w:ascii="Times New Roman" w:eastAsia="Times New Roman" w:hAnsi="Times New Roman" w:cs="Times New Roman"/>
          <w:b/>
          <w:noProof/>
          <w:sz w:val="24"/>
          <w:szCs w:val="24"/>
        </w:rPr>
        <w:t>Galvenās mērķagrupas:</w:t>
      </w:r>
      <w:r w:rsidRPr="00930237">
        <w:rPr>
          <w:rFonts w:ascii="Times New Roman" w:hAnsi="Times New Roman" w:cs="Times New Roman"/>
          <w:sz w:val="24"/>
          <w:szCs w:val="24"/>
        </w:rPr>
        <w:t xml:space="preserve"> </w:t>
      </w:r>
      <w:r w:rsidR="00BC5F6D" w:rsidRPr="00BC5F6D">
        <w:rPr>
          <w:rFonts w:ascii="Times New Roman" w:hAnsi="Times New Roman" w:cs="Times New Roman"/>
          <w:sz w:val="24"/>
          <w:szCs w:val="24"/>
        </w:rPr>
        <w:t>Ārpusģimenes aprūpē (valsts finansētās ilgstošas sociālās aprūpes institūcijās - valsts sociālās aprūpes centros) esoši bērni ar funkcionāliem traucējumiem, kuriem funkcionālo traucējumu smaguma pakāpes dēļ nav iespējams nodrošināt aprūpi ģimenē, pie aizbildņa vai audžuģimenē, un jaunieši pēc 18 gadu sasniegšanas ar smagiem un ļoti smagiem garīga rakstura traucējumiem</w:t>
      </w:r>
      <w:r w:rsidRPr="00930237">
        <w:rPr>
          <w:rFonts w:ascii="Times New Roman" w:hAnsi="Times New Roman" w:cs="Times New Roman"/>
          <w:sz w:val="24"/>
          <w:szCs w:val="24"/>
        </w:rPr>
        <w:t xml:space="preserve">. </w:t>
      </w:r>
    </w:p>
    <w:p w14:paraId="7C8B15D1" w14:textId="5B5B6B24" w:rsidR="00AC212B" w:rsidRPr="00930237" w:rsidRDefault="00EF1176" w:rsidP="007545BD">
      <w:pPr>
        <w:pStyle w:val="ListParagraph"/>
        <w:numPr>
          <w:ilvl w:val="0"/>
          <w:numId w:val="60"/>
        </w:numPr>
        <w:spacing w:after="0" w:line="240" w:lineRule="auto"/>
        <w:ind w:left="567" w:hanging="567"/>
        <w:jc w:val="both"/>
        <w:rPr>
          <w:rFonts w:ascii="Times New Roman" w:hAnsi="Times New Roman" w:cs="Times New Roman"/>
          <w:b/>
          <w:noProof/>
          <w:sz w:val="24"/>
          <w:szCs w:val="24"/>
        </w:rPr>
      </w:pPr>
      <w:r w:rsidRPr="00EF1176">
        <w:rPr>
          <w:rFonts w:ascii="Times New Roman" w:hAnsi="Times New Roman" w:cs="Times New Roman"/>
          <w:noProof/>
          <w:sz w:val="24"/>
          <w:szCs w:val="24"/>
        </w:rPr>
        <w:t>Cilvēki ar invaliditāti, prognozējamu invaliditāti, cilvēki ar dažādiem funkcionēšanas traucējumiem, kuriem nepieciešami vides pielāgojumi, lai saņemtu valsts sniegtos pakalpojumus vai iekļautos darba tirgū</w:t>
      </w:r>
      <w:r w:rsidR="00AC212B" w:rsidRPr="00930237">
        <w:rPr>
          <w:rFonts w:ascii="Times New Roman" w:hAnsi="Times New Roman" w:cs="Times New Roman"/>
          <w:noProof/>
          <w:sz w:val="24"/>
          <w:szCs w:val="24"/>
        </w:rPr>
        <w:t>.</w:t>
      </w:r>
      <w:r w:rsidR="00AC212B" w:rsidRPr="00930237">
        <w:rPr>
          <w:rFonts w:ascii="Times New Roman" w:hAnsi="Times New Roman" w:cs="Times New Roman"/>
          <w:sz w:val="24"/>
          <w:szCs w:val="24"/>
        </w:rPr>
        <w:t xml:space="preserve"> </w:t>
      </w:r>
    </w:p>
    <w:p w14:paraId="7ED0EA5C" w14:textId="102A3C58"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b/>
          <w:noProof/>
          <w:sz w:val="24"/>
          <w:szCs w:val="24"/>
        </w:rPr>
      </w:pPr>
      <w:r w:rsidRPr="00930237">
        <w:rPr>
          <w:rFonts w:ascii="Times New Roman" w:hAnsi="Times New Roman" w:cs="Times New Roman"/>
          <w:sz w:val="24"/>
          <w:szCs w:val="24"/>
        </w:rPr>
        <w:t>Īpaši nelabvēlīgā situācijā esošas personas, kas jau saņem vai, kam nepieciešama palīdzība mājokļa jautājumu risināšanā, t.sk. bāreņi un bez vecāku gādības palikuši bērni pēc pilngadības sasniegšanas, cilvēki ar invaliditāti, bēgļi un personas ar alternatīvo statusu, maznodrošinātas personas, repatrianti, bezpajumtnieki.</w:t>
      </w:r>
      <w:r w:rsidR="00F338E0">
        <w:rPr>
          <w:rFonts w:ascii="Times New Roman" w:hAnsi="Times New Roman" w:cs="Times New Roman"/>
          <w:sz w:val="24"/>
          <w:szCs w:val="24"/>
        </w:rPr>
        <w:t xml:space="preserve"> </w:t>
      </w:r>
    </w:p>
    <w:p w14:paraId="2FBBB9F1" w14:textId="7F34512D" w:rsidR="00AC212B" w:rsidRPr="00930237" w:rsidRDefault="00AC212B" w:rsidP="007545BD">
      <w:pPr>
        <w:pStyle w:val="Normal1"/>
        <w:numPr>
          <w:ilvl w:val="0"/>
          <w:numId w:val="60"/>
        </w:numPr>
        <w:spacing w:line="240" w:lineRule="auto"/>
        <w:ind w:left="567" w:hanging="567"/>
        <w:contextualSpacing/>
        <w:jc w:val="both"/>
        <w:rPr>
          <w:rFonts w:ascii="Times New Roman" w:eastAsia="Times New Roman" w:hAnsi="Times New Roman" w:cs="Times New Roman"/>
          <w:iCs/>
          <w:sz w:val="24"/>
          <w:szCs w:val="24"/>
          <w:lang w:eastAsia="lv-LV" w:bidi="lv-LV"/>
        </w:rPr>
      </w:pPr>
      <w:r w:rsidRPr="00930237">
        <w:rPr>
          <w:rFonts w:ascii="Times New Roman" w:hAnsi="Times New Roman" w:cs="Times New Roman"/>
          <w:b/>
          <w:sz w:val="24"/>
          <w:szCs w:val="24"/>
        </w:rPr>
        <w:t>Darbības, kas nodrošina vienlīdzību, iekļaušanu un nediskrimināciju:</w:t>
      </w:r>
      <w:r w:rsidRPr="00930237">
        <w:rPr>
          <w:rFonts w:ascii="Times New Roman" w:hAnsi="Times New Roman" w:cs="Times New Roman"/>
          <w:sz w:val="24"/>
          <w:szCs w:val="24"/>
        </w:rPr>
        <w:t xml:space="preserve"> </w:t>
      </w:r>
      <w:r w:rsidR="00F20018" w:rsidRPr="00F20018">
        <w:rPr>
          <w:rFonts w:ascii="Times New Roman" w:eastAsia="Times New Roman" w:hAnsi="Times New Roman" w:cs="Times New Roman"/>
          <w:iCs/>
          <w:sz w:val="24"/>
          <w:szCs w:val="24"/>
          <w:lang w:eastAsia="lv-LV" w:bidi="lv-LV"/>
        </w:rPr>
        <w:t>Projekta vadībā un īstenošanā tiks nodrošināta informācijas un vides pieejamība, nediskriminācija pēc vecuma, dzimuma, etniskās piederības u.c. pazīmēm, vienlīdzīgu iespēju principu ievērošana u.c. pasākumi. Īstenotie pasākumi paredz nodrošināt sociālo</w:t>
      </w:r>
      <w:r w:rsidR="00327319">
        <w:rPr>
          <w:rFonts w:ascii="Times New Roman" w:eastAsia="Times New Roman" w:hAnsi="Times New Roman" w:cs="Times New Roman"/>
          <w:iCs/>
          <w:sz w:val="24"/>
          <w:szCs w:val="24"/>
          <w:lang w:eastAsia="lv-LV" w:bidi="lv-LV"/>
        </w:rPr>
        <w:t xml:space="preserve"> </w:t>
      </w:r>
      <w:r w:rsidR="00327319" w:rsidRPr="678DA801">
        <w:rPr>
          <w:rFonts w:ascii="Times New Roman" w:eastAsia="Times New Roman" w:hAnsi="Times New Roman" w:cs="Times New Roman"/>
          <w:sz w:val="24"/>
          <w:szCs w:val="24"/>
          <w:lang w:eastAsia="lv-LV" w:bidi="lv-LV"/>
        </w:rPr>
        <w:t>vai pašvaldības īres</w:t>
      </w:r>
      <w:r w:rsidR="00F20018" w:rsidRPr="00F20018">
        <w:rPr>
          <w:rFonts w:ascii="Times New Roman" w:eastAsia="Times New Roman" w:hAnsi="Times New Roman" w:cs="Times New Roman"/>
          <w:iCs/>
          <w:sz w:val="24"/>
          <w:szCs w:val="24"/>
          <w:lang w:eastAsia="lv-LV" w:bidi="lv-LV"/>
        </w:rPr>
        <w:t xml:space="preserve"> mājokļu pieejamību īpaši nelabvēlīgā situācijā esošām personām. Veicot ieguldījumus L</w:t>
      </w:r>
      <w:r w:rsidR="00A75CD7">
        <w:rPr>
          <w:rFonts w:ascii="Times New Roman" w:eastAsia="Times New Roman" w:hAnsi="Times New Roman" w:cs="Times New Roman"/>
          <w:iCs/>
          <w:sz w:val="24"/>
          <w:szCs w:val="24"/>
          <w:lang w:eastAsia="lv-LV" w:bidi="lv-LV"/>
        </w:rPr>
        <w:t>M</w:t>
      </w:r>
      <w:r w:rsidR="00F20018" w:rsidRPr="00F20018">
        <w:rPr>
          <w:rFonts w:ascii="Times New Roman" w:eastAsia="Times New Roman" w:hAnsi="Times New Roman" w:cs="Times New Roman"/>
          <w:iCs/>
          <w:sz w:val="24"/>
          <w:szCs w:val="24"/>
          <w:lang w:eastAsia="lv-LV" w:bidi="lv-LV"/>
        </w:rPr>
        <w:t xml:space="preserve"> infrastruktūrā, plānots nodrošināt infrastruktūras pieejamību (t.sk. atbilstoši pieejamības prasībām cilvēkiem ar redzes, dzirdes un kustību traucējumiem). Plānota lifta izbūve, kabinetu un sanitārtehnisko telpu pielāgošana, publisku pasākumu telpu pieejamības nodrošināšana, taktilās </w:t>
      </w:r>
      <w:r w:rsidR="00A75CD7">
        <w:rPr>
          <w:rFonts w:ascii="Times New Roman" w:eastAsia="Times New Roman" w:hAnsi="Times New Roman" w:cs="Times New Roman"/>
          <w:iCs/>
          <w:sz w:val="24"/>
          <w:szCs w:val="24"/>
          <w:lang w:eastAsia="lv-LV" w:bidi="lv-LV"/>
        </w:rPr>
        <w:t xml:space="preserve">IS </w:t>
      </w:r>
      <w:r w:rsidR="00F20018" w:rsidRPr="00F20018">
        <w:rPr>
          <w:rFonts w:ascii="Times New Roman" w:eastAsia="Times New Roman" w:hAnsi="Times New Roman" w:cs="Times New Roman"/>
          <w:iCs/>
          <w:sz w:val="24"/>
          <w:szCs w:val="24"/>
          <w:lang w:eastAsia="lv-LV" w:bidi="lv-LV"/>
        </w:rPr>
        <w:t>izveidošana un cilvēkiem ar invaliditāti nepieciešamā aprīkojuma iegāde</w:t>
      </w:r>
      <w:r w:rsidRPr="00930237">
        <w:rPr>
          <w:rFonts w:ascii="Times New Roman" w:eastAsia="Times New Roman" w:hAnsi="Times New Roman" w:cs="Times New Roman"/>
          <w:iCs/>
          <w:sz w:val="24"/>
          <w:szCs w:val="24"/>
          <w:lang w:eastAsia="lv-LV" w:bidi="lv-LV"/>
        </w:rPr>
        <w:t>.</w:t>
      </w:r>
    </w:p>
    <w:p w14:paraId="4FD92964" w14:textId="77777777" w:rsidR="00AC212B" w:rsidRPr="00930237" w:rsidRDefault="00AC212B" w:rsidP="007545BD">
      <w:pPr>
        <w:pStyle w:val="Normal1"/>
        <w:numPr>
          <w:ilvl w:val="0"/>
          <w:numId w:val="60"/>
        </w:numPr>
        <w:spacing w:line="240" w:lineRule="auto"/>
        <w:ind w:left="567" w:hanging="567"/>
        <w:contextualSpacing/>
        <w:jc w:val="both"/>
        <w:rPr>
          <w:rFonts w:ascii="Times New Roman" w:hAnsi="Times New Roman" w:cs="Times New Roman"/>
          <w:sz w:val="24"/>
          <w:szCs w:val="24"/>
          <w:lang w:bidi="lv-LV"/>
        </w:rPr>
      </w:pPr>
      <w:r w:rsidRPr="00930237">
        <w:rPr>
          <w:rFonts w:ascii="Times New Roman" w:eastAsia="Times New Roman" w:hAnsi="Times New Roman" w:cs="Times New Roman"/>
          <w:iCs/>
          <w:noProof/>
          <w:sz w:val="24"/>
          <w:szCs w:val="24"/>
          <w:lang w:eastAsia="lv-LV" w:bidi="lv-LV"/>
        </w:rPr>
        <w:t>Tiks nodrošināta brīva pārvietošanās ēkā cilvēkiem ar kustību traucējumiem, izbūvējot liftu, vai uzbrauktuvi, vai pandusu u.c., tiks veikta kabinetu un sanitārtehnisko telpu pielāgošana, publisku pasākumu telpu pieejamības nodrošināšanas pasākumi, izveidota taktilās IS un nepieciešamā aprīkojuma iegāde u.c.</w:t>
      </w:r>
    </w:p>
    <w:p w14:paraId="5915CF2C" w14:textId="7EC622B8"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Mērķteritorijas, t.sk. plānotais teritoriālo rīku izmantojums</w:t>
      </w:r>
      <w:r w:rsidRPr="00930237">
        <w:rPr>
          <w:rFonts w:ascii="Times New Roman" w:hAnsi="Times New Roman" w:cs="Times New Roman"/>
          <w:sz w:val="24"/>
          <w:szCs w:val="24"/>
        </w:rPr>
        <w:t>: Visa Latvija</w:t>
      </w:r>
      <w:r w:rsidR="004A58D0">
        <w:rPr>
          <w:rFonts w:ascii="Times New Roman" w:hAnsi="Times New Roman" w:cs="Times New Roman"/>
          <w:sz w:val="24"/>
          <w:szCs w:val="24"/>
        </w:rPr>
        <w:t xml:space="preserve">, </w:t>
      </w:r>
      <w:r w:rsidR="004A58D0" w:rsidRPr="004A58D0">
        <w:rPr>
          <w:rFonts w:ascii="Times New Roman" w:hAnsi="Times New Roman" w:cs="Times New Roman"/>
          <w:sz w:val="24"/>
          <w:szCs w:val="24"/>
        </w:rPr>
        <w:t>vienlaikus mājokļu pieejamības nodrošināšanā tiks vērtēta teritoriju ekonomiskā attīstība (piem., darba iespējas utml.)</w:t>
      </w:r>
      <w:r w:rsidRPr="00930237">
        <w:rPr>
          <w:rFonts w:ascii="Times New Roman" w:hAnsi="Times New Roman" w:cs="Times New Roman"/>
          <w:sz w:val="24"/>
          <w:szCs w:val="24"/>
        </w:rPr>
        <w:t>.</w:t>
      </w:r>
    </w:p>
    <w:p w14:paraId="34B9AFC4" w14:textId="77777777"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Starpreģionālās, pārrobežu un transnacionālās darbības:</w:t>
      </w:r>
      <w:r w:rsidRPr="00930237">
        <w:rPr>
          <w:rFonts w:ascii="Times New Roman" w:hAnsi="Times New Roman" w:cs="Times New Roman"/>
          <w:sz w:val="24"/>
          <w:szCs w:val="24"/>
        </w:rPr>
        <w:t xml:space="preserve"> N/A</w:t>
      </w:r>
    </w:p>
    <w:p w14:paraId="5298B171" w14:textId="7668B3CC" w:rsidR="00AC212B" w:rsidRPr="00930237" w:rsidRDefault="0002461B" w:rsidP="007545BD">
      <w:pPr>
        <w:pStyle w:val="ListParagraph"/>
        <w:numPr>
          <w:ilvl w:val="0"/>
          <w:numId w:val="60"/>
        </w:numPr>
        <w:spacing w:after="0" w:line="240" w:lineRule="auto"/>
        <w:ind w:left="567" w:hanging="567"/>
        <w:jc w:val="both"/>
        <w:rPr>
          <w:rFonts w:ascii="Times New Roman" w:eastAsia="Times New Roman" w:hAnsi="Times New Roman" w:cs="Times New Roman"/>
          <w:sz w:val="24"/>
          <w:szCs w:val="24"/>
        </w:rPr>
      </w:pPr>
      <w:r>
        <w:rPr>
          <w:rFonts w:ascii="Times New Roman" w:hAnsi="Times New Roman" w:cs="Times New Roman"/>
          <w:b/>
          <w:sz w:val="24"/>
          <w:szCs w:val="24"/>
        </w:rPr>
        <w:t>F</w:t>
      </w:r>
      <w:r w:rsidR="00AC212B" w:rsidRPr="00930237">
        <w:rPr>
          <w:rFonts w:ascii="Times New Roman" w:hAnsi="Times New Roman" w:cs="Times New Roman"/>
          <w:b/>
          <w:sz w:val="24"/>
          <w:szCs w:val="24"/>
        </w:rPr>
        <w:t>inanšu instrumenti:</w:t>
      </w:r>
      <w:r w:rsidR="00AC212B" w:rsidRPr="00930237">
        <w:rPr>
          <w:rFonts w:ascii="Times New Roman" w:hAnsi="Times New Roman" w:cs="Times New Roman"/>
          <w:sz w:val="24"/>
          <w:szCs w:val="24"/>
        </w:rPr>
        <w:t xml:space="preserve"> N/A</w:t>
      </w:r>
    </w:p>
    <w:p w14:paraId="46DC2194" w14:textId="77777777" w:rsidR="00AC212B" w:rsidRPr="00930237" w:rsidRDefault="00AC212B" w:rsidP="00AC212B">
      <w:pPr>
        <w:spacing w:before="0" w:after="0"/>
        <w:rPr>
          <w:rFonts w:eastAsia="Times New Roman"/>
          <w:noProof/>
          <w:sz w:val="20"/>
        </w:rPr>
      </w:pPr>
    </w:p>
    <w:p w14:paraId="06010954" w14:textId="77777777" w:rsidR="00AC212B" w:rsidRPr="00930237" w:rsidRDefault="00AC212B" w:rsidP="00AC212B">
      <w:pPr>
        <w:pStyle w:val="Heading4"/>
        <w:numPr>
          <w:ilvl w:val="0"/>
          <w:numId w:val="0"/>
        </w:numPr>
        <w:shd w:val="clear" w:color="auto" w:fill="FBE4D5" w:themeFill="accent2" w:themeFillTint="33"/>
        <w:spacing w:after="0"/>
        <w:rPr>
          <w:b/>
          <w:noProof/>
          <w:color w:val="FF0000"/>
          <w:szCs w:val="24"/>
        </w:rPr>
      </w:pPr>
      <w:r w:rsidRPr="00930237">
        <w:rPr>
          <w:b/>
          <w:noProof/>
        </w:rPr>
        <w:t>4.3.2.SAM “</w:t>
      </w:r>
      <w:r w:rsidRPr="00930237">
        <w:rPr>
          <w:b/>
          <w:szCs w:val="24"/>
          <w:shd w:val="clear" w:color="auto" w:fill="FBE4D5" w:themeFill="accent2" w:themeFillTint="33"/>
        </w:rPr>
        <w:t>Kultūras un tūrisma lomas palielināšana ekonomiskajā attīstībā, sociālajā iekļaušanā un sociālajās inovācijās”</w:t>
      </w:r>
    </w:p>
    <w:p w14:paraId="70CF97D5" w14:textId="6A9C9C2F" w:rsidR="00AC212B" w:rsidRPr="00303BA8"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noProof/>
          <w:sz w:val="24"/>
          <w:szCs w:val="24"/>
        </w:rPr>
      </w:pPr>
      <w:r w:rsidRPr="00930237">
        <w:rPr>
          <w:rFonts w:ascii="Times New Roman" w:eastAsia="Times New Roman" w:hAnsi="Times New Roman" w:cs="Times New Roman"/>
          <w:b/>
          <w:noProof/>
          <w:sz w:val="24"/>
          <w:szCs w:val="24"/>
        </w:rPr>
        <w:t xml:space="preserve">Atbalstāmās darbības: </w:t>
      </w:r>
      <w:r w:rsidR="00303BA8" w:rsidRPr="00303BA8">
        <w:rPr>
          <w:rFonts w:ascii="Times New Roman" w:eastAsia="Times New Roman" w:hAnsi="Times New Roman" w:cs="Times New Roman"/>
          <w:noProof/>
          <w:sz w:val="24"/>
          <w:szCs w:val="24"/>
        </w:rPr>
        <w:t>4.3.2.SAM ietvaros atbalstāmas investīcijas kultūras operatoru kapacitātes paaugstināšanā un sociāli iekļaujošu inovatīvu kultūras pakalpojumu attīstīšanā, radot pozitīvu ietekmi uz vietējām kopienām, kā arī reģionu un pilsētu ekonomisko attīstību, t</w:t>
      </w:r>
      <w:r w:rsidR="00102172">
        <w:rPr>
          <w:rFonts w:ascii="Times New Roman" w:eastAsia="Times New Roman" w:hAnsi="Times New Roman" w:cs="Times New Roman"/>
          <w:noProof/>
          <w:sz w:val="24"/>
          <w:szCs w:val="24"/>
        </w:rPr>
        <w:t>.sk.</w:t>
      </w:r>
      <w:r w:rsidR="00303BA8" w:rsidRPr="00303BA8">
        <w:rPr>
          <w:rFonts w:ascii="Times New Roman" w:eastAsia="Times New Roman" w:hAnsi="Times New Roman" w:cs="Times New Roman"/>
          <w:noProof/>
          <w:sz w:val="24"/>
          <w:szCs w:val="24"/>
        </w:rPr>
        <w:t xml:space="preserve"> stiprinot kultūras operatoru kā vietējo kopienu centru lomu un veicinot darba vietu saglabāšanu un jaunu darba vietu radīšanu. Atbalsts tiks sniegts jauna, uz sociālo iekļaušanu orientēta kultūras piedāvājuma radīšanai, vienlaikus attīstot jaunas pieejas, piemēram, kultūras, veselības un sociālās jomas operatoru sadarbības veicināšanai. Kultūras piedāvājuma izveides nolūkos var tikt atbalstītas arī nepieciešamās investīcijas kultūras operatoru kapacitātes stiprināšanā, tostarp aprīkojumā un infrastruktūrā, ja nepieciešamo investīciju piesaiste nav iespējams 5.1.1.SAM īstenošanas ietvaros, un profesionālo kompetenču pilnveidošanā, attīstot prasmes, kas nepieciešamas kvalitatīvu un uz mērķauditoriju vajadzībām balstītu pakalpojumu sniegšanai, ja ir skaidri demonstrējama sasaiste starp veiktajām investīcijām un jaunveidojamajiem pakalpojumiem. Lai veicinātu sabiedrības, īpaši mazāk aizsargāto grupu, sociālo iekļaušanos un ar kultūras pieredzes un pakalpojumu starpniecību mazinātu sociālo nevienlīdzību, tiks atbalstīta kultūras operatoru sniegto pakalpojumu pieejamība, tostarp pieejamība cilvēkiem ar īpašām vajadzībām un citām sociāli mazaizsargātām grupām ar zemu kultūras līdzdalības īpatsvaru, kā arī kultūras pakalpojumu saturiskā tvēruma paplašināšana, tostarp sociāli aktuālu tēmu integrācija kultūras piedāvājumā un integrētu kultūras pieredžu veidošana, vienlaikus atbalstot plašāku digitalizācijas iespēju izmantošanu. Tiks atbalstīta: 1) sociāli iekļaujošu kultūras un kultūrā balstītu pakalpojumu, produktu un programmu attīstību, t</w:t>
      </w:r>
      <w:r w:rsidR="00102172">
        <w:rPr>
          <w:rFonts w:ascii="Times New Roman" w:eastAsia="Times New Roman" w:hAnsi="Times New Roman" w:cs="Times New Roman"/>
          <w:noProof/>
          <w:sz w:val="24"/>
          <w:szCs w:val="24"/>
        </w:rPr>
        <w:t>.sk.</w:t>
      </w:r>
      <w:r w:rsidR="00303BA8" w:rsidRPr="00303BA8">
        <w:rPr>
          <w:rFonts w:ascii="Times New Roman" w:eastAsia="Times New Roman" w:hAnsi="Times New Roman" w:cs="Times New Roman"/>
          <w:noProof/>
          <w:sz w:val="24"/>
          <w:szCs w:val="24"/>
        </w:rPr>
        <w:t xml:space="preserve"> digitālajā vidē, veicinot sabiedrības labbūtību, sociālo kohēziju, stiprinot demokrātiskas sabiedrības pamatus; 2) sabiedrību izglītojošu, sabiedrības integrācijas procesu un nodarbinātību veicinošu pakalpojumu, produktu un programmu attīstību, kas nodrošina mūžizglītības iespējas, atbalsta mākslas un kultūras satura un metožu integrāciju mācību procesā, personas izaugsmei un darba tirgum nepieciešamu prasmju attīstību, it īpaši bērniem un jauniešiem, senioru sociālās aktivitātes atbalstu, senioru un cilvēku ar īpašām vajadzībām kognitīvo  funkciju stimulēšanu un garīgās veselības saglabāšanu, izmantojot inovatīvas kultūrizglītības metodes; 3) kultūras prasmes un zināšanas attīstošu pakalpojumu, produktu un programmu attīstību, kas veicina iedzīvotāju kopienu dzīves kvalitātes uzlabošanos, tūrisma plūsmu palielināšanos un stimulē uzņēmējdarbību un nodarbinātību. </w:t>
      </w:r>
    </w:p>
    <w:p w14:paraId="1EDF7AB7" w14:textId="77777777" w:rsidR="00303BA8" w:rsidRDefault="00AC212B" w:rsidP="007545BD">
      <w:pPr>
        <w:numPr>
          <w:ilvl w:val="0"/>
          <w:numId w:val="60"/>
        </w:numPr>
        <w:spacing w:before="0" w:after="0"/>
        <w:ind w:left="567" w:hanging="567"/>
        <w:contextualSpacing/>
        <w:rPr>
          <w:rFonts w:eastAsia="Times New Roman"/>
          <w:noProof/>
          <w:szCs w:val="24"/>
        </w:rPr>
      </w:pPr>
      <w:r w:rsidRPr="00303BA8">
        <w:rPr>
          <w:rFonts w:eastAsia="Times New Roman"/>
          <w:b/>
          <w:noProof/>
          <w:szCs w:val="24"/>
        </w:rPr>
        <w:t xml:space="preserve">Galvenās mērķa grupas: </w:t>
      </w:r>
      <w:r w:rsidR="00303BA8" w:rsidRPr="00303BA8">
        <w:rPr>
          <w:rFonts w:eastAsia="Times New Roman"/>
          <w:noProof/>
          <w:szCs w:val="24"/>
        </w:rPr>
        <w:t>Investīcijas plānots veikt saskaņā ar valsts kultūrpolitikas pamatnostādnēm 2021.-2027.gadam, kuru pirmā prioritāte ir kultūras pakalpojumu pieejamība ar mērķi nodrošināt, ka augstvērtīgi un atbilstoši kultūras pakalpojumi ir pieejami visiem Latvijas iedzīvotājiem. Šīs prioritātes ietvaros paredzēts attīstīt kultūras pakalpojumus dažādām sabiedrības mērķgrupām un auditorijām, īpašu uzmanību pievēršot sociāli mazaizsargātām grupām, kas kultūras pieejamībā tiek arvien vairāk marginalizētas. Investīcijām jānovērš gan fiziskās, gan finansiālās, gan cita rakstura pieejamības šķēršļi kultūras pakalpojumiem, lai paplašinātu to auditoriju. Vienlaikus atbalsts nepieciešams kultūras pakalpojumu sniedzējiem - pašvaldībām, NVO un privātiem kultūras operatoriem, īpašu uzmanību pievēršot operatoriem, kam nepieciešams atbalsts Covid – 19 krīzes rezultātā radīto seku mazināšanai.</w:t>
      </w:r>
    </w:p>
    <w:p w14:paraId="1F542767" w14:textId="199C32F7" w:rsidR="00AC212B" w:rsidRPr="00303BA8" w:rsidRDefault="00AC212B" w:rsidP="007545BD">
      <w:pPr>
        <w:numPr>
          <w:ilvl w:val="0"/>
          <w:numId w:val="60"/>
        </w:numPr>
        <w:spacing w:before="0" w:after="0"/>
        <w:ind w:left="567" w:hanging="567"/>
        <w:contextualSpacing/>
        <w:rPr>
          <w:rFonts w:eastAsia="Times New Roman"/>
          <w:noProof/>
          <w:szCs w:val="24"/>
        </w:rPr>
      </w:pPr>
      <w:r w:rsidRPr="00303BA8">
        <w:rPr>
          <w:rFonts w:eastAsia="Times New Roman"/>
          <w:b/>
          <w:noProof/>
          <w:szCs w:val="24"/>
        </w:rPr>
        <w:t xml:space="preserve">Darbības, kas nodrošina vienlīdzību, iekļaušanu un nediskrimināciju: </w:t>
      </w:r>
      <w:r w:rsidR="00D1364F" w:rsidRPr="00303BA8">
        <w:rPr>
          <w:rFonts w:eastAsia="Times New Roman"/>
          <w:noProof/>
          <w:szCs w:val="24"/>
        </w:rPr>
        <w:t>Projekta vadībā un īstenošanā tiks nodrošināta informācijas un vides pieejamība, nediskriminācija pēc vecuma, dzimuma, etniskās piederības u.c. pazīmēm, vienlīdzīgu iespēju principu ievērošana. Īstenojot pasākumus, tiks sekmēta kultūras mantojuma objektu un kultūras infrastruktūras objektu un pakalpojumu pieejamība visām sabiedrības grupām, neatkarīgi no dzīvesvietas, īpašām vajadzībām un sociālās atstumtības riska. Tiks veicināta kultūras pasākumu pieejamība cilvēkiem ar invaliditāti un pakalpojuma nodrošināšana tuvāk dzīvesvietai</w:t>
      </w:r>
      <w:r w:rsidRPr="00303BA8">
        <w:rPr>
          <w:rFonts w:eastAsia="Times New Roman"/>
          <w:noProof/>
          <w:szCs w:val="24"/>
        </w:rPr>
        <w:t>.</w:t>
      </w:r>
      <w:r w:rsidR="00601AA2" w:rsidRPr="00601AA2">
        <w:t xml:space="preserve"> </w:t>
      </w:r>
      <w:r w:rsidR="00601AA2" w:rsidRPr="00601AA2">
        <w:rPr>
          <w:rFonts w:eastAsia="Times New Roman"/>
          <w:noProof/>
          <w:szCs w:val="24"/>
        </w:rPr>
        <w:t>Attīstot pakalpojumu, produktus un programmas digitālajā vidē, tiks nodrošināta š</w:t>
      </w:r>
      <w:r w:rsidR="006C508A">
        <w:rPr>
          <w:rFonts w:eastAsia="Times New Roman"/>
          <w:noProof/>
          <w:szCs w:val="24"/>
        </w:rPr>
        <w:t>o pakalpojumu un produktu piekļū</w:t>
      </w:r>
      <w:r w:rsidR="00601AA2" w:rsidRPr="00601AA2">
        <w:rPr>
          <w:rFonts w:eastAsia="Times New Roman"/>
          <w:noProof/>
          <w:szCs w:val="24"/>
        </w:rPr>
        <w:t xml:space="preserve">stamība, tādējādi sekmējot pilnvērtīgu un efektīvu līdzdalību, uzlabojot piekļuvi izglītībai un pakalpojumiem, kas, pateicoties to sākotnējam dizainam vai vēlākiem pielāgojumiem, atbilst personu ar invaliditāti īpašajām vajadzībām.  </w:t>
      </w:r>
    </w:p>
    <w:p w14:paraId="7A786E7C" w14:textId="571F86D9" w:rsidR="00AC212B" w:rsidRPr="00930237" w:rsidRDefault="00AC212B" w:rsidP="001D668C">
      <w:pPr>
        <w:numPr>
          <w:ilvl w:val="0"/>
          <w:numId w:val="60"/>
        </w:numPr>
        <w:spacing w:before="0" w:after="0"/>
        <w:ind w:left="567" w:hanging="567"/>
        <w:contextualSpacing/>
        <w:rPr>
          <w:rFonts w:eastAsia="Times New Roman"/>
          <w:noProof/>
          <w:szCs w:val="24"/>
        </w:rPr>
      </w:pPr>
      <w:r w:rsidRPr="00930237">
        <w:rPr>
          <w:rFonts w:eastAsia="Times New Roman"/>
          <w:b/>
          <w:noProof/>
          <w:szCs w:val="24"/>
        </w:rPr>
        <w:t xml:space="preserve">Mērķteritorijas, t.sk. plānotais teritoriālo rīku izmantojums: </w:t>
      </w:r>
      <w:r w:rsidRPr="00930237">
        <w:rPr>
          <w:rFonts w:eastAsia="Times New Roman"/>
          <w:noProof/>
          <w:szCs w:val="24"/>
        </w:rPr>
        <w:t>visa Latvijas teritorija,</w:t>
      </w:r>
      <w:r w:rsidRPr="00930237">
        <w:t xml:space="preserve"> </w:t>
      </w:r>
      <w:r w:rsidRPr="00930237">
        <w:rPr>
          <w:rFonts w:eastAsia="Times New Roman"/>
          <w:noProof/>
          <w:szCs w:val="24"/>
        </w:rPr>
        <w:t>kur šāda veida investīcijas pamatoti uzskatāmas par ekonomiskās attīstības prioritātēm, paredzot arī tā sasaisti ar citām publiskajām un privātajām investīcijām attiecīgajā teritorijā, ņemot vērā vietējos apstākļus un potenciālu, paredzot līdzsvarotu ilgtspējīgu teritorijas attīstību kopumā</w:t>
      </w:r>
      <w:r w:rsidR="004A58D0">
        <w:rPr>
          <w:rFonts w:eastAsia="Times New Roman"/>
          <w:noProof/>
          <w:szCs w:val="24"/>
        </w:rPr>
        <w:t xml:space="preserve"> </w:t>
      </w:r>
      <w:r w:rsidR="004A58D0" w:rsidRPr="004A58D0">
        <w:rPr>
          <w:rFonts w:eastAsia="Times New Roman"/>
          <w:noProof/>
          <w:szCs w:val="24"/>
        </w:rPr>
        <w:t>atbilstoši teritoriju attīstības plānošanas dokumentiem</w:t>
      </w:r>
      <w:r w:rsidRPr="00930237">
        <w:rPr>
          <w:rFonts w:eastAsia="Times New Roman"/>
          <w:noProof/>
          <w:szCs w:val="24"/>
        </w:rPr>
        <w:t>.</w:t>
      </w:r>
    </w:p>
    <w:p w14:paraId="7933839A" w14:textId="7AA431E6" w:rsidR="00AC212B" w:rsidRPr="004909C3" w:rsidRDefault="00AC212B" w:rsidP="001D668C">
      <w:pPr>
        <w:numPr>
          <w:ilvl w:val="0"/>
          <w:numId w:val="60"/>
        </w:numPr>
        <w:spacing w:after="0"/>
        <w:ind w:left="567" w:hanging="567"/>
        <w:contextualSpacing/>
        <w:rPr>
          <w:rFonts w:eastAsia="Times New Roman"/>
          <w:noProof/>
          <w:szCs w:val="24"/>
        </w:rPr>
      </w:pPr>
      <w:r w:rsidRPr="00930237">
        <w:rPr>
          <w:rFonts w:eastAsia="Times New Roman"/>
          <w:b/>
          <w:noProof/>
          <w:szCs w:val="24"/>
        </w:rPr>
        <w:t>Starpreģionālās, pārrobežu un transnacionālās darbības:</w:t>
      </w:r>
      <w:r w:rsidRPr="00930237">
        <w:rPr>
          <w:rFonts w:eastAsia="Times New Roman"/>
          <w:noProof/>
          <w:szCs w:val="24"/>
        </w:rPr>
        <w:t xml:space="preserve"> </w:t>
      </w:r>
      <w:r w:rsidR="00642CEE">
        <w:rPr>
          <w:rFonts w:eastAsia="Times New Roman"/>
          <w:noProof/>
          <w:szCs w:val="24"/>
        </w:rPr>
        <w:t>4.3.2.SAM ietvaros paredzētās darbības var sniegt ieguldījumu</w:t>
      </w:r>
      <w:r w:rsidR="004909C3" w:rsidRPr="004909C3">
        <w:rPr>
          <w:rFonts w:eastAsiaTheme="minorHAnsi"/>
          <w:lang w:eastAsia="en-US" w:bidi="ar-SA"/>
        </w:rPr>
        <w:t xml:space="preserve"> </w:t>
      </w:r>
      <w:r w:rsidR="00642CEE" w:rsidRPr="00642CEE">
        <w:rPr>
          <w:rFonts w:eastAsiaTheme="minorHAnsi"/>
          <w:lang w:eastAsia="en-US" w:bidi="ar-SA"/>
        </w:rPr>
        <w:t xml:space="preserve">ESSBJR politikas virziena </w:t>
      </w:r>
      <w:r w:rsidR="00642CEE">
        <w:rPr>
          <w:rFonts w:eastAsiaTheme="minorHAnsi"/>
          <w:lang w:eastAsia="en-US" w:bidi="ar-SA"/>
        </w:rPr>
        <w:t xml:space="preserve">“Kultūra” </w:t>
      </w:r>
      <w:r w:rsidR="001D668C">
        <w:rPr>
          <w:rFonts w:eastAsiaTheme="minorHAnsi"/>
          <w:lang w:eastAsia="en-US" w:bidi="ar-SA"/>
        </w:rPr>
        <w:t>īstenošanā</w:t>
      </w:r>
      <w:r w:rsidR="004909C3" w:rsidRPr="004909C3">
        <w:rPr>
          <w:rFonts w:eastAsia="Times New Roman"/>
          <w:noProof/>
          <w:szCs w:val="24"/>
        </w:rPr>
        <w:t xml:space="preserve">, tāpat programmas </w:t>
      </w:r>
      <w:r w:rsidR="00BF127A">
        <w:rPr>
          <w:rFonts w:eastAsia="Times New Roman"/>
          <w:noProof/>
          <w:szCs w:val="24"/>
        </w:rPr>
        <w:t>“</w:t>
      </w:r>
      <w:r w:rsidR="004909C3" w:rsidRPr="004909C3">
        <w:rPr>
          <w:rFonts w:eastAsia="Times New Roman"/>
          <w:noProof/>
          <w:szCs w:val="24"/>
        </w:rPr>
        <w:t>Radošā Eiropa</w:t>
      </w:r>
      <w:r w:rsidR="00BF127A">
        <w:rPr>
          <w:rFonts w:eastAsia="Times New Roman"/>
          <w:noProof/>
          <w:szCs w:val="24"/>
        </w:rPr>
        <w:t>”</w:t>
      </w:r>
      <w:r w:rsidR="004909C3" w:rsidRPr="004909C3">
        <w:rPr>
          <w:rFonts w:eastAsia="Times New Roman"/>
          <w:noProof/>
          <w:szCs w:val="24"/>
        </w:rPr>
        <w:t xml:space="preserve"> ietvaros paredzēts sniegt atbalstu arhitektūras un kultūras mantojuma nozarēm.</w:t>
      </w:r>
    </w:p>
    <w:p w14:paraId="484CB530" w14:textId="58DEB2FE" w:rsidR="00AC212B" w:rsidRPr="00930237" w:rsidRDefault="0002461B" w:rsidP="001D668C">
      <w:pPr>
        <w:numPr>
          <w:ilvl w:val="0"/>
          <w:numId w:val="60"/>
        </w:numPr>
        <w:spacing w:after="0"/>
        <w:ind w:left="567" w:hanging="567"/>
        <w:contextualSpacing/>
        <w:rPr>
          <w:rFonts w:eastAsia="Times New Roman"/>
          <w:noProof/>
          <w:szCs w:val="24"/>
        </w:rPr>
      </w:pPr>
      <w:r>
        <w:rPr>
          <w:rFonts w:eastAsia="Times New Roman"/>
          <w:b/>
          <w:noProof/>
          <w:szCs w:val="24"/>
        </w:rPr>
        <w:t>F</w:t>
      </w:r>
      <w:r w:rsidR="00AC212B" w:rsidRPr="00930237">
        <w:rPr>
          <w:rFonts w:eastAsia="Times New Roman"/>
          <w:b/>
          <w:noProof/>
          <w:szCs w:val="24"/>
        </w:rPr>
        <w:t>inanšu instrumenti:</w:t>
      </w:r>
      <w:r w:rsidR="00AC212B" w:rsidRPr="00930237">
        <w:rPr>
          <w:rFonts w:eastAsia="Times New Roman"/>
          <w:noProof/>
          <w:szCs w:val="24"/>
        </w:rPr>
        <w:t xml:space="preserve"> N/A</w:t>
      </w:r>
    </w:p>
    <w:p w14:paraId="41CFD139" w14:textId="77777777" w:rsidR="00AC212B" w:rsidRPr="00930237" w:rsidRDefault="00AC212B" w:rsidP="00AC212B">
      <w:pPr>
        <w:spacing w:before="0" w:after="0"/>
        <w:rPr>
          <w:rFonts w:eastAsia="Times New Roman"/>
          <w:noProof/>
          <w:sz w:val="20"/>
        </w:rPr>
      </w:pPr>
    </w:p>
    <w:p w14:paraId="5C9A48EE" w14:textId="77777777" w:rsidR="00AC212B" w:rsidRPr="00930237" w:rsidRDefault="00AC212B" w:rsidP="00AC212B">
      <w:pPr>
        <w:spacing w:before="0" w:after="0"/>
        <w:rPr>
          <w:rFonts w:eastAsia="Times New Roman"/>
          <w:noProof/>
          <w:sz w:val="20"/>
        </w:rPr>
      </w:pPr>
    </w:p>
    <w:p w14:paraId="25ECA868" w14:textId="227DD7F4" w:rsidR="00AC212B" w:rsidRPr="00930237" w:rsidRDefault="00AC212B" w:rsidP="00AC212B">
      <w:pPr>
        <w:pStyle w:val="Heading4"/>
        <w:numPr>
          <w:ilvl w:val="0"/>
          <w:numId w:val="0"/>
        </w:numPr>
        <w:shd w:val="clear" w:color="auto" w:fill="FBE4D5" w:themeFill="accent2" w:themeFillTint="33"/>
        <w:spacing w:after="0"/>
        <w:rPr>
          <w:b/>
          <w:noProof/>
        </w:rPr>
      </w:pPr>
      <w:r w:rsidRPr="00930237">
        <w:rPr>
          <w:b/>
          <w:noProof/>
        </w:rPr>
        <w:t>4.3.3.SAM “Uzlabot visu darba meklētāju, jo īpaši jauniešu, ilgstošo bezdarbnieku un nelabvēlīgā situācijā esošu grupu, kā arī neaktīvo personu piekļuvi nodarbinātībai, veicināt pašnodarbinātību un sociālo ekonomiku”</w:t>
      </w:r>
    </w:p>
    <w:p w14:paraId="4E7BA3DA" w14:textId="17DBF74F" w:rsidR="000E29F4" w:rsidRPr="000E29F4" w:rsidRDefault="00AC212B" w:rsidP="007545BD">
      <w:pPr>
        <w:numPr>
          <w:ilvl w:val="0"/>
          <w:numId w:val="60"/>
        </w:numPr>
        <w:spacing w:before="0" w:after="0"/>
        <w:ind w:left="567" w:hanging="567"/>
        <w:contextualSpacing/>
        <w:rPr>
          <w:szCs w:val="24"/>
        </w:rPr>
      </w:pPr>
      <w:r w:rsidRPr="00930237">
        <w:rPr>
          <w:rFonts w:eastAsia="Times New Roman"/>
          <w:b/>
          <w:noProof/>
          <w:szCs w:val="24"/>
        </w:rPr>
        <w:t>Atbalstāmās darbības</w:t>
      </w:r>
      <w:r w:rsidR="00601AA2">
        <w:rPr>
          <w:rStyle w:val="FootnoteReference"/>
          <w:rFonts w:eastAsia="Times New Roman"/>
          <w:b/>
          <w:noProof/>
          <w:szCs w:val="24"/>
        </w:rPr>
        <w:footnoteReference w:id="122"/>
      </w:r>
      <w:r w:rsidRPr="00930237">
        <w:rPr>
          <w:rFonts w:eastAsia="Times New Roman"/>
          <w:noProof/>
          <w:szCs w:val="24"/>
        </w:rPr>
        <w:t>:</w:t>
      </w:r>
      <w:r w:rsidR="000E29F4" w:rsidRPr="000E29F4">
        <w:rPr>
          <w:szCs w:val="24"/>
        </w:rPr>
        <w:t xml:space="preserve"> Lai veicinātu bezdarbnieku, darba meklētāju un bezdarba riskam pakļautu personu nodarbinātību, prasmju un kvalifikācijas atbilstību darba tirgum, plānotas: profesionālās tālākizglītības un pilnveides, modulārās profesionālās, neformālās izglītības programmas; transportlīdzekļu un traktortehnikas vadītāju apmācības; apmācības pie darba devēja; ārpus formālās izglītības sistēmas apgūtās profesionālās kompetences novērtēšana; pamatprasmju ieguve; atbalsts sertifikācijas ieguvei atvērtajos tiešsaistes kursos; AII</w:t>
      </w:r>
      <w:r w:rsidR="000E29F4">
        <w:rPr>
          <w:szCs w:val="24"/>
        </w:rPr>
        <w:t xml:space="preserve"> </w:t>
      </w:r>
      <w:r w:rsidR="000E29F4" w:rsidRPr="000E29F4">
        <w:rPr>
          <w:szCs w:val="24"/>
        </w:rPr>
        <w:t>studiju moduļu vai studiju kursu akreditēta studiju virziena apguve; mācību papildu uzraudzība un izvērtēšana no NVA</w:t>
      </w:r>
      <w:r w:rsidR="001416F1">
        <w:rPr>
          <w:szCs w:val="24"/>
        </w:rPr>
        <w:t xml:space="preserve"> un sadarbības partneru puses.</w:t>
      </w:r>
      <w:r w:rsidR="000E29F4" w:rsidRPr="000E29F4">
        <w:rPr>
          <w:szCs w:val="24"/>
        </w:rPr>
        <w:t xml:space="preserve"> Atbalsts karjeras konsultācijām; </w:t>
      </w:r>
      <w:r w:rsidR="000E29F4">
        <w:rPr>
          <w:szCs w:val="24"/>
        </w:rPr>
        <w:t>reģionālajai mobilitātei</w:t>
      </w:r>
      <w:r w:rsidR="000E29F4" w:rsidRPr="000E29F4">
        <w:rPr>
          <w:szCs w:val="24"/>
        </w:rPr>
        <w:t xml:space="preserve">; specifisks atbalsts (ergoterapeits, surdotulks, u.c.); nepieciešamās darbības mācību vajadzību apzināšanai (darba devēju aptaujas, darba tirgus prognozēšana u.c.) un mācību izstrādei un īstenošanai attālinātām mācībām. </w:t>
      </w:r>
    </w:p>
    <w:p w14:paraId="2F70B961" w14:textId="77777777" w:rsidR="000E29F4" w:rsidRPr="0001202E" w:rsidRDefault="000E29F4" w:rsidP="007545BD">
      <w:pPr>
        <w:numPr>
          <w:ilvl w:val="0"/>
          <w:numId w:val="60"/>
        </w:numPr>
        <w:spacing w:before="0" w:after="0"/>
        <w:ind w:left="567" w:hanging="567"/>
        <w:contextualSpacing/>
      </w:pPr>
      <w:r w:rsidRPr="0001202E">
        <w:t>Lai nodrošinātu nelabvēlīgākā situācijā esošu bezdarbnieku (personu ar invaliditāti, pirmspensijas vecumā, ilgstošo bezdarbnieku, bēgļu vai alternatīvās personas statusu ieguvušo personu u.c.) iekļaušanos sabiedrībā un iekārtošanos pastāvīgā darbā</w:t>
      </w:r>
      <w:r>
        <w:t>,</w:t>
      </w:r>
      <w:r w:rsidRPr="0001202E">
        <w:t xml:space="preserve"> plānoti subsidētās nodarbinātības pasākumi, t.sk. algas dotācijas, darba vietu pielāgošan</w:t>
      </w:r>
      <w:r>
        <w:t>a</w:t>
      </w:r>
      <w:r w:rsidRPr="0001202E">
        <w:t>, reģionāl</w:t>
      </w:r>
      <w:r>
        <w:t>ā</w:t>
      </w:r>
      <w:r w:rsidRPr="0001202E">
        <w:t xml:space="preserve"> mobilitāt</w:t>
      </w:r>
      <w:r>
        <w:t>e</w:t>
      </w:r>
      <w:r w:rsidRPr="0001202E">
        <w:t>, speciālistu piesaist</w:t>
      </w:r>
      <w:r>
        <w:t>e</w:t>
      </w:r>
      <w:r w:rsidRPr="0001202E">
        <w:t xml:space="preserve"> (ergoterapeits, surdotulks, u.c.), konsultatīv</w:t>
      </w:r>
      <w:r>
        <w:t>ais</w:t>
      </w:r>
      <w:r w:rsidRPr="0001202E">
        <w:t xml:space="preserve"> atbalst</w:t>
      </w:r>
      <w:r>
        <w:t>s</w:t>
      </w:r>
      <w:r w:rsidRPr="0001202E">
        <w:t xml:space="preserve"> darba devējiem personu ar invaliditāti un veselības problēmām nodarbināšanai un darba vides pielāgošanai; darbam vajadzīgo iemaņu attīstības </w:t>
      </w:r>
      <w:r>
        <w:t>un</w:t>
      </w:r>
      <w:r w:rsidRPr="0001202E">
        <w:t xml:space="preserve"> aktivizēšanas pasākumi (profesionālās piemērotības noteikšana NVA reģistrētiem bezdarbniekiem ar/un prognozējamu invaliditāti; motivācijas programma; atbalsta pasākumi bezdarbniekiem ar psihoemocionālām (psihologs) un ar atkarību problēmām (MP, narkologs, stresa terapija)); nodarbinātību veicinošie konsultēšanas un iedzīvotāju sasniegšanas pasākumi, atbalsta personas pakalpojumi personām ar invaliditāti, pasākumi bezdarba riskam pakļautām personām darba vietu saglabāšanai.</w:t>
      </w:r>
    </w:p>
    <w:p w14:paraId="6E5F768F" w14:textId="4D2F190E" w:rsidR="00AC212B" w:rsidRPr="00930237" w:rsidRDefault="006D4489" w:rsidP="007545BD">
      <w:pPr>
        <w:pStyle w:val="ListParagraph"/>
        <w:numPr>
          <w:ilvl w:val="0"/>
          <w:numId w:val="60"/>
        </w:numPr>
        <w:spacing w:after="0" w:line="240" w:lineRule="auto"/>
        <w:ind w:left="567" w:hanging="567"/>
        <w:jc w:val="both"/>
        <w:rPr>
          <w:rFonts w:ascii="Times New Roman" w:eastAsia="Calibri" w:hAnsi="Times New Roman" w:cs="Times New Roman"/>
          <w:sz w:val="24"/>
          <w:szCs w:val="24"/>
        </w:rPr>
      </w:pPr>
      <w:r w:rsidRPr="006D4489">
        <w:rPr>
          <w:rFonts w:ascii="Times New Roman" w:eastAsia="Calibri" w:hAnsi="Times New Roman" w:cs="Times New Roman"/>
          <w:sz w:val="24"/>
          <w:szCs w:val="24"/>
        </w:rPr>
        <w:t>Atbalsts SU (t.sk. darba integrācijas): mācības un biznesa ideju konkursi, konsultācijas, atbalsts finanšu dotācijas un aizdevumu formā un atbalsts sociālās uzņēmējdarbības uzsākšanai un tās veicināšanai, veicinot darba integrācijas iespējas uzņēmumos nelabvēlīgākā situācijā esošām mērķa grupām, t.sk. nodrošinot algu subsīdijas, tā palielinot nodarbinātības iespējas. Plānota SU</w:t>
      </w:r>
      <w:r>
        <w:rPr>
          <w:rFonts w:ascii="Times New Roman" w:eastAsia="Calibri" w:hAnsi="Times New Roman" w:cs="Times New Roman"/>
          <w:sz w:val="24"/>
          <w:szCs w:val="24"/>
        </w:rPr>
        <w:t xml:space="preserve"> </w:t>
      </w:r>
      <w:r w:rsidRPr="006D4489">
        <w:rPr>
          <w:rFonts w:ascii="Times New Roman" w:eastAsia="Calibri" w:hAnsi="Times New Roman" w:cs="Times New Roman"/>
          <w:sz w:val="24"/>
          <w:szCs w:val="24"/>
        </w:rPr>
        <w:t>atbilstības un darbības izvērtēšana, statusa piešķiršana un darbības atbilstības pārbaude, uzraudzības procesu veikšana, t.sk. gada darbības pārskatu izvērtēšana, SU</w:t>
      </w:r>
      <w:r>
        <w:rPr>
          <w:rFonts w:ascii="Times New Roman" w:eastAsia="Calibri" w:hAnsi="Times New Roman" w:cs="Times New Roman"/>
          <w:sz w:val="24"/>
          <w:szCs w:val="24"/>
        </w:rPr>
        <w:t xml:space="preserve"> </w:t>
      </w:r>
      <w:r w:rsidRPr="006D4489">
        <w:rPr>
          <w:rFonts w:ascii="Times New Roman" w:eastAsia="Calibri" w:hAnsi="Times New Roman" w:cs="Times New Roman"/>
          <w:sz w:val="24"/>
          <w:szCs w:val="24"/>
        </w:rPr>
        <w:t>reģistra pilnveide; sabiedrības izpratnes veidošanas pasākumi, t.sk. par sociāli atbildīga publiskā iepirkuma nozīmi, un informatīvi izglītojošo materiālu sagatavošana, metodiku, vadlīniju izstrāde dažādām mērķa auditorijām, sociālās uzņēmējdarbības ekosistēmas darbības izvērtējumi/pētījumi uzņēmējdarbības pilnveidošanai un optimālākiem risinājumiem SU</w:t>
      </w:r>
      <w:r>
        <w:rPr>
          <w:rFonts w:ascii="Times New Roman" w:eastAsia="Calibri" w:hAnsi="Times New Roman" w:cs="Times New Roman"/>
          <w:sz w:val="24"/>
          <w:szCs w:val="24"/>
        </w:rPr>
        <w:t xml:space="preserve"> </w:t>
      </w:r>
      <w:r w:rsidRPr="006D4489">
        <w:rPr>
          <w:rFonts w:ascii="Times New Roman" w:eastAsia="Calibri" w:hAnsi="Times New Roman" w:cs="Times New Roman"/>
          <w:sz w:val="24"/>
          <w:szCs w:val="24"/>
        </w:rPr>
        <w:t>izveidei un attīstībai.</w:t>
      </w:r>
      <w:r>
        <w:rPr>
          <w:rFonts w:ascii="Times New Roman" w:eastAsia="Calibri" w:hAnsi="Times New Roman" w:cs="Times New Roman"/>
          <w:sz w:val="24"/>
          <w:szCs w:val="24"/>
        </w:rPr>
        <w:t xml:space="preserve"> </w:t>
      </w:r>
    </w:p>
    <w:p w14:paraId="2D6E433E" w14:textId="6CAB6289" w:rsidR="006D4489" w:rsidRPr="006D4489" w:rsidRDefault="006D4489" w:rsidP="007545BD">
      <w:pPr>
        <w:pStyle w:val="ListParagraph"/>
        <w:numPr>
          <w:ilvl w:val="0"/>
          <w:numId w:val="60"/>
        </w:numPr>
        <w:spacing w:after="0" w:line="240" w:lineRule="auto"/>
        <w:ind w:left="567" w:hanging="567"/>
        <w:jc w:val="both"/>
        <w:rPr>
          <w:rFonts w:ascii="Times New Roman" w:eastAsia="Calibri" w:hAnsi="Times New Roman" w:cs="Times New Roman"/>
          <w:color w:val="000000" w:themeColor="text1"/>
          <w:sz w:val="24"/>
          <w:szCs w:val="24"/>
        </w:rPr>
      </w:pPr>
      <w:r w:rsidRPr="006D4489">
        <w:rPr>
          <w:rFonts w:ascii="Times New Roman" w:eastAsia="Calibri" w:hAnsi="Times New Roman" w:cs="Times New Roman"/>
          <w:color w:val="000000" w:themeColor="text1"/>
          <w:sz w:val="24"/>
          <w:szCs w:val="24"/>
        </w:rPr>
        <w:t>Lai nodrošinātu brīvu darbaspēka pārvietošanos ES un citās Eiropas valstīs, konsultācijas un informāciju darba meklētājiem par nodarbinātības iespējām, kā arī dzīves un darba apstākļiem Eiropā, bet</w:t>
      </w:r>
      <w:r>
        <w:rPr>
          <w:rFonts w:ascii="Times New Roman" w:eastAsia="Calibri" w:hAnsi="Times New Roman" w:cs="Times New Roman"/>
          <w:color w:val="000000" w:themeColor="text1"/>
          <w:sz w:val="24"/>
          <w:szCs w:val="24"/>
        </w:rPr>
        <w:t xml:space="preserve"> </w:t>
      </w:r>
      <w:r w:rsidRPr="006D4489">
        <w:rPr>
          <w:rFonts w:ascii="Times New Roman" w:eastAsia="Calibri" w:hAnsi="Times New Roman" w:cs="Times New Roman"/>
          <w:color w:val="000000" w:themeColor="text1"/>
          <w:sz w:val="24"/>
          <w:szCs w:val="24"/>
        </w:rPr>
        <w:t>darba devējiem atbalstu jaunu darbinieku meklēšanā, ieguldījumi plānoti nodarbinātības dienestu darbinieku kapacitātes celšanā, paredzot apmācības un seminārus par EURES tīklu, un Eiropas darba mobilitāti. Reizē nodrošinot EURES pieejamību un atpazīstamību, informācijas sniegšanu darba devējiem, valsts un pašvaldību iestāžu, NVO sektora pārstāvjiem par EURES tīklu, kā arī darbiekārtošanas un personāla atlases pasākumu organizēšanu, informācijas sniegšanu darba ņēmējiem, darba meklētājiem un bezdarbniekiem, nacionālā sadarbības tīkla veidošanu un iesaistīto pušu informēšanu, dalību EURES tīkla LR un starptautiskajos sadarbības pasākumos un turpmāk adaptētu un aktualizētu ESCO rīku ar nacion</w:t>
      </w:r>
      <w:r>
        <w:rPr>
          <w:rFonts w:ascii="Times New Roman" w:eastAsia="Calibri" w:hAnsi="Times New Roman" w:cs="Times New Roman"/>
          <w:color w:val="000000" w:themeColor="text1"/>
          <w:sz w:val="24"/>
          <w:szCs w:val="24"/>
        </w:rPr>
        <w:t>ālajām kvalifikāciju datubāzēm.</w:t>
      </w:r>
      <w:r w:rsidRPr="006D4489">
        <w:rPr>
          <w:rFonts w:ascii="Times New Roman" w:eastAsia="Calibri" w:hAnsi="Times New Roman" w:cs="Times New Roman"/>
          <w:color w:val="000000" w:themeColor="text1"/>
          <w:sz w:val="24"/>
          <w:szCs w:val="24"/>
        </w:rPr>
        <w:t xml:space="preserve"> </w:t>
      </w:r>
    </w:p>
    <w:p w14:paraId="36E9823A" w14:textId="70AF6685" w:rsidR="006D4489" w:rsidRPr="0001202E" w:rsidRDefault="006D4489" w:rsidP="007545BD">
      <w:pPr>
        <w:numPr>
          <w:ilvl w:val="0"/>
          <w:numId w:val="60"/>
        </w:numPr>
        <w:spacing w:before="0" w:after="0"/>
        <w:ind w:left="567" w:hanging="567"/>
        <w:contextualSpacing/>
        <w:rPr>
          <w:bCs/>
          <w:color w:val="000000" w:themeColor="text1"/>
        </w:rPr>
      </w:pPr>
      <w:r>
        <w:rPr>
          <w:bCs/>
          <w:color w:val="000000" w:themeColor="text1"/>
        </w:rPr>
        <w:t xml:space="preserve"> Atbalsts d</w:t>
      </w:r>
      <w:r w:rsidRPr="0001202E">
        <w:rPr>
          <w:bCs/>
          <w:color w:val="000000" w:themeColor="text1"/>
        </w:rPr>
        <w:t>arba tirgus institūcijas, kura sekmē bezdarbnieku un darba meklētāju nodarbinātību, veiktspējas stiprināšanai un sniegto pakalpojumu kvalitātes palielināšanai</w:t>
      </w:r>
      <w:r>
        <w:rPr>
          <w:bCs/>
          <w:color w:val="000000" w:themeColor="text1"/>
        </w:rPr>
        <w:t>,</w:t>
      </w:r>
      <w:r w:rsidRPr="0001202E">
        <w:rPr>
          <w:bCs/>
          <w:color w:val="000000" w:themeColor="text1"/>
        </w:rPr>
        <w:t xml:space="preserve"> paredzēta darba meklēšanas atbalsta instrumentu izstrāde un pilnveide t.sk. rokasgrāmatas izstrāde, darba meklēšanas atbalsta sistēmas elementu pilnveide un savietošana ar digitālā rīka izstrādi, radot jaunas un pilnveidojot esošās metodikas, sniegto pakalpojumu un procesu digitalizēšana, bezdarbnieku un reģistrēto vakanču IS izmaiņu veikšana, darba tirgus apsteidzošo pārkārtojumu sistēmas attīstība, t.sk. īstermiņa prognožu sistēmas pilnveide, darba meklēšanas atbalsta centru izveide lielākajās LR pilsētās, veidojot atvērta tipa centrus darba meklētājiem un darba devējiem, karjeras konsultācijas pakalpojum</w:t>
      </w:r>
      <w:r>
        <w:rPr>
          <w:bCs/>
          <w:color w:val="000000" w:themeColor="text1"/>
        </w:rPr>
        <w:t xml:space="preserve">u un sadarbības ar </w:t>
      </w:r>
      <w:r w:rsidRPr="0001202E">
        <w:rPr>
          <w:bCs/>
          <w:color w:val="000000" w:themeColor="text1"/>
        </w:rPr>
        <w:t>darba devēj</w:t>
      </w:r>
      <w:r>
        <w:rPr>
          <w:bCs/>
          <w:color w:val="000000" w:themeColor="text1"/>
        </w:rPr>
        <w:t>iem</w:t>
      </w:r>
      <w:r w:rsidRPr="0001202E">
        <w:rPr>
          <w:bCs/>
          <w:color w:val="000000" w:themeColor="text1"/>
        </w:rPr>
        <w:t xml:space="preserve"> pilnveid</w:t>
      </w:r>
      <w:r>
        <w:rPr>
          <w:bCs/>
          <w:color w:val="000000" w:themeColor="text1"/>
        </w:rPr>
        <w:t>e</w:t>
      </w:r>
      <w:r w:rsidRPr="0001202E">
        <w:rPr>
          <w:bCs/>
          <w:color w:val="000000" w:themeColor="text1"/>
        </w:rPr>
        <w:t xml:space="preserve"> un institūciju sadarbības tīkla kartēšana. </w:t>
      </w:r>
      <w:r>
        <w:rPr>
          <w:bCs/>
          <w:color w:val="000000" w:themeColor="text1"/>
        </w:rPr>
        <w:t>Plānoti</w:t>
      </w:r>
      <w:r w:rsidRPr="0001202E">
        <w:rPr>
          <w:bCs/>
          <w:color w:val="000000" w:themeColor="text1"/>
        </w:rPr>
        <w:t xml:space="preserve"> darbinieku kapacitātes celšanas</w:t>
      </w:r>
      <w:r w:rsidR="00282145">
        <w:rPr>
          <w:bCs/>
          <w:color w:val="000000" w:themeColor="text1"/>
        </w:rPr>
        <w:t xml:space="preserve"> </w:t>
      </w:r>
      <w:r>
        <w:rPr>
          <w:bCs/>
          <w:color w:val="000000" w:themeColor="text1"/>
        </w:rPr>
        <w:t>pasākumi</w:t>
      </w:r>
      <w:r w:rsidRPr="0001202E">
        <w:rPr>
          <w:bCs/>
          <w:color w:val="000000" w:themeColor="text1"/>
        </w:rPr>
        <w:t>, t.sk. tālmācības sistēmas darbinieku digitāl</w:t>
      </w:r>
      <w:r>
        <w:rPr>
          <w:bCs/>
          <w:color w:val="000000" w:themeColor="text1"/>
        </w:rPr>
        <w:t>o</w:t>
      </w:r>
      <w:r w:rsidRPr="0001202E">
        <w:rPr>
          <w:bCs/>
          <w:color w:val="000000" w:themeColor="text1"/>
        </w:rPr>
        <w:t xml:space="preserve"> prasm</w:t>
      </w:r>
      <w:r>
        <w:rPr>
          <w:bCs/>
          <w:color w:val="000000" w:themeColor="text1"/>
        </w:rPr>
        <w:t>ju</w:t>
      </w:r>
      <w:r w:rsidRPr="0001202E">
        <w:rPr>
          <w:bCs/>
          <w:color w:val="000000" w:themeColor="text1"/>
        </w:rPr>
        <w:t xml:space="preserve"> pilnveide</w:t>
      </w:r>
      <w:r>
        <w:rPr>
          <w:bCs/>
          <w:color w:val="000000" w:themeColor="text1"/>
        </w:rPr>
        <w:t>,</w:t>
      </w:r>
      <w:r w:rsidRPr="0001202E">
        <w:rPr>
          <w:bCs/>
          <w:color w:val="000000" w:themeColor="text1"/>
        </w:rPr>
        <w:t xml:space="preserve"> supervīzij</w:t>
      </w:r>
      <w:r>
        <w:rPr>
          <w:bCs/>
          <w:color w:val="000000" w:themeColor="text1"/>
        </w:rPr>
        <w:t>a</w:t>
      </w:r>
      <w:r w:rsidRPr="0001202E">
        <w:rPr>
          <w:bCs/>
          <w:color w:val="000000" w:themeColor="text1"/>
        </w:rPr>
        <w:t>s, darbinieku mobilitātes/savstarpējās apmaiņas sekmēšana, darbinieku ar specifiskām zināšanām/pieredzi piesaiste, kā arī atbalsts darbiniekiem, kuri palīdz specifiskām darba tirgus dalībnieku mērķa grupām, kas saskaras ar īpašiem darba tirgus pieprasījuma un piedāvājuma salāgošanas izaicinājumiem, lietojot jaunas darba pieejas. Plānoti publicitātes/informatīvie pasākumi, t.sk., ikgadējie vakanču gadatirgi, CV un vakanču portāla zīmola izstrāde un popularizēšana, trešo valstu darbinieku darba migrācijas monitorings, sadarbības stiprināšana starp darba migrācijas jomas institūcijām, komersantu</w:t>
      </w:r>
      <w:r w:rsidR="00F25E61">
        <w:rPr>
          <w:bCs/>
          <w:color w:val="000000" w:themeColor="text1"/>
        </w:rPr>
        <w:t xml:space="preserve"> </w:t>
      </w:r>
      <w:r w:rsidRPr="0001202E">
        <w:rPr>
          <w:bCs/>
          <w:color w:val="000000" w:themeColor="text1"/>
        </w:rPr>
        <w:t>-</w:t>
      </w:r>
      <w:r w:rsidR="00F25E61">
        <w:rPr>
          <w:bCs/>
          <w:color w:val="000000" w:themeColor="text1"/>
        </w:rPr>
        <w:t xml:space="preserve"> </w:t>
      </w:r>
      <w:r w:rsidRPr="0001202E">
        <w:rPr>
          <w:bCs/>
          <w:color w:val="000000" w:themeColor="text1"/>
        </w:rPr>
        <w:t xml:space="preserve">darbiekārtošanas pakalpojumu sniedzēju licencēšanas un uzraudzības sistēmas veiktspējas stiprināšana, darba tirgus analīzes/uzraudzības, </w:t>
      </w:r>
      <w:r w:rsidR="00C50156">
        <w:rPr>
          <w:bCs/>
          <w:color w:val="000000" w:themeColor="text1"/>
        </w:rPr>
        <w:t xml:space="preserve">ADTP </w:t>
      </w:r>
      <w:r w:rsidRPr="0001202E">
        <w:rPr>
          <w:bCs/>
          <w:color w:val="000000" w:themeColor="text1"/>
        </w:rPr>
        <w:t>pasākumu monitoringa un ietekmes novērtējum</w:t>
      </w:r>
      <w:r>
        <w:rPr>
          <w:bCs/>
          <w:color w:val="000000" w:themeColor="text1"/>
        </w:rPr>
        <w:t>i</w:t>
      </w:r>
      <w:r w:rsidR="006D5ED6">
        <w:rPr>
          <w:bCs/>
          <w:color w:val="000000" w:themeColor="text1"/>
        </w:rPr>
        <w:t>.</w:t>
      </w:r>
      <w:r w:rsidRPr="0001202E">
        <w:rPr>
          <w:bCs/>
          <w:color w:val="000000" w:themeColor="text1"/>
        </w:rPr>
        <w:t xml:space="preserve"> </w:t>
      </w:r>
    </w:p>
    <w:p w14:paraId="57FDCC3C" w14:textId="78EB901D" w:rsidR="007B183E" w:rsidRPr="0001202E" w:rsidRDefault="007B183E" w:rsidP="007545BD">
      <w:pPr>
        <w:numPr>
          <w:ilvl w:val="0"/>
          <w:numId w:val="60"/>
        </w:numPr>
        <w:spacing w:before="0" w:after="0"/>
        <w:ind w:left="567" w:hanging="567"/>
        <w:contextualSpacing/>
        <w:rPr>
          <w:bCs/>
        </w:rPr>
      </w:pPr>
      <w:r>
        <w:t>P</w:t>
      </w:r>
      <w:r w:rsidRPr="0001202E">
        <w:t>lānota darba tirgus institūcijas, kura atbild par valsts uzraudzības un kontroles īstenošanu darba tiesisko attiecību un darba aizsardzības jomā, veiktspējas stiprināšana, veicinot kompetences attīstību un pilnveidojot nodarbināto un darba devēju zināšanas (t.sk. informēšana, apmācība, pieredzes apmaiņa preventīvā darba veikšanai uzņēmumos), paredzot darbinieku nosūtīšanas platformas attīstīb</w:t>
      </w:r>
      <w:r>
        <w:t xml:space="preserve">u un </w:t>
      </w:r>
      <w:r w:rsidRPr="0001202E">
        <w:t>kontroles un uzraudzības procesa stiprināšanas pasākumus nacionālās un pārrobežu sadarbības ietvaros t.sk., trešo valstu migrācijas vadības procesā iesaistīto institūciju sadarbības stiprināšanai. Plānoti publicitātes un informatīvi izglītojošie pasākumi darba tiesību un aizsardzības prasību efektīvai ieviešanai un preventīvās kultū</w:t>
      </w:r>
      <w:r w:rsidR="00282145">
        <w:t xml:space="preserve">ras veicināšanai darba vietās, </w:t>
      </w:r>
      <w:r w:rsidRPr="0001202E">
        <w:t>un ar nodarbināto apmācību saistītu elektronisko rīku un sistēmu pilnveide. IS</w:t>
      </w:r>
      <w:r w:rsidR="00282145">
        <w:t xml:space="preserve"> </w:t>
      </w:r>
      <w:r w:rsidRPr="0001202E">
        <w:t>attīstība</w:t>
      </w:r>
      <w:r>
        <w:t xml:space="preserve"> un modernizēšana</w:t>
      </w:r>
      <w:r w:rsidRPr="0001202E">
        <w:t>, pilnveidojot datu analītikas rīku, daļēji automatizējot konsultatīvā centra darbības, izstrādājot, digitalizējot un atjauninot e -apmācību sistēmu, metodikas un uz procesiem balstītus pakalpojumu ceļvežus, t.sk., videopadomi, virtuālais asistents, BI rīki datu analīzei uzraudzības un preventīvo pasākumu plānošanai un nodrošināšanai.</w:t>
      </w:r>
    </w:p>
    <w:p w14:paraId="25EAB172" w14:textId="03B59DE6" w:rsidR="00AC212B" w:rsidRPr="00620AE5" w:rsidRDefault="00E320D4" w:rsidP="007545BD">
      <w:pPr>
        <w:pStyle w:val="ListParagraph"/>
        <w:numPr>
          <w:ilvl w:val="0"/>
          <w:numId w:val="60"/>
        </w:numPr>
        <w:spacing w:after="0" w:line="240" w:lineRule="auto"/>
        <w:ind w:left="567" w:hanging="567"/>
        <w:jc w:val="both"/>
        <w:rPr>
          <w:rFonts w:ascii="Times New Roman" w:eastAsia="Times New Roman" w:hAnsi="Times New Roman" w:cs="Times New Roman"/>
          <w:bCs/>
          <w:iCs/>
          <w:noProof/>
          <w:sz w:val="24"/>
          <w:szCs w:val="24"/>
        </w:rPr>
      </w:pPr>
      <w:r w:rsidRPr="00E320D4">
        <w:rPr>
          <w:rFonts w:ascii="Times New Roman" w:eastAsia="Times New Roman" w:hAnsi="Times New Roman" w:cs="Times New Roman"/>
          <w:bCs/>
          <w:iCs/>
          <w:noProof/>
          <w:sz w:val="24"/>
          <w:szCs w:val="24"/>
        </w:rPr>
        <w:t xml:space="preserve">Drošas darba vides un kvalitatīvu darba vietu nodrošināšanai paredzēts atbalsts cilvēkresursu, darba vides un darba vietu izvērtējumiem </w:t>
      </w:r>
      <w:r w:rsidR="00601AA2">
        <w:rPr>
          <w:rFonts w:ascii="Times New Roman" w:eastAsia="Times New Roman" w:hAnsi="Times New Roman" w:cs="Times New Roman"/>
          <w:bCs/>
          <w:iCs/>
          <w:noProof/>
          <w:sz w:val="24"/>
          <w:szCs w:val="24"/>
        </w:rPr>
        <w:t>uzņēmumos</w:t>
      </w:r>
      <w:r w:rsidRPr="00E320D4">
        <w:rPr>
          <w:rFonts w:ascii="Times New Roman" w:eastAsia="Times New Roman" w:hAnsi="Times New Roman" w:cs="Times New Roman"/>
          <w:bCs/>
          <w:iCs/>
          <w:noProof/>
          <w:sz w:val="24"/>
          <w:szCs w:val="24"/>
        </w:rPr>
        <w:t>, īpaši pievēršot uzmanību</w:t>
      </w:r>
      <w:r w:rsidR="00601AA2">
        <w:rPr>
          <w:rFonts w:ascii="Times New Roman" w:eastAsia="Times New Roman" w:hAnsi="Times New Roman" w:cs="Times New Roman"/>
          <w:bCs/>
          <w:iCs/>
          <w:noProof/>
          <w:sz w:val="24"/>
          <w:szCs w:val="24"/>
        </w:rPr>
        <w:t xml:space="preserve"> pasākumiem</w:t>
      </w:r>
      <w:r w:rsidRPr="00E320D4">
        <w:rPr>
          <w:rFonts w:ascii="Times New Roman" w:eastAsia="Times New Roman" w:hAnsi="Times New Roman" w:cs="Times New Roman"/>
          <w:bCs/>
          <w:iCs/>
          <w:noProof/>
          <w:sz w:val="24"/>
          <w:szCs w:val="24"/>
        </w:rPr>
        <w:t xml:space="preserve"> darba vides risku ietekmes un muskuļu - skeleta slimību </w:t>
      </w:r>
      <w:r w:rsidR="00601AA2">
        <w:rPr>
          <w:rFonts w:ascii="Times New Roman" w:eastAsia="Times New Roman" w:hAnsi="Times New Roman" w:cs="Times New Roman"/>
          <w:bCs/>
          <w:iCs/>
          <w:noProof/>
          <w:sz w:val="24"/>
          <w:szCs w:val="24"/>
        </w:rPr>
        <w:t xml:space="preserve">novēršanai un </w:t>
      </w:r>
      <w:r w:rsidRPr="00E320D4">
        <w:rPr>
          <w:rFonts w:ascii="Times New Roman" w:eastAsia="Times New Roman" w:hAnsi="Times New Roman" w:cs="Times New Roman"/>
          <w:bCs/>
          <w:iCs/>
          <w:noProof/>
          <w:sz w:val="24"/>
          <w:szCs w:val="24"/>
        </w:rPr>
        <w:t>profilaksei</w:t>
      </w:r>
      <w:r w:rsidR="00601AA2">
        <w:rPr>
          <w:rFonts w:ascii="Times New Roman" w:eastAsia="Times New Roman" w:hAnsi="Times New Roman" w:cs="Times New Roman"/>
          <w:bCs/>
          <w:iCs/>
          <w:noProof/>
          <w:sz w:val="24"/>
          <w:szCs w:val="24"/>
        </w:rPr>
        <w:t xml:space="preserve">, </w:t>
      </w:r>
      <w:r w:rsidRPr="00E320D4">
        <w:rPr>
          <w:rFonts w:ascii="Times New Roman" w:eastAsia="Times New Roman" w:hAnsi="Times New Roman" w:cs="Times New Roman"/>
          <w:bCs/>
          <w:iCs/>
          <w:noProof/>
          <w:sz w:val="24"/>
          <w:szCs w:val="24"/>
        </w:rPr>
        <w:t xml:space="preserve">ieteikumu/rekomendāciju ieviešanai (t.sk. darba vides uzlabojumiem, veselības veicināšanas, uzlabošanas pasākumiem, nodarbināto mācībām), kā arī darba devēju, nodarbināto, sabiedrības izpratnes veidošanai ilgāka un labāka darba mūža veicināšanai un darbspēju saglabāšanai (informatīvas, konsultatīvas, izglītojošas aktivitātes darba devējiem, nodarbinātajiem, potenciālajiem nodarbinātajiem, un sabiedrībai kopumā, sadarbojoties ar sociālajiem partneriem). </w:t>
      </w:r>
    </w:p>
    <w:p w14:paraId="37A61C69" w14:textId="01E95685" w:rsidR="00AC212B" w:rsidRPr="00930237"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noProof/>
          <w:sz w:val="24"/>
          <w:szCs w:val="24"/>
        </w:rPr>
      </w:pPr>
      <w:r w:rsidRPr="00930237">
        <w:rPr>
          <w:rFonts w:ascii="Times New Roman" w:eastAsia="Times New Roman" w:hAnsi="Times New Roman" w:cs="Times New Roman"/>
          <w:b/>
          <w:noProof/>
          <w:sz w:val="24"/>
          <w:szCs w:val="24"/>
        </w:rPr>
        <w:t xml:space="preserve">Galvenās mērķagrupas: </w:t>
      </w:r>
      <w:r w:rsidR="00CB4B72" w:rsidRPr="00CB4B72">
        <w:rPr>
          <w:rFonts w:ascii="Times New Roman" w:eastAsia="Times New Roman" w:hAnsi="Times New Roman" w:cs="Times New Roman"/>
          <w:noProof/>
          <w:sz w:val="24"/>
          <w:szCs w:val="24"/>
        </w:rPr>
        <w:t>Bezdarbnieki (t.sk. nelabvēlīgākā situācijā esoši bezdarbnieki, ilgstošie bezdarbnieki, jaunieši - bezdarbnieki 18-29 gadi u.c.), darba meklētāji, bezdarba riskam pakļautas personas, sociālās atstumtības riskam pakļautās iedzīvotāju grupas, ekonomiski neaktīvie iedzīvotāji, personas, kuras ieguvušas bēgļa vai alternatīvās personas statusu, sociālie uzņēmumi, sociālās uzņēmējdarbības uzsācēji, valsts un pašvaldību institūcijas, darba devēji, darba tirgus institūciju NVA un VDI darbinieki, karjeras konsultanti, darba tiesību un darba aizsardzības jomas speciālisti, nodarbinātie, ārvalstu un L</w:t>
      </w:r>
      <w:r w:rsidR="00704BDF">
        <w:rPr>
          <w:rFonts w:ascii="Times New Roman" w:eastAsia="Times New Roman" w:hAnsi="Times New Roman" w:cs="Times New Roman"/>
          <w:noProof/>
          <w:sz w:val="24"/>
          <w:szCs w:val="24"/>
        </w:rPr>
        <w:t>R</w:t>
      </w:r>
      <w:r w:rsidR="00CB4B72" w:rsidRPr="00CB4B72">
        <w:rPr>
          <w:rFonts w:ascii="Times New Roman" w:eastAsia="Times New Roman" w:hAnsi="Times New Roman" w:cs="Times New Roman"/>
          <w:noProof/>
          <w:sz w:val="24"/>
          <w:szCs w:val="24"/>
        </w:rPr>
        <w:t xml:space="preserve"> darba devēji saistībā ar nosūtītajiem darbiniekiem, darbinieku nosūtīšanas kontroles un uzraudzības procesā iesaistīto institūciju darbinieki, sabiedrība kopumā</w:t>
      </w:r>
      <w:r w:rsidRPr="00930237">
        <w:rPr>
          <w:rFonts w:ascii="Times New Roman" w:eastAsia="Times New Roman" w:hAnsi="Times New Roman" w:cs="Times New Roman"/>
          <w:noProof/>
          <w:sz w:val="24"/>
          <w:szCs w:val="24"/>
        </w:rPr>
        <w:t>.</w:t>
      </w:r>
    </w:p>
    <w:p w14:paraId="7A9CB23F" w14:textId="6FA8D320" w:rsidR="00AC212B" w:rsidRPr="00930237" w:rsidRDefault="00AC212B" w:rsidP="007545BD">
      <w:pPr>
        <w:pStyle w:val="Normal1"/>
        <w:numPr>
          <w:ilvl w:val="0"/>
          <w:numId w:val="60"/>
        </w:numPr>
        <w:spacing w:line="240" w:lineRule="auto"/>
        <w:ind w:left="567" w:hanging="567"/>
        <w:contextualSpacing/>
        <w:jc w:val="both"/>
        <w:rPr>
          <w:rFonts w:ascii="Times New Roman" w:hAnsi="Times New Roman" w:cs="Times New Roman"/>
          <w:color w:val="FF0000"/>
          <w:sz w:val="24"/>
          <w:szCs w:val="24"/>
        </w:rPr>
      </w:pPr>
      <w:r w:rsidRPr="00930237">
        <w:rPr>
          <w:rFonts w:ascii="Times New Roman" w:hAnsi="Times New Roman" w:cs="Times New Roman"/>
          <w:b/>
          <w:sz w:val="24"/>
          <w:szCs w:val="24"/>
        </w:rPr>
        <w:t>Darbības, kas nodrošina vienlīdzību, iekļaušanu un nediskrimināciju:</w:t>
      </w:r>
      <w:r w:rsidRPr="00930237">
        <w:rPr>
          <w:rFonts w:ascii="Times New Roman" w:hAnsi="Times New Roman" w:cs="Times New Roman"/>
          <w:sz w:val="24"/>
          <w:szCs w:val="24"/>
        </w:rPr>
        <w:t xml:space="preserve"> Projekta vadībā un īstenošanā tiks nodrošināta informācijas un vides pieejamība, nediskriminācija pēc vecuma, dzimuma, etniskās piederības u.c. pazīmēm, vienlīdzīgu iespēju principu ievērošana u.c. Tiks īstenotas specifiskas darbības: lai ievērotu ANO konvencijā par personu ar invaliditāti tiesībām un ANO Konvencijas par jebkuras sieviešu diskriminācijas izskaušanu noteikto, īstenojot pasākumus, tiek paredzēts specifisks atbalsts mācību laikā cilvēkiem ar invaliditāti (ergoterapeita, surdotulka u.c. pakalpojumi), elastīgu un elektronisku apmācību formu izstrāde un īstenošana, t.sk., ņemot vērā vecuma un dzimuma aspektu; lai sekmētu ikviena nodarbinātā, īpaši, gados vecāku nodarbināto ilgāku palikšanu darba tirgū, tiks veikta darba vides novērtēšana un darba vietas pielāgošana; tiks izstrādāta sistēma, kas sekmēs tādu nodarbināto, kam konstatēts prasmju trūkums, veselības traucējumi vai citi kavēkļi, kas ierobežo darba pienākumu veikšanu, nepieciešamo rehabilitāciju un/vai atbilstošu pārkvalifikāciju.</w:t>
      </w:r>
    </w:p>
    <w:p w14:paraId="07610AB3" w14:textId="5893545A" w:rsidR="00AC212B" w:rsidRPr="003B5BF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3B5BF7">
        <w:rPr>
          <w:rFonts w:ascii="Times New Roman" w:hAnsi="Times New Roman" w:cs="Times New Roman"/>
          <w:b/>
          <w:sz w:val="24"/>
          <w:szCs w:val="24"/>
        </w:rPr>
        <w:t>Mērķteritorijas, t.sk. plānotais teritoriālo rīku izmantojums</w:t>
      </w:r>
      <w:r w:rsidRPr="003B5BF7">
        <w:rPr>
          <w:rFonts w:ascii="Times New Roman" w:hAnsi="Times New Roman" w:cs="Times New Roman"/>
          <w:sz w:val="24"/>
          <w:szCs w:val="24"/>
        </w:rPr>
        <w:t>:</w:t>
      </w:r>
      <w:r w:rsidR="003B5BF7" w:rsidRPr="003B5BF7">
        <w:rPr>
          <w:rFonts w:ascii="Times New Roman" w:hAnsi="Times New Roman" w:cs="Times New Roman"/>
          <w:sz w:val="24"/>
          <w:szCs w:val="24"/>
        </w:rPr>
        <w:t xml:space="preserve"> </w:t>
      </w:r>
      <w:r w:rsidRPr="003B5BF7">
        <w:rPr>
          <w:rFonts w:ascii="Times New Roman" w:hAnsi="Times New Roman" w:cs="Times New Roman"/>
          <w:sz w:val="24"/>
          <w:szCs w:val="24"/>
        </w:rPr>
        <w:t>Visa Latvija.</w:t>
      </w:r>
      <w:r w:rsidRPr="003B5BF7">
        <w:rPr>
          <w:rFonts w:ascii="Times New Roman" w:hAnsi="Times New Roman" w:cs="Times New Roman"/>
        </w:rPr>
        <w:t xml:space="preserve"> </w:t>
      </w:r>
      <w:r w:rsidRPr="003B5BF7">
        <w:rPr>
          <w:rFonts w:ascii="Times New Roman" w:hAnsi="Times New Roman" w:cs="Times New Roman"/>
          <w:sz w:val="24"/>
          <w:szCs w:val="24"/>
        </w:rPr>
        <w:t>Savukārt EURES tīklu darbības nodrošināšanai pasākumu plānots īstenot arī citās ES dalībvalstīs.</w:t>
      </w:r>
    </w:p>
    <w:p w14:paraId="30E41AF1" w14:textId="318C02B3" w:rsidR="00AC212B" w:rsidRPr="00A86105"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A86105">
        <w:rPr>
          <w:rFonts w:ascii="Times New Roman" w:hAnsi="Times New Roman" w:cs="Times New Roman"/>
          <w:b/>
          <w:sz w:val="24"/>
          <w:szCs w:val="24"/>
        </w:rPr>
        <w:t>Starpreģionālās, pārrobežu un transnacionālās darbības:</w:t>
      </w:r>
      <w:r w:rsidRPr="00A86105">
        <w:rPr>
          <w:rFonts w:ascii="Times New Roman" w:hAnsi="Times New Roman" w:cs="Times New Roman"/>
          <w:sz w:val="24"/>
          <w:szCs w:val="24"/>
        </w:rPr>
        <w:t xml:space="preserve"> </w:t>
      </w:r>
      <w:r w:rsidR="00061227" w:rsidRPr="00A86105">
        <w:rPr>
          <w:rFonts w:ascii="Times New Roman" w:eastAsia="Calibri" w:hAnsi="Times New Roman" w:cs="Times New Roman"/>
          <w:noProof/>
          <w:sz w:val="24"/>
          <w:szCs w:val="24"/>
        </w:rPr>
        <w:t>EURES tīklu darbības nodrošināšanai pasākumu plānots īstenot arī citās Eiropas un EEZ dalībvalstīs</w:t>
      </w:r>
      <w:r w:rsidRPr="00A86105">
        <w:rPr>
          <w:rFonts w:ascii="Times New Roman" w:eastAsia="Calibri" w:hAnsi="Times New Roman" w:cs="Times New Roman"/>
          <w:noProof/>
          <w:sz w:val="24"/>
          <w:szCs w:val="24"/>
        </w:rPr>
        <w:t>.</w:t>
      </w:r>
      <w:r w:rsidR="00001E75" w:rsidRPr="00A86105">
        <w:rPr>
          <w:szCs w:val="24"/>
        </w:rPr>
        <w:t xml:space="preserve"> </w:t>
      </w:r>
      <w:r w:rsidR="005670B4" w:rsidRPr="005670B4">
        <w:rPr>
          <w:rFonts w:ascii="Times New Roman" w:eastAsia="Arial" w:hAnsi="Times New Roman" w:cs="Times New Roman"/>
          <w:sz w:val="24"/>
          <w:szCs w:val="24"/>
          <w:lang w:eastAsia="en-US" w:bidi="ar-SA"/>
        </w:rPr>
        <w:t xml:space="preserve">4.3.3.SAM ietvaros plānotās aktivitātes bezdarbnieku, darba meklētāju un bezdarba riskam pakļauto personu atbalstam, drošas darba vides un kvalitatīvu darba vietu nodrošināšanai ilgāka un labāka darba mūža veicināšanai un darbspēju saglabāšanai, </w:t>
      </w:r>
      <w:r w:rsidR="00DD0865">
        <w:rPr>
          <w:rFonts w:ascii="Times New Roman" w:eastAsia="Arial" w:hAnsi="Times New Roman" w:cs="Times New Roman"/>
          <w:sz w:val="24"/>
          <w:szCs w:val="24"/>
          <w:lang w:eastAsia="en-US" w:bidi="ar-SA"/>
        </w:rPr>
        <w:t xml:space="preserve">var </w:t>
      </w:r>
      <w:r w:rsidR="005670B4" w:rsidRPr="005670B4">
        <w:rPr>
          <w:rFonts w:ascii="Times New Roman" w:eastAsia="Arial" w:hAnsi="Times New Roman" w:cs="Times New Roman"/>
          <w:sz w:val="24"/>
          <w:szCs w:val="24"/>
          <w:lang w:eastAsia="en-US" w:bidi="ar-SA"/>
        </w:rPr>
        <w:t>snieg</w:t>
      </w:r>
      <w:r w:rsidR="00DD0865">
        <w:rPr>
          <w:rFonts w:ascii="Times New Roman" w:eastAsia="Arial" w:hAnsi="Times New Roman" w:cs="Times New Roman"/>
          <w:sz w:val="24"/>
          <w:szCs w:val="24"/>
          <w:lang w:eastAsia="en-US" w:bidi="ar-SA"/>
        </w:rPr>
        <w:t>t</w:t>
      </w:r>
      <w:r w:rsidR="005670B4" w:rsidRPr="005670B4">
        <w:rPr>
          <w:rFonts w:ascii="Times New Roman" w:eastAsia="Arial" w:hAnsi="Times New Roman" w:cs="Times New Roman"/>
          <w:sz w:val="24"/>
          <w:szCs w:val="24"/>
          <w:lang w:eastAsia="en-US" w:bidi="ar-SA"/>
        </w:rPr>
        <w:t xml:space="preserve"> ieguldījumu ESSBJR politikas virziena “Izglītība” darbības “Darba tirgus visiem, izmantojot ilgāka mūža resursus” īstenošanā.</w:t>
      </w:r>
      <w:r w:rsidR="005670B4">
        <w:rPr>
          <w:rFonts w:ascii="Times New Roman" w:eastAsia="Arial" w:hAnsi="Times New Roman" w:cs="Times New Roman"/>
          <w:sz w:val="24"/>
          <w:szCs w:val="24"/>
          <w:lang w:eastAsia="en-US" w:bidi="ar-SA"/>
        </w:rPr>
        <w:t xml:space="preserve"> </w:t>
      </w:r>
      <w:r w:rsidR="00001E75" w:rsidRPr="00A86105">
        <w:rPr>
          <w:rFonts w:ascii="Times New Roman" w:hAnsi="Times New Roman" w:cs="Times New Roman"/>
          <w:sz w:val="24"/>
          <w:szCs w:val="24"/>
        </w:rPr>
        <w:t>Intervenci var īstenot citā ES dalībvalstī, kā arī ārpus ES, ja darbība veicina konkrētā mērķa sasniegšanu. Sadarbību ar ieinteresētajām pusēm vienā vai vairākās citās valstīs var integrēt projektā, lai stiprinātu darbu pie projekta mērķiem. Sadarbību ar ieinteresētajām pusēm vienā vai vairākās citās valstīs var arī ietvert kā papildinājumu īstenošanā jau esošam projektam, lai veicinātu projekta mērķu sasniegšanu. Abus iespējamos variantus var izmantot saskaņā ar tādām stratēģijām, kā piemēram, Agenda 2030 vai ESSBJR.</w:t>
      </w:r>
      <w:r w:rsidR="00001E75" w:rsidRPr="00A86105" w:rsidDel="00B42471">
        <w:rPr>
          <w:rFonts w:ascii="Times New Roman" w:hAnsi="Times New Roman" w:cs="Times New Roman"/>
          <w:sz w:val="24"/>
          <w:szCs w:val="24"/>
        </w:rPr>
        <w:t xml:space="preserve"> </w:t>
      </w:r>
    </w:p>
    <w:p w14:paraId="39EA65F2" w14:textId="1C7674BB" w:rsidR="00AC212B" w:rsidRPr="001E0378" w:rsidRDefault="0002461B" w:rsidP="007545BD">
      <w:pPr>
        <w:pStyle w:val="ListParagraph"/>
        <w:numPr>
          <w:ilvl w:val="0"/>
          <w:numId w:val="60"/>
        </w:numPr>
        <w:spacing w:after="0" w:line="240" w:lineRule="auto"/>
        <w:ind w:left="567" w:hanging="567"/>
        <w:jc w:val="both"/>
        <w:rPr>
          <w:rFonts w:ascii="Times New Roman" w:eastAsia="Times New Roman" w:hAnsi="Times New Roman" w:cs="Times New Roman"/>
          <w:sz w:val="24"/>
          <w:szCs w:val="24"/>
        </w:rPr>
      </w:pPr>
      <w:r>
        <w:rPr>
          <w:rFonts w:ascii="Times New Roman" w:hAnsi="Times New Roman" w:cs="Times New Roman"/>
          <w:b/>
          <w:sz w:val="24"/>
          <w:szCs w:val="24"/>
        </w:rPr>
        <w:t>F</w:t>
      </w:r>
      <w:r w:rsidR="00AC212B" w:rsidRPr="001E0378">
        <w:rPr>
          <w:rFonts w:ascii="Times New Roman" w:hAnsi="Times New Roman" w:cs="Times New Roman"/>
          <w:b/>
          <w:sz w:val="24"/>
          <w:szCs w:val="24"/>
        </w:rPr>
        <w:t xml:space="preserve">inanšu instrumenti: </w:t>
      </w:r>
      <w:r w:rsidR="005670B4" w:rsidRPr="005670B4">
        <w:rPr>
          <w:rFonts w:ascii="Times New Roman" w:eastAsia="Times New Roman" w:hAnsi="Times New Roman" w:cs="Times New Roman"/>
          <w:sz w:val="24"/>
          <w:szCs w:val="24"/>
        </w:rPr>
        <w:t>4.3.3. SAM ietvaros, lai sniegtu atbalstu esošajiem sociālajiem uzņēmumiem, tiks vērtēta iespēja izmantot kombinēto finanšu instrumentu (ar aizdevuma un granta elementiem).</w:t>
      </w:r>
    </w:p>
    <w:p w14:paraId="7055B8F2" w14:textId="77777777" w:rsidR="00AC212B" w:rsidRPr="00930237" w:rsidRDefault="00AC212B" w:rsidP="00AC212B">
      <w:pPr>
        <w:spacing w:before="0" w:after="0"/>
        <w:rPr>
          <w:rFonts w:eastAsia="Times New Roman"/>
          <w:noProof/>
          <w:sz w:val="20"/>
        </w:rPr>
      </w:pPr>
    </w:p>
    <w:p w14:paraId="23A5196C" w14:textId="77777777" w:rsidR="00AC212B" w:rsidRPr="00930237" w:rsidRDefault="00AC212B" w:rsidP="00AC212B">
      <w:pPr>
        <w:pStyle w:val="Heading4"/>
        <w:numPr>
          <w:ilvl w:val="0"/>
          <w:numId w:val="0"/>
        </w:numPr>
        <w:shd w:val="clear" w:color="auto" w:fill="FBE4D5" w:themeFill="accent2" w:themeFillTint="33"/>
        <w:spacing w:after="0"/>
        <w:rPr>
          <w:b/>
          <w:noProof/>
        </w:rPr>
      </w:pPr>
      <w:r w:rsidRPr="00930237">
        <w:rPr>
          <w:b/>
          <w:noProof/>
        </w:rPr>
        <w:t>4.3.4.SAM “Sekmēt aktīvu iekļaušanu, lai veicinātu vienlīdzīgas iespējas un aktīvu līdzdalību, kā arī uzlabotu nodarbināmību”</w:t>
      </w:r>
    </w:p>
    <w:p w14:paraId="0FCD014E" w14:textId="537AEDF6" w:rsidR="00AC212B" w:rsidRPr="00930237" w:rsidRDefault="00AC212B" w:rsidP="006624B3">
      <w:pPr>
        <w:pStyle w:val="ListParagraph"/>
        <w:numPr>
          <w:ilvl w:val="0"/>
          <w:numId w:val="60"/>
        </w:numPr>
        <w:spacing w:after="0" w:line="240" w:lineRule="auto"/>
        <w:ind w:left="567" w:hanging="567"/>
        <w:jc w:val="both"/>
        <w:rPr>
          <w:rFonts w:ascii="Times New Roman" w:hAnsi="Times New Roman" w:cs="Times New Roman"/>
          <w:b/>
          <w:iCs/>
          <w:sz w:val="24"/>
          <w:szCs w:val="24"/>
        </w:rPr>
      </w:pPr>
      <w:r w:rsidRPr="00930237">
        <w:rPr>
          <w:rFonts w:ascii="Times New Roman" w:hAnsi="Times New Roman" w:cs="Times New Roman"/>
          <w:b/>
          <w:iCs/>
          <w:sz w:val="24"/>
          <w:szCs w:val="24"/>
        </w:rPr>
        <w:t xml:space="preserve">Atbalstāmās darbības: </w:t>
      </w:r>
      <w:r w:rsidR="00DB3D34" w:rsidRPr="00DB3D34">
        <w:rPr>
          <w:rFonts w:ascii="Times New Roman" w:eastAsia="Calibri" w:hAnsi="Times New Roman" w:cs="Times New Roman"/>
          <w:bCs/>
          <w:iCs/>
          <w:sz w:val="24"/>
          <w:szCs w:val="24"/>
        </w:rPr>
        <w:t>Diskriminācijas riskam pakļautajām sabiedrības grupām vienlīdzīgu iespēju un tiesību realizēšanai dažādās dzīves jomās plānoti pasākumi un pakalpojumi, kas veicinātu aktivitātes dzimumu segregācijas mazināšanai izglītībā un darba tirgū, personu ar invaliditāti un funkcionāliem traucējumiem pilnvērtīgas dzīves nodrošināšanai, personām virs 50 gadu vecuma</w:t>
      </w:r>
      <w:r w:rsidR="004909C3">
        <w:rPr>
          <w:rFonts w:ascii="Times New Roman" w:eastAsia="Calibri" w:hAnsi="Times New Roman" w:cs="Times New Roman"/>
          <w:bCs/>
          <w:iCs/>
          <w:sz w:val="24"/>
          <w:szCs w:val="24"/>
        </w:rPr>
        <w:t xml:space="preserve"> u.c. grupām</w:t>
      </w:r>
      <w:r w:rsidR="00DB3D34" w:rsidRPr="00DB3D34">
        <w:rPr>
          <w:rFonts w:ascii="Times New Roman" w:eastAsia="Calibri" w:hAnsi="Times New Roman" w:cs="Times New Roman"/>
          <w:bCs/>
          <w:iCs/>
          <w:sz w:val="24"/>
          <w:szCs w:val="24"/>
        </w:rPr>
        <w:t xml:space="preserve"> sociālās iekļaušanas veicināšanai un sociālās atstumtības mazināšanai</w:t>
      </w:r>
      <w:r w:rsidRPr="00DB3D34">
        <w:rPr>
          <w:rFonts w:ascii="Times New Roman" w:eastAsia="Times New Roman" w:hAnsi="Times New Roman" w:cs="Times New Roman"/>
          <w:bCs/>
          <w:iCs/>
          <w:noProof/>
          <w:sz w:val="24"/>
          <w:szCs w:val="24"/>
        </w:rPr>
        <w:t>.</w:t>
      </w:r>
      <w:r w:rsidRPr="00930237">
        <w:rPr>
          <w:rFonts w:ascii="Times New Roman" w:eastAsia="Times New Roman" w:hAnsi="Times New Roman" w:cs="Times New Roman"/>
          <w:bCs/>
          <w:noProof/>
          <w:color w:val="FF0000"/>
          <w:sz w:val="24"/>
          <w:szCs w:val="24"/>
        </w:rPr>
        <w:t xml:space="preserve"> </w:t>
      </w:r>
    </w:p>
    <w:p w14:paraId="7EC83E1A" w14:textId="758D3F48" w:rsidR="00DB3D34" w:rsidRPr="00DB3D34" w:rsidRDefault="00DB3D34" w:rsidP="006624B3">
      <w:pPr>
        <w:pStyle w:val="ListParagraph"/>
        <w:numPr>
          <w:ilvl w:val="0"/>
          <w:numId w:val="60"/>
        </w:numPr>
        <w:spacing w:after="0" w:line="240" w:lineRule="auto"/>
        <w:ind w:left="567" w:hanging="567"/>
        <w:jc w:val="both"/>
        <w:rPr>
          <w:rFonts w:ascii="Times New Roman" w:eastAsia="Times New Roman" w:hAnsi="Times New Roman" w:cs="Times New Roman"/>
          <w:iCs/>
          <w:noProof/>
          <w:sz w:val="24"/>
          <w:szCs w:val="24"/>
        </w:rPr>
      </w:pPr>
      <w:r w:rsidRPr="00DB3D34">
        <w:rPr>
          <w:rFonts w:ascii="Times New Roman" w:eastAsia="Calibri" w:hAnsi="Times New Roman" w:cs="Times New Roman"/>
          <w:iCs/>
          <w:sz w:val="24"/>
          <w:szCs w:val="24"/>
        </w:rPr>
        <w:t xml:space="preserve">Vienlīdzīgu iespēju un nediskriminācijas veicināšanai politikas veidošanā un īstenošanā plānoti valsts un pašvaldības institūciju nodarbināto izglītošanas/informēšanas pasākumi par vienlīdzīgu iespēju un nediskriminācijas principa integrēšanu politikas plānošanas un īstenošanas procesos, sabiedrībai – savu tiesību </w:t>
      </w:r>
      <w:r w:rsidR="004909C3">
        <w:rPr>
          <w:rFonts w:ascii="Times New Roman" w:eastAsia="Calibri" w:hAnsi="Times New Roman" w:cs="Times New Roman"/>
          <w:iCs/>
          <w:sz w:val="24"/>
          <w:szCs w:val="24"/>
        </w:rPr>
        <w:t>pārstāvībai</w:t>
      </w:r>
      <w:r w:rsidR="004909C3" w:rsidRPr="00DB3D34">
        <w:rPr>
          <w:rFonts w:ascii="Times New Roman" w:eastAsia="Calibri" w:hAnsi="Times New Roman" w:cs="Times New Roman"/>
          <w:iCs/>
          <w:sz w:val="24"/>
          <w:szCs w:val="24"/>
        </w:rPr>
        <w:t xml:space="preserve"> </w:t>
      </w:r>
      <w:r w:rsidRPr="00DB3D34">
        <w:rPr>
          <w:rFonts w:ascii="Times New Roman" w:eastAsia="Calibri" w:hAnsi="Times New Roman" w:cs="Times New Roman"/>
          <w:iCs/>
          <w:sz w:val="24"/>
          <w:szCs w:val="24"/>
        </w:rPr>
        <w:t xml:space="preserve">un īstenošanai; kā arī atbalsta pasākumi darba devējiem iekļaujošas darba vides un diskriminācijas novēršanas jautājumos, kā arī elastīgā darba laika un attālinātā darba prakses popularizēšana sabiedrībā. </w:t>
      </w:r>
    </w:p>
    <w:p w14:paraId="46B7C23C" w14:textId="46C19B27" w:rsidR="00AC212B" w:rsidRPr="00DB3D34" w:rsidRDefault="00DB3D34" w:rsidP="006624B3">
      <w:pPr>
        <w:pStyle w:val="ListParagraph"/>
        <w:numPr>
          <w:ilvl w:val="0"/>
          <w:numId w:val="60"/>
        </w:numPr>
        <w:spacing w:after="0" w:line="240" w:lineRule="auto"/>
        <w:ind w:left="567" w:hanging="567"/>
        <w:jc w:val="both"/>
        <w:rPr>
          <w:rFonts w:ascii="Times New Roman" w:eastAsia="Times New Roman" w:hAnsi="Times New Roman" w:cs="Times New Roman"/>
          <w:iCs/>
          <w:noProof/>
          <w:sz w:val="24"/>
          <w:szCs w:val="24"/>
        </w:rPr>
      </w:pPr>
      <w:r w:rsidRPr="00DB3D34">
        <w:rPr>
          <w:rFonts w:ascii="Times New Roman" w:eastAsia="Calibri" w:hAnsi="Times New Roman" w:cs="Times New Roman"/>
          <w:iCs/>
          <w:sz w:val="24"/>
          <w:szCs w:val="24"/>
        </w:rPr>
        <w:t xml:space="preserve">Ģimenes un darba dzīves saskaņošanai, lai atbalstītu cilvēkkapitāla attīstību, sekmētu darbinieku spēju savienot darba pienākumus ar ģimenes pienākumiem, plānoti sabiedrības informēšanas un izglītošanas pasākumi, sabiedriskās aptaujas, informatīvo materiālu izstrāde: par elastīgā darba laika un attālinātā darba prakses iespējām,  par vienlīdzīgām iespējām un diskriminācijas novēršanu, savu tiesību </w:t>
      </w:r>
      <w:r w:rsidR="004909C3">
        <w:rPr>
          <w:rFonts w:ascii="Times New Roman" w:eastAsia="Calibri" w:hAnsi="Times New Roman" w:cs="Times New Roman"/>
          <w:iCs/>
          <w:sz w:val="24"/>
          <w:szCs w:val="24"/>
        </w:rPr>
        <w:t>pārstāvībai</w:t>
      </w:r>
      <w:r w:rsidR="004909C3" w:rsidRPr="00DB3D34">
        <w:rPr>
          <w:rFonts w:ascii="Times New Roman" w:eastAsia="Calibri" w:hAnsi="Times New Roman" w:cs="Times New Roman"/>
          <w:iCs/>
          <w:sz w:val="24"/>
          <w:szCs w:val="24"/>
        </w:rPr>
        <w:t xml:space="preserve">  </w:t>
      </w:r>
      <w:r w:rsidRPr="00DB3D34">
        <w:rPr>
          <w:rFonts w:ascii="Times New Roman" w:eastAsia="Calibri" w:hAnsi="Times New Roman" w:cs="Times New Roman"/>
          <w:iCs/>
          <w:sz w:val="24"/>
          <w:szCs w:val="24"/>
        </w:rPr>
        <w:t>un īstenošanai, par atbalsta pakalpojumu sniegšanu un saņemšanu speciālistiem un ģimenēm, kurās aug bērni ar smagu diagnozi, iespējamu vai esošu invaliditāti. Kā arī plānoti ietekmes izvērtējumi par dzīves kvalitātes uzlabošanas dažādiem aspektiem, lai plānotu un īstenotu cilvēku vajadzībām atbilstošus pasākumus</w:t>
      </w:r>
      <w:r w:rsidR="00AC212B" w:rsidRPr="00DB3D34">
        <w:rPr>
          <w:rFonts w:ascii="Times New Roman" w:eastAsia="Times New Roman" w:hAnsi="Times New Roman" w:cs="Times New Roman"/>
          <w:iCs/>
          <w:noProof/>
          <w:sz w:val="24"/>
          <w:szCs w:val="24"/>
        </w:rPr>
        <w:t>.</w:t>
      </w:r>
    </w:p>
    <w:p w14:paraId="12A35AC8" w14:textId="7DB150B2" w:rsidR="00AC212B" w:rsidRPr="00930237"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noProof/>
          <w:sz w:val="24"/>
          <w:szCs w:val="24"/>
        </w:rPr>
      </w:pPr>
      <w:r w:rsidRPr="00930237">
        <w:rPr>
          <w:rFonts w:ascii="Times New Roman" w:eastAsia="Times New Roman" w:hAnsi="Times New Roman" w:cs="Times New Roman"/>
          <w:b/>
          <w:iCs/>
          <w:noProof/>
          <w:sz w:val="24"/>
          <w:szCs w:val="24"/>
        </w:rPr>
        <w:t>Pilsoniskās līdzdalības un sociālā dialoga veicināšanai</w:t>
      </w:r>
      <w:r w:rsidRPr="00930237">
        <w:rPr>
          <w:rFonts w:ascii="Times New Roman" w:eastAsia="Times New Roman" w:hAnsi="Times New Roman" w:cs="Times New Roman"/>
          <w:iCs/>
          <w:noProof/>
          <w:sz w:val="24"/>
          <w:szCs w:val="24"/>
        </w:rPr>
        <w:t xml:space="preserve"> paredzēts stiprināt sociālo partneru un pilsoniskās sabiedrības organizāciju kapacitāti, pilnveidojot pilsonisko un sociālo dialogu visos lēmumu pieņemšanas posmos – tādējādi stiprinot </w:t>
      </w:r>
      <w:r w:rsidRPr="005C2D25">
        <w:rPr>
          <w:rFonts w:ascii="Times New Roman" w:eastAsia="Times New Roman" w:hAnsi="Times New Roman" w:cs="Times New Roman"/>
          <w:iCs/>
          <w:noProof/>
          <w:sz w:val="24"/>
          <w:szCs w:val="24"/>
        </w:rPr>
        <w:t>demokrātiju, palielinot iedzīvotāju savstarpējo uzticēšanos un uzticēšanos valstij</w:t>
      </w:r>
      <w:r w:rsidR="006434E0" w:rsidRPr="005C2D25">
        <w:rPr>
          <w:rFonts w:ascii="Times New Roman" w:eastAsia="Times New Roman" w:hAnsi="Times New Roman" w:cs="Times New Roman"/>
          <w:iCs/>
          <w:noProof/>
          <w:sz w:val="24"/>
          <w:szCs w:val="24"/>
        </w:rPr>
        <w:t>.</w:t>
      </w:r>
      <w:r w:rsidR="006434E0" w:rsidRPr="00A52484">
        <w:rPr>
          <w:rFonts w:ascii="Times New Roman" w:hAnsi="Times New Roman" w:cs="Times New Roman"/>
          <w:sz w:val="24"/>
          <w:szCs w:val="24"/>
        </w:rPr>
        <w:t xml:space="preserve"> </w:t>
      </w:r>
      <w:r w:rsidR="005C2D25" w:rsidRPr="00A52484">
        <w:rPr>
          <w:rFonts w:ascii="Times New Roman" w:hAnsi="Times New Roman" w:cs="Times New Roman"/>
          <w:sz w:val="24"/>
          <w:szCs w:val="24"/>
        </w:rPr>
        <w:t xml:space="preserve">Sociālo </w:t>
      </w:r>
      <w:r w:rsidR="006434E0" w:rsidRPr="005C2D25">
        <w:rPr>
          <w:rFonts w:ascii="Times New Roman" w:eastAsia="Times New Roman" w:hAnsi="Times New Roman" w:cs="Times New Roman"/>
          <w:iCs/>
          <w:noProof/>
          <w:sz w:val="24"/>
          <w:szCs w:val="24"/>
        </w:rPr>
        <w:t>partneru kapacitāte stiprināma, atbalstot sociālo partneru veiktspēju piedalīties likumdošanas procesā un nacionālō reformu īstenošanā, sekmēt kvalitatīvu nodarbinātību</w:t>
      </w:r>
      <w:r w:rsidR="006434E0" w:rsidRPr="006434E0">
        <w:rPr>
          <w:rFonts w:ascii="Times New Roman" w:eastAsia="Times New Roman" w:hAnsi="Times New Roman" w:cs="Times New Roman"/>
          <w:iCs/>
          <w:noProof/>
          <w:sz w:val="24"/>
          <w:szCs w:val="24"/>
        </w:rPr>
        <w:t xml:space="preserve"> nozarēs, taisnīgus darba apstākļus un Eiropas sociālo tiesību pīlāra īstenošanu, veicināt sociālo partneru pārrunas par koplīgumu slēgšanu, kā arī izpratni par koplīgumiem nozarēs.</w:t>
      </w:r>
      <w:r w:rsidR="006434E0">
        <w:rPr>
          <w:rFonts w:ascii="Times New Roman" w:eastAsia="Times New Roman" w:hAnsi="Times New Roman" w:cs="Times New Roman"/>
          <w:iCs/>
          <w:noProof/>
          <w:sz w:val="24"/>
          <w:szCs w:val="24"/>
        </w:rPr>
        <w:t xml:space="preserve"> </w:t>
      </w:r>
      <w:r w:rsidRPr="00930237">
        <w:rPr>
          <w:rFonts w:ascii="Times New Roman" w:eastAsia="Times New Roman" w:hAnsi="Times New Roman" w:cs="Times New Roman"/>
          <w:iCs/>
          <w:noProof/>
          <w:sz w:val="24"/>
          <w:szCs w:val="24"/>
        </w:rPr>
        <w:t xml:space="preserve">Plānota ekspertu piesaiste, sociāli ekonomisko </w:t>
      </w:r>
      <w:r w:rsidR="006434E0">
        <w:rPr>
          <w:rFonts w:ascii="Times New Roman" w:eastAsia="Times New Roman" w:hAnsi="Times New Roman" w:cs="Times New Roman"/>
          <w:iCs/>
          <w:noProof/>
          <w:sz w:val="24"/>
          <w:szCs w:val="24"/>
        </w:rPr>
        <w:t xml:space="preserve">datu </w:t>
      </w:r>
      <w:r w:rsidRPr="00930237">
        <w:rPr>
          <w:rFonts w:ascii="Times New Roman" w:eastAsia="Times New Roman" w:hAnsi="Times New Roman" w:cs="Times New Roman"/>
          <w:iCs/>
          <w:noProof/>
          <w:sz w:val="24"/>
          <w:szCs w:val="24"/>
        </w:rPr>
        <w:t>apkopošana un analīze pilsoniskās sabiedrības un sociālo partneru pārstāvniecība</w:t>
      </w:r>
      <w:r w:rsidR="006434E0">
        <w:rPr>
          <w:rFonts w:ascii="Times New Roman" w:eastAsia="Times New Roman" w:hAnsi="Times New Roman" w:cs="Times New Roman"/>
          <w:iCs/>
          <w:noProof/>
          <w:sz w:val="24"/>
          <w:szCs w:val="24"/>
        </w:rPr>
        <w:t>s</w:t>
      </w:r>
      <w:r w:rsidRPr="00930237">
        <w:rPr>
          <w:rFonts w:ascii="Times New Roman" w:eastAsia="Times New Roman" w:hAnsi="Times New Roman" w:cs="Times New Roman"/>
          <w:iCs/>
          <w:noProof/>
          <w:sz w:val="24"/>
          <w:szCs w:val="24"/>
        </w:rPr>
        <w:t xml:space="preserve"> </w:t>
      </w:r>
      <w:r w:rsidR="006434E0">
        <w:rPr>
          <w:rFonts w:ascii="Times New Roman" w:eastAsia="Times New Roman" w:hAnsi="Times New Roman" w:cs="Times New Roman"/>
          <w:iCs/>
          <w:noProof/>
          <w:sz w:val="24"/>
          <w:szCs w:val="24"/>
        </w:rPr>
        <w:t xml:space="preserve">sekmēšana </w:t>
      </w:r>
      <w:r w:rsidRPr="00930237">
        <w:rPr>
          <w:rFonts w:ascii="Times New Roman" w:eastAsia="Times New Roman" w:hAnsi="Times New Roman" w:cs="Times New Roman"/>
          <w:iCs/>
          <w:noProof/>
          <w:sz w:val="24"/>
          <w:szCs w:val="24"/>
        </w:rPr>
        <w:t>nacionālā, reģionālā, uzņēmumu/organizāciju līmenī un medijos; sadarbības veicināšana starp pilsonisk</w:t>
      </w:r>
      <w:r w:rsidR="006434E0">
        <w:rPr>
          <w:rFonts w:ascii="Times New Roman" w:eastAsia="Times New Roman" w:hAnsi="Times New Roman" w:cs="Times New Roman"/>
          <w:iCs/>
          <w:noProof/>
          <w:sz w:val="24"/>
          <w:szCs w:val="24"/>
        </w:rPr>
        <w:t>ās</w:t>
      </w:r>
      <w:r w:rsidRPr="00930237">
        <w:rPr>
          <w:rFonts w:ascii="Times New Roman" w:eastAsia="Times New Roman" w:hAnsi="Times New Roman" w:cs="Times New Roman"/>
          <w:iCs/>
          <w:noProof/>
          <w:sz w:val="24"/>
          <w:szCs w:val="24"/>
        </w:rPr>
        <w:t xml:space="preserve"> sabiedrīb</w:t>
      </w:r>
      <w:r w:rsidR="006434E0">
        <w:rPr>
          <w:rFonts w:ascii="Times New Roman" w:eastAsia="Times New Roman" w:hAnsi="Times New Roman" w:cs="Times New Roman"/>
          <w:iCs/>
          <w:noProof/>
          <w:sz w:val="24"/>
          <w:szCs w:val="24"/>
        </w:rPr>
        <w:t>as organizācijām</w:t>
      </w:r>
      <w:r w:rsidRPr="00930237">
        <w:rPr>
          <w:rFonts w:ascii="Times New Roman" w:eastAsia="Times New Roman" w:hAnsi="Times New Roman" w:cs="Times New Roman"/>
          <w:iCs/>
          <w:noProof/>
          <w:sz w:val="24"/>
          <w:szCs w:val="24"/>
        </w:rPr>
        <w:t>, sociālajiem partneriem, pašvaldībām, tiesībsaragājošām iestādēm un citām valsts pārvaldes iestādēm dažādos formātos, nolūkā stiprināt tiesiskumu</w:t>
      </w:r>
      <w:r w:rsidR="006434E0">
        <w:rPr>
          <w:rFonts w:ascii="Times New Roman" w:eastAsia="Times New Roman" w:hAnsi="Times New Roman" w:cs="Times New Roman"/>
          <w:iCs/>
          <w:noProof/>
          <w:sz w:val="24"/>
          <w:szCs w:val="24"/>
        </w:rPr>
        <w:t xml:space="preserve"> </w:t>
      </w:r>
      <w:r w:rsidR="006434E0" w:rsidRPr="006434E0">
        <w:rPr>
          <w:rFonts w:ascii="Times New Roman" w:eastAsia="Times New Roman" w:hAnsi="Times New Roman" w:cs="Times New Roman"/>
          <w:iCs/>
          <w:noProof/>
          <w:sz w:val="24"/>
          <w:szCs w:val="24"/>
        </w:rPr>
        <w:t>un labu pārvaldību</w:t>
      </w:r>
      <w:r w:rsidRPr="00930237">
        <w:rPr>
          <w:rFonts w:ascii="Times New Roman" w:eastAsia="Times New Roman" w:hAnsi="Times New Roman" w:cs="Times New Roman"/>
          <w:iCs/>
          <w:noProof/>
          <w:sz w:val="24"/>
          <w:szCs w:val="24"/>
        </w:rPr>
        <w:t xml:space="preserve">, nodrošināt mazāk aizsargāto grupu pārstāvniecību, mazināt korupciju un ēnu ekonomiku; realizēt informatīvas un izglītojošas kampaņas, lai paaugstinātu sabiedrības pilsonisko izglītību un uzticēšanos likuma varai, stiprinātu tiesiskumu, </w:t>
      </w:r>
      <w:r w:rsidR="006434E0" w:rsidRPr="006434E0">
        <w:rPr>
          <w:rFonts w:ascii="Times New Roman" w:eastAsia="Times New Roman" w:hAnsi="Times New Roman" w:cs="Times New Roman"/>
          <w:iCs/>
          <w:noProof/>
          <w:sz w:val="24"/>
          <w:szCs w:val="24"/>
        </w:rPr>
        <w:t xml:space="preserve">sekmēt </w:t>
      </w:r>
      <w:r w:rsidRPr="00930237">
        <w:rPr>
          <w:rFonts w:ascii="Times New Roman" w:eastAsia="Times New Roman" w:hAnsi="Times New Roman" w:cs="Times New Roman"/>
          <w:iCs/>
          <w:noProof/>
          <w:sz w:val="24"/>
          <w:szCs w:val="24"/>
        </w:rPr>
        <w:t xml:space="preserve">tehnoloģiski </w:t>
      </w:r>
      <w:r w:rsidR="006434E0" w:rsidRPr="006434E0">
        <w:rPr>
          <w:rFonts w:ascii="Times New Roman" w:eastAsia="Times New Roman" w:hAnsi="Times New Roman" w:cs="Times New Roman"/>
          <w:iCs/>
          <w:noProof/>
          <w:sz w:val="24"/>
          <w:szCs w:val="24"/>
        </w:rPr>
        <w:t xml:space="preserve">digitālas un </w:t>
      </w:r>
      <w:r w:rsidRPr="00930237">
        <w:rPr>
          <w:rFonts w:ascii="Times New Roman" w:eastAsia="Times New Roman" w:hAnsi="Times New Roman" w:cs="Times New Roman"/>
          <w:iCs/>
          <w:noProof/>
          <w:sz w:val="24"/>
          <w:szCs w:val="24"/>
        </w:rPr>
        <w:t>inovatīv</w:t>
      </w:r>
      <w:r w:rsidR="006434E0">
        <w:rPr>
          <w:rFonts w:ascii="Times New Roman" w:eastAsia="Times New Roman" w:hAnsi="Times New Roman" w:cs="Times New Roman"/>
          <w:iCs/>
          <w:noProof/>
          <w:sz w:val="24"/>
          <w:szCs w:val="24"/>
        </w:rPr>
        <w:t>as</w:t>
      </w:r>
      <w:r w:rsidRPr="00930237">
        <w:rPr>
          <w:rFonts w:ascii="Times New Roman" w:eastAsia="Times New Roman" w:hAnsi="Times New Roman" w:cs="Times New Roman"/>
          <w:iCs/>
          <w:noProof/>
          <w:sz w:val="24"/>
          <w:szCs w:val="24"/>
        </w:rPr>
        <w:t xml:space="preserve"> vid</w:t>
      </w:r>
      <w:r w:rsidR="006434E0">
        <w:rPr>
          <w:rFonts w:ascii="Times New Roman" w:eastAsia="Times New Roman" w:hAnsi="Times New Roman" w:cs="Times New Roman"/>
          <w:iCs/>
          <w:noProof/>
          <w:sz w:val="24"/>
          <w:szCs w:val="24"/>
        </w:rPr>
        <w:t>es</w:t>
      </w:r>
      <w:r w:rsidRPr="00930237">
        <w:rPr>
          <w:rFonts w:ascii="Times New Roman" w:eastAsia="Times New Roman" w:hAnsi="Times New Roman" w:cs="Times New Roman"/>
          <w:iCs/>
          <w:noProof/>
          <w:sz w:val="24"/>
          <w:szCs w:val="24"/>
        </w:rPr>
        <w:t xml:space="preserve"> </w:t>
      </w:r>
      <w:r w:rsidR="006434E0">
        <w:rPr>
          <w:rFonts w:ascii="Times New Roman" w:eastAsia="Times New Roman" w:hAnsi="Times New Roman" w:cs="Times New Roman"/>
          <w:iCs/>
          <w:noProof/>
          <w:sz w:val="24"/>
          <w:szCs w:val="24"/>
        </w:rPr>
        <w:t xml:space="preserve">iespēju izmantošanu, </w:t>
      </w:r>
      <w:r w:rsidRPr="00930237">
        <w:rPr>
          <w:rFonts w:ascii="Times New Roman" w:eastAsia="Times New Roman" w:hAnsi="Times New Roman" w:cs="Times New Roman"/>
          <w:iCs/>
          <w:noProof/>
          <w:sz w:val="24"/>
          <w:szCs w:val="24"/>
        </w:rPr>
        <w:t>nodrošinot informāciju par demokrātiskiem procesiem valstī, cilvēktiesībām, tiesībām iedzīvotājiem dzīvot brīvībā no vardarbības un citu brīvi pieejamu, uzticamu, kvalitatīvu un izglītojošu saturu.</w:t>
      </w:r>
    </w:p>
    <w:p w14:paraId="1A579A40" w14:textId="77777777" w:rsidR="003A68DD" w:rsidRPr="003A68DD" w:rsidRDefault="003A68DD" w:rsidP="007545BD">
      <w:pPr>
        <w:pStyle w:val="ListParagraph"/>
        <w:numPr>
          <w:ilvl w:val="0"/>
          <w:numId w:val="60"/>
        </w:numPr>
        <w:spacing w:after="0" w:line="240" w:lineRule="auto"/>
        <w:ind w:left="567" w:hanging="567"/>
        <w:jc w:val="both"/>
        <w:rPr>
          <w:rFonts w:ascii="Times New Roman" w:eastAsia="Times New Roman" w:hAnsi="Times New Roman" w:cs="Times New Roman"/>
          <w:noProof/>
          <w:sz w:val="24"/>
          <w:szCs w:val="24"/>
        </w:rPr>
      </w:pPr>
      <w:r w:rsidRPr="003A68DD">
        <w:rPr>
          <w:rFonts w:ascii="Times New Roman" w:eastAsia="Times New Roman" w:hAnsi="Times New Roman" w:cs="Times New Roman"/>
          <w:b/>
          <w:noProof/>
          <w:sz w:val="24"/>
          <w:szCs w:val="24"/>
        </w:rPr>
        <w:t>Sabiedrības saliedēšanai</w:t>
      </w:r>
      <w:r w:rsidRPr="003A68DD">
        <w:rPr>
          <w:rFonts w:ascii="Times New Roman" w:eastAsia="Times New Roman" w:hAnsi="Times New Roman" w:cs="Times New Roman"/>
          <w:noProof/>
          <w:sz w:val="24"/>
          <w:szCs w:val="24"/>
        </w:rPr>
        <w:t xml:space="preserve"> plānots atbalsts sabiedrības pašorganizēšanās, sadarbības un līdzdarbības prasmju paplašināšanai un iespēju veicināšanai, īpaši sabiedrības grupām ar zemu līdzdalības īpatsvaru. Paredzēts īstenot sabiedrības līdzdalības pasākumus saliedētas un pilsoniski aktīvas sabiedrības attīstības veicināšanai, izpratnes veidošanai par kopējo labumu un iedzīvotāju atbildības izjūtas veicināšanai par līdzcilvēkiem, kā arī veicināt savstarpējo uzticēšanos starp dažādām sabiedrības grupām un vēlmi palīdzēt, jeb solidaritāti. Plānots atbalsts Latvijas nevalstisko organizāciju fondam, lai nodrošinātu NVO efektīvu un ilgtspējīgu darbību (t.sk. atbalsts reģionālajiem NVO atbalsta centriem, mazākumtautību līdzdalībai, atbalsts diasporas organizācijām u.c.), kapacitātes un interešu aizstāvības spēju stiprināšanai, kā arī atbalsts digitālo rīku un jauno tehnoloģiju risinājumu attīstībai aktīvas un iekļaujošas līdzdalības stiprināšanai un nodrošināšanai, tostarp, veicinot informācijas resursu pieejamību un medijpratību. Vienlaikus 4.3.4.SAM īstenošanā kontekstā ar pilsoniskās līdzdalības veicināšanu pašvaldībās paredzēts ievērot Reģionālās politikas pamatnostādņu 2021.-2027.gadam uzstādījumus publiskās pārvaldes un pilsoniskās sabiedrības kapacitātes celšanai, kā arī sabiedrības līdzdalības palielināšanai lēmumu pieņemšanas procesos, kas būs piemērojami pašvaldībām pēc administratīvi teritoriālās reformas, tādējādi veicinot reģionālās politikas mērķu sasniegšanu.</w:t>
      </w:r>
    </w:p>
    <w:p w14:paraId="30807384" w14:textId="3E25927B" w:rsidR="00AC212B" w:rsidRPr="00930237"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iCs/>
          <w:noProof/>
          <w:sz w:val="24"/>
          <w:szCs w:val="24"/>
        </w:rPr>
      </w:pPr>
      <w:r w:rsidRPr="00930237">
        <w:rPr>
          <w:rFonts w:ascii="Times New Roman" w:hAnsi="Times New Roman" w:cs="Times New Roman"/>
          <w:sz w:val="24"/>
          <w:szCs w:val="24"/>
        </w:rPr>
        <w:t xml:space="preserve">Lai nodrošinātu trešo valstu pilsoņu </w:t>
      </w:r>
      <w:r w:rsidR="004909C3" w:rsidRPr="004909C3">
        <w:rPr>
          <w:rFonts w:ascii="Times New Roman" w:hAnsi="Times New Roman" w:cs="Times New Roman"/>
          <w:sz w:val="24"/>
          <w:szCs w:val="24"/>
        </w:rPr>
        <w:t xml:space="preserve">ārzemnieku, bēgļu, personu ar patvēruma meklētāja vai alternatīvo statusu, remigrantu un viņu ģimenes locekļu </w:t>
      </w:r>
      <w:r w:rsidRPr="00930237">
        <w:rPr>
          <w:rFonts w:ascii="Times New Roman" w:hAnsi="Times New Roman" w:cs="Times New Roman"/>
          <w:sz w:val="24"/>
          <w:szCs w:val="24"/>
        </w:rPr>
        <w:t>ģimenes un darba dzīves līdzsvarošanu, iesaisti sabiedrības sociālajos procesos un nodarbinātībā, plānots nodrošināt nepieciešamo pakalpojumu pieejamību “vienas pieturas aģentūrā”, t.sk</w:t>
      </w:r>
      <w:r w:rsidR="004909C3">
        <w:rPr>
          <w:rFonts w:ascii="Times New Roman" w:hAnsi="Times New Roman" w:cs="Times New Roman"/>
          <w:sz w:val="24"/>
          <w:szCs w:val="24"/>
        </w:rPr>
        <w:t xml:space="preserve"> </w:t>
      </w:r>
      <w:r w:rsidRPr="00930237">
        <w:rPr>
          <w:rFonts w:ascii="Times New Roman" w:hAnsi="Times New Roman" w:cs="Times New Roman"/>
          <w:sz w:val="24"/>
          <w:szCs w:val="24"/>
        </w:rPr>
        <w:t xml:space="preserve"> </w:t>
      </w:r>
      <w:r w:rsidR="004909C3" w:rsidRPr="004909C3">
        <w:rPr>
          <w:rFonts w:ascii="Times New Roman" w:hAnsi="Times New Roman" w:cs="Times New Roman"/>
          <w:sz w:val="24"/>
          <w:szCs w:val="24"/>
        </w:rPr>
        <w:t xml:space="preserve">nodrošinot iespēju saņemt </w:t>
      </w:r>
      <w:r w:rsidR="003A68DD" w:rsidRPr="004909C3">
        <w:rPr>
          <w:rFonts w:ascii="Times New Roman" w:hAnsi="Times New Roman" w:cs="Times New Roman"/>
          <w:sz w:val="24"/>
          <w:szCs w:val="24"/>
        </w:rPr>
        <w:t xml:space="preserve">sākotnējās konsultācijas </w:t>
      </w:r>
      <w:r w:rsidR="003A68DD">
        <w:rPr>
          <w:rFonts w:ascii="Times New Roman" w:hAnsi="Times New Roman" w:cs="Times New Roman"/>
          <w:sz w:val="24"/>
          <w:szCs w:val="24"/>
        </w:rPr>
        <w:t xml:space="preserve">par valsts un pašvaldību pakalpojumiem </w:t>
      </w:r>
      <w:r w:rsidR="004909C3" w:rsidRPr="004909C3">
        <w:rPr>
          <w:rFonts w:ascii="Times New Roman" w:hAnsi="Times New Roman" w:cs="Times New Roman"/>
          <w:sz w:val="24"/>
          <w:szCs w:val="24"/>
        </w:rPr>
        <w:t>par uzturēšanās atļaujām un ar to saistīto dokumentāciju, nodarbinātības iespējām, saņemt juridiskās konsultācijas, kā arī konsultācijas jautājumos, kas skar veselības aprūpi, izglītību, iespējām saņemt sociālo atbalstu ikdienas dzīves situāciju risināšanai un sociālo pakalpojumu saņemšanai u.c. pilnvērtīgas dzīves kvalitātes nodrošināšanai ne</w:t>
      </w:r>
      <w:r w:rsidR="004909C3">
        <w:rPr>
          <w:rFonts w:ascii="Times New Roman" w:hAnsi="Times New Roman" w:cs="Times New Roman"/>
          <w:sz w:val="24"/>
          <w:szCs w:val="24"/>
        </w:rPr>
        <w:t xml:space="preserve">pieciešamo informāciju, kā arī </w:t>
      </w:r>
      <w:r w:rsidR="004909C3" w:rsidRPr="004909C3">
        <w:rPr>
          <w:rFonts w:ascii="Times New Roman" w:hAnsi="Times New Roman" w:cs="Times New Roman"/>
          <w:sz w:val="24"/>
          <w:szCs w:val="24"/>
        </w:rPr>
        <w:t>saņemt</w:t>
      </w:r>
      <w:r w:rsidRPr="00930237">
        <w:rPr>
          <w:rFonts w:ascii="Times New Roman" w:hAnsi="Times New Roman" w:cs="Times New Roman"/>
          <w:sz w:val="24"/>
          <w:szCs w:val="24"/>
        </w:rPr>
        <w:t xml:space="preserve"> bērnu pieskatīšanas pakalpojumus</w:t>
      </w:r>
      <w:r w:rsidRPr="00930237">
        <w:rPr>
          <w:rFonts w:ascii="Times New Roman" w:eastAsia="Times New Roman" w:hAnsi="Times New Roman" w:cs="Times New Roman"/>
          <w:noProof/>
          <w:sz w:val="24"/>
          <w:szCs w:val="24"/>
        </w:rPr>
        <w:t>.</w:t>
      </w:r>
    </w:p>
    <w:p w14:paraId="4ADC6485" w14:textId="491B9DFC"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eastAsia="Calibri" w:hAnsi="Times New Roman" w:cs="Times New Roman"/>
          <w:sz w:val="24"/>
          <w:szCs w:val="24"/>
        </w:rPr>
        <w:t xml:space="preserve">Plānota </w:t>
      </w:r>
      <w:r w:rsidRPr="00930237">
        <w:rPr>
          <w:rFonts w:ascii="Times New Roman" w:eastAsia="Calibri" w:hAnsi="Times New Roman" w:cs="Times New Roman"/>
          <w:b/>
          <w:sz w:val="24"/>
          <w:szCs w:val="24"/>
        </w:rPr>
        <w:t>resocializācijas pakalpojumu probācijas klientiem pilnveidošana</w:t>
      </w:r>
      <w:r w:rsidRPr="00930237">
        <w:rPr>
          <w:rFonts w:ascii="Times New Roman" w:eastAsia="Calibri" w:hAnsi="Times New Roman" w:cs="Times New Roman"/>
          <w:sz w:val="24"/>
          <w:szCs w:val="24"/>
        </w:rPr>
        <w:t xml:space="preserve"> un taisnīguma atjaunošanas pieeju attīstība, veicinot probācijas klientu aktīvu līdzdalību sabiedrības procesos un radot priekšnosacījumus viņu nodarbināmībai, paredzot Valsts probācijas dienesta darbinieku kapacitātes celšanu un profesionālās noturības stiprināšanu</w:t>
      </w:r>
      <w:r w:rsidR="001122BA">
        <w:rPr>
          <w:rFonts w:ascii="Times New Roman" w:eastAsia="Calibri" w:hAnsi="Times New Roman" w:cs="Times New Roman"/>
          <w:sz w:val="24"/>
          <w:szCs w:val="24"/>
        </w:rPr>
        <w:t>;</w:t>
      </w:r>
      <w:r w:rsidRPr="00930237">
        <w:rPr>
          <w:rFonts w:ascii="Times New Roman" w:eastAsia="Calibri" w:hAnsi="Times New Roman" w:cs="Times New Roman"/>
          <w:sz w:val="24"/>
          <w:szCs w:val="24"/>
        </w:rPr>
        <w:t xml:space="preserve"> </w:t>
      </w:r>
      <w:r w:rsidRPr="00930237">
        <w:rPr>
          <w:rFonts w:ascii="Times New Roman" w:hAnsi="Times New Roman" w:cs="Times New Roman"/>
          <w:sz w:val="24"/>
          <w:szCs w:val="24"/>
        </w:rPr>
        <w:t xml:space="preserve">ārvalstu pieredzes pētniecību, probācijas un resocializācijas darba organizēšanas instrumentu un programmu pilnveidošanu un jaunu instrumentu izstrādi/ieguvi/ieviešanu, ieskaitot </w:t>
      </w:r>
      <w:r w:rsidR="001122BA" w:rsidRPr="001122BA">
        <w:rPr>
          <w:rFonts w:ascii="Times New Roman" w:hAnsi="Times New Roman" w:cs="Times New Roman"/>
          <w:sz w:val="24"/>
          <w:szCs w:val="24"/>
        </w:rPr>
        <w:t xml:space="preserve">instrumentu un programmu </w:t>
      </w:r>
      <w:r w:rsidRPr="00930237">
        <w:rPr>
          <w:rFonts w:ascii="Times New Roman" w:hAnsi="Times New Roman" w:cs="Times New Roman"/>
          <w:sz w:val="24"/>
          <w:szCs w:val="24"/>
        </w:rPr>
        <w:t>aprobēšanu un validizēšanu, atbilstoši dažādu probācijas klientu mērķgrupu resocializācijas vajadzībām,</w:t>
      </w:r>
      <w:r w:rsidRPr="00930237">
        <w:rPr>
          <w:rFonts w:ascii="Times New Roman" w:hAnsi="Times New Roman" w:cs="Times New Roman"/>
        </w:rPr>
        <w:t xml:space="preserve"> </w:t>
      </w:r>
      <w:r w:rsidRPr="00930237">
        <w:rPr>
          <w:rFonts w:ascii="Times New Roman" w:hAnsi="Times New Roman" w:cs="Times New Roman"/>
          <w:sz w:val="24"/>
          <w:szCs w:val="24"/>
        </w:rPr>
        <w:t>jaunieviesto un pilnveidoto resocializācijas instrumentu un darba metožu ieviešanu e-vidē, t. sk. e-mācību attīstīšana; probācijas klientu resocializācijas modeļa pilnveidošanu; jaunu (interaktīvu) resocializācijas darba metožu attīstību, aprobāciju un īstenošanu;</w:t>
      </w:r>
      <w:r w:rsidRPr="00930237">
        <w:rPr>
          <w:rFonts w:ascii="Times New Roman" w:hAnsi="Times New Roman" w:cs="Times New Roman"/>
        </w:rPr>
        <w:t xml:space="preserve"> </w:t>
      </w:r>
      <w:r w:rsidRPr="00930237">
        <w:rPr>
          <w:rFonts w:ascii="Times New Roman" w:hAnsi="Times New Roman" w:cs="Times New Roman"/>
          <w:sz w:val="24"/>
          <w:szCs w:val="24"/>
        </w:rPr>
        <w:t>sociālās iekļaušanas koeficienta metodikas izstrāde un ieviešana; dienesta brīvprātīgo darba programmu pilnveidošanu un īstenošanu, pasākumu brīvprātīgo kopienas attīstībai un saliedēšanai īstenošana; atbalsta pasākumus izstrāde un īstenošana probācijas klientu resocializācijai, viņu ģimenes locekļiem, t.sk. atbalsta personām, pasākumu īstenošanas ģimenes saišu stiprināšanai; ikgadējās konferences dienesta nodarbinātajiem un sadarbības partneriem; starpinstitūciju sadarbības pilnveidošanas pasākumus un apmācības iesaistīto institūciju un brīvprātīgo pārstāvjiem, t.sk. NVO pārstāvjiem; sabiedrības, t.sk. tiesnešu, prokuroru, tiesībaizsardzības iestāžu, pašvaldību, citu institūciju un NVO darbinieku, informējošus/izglītojošus pasākumus un sociālās kampaņas; sabiedrības iesaistes un atbalsta pasākumu notiesāto personu sociālās uzņēmējdarbības attīstībai; publicitātes pasākumus, t.sk. konferences un citus pasākumus dienesta nodarbinātajiem, sadarbības partneriem no valsts un nevalstiskā sektora, lai informētu par projekta īstenošanas rezultātiem un resocializācijas sistēmas attīstības perspektīvām</w:t>
      </w:r>
      <w:r w:rsidR="001122BA">
        <w:rPr>
          <w:rFonts w:ascii="Times New Roman" w:hAnsi="Times New Roman" w:cs="Times New Roman"/>
          <w:sz w:val="24"/>
          <w:szCs w:val="24"/>
        </w:rPr>
        <w:t>;</w:t>
      </w:r>
      <w:r w:rsidRPr="00930237">
        <w:rPr>
          <w:rFonts w:ascii="Times New Roman" w:hAnsi="Times New Roman" w:cs="Times New Roman"/>
          <w:sz w:val="24"/>
          <w:szCs w:val="24"/>
        </w:rPr>
        <w:t xml:space="preserve"> IT attīstība, ieskaitot klientu lietu vadības kvalitātes sistēmas pilnveidošanu.</w:t>
      </w:r>
    </w:p>
    <w:p w14:paraId="04092CCB" w14:textId="2D9210D2"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bookmarkStart w:id="33" w:name="_Hlk34917881"/>
      <w:r w:rsidRPr="00930237">
        <w:rPr>
          <w:rFonts w:ascii="Times New Roman" w:eastAsia="Calibri" w:hAnsi="Times New Roman" w:cs="Times New Roman"/>
          <w:bCs/>
          <w:sz w:val="24"/>
          <w:szCs w:val="24"/>
        </w:rPr>
        <w:t>Nodarbināmības priekšnosacījumu nodrošināšanai ieslodzītajiem, plānots</w:t>
      </w:r>
      <w:r w:rsidRPr="00930237">
        <w:rPr>
          <w:rFonts w:ascii="Times New Roman" w:eastAsia="Calibri" w:hAnsi="Times New Roman" w:cs="Times New Roman"/>
          <w:b/>
          <w:bCs/>
          <w:sz w:val="24"/>
          <w:szCs w:val="24"/>
        </w:rPr>
        <w:t xml:space="preserve"> pilnveidot resocializācijas sistēmas efektivitāti, sekmējot bijušo ieslodzīto iekļaušanos, vienlīdzīgas iespējas un aktīvu līdzdalību</w:t>
      </w:r>
      <w:r w:rsidRPr="00930237">
        <w:rPr>
          <w:rFonts w:ascii="Times New Roman" w:eastAsia="Calibri" w:hAnsi="Times New Roman" w:cs="Times New Roman"/>
          <w:bCs/>
          <w:sz w:val="24"/>
          <w:szCs w:val="24"/>
        </w:rPr>
        <w:t>, paredzot šādas darbības</w:t>
      </w:r>
      <w:bookmarkStart w:id="34" w:name="_Hlk34916632"/>
      <w:r w:rsidRPr="00930237">
        <w:rPr>
          <w:rFonts w:ascii="Times New Roman" w:eastAsia="Calibri" w:hAnsi="Times New Roman" w:cs="Times New Roman"/>
          <w:bCs/>
          <w:sz w:val="24"/>
          <w:szCs w:val="24"/>
        </w:rPr>
        <w:t>, t.sk.</w:t>
      </w:r>
      <w:r w:rsidRPr="00930237">
        <w:rPr>
          <w:rFonts w:ascii="Times New Roman" w:hAnsi="Times New Roman" w:cs="Times New Roman"/>
          <w:sz w:val="24"/>
          <w:szCs w:val="24"/>
        </w:rPr>
        <w:t xml:space="preserve"> iesaistot NVO</w:t>
      </w:r>
      <w:r w:rsidR="00332FE9">
        <w:rPr>
          <w:rFonts w:ascii="Times New Roman" w:hAnsi="Times New Roman" w:cs="Times New Roman"/>
          <w:sz w:val="24"/>
          <w:szCs w:val="24"/>
        </w:rPr>
        <w:t>, kā arī pētot ārvalstu pieredzi</w:t>
      </w:r>
      <w:r w:rsidRPr="00930237">
        <w:rPr>
          <w:rFonts w:ascii="Times New Roman" w:eastAsia="Calibri" w:hAnsi="Times New Roman" w:cs="Times New Roman"/>
          <w:bCs/>
          <w:sz w:val="24"/>
          <w:szCs w:val="24"/>
        </w:rPr>
        <w:t xml:space="preserve">: specializētu </w:t>
      </w:r>
      <w:r w:rsidRPr="00930237">
        <w:rPr>
          <w:rFonts w:ascii="Times New Roman" w:hAnsi="Times New Roman" w:cs="Times New Roman"/>
          <w:sz w:val="24"/>
          <w:szCs w:val="24"/>
        </w:rPr>
        <w:t xml:space="preserve">riska un vajadzību novērtējuma instrumentu un resocializācijas programmu (piem., nepilngadīgie ar atkarību, ekonomiskie noziedznieki, kibernoziedznieki) izstrādi/ieguvi/ieviešanu, instrumentu un programmu aprobēšanu un validizēšanu, </w:t>
      </w:r>
      <w:r w:rsidR="001122BA" w:rsidRPr="003F0143">
        <w:rPr>
          <w:rFonts w:ascii="Times New Roman" w:hAnsi="Times New Roman" w:cs="Times New Roman"/>
          <w:sz w:val="24"/>
          <w:szCs w:val="24"/>
        </w:rPr>
        <w:t xml:space="preserve">esošo riska un vajadzību novērtējuma instrumentu </w:t>
      </w:r>
      <w:r w:rsidR="001122BA">
        <w:rPr>
          <w:rFonts w:ascii="Times New Roman" w:hAnsi="Times New Roman" w:cs="Times New Roman"/>
          <w:sz w:val="24"/>
          <w:szCs w:val="24"/>
        </w:rPr>
        <w:t xml:space="preserve">un </w:t>
      </w:r>
      <w:r w:rsidR="001122BA" w:rsidRPr="003F0143">
        <w:rPr>
          <w:rFonts w:ascii="Times New Roman" w:hAnsi="Times New Roman" w:cs="Times New Roman"/>
          <w:sz w:val="24"/>
          <w:szCs w:val="24"/>
        </w:rPr>
        <w:t xml:space="preserve">resocializācijas programmu </w:t>
      </w:r>
      <w:r w:rsidR="001122BA">
        <w:rPr>
          <w:rFonts w:ascii="Times New Roman" w:hAnsi="Times New Roman" w:cs="Times New Roman"/>
          <w:sz w:val="24"/>
          <w:szCs w:val="24"/>
        </w:rPr>
        <w:t xml:space="preserve">efektivitātes izpēti, validizāciju un </w:t>
      </w:r>
      <w:r w:rsidR="001122BA" w:rsidRPr="003F0143">
        <w:rPr>
          <w:rFonts w:ascii="Times New Roman" w:hAnsi="Times New Roman" w:cs="Times New Roman"/>
          <w:sz w:val="24"/>
          <w:szCs w:val="24"/>
        </w:rPr>
        <w:t>aprobāciju</w:t>
      </w:r>
      <w:r w:rsidR="001122BA">
        <w:rPr>
          <w:rFonts w:ascii="Times New Roman" w:eastAsia="Times New Roman" w:hAnsi="Times New Roman" w:cs="Times New Roman"/>
          <w:sz w:val="24"/>
          <w:szCs w:val="24"/>
        </w:rPr>
        <w:t xml:space="preserve">; </w:t>
      </w:r>
      <w:r w:rsidRPr="00930237">
        <w:rPr>
          <w:rFonts w:ascii="Times New Roman" w:eastAsia="Times New Roman" w:hAnsi="Times New Roman" w:cs="Times New Roman"/>
          <w:sz w:val="24"/>
          <w:szCs w:val="24"/>
        </w:rPr>
        <w:t>drošības risku izvērtējuma instrument</w:t>
      </w:r>
      <w:r w:rsidR="001122BA">
        <w:rPr>
          <w:rFonts w:ascii="Times New Roman" w:eastAsia="Times New Roman" w:hAnsi="Times New Roman" w:cs="Times New Roman"/>
          <w:sz w:val="24"/>
          <w:szCs w:val="24"/>
        </w:rPr>
        <w:t>a</w:t>
      </w:r>
      <w:r w:rsidRPr="00930237">
        <w:rPr>
          <w:rFonts w:ascii="Times New Roman" w:eastAsia="Times New Roman" w:hAnsi="Times New Roman" w:cs="Times New Roman"/>
          <w:sz w:val="24"/>
          <w:szCs w:val="24"/>
        </w:rPr>
        <w:t xml:space="preserve"> izstrādi/ieguvi;</w:t>
      </w:r>
      <w:bookmarkStart w:id="35" w:name="_Hlk34916711"/>
      <w:bookmarkEnd w:id="34"/>
      <w:r w:rsidRPr="00930237">
        <w:rPr>
          <w:rFonts w:ascii="Times New Roman" w:hAnsi="Times New Roman" w:cs="Times New Roman"/>
          <w:sz w:val="24"/>
          <w:szCs w:val="24"/>
        </w:rPr>
        <w:t xml:space="preserve"> speciālistu konsultācijas, jaunu atbalsta pasākumu, t.sk. informatīvu pasākumu, izstrād</w:t>
      </w:r>
      <w:r w:rsidR="00332FE9">
        <w:rPr>
          <w:rFonts w:ascii="Times New Roman" w:hAnsi="Times New Roman" w:cs="Times New Roman"/>
          <w:sz w:val="24"/>
          <w:szCs w:val="24"/>
        </w:rPr>
        <w:t>i</w:t>
      </w:r>
      <w:r w:rsidRPr="00930237">
        <w:rPr>
          <w:rFonts w:ascii="Times New Roman" w:hAnsi="Times New Roman" w:cs="Times New Roman"/>
          <w:sz w:val="24"/>
          <w:szCs w:val="24"/>
        </w:rPr>
        <w:t xml:space="preserve"> un īstenošan</w:t>
      </w:r>
      <w:r w:rsidR="00332FE9">
        <w:rPr>
          <w:rFonts w:ascii="Times New Roman" w:hAnsi="Times New Roman" w:cs="Times New Roman"/>
          <w:sz w:val="24"/>
          <w:szCs w:val="24"/>
        </w:rPr>
        <w:t>u</w:t>
      </w:r>
      <w:r w:rsidRPr="00930237">
        <w:rPr>
          <w:rFonts w:ascii="Times New Roman" w:hAnsi="Times New Roman" w:cs="Times New Roman"/>
          <w:sz w:val="24"/>
          <w:szCs w:val="24"/>
        </w:rPr>
        <w:t xml:space="preserve"> ieslodzītajiem, viņu ģimenes locekļiem (t.sk. atbalsta personām), </w:t>
      </w:r>
      <w:bookmarkStart w:id="36" w:name="_Hlk34917420"/>
      <w:bookmarkEnd w:id="35"/>
      <w:r w:rsidRPr="00930237">
        <w:rPr>
          <w:rFonts w:ascii="Times New Roman" w:hAnsi="Times New Roman" w:cs="Times New Roman"/>
          <w:sz w:val="24"/>
          <w:szCs w:val="24"/>
        </w:rPr>
        <w:t>resocializācijas darba un kriminālsodu izpildes efektivitātes mērījumu sistēmas ieviešan</w:t>
      </w:r>
      <w:r w:rsidR="00332FE9">
        <w:rPr>
          <w:rFonts w:ascii="Times New Roman" w:hAnsi="Times New Roman" w:cs="Times New Roman"/>
          <w:sz w:val="24"/>
          <w:szCs w:val="24"/>
        </w:rPr>
        <w:t>u</w:t>
      </w:r>
      <w:r w:rsidRPr="00930237">
        <w:rPr>
          <w:rFonts w:ascii="Times New Roman" w:hAnsi="Times New Roman" w:cs="Times New Roman"/>
          <w:sz w:val="24"/>
          <w:szCs w:val="24"/>
        </w:rPr>
        <w:t>, t.sk. pētījumi;</w:t>
      </w:r>
      <w:bookmarkStart w:id="37" w:name="_Hlk34917633"/>
      <w:bookmarkEnd w:id="36"/>
      <w:r w:rsidRPr="00930237">
        <w:rPr>
          <w:rFonts w:ascii="Times New Roman" w:hAnsi="Times New Roman" w:cs="Times New Roman"/>
          <w:sz w:val="24"/>
          <w:szCs w:val="24"/>
        </w:rPr>
        <w:t xml:space="preserve"> nodarbināto un brīvprātīgo </w:t>
      </w:r>
      <w:r w:rsidR="00332FE9" w:rsidRPr="00332FE9">
        <w:rPr>
          <w:rFonts w:ascii="Times New Roman" w:hAnsi="Times New Roman" w:cs="Times New Roman"/>
          <w:sz w:val="24"/>
          <w:szCs w:val="24"/>
        </w:rPr>
        <w:t>kapacitātes celšanu, profesionālās kvalifikācijas paaugstināšanas un profesionālās noturības veicināšanas pasākumus, piem.,</w:t>
      </w:r>
      <w:r w:rsidRPr="00930237">
        <w:rPr>
          <w:rFonts w:ascii="Times New Roman" w:hAnsi="Times New Roman" w:cs="Times New Roman"/>
          <w:sz w:val="24"/>
          <w:szCs w:val="24"/>
        </w:rPr>
        <w:t xml:space="preserve"> supervīzijas, koučingu un ikgadējās konferences</w:t>
      </w:r>
      <w:r w:rsidR="00332FE9">
        <w:rPr>
          <w:rFonts w:ascii="Times New Roman" w:hAnsi="Times New Roman" w:cs="Times New Roman"/>
          <w:sz w:val="24"/>
          <w:szCs w:val="24"/>
        </w:rPr>
        <w:t>, u.c., e-mācību attīstība</w:t>
      </w:r>
      <w:r w:rsidRPr="00930237">
        <w:rPr>
          <w:rFonts w:ascii="Times New Roman" w:hAnsi="Times New Roman" w:cs="Times New Roman"/>
          <w:sz w:val="24"/>
          <w:szCs w:val="24"/>
        </w:rPr>
        <w:t>;</w:t>
      </w:r>
      <w:bookmarkEnd w:id="37"/>
      <w:r w:rsidRPr="00930237">
        <w:rPr>
          <w:rFonts w:ascii="Times New Roman" w:hAnsi="Times New Roman" w:cs="Times New Roman"/>
          <w:sz w:val="24"/>
          <w:szCs w:val="24"/>
        </w:rPr>
        <w:t xml:space="preserve"> starpinstitūciju sadarbības pilnveidošanas pasākum</w:t>
      </w:r>
      <w:r w:rsidR="00332FE9">
        <w:rPr>
          <w:rFonts w:ascii="Times New Roman" w:hAnsi="Times New Roman" w:cs="Times New Roman"/>
          <w:sz w:val="24"/>
          <w:szCs w:val="24"/>
        </w:rPr>
        <w:t>us</w:t>
      </w:r>
      <w:r w:rsidRPr="00930237">
        <w:rPr>
          <w:rFonts w:ascii="Times New Roman" w:hAnsi="Times New Roman" w:cs="Times New Roman"/>
          <w:sz w:val="24"/>
          <w:szCs w:val="24"/>
        </w:rPr>
        <w:t xml:space="preserve"> un apmācības iesaistīto institūciju </w:t>
      </w:r>
      <w:r w:rsidR="00332FE9">
        <w:rPr>
          <w:rFonts w:ascii="Times New Roman" w:hAnsi="Times New Roman" w:cs="Times New Roman"/>
          <w:sz w:val="24"/>
          <w:szCs w:val="24"/>
        </w:rPr>
        <w:t>un N</w:t>
      </w:r>
      <w:r w:rsidR="000A675A">
        <w:rPr>
          <w:rFonts w:ascii="Times New Roman" w:hAnsi="Times New Roman" w:cs="Times New Roman"/>
          <w:sz w:val="24"/>
          <w:szCs w:val="24"/>
        </w:rPr>
        <w:t>V</w:t>
      </w:r>
      <w:r w:rsidR="00332FE9">
        <w:rPr>
          <w:rFonts w:ascii="Times New Roman" w:hAnsi="Times New Roman" w:cs="Times New Roman"/>
          <w:sz w:val="24"/>
          <w:szCs w:val="24"/>
        </w:rPr>
        <w:t xml:space="preserve">O </w:t>
      </w:r>
      <w:r w:rsidRPr="00930237">
        <w:rPr>
          <w:rFonts w:ascii="Times New Roman" w:hAnsi="Times New Roman" w:cs="Times New Roman"/>
          <w:sz w:val="24"/>
          <w:szCs w:val="24"/>
        </w:rPr>
        <w:t>pārstāvjiem,; sabiedrības informēšan</w:t>
      </w:r>
      <w:r w:rsidR="00332FE9">
        <w:rPr>
          <w:rFonts w:ascii="Times New Roman" w:hAnsi="Times New Roman" w:cs="Times New Roman"/>
          <w:sz w:val="24"/>
          <w:szCs w:val="24"/>
        </w:rPr>
        <w:t>u</w:t>
      </w:r>
      <w:r w:rsidRPr="00930237">
        <w:rPr>
          <w:rFonts w:ascii="Times New Roman" w:hAnsi="Times New Roman" w:cs="Times New Roman"/>
          <w:sz w:val="24"/>
          <w:szCs w:val="24"/>
        </w:rPr>
        <w:t>, izglītojoš</w:t>
      </w:r>
      <w:r w:rsidR="00332FE9">
        <w:rPr>
          <w:rFonts w:ascii="Times New Roman" w:hAnsi="Times New Roman" w:cs="Times New Roman"/>
          <w:sz w:val="24"/>
          <w:szCs w:val="24"/>
        </w:rPr>
        <w:t>us</w:t>
      </w:r>
      <w:r w:rsidRPr="00930237">
        <w:rPr>
          <w:rFonts w:ascii="Times New Roman" w:hAnsi="Times New Roman" w:cs="Times New Roman"/>
          <w:sz w:val="24"/>
          <w:szCs w:val="24"/>
        </w:rPr>
        <w:t xml:space="preserve"> pasākum</w:t>
      </w:r>
      <w:r w:rsidR="00332FE9">
        <w:rPr>
          <w:rFonts w:ascii="Times New Roman" w:hAnsi="Times New Roman" w:cs="Times New Roman"/>
          <w:sz w:val="24"/>
          <w:szCs w:val="24"/>
        </w:rPr>
        <w:t>us</w:t>
      </w:r>
      <w:r w:rsidRPr="00930237">
        <w:rPr>
          <w:rFonts w:ascii="Times New Roman" w:hAnsi="Times New Roman" w:cs="Times New Roman"/>
          <w:sz w:val="24"/>
          <w:szCs w:val="24"/>
        </w:rPr>
        <w:t xml:space="preserve"> un sociālās kampaņas, t.sk. par noziedzīgās uzvedības riskiem, ieslodzīto personības īpatnībām, par kriminālsoda izpildes laikā veicamo resocializācijas darbu un starpinstitucionālo sadarbību</w:t>
      </w:r>
      <w:r w:rsidR="00332FE9">
        <w:rPr>
          <w:rFonts w:ascii="Times New Roman" w:hAnsi="Times New Roman" w:cs="Times New Roman"/>
          <w:sz w:val="24"/>
          <w:szCs w:val="24"/>
        </w:rPr>
        <w:t>, u.c.</w:t>
      </w:r>
      <w:r w:rsidRPr="00930237">
        <w:rPr>
          <w:rFonts w:ascii="Times New Roman" w:hAnsi="Times New Roman" w:cs="Times New Roman"/>
          <w:sz w:val="24"/>
          <w:szCs w:val="24"/>
        </w:rPr>
        <w:t>; ieslodzītajiem domātās e-</w:t>
      </w:r>
      <w:r w:rsidR="00332FE9">
        <w:rPr>
          <w:rFonts w:ascii="Times New Roman" w:hAnsi="Times New Roman" w:cs="Times New Roman"/>
          <w:sz w:val="24"/>
          <w:szCs w:val="24"/>
        </w:rPr>
        <w:t xml:space="preserve">mācību </w:t>
      </w:r>
      <w:r w:rsidRPr="00930237">
        <w:rPr>
          <w:rFonts w:ascii="Times New Roman" w:hAnsi="Times New Roman" w:cs="Times New Roman"/>
          <w:sz w:val="24"/>
          <w:szCs w:val="24"/>
        </w:rPr>
        <w:t>vides izveid</w:t>
      </w:r>
      <w:r w:rsidR="00332FE9">
        <w:rPr>
          <w:rFonts w:ascii="Times New Roman" w:hAnsi="Times New Roman" w:cs="Times New Roman"/>
          <w:sz w:val="24"/>
          <w:szCs w:val="24"/>
        </w:rPr>
        <w:t>i</w:t>
      </w:r>
      <w:r w:rsidRPr="00930237">
        <w:rPr>
          <w:rFonts w:ascii="Times New Roman" w:hAnsi="Times New Roman" w:cs="Times New Roman"/>
          <w:sz w:val="24"/>
          <w:szCs w:val="24"/>
        </w:rPr>
        <w:t>; IT attīstīb</w:t>
      </w:r>
      <w:r w:rsidR="00332FE9">
        <w:rPr>
          <w:rFonts w:ascii="Times New Roman" w:hAnsi="Times New Roman" w:cs="Times New Roman"/>
          <w:sz w:val="24"/>
          <w:szCs w:val="24"/>
        </w:rPr>
        <w:t>u</w:t>
      </w:r>
      <w:r w:rsidRPr="00930237">
        <w:rPr>
          <w:rFonts w:ascii="Times New Roman" w:hAnsi="Times New Roman" w:cs="Times New Roman"/>
          <w:sz w:val="24"/>
          <w:szCs w:val="24"/>
        </w:rPr>
        <w:t>.</w:t>
      </w:r>
    </w:p>
    <w:bookmarkEnd w:id="33"/>
    <w:p w14:paraId="6F081F7D" w14:textId="7A3276BD"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eastAsia="Calibri" w:hAnsi="Times New Roman" w:cs="Times New Roman"/>
          <w:b/>
          <w:noProof/>
          <w:sz w:val="24"/>
          <w:szCs w:val="24"/>
        </w:rPr>
        <w:t xml:space="preserve">Galvenās mērķgrupas: </w:t>
      </w:r>
      <w:r w:rsidR="00F946AB" w:rsidRPr="00F946AB">
        <w:rPr>
          <w:rFonts w:ascii="Times New Roman" w:hAnsi="Times New Roman" w:cs="Times New Roman"/>
          <w:sz w:val="24"/>
          <w:szCs w:val="24"/>
        </w:rPr>
        <w:t xml:space="preserve">Diskriminācijas riskam pakļautās grupas (diskriminācijas risks pēc dzimumu, vecuma, invaliditātes </w:t>
      </w:r>
      <w:r w:rsidR="004909C3">
        <w:rPr>
          <w:rFonts w:ascii="Times New Roman" w:hAnsi="Times New Roman" w:cs="Times New Roman"/>
          <w:sz w:val="24"/>
          <w:szCs w:val="24"/>
        </w:rPr>
        <w:t xml:space="preserve">u.c. </w:t>
      </w:r>
      <w:r w:rsidR="00F946AB" w:rsidRPr="00F946AB">
        <w:rPr>
          <w:rFonts w:ascii="Times New Roman" w:hAnsi="Times New Roman" w:cs="Times New Roman"/>
          <w:sz w:val="24"/>
          <w:szCs w:val="24"/>
        </w:rPr>
        <w:t>pazīmes), jaunieši, sabiedrība kopumā. Patvēruma meklētāji, bēgļi, personas ar alternatīvo statusu. Nozaru politiku veidotāji, īstenotāji un uzraudzībā iesaistītās valsts institūcijas, darba devēji un viņu darbinieki, sabiedrība. Sociālie partneri, NVO, tiešās valsts pārvaldes iestādes, pašvaldības, tiesas, prokuratūra un tiesībaizsardzības iestāžu darbinieki. Probācijas klienti, viņu ģimenes locekļi un atbalsta personas, VPD darbinieki un brīvprātīgie, VPD sadarbības partneri, t.sk., NVO. Ieslodzītie, bijušie ieslodzītie, viņu ģimenes locekļi un atbalsta personas, IeVP nodarbinātie un brīvprātīgie, sadarbības partneri, t</w:t>
      </w:r>
      <w:r w:rsidR="00102172">
        <w:rPr>
          <w:rFonts w:ascii="Times New Roman" w:hAnsi="Times New Roman" w:cs="Times New Roman"/>
          <w:sz w:val="24"/>
          <w:szCs w:val="24"/>
        </w:rPr>
        <w:t>.sk.</w:t>
      </w:r>
      <w:r w:rsidR="00F946AB" w:rsidRPr="00F946AB">
        <w:rPr>
          <w:rFonts w:ascii="Times New Roman" w:hAnsi="Times New Roman" w:cs="Times New Roman"/>
          <w:sz w:val="24"/>
          <w:szCs w:val="24"/>
        </w:rPr>
        <w:t xml:space="preserve"> NVO. Darba devēji, nodarbinātie, ģimenes ar bērniem</w:t>
      </w:r>
      <w:r w:rsidRPr="00930237">
        <w:rPr>
          <w:rFonts w:ascii="Times New Roman" w:hAnsi="Times New Roman" w:cs="Times New Roman"/>
          <w:sz w:val="24"/>
          <w:szCs w:val="24"/>
        </w:rPr>
        <w:t>.</w:t>
      </w:r>
    </w:p>
    <w:p w14:paraId="25AD0402" w14:textId="29BC59C7" w:rsidR="00AC212B" w:rsidRPr="00930237" w:rsidRDefault="00AC212B" w:rsidP="007545BD">
      <w:pPr>
        <w:pStyle w:val="ListParagraph"/>
        <w:numPr>
          <w:ilvl w:val="0"/>
          <w:numId w:val="60"/>
        </w:numPr>
        <w:spacing w:after="0" w:line="240" w:lineRule="auto"/>
        <w:ind w:left="567" w:hanging="567"/>
        <w:jc w:val="both"/>
        <w:rPr>
          <w:rFonts w:ascii="Times New Roman" w:eastAsia="Calibri" w:hAnsi="Times New Roman" w:cs="Times New Roman"/>
          <w:color w:val="FF0000"/>
          <w:sz w:val="24"/>
          <w:szCs w:val="24"/>
        </w:rPr>
      </w:pPr>
      <w:r w:rsidRPr="00930237">
        <w:rPr>
          <w:rFonts w:ascii="Times New Roman" w:eastAsia="Calibri" w:hAnsi="Times New Roman" w:cs="Times New Roman"/>
          <w:b/>
          <w:sz w:val="24"/>
          <w:szCs w:val="24"/>
        </w:rPr>
        <w:t>Darbības, kas nodrošina vienlīdzību, iekļaušanu un nediskrimināciju:</w:t>
      </w:r>
      <w:r w:rsidRPr="00930237">
        <w:rPr>
          <w:rFonts w:ascii="Times New Roman" w:eastAsia="Calibri" w:hAnsi="Times New Roman" w:cs="Times New Roman"/>
          <w:color w:val="FF0000"/>
          <w:sz w:val="24"/>
          <w:szCs w:val="24"/>
        </w:rPr>
        <w:t xml:space="preserve"> </w:t>
      </w:r>
      <w:r w:rsidR="00AA1EC0" w:rsidRPr="00AA1EC0">
        <w:rPr>
          <w:rFonts w:ascii="Times New Roman" w:eastAsia="Calibri" w:hAnsi="Times New Roman" w:cs="Times New Roman"/>
          <w:sz w:val="24"/>
          <w:szCs w:val="24"/>
        </w:rPr>
        <w:t xml:space="preserve">Projektu vadībā un īstenošanā tiks nodrošināta informācijas un vides pieejamība, nediskriminācija pēc vecuma, dzimuma, etniskās piederības u.c. pazīmēm, vienlīdzīgu iespēju principu ievērošana u.c. Īstenotie pasākumi iekļauj aktivitātes dzimumu segregācijas mazināšanai izglītībā un darba tirgū, darba un ģimenes dzīves līdzsvara veicināšanai, sniedzot atbalstu personu ar invaliditāti un funkcionāliem traucējumiem pilnvērtīgas dzīves nodrošināšanai, personām virs 50 gadu vecuma, ieslodzītajiem tiks izveidota tālmācības e-vide, kā arī notiesātajiem un bijušajiem notiesātajiem sociālās iekļaušanas veicināšanai un sociālās atstumtības mazināšanai. Politikas veidotāju un īstenotāju un darba devēju apmācību programmas būs </w:t>
      </w:r>
      <w:r w:rsidR="00601AA2">
        <w:rPr>
          <w:rFonts w:ascii="Times New Roman" w:eastAsia="Calibri" w:hAnsi="Times New Roman" w:cs="Times New Roman"/>
          <w:sz w:val="24"/>
          <w:szCs w:val="24"/>
        </w:rPr>
        <w:t>piekļūstamas</w:t>
      </w:r>
      <w:r w:rsidR="00601AA2" w:rsidRPr="00AA1EC0">
        <w:rPr>
          <w:rFonts w:ascii="Times New Roman" w:eastAsia="Calibri" w:hAnsi="Times New Roman" w:cs="Times New Roman"/>
          <w:sz w:val="24"/>
          <w:szCs w:val="24"/>
        </w:rPr>
        <w:t xml:space="preserve"> </w:t>
      </w:r>
      <w:r w:rsidR="00AA1EC0" w:rsidRPr="00AA1EC0">
        <w:rPr>
          <w:rFonts w:ascii="Times New Roman" w:eastAsia="Calibri" w:hAnsi="Times New Roman" w:cs="Times New Roman"/>
          <w:sz w:val="24"/>
          <w:szCs w:val="24"/>
        </w:rPr>
        <w:t>dažādos formātos (t.sk. audiāli un elektroniski), apmācības tiks rīkotas tikai tādās telpās, kurās ir nodrošināta vides pieejamība cilvēkiem ar dažādiem funkcionāliem traucējumiem; apmācību saturā tiks integrēti jautājumi par vienlīdzību, iekļaušanu un nediskrimināciju, par iekļaujošas darba vides veidošanu. Darba devējiem dalībai apmācībās,</w:t>
      </w:r>
      <w:r w:rsidR="001122BA">
        <w:rPr>
          <w:rFonts w:ascii="Times New Roman" w:eastAsia="Calibri" w:hAnsi="Times New Roman" w:cs="Times New Roman"/>
          <w:sz w:val="24"/>
          <w:szCs w:val="24"/>
        </w:rPr>
        <w:t xml:space="preserve"> </w:t>
      </w:r>
      <w:r w:rsidR="00AA1EC0" w:rsidRPr="00AA1EC0">
        <w:rPr>
          <w:rFonts w:ascii="Times New Roman" w:eastAsia="Calibri" w:hAnsi="Times New Roman" w:cs="Times New Roman"/>
          <w:sz w:val="24"/>
          <w:szCs w:val="24"/>
        </w:rPr>
        <w:t>apmācību laikā tiks nodrošināts atbalsts bērnu pieskatīšanai un tiks meklēti citi individuāli risinājumi, kādi konkrētā situācijā ir nepieciešami, lai nodrošinātu vienlīdzīgas iespējas piedalīties</w:t>
      </w:r>
      <w:r w:rsidRPr="00930237">
        <w:rPr>
          <w:rFonts w:ascii="Times New Roman" w:eastAsia="Calibri" w:hAnsi="Times New Roman" w:cs="Times New Roman"/>
          <w:sz w:val="24"/>
          <w:szCs w:val="24"/>
        </w:rPr>
        <w:t>.</w:t>
      </w:r>
    </w:p>
    <w:p w14:paraId="797F9578" w14:textId="77777777" w:rsidR="00AC212B" w:rsidRPr="00930237" w:rsidRDefault="00AC212B" w:rsidP="007545BD">
      <w:pPr>
        <w:pStyle w:val="Normal1"/>
        <w:numPr>
          <w:ilvl w:val="0"/>
          <w:numId w:val="60"/>
        </w:numPr>
        <w:spacing w:line="240" w:lineRule="auto"/>
        <w:ind w:left="567" w:hanging="567"/>
        <w:contextualSpacing/>
        <w:jc w:val="both"/>
        <w:rPr>
          <w:rFonts w:ascii="Times New Roman" w:hAnsi="Times New Roman" w:cs="Times New Roman"/>
          <w:sz w:val="24"/>
          <w:szCs w:val="24"/>
          <w:lang w:eastAsia="lv-LV" w:bidi="lv-LV"/>
        </w:rPr>
      </w:pPr>
      <w:r w:rsidRPr="00930237">
        <w:rPr>
          <w:rFonts w:ascii="Times New Roman" w:hAnsi="Times New Roman" w:cs="Times New Roman"/>
          <w:b/>
          <w:sz w:val="24"/>
          <w:szCs w:val="24"/>
        </w:rPr>
        <w:t>Mērķteritorijas, t.sk. plānotais teritoriālo rīku izmantojums</w:t>
      </w:r>
      <w:r w:rsidRPr="00930237">
        <w:rPr>
          <w:rFonts w:ascii="Times New Roman" w:hAnsi="Times New Roman" w:cs="Times New Roman"/>
          <w:sz w:val="24"/>
          <w:szCs w:val="24"/>
        </w:rPr>
        <w:t xml:space="preserve">: </w:t>
      </w:r>
      <w:r w:rsidRPr="00930237">
        <w:rPr>
          <w:rFonts w:ascii="Times New Roman" w:hAnsi="Times New Roman" w:cs="Times New Roman"/>
          <w:sz w:val="24"/>
          <w:szCs w:val="24"/>
          <w:lang w:eastAsia="lv-LV" w:bidi="lv-LV"/>
        </w:rPr>
        <w:t>Visa Latvija.</w:t>
      </w:r>
      <w:r w:rsidRPr="00930237">
        <w:rPr>
          <w:rFonts w:ascii="Times New Roman" w:hAnsi="Times New Roman" w:cs="Times New Roman"/>
          <w:sz w:val="24"/>
          <w:szCs w:val="24"/>
        </w:rPr>
        <w:t xml:space="preserve"> </w:t>
      </w:r>
      <w:r w:rsidRPr="00930237">
        <w:rPr>
          <w:rFonts w:ascii="Times New Roman" w:hAnsi="Times New Roman" w:cs="Times New Roman"/>
          <w:sz w:val="24"/>
          <w:szCs w:val="24"/>
          <w:lang w:eastAsia="lv-LV" w:bidi="lv-LV"/>
        </w:rPr>
        <w:t>Pasākuma ietvaros plānoti pieredzes apmaiņas pasākumi starp Latvijas un ārvalstu ekspertiem, kas darbojas nediskriminācijas jomā.</w:t>
      </w:r>
    </w:p>
    <w:p w14:paraId="2E960725" w14:textId="39CCF49F" w:rsidR="00AC212B" w:rsidRPr="00A86105" w:rsidRDefault="00AC212B" w:rsidP="007545BD">
      <w:pPr>
        <w:pStyle w:val="Normal1"/>
        <w:numPr>
          <w:ilvl w:val="0"/>
          <w:numId w:val="60"/>
        </w:numPr>
        <w:spacing w:line="240" w:lineRule="auto"/>
        <w:ind w:left="567" w:hanging="567"/>
        <w:contextualSpacing/>
        <w:jc w:val="both"/>
        <w:rPr>
          <w:rFonts w:ascii="Times New Roman" w:hAnsi="Times New Roman" w:cs="Times New Roman"/>
          <w:sz w:val="24"/>
          <w:szCs w:val="24"/>
        </w:rPr>
      </w:pPr>
      <w:r w:rsidRPr="00A86105">
        <w:rPr>
          <w:rFonts w:ascii="Times New Roman" w:hAnsi="Times New Roman" w:cs="Times New Roman"/>
          <w:b/>
          <w:sz w:val="24"/>
          <w:szCs w:val="24"/>
        </w:rPr>
        <w:t>Starpreģionālās, pārrobežu un transnacionālās darbības:</w:t>
      </w:r>
      <w:r w:rsidRPr="00A86105">
        <w:rPr>
          <w:rFonts w:ascii="Times New Roman" w:hAnsi="Times New Roman" w:cs="Times New Roman"/>
          <w:sz w:val="24"/>
          <w:szCs w:val="24"/>
        </w:rPr>
        <w:t xml:space="preserve"> </w:t>
      </w:r>
      <w:r w:rsidR="005670B4" w:rsidRPr="00A86105">
        <w:rPr>
          <w:rFonts w:ascii="Times New Roman" w:hAnsi="Times New Roman" w:cs="Times New Roman"/>
          <w:sz w:val="24"/>
          <w:szCs w:val="24"/>
        </w:rPr>
        <w:t>4.3.4.SAM ietvaros tiks īstenoti dzimumu līdztiesības un vienlīdzīgu iespēju veicināšanas pasākumi, uzlabojot nodarbinātību, veicinot sabiedrības izpratni par diskriminācijas novēršanu un savu tiesību īstenošanu, kā arī atbalsts ģimenes un darba dzīves saskaņošanas iespēju pilnveidošanai, kā arī DP visu SAM īstenošanā tiks veicināta vienlīdzīgu iespēju un nediskriminācijas horizontālā principa ievērošana, nediskriminācija pēc vecuma, invaliditātes, dzimuma, etniskās piederības u.c. pazīmēm, informācijas un vides pieejamība, kas kopumā sniegs ieguldījumu dzimumu līdztiesības principa kā ESSBJR caurvijoša principa īstenošanā.</w:t>
      </w:r>
      <w:r w:rsidR="00A86105" w:rsidRPr="00A86105">
        <w:rPr>
          <w:rFonts w:ascii="Times New Roman" w:hAnsi="Times New Roman" w:cs="Times New Roman"/>
          <w:sz w:val="24"/>
          <w:szCs w:val="24"/>
        </w:rPr>
        <w:t xml:space="preserve"> </w:t>
      </w:r>
      <w:r w:rsidR="005670B4" w:rsidRPr="00A86105">
        <w:rPr>
          <w:rFonts w:ascii="Times New Roman" w:hAnsi="Times New Roman" w:cs="Times New Roman"/>
          <w:sz w:val="24"/>
          <w:szCs w:val="24"/>
        </w:rPr>
        <w:t>Intervenci var īstenot citā ES dalībvalstī, kā arī ārpus ES, ja darbība veicina konkrētā mērķa sasniegšanu. Sadarbību ar ieinteresētajām pusēm vienā vai vairākās citās valstīs var integrēt projektā, lai stiprinātu darbu pie projekta mērķiem. Sadarbību ar ieinteresētajām pusēm vienā vai vairākās citās valstīs var arī ietvert kā papildinājumu īstenošanā jau esošam projektam, lai veicinātu projekta mērķu sasniegšanu. Abus iespējamos variantus var izmantot saskaņā ar tādām stratēģijām, kā piemēram, Agenda 2030 vai ESSBJR.</w:t>
      </w:r>
    </w:p>
    <w:p w14:paraId="4C9CD54E" w14:textId="32D5441D" w:rsidR="00AC212B" w:rsidRPr="00930237" w:rsidRDefault="0002461B" w:rsidP="007545BD">
      <w:pPr>
        <w:pStyle w:val="Normal1"/>
        <w:numPr>
          <w:ilvl w:val="0"/>
          <w:numId w:val="60"/>
        </w:numPr>
        <w:spacing w:line="240" w:lineRule="auto"/>
        <w:ind w:left="567" w:hanging="567"/>
        <w:contextualSpacing/>
        <w:jc w:val="both"/>
        <w:rPr>
          <w:rFonts w:ascii="Times New Roman" w:eastAsia="Times New Roman" w:hAnsi="Times New Roman" w:cs="Times New Roman"/>
          <w:sz w:val="24"/>
          <w:szCs w:val="24"/>
        </w:rPr>
      </w:pPr>
      <w:r>
        <w:rPr>
          <w:rFonts w:ascii="Times New Roman" w:hAnsi="Times New Roman" w:cs="Times New Roman"/>
          <w:b/>
          <w:sz w:val="24"/>
          <w:szCs w:val="24"/>
        </w:rPr>
        <w:t>F</w:t>
      </w:r>
      <w:r w:rsidR="00AC212B" w:rsidRPr="00930237">
        <w:rPr>
          <w:rFonts w:ascii="Times New Roman" w:hAnsi="Times New Roman" w:cs="Times New Roman"/>
          <w:b/>
          <w:sz w:val="24"/>
          <w:szCs w:val="24"/>
        </w:rPr>
        <w:t>inanšu instrumenti:</w:t>
      </w:r>
      <w:r w:rsidR="00AC212B" w:rsidRPr="00930237">
        <w:rPr>
          <w:rFonts w:ascii="Times New Roman" w:hAnsi="Times New Roman" w:cs="Times New Roman"/>
          <w:sz w:val="24"/>
          <w:szCs w:val="24"/>
        </w:rPr>
        <w:t xml:space="preserve"> N/A</w:t>
      </w:r>
    </w:p>
    <w:p w14:paraId="37AFFA63" w14:textId="77777777" w:rsidR="00AC212B" w:rsidRPr="00930237" w:rsidRDefault="00AC212B" w:rsidP="00A52484">
      <w:pPr>
        <w:spacing w:before="0" w:after="0"/>
        <w:ind w:left="567" w:hanging="567"/>
        <w:rPr>
          <w:rFonts w:eastAsia="Times New Roman"/>
          <w:noProof/>
          <w:sz w:val="20"/>
        </w:rPr>
      </w:pPr>
    </w:p>
    <w:p w14:paraId="752574C3" w14:textId="77777777" w:rsidR="00AC212B" w:rsidRPr="00930237" w:rsidRDefault="00AC212B" w:rsidP="00AC212B">
      <w:pPr>
        <w:spacing w:before="0" w:after="0"/>
        <w:rPr>
          <w:rFonts w:eastAsia="Times New Roman"/>
          <w:noProof/>
          <w:sz w:val="20"/>
        </w:rPr>
      </w:pPr>
    </w:p>
    <w:p w14:paraId="38FD6403" w14:textId="1EEAD583" w:rsidR="00AC212B" w:rsidRPr="00930237" w:rsidRDefault="00AC212B" w:rsidP="00AC212B">
      <w:pPr>
        <w:pStyle w:val="Heading4"/>
        <w:numPr>
          <w:ilvl w:val="0"/>
          <w:numId w:val="0"/>
        </w:numPr>
        <w:shd w:val="clear" w:color="auto" w:fill="FBE4D5" w:themeFill="accent2" w:themeFillTint="33"/>
        <w:spacing w:after="0"/>
        <w:rPr>
          <w:b/>
          <w:noProof/>
          <w:color w:val="FF0000"/>
          <w:szCs w:val="24"/>
        </w:rPr>
      </w:pPr>
      <w:r w:rsidRPr="00930237">
        <w:rPr>
          <w:b/>
          <w:noProof/>
        </w:rPr>
        <w:t>4.3.5.SAM “</w:t>
      </w:r>
      <w:r w:rsidRPr="00930237">
        <w:rPr>
          <w:b/>
          <w:szCs w:val="24"/>
          <w:shd w:val="clear" w:color="auto" w:fill="FBE4D5" w:themeFill="accent2" w:themeFillTint="33"/>
        </w:rPr>
        <w:t>Uzlabot vienlīdzīgu un savlaicīgu piekļuvi kvalitatīviem, ilgtspējīgiem un izmaksu ziņā pieejamiem pakalpojumiem; pilnveidot sociālās aizsardzības sistēm</w:t>
      </w:r>
      <w:r w:rsidR="001A72F0">
        <w:rPr>
          <w:b/>
          <w:szCs w:val="24"/>
          <w:shd w:val="clear" w:color="auto" w:fill="FBE4D5" w:themeFill="accent2" w:themeFillTint="33"/>
        </w:rPr>
        <w:t>as</w:t>
      </w:r>
      <w:r w:rsidRPr="00930237">
        <w:rPr>
          <w:b/>
          <w:szCs w:val="24"/>
          <w:shd w:val="clear" w:color="auto" w:fill="FBE4D5" w:themeFill="accent2" w:themeFillTint="33"/>
        </w:rPr>
        <w:t>, tostarp veicināt sociālās aizsardzības pieejamību; uzlabot ilgtermiņa aprūpes pakalpojumu pieejamību, efektivitāti un izturētspēju”</w:t>
      </w:r>
    </w:p>
    <w:p w14:paraId="6BF294A3" w14:textId="4708721C" w:rsidR="00AC212B" w:rsidRPr="006750B5" w:rsidRDefault="00AC212B" w:rsidP="007545BD">
      <w:pPr>
        <w:pStyle w:val="ListParagraph"/>
        <w:numPr>
          <w:ilvl w:val="0"/>
          <w:numId w:val="60"/>
        </w:numPr>
        <w:spacing w:after="0" w:line="240" w:lineRule="auto"/>
        <w:ind w:left="567" w:hanging="567"/>
        <w:jc w:val="both"/>
        <w:rPr>
          <w:rFonts w:ascii="Times New Roman" w:eastAsia="Calibri" w:hAnsi="Times New Roman" w:cs="Times New Roman"/>
          <w:bCs/>
          <w:sz w:val="24"/>
          <w:szCs w:val="24"/>
        </w:rPr>
      </w:pPr>
      <w:r w:rsidRPr="006750B5">
        <w:rPr>
          <w:rFonts w:ascii="Times New Roman" w:eastAsia="Times New Roman" w:hAnsi="Times New Roman" w:cs="Times New Roman"/>
          <w:b/>
          <w:noProof/>
          <w:sz w:val="24"/>
          <w:szCs w:val="24"/>
        </w:rPr>
        <w:t>Atbalstāmās darbības</w:t>
      </w:r>
      <w:r w:rsidRPr="006750B5">
        <w:rPr>
          <w:rFonts w:ascii="Times New Roman" w:eastAsia="Times New Roman" w:hAnsi="Times New Roman" w:cs="Times New Roman"/>
          <w:noProof/>
          <w:sz w:val="24"/>
          <w:szCs w:val="24"/>
        </w:rPr>
        <w:t xml:space="preserve">: </w:t>
      </w:r>
      <w:r w:rsidR="009E0CCF" w:rsidRPr="006750B5">
        <w:rPr>
          <w:rFonts w:ascii="Times New Roman" w:eastAsia="Calibri" w:hAnsi="Times New Roman" w:cs="Times New Roman"/>
          <w:bCs/>
          <w:iCs/>
          <w:sz w:val="24"/>
          <w:szCs w:val="24"/>
        </w:rPr>
        <w:t xml:space="preserve">Sabiedrībā balstītu sociālo pakalpojumu pieejamības palielināšanai atbilstoši individuālajām vajadzībām plānota atbalsta dažādošana aprūpes nodrošināšanai cilvēka dzīvesvietā un tehnoloģiju pakalpojumu nodrošināšanā. Atbalsta pasākumi aprūpes tīkla attīstībai – ģimenes locekļiem, kuri aprūpē ilgstoši slimojošus tuviniekus, neformālajiem aprūpētājiem, ģimenēm ar ierobežotu atbalsta tīklu, piemēram, vecākiem ar garīga rakstura traucējumiem, sociālo pakalpojumu sniedzējiem, t.sk. konsultācijas, individuāls atbalsts, mācības, rokasgrāmata atbalsta sniegšanai, atbalsta grupas, brīvprātīgā darba veicēju iesaiste atbalsta sniegšanā. Pakalpojumu efektivitātes nodrošināšanai plānota sistēmas pilnveide, paredzot pakalpojumu efektivitātes sistēmisko aprakstu, jaunu pakalpojumu ieviešanu, kritēriju kopuma izstrādi/aprobēšanu pakalpojumu kvalitātes uzraudzībai, rezultātu sasniegšanas novērtēšanai, priekšlikumu izstrādi sociālo pakalpojumu satura un prasību pilnveidei, un nepieciešamos uzlabojumus datu uzkrāšanai informācijas sistēmās. </w:t>
      </w:r>
    </w:p>
    <w:p w14:paraId="543D3157" w14:textId="75D7E149" w:rsidR="00AC212B" w:rsidRPr="006750B5" w:rsidRDefault="004F6BE8" w:rsidP="007545BD">
      <w:pPr>
        <w:pStyle w:val="ListParagraph"/>
        <w:numPr>
          <w:ilvl w:val="0"/>
          <w:numId w:val="60"/>
        </w:numPr>
        <w:spacing w:after="0" w:line="240" w:lineRule="auto"/>
        <w:ind w:left="567" w:hanging="567"/>
        <w:jc w:val="both"/>
        <w:rPr>
          <w:rFonts w:ascii="Times New Roman" w:eastAsia="Calibri" w:hAnsi="Times New Roman" w:cs="Times New Roman"/>
          <w:bCs/>
          <w:sz w:val="24"/>
          <w:szCs w:val="24"/>
        </w:rPr>
      </w:pPr>
      <w:r w:rsidRPr="006750B5">
        <w:rPr>
          <w:rFonts w:ascii="Times New Roman" w:eastAsia="Calibri" w:hAnsi="Times New Roman" w:cs="Times New Roman"/>
          <w:iCs/>
          <w:sz w:val="24"/>
          <w:szCs w:val="24"/>
        </w:rPr>
        <w:t>Lai nodrošinātu paliatīvās aprūpes pakalpojuma pilnveidi, paaugstinot tā pieejamību pilngadīgām personām, kuru izārstēšana vairs nav iespējama (paliatīvās aprūpes pacientiem) un nodrošinot atbalstu viņu ģimenes locekļiem, paredzēta multidisciplināras un starpnozaru paliatīvās aprūpes dzīvesvietā sistēmas izveide/ieviešana, t.sk. aprūpes mājās, atelpas brīža un multidisciplināras komandas pakalpojuma izveide/aprobēšana, psiholoģiskā un sociālā atbalsta sniegšana ģimenes locekļiem, mācības paliatīvās aprūpes veikšanā ģimenes locekļiem un sociālo pakalpojumu sniedzēju speciālistiem, kovīzijas un supervīzijas sociālo pakalpojumu speciālistiem, brīvprātīgo darbinieku iesaiste</w:t>
      </w:r>
      <w:r w:rsidR="00AC212B" w:rsidRPr="006750B5">
        <w:rPr>
          <w:rFonts w:ascii="Times New Roman" w:eastAsia="Calibri" w:hAnsi="Times New Roman" w:cs="Times New Roman"/>
          <w:bCs/>
          <w:sz w:val="24"/>
          <w:szCs w:val="24"/>
        </w:rPr>
        <w:t>.</w:t>
      </w:r>
    </w:p>
    <w:p w14:paraId="4A9AC7D2" w14:textId="6428DCC9" w:rsidR="00AC212B" w:rsidRPr="006750B5" w:rsidRDefault="007E2C73" w:rsidP="007545BD">
      <w:pPr>
        <w:pStyle w:val="ListParagraph"/>
        <w:numPr>
          <w:ilvl w:val="0"/>
          <w:numId w:val="60"/>
        </w:numPr>
        <w:spacing w:after="0" w:line="240" w:lineRule="auto"/>
        <w:ind w:left="567" w:hanging="567"/>
        <w:jc w:val="both"/>
        <w:rPr>
          <w:rFonts w:ascii="Times New Roman" w:eastAsia="Calibri" w:hAnsi="Times New Roman" w:cs="Times New Roman"/>
          <w:bCs/>
          <w:sz w:val="24"/>
          <w:szCs w:val="24"/>
        </w:rPr>
      </w:pPr>
      <w:r w:rsidRPr="006750B5">
        <w:rPr>
          <w:rFonts w:ascii="Times New Roman" w:eastAsia="Calibri" w:hAnsi="Times New Roman" w:cs="Times New Roman"/>
          <w:bCs/>
          <w:iCs/>
          <w:sz w:val="24"/>
          <w:szCs w:val="24"/>
        </w:rPr>
        <w:t>Sociālā darba attīstības nodrošināšanai plānoti informatīvi pasākumi sabiedrībai, vienotas metodiskās izpratnes un prakses veidošanai sociālajā jomā strādājošajiem</w:t>
      </w:r>
      <w:r w:rsidR="00C45F5A">
        <w:rPr>
          <w:rFonts w:ascii="Times New Roman" w:eastAsia="Calibri" w:hAnsi="Times New Roman" w:cs="Times New Roman"/>
          <w:bCs/>
          <w:iCs/>
          <w:sz w:val="24"/>
          <w:szCs w:val="24"/>
        </w:rPr>
        <w:t>, t</w:t>
      </w:r>
      <w:r w:rsidR="00301B0F">
        <w:rPr>
          <w:rFonts w:ascii="Times New Roman" w:eastAsia="Calibri" w:hAnsi="Times New Roman" w:cs="Times New Roman"/>
          <w:bCs/>
          <w:iCs/>
          <w:sz w:val="24"/>
          <w:szCs w:val="24"/>
        </w:rPr>
        <w:t>.</w:t>
      </w:r>
      <w:r w:rsidR="00C45F5A">
        <w:rPr>
          <w:rFonts w:ascii="Times New Roman" w:eastAsia="Calibri" w:hAnsi="Times New Roman" w:cs="Times New Roman"/>
          <w:bCs/>
          <w:iCs/>
          <w:sz w:val="24"/>
          <w:szCs w:val="24"/>
        </w:rPr>
        <w:t>sk</w:t>
      </w:r>
      <w:r w:rsidR="00301B0F">
        <w:rPr>
          <w:rFonts w:ascii="Times New Roman" w:eastAsia="Calibri" w:hAnsi="Times New Roman" w:cs="Times New Roman"/>
          <w:bCs/>
          <w:iCs/>
          <w:sz w:val="24"/>
          <w:szCs w:val="24"/>
        </w:rPr>
        <w:t>.</w:t>
      </w:r>
      <w:r w:rsidR="00C45F5A">
        <w:rPr>
          <w:rFonts w:ascii="Times New Roman" w:eastAsia="Calibri" w:hAnsi="Times New Roman" w:cs="Times New Roman"/>
          <w:bCs/>
          <w:iCs/>
          <w:sz w:val="24"/>
          <w:szCs w:val="24"/>
        </w:rPr>
        <w:t xml:space="preserve"> atbalsta personālam, piemēram, aprūpētājiem,</w:t>
      </w:r>
      <w:r w:rsidRPr="006750B5">
        <w:rPr>
          <w:rFonts w:ascii="Times New Roman" w:eastAsia="Calibri" w:hAnsi="Times New Roman" w:cs="Times New Roman"/>
          <w:bCs/>
          <w:iCs/>
          <w:sz w:val="24"/>
          <w:szCs w:val="24"/>
        </w:rPr>
        <w:t xml:space="preserve"> un starpinstitucionālas sadarbības veicināšanai </w:t>
      </w:r>
      <w:r w:rsidR="00C45F5A">
        <w:rPr>
          <w:rFonts w:ascii="Times New Roman" w:eastAsia="Calibri" w:hAnsi="Times New Roman" w:cs="Times New Roman"/>
          <w:bCs/>
          <w:iCs/>
          <w:sz w:val="24"/>
          <w:szCs w:val="24"/>
        </w:rPr>
        <w:t xml:space="preserve">kvalitatīvu </w:t>
      </w:r>
      <w:r w:rsidRPr="006750B5">
        <w:rPr>
          <w:rFonts w:ascii="Times New Roman" w:eastAsia="Calibri" w:hAnsi="Times New Roman" w:cs="Times New Roman"/>
          <w:bCs/>
          <w:iCs/>
          <w:sz w:val="24"/>
          <w:szCs w:val="24"/>
        </w:rPr>
        <w:t xml:space="preserve">sociālo pakalpojumu attīstībai. Paredzēta profesionāla atbalsta tīkla izveide sociālā darba kvalitatīvai attīstībai, atbalstot jaunos darbiniekus un praktikantus, veidojot starpdisciplināras ekspertu komandas krīžu u.c. sarežģītu situāciju risināšanai. Sociālo darbinieku </w:t>
      </w:r>
      <w:r w:rsidR="00C45F5A">
        <w:rPr>
          <w:rFonts w:ascii="Times New Roman" w:eastAsia="Calibri" w:hAnsi="Times New Roman" w:cs="Times New Roman"/>
          <w:bCs/>
          <w:iCs/>
          <w:sz w:val="24"/>
          <w:szCs w:val="24"/>
        </w:rPr>
        <w:t>un atbalsta personāla</w:t>
      </w:r>
      <w:r w:rsidR="00C45F5A" w:rsidRPr="006750B5">
        <w:rPr>
          <w:rFonts w:ascii="Times New Roman" w:eastAsia="Calibri" w:hAnsi="Times New Roman" w:cs="Times New Roman"/>
          <w:bCs/>
          <w:iCs/>
          <w:sz w:val="24"/>
          <w:szCs w:val="24"/>
        </w:rPr>
        <w:t xml:space="preserve"> </w:t>
      </w:r>
      <w:r w:rsidRPr="006750B5">
        <w:rPr>
          <w:rFonts w:ascii="Times New Roman" w:eastAsia="Calibri" w:hAnsi="Times New Roman" w:cs="Times New Roman"/>
          <w:bCs/>
          <w:iCs/>
          <w:sz w:val="24"/>
          <w:szCs w:val="24"/>
        </w:rPr>
        <w:t xml:space="preserve">profesionālās kompetences pilnveides mācību programmu izstrāde, t.sk. ģimenes asistentu sagatavošana, un integrēšana augstskolu programmās, </w:t>
      </w:r>
      <w:r w:rsidR="004909C3" w:rsidRPr="006750B5">
        <w:rPr>
          <w:rFonts w:ascii="Times New Roman" w:eastAsia="Calibri" w:hAnsi="Times New Roman" w:cs="Times New Roman"/>
          <w:bCs/>
          <w:iCs/>
          <w:sz w:val="24"/>
          <w:szCs w:val="24"/>
        </w:rPr>
        <w:t xml:space="preserve">stipendiju nodrošināšana sociālā darba studentiem. Aktuālu </w:t>
      </w:r>
      <w:r w:rsidRPr="006750B5">
        <w:rPr>
          <w:rFonts w:ascii="Times New Roman" w:eastAsia="Calibri" w:hAnsi="Times New Roman" w:cs="Times New Roman"/>
          <w:bCs/>
          <w:iCs/>
          <w:sz w:val="24"/>
          <w:szCs w:val="24"/>
        </w:rPr>
        <w:t>metodik</w:t>
      </w:r>
      <w:r w:rsidR="004909C3" w:rsidRPr="006750B5">
        <w:rPr>
          <w:rFonts w:ascii="Times New Roman" w:eastAsia="Calibri" w:hAnsi="Times New Roman" w:cs="Times New Roman"/>
          <w:bCs/>
          <w:iCs/>
          <w:sz w:val="24"/>
          <w:szCs w:val="24"/>
        </w:rPr>
        <w:t>u</w:t>
      </w:r>
      <w:r w:rsidRPr="006750B5">
        <w:rPr>
          <w:rFonts w:ascii="Times New Roman" w:eastAsia="Calibri" w:hAnsi="Times New Roman" w:cs="Times New Roman"/>
          <w:bCs/>
          <w:iCs/>
          <w:sz w:val="24"/>
          <w:szCs w:val="24"/>
        </w:rPr>
        <w:t xml:space="preserve"> sociālajam darbam ar </w:t>
      </w:r>
      <w:r w:rsidR="004909C3" w:rsidRPr="006750B5">
        <w:rPr>
          <w:rFonts w:ascii="Times New Roman" w:eastAsia="Calibri" w:hAnsi="Times New Roman" w:cs="Times New Roman"/>
          <w:bCs/>
          <w:iCs/>
          <w:sz w:val="24"/>
          <w:szCs w:val="24"/>
        </w:rPr>
        <w:t xml:space="preserve">dažādām mērķa grupām, t.sk. </w:t>
      </w:r>
      <w:r w:rsidR="00C45F5A">
        <w:rPr>
          <w:rFonts w:ascii="Times New Roman" w:eastAsia="Calibri" w:hAnsi="Times New Roman" w:cs="Times New Roman"/>
          <w:bCs/>
          <w:iCs/>
          <w:sz w:val="24"/>
          <w:szCs w:val="24"/>
        </w:rPr>
        <w:t xml:space="preserve">sociālais darbs ar </w:t>
      </w:r>
      <w:r w:rsidRPr="006750B5">
        <w:rPr>
          <w:rFonts w:ascii="Times New Roman" w:eastAsia="Calibri" w:hAnsi="Times New Roman" w:cs="Times New Roman"/>
          <w:bCs/>
          <w:iCs/>
          <w:sz w:val="24"/>
          <w:szCs w:val="24"/>
        </w:rPr>
        <w:t>likumpārkāpējiem</w:t>
      </w:r>
      <w:r w:rsidR="00C45F5A">
        <w:rPr>
          <w:rFonts w:ascii="Times New Roman" w:eastAsia="Calibri" w:hAnsi="Times New Roman" w:cs="Times New Roman"/>
          <w:bCs/>
          <w:iCs/>
          <w:sz w:val="24"/>
          <w:szCs w:val="24"/>
        </w:rPr>
        <w:t xml:space="preserve"> un sociālais darbs ar bēgļiem un personām ar alternatīvo statusu</w:t>
      </w:r>
      <w:r w:rsidRPr="006750B5">
        <w:rPr>
          <w:rFonts w:ascii="Times New Roman" w:eastAsia="Calibri" w:hAnsi="Times New Roman" w:cs="Times New Roman"/>
          <w:bCs/>
          <w:iCs/>
          <w:sz w:val="24"/>
          <w:szCs w:val="24"/>
        </w:rPr>
        <w:t xml:space="preserve"> izstrāde un aprobācija</w:t>
      </w:r>
      <w:r w:rsidR="005670B4">
        <w:rPr>
          <w:rFonts w:ascii="Times New Roman" w:eastAsia="Calibri" w:hAnsi="Times New Roman" w:cs="Times New Roman"/>
          <w:bCs/>
          <w:iCs/>
          <w:sz w:val="24"/>
          <w:szCs w:val="24"/>
        </w:rPr>
        <w:t>,</w:t>
      </w:r>
      <w:r w:rsidRPr="006750B5">
        <w:rPr>
          <w:rFonts w:ascii="Times New Roman" w:eastAsia="Calibri" w:hAnsi="Times New Roman" w:cs="Times New Roman"/>
          <w:bCs/>
          <w:iCs/>
          <w:sz w:val="24"/>
          <w:szCs w:val="24"/>
        </w:rPr>
        <w:t xml:space="preserve"> neformālo klātienes un e-mācību attīstīšana un realizācija</w:t>
      </w:r>
      <w:r w:rsidR="004909C3" w:rsidRPr="006750B5">
        <w:rPr>
          <w:rFonts w:ascii="Times New Roman" w:eastAsia="Calibri" w:hAnsi="Times New Roman" w:cs="Times New Roman"/>
          <w:bCs/>
          <w:iCs/>
          <w:sz w:val="24"/>
          <w:szCs w:val="24"/>
        </w:rPr>
        <w:t>.</w:t>
      </w:r>
      <w:r w:rsidR="005670B4">
        <w:rPr>
          <w:rFonts w:ascii="Times New Roman" w:eastAsia="Calibri" w:hAnsi="Times New Roman" w:cs="Times New Roman"/>
          <w:bCs/>
          <w:iCs/>
          <w:sz w:val="24"/>
          <w:szCs w:val="24"/>
        </w:rPr>
        <w:t xml:space="preserve"> </w:t>
      </w:r>
      <w:r w:rsidR="004909C3" w:rsidRPr="006750B5">
        <w:rPr>
          <w:rFonts w:ascii="Times New Roman" w:eastAsia="Calibri" w:hAnsi="Times New Roman" w:cs="Times New Roman"/>
          <w:bCs/>
          <w:iCs/>
          <w:sz w:val="24"/>
          <w:szCs w:val="24"/>
        </w:rPr>
        <w:t>Finansiāls a</w:t>
      </w:r>
      <w:r w:rsidRPr="006750B5">
        <w:rPr>
          <w:rFonts w:ascii="Times New Roman" w:eastAsia="Calibri" w:hAnsi="Times New Roman" w:cs="Times New Roman"/>
          <w:bCs/>
          <w:iCs/>
          <w:sz w:val="24"/>
          <w:szCs w:val="24"/>
        </w:rPr>
        <w:t>tbalsts sociālajiem darbiniekiem, kuri apgūst supervizora profesiju, un supervīziju nodrošināšanai sociālā darba speciālistiem pašvaldībās. Ex-post projekta rezultātu izvērtējums</w:t>
      </w:r>
      <w:r w:rsidR="004909C3" w:rsidRPr="006750B5">
        <w:rPr>
          <w:rFonts w:ascii="Times New Roman" w:eastAsia="Calibri" w:hAnsi="Times New Roman" w:cs="Times New Roman"/>
          <w:bCs/>
          <w:iCs/>
          <w:sz w:val="24"/>
          <w:szCs w:val="24"/>
        </w:rPr>
        <w:t>,</w:t>
      </w:r>
      <w:r w:rsidR="004909C3" w:rsidRPr="006750B5">
        <w:t xml:space="preserve"> </w:t>
      </w:r>
      <w:r w:rsidR="004909C3" w:rsidRPr="006750B5">
        <w:rPr>
          <w:rFonts w:ascii="Times New Roman" w:eastAsia="Calibri" w:hAnsi="Times New Roman" w:cs="Times New Roman"/>
          <w:bCs/>
          <w:iCs/>
          <w:sz w:val="24"/>
          <w:szCs w:val="24"/>
        </w:rPr>
        <w:t>ie</w:t>
      </w:r>
      <w:r w:rsidR="007C63B9" w:rsidRPr="006750B5">
        <w:rPr>
          <w:rFonts w:ascii="Times New Roman" w:eastAsia="Calibri" w:hAnsi="Times New Roman" w:cs="Times New Roman"/>
          <w:bCs/>
          <w:iCs/>
          <w:sz w:val="24"/>
          <w:szCs w:val="24"/>
        </w:rPr>
        <w:t>tver</w:t>
      </w:r>
      <w:r w:rsidR="004909C3" w:rsidRPr="006750B5">
        <w:rPr>
          <w:rFonts w:ascii="Times New Roman" w:eastAsia="Calibri" w:hAnsi="Times New Roman" w:cs="Times New Roman"/>
          <w:bCs/>
          <w:iCs/>
          <w:sz w:val="24"/>
          <w:szCs w:val="24"/>
        </w:rPr>
        <w:t xml:space="preserve">ot jautājumus par aktuālo sociālā darba attīstības problemātiku un </w:t>
      </w:r>
      <w:r w:rsidR="007C63B9" w:rsidRPr="006750B5">
        <w:rPr>
          <w:rFonts w:ascii="Times New Roman" w:eastAsia="Calibri" w:hAnsi="Times New Roman" w:cs="Times New Roman"/>
          <w:bCs/>
          <w:iCs/>
          <w:sz w:val="24"/>
          <w:szCs w:val="24"/>
        </w:rPr>
        <w:t>nākotnes</w:t>
      </w:r>
      <w:r w:rsidR="005670B4">
        <w:rPr>
          <w:rFonts w:ascii="Times New Roman" w:eastAsia="Calibri" w:hAnsi="Times New Roman" w:cs="Times New Roman"/>
          <w:bCs/>
          <w:iCs/>
          <w:sz w:val="24"/>
          <w:szCs w:val="24"/>
        </w:rPr>
        <w:t xml:space="preserve"> </w:t>
      </w:r>
      <w:r w:rsidR="004909C3" w:rsidRPr="006750B5">
        <w:rPr>
          <w:rFonts w:ascii="Times New Roman" w:eastAsia="Calibri" w:hAnsi="Times New Roman" w:cs="Times New Roman"/>
          <w:bCs/>
          <w:iCs/>
          <w:sz w:val="24"/>
          <w:szCs w:val="24"/>
        </w:rPr>
        <w:t>izaicinājumiem</w:t>
      </w:r>
      <w:r w:rsidR="00AC212B" w:rsidRPr="006750B5">
        <w:rPr>
          <w:rFonts w:ascii="Times New Roman" w:eastAsia="Calibri" w:hAnsi="Times New Roman" w:cs="Times New Roman"/>
          <w:bCs/>
          <w:sz w:val="24"/>
          <w:szCs w:val="24"/>
        </w:rPr>
        <w:t>.</w:t>
      </w:r>
    </w:p>
    <w:p w14:paraId="2EF0AEBD" w14:textId="585E5CED" w:rsidR="00AC212B" w:rsidRPr="006750B5"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6750B5">
        <w:rPr>
          <w:rFonts w:ascii="Times New Roman" w:eastAsia="Calibri" w:hAnsi="Times New Roman" w:cs="Times New Roman"/>
          <w:b/>
          <w:sz w:val="24"/>
          <w:szCs w:val="24"/>
        </w:rPr>
        <w:t>Vienlīdzīgas pieejas tiesiskumam</w:t>
      </w:r>
      <w:r w:rsidRPr="006750B5">
        <w:rPr>
          <w:rFonts w:ascii="Times New Roman" w:eastAsia="Calibri" w:hAnsi="Times New Roman" w:cs="Times New Roman"/>
          <w:sz w:val="24"/>
          <w:szCs w:val="24"/>
        </w:rPr>
        <w:t xml:space="preserve"> neesamība, juridisko problēmu savlaicīga nerisināšana būtiski palielina sociālās atstumtības un nabadzības risku, ietekmē personas materiālo un fizisko stāvokli. Tas var atstāt ietekmi uz veselību, nodarbinātību, produktivitāti, ģimenes stabilitāti, izglītības iespējām bērniem, paaugstinot vardarbības riskus. Atbalsts plānots </w:t>
      </w:r>
      <w:r w:rsidRPr="006750B5">
        <w:rPr>
          <w:rFonts w:ascii="Times New Roman" w:hAnsi="Times New Roman" w:cs="Times New Roman"/>
          <w:sz w:val="24"/>
          <w:szCs w:val="24"/>
        </w:rPr>
        <w:t>valsts nodrošinātās juridiskās palīdzības sistēmas reformēšanai un efektivizēšanai, kas vērsta uz mazaizsargāto un cietušo personu atbalstu, nodrošinot minēto personu savlaicīgu pieeju tiesiskumam, rodot risinājumus savlaicīgai juridisko problēmu konstatēšanai un atrisināšanai; esošu un jaunu informācijas tehnoloģiju un digitālo risinājumu attīstīšanai, nolūkā efektīvāk nodrošināt sociāli mazaizsargāto personu tiesības, tostarp iestāžu savstarpējās sadarbības efektivizēšanu. Plānoti mērķgrupas informēšanas pasākumi par valsts nodrošinātās juridiskās palīdzības pakalpojumu saņemšanu, mērķgrupas kompetences un izpratnes par nozīmīgumu savlaicīgi risināt juridiska rakstura strīdus paaugstināšanai, valsts nodrošinātās juridiskās palīdzības sistēmā iesaistīto personu apmācībām, kompetenču un prasmju līmeņa paaugstināšanai.</w:t>
      </w:r>
    </w:p>
    <w:p w14:paraId="626C4E44" w14:textId="46B8870D" w:rsidR="00AC212B" w:rsidRPr="006750B5"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6750B5">
        <w:rPr>
          <w:rFonts w:ascii="Times New Roman" w:hAnsi="Times New Roman" w:cs="Times New Roman"/>
          <w:b/>
          <w:noProof/>
          <w:sz w:val="24"/>
          <w:szCs w:val="24"/>
        </w:rPr>
        <w:t xml:space="preserve">Galvenās mērķgrupas: </w:t>
      </w:r>
      <w:r w:rsidR="00B53181" w:rsidRPr="006750B5">
        <w:rPr>
          <w:rFonts w:ascii="Times New Roman" w:hAnsi="Times New Roman" w:cs="Times New Roman"/>
          <w:bCs/>
          <w:noProof/>
          <w:sz w:val="24"/>
          <w:szCs w:val="24"/>
        </w:rPr>
        <w:t>Sociālās atstumtības riskam pakļautās mērķa grupas: cilvēki ar funkcionāliem traucējumiem vai invaliditāti, t.sk. cilvēki ar garīga rakstura traucējumiemun bērni ar funkcionāliem traucējumiem, cilvēki pensijas vecumā, t.sk. ar demenci, viņu ģimenes locekļi/neformālie aprūpētāji, bezpajumtnieki, ielu bērni un jaunieši, no atkarību vielām un procesiem atkarīgas personas, ilgstošie bezdarbnieki, personas, kuras atbrīvotas no ieslodzījuma vietas, probācijas klienti, personas, kuras ieguvušas bēgļa vai alternatīvās personas statusu</w:t>
      </w:r>
      <w:r w:rsidR="004909C3" w:rsidRPr="006750B5">
        <w:rPr>
          <w:rFonts w:ascii="Times New Roman" w:hAnsi="Times New Roman" w:cs="Times New Roman"/>
          <w:bCs/>
          <w:noProof/>
          <w:sz w:val="24"/>
          <w:szCs w:val="24"/>
        </w:rPr>
        <w:t xml:space="preserve"> u.c</w:t>
      </w:r>
      <w:r w:rsidR="00B53181" w:rsidRPr="006750B5">
        <w:rPr>
          <w:rFonts w:ascii="Times New Roman" w:hAnsi="Times New Roman" w:cs="Times New Roman"/>
          <w:bCs/>
          <w:noProof/>
          <w:sz w:val="24"/>
          <w:szCs w:val="24"/>
        </w:rPr>
        <w:t xml:space="preserve">. Pilngadīgas personas, kuru izārstēšana vairs nav iespējama (paliatīvās aprūpes pacienti) un viņu ģimenes locekļi/neformālie aprūpētāji. Sociālo pakalpojumu sniedzēji, </w:t>
      </w:r>
      <w:r w:rsidR="005670B4">
        <w:rPr>
          <w:rFonts w:ascii="Times New Roman" w:hAnsi="Times New Roman" w:cs="Times New Roman"/>
          <w:bCs/>
          <w:noProof/>
          <w:sz w:val="24"/>
          <w:szCs w:val="24"/>
        </w:rPr>
        <w:t>sociālā darba speciālisti,</w:t>
      </w:r>
      <w:r w:rsidR="00C45F5A">
        <w:rPr>
          <w:rFonts w:ascii="Times New Roman" w:hAnsi="Times New Roman" w:cs="Times New Roman"/>
          <w:bCs/>
          <w:noProof/>
          <w:sz w:val="24"/>
          <w:szCs w:val="24"/>
        </w:rPr>
        <w:t xml:space="preserve"> sociālās jomas atbalsta personāls, t</w:t>
      </w:r>
      <w:r w:rsidR="003A207C">
        <w:rPr>
          <w:rFonts w:ascii="Times New Roman" w:hAnsi="Times New Roman" w:cs="Times New Roman"/>
          <w:bCs/>
          <w:noProof/>
          <w:sz w:val="24"/>
          <w:szCs w:val="24"/>
        </w:rPr>
        <w:t>.</w:t>
      </w:r>
      <w:r w:rsidR="00C45F5A">
        <w:rPr>
          <w:rFonts w:ascii="Times New Roman" w:hAnsi="Times New Roman" w:cs="Times New Roman"/>
          <w:bCs/>
          <w:noProof/>
          <w:sz w:val="24"/>
          <w:szCs w:val="24"/>
        </w:rPr>
        <w:t>sk</w:t>
      </w:r>
      <w:r w:rsidR="003A207C">
        <w:rPr>
          <w:rFonts w:ascii="Times New Roman" w:hAnsi="Times New Roman" w:cs="Times New Roman"/>
          <w:bCs/>
          <w:noProof/>
          <w:sz w:val="24"/>
          <w:szCs w:val="24"/>
        </w:rPr>
        <w:t>.</w:t>
      </w:r>
      <w:r w:rsidR="00C45F5A">
        <w:rPr>
          <w:rFonts w:ascii="Times New Roman" w:hAnsi="Times New Roman" w:cs="Times New Roman"/>
          <w:bCs/>
          <w:noProof/>
          <w:sz w:val="24"/>
          <w:szCs w:val="24"/>
        </w:rPr>
        <w:t xml:space="preserve"> aprūpētāji,</w:t>
      </w:r>
      <w:r w:rsidR="005670B4">
        <w:rPr>
          <w:rFonts w:ascii="Times New Roman" w:hAnsi="Times New Roman" w:cs="Times New Roman"/>
          <w:bCs/>
          <w:noProof/>
          <w:sz w:val="24"/>
          <w:szCs w:val="24"/>
        </w:rPr>
        <w:t xml:space="preserve"> </w:t>
      </w:r>
      <w:r w:rsidR="00B53181" w:rsidRPr="006750B5">
        <w:rPr>
          <w:rFonts w:ascii="Times New Roman" w:hAnsi="Times New Roman" w:cs="Times New Roman"/>
          <w:bCs/>
          <w:noProof/>
          <w:sz w:val="24"/>
          <w:szCs w:val="24"/>
        </w:rPr>
        <w:t xml:space="preserve">veselības aprūpes speciālisti, valsts nodrošinātās juridiskās palīdzības sistēmā iesaistītās personas un iestādes, NVO, supervizori, ģimenes asistenti, sociālās labklājības jomas studenti, sabiedrība, </w:t>
      </w:r>
      <w:r w:rsidR="004A58D0">
        <w:rPr>
          <w:rFonts w:ascii="Times New Roman" w:hAnsi="Times New Roman" w:cs="Times New Roman"/>
          <w:bCs/>
          <w:noProof/>
          <w:sz w:val="24"/>
          <w:szCs w:val="24"/>
        </w:rPr>
        <w:t xml:space="preserve">plānošanas reģioni, </w:t>
      </w:r>
      <w:r w:rsidR="00B53181" w:rsidRPr="006750B5">
        <w:rPr>
          <w:rFonts w:ascii="Times New Roman" w:hAnsi="Times New Roman" w:cs="Times New Roman"/>
          <w:bCs/>
          <w:noProof/>
          <w:sz w:val="24"/>
          <w:szCs w:val="24"/>
        </w:rPr>
        <w:t>pašvaldības, LM, TM, sadarbības partneri u.c</w:t>
      </w:r>
      <w:r w:rsidRPr="006750B5">
        <w:rPr>
          <w:rFonts w:ascii="Times New Roman" w:hAnsi="Times New Roman" w:cs="Times New Roman"/>
          <w:sz w:val="24"/>
          <w:szCs w:val="24"/>
        </w:rPr>
        <w:t>.</w:t>
      </w:r>
    </w:p>
    <w:p w14:paraId="70037D16" w14:textId="371FE0B7" w:rsidR="00AC212B" w:rsidRPr="006750B5"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6750B5">
        <w:rPr>
          <w:rFonts w:ascii="Times New Roman" w:hAnsi="Times New Roman" w:cs="Times New Roman"/>
          <w:b/>
          <w:sz w:val="24"/>
          <w:szCs w:val="24"/>
        </w:rPr>
        <w:t>Darbības, kas nodrošina vienlīdzību, iekļaušanu un nediskrimināciju:</w:t>
      </w:r>
      <w:r w:rsidRPr="006750B5">
        <w:rPr>
          <w:rFonts w:ascii="Times New Roman" w:hAnsi="Times New Roman" w:cs="Times New Roman"/>
          <w:noProof/>
          <w:sz w:val="24"/>
          <w:szCs w:val="24"/>
        </w:rPr>
        <w:t xml:space="preserve"> Projekta vadībā un īstenošanā tiks nodrošināta informācijas un vides pieejamība, nediskriminācija pēc vecuma, dzimuma, etniskās piederības u.c. pazīmēm, vienlīdzīgu iespēju principu ievērošana u.c. pasākumi. Īstenotie pasākumi ir mērķdarbības, kas nodrošina vienlīdzību, iekļaušanu un nediskrimināciju, tostarp ietver tādus pasākumus kā sabiedrībā balstītu sociālo pakalpojumu pieejamības palielināšanai atbilstoši individuālajām vajadzībām, t.sk. tehnoloģiju inovācijas pakalpojumu nodrošināšana; </w:t>
      </w:r>
      <w:r w:rsidRPr="006750B5">
        <w:rPr>
          <w:rFonts w:ascii="Times New Roman" w:hAnsi="Times New Roman" w:cs="Times New Roman"/>
          <w:bCs/>
          <w:iCs/>
          <w:sz w:val="24"/>
          <w:szCs w:val="24"/>
        </w:rPr>
        <w:t xml:space="preserve">konsultāciju un mācību, t.sk. sociālo pakalpojumu sniedzēju darbiniekiem saturā tiks iekļauti vienlīdzīgu iespēju jautājumi; ārstu, speciālistu, iestādes amatpersonu, atbalsta funkciju veicēju profesionālo spēju pilnveide paredzēta arī attiecībā uz vienlīdzīgu iespēju aspektiem. Vienlaikus paredzēti sabiedrības informēšanas pasākumi </w:t>
      </w:r>
      <w:r w:rsidRPr="006750B5">
        <w:rPr>
          <w:rFonts w:ascii="Times New Roman" w:eastAsia="Times New Roman" w:hAnsi="Times New Roman" w:cs="Times New Roman"/>
          <w:iCs/>
          <w:noProof/>
          <w:sz w:val="24"/>
          <w:szCs w:val="24"/>
        </w:rPr>
        <w:t>iekļaujošas sabiedrības vērtību popularizēšana, stiprinot sociālo iekļaušanu, dzimumu līdztiesību, darba un ģimenes dzīves saskaņošanu un vecāku prasmes. Sabiedrības informēš</w:t>
      </w:r>
      <w:r w:rsidR="00601AA2">
        <w:rPr>
          <w:rFonts w:ascii="Times New Roman" w:eastAsia="Times New Roman" w:hAnsi="Times New Roman" w:cs="Times New Roman"/>
          <w:iCs/>
          <w:noProof/>
          <w:sz w:val="24"/>
          <w:szCs w:val="24"/>
        </w:rPr>
        <w:t>a</w:t>
      </w:r>
      <w:r w:rsidRPr="006750B5">
        <w:rPr>
          <w:rFonts w:ascii="Times New Roman" w:eastAsia="Times New Roman" w:hAnsi="Times New Roman" w:cs="Times New Roman"/>
          <w:iCs/>
          <w:noProof/>
          <w:sz w:val="24"/>
          <w:szCs w:val="24"/>
        </w:rPr>
        <w:t>nai tiks izmantoti dažādi informācijas kanāli un formāti, kas ir pie</w:t>
      </w:r>
      <w:r w:rsidR="00601AA2">
        <w:rPr>
          <w:rFonts w:ascii="Times New Roman" w:eastAsia="Times New Roman" w:hAnsi="Times New Roman" w:cs="Times New Roman"/>
          <w:iCs/>
          <w:noProof/>
          <w:sz w:val="24"/>
          <w:szCs w:val="24"/>
        </w:rPr>
        <w:t xml:space="preserve">kļūstamas </w:t>
      </w:r>
      <w:r w:rsidRPr="006750B5">
        <w:rPr>
          <w:rFonts w:ascii="Times New Roman" w:eastAsia="Times New Roman" w:hAnsi="Times New Roman" w:cs="Times New Roman"/>
          <w:iCs/>
          <w:noProof/>
          <w:sz w:val="24"/>
          <w:szCs w:val="24"/>
        </w:rPr>
        <w:t xml:space="preserve"> cilvēkiem ar dažāda veida funkcionāliem traucējumiem, piemēram, subtitrēšana, materiāli elektroniskā formātā, raidījumu ieraksti u.c.</w:t>
      </w:r>
    </w:p>
    <w:p w14:paraId="50E2B4E5" w14:textId="7DC59360" w:rsidR="00AC212B" w:rsidRPr="006750B5"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6750B5">
        <w:rPr>
          <w:rFonts w:ascii="Times New Roman" w:hAnsi="Times New Roman" w:cs="Times New Roman"/>
          <w:b/>
          <w:sz w:val="24"/>
          <w:szCs w:val="24"/>
        </w:rPr>
        <w:t>Mērķteritorijas, t.sk. plānotais teritoriālo rīku izmantojums</w:t>
      </w:r>
      <w:r w:rsidRPr="006750B5">
        <w:rPr>
          <w:rFonts w:ascii="Times New Roman" w:hAnsi="Times New Roman" w:cs="Times New Roman"/>
          <w:sz w:val="24"/>
          <w:szCs w:val="24"/>
        </w:rPr>
        <w:t>: Visa Latvija.</w:t>
      </w:r>
      <w:r w:rsidR="004A58D0">
        <w:rPr>
          <w:rFonts w:ascii="Times New Roman" w:hAnsi="Times New Roman" w:cs="Times New Roman"/>
          <w:sz w:val="24"/>
          <w:szCs w:val="24"/>
        </w:rPr>
        <w:t xml:space="preserve"> </w:t>
      </w:r>
      <w:r w:rsidR="004A58D0" w:rsidRPr="004A58D0">
        <w:rPr>
          <w:rFonts w:ascii="Times New Roman" w:hAnsi="Times New Roman" w:cs="Times New Roman"/>
          <w:sz w:val="24"/>
          <w:szCs w:val="24"/>
        </w:rPr>
        <w:t>Sabiedrībā balstītu sociālo pakalpojumu attīstībā paredzēts nodrošināt pēctecību 2014.-2020.gada plānošanas periodā plānošanas reģionu deinstitucionalizācijas plāniem, arī turpmāk ieguldījumus pamatojot t.sk. ar teritoriju attīstības plānošanas dokumentiem.</w:t>
      </w:r>
    </w:p>
    <w:p w14:paraId="2442916E" w14:textId="777E1E1E" w:rsidR="00AC212B" w:rsidRPr="006750B5"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noProof/>
          <w:sz w:val="24"/>
          <w:szCs w:val="24"/>
        </w:rPr>
      </w:pPr>
      <w:r w:rsidRPr="006750B5">
        <w:rPr>
          <w:rFonts w:ascii="Times New Roman" w:hAnsi="Times New Roman" w:cs="Times New Roman"/>
          <w:b/>
          <w:sz w:val="24"/>
          <w:szCs w:val="24"/>
        </w:rPr>
        <w:t xml:space="preserve">Starpreģionālās, pārrobežu un transnacionālās darbības: </w:t>
      </w:r>
      <w:r w:rsidR="005670B4" w:rsidRPr="00ED19AE">
        <w:rPr>
          <w:rFonts w:ascii="Times New Roman" w:hAnsi="Times New Roman" w:cs="Times New Roman"/>
          <w:sz w:val="24"/>
          <w:szCs w:val="24"/>
        </w:rPr>
        <w:t>Sabiedrībā balstītu sociālo pakalpojumu attīstīšanai var tikt īstenota starptautiskā sadarbība (pieredzes apmaiņa, labās prakses pārņemšana, ekspertu piesaiste u.c.).</w:t>
      </w:r>
    </w:p>
    <w:p w14:paraId="28D1F371" w14:textId="1C9BF2FE" w:rsidR="00AC212B" w:rsidRPr="006750B5" w:rsidRDefault="0002461B" w:rsidP="007545BD">
      <w:pPr>
        <w:pStyle w:val="ListParagraph"/>
        <w:numPr>
          <w:ilvl w:val="0"/>
          <w:numId w:val="60"/>
        </w:numPr>
        <w:spacing w:after="0" w:line="240" w:lineRule="auto"/>
        <w:ind w:left="567" w:hanging="567"/>
        <w:jc w:val="both"/>
        <w:rPr>
          <w:rFonts w:ascii="Times New Roman" w:eastAsia="Times New Roman" w:hAnsi="Times New Roman" w:cs="Times New Roman"/>
          <w:sz w:val="24"/>
          <w:szCs w:val="24"/>
        </w:rPr>
      </w:pPr>
      <w:r>
        <w:rPr>
          <w:rFonts w:ascii="Times New Roman" w:hAnsi="Times New Roman" w:cs="Times New Roman"/>
          <w:b/>
          <w:sz w:val="24"/>
          <w:szCs w:val="24"/>
        </w:rPr>
        <w:t>F</w:t>
      </w:r>
      <w:r w:rsidR="00AC212B" w:rsidRPr="006750B5">
        <w:rPr>
          <w:rFonts w:ascii="Times New Roman" w:hAnsi="Times New Roman" w:cs="Times New Roman"/>
          <w:b/>
          <w:sz w:val="24"/>
          <w:szCs w:val="24"/>
        </w:rPr>
        <w:t>inanšu instrumenti: N/A</w:t>
      </w:r>
    </w:p>
    <w:p w14:paraId="1974FEA9" w14:textId="77777777" w:rsidR="00AC212B" w:rsidRPr="00930237" w:rsidRDefault="00AC212B" w:rsidP="00AC212B">
      <w:pPr>
        <w:spacing w:before="0" w:after="0"/>
        <w:jc w:val="left"/>
        <w:rPr>
          <w:noProof/>
          <w:color w:val="FF0000"/>
          <w:szCs w:val="24"/>
        </w:rPr>
      </w:pPr>
    </w:p>
    <w:p w14:paraId="385A4D3F" w14:textId="77777777" w:rsidR="00AC212B" w:rsidRPr="00930237" w:rsidRDefault="00AC212B" w:rsidP="00AC212B">
      <w:pPr>
        <w:pStyle w:val="Heading4"/>
        <w:numPr>
          <w:ilvl w:val="0"/>
          <w:numId w:val="0"/>
        </w:numPr>
        <w:shd w:val="clear" w:color="auto" w:fill="FBE4D5" w:themeFill="accent2" w:themeFillTint="33"/>
        <w:spacing w:after="0"/>
        <w:rPr>
          <w:b/>
          <w:noProof/>
          <w:color w:val="FF0000"/>
          <w:szCs w:val="24"/>
        </w:rPr>
      </w:pPr>
      <w:bookmarkStart w:id="38" w:name="_Hlk64382612"/>
      <w:r w:rsidRPr="00930237">
        <w:rPr>
          <w:b/>
          <w:noProof/>
        </w:rPr>
        <w:t>4.3.6.SAM “</w:t>
      </w:r>
      <w:r w:rsidRPr="00930237">
        <w:rPr>
          <w:b/>
          <w:szCs w:val="24"/>
          <w:shd w:val="clear" w:color="auto" w:fill="FBE4D5" w:themeFill="accent2" w:themeFillTint="33"/>
        </w:rPr>
        <w:t>Veicināt nabadzības vai sociālās atstumtības riskam pakļauto cilvēku, tostarp vistrūcīgāko un bērnu, sociālo integrāciju</w:t>
      </w:r>
      <w:bookmarkEnd w:id="38"/>
      <w:r w:rsidRPr="00930237">
        <w:rPr>
          <w:b/>
          <w:szCs w:val="24"/>
          <w:shd w:val="clear" w:color="auto" w:fill="FBE4D5" w:themeFill="accent2" w:themeFillTint="33"/>
        </w:rPr>
        <w:t>”</w:t>
      </w:r>
    </w:p>
    <w:p w14:paraId="7B523809" w14:textId="77777777" w:rsidR="00AC212B" w:rsidRPr="00930237" w:rsidRDefault="00AC212B" w:rsidP="007545BD">
      <w:pPr>
        <w:pStyle w:val="ListParagraph"/>
        <w:numPr>
          <w:ilvl w:val="0"/>
          <w:numId w:val="60"/>
        </w:numPr>
        <w:spacing w:after="0" w:line="240" w:lineRule="auto"/>
        <w:ind w:left="567" w:hanging="567"/>
        <w:jc w:val="both"/>
        <w:rPr>
          <w:rFonts w:ascii="Times New Roman" w:eastAsia="Calibri" w:hAnsi="Times New Roman" w:cs="Times New Roman"/>
          <w:noProof/>
          <w:sz w:val="24"/>
          <w:szCs w:val="24"/>
        </w:rPr>
      </w:pPr>
      <w:r w:rsidRPr="00930237">
        <w:rPr>
          <w:rFonts w:ascii="Times New Roman" w:eastAsia="Times New Roman" w:hAnsi="Times New Roman" w:cs="Times New Roman"/>
          <w:b/>
          <w:noProof/>
          <w:sz w:val="24"/>
          <w:szCs w:val="24"/>
        </w:rPr>
        <w:t>Atbalstāmās darbības</w:t>
      </w:r>
      <w:r w:rsidRPr="00930237">
        <w:rPr>
          <w:rFonts w:ascii="Times New Roman" w:eastAsia="Times New Roman" w:hAnsi="Times New Roman" w:cs="Times New Roman"/>
          <w:noProof/>
          <w:sz w:val="24"/>
          <w:szCs w:val="24"/>
        </w:rPr>
        <w:t xml:space="preserve">: Lai mazinātu nabadzības un sociālās atstumtības riskam pakļauto bērnu skaitu un pārtrauktu nabadzības atražošanos paaudzēs, ieguldījumi paredzēti gan makro, gan mikro līmenī. </w:t>
      </w:r>
    </w:p>
    <w:p w14:paraId="1C3C9C6B" w14:textId="5C287F5D" w:rsidR="00AC212B" w:rsidRPr="00930237" w:rsidRDefault="00AC212B" w:rsidP="007545BD">
      <w:pPr>
        <w:pStyle w:val="ListParagraph"/>
        <w:numPr>
          <w:ilvl w:val="0"/>
          <w:numId w:val="60"/>
        </w:numPr>
        <w:spacing w:after="0" w:line="240" w:lineRule="auto"/>
        <w:ind w:left="567" w:hanging="567"/>
        <w:jc w:val="both"/>
        <w:rPr>
          <w:rFonts w:ascii="Times New Roman" w:eastAsia="Calibri" w:hAnsi="Times New Roman" w:cs="Times New Roman"/>
          <w:noProof/>
          <w:sz w:val="24"/>
          <w:szCs w:val="24"/>
        </w:rPr>
      </w:pPr>
      <w:r w:rsidRPr="00930237">
        <w:rPr>
          <w:rFonts w:ascii="Times New Roman" w:eastAsia="Calibri" w:hAnsi="Times New Roman" w:cs="Times New Roman"/>
          <w:noProof/>
          <w:sz w:val="24"/>
          <w:szCs w:val="24"/>
        </w:rPr>
        <w:t xml:space="preserve">Bērnu labklājības sistēmā viena </w:t>
      </w:r>
      <w:r w:rsidRPr="00930237">
        <w:rPr>
          <w:rFonts w:ascii="Times New Roman" w:eastAsia="Calibri" w:hAnsi="Times New Roman" w:cs="Times New Roman"/>
          <w:sz w:val="24"/>
          <w:szCs w:val="24"/>
        </w:rPr>
        <w:t xml:space="preserve">no visaktuālākajām problēmām ir fragmentēta palīdzības un pakalpojumu pieejamība. </w:t>
      </w:r>
      <w:r w:rsidRPr="00930237">
        <w:rPr>
          <w:rFonts w:ascii="Times New Roman" w:eastAsia="Calibri" w:hAnsi="Times New Roman" w:cs="Times New Roman"/>
          <w:noProof/>
          <w:sz w:val="24"/>
          <w:szCs w:val="24"/>
        </w:rPr>
        <w:t xml:space="preserve">Lai </w:t>
      </w:r>
      <w:r w:rsidRPr="00930237">
        <w:rPr>
          <w:rFonts w:ascii="Times New Roman" w:eastAsia="Times New Roman" w:hAnsi="Times New Roman" w:cs="Times New Roman"/>
          <w:iCs/>
          <w:noProof/>
          <w:sz w:val="24"/>
          <w:szCs w:val="24"/>
        </w:rPr>
        <w:t xml:space="preserve">nodrošinātu bērnu aprūpi, izglītošanu un </w:t>
      </w:r>
      <w:r w:rsidRPr="00930237">
        <w:rPr>
          <w:rFonts w:ascii="Times New Roman" w:eastAsia="Calibri" w:hAnsi="Times New Roman" w:cs="Times New Roman"/>
          <w:noProof/>
          <w:sz w:val="24"/>
          <w:szCs w:val="24"/>
        </w:rPr>
        <w:t xml:space="preserve">radītu optimālus priekšnosacījumus </w:t>
      </w:r>
      <w:r w:rsidRPr="00930237">
        <w:rPr>
          <w:rFonts w:ascii="Times New Roman" w:eastAsia="Calibri" w:hAnsi="Times New Roman" w:cs="Times New Roman"/>
          <w:b/>
          <w:noProof/>
          <w:sz w:val="24"/>
          <w:szCs w:val="24"/>
        </w:rPr>
        <w:t>veselīgai bērnu sociālemocionālajai attīstībai</w:t>
      </w:r>
      <w:r w:rsidRPr="00930237">
        <w:rPr>
          <w:rFonts w:ascii="Times New Roman" w:eastAsia="Calibri" w:hAnsi="Times New Roman" w:cs="Times New Roman"/>
          <w:noProof/>
          <w:sz w:val="24"/>
          <w:szCs w:val="24"/>
        </w:rPr>
        <w:t xml:space="preserve"> </w:t>
      </w:r>
      <w:r w:rsidRPr="00930237">
        <w:rPr>
          <w:rFonts w:ascii="Times New Roman" w:eastAsia="Calibri" w:hAnsi="Times New Roman" w:cs="Times New Roman"/>
          <w:b/>
          <w:noProof/>
          <w:sz w:val="24"/>
          <w:szCs w:val="24"/>
        </w:rPr>
        <w:t>un pašrealizācijai</w:t>
      </w:r>
      <w:r w:rsidRPr="00930237">
        <w:rPr>
          <w:rFonts w:ascii="Times New Roman" w:eastAsia="Calibri" w:hAnsi="Times New Roman" w:cs="Times New Roman"/>
          <w:b/>
          <w:i/>
          <w:noProof/>
          <w:sz w:val="24"/>
          <w:szCs w:val="24"/>
        </w:rPr>
        <w:t xml:space="preserve"> </w:t>
      </w:r>
      <w:r w:rsidRPr="00930237">
        <w:rPr>
          <w:rFonts w:ascii="Times New Roman" w:eastAsia="Calibri" w:hAnsi="Times New Roman" w:cs="Times New Roman"/>
          <w:noProof/>
          <w:sz w:val="24"/>
          <w:szCs w:val="24"/>
        </w:rPr>
        <w:t xml:space="preserve">ilgtermiņā, </w:t>
      </w:r>
      <w:r w:rsidRPr="00930237">
        <w:rPr>
          <w:rFonts w:ascii="Times New Roman" w:eastAsia="Times New Roman" w:hAnsi="Times New Roman" w:cs="Times New Roman"/>
          <w:iCs/>
          <w:noProof/>
          <w:sz w:val="24"/>
          <w:szCs w:val="24"/>
        </w:rPr>
        <w:t>p</w:t>
      </w:r>
      <w:r w:rsidRPr="00930237">
        <w:rPr>
          <w:rFonts w:ascii="Times New Roman" w:eastAsia="Calibri" w:hAnsi="Times New Roman" w:cs="Times New Roman"/>
          <w:noProof/>
          <w:sz w:val="24"/>
          <w:szCs w:val="24"/>
        </w:rPr>
        <w:t xml:space="preserve">aredzēts sekmēt starpnozaru </w:t>
      </w:r>
      <w:r w:rsidRPr="00930237">
        <w:rPr>
          <w:rFonts w:ascii="Times New Roman" w:eastAsia="Times New Roman" w:hAnsi="Times New Roman" w:cs="Times New Roman"/>
          <w:noProof/>
          <w:sz w:val="24"/>
          <w:szCs w:val="24"/>
        </w:rPr>
        <w:t xml:space="preserve">sadarbību un īstenot ģimenes atbalsta un bērnu attīstības konceptuālās pieejās balstītu </w:t>
      </w:r>
      <w:r w:rsidRPr="00930237">
        <w:rPr>
          <w:rFonts w:ascii="Times New Roman" w:eastAsia="Times New Roman" w:hAnsi="Times New Roman" w:cs="Times New Roman"/>
          <w:b/>
          <w:noProof/>
          <w:sz w:val="24"/>
          <w:szCs w:val="24"/>
        </w:rPr>
        <w:t>preventīvā atbalsta sistēmas reformu</w:t>
      </w:r>
      <w:r w:rsidRPr="00930237">
        <w:rPr>
          <w:rFonts w:ascii="Times New Roman" w:eastAsia="Times New Roman" w:hAnsi="Times New Roman" w:cs="Times New Roman"/>
          <w:noProof/>
          <w:sz w:val="24"/>
          <w:szCs w:val="24"/>
        </w:rPr>
        <w:t>, stiprinot agrīnās intervences pakalpojumu pieejamību mazāk aizsargātajām ģimenēm ar bērniem.</w:t>
      </w:r>
      <w:r w:rsidR="00F442C3" w:rsidRPr="00F442C3">
        <w:rPr>
          <w:rFonts w:ascii="Times New Roman" w:eastAsia="Times New Roman" w:hAnsi="Times New Roman" w:cs="Times New Roman"/>
          <w:noProof/>
          <w:sz w:val="24"/>
          <w:szCs w:val="24"/>
        </w:rPr>
        <w:t xml:space="preserve"> Lai nodrošinātu paradigmas maiņas iedzīvināšanu, paredzētas aktivitātes, kas sekmē ģimenei draudzīgas vides un sabiedrības veidošanu.</w:t>
      </w:r>
    </w:p>
    <w:p w14:paraId="5C49851E" w14:textId="77777777" w:rsidR="00AC212B" w:rsidRPr="00930237" w:rsidRDefault="00AC212B" w:rsidP="007545BD">
      <w:pPr>
        <w:pStyle w:val="ListParagraph"/>
        <w:numPr>
          <w:ilvl w:val="0"/>
          <w:numId w:val="60"/>
        </w:numPr>
        <w:spacing w:after="0" w:line="240" w:lineRule="auto"/>
        <w:ind w:left="567" w:hanging="567"/>
        <w:jc w:val="both"/>
        <w:rPr>
          <w:rFonts w:ascii="Times New Roman" w:eastAsia="Calibri" w:hAnsi="Times New Roman" w:cs="Times New Roman"/>
          <w:noProof/>
          <w:sz w:val="24"/>
          <w:szCs w:val="24"/>
        </w:rPr>
      </w:pPr>
      <w:r w:rsidRPr="00930237">
        <w:rPr>
          <w:rFonts w:ascii="Times New Roman" w:eastAsia="Calibri" w:hAnsi="Times New Roman" w:cs="Times New Roman"/>
          <w:sz w:val="24"/>
          <w:szCs w:val="24"/>
        </w:rPr>
        <w:t>Ņemot vērā to, ka trūkst vienotas integrētas informatīvās platformas informācijas uzkrāšanai un apmaiņai, kas būtu svarīga preventīvā darba organizēšanai un atbilstošu pakalpojumu sniegšanai, p</w:t>
      </w:r>
      <w:r w:rsidRPr="00930237">
        <w:rPr>
          <w:rFonts w:ascii="Times New Roman" w:eastAsia="Times New Roman" w:hAnsi="Times New Roman" w:cs="Times New Roman"/>
          <w:noProof/>
          <w:sz w:val="24"/>
          <w:szCs w:val="24"/>
        </w:rPr>
        <w:t xml:space="preserve">ilnveidojot bērnu labklājības sistēmu, </w:t>
      </w:r>
      <w:r w:rsidRPr="00930237">
        <w:rPr>
          <w:rFonts w:ascii="Times New Roman" w:eastAsia="Calibri" w:hAnsi="Times New Roman" w:cs="Times New Roman"/>
          <w:noProof/>
          <w:sz w:val="24"/>
          <w:szCs w:val="24"/>
        </w:rPr>
        <w:t>plānota</w:t>
      </w:r>
      <w:r w:rsidRPr="00930237">
        <w:rPr>
          <w:rFonts w:ascii="Times New Roman" w:eastAsia="Times New Roman" w:hAnsi="Times New Roman" w:cs="Times New Roman"/>
          <w:noProof/>
          <w:sz w:val="24"/>
          <w:szCs w:val="24"/>
        </w:rPr>
        <w:t xml:space="preserve"> publiskā sektora sistēmu modernizācija un savstarpējās savietojamības uzlabošana,</w:t>
      </w:r>
      <w:r w:rsidRPr="00930237">
        <w:rPr>
          <w:rFonts w:ascii="Times New Roman" w:hAnsi="Times New Roman" w:cs="Times New Roman"/>
          <w:sz w:val="24"/>
          <w:szCs w:val="24"/>
        </w:rPr>
        <w:t>veidojot</w:t>
      </w:r>
      <w:r w:rsidRPr="00930237">
        <w:rPr>
          <w:rFonts w:ascii="Times New Roman" w:hAnsi="Times New Roman" w:cs="Times New Roman"/>
          <w:b/>
          <w:sz w:val="24"/>
          <w:szCs w:val="24"/>
        </w:rPr>
        <w:t xml:space="preserve"> informatīvo platformu tādas informācijas uzkrāšanai</w:t>
      </w:r>
      <w:r w:rsidRPr="00930237">
        <w:rPr>
          <w:rFonts w:ascii="Times New Roman" w:hAnsi="Times New Roman" w:cs="Times New Roman"/>
          <w:sz w:val="24"/>
          <w:szCs w:val="24"/>
        </w:rPr>
        <w:t xml:space="preserve"> </w:t>
      </w:r>
      <w:r w:rsidRPr="00930237">
        <w:rPr>
          <w:rFonts w:ascii="Times New Roman" w:hAnsi="Times New Roman" w:cs="Times New Roman"/>
          <w:b/>
          <w:sz w:val="24"/>
          <w:szCs w:val="24"/>
        </w:rPr>
        <w:t xml:space="preserve">un apmaiņai, kas svarīga preventīvā darba organizēšanai </w:t>
      </w:r>
      <w:r w:rsidRPr="00930237">
        <w:rPr>
          <w:rFonts w:ascii="Times New Roman" w:hAnsi="Times New Roman" w:cs="Times New Roman"/>
          <w:sz w:val="24"/>
          <w:szCs w:val="24"/>
        </w:rPr>
        <w:t>– bērnu veselīgu attīstību traucējošu risku savlaicīgai identificēšanai un individuālām vajadzībām atbilstošu atbalsta/intervences pakalpojumu nodrošināšanai. Informācijas sistēma ļaus efektīvāk plānot ģimenei un bērnam nepieciešamo atbalstu, savlaicīgi novērtēt iespējamos riskus, kā arī izvairīties no sniegtā atbalsta fragmentētības, sadrumstalotības vai dublēšanās.</w:t>
      </w:r>
    </w:p>
    <w:p w14:paraId="0B84BE59" w14:textId="5CFCA68B" w:rsidR="00AC212B" w:rsidRPr="00930237" w:rsidRDefault="00AC212B" w:rsidP="007545BD">
      <w:pPr>
        <w:pStyle w:val="ListParagraph"/>
        <w:numPr>
          <w:ilvl w:val="0"/>
          <w:numId w:val="60"/>
        </w:numPr>
        <w:spacing w:after="0" w:line="240" w:lineRule="auto"/>
        <w:ind w:left="567" w:hanging="567"/>
        <w:jc w:val="both"/>
        <w:rPr>
          <w:rFonts w:ascii="Times New Roman" w:eastAsia="Calibri" w:hAnsi="Times New Roman" w:cs="Times New Roman"/>
          <w:bCs/>
          <w:i/>
          <w:sz w:val="24"/>
          <w:szCs w:val="24"/>
        </w:rPr>
      </w:pPr>
      <w:r w:rsidRPr="00930237">
        <w:rPr>
          <w:rFonts w:ascii="Times New Roman" w:eastAsia="Times New Roman" w:hAnsi="Times New Roman" w:cs="Times New Roman"/>
          <w:iCs/>
          <w:noProof/>
          <w:sz w:val="24"/>
          <w:szCs w:val="24"/>
        </w:rPr>
        <w:t>Lai monitorētu īstenoto aktivitāšu ietekmi un turpinātu nākotnē veidot uz pierādījumiem balstītu politiku, tiks veikti pētījumi un izvērtējumi, t</w:t>
      </w:r>
      <w:r w:rsidR="00102172">
        <w:rPr>
          <w:rFonts w:ascii="Times New Roman" w:eastAsia="Times New Roman" w:hAnsi="Times New Roman" w:cs="Times New Roman"/>
          <w:iCs/>
          <w:noProof/>
          <w:sz w:val="24"/>
          <w:szCs w:val="24"/>
        </w:rPr>
        <w:t>.sk.</w:t>
      </w:r>
      <w:r w:rsidRPr="00930237">
        <w:rPr>
          <w:rFonts w:ascii="Times New Roman" w:eastAsia="Times New Roman" w:hAnsi="Times New Roman" w:cs="Times New Roman"/>
          <w:iCs/>
          <w:noProof/>
          <w:sz w:val="24"/>
          <w:szCs w:val="24"/>
        </w:rPr>
        <w:t xml:space="preserve"> vardarbības, dzimumu līdztiesības, ģimenes un darba dzīves savienošanas jomā</w:t>
      </w:r>
      <w:r w:rsidRPr="00930237">
        <w:rPr>
          <w:rFonts w:ascii="Times New Roman" w:eastAsia="Times New Roman" w:hAnsi="Times New Roman" w:cs="Times New Roman"/>
          <w:i/>
          <w:iCs/>
          <w:noProof/>
          <w:sz w:val="24"/>
          <w:szCs w:val="24"/>
        </w:rPr>
        <w:t>.</w:t>
      </w:r>
    </w:p>
    <w:p w14:paraId="7E8705C4" w14:textId="77777777"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 xml:space="preserve">Individuālā līmenī atbalstu plānots virzīt tādu darbību īstenošanai, kas pozitīvi ietekmē sociālās atstumtības risku mazināšanos bērniem šādas sociālās </w:t>
      </w:r>
      <w:r w:rsidR="00330E8D" w:rsidRPr="00930237">
        <w:rPr>
          <w:rFonts w:ascii="Times New Roman" w:hAnsi="Times New Roman" w:cs="Times New Roman"/>
          <w:sz w:val="24"/>
          <w:szCs w:val="24"/>
        </w:rPr>
        <w:t>atstumtības</w:t>
      </w:r>
      <w:r w:rsidRPr="00930237">
        <w:rPr>
          <w:rFonts w:ascii="Times New Roman" w:hAnsi="Times New Roman" w:cs="Times New Roman"/>
          <w:sz w:val="24"/>
          <w:szCs w:val="24"/>
        </w:rPr>
        <w:t xml:space="preserve"> dimensijās – (a) sekmē labākas izglītības iegūšanu, (b) uzlabo psiholoģisko un emocionālo drošību, (c) mazina sociālo izolētību, t.sk. uzlabojot attiecības ģimenē. </w:t>
      </w:r>
    </w:p>
    <w:p w14:paraId="1CF51B34" w14:textId="3C8CE5D1"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 xml:space="preserve">Lai nodrošinātu darba un ģimenes dzīves līdzsvarošanu, plānots sniegt </w:t>
      </w:r>
      <w:r w:rsidR="008778FD">
        <w:rPr>
          <w:rFonts w:ascii="Times New Roman" w:hAnsi="Times New Roman" w:cs="Times New Roman"/>
          <w:sz w:val="24"/>
          <w:szCs w:val="24"/>
        </w:rPr>
        <w:t xml:space="preserve">atbalstu </w:t>
      </w:r>
      <w:r w:rsidRPr="00930237">
        <w:rPr>
          <w:rFonts w:ascii="Times New Roman" w:hAnsi="Times New Roman" w:cs="Times New Roman"/>
          <w:b/>
          <w:sz w:val="24"/>
          <w:szCs w:val="24"/>
        </w:rPr>
        <w:t>bērnu pieskatīšanas un aprūpes organizēšanai</w:t>
      </w:r>
      <w:r w:rsidRPr="00930237">
        <w:rPr>
          <w:rFonts w:ascii="Times New Roman" w:hAnsi="Times New Roman" w:cs="Times New Roman"/>
          <w:sz w:val="24"/>
          <w:szCs w:val="24"/>
        </w:rPr>
        <w:t>, veicinot vienlīdzīgas iespējas un augstāku nodarbinātību. Lai risinātu bērnu pieskatīšanas un aprūpes pakalpojuma nepietiekamo pieejamību, papildus pašvaldību pirmsskolas izglītības iestāžu infrastruktūras attīstībai, plānots atbalsts pašvaldībām aukļu dienesta un privāto pirmsskolas izglītības iestāžu pakalpojumu iegādei atklāta, caurspīdīga konkursa ietvaros, u</w:t>
      </w:r>
      <w:r w:rsidR="007903C4">
        <w:rPr>
          <w:rFonts w:ascii="Times New Roman" w:hAnsi="Times New Roman" w:cs="Times New Roman"/>
          <w:sz w:val="24"/>
          <w:szCs w:val="24"/>
        </w:rPr>
        <w:t>.c.</w:t>
      </w:r>
      <w:r w:rsidRPr="00930237">
        <w:rPr>
          <w:rFonts w:ascii="Times New Roman" w:hAnsi="Times New Roman" w:cs="Times New Roman"/>
          <w:sz w:val="24"/>
          <w:szCs w:val="24"/>
        </w:rPr>
        <w:t xml:space="preserve"> bērnu pieskatīšanas pasākumiem, pozitīvi ietekmējot arī remigrāciju. Lai nodrošinātu skolas vecuma bērnu pieskatīšanu vasaras periodā, tiks organizēti arī citi bērnu pieskatīšanas pasākumi.</w:t>
      </w:r>
      <w:r w:rsidR="004A58D0">
        <w:rPr>
          <w:rFonts w:ascii="Times New Roman" w:hAnsi="Times New Roman" w:cs="Times New Roman"/>
          <w:sz w:val="24"/>
          <w:szCs w:val="24"/>
        </w:rPr>
        <w:t xml:space="preserve"> </w:t>
      </w:r>
      <w:r w:rsidR="004A58D0" w:rsidRPr="004A58D0">
        <w:rPr>
          <w:rFonts w:ascii="Times New Roman" w:hAnsi="Times New Roman" w:cs="Times New Roman"/>
          <w:sz w:val="24"/>
          <w:szCs w:val="24"/>
        </w:rPr>
        <w:t>Plānots nodrošināt latviešu valodas apguves un integrācijas (adaptācijas) kursus remigrantu ģimenēm (bērniem un pieaugušajiem).</w:t>
      </w:r>
    </w:p>
    <w:p w14:paraId="02215C0E" w14:textId="638E0912"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eastAsia="Calibri" w:hAnsi="Times New Roman" w:cs="Times New Roman"/>
          <w:bCs/>
          <w:iCs/>
          <w:sz w:val="24"/>
          <w:szCs w:val="24"/>
        </w:rPr>
        <w:t xml:space="preserve">Paredzēts </w:t>
      </w:r>
      <w:r w:rsidRPr="00930237">
        <w:rPr>
          <w:rFonts w:ascii="Times New Roman" w:eastAsia="Calibri" w:hAnsi="Times New Roman" w:cs="Times New Roman"/>
          <w:b/>
          <w:bCs/>
          <w:iCs/>
          <w:sz w:val="24"/>
          <w:szCs w:val="24"/>
        </w:rPr>
        <w:t>atbalsts bērniem ar smagu diagnozi, iespējamu vai esošu invaliditāti un viņu likumiskajiem pārstāvjiem</w:t>
      </w:r>
      <w:r w:rsidRPr="00930237">
        <w:rPr>
          <w:rFonts w:ascii="Times New Roman" w:eastAsia="Calibri" w:hAnsi="Times New Roman" w:cs="Times New Roman"/>
          <w:bCs/>
          <w:iCs/>
          <w:sz w:val="24"/>
          <w:szCs w:val="24"/>
        </w:rPr>
        <w:t>, paredzot h</w:t>
      </w:r>
      <w:r w:rsidRPr="00930237">
        <w:rPr>
          <w:rFonts w:ascii="Times New Roman" w:eastAsia="Calibri" w:hAnsi="Times New Roman" w:cs="Times New Roman"/>
          <w:sz w:val="24"/>
          <w:szCs w:val="24"/>
        </w:rPr>
        <w:t>olistisk</w:t>
      </w:r>
      <w:r w:rsidR="005670B4">
        <w:rPr>
          <w:rFonts w:ascii="Times New Roman" w:eastAsia="Calibri" w:hAnsi="Times New Roman" w:cs="Times New Roman"/>
          <w:sz w:val="24"/>
          <w:szCs w:val="24"/>
        </w:rPr>
        <w:t>u</w:t>
      </w:r>
      <w:r w:rsidRPr="00930237">
        <w:rPr>
          <w:rFonts w:ascii="Times New Roman" w:eastAsia="Calibri" w:hAnsi="Times New Roman" w:cs="Times New Roman"/>
          <w:sz w:val="24"/>
          <w:szCs w:val="24"/>
        </w:rPr>
        <w:t xml:space="preserve"> psihoemocionāl</w:t>
      </w:r>
      <w:r w:rsidR="005670B4">
        <w:rPr>
          <w:rFonts w:ascii="Times New Roman" w:eastAsia="Calibri" w:hAnsi="Times New Roman" w:cs="Times New Roman"/>
          <w:sz w:val="24"/>
          <w:szCs w:val="24"/>
        </w:rPr>
        <w:t>o</w:t>
      </w:r>
      <w:r w:rsidRPr="00930237">
        <w:rPr>
          <w:rFonts w:ascii="Times New Roman" w:eastAsia="Calibri" w:hAnsi="Times New Roman" w:cs="Times New Roman"/>
          <w:sz w:val="24"/>
          <w:szCs w:val="24"/>
        </w:rPr>
        <w:t xml:space="preserve"> atbalstu diagnozes noteikšanas un akūtās terapijas periodā ģimenei atrodoties ārstniecības iestādē, starpinstitucionālās sadarbības veicināšanu, informācijas tālāku nodošanu pacienta ģimenes problēmu risināšanai, darbu ar ģimeni un atbalsta sniegšanu pēcterapijas periodā dzīvesvietā</w:t>
      </w:r>
      <w:r w:rsidRPr="00930237">
        <w:rPr>
          <w:rFonts w:ascii="Times New Roman" w:eastAsia="Calibri" w:hAnsi="Times New Roman" w:cs="Times New Roman"/>
          <w:iCs/>
          <w:sz w:val="24"/>
          <w:szCs w:val="24"/>
        </w:rPr>
        <w:t>.</w:t>
      </w:r>
      <w:r w:rsidR="00CF66E6" w:rsidRPr="00CF66E6">
        <w:t xml:space="preserve"> </w:t>
      </w:r>
      <w:r w:rsidR="00CF66E6" w:rsidRPr="00CF66E6">
        <w:rPr>
          <w:rFonts w:ascii="Times New Roman" w:eastAsia="Calibri" w:hAnsi="Times New Roman" w:cs="Times New Roman"/>
          <w:iCs/>
          <w:sz w:val="24"/>
          <w:szCs w:val="24"/>
        </w:rPr>
        <w:t>Tādējādi plānots nodrošināt integrētu sociālu, psiholoģisku un veselības aprūpes pieeju ģimenei kopumā.</w:t>
      </w:r>
      <w:r w:rsidRPr="00930237">
        <w:rPr>
          <w:rFonts w:ascii="Times New Roman" w:eastAsia="Calibri" w:hAnsi="Times New Roman" w:cs="Times New Roman"/>
          <w:iCs/>
          <w:sz w:val="24"/>
          <w:szCs w:val="24"/>
        </w:rPr>
        <w:t xml:space="preserve"> Plānots pilnveidot t</w:t>
      </w:r>
      <w:r w:rsidRPr="00930237">
        <w:rPr>
          <w:rFonts w:ascii="Times New Roman" w:eastAsia="Calibri" w:hAnsi="Times New Roman" w:cs="Times New Roman"/>
          <w:bCs/>
          <w:iCs/>
          <w:sz w:val="24"/>
          <w:szCs w:val="24"/>
        </w:rPr>
        <w:t>iešās pārvaldes iestādes, kas veic prognozējamas invaliditātes un invaliditātes ekspertīzi klientu apkalpošanu, efektivitātes un kvalitātes uzlabošanu, paredzot m</w:t>
      </w:r>
      <w:r w:rsidRPr="00930237">
        <w:rPr>
          <w:rFonts w:ascii="Times New Roman" w:hAnsi="Times New Roman" w:cs="Times New Roman"/>
          <w:sz w:val="24"/>
          <w:szCs w:val="24"/>
        </w:rPr>
        <w:t>ācību programmu izstrādi/aprobēšanu, darbinieku, t.sk. ārstu, speciālistu, iestādes amatpersonu, atbalsta funkciju veicēju profesionālo spēju pilnveidi, metodisko vadību, procesu un analītiskās funkcijas attīstību, sabiedrības informēšanas pasākumus par aktualitātēm invaliditātes noteikšanas, darbspējas vērtēšanas, ierobežojumu vērtēšanas procesā</w:t>
      </w:r>
      <w:r w:rsidR="005670B4">
        <w:rPr>
          <w:rFonts w:ascii="Times New Roman" w:hAnsi="Times New Roman" w:cs="Times New Roman"/>
          <w:sz w:val="24"/>
          <w:szCs w:val="24"/>
        </w:rPr>
        <w:t xml:space="preserve">, </w:t>
      </w:r>
      <w:r w:rsidR="005670B4" w:rsidRPr="005670B4">
        <w:rPr>
          <w:rFonts w:ascii="Times New Roman" w:hAnsi="Times New Roman" w:cs="Times New Roman"/>
          <w:sz w:val="24"/>
          <w:szCs w:val="24"/>
        </w:rPr>
        <w:t xml:space="preserve">kā arī iestādes sniegto pakalpojumu uzlabošana, izstrādājot vienotu informācijas sniegšanas modeli par pieejamo atbalstu invaliditātes gadījumā </w:t>
      </w:r>
      <w:r w:rsidR="005670B4">
        <w:rPr>
          <w:rFonts w:ascii="Times New Roman" w:hAnsi="Times New Roman" w:cs="Times New Roman"/>
          <w:sz w:val="24"/>
          <w:szCs w:val="24"/>
        </w:rPr>
        <w:t>(izmēģinājumprojekts)</w:t>
      </w:r>
      <w:r w:rsidRPr="00930237">
        <w:rPr>
          <w:rFonts w:ascii="Times New Roman" w:hAnsi="Times New Roman" w:cs="Times New Roman"/>
          <w:sz w:val="24"/>
          <w:szCs w:val="24"/>
        </w:rPr>
        <w:t xml:space="preserve">. Papildu ieguldījumi nepieciešami </w:t>
      </w:r>
      <w:r w:rsidRPr="00930237">
        <w:rPr>
          <w:rFonts w:ascii="Times New Roman" w:eastAsia="Calibri" w:hAnsi="Times New Roman" w:cs="Times New Roman"/>
          <w:bCs/>
          <w:iCs/>
          <w:sz w:val="24"/>
          <w:szCs w:val="24"/>
        </w:rPr>
        <w:t>bērnu invaliditātes noteikšanas sistēmas pilnveidei.</w:t>
      </w:r>
    </w:p>
    <w:p w14:paraId="14C4F7B7" w14:textId="6006A6A3" w:rsidR="0099657A" w:rsidRPr="0099657A" w:rsidRDefault="00AC212B" w:rsidP="007545BD">
      <w:pPr>
        <w:pStyle w:val="ListParagraph"/>
        <w:numPr>
          <w:ilvl w:val="0"/>
          <w:numId w:val="60"/>
        </w:numPr>
        <w:spacing w:after="0" w:line="240" w:lineRule="auto"/>
        <w:ind w:left="567" w:hanging="567"/>
        <w:jc w:val="both"/>
        <w:rPr>
          <w:rFonts w:ascii="Times New Roman" w:eastAsia="Calibri" w:hAnsi="Times New Roman" w:cs="Times New Roman"/>
          <w:noProof/>
          <w:sz w:val="24"/>
          <w:szCs w:val="24"/>
        </w:rPr>
      </w:pPr>
      <w:r w:rsidRPr="00930237">
        <w:rPr>
          <w:rFonts w:ascii="Times New Roman" w:eastAsia="Times New Roman" w:hAnsi="Times New Roman" w:cs="Times New Roman"/>
          <w:noProof/>
          <w:sz w:val="24"/>
          <w:szCs w:val="24"/>
        </w:rPr>
        <w:t xml:space="preserve">Nodrošinot preventīvo atbalstu </w:t>
      </w:r>
      <w:r w:rsidRPr="00930237">
        <w:rPr>
          <w:rFonts w:ascii="Times New Roman" w:eastAsia="Times New Roman" w:hAnsi="Times New Roman" w:cs="Times New Roman"/>
          <w:b/>
          <w:noProof/>
          <w:sz w:val="24"/>
          <w:szCs w:val="24"/>
        </w:rPr>
        <w:t>veselīgai bērnu sociālemocionālai un psiholoģiskai attīstībai</w:t>
      </w:r>
      <w:r w:rsidRPr="00930237">
        <w:rPr>
          <w:rFonts w:ascii="Times New Roman" w:eastAsia="Times New Roman" w:hAnsi="Times New Roman" w:cs="Times New Roman"/>
          <w:noProof/>
          <w:sz w:val="24"/>
          <w:szCs w:val="24"/>
        </w:rPr>
        <w:t>, plānota visaptveroša, integrēta, uz cilvēka vajadzībām orientēta diagnostikas, profilakses, konsultatīvo pasākumu, veselības un sociālo pakalpojumu kopuma īstenošana, t.sk. apmācības, praktiski treniņi pedagogiem, agrīnas intervences bērniem ar psihomotoriem un psihosociāliem traucējumiem, multimodālas, pierādījumos balstītas intervences programmas attīstības un uzvedības traucējumu veidošanās risku mazināšanai, distresa un trauksmes pārvarēšanai nepilngadīgajiem, sociālo prasmju pilnveide riska grupām, vecāku prasmju pilnveides programmas, programmas vardarbības un mobinga mazināšanai izglītības iestādēs un e-vidē, a</w:t>
      </w:r>
      <w:r w:rsidRPr="00930237">
        <w:rPr>
          <w:rFonts w:ascii="Times New Roman" w:eastAsia="Calibri" w:hAnsi="Times New Roman" w:cs="Times New Roman"/>
          <w:noProof/>
          <w:sz w:val="24"/>
          <w:szCs w:val="24"/>
        </w:rPr>
        <w:t xml:space="preserve">tbalsta nodrošināšana ģimenēm ar bērniem, kuri zaudējuši tuviniekus, pēc smagas krīzes vai katastrofas, uzlabojot </w:t>
      </w:r>
      <w:r w:rsidRPr="00930237">
        <w:rPr>
          <w:rFonts w:ascii="Times New Roman" w:eastAsia="Times New Roman" w:hAnsi="Times New Roman" w:cs="Times New Roman"/>
          <w:noProof/>
          <w:sz w:val="24"/>
          <w:szCs w:val="24"/>
        </w:rPr>
        <w:t xml:space="preserve">ģimenes psiholoģisko un emocionālo noturīgumu. Vairākas no plānotajām programmām tiks īstenotas kā </w:t>
      </w:r>
      <w:r w:rsidR="00175F06">
        <w:rPr>
          <w:rFonts w:ascii="Times New Roman" w:eastAsia="Times New Roman" w:hAnsi="Times New Roman" w:cs="Times New Roman"/>
          <w:noProof/>
          <w:sz w:val="24"/>
          <w:szCs w:val="24"/>
        </w:rPr>
        <w:t>jaunievedumi</w:t>
      </w:r>
      <w:r w:rsidRPr="00930237">
        <w:rPr>
          <w:rFonts w:ascii="Times New Roman" w:eastAsia="Times New Roman" w:hAnsi="Times New Roman" w:cs="Times New Roman"/>
          <w:noProof/>
          <w:sz w:val="24"/>
          <w:szCs w:val="24"/>
        </w:rPr>
        <w:t xml:space="preserve">, adaptējot ārvalstu praksi un pieredzi. Paredzēta arī </w:t>
      </w:r>
      <w:r w:rsidRPr="00930237">
        <w:rPr>
          <w:rFonts w:ascii="Times New Roman" w:eastAsia="Times New Roman" w:hAnsi="Times New Roman" w:cs="Times New Roman"/>
          <w:iCs/>
          <w:noProof/>
          <w:sz w:val="24"/>
          <w:szCs w:val="24"/>
        </w:rPr>
        <w:t xml:space="preserve">iekļaujošas sabiedrības vērtību popularizēšana, stiprinot sociālo iekļaušanu, dzimumu līdztiesību, darba un ģimenes dzīves saskaņošanu un vecāku prasmes. </w:t>
      </w:r>
    </w:p>
    <w:p w14:paraId="54D54779" w14:textId="68A59BBF" w:rsidR="00AC212B" w:rsidRPr="00930237" w:rsidRDefault="0099657A" w:rsidP="007545BD">
      <w:pPr>
        <w:pStyle w:val="ListParagraph"/>
        <w:numPr>
          <w:ilvl w:val="0"/>
          <w:numId w:val="60"/>
        </w:numPr>
        <w:spacing w:after="0" w:line="240" w:lineRule="auto"/>
        <w:ind w:left="567" w:hanging="567"/>
        <w:jc w:val="both"/>
        <w:rPr>
          <w:rFonts w:ascii="Times New Roman" w:eastAsia="Calibri" w:hAnsi="Times New Roman" w:cs="Times New Roman"/>
          <w:noProof/>
          <w:sz w:val="24"/>
          <w:szCs w:val="24"/>
        </w:rPr>
      </w:pPr>
      <w:r w:rsidRPr="0099657A">
        <w:rPr>
          <w:rFonts w:ascii="Times New Roman" w:eastAsia="Times New Roman" w:hAnsi="Times New Roman" w:cs="Times New Roman"/>
          <w:iCs/>
          <w:noProof/>
          <w:sz w:val="24"/>
          <w:szCs w:val="24"/>
        </w:rPr>
        <w:t>Lai mazinātu bērnu uzvedības</w:t>
      </w:r>
      <w:r w:rsidR="005670B4">
        <w:rPr>
          <w:rFonts w:ascii="Times New Roman" w:eastAsia="Times New Roman" w:hAnsi="Times New Roman" w:cs="Times New Roman"/>
          <w:iCs/>
          <w:noProof/>
          <w:sz w:val="24"/>
          <w:szCs w:val="24"/>
        </w:rPr>
        <w:t xml:space="preserve"> problēmu</w:t>
      </w:r>
      <w:r w:rsidRPr="0099657A">
        <w:rPr>
          <w:rFonts w:ascii="Times New Roman" w:eastAsia="Times New Roman" w:hAnsi="Times New Roman" w:cs="Times New Roman"/>
          <w:iCs/>
          <w:noProof/>
          <w:sz w:val="24"/>
          <w:szCs w:val="24"/>
        </w:rPr>
        <w:t xml:space="preserve"> veidošanās risku, nodrošinot savlaicīgu intervenci, kā arī sekmētu inovatīvu pakalpojumu sniegšanu ģimenēm ar bērniem, jo īpaši bērniem ar uzvedības traucējumiem un atkarības problēmām, plānoti </w:t>
      </w:r>
      <w:r w:rsidRPr="007323C7">
        <w:rPr>
          <w:rFonts w:ascii="Times New Roman" w:eastAsia="Times New Roman" w:hAnsi="Times New Roman" w:cs="Times New Roman"/>
          <w:b/>
          <w:iCs/>
          <w:noProof/>
          <w:sz w:val="24"/>
          <w:szCs w:val="24"/>
        </w:rPr>
        <w:t xml:space="preserve">prevencijas, diagnostikas un sociālās rehabiliācijas atbalsta pasākumi ģimenēm ar bērniem </w:t>
      </w:r>
      <w:r w:rsidR="005670B4" w:rsidRPr="007323C7">
        <w:rPr>
          <w:rFonts w:ascii="Times New Roman" w:eastAsia="Times New Roman" w:hAnsi="Times New Roman" w:cs="Times New Roman"/>
          <w:b/>
          <w:iCs/>
          <w:noProof/>
          <w:sz w:val="24"/>
          <w:szCs w:val="24"/>
        </w:rPr>
        <w:t>krīzes situācijā sociālās funkcionēšanas spēju atjaunošanai</w:t>
      </w:r>
      <w:r w:rsidRPr="007323C7">
        <w:rPr>
          <w:rFonts w:ascii="Times New Roman" w:eastAsia="Times New Roman" w:hAnsi="Times New Roman" w:cs="Times New Roman"/>
          <w:b/>
          <w:iCs/>
          <w:noProof/>
          <w:sz w:val="24"/>
          <w:szCs w:val="24"/>
        </w:rPr>
        <w:t>.</w:t>
      </w:r>
      <w:r w:rsidRPr="0099657A">
        <w:rPr>
          <w:rFonts w:ascii="Times New Roman" w:eastAsia="Times New Roman" w:hAnsi="Times New Roman" w:cs="Times New Roman"/>
          <w:iCs/>
          <w:noProof/>
          <w:sz w:val="24"/>
          <w:szCs w:val="24"/>
        </w:rPr>
        <w:t xml:space="preserve"> Uzvedības traucējumu </w:t>
      </w:r>
      <w:r w:rsidR="005670B4">
        <w:rPr>
          <w:rFonts w:ascii="Times New Roman" w:eastAsia="Times New Roman" w:hAnsi="Times New Roman" w:cs="Times New Roman"/>
          <w:iCs/>
          <w:noProof/>
          <w:sz w:val="24"/>
          <w:szCs w:val="24"/>
        </w:rPr>
        <w:t xml:space="preserve">un atkarības problēmu </w:t>
      </w:r>
      <w:r w:rsidRPr="0099657A">
        <w:rPr>
          <w:rFonts w:ascii="Times New Roman" w:eastAsia="Times New Roman" w:hAnsi="Times New Roman" w:cs="Times New Roman"/>
          <w:iCs/>
          <w:noProof/>
          <w:sz w:val="24"/>
          <w:szCs w:val="24"/>
        </w:rPr>
        <w:t>veidošanās risku mazināšanai, distresa un trauksmes pārvarēšanai nepilngadīgajiem, plānotas agrīnās intervences, t</w:t>
      </w:r>
      <w:r w:rsidR="000B2CBB">
        <w:rPr>
          <w:rFonts w:ascii="Times New Roman" w:eastAsia="Times New Roman" w:hAnsi="Times New Roman" w:cs="Times New Roman"/>
          <w:iCs/>
          <w:noProof/>
          <w:sz w:val="24"/>
          <w:szCs w:val="24"/>
        </w:rPr>
        <w:t>.sk.</w:t>
      </w:r>
      <w:r w:rsidRPr="0099657A">
        <w:rPr>
          <w:rFonts w:ascii="Times New Roman" w:eastAsia="Times New Roman" w:hAnsi="Times New Roman" w:cs="Times New Roman"/>
          <w:iCs/>
          <w:noProof/>
          <w:sz w:val="24"/>
          <w:szCs w:val="24"/>
        </w:rPr>
        <w:t>, sociālo prasmju pilnveide un jaunu pakalpojumu ieviešana riska ģimenēm, atbilstoši bērna vecumposma īpatnībām; pierādījumos balstītas rokasgrāmatas izstrāde speciālistiem, kuru profesionālā darbība ir saistīta ar darbu ar bērniem, kā arī atbalsta pakalpojumu</w:t>
      </w:r>
      <w:r w:rsidR="00DE1A8C">
        <w:rPr>
          <w:rFonts w:ascii="Times New Roman" w:eastAsia="Times New Roman" w:hAnsi="Times New Roman" w:cs="Times New Roman"/>
          <w:iCs/>
          <w:noProof/>
          <w:sz w:val="24"/>
          <w:szCs w:val="24"/>
        </w:rPr>
        <w:t xml:space="preserve"> attīstība</w:t>
      </w:r>
      <w:r w:rsidRPr="0099657A">
        <w:rPr>
          <w:rFonts w:ascii="Times New Roman" w:eastAsia="Times New Roman" w:hAnsi="Times New Roman" w:cs="Times New Roman"/>
          <w:iCs/>
          <w:noProof/>
          <w:sz w:val="24"/>
          <w:szCs w:val="24"/>
        </w:rPr>
        <w:t xml:space="preserve"> atbilstoši </w:t>
      </w:r>
      <w:r w:rsidR="00DE1A8C">
        <w:rPr>
          <w:rFonts w:ascii="Times New Roman" w:eastAsia="Times New Roman" w:hAnsi="Times New Roman" w:cs="Times New Roman"/>
          <w:iCs/>
          <w:noProof/>
          <w:sz w:val="24"/>
          <w:szCs w:val="24"/>
        </w:rPr>
        <w:t xml:space="preserve">riska ģimenes un </w:t>
      </w:r>
      <w:r w:rsidRPr="0099657A">
        <w:rPr>
          <w:rFonts w:ascii="Times New Roman" w:eastAsia="Times New Roman" w:hAnsi="Times New Roman" w:cs="Times New Roman"/>
          <w:iCs/>
          <w:noProof/>
          <w:sz w:val="24"/>
          <w:szCs w:val="24"/>
        </w:rPr>
        <w:t xml:space="preserve">bērnu individuālajām vajadzībām pēc iespējas tuvāk bērna dzīvesvietai. Plānota visaptverošas, integrētas, uz </w:t>
      </w:r>
      <w:r w:rsidR="00DE1A8C">
        <w:rPr>
          <w:rFonts w:ascii="Times New Roman" w:eastAsia="Times New Roman" w:hAnsi="Times New Roman" w:cs="Times New Roman"/>
          <w:iCs/>
          <w:noProof/>
          <w:sz w:val="24"/>
          <w:szCs w:val="24"/>
        </w:rPr>
        <w:t>riska ģimenes</w:t>
      </w:r>
      <w:r w:rsidR="00DE1A8C" w:rsidRPr="0099657A">
        <w:rPr>
          <w:rFonts w:ascii="Times New Roman" w:eastAsia="Times New Roman" w:hAnsi="Times New Roman" w:cs="Times New Roman"/>
          <w:iCs/>
          <w:noProof/>
          <w:sz w:val="24"/>
          <w:szCs w:val="24"/>
        </w:rPr>
        <w:t xml:space="preserve"> </w:t>
      </w:r>
      <w:r w:rsidRPr="0099657A">
        <w:rPr>
          <w:rFonts w:ascii="Times New Roman" w:eastAsia="Times New Roman" w:hAnsi="Times New Roman" w:cs="Times New Roman"/>
          <w:iCs/>
          <w:noProof/>
          <w:sz w:val="24"/>
          <w:szCs w:val="24"/>
        </w:rPr>
        <w:t xml:space="preserve">vajadzībām orientētas diagnostikas attīstība, tādējādi nodrošinot savlaicīgu ģimenes un bērna problemātikas atpazīšanu un rekomendāciju sniegšanu. </w:t>
      </w:r>
      <w:r w:rsidR="00DE1A8C">
        <w:rPr>
          <w:rFonts w:ascii="Times New Roman" w:eastAsia="Times New Roman" w:hAnsi="Times New Roman" w:cs="Times New Roman"/>
          <w:iCs/>
          <w:noProof/>
          <w:sz w:val="24"/>
          <w:szCs w:val="24"/>
        </w:rPr>
        <w:t>Vienlaikus</w:t>
      </w:r>
      <w:r w:rsidR="00DE1A8C" w:rsidRPr="0099657A">
        <w:rPr>
          <w:rFonts w:ascii="Times New Roman" w:eastAsia="Times New Roman" w:hAnsi="Times New Roman" w:cs="Times New Roman"/>
          <w:iCs/>
          <w:noProof/>
          <w:sz w:val="24"/>
          <w:szCs w:val="24"/>
        </w:rPr>
        <w:t xml:space="preserve"> </w:t>
      </w:r>
      <w:r w:rsidRPr="0099657A">
        <w:rPr>
          <w:rFonts w:ascii="Times New Roman" w:eastAsia="Times New Roman" w:hAnsi="Times New Roman" w:cs="Times New Roman"/>
          <w:iCs/>
          <w:noProof/>
          <w:sz w:val="24"/>
          <w:szCs w:val="24"/>
        </w:rPr>
        <w:t xml:space="preserve">plānota </w:t>
      </w:r>
      <w:r w:rsidR="00DE1A8C">
        <w:rPr>
          <w:rFonts w:ascii="Times New Roman" w:eastAsia="Times New Roman" w:hAnsi="Times New Roman" w:cs="Times New Roman"/>
          <w:iCs/>
          <w:noProof/>
          <w:sz w:val="24"/>
          <w:szCs w:val="24"/>
        </w:rPr>
        <w:t xml:space="preserve">ģimenes atbalsta tīkla izveide un efektivitātes mērīšana, kā arī </w:t>
      </w:r>
      <w:r w:rsidRPr="0099657A">
        <w:rPr>
          <w:rFonts w:ascii="Times New Roman" w:eastAsia="Times New Roman" w:hAnsi="Times New Roman" w:cs="Times New Roman"/>
          <w:iCs/>
          <w:noProof/>
          <w:sz w:val="24"/>
          <w:szCs w:val="24"/>
        </w:rPr>
        <w:t>multimodālas, pierādījumos balstītas sociālās rehabilitācijas programmu izstrāde bērniem ar psihosociāliem traucējumiem, uzvedīb</w:t>
      </w:r>
      <w:r w:rsidR="005670B4">
        <w:rPr>
          <w:rFonts w:ascii="Times New Roman" w:eastAsia="Times New Roman" w:hAnsi="Times New Roman" w:cs="Times New Roman"/>
          <w:iCs/>
          <w:noProof/>
          <w:sz w:val="24"/>
          <w:szCs w:val="24"/>
        </w:rPr>
        <w:t>as</w:t>
      </w:r>
      <w:r w:rsidRPr="0099657A">
        <w:rPr>
          <w:rFonts w:ascii="Times New Roman" w:eastAsia="Times New Roman" w:hAnsi="Times New Roman" w:cs="Times New Roman"/>
          <w:iCs/>
          <w:noProof/>
          <w:sz w:val="24"/>
          <w:szCs w:val="24"/>
        </w:rPr>
        <w:t xml:space="preserve"> un atkarības problēmām, t</w:t>
      </w:r>
      <w:r w:rsidR="000B2CBB">
        <w:rPr>
          <w:rFonts w:ascii="Times New Roman" w:eastAsia="Times New Roman" w:hAnsi="Times New Roman" w:cs="Times New Roman"/>
          <w:iCs/>
          <w:noProof/>
          <w:sz w:val="24"/>
          <w:szCs w:val="24"/>
        </w:rPr>
        <w:t>.sk.</w:t>
      </w:r>
      <w:r w:rsidRPr="0099657A">
        <w:rPr>
          <w:rFonts w:ascii="Times New Roman" w:eastAsia="Times New Roman" w:hAnsi="Times New Roman" w:cs="Times New Roman"/>
          <w:iCs/>
          <w:noProof/>
          <w:sz w:val="24"/>
          <w:szCs w:val="24"/>
        </w:rPr>
        <w:t>, starptautiskās pieredzes un prakses izpēte, speciālistu apmācības, jaunu sociālo rehabilitācijas programmu izstrāde bērniem un ģimenes locekļiem, starpprofesionāļu komandas modeļa izstrāde, apraksta un ieviešanas metodes (sadarbības shēma) izstrāde</w:t>
      </w:r>
      <w:r>
        <w:rPr>
          <w:rFonts w:ascii="Times New Roman" w:eastAsia="Times New Roman" w:hAnsi="Times New Roman" w:cs="Times New Roman"/>
          <w:iCs/>
          <w:noProof/>
          <w:sz w:val="24"/>
          <w:szCs w:val="24"/>
        </w:rPr>
        <w:t>.</w:t>
      </w:r>
    </w:p>
    <w:p w14:paraId="1523C441" w14:textId="793B3EC4" w:rsidR="00AC212B" w:rsidRPr="0099657A" w:rsidRDefault="0099657A" w:rsidP="007545BD">
      <w:pPr>
        <w:pStyle w:val="ListParagraph"/>
        <w:numPr>
          <w:ilvl w:val="0"/>
          <w:numId w:val="60"/>
        </w:numPr>
        <w:spacing w:after="0" w:line="240" w:lineRule="auto"/>
        <w:ind w:left="567" w:hanging="567"/>
        <w:jc w:val="both"/>
        <w:rPr>
          <w:rFonts w:ascii="Times New Roman" w:hAnsi="Times New Roman" w:cs="Times New Roman"/>
          <w:bCs/>
          <w:iCs/>
          <w:sz w:val="24"/>
          <w:szCs w:val="24"/>
        </w:rPr>
      </w:pPr>
      <w:r w:rsidRPr="007323C7">
        <w:rPr>
          <w:rFonts w:ascii="Times New Roman" w:eastAsia="MS PGothic" w:hAnsi="Times New Roman" w:cs="Times New Roman"/>
          <w:b/>
          <w:bCs/>
          <w:iCs/>
          <w:color w:val="000000"/>
          <w:kern w:val="24"/>
          <w:sz w:val="24"/>
          <w:szCs w:val="24"/>
        </w:rPr>
        <w:t>Atbalsta instrumentu izstrādei un ieviešanai ģimenes funkcionalitātes stiprināšanai</w:t>
      </w:r>
      <w:r w:rsidRPr="0099657A">
        <w:rPr>
          <w:rFonts w:ascii="Times New Roman" w:eastAsia="MS PGothic" w:hAnsi="Times New Roman" w:cs="Times New Roman"/>
          <w:bCs/>
          <w:iCs/>
          <w:color w:val="000000"/>
          <w:kern w:val="24"/>
          <w:sz w:val="24"/>
          <w:szCs w:val="24"/>
        </w:rPr>
        <w:t>, t</w:t>
      </w:r>
      <w:r w:rsidR="000B2CBB">
        <w:rPr>
          <w:rFonts w:ascii="Times New Roman" w:eastAsia="MS PGothic" w:hAnsi="Times New Roman" w:cs="Times New Roman"/>
          <w:bCs/>
          <w:iCs/>
          <w:color w:val="000000"/>
          <w:kern w:val="24"/>
          <w:sz w:val="24"/>
          <w:szCs w:val="24"/>
        </w:rPr>
        <w:t>.sk.,</w:t>
      </w:r>
      <w:r w:rsidRPr="0099657A">
        <w:rPr>
          <w:rFonts w:ascii="Times New Roman" w:eastAsia="MS PGothic" w:hAnsi="Times New Roman" w:cs="Times New Roman"/>
          <w:bCs/>
          <w:iCs/>
          <w:color w:val="000000"/>
          <w:kern w:val="24"/>
          <w:sz w:val="24"/>
          <w:szCs w:val="24"/>
        </w:rPr>
        <w:t xml:space="preserve"> atbalsta pakalpojumu attīstībai ģimenēm ar bērniem, plānoti pasākumi individuālā līmenī, sniedzot atbalstu ģimenes locekļiem, kas cieš no vardarbības, un pasākumi sabiedrības līmenī, mazinot ģimenes funkcionētspējas atjaunošanas ekonomisko slogu. Vienlaikus plānota profilaktisku un preventīvu pasākumu vecākiem ieviešana ar mērķi uzlabot vecāku prasmes pozitīvā bērnu disciplinēšanā, izmantojot nevardarbīgas audzināšanas metodes. Plānota atbalsta sistēmas no vardarbības ģimenē cietušām personām novērtēšana, monitoringa pilnveide vardarbības ģimenē jomā, jaunu instrumentu vardarbības pret bērniem riska mazināšanai izstrāde/aprobācija, jaunu metožu darbam ar no vardarbības cietušām un vardarbību veikušām personām pilnveide/aprobācija, informatīvu pasākumu organizēšana. Paredzēta jaunas pieejas darbā ar vardarbībā ģimenē cietušām pilngadīgām personām izmēģināšana atbilstoši individuālajām vajadzībām: </w:t>
      </w:r>
      <w:r w:rsidR="00772578">
        <w:rPr>
          <w:rFonts w:ascii="Times New Roman" w:eastAsia="MS PGothic" w:hAnsi="Times New Roman" w:cs="Times New Roman"/>
          <w:bCs/>
          <w:iCs/>
          <w:color w:val="000000"/>
          <w:kern w:val="24"/>
          <w:sz w:val="24"/>
          <w:szCs w:val="24"/>
        </w:rPr>
        <w:t xml:space="preserve">jaunu </w:t>
      </w:r>
      <w:r w:rsidRPr="0099657A">
        <w:rPr>
          <w:rFonts w:ascii="Times New Roman" w:eastAsia="MS PGothic" w:hAnsi="Times New Roman" w:cs="Times New Roman"/>
          <w:bCs/>
          <w:iCs/>
          <w:color w:val="000000"/>
          <w:kern w:val="24"/>
          <w:sz w:val="24"/>
          <w:szCs w:val="24"/>
        </w:rPr>
        <w:t>pakalpojumu no vardarbības cietušām personām no ievainojamām grupām (veci cilvēki, cilvēki ar garīga rakstura traucējumiem, ar invaliditāti, ar iepriekšējo sodāmību, personas pēc ieslodzījuma, probācijas klienti) aprobācija/ieviešana, pakalpojumu augsta riska vardarbības gadījumos attīstība un nodrošināšana, jaunās pieejas izmēģināšana mobinga, savstarpējas vardarbības bērnu un jauniešu vidū novēršanai un mazināšanai</w:t>
      </w:r>
      <w:r w:rsidR="00AC212B" w:rsidRPr="0099657A">
        <w:rPr>
          <w:rFonts w:ascii="Times New Roman" w:hAnsi="Times New Roman" w:cs="Times New Roman"/>
          <w:bCs/>
          <w:iCs/>
          <w:sz w:val="24"/>
          <w:szCs w:val="24"/>
        </w:rPr>
        <w:t>.</w:t>
      </w:r>
    </w:p>
    <w:p w14:paraId="182CAD2F" w14:textId="12DBEEEB" w:rsidR="00AC212B" w:rsidRPr="00930237" w:rsidRDefault="00AC212B" w:rsidP="007545BD">
      <w:pPr>
        <w:pStyle w:val="ListParagraph"/>
        <w:numPr>
          <w:ilvl w:val="0"/>
          <w:numId w:val="60"/>
        </w:numPr>
        <w:spacing w:after="0" w:line="240" w:lineRule="auto"/>
        <w:ind w:left="567" w:hanging="567"/>
        <w:jc w:val="both"/>
        <w:rPr>
          <w:rFonts w:ascii="Times New Roman" w:eastAsia="Calibri" w:hAnsi="Times New Roman" w:cs="Times New Roman"/>
          <w:bCs/>
          <w:sz w:val="24"/>
          <w:szCs w:val="24"/>
        </w:rPr>
      </w:pPr>
      <w:r w:rsidRPr="00930237">
        <w:rPr>
          <w:rFonts w:ascii="Times New Roman" w:eastAsia="Calibri" w:hAnsi="Times New Roman" w:cs="Times New Roman"/>
          <w:bCs/>
          <w:iCs/>
          <w:sz w:val="24"/>
          <w:szCs w:val="24"/>
        </w:rPr>
        <w:t xml:space="preserve">Speciālistu, kuru profesionālā darbība saistīta ar </w:t>
      </w:r>
      <w:r w:rsidRPr="00930237">
        <w:rPr>
          <w:rFonts w:ascii="Times New Roman" w:eastAsia="Calibri" w:hAnsi="Times New Roman" w:cs="Times New Roman"/>
          <w:b/>
          <w:bCs/>
          <w:iCs/>
          <w:sz w:val="24"/>
          <w:szCs w:val="24"/>
        </w:rPr>
        <w:t>bērnu tiesību aizsardzības nodrošināšanu</w:t>
      </w:r>
      <w:r w:rsidRPr="00930237">
        <w:rPr>
          <w:rFonts w:ascii="Times New Roman" w:eastAsia="Calibri" w:hAnsi="Times New Roman" w:cs="Times New Roman"/>
          <w:bCs/>
          <w:iCs/>
          <w:sz w:val="24"/>
          <w:szCs w:val="24"/>
        </w:rPr>
        <w:t xml:space="preserve">, kvalifikācijas un zināšanu pilnveidei un bērnu likumisko pārstāvju atbildības stiprināšanai, plānota </w:t>
      </w:r>
      <w:r w:rsidRPr="00930237">
        <w:rPr>
          <w:rFonts w:ascii="Times New Roman" w:eastAsia="Calibri" w:hAnsi="Times New Roman" w:cs="Times New Roman"/>
          <w:bCs/>
          <w:sz w:val="24"/>
          <w:szCs w:val="24"/>
        </w:rPr>
        <w:t xml:space="preserve">izglītības programmu satura izstrāde un pielāgošana atbilstoši bērnu tiesību aizsardzības sistēmas pilnveidei un speciālistu apmācība, bāriņtiesas darbinieku sertifikācijas sistēmas izstrāde un bāriņtiesu darbību regulējošo normatīvo aktu skaidrojumu izstrāde, supervīzijas bāriņtiesu darbiniekiem, kā arī informatīvie pasākumi speciālistiem un sabiedrībai kopumā bērnu tiesību aizsardzības jautājumos. </w:t>
      </w:r>
    </w:p>
    <w:p w14:paraId="04FCA710" w14:textId="1FE3F31E"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noProof/>
          <w:sz w:val="24"/>
          <w:szCs w:val="24"/>
        </w:rPr>
        <w:t xml:space="preserve">Galvenās mērķgrupas: </w:t>
      </w:r>
      <w:r w:rsidR="00050374" w:rsidRPr="00050374">
        <w:rPr>
          <w:rFonts w:ascii="Times New Roman" w:hAnsi="Times New Roman" w:cs="Times New Roman"/>
          <w:bCs/>
          <w:noProof/>
          <w:sz w:val="24"/>
          <w:szCs w:val="24"/>
        </w:rPr>
        <w:t>Bērni un ģimenes ar bērniem, t.sk. bērniem ar iespējamu vai esošo invaliditāti, bērnu vecāki/likumiskie pārstāvji, pedagogi pirmsskolas, vispārējās, profesionālās un speciālās izglītības iestādēs, sociālo pakalpojumu sniedzēji, veselības aprūpes speciālisti, kas ikdienā strādā ar bērniem, sociālie darbinieki, supervizori, speciālisti, kuru profesionālā darbība saistīta ar bērnu tiesību aizsardzību, speciālisti kas strādā ar no vardarbības cietušām un/ vai vardarbību veikušām personām, VDEĀVK, sabiedrība, pašvaldības, sociālie dienesti, izglītības pārvaldes, bāriņtiesas, bērnu pieskatīšanas pakalpojumu sniedzēji, privātās un publiskās pirmsskolas izglītības iestādes, vispārējās un speciālās izglītības iestādes, NVO, bērnu labklājības sistēmas veidošanā iesistītie politikas plānotāji un veidotāji u.c</w:t>
      </w:r>
      <w:r w:rsidRPr="00930237">
        <w:rPr>
          <w:rFonts w:ascii="Times New Roman" w:hAnsi="Times New Roman" w:cs="Times New Roman"/>
          <w:sz w:val="24"/>
          <w:szCs w:val="24"/>
        </w:rPr>
        <w:t>.</w:t>
      </w:r>
    </w:p>
    <w:p w14:paraId="6BA1D31F" w14:textId="762A88C2"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bCs/>
          <w:iCs/>
          <w:sz w:val="24"/>
          <w:szCs w:val="24"/>
        </w:rPr>
      </w:pPr>
      <w:bookmarkStart w:id="39" w:name="_Hlk67912311"/>
      <w:r w:rsidRPr="00930237">
        <w:rPr>
          <w:rFonts w:ascii="Times New Roman" w:hAnsi="Times New Roman" w:cs="Times New Roman"/>
          <w:b/>
          <w:sz w:val="24"/>
          <w:szCs w:val="24"/>
        </w:rPr>
        <w:t>Darbības, kas nodrošina vienlīdzību, iekļaušanu un nediskrimināciju</w:t>
      </w:r>
      <w:r w:rsidR="008B4343">
        <w:rPr>
          <w:rFonts w:ascii="Times New Roman" w:hAnsi="Times New Roman" w:cs="Times New Roman"/>
          <w:b/>
          <w:sz w:val="24"/>
          <w:szCs w:val="24"/>
        </w:rPr>
        <w:t>:</w:t>
      </w:r>
      <w:r w:rsidRPr="00930237">
        <w:rPr>
          <w:rFonts w:ascii="Times New Roman" w:hAnsi="Times New Roman" w:cs="Times New Roman"/>
          <w:noProof/>
          <w:sz w:val="24"/>
          <w:szCs w:val="24"/>
        </w:rPr>
        <w:t xml:space="preserve"> </w:t>
      </w:r>
      <w:bookmarkEnd w:id="39"/>
      <w:r w:rsidRPr="00930237">
        <w:rPr>
          <w:rFonts w:ascii="Times New Roman" w:hAnsi="Times New Roman" w:cs="Times New Roman"/>
          <w:noProof/>
          <w:sz w:val="24"/>
          <w:szCs w:val="24"/>
        </w:rPr>
        <w:t xml:space="preserve">Projekta vadībā un īstenošanā tiks nodrošināta informācijas un vides pieejamība, nediskriminācija pēc vecuma, dzimuma, etniskās piederības u.c. pazīmēm, vienlīdzīgu iespēju principu ievērošana u.c. pasākumi. Īstenotie pasākumi </w:t>
      </w:r>
      <w:r w:rsidRPr="00930237">
        <w:rPr>
          <w:rFonts w:ascii="Times New Roman" w:hAnsi="Times New Roman" w:cs="Times New Roman"/>
          <w:sz w:val="24"/>
          <w:szCs w:val="24"/>
        </w:rPr>
        <w:t>iekļauj vienlīdzīgu un savlaicīgu piekļuvi kvalitatīviem, ilgtspējīgiem un izmaksu ziņā pieejamiem pakalpojumiem</w:t>
      </w:r>
      <w:r w:rsidRPr="00930237">
        <w:rPr>
          <w:rFonts w:ascii="Times New Roman" w:hAnsi="Times New Roman" w:cs="Times New Roman"/>
          <w:bCs/>
          <w:iCs/>
          <w:sz w:val="24"/>
          <w:szCs w:val="24"/>
        </w:rPr>
        <w:t xml:space="preserve">. </w:t>
      </w:r>
    </w:p>
    <w:p w14:paraId="3A2D42F3" w14:textId="77777777"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noProof/>
          <w:sz w:val="24"/>
          <w:szCs w:val="24"/>
        </w:rPr>
      </w:pPr>
      <w:r w:rsidRPr="00930237">
        <w:rPr>
          <w:rFonts w:ascii="Times New Roman" w:hAnsi="Times New Roman" w:cs="Times New Roman"/>
          <w:bCs/>
          <w:iCs/>
          <w:sz w:val="24"/>
          <w:szCs w:val="24"/>
        </w:rPr>
        <w:t xml:space="preserve">Tiks īstenotas specifiskas darbības: bērnu labklājības sistēmas veidošanā iesaistīto speciālistu, t.sk. pedagogu un pakalpojumu sniedzēju apmācību un supervīziju saturā tiks iekļauti vienlīdzīgu iespēju jautājumi; paredzētas arī programmas vecākiem un bērnu aprūpē iesaistītiem speciālistiem, kas sekmē bērnu ar īpašām vajadzībām sociālo iekļaušanu. Vienlaikus paredzēti sabiedrības informēšanas pasākumi </w:t>
      </w:r>
      <w:r w:rsidRPr="00930237">
        <w:rPr>
          <w:rFonts w:ascii="Times New Roman" w:eastAsia="Times New Roman" w:hAnsi="Times New Roman" w:cs="Times New Roman"/>
          <w:iCs/>
          <w:noProof/>
          <w:sz w:val="24"/>
          <w:szCs w:val="24"/>
        </w:rPr>
        <w:t xml:space="preserve">iekļaujošas sabiedrības vērtību popularizēšanai, stiprinot sociālo iekļaušanu, dzimumu līdztiesību, darba un ģimenes dzīves saskaņošanu un vecāku prasmes. </w:t>
      </w:r>
      <w:r w:rsidRPr="00930237">
        <w:rPr>
          <w:rFonts w:ascii="Times New Roman" w:eastAsia="Calibri" w:hAnsi="Times New Roman" w:cs="Times New Roman"/>
          <w:sz w:val="24"/>
          <w:szCs w:val="24"/>
        </w:rPr>
        <w:t xml:space="preserve">Sniedzot atbalstu bērnu pieskatīšanas </w:t>
      </w:r>
      <w:r w:rsidRPr="00930237">
        <w:rPr>
          <w:rFonts w:ascii="Times New Roman" w:eastAsia="Calibri" w:hAnsi="Times New Roman" w:cs="Times New Roman"/>
          <w:bCs/>
          <w:sz w:val="24"/>
          <w:szCs w:val="24"/>
        </w:rPr>
        <w:t>pakalpojumiem</w:t>
      </w:r>
      <w:r w:rsidRPr="00930237">
        <w:rPr>
          <w:rFonts w:ascii="Times New Roman" w:eastAsia="Calibri" w:hAnsi="Times New Roman" w:cs="Times New Roman"/>
          <w:sz w:val="24"/>
          <w:szCs w:val="24"/>
        </w:rPr>
        <w:t>, tiks veicināta dzimumu līdzsvarota līdzdalība darba tirgū un tiks mazināti šķēršļi nodarbinātībai, sniedzot atbalstu nelabvēlīgākā situācijā esošām personām, lai uzsāktu darba attiecības vai iesaistītos aktivitātēs, kas veicina nodarbinātību un labāku darba un privātās dzīves līdzsvaru.</w:t>
      </w:r>
    </w:p>
    <w:p w14:paraId="756E3353" w14:textId="6C3857CA"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bookmarkStart w:id="40" w:name="_Hlk67912363"/>
      <w:r w:rsidRPr="00930237">
        <w:rPr>
          <w:rFonts w:ascii="Times New Roman" w:hAnsi="Times New Roman" w:cs="Times New Roman"/>
          <w:b/>
          <w:sz w:val="24"/>
          <w:szCs w:val="24"/>
        </w:rPr>
        <w:t>Mērķteritorijas, t.sk. plānotais teritoriālo rīku izmantojums</w:t>
      </w:r>
      <w:r w:rsidRPr="00930237">
        <w:rPr>
          <w:rFonts w:ascii="Times New Roman" w:hAnsi="Times New Roman" w:cs="Times New Roman"/>
          <w:sz w:val="24"/>
          <w:szCs w:val="24"/>
        </w:rPr>
        <w:t xml:space="preserve">: </w:t>
      </w:r>
      <w:bookmarkEnd w:id="40"/>
      <w:r w:rsidRPr="00930237">
        <w:rPr>
          <w:rFonts w:ascii="Times New Roman" w:hAnsi="Times New Roman" w:cs="Times New Roman"/>
          <w:sz w:val="24"/>
          <w:szCs w:val="24"/>
        </w:rPr>
        <w:t>Visa Latvija. Uz pierādījumiem balstītu</w:t>
      </w:r>
      <w:r w:rsidR="00772578">
        <w:rPr>
          <w:rFonts w:ascii="Times New Roman" w:hAnsi="Times New Roman" w:cs="Times New Roman"/>
          <w:sz w:val="24"/>
          <w:szCs w:val="24"/>
        </w:rPr>
        <w:t xml:space="preserve"> </w:t>
      </w:r>
      <w:r w:rsidR="00D2297D">
        <w:rPr>
          <w:rFonts w:ascii="Times New Roman" w:hAnsi="Times New Roman" w:cs="Times New Roman"/>
          <w:sz w:val="24"/>
          <w:szCs w:val="24"/>
        </w:rPr>
        <w:t>jaunievedumu</w:t>
      </w:r>
      <w:r w:rsidRPr="00930237">
        <w:rPr>
          <w:rFonts w:ascii="Times New Roman" w:hAnsi="Times New Roman" w:cs="Times New Roman"/>
          <w:sz w:val="24"/>
          <w:szCs w:val="24"/>
        </w:rPr>
        <w:t xml:space="preserve">, t.sk. prevencijas programmu adaptēšanai paredzēta ārvalstu ekspertu piesaiste un </w:t>
      </w:r>
      <w:r w:rsidRPr="00930237">
        <w:rPr>
          <w:rFonts w:ascii="Times New Roman" w:hAnsi="Times New Roman" w:cs="Times New Roman"/>
          <w:bCs/>
          <w:sz w:val="24"/>
          <w:szCs w:val="24"/>
        </w:rPr>
        <w:t>pieredzes apmaiņa</w:t>
      </w:r>
      <w:r w:rsidRPr="00930237">
        <w:rPr>
          <w:rFonts w:ascii="Times New Roman" w:hAnsi="Times New Roman" w:cs="Times New Roman"/>
          <w:sz w:val="24"/>
          <w:szCs w:val="24"/>
        </w:rPr>
        <w:t xml:space="preserve">. </w:t>
      </w:r>
      <w:r w:rsidRPr="00930237">
        <w:rPr>
          <w:rFonts w:ascii="Times New Roman" w:hAnsi="Times New Roman" w:cs="Times New Roman"/>
          <w:sz w:val="24"/>
          <w:szCs w:val="24"/>
          <w:lang w:eastAsia="lv-LV" w:bidi="lv-LV"/>
        </w:rPr>
        <w:t xml:space="preserve">Attiecībā uz bērnu pieskatīšanas un aprūpes pakalpojumu nodrošināšanu </w:t>
      </w:r>
      <w:r w:rsidR="004A58D0" w:rsidRPr="004A58D0">
        <w:rPr>
          <w:rFonts w:ascii="Times New Roman" w:hAnsi="Times New Roman" w:cs="Times New Roman"/>
          <w:sz w:val="24"/>
          <w:szCs w:val="24"/>
          <w:lang w:eastAsia="lv-LV" w:bidi="lv-LV"/>
        </w:rPr>
        <w:t>saskaņā ar RPP noteikto, atbalstu prioritāri plānots sniegt riskam pakļautajām iedzīvotāju grupām, t.sk. plānots atbalsts ģimenēm, kuru bērniem netiek nodrošināta vieta pašvaldības pirmsskolas izglītības iestādēs. Šādas ģimenes ir sociāli nevienlīdzīgākā situācijā, jo tām no saviem finanšu līdzekļiem ir jāsedz starpība, kas veidojas par privātajiem pirmsskolas pakalpojumiem, tāpēc atbalstu prioritāri plānots nodrošināt pašvaldībām, kurās ir vairāk ģimeņu, kur bērniem netiek nodrošināta vieta pašvaldības pirmsskolas izglītības iestādēs, jo īpaši pievēršot uzmanību re</w:t>
      </w:r>
      <w:r w:rsidR="00844734">
        <w:rPr>
          <w:rFonts w:ascii="Times New Roman" w:hAnsi="Times New Roman" w:cs="Times New Roman"/>
          <w:sz w:val="24"/>
          <w:szCs w:val="24"/>
          <w:lang w:eastAsia="lv-LV" w:bidi="lv-LV"/>
        </w:rPr>
        <w:t>e</w:t>
      </w:r>
      <w:r w:rsidR="004A58D0" w:rsidRPr="004A58D0">
        <w:rPr>
          <w:rFonts w:ascii="Times New Roman" w:hAnsi="Times New Roman" w:cs="Times New Roman"/>
          <w:sz w:val="24"/>
          <w:szCs w:val="24"/>
          <w:lang w:eastAsia="lv-LV" w:bidi="lv-LV"/>
        </w:rPr>
        <w:t>migrantu bērnu pirmsskolas izglītības pieejamības iespējām</w:t>
      </w:r>
      <w:r w:rsidR="004A58D0">
        <w:rPr>
          <w:rFonts w:ascii="Times New Roman" w:hAnsi="Times New Roman" w:cs="Times New Roman"/>
          <w:sz w:val="24"/>
          <w:szCs w:val="24"/>
          <w:lang w:eastAsia="lv-LV" w:bidi="lv-LV"/>
        </w:rPr>
        <w:t>.</w:t>
      </w:r>
    </w:p>
    <w:p w14:paraId="1FB3E932" w14:textId="77777777"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bookmarkStart w:id="41" w:name="_Hlk67912402"/>
      <w:r w:rsidRPr="00930237">
        <w:rPr>
          <w:rFonts w:ascii="Times New Roman" w:hAnsi="Times New Roman" w:cs="Times New Roman"/>
          <w:b/>
          <w:sz w:val="24"/>
          <w:szCs w:val="24"/>
        </w:rPr>
        <w:t xml:space="preserve">Starpreģionālās, pārrobežu un transnacionālās darbības: </w:t>
      </w:r>
      <w:r w:rsidRPr="00930237">
        <w:rPr>
          <w:rFonts w:ascii="Times New Roman" w:hAnsi="Times New Roman" w:cs="Times New Roman"/>
          <w:sz w:val="24"/>
          <w:szCs w:val="24"/>
        </w:rPr>
        <w:t>N/A</w:t>
      </w:r>
    </w:p>
    <w:p w14:paraId="5405E852" w14:textId="4041F243" w:rsidR="00AC212B" w:rsidRPr="00930237" w:rsidRDefault="0002461B" w:rsidP="007545BD">
      <w:pPr>
        <w:pStyle w:val="Normal1"/>
        <w:numPr>
          <w:ilvl w:val="0"/>
          <w:numId w:val="60"/>
        </w:numPr>
        <w:spacing w:line="240" w:lineRule="auto"/>
        <w:ind w:left="567" w:hanging="567"/>
        <w:jc w:val="both"/>
        <w:rPr>
          <w:rFonts w:ascii="Times New Roman" w:hAnsi="Times New Roman" w:cs="Times New Roman"/>
          <w:sz w:val="24"/>
          <w:szCs w:val="24"/>
        </w:rPr>
      </w:pPr>
      <w:r>
        <w:rPr>
          <w:rFonts w:ascii="Times New Roman" w:hAnsi="Times New Roman" w:cs="Times New Roman"/>
          <w:b/>
          <w:sz w:val="24"/>
          <w:szCs w:val="24"/>
        </w:rPr>
        <w:t>F</w:t>
      </w:r>
      <w:r w:rsidR="00AC212B" w:rsidRPr="00930237">
        <w:rPr>
          <w:rFonts w:ascii="Times New Roman" w:hAnsi="Times New Roman" w:cs="Times New Roman"/>
          <w:b/>
          <w:sz w:val="24"/>
          <w:szCs w:val="24"/>
        </w:rPr>
        <w:t xml:space="preserve">inanšu instrumenti: </w:t>
      </w:r>
      <w:bookmarkEnd w:id="41"/>
      <w:r w:rsidR="00AC212B" w:rsidRPr="00930237">
        <w:rPr>
          <w:rFonts w:ascii="Times New Roman" w:hAnsi="Times New Roman" w:cs="Times New Roman"/>
          <w:sz w:val="24"/>
          <w:szCs w:val="24"/>
        </w:rPr>
        <w:t>N/A</w:t>
      </w:r>
    </w:p>
    <w:p w14:paraId="01AE84BC" w14:textId="72163AB4" w:rsidR="00AC212B" w:rsidRDefault="00AC212B" w:rsidP="00AC212B">
      <w:pPr>
        <w:spacing w:before="0" w:after="0"/>
        <w:jc w:val="left"/>
        <w:rPr>
          <w:noProof/>
          <w:color w:val="FF0000"/>
          <w:szCs w:val="24"/>
        </w:rPr>
      </w:pPr>
    </w:p>
    <w:p w14:paraId="59D70A8B" w14:textId="77777777" w:rsidR="00C20E47" w:rsidRDefault="00C20E47" w:rsidP="00AC212B">
      <w:pPr>
        <w:spacing w:before="0" w:after="0"/>
        <w:jc w:val="left"/>
        <w:rPr>
          <w:noProof/>
          <w:color w:val="FF0000"/>
          <w:szCs w:val="24"/>
        </w:rPr>
      </w:pPr>
    </w:p>
    <w:p w14:paraId="4B372985" w14:textId="1981244A" w:rsidR="009F56FA" w:rsidRPr="00A6535E" w:rsidRDefault="009F56FA" w:rsidP="00A6535E">
      <w:pPr>
        <w:pStyle w:val="Heading4"/>
        <w:numPr>
          <w:ilvl w:val="0"/>
          <w:numId w:val="0"/>
        </w:numPr>
        <w:shd w:val="clear" w:color="auto" w:fill="F7CAAC" w:themeFill="accent2" w:themeFillTint="66"/>
        <w:spacing w:after="0"/>
        <w:rPr>
          <w:b/>
          <w:bCs/>
          <w:noProof/>
        </w:rPr>
      </w:pPr>
      <w:r w:rsidRPr="00A6535E">
        <w:rPr>
          <w:b/>
          <w:bCs/>
          <w:noProof/>
        </w:rPr>
        <w:t>4.4.Prioritāte “Sociālās inovācijas”</w:t>
      </w:r>
      <w:r w:rsidR="00A6535E">
        <w:rPr>
          <w:b/>
          <w:bCs/>
          <w:noProof/>
        </w:rPr>
        <w:t xml:space="preserve"> </w:t>
      </w:r>
      <w:r w:rsidR="00A6535E" w:rsidRPr="00A6535E">
        <w:rPr>
          <w:i/>
          <w:iCs/>
          <w:noProof/>
        </w:rPr>
        <w:t>(speciālā prioritāte, kas veltīta sociālām inovācijām)</w:t>
      </w:r>
    </w:p>
    <w:p w14:paraId="616DB40A" w14:textId="3CE3DA88" w:rsidR="009F56FA" w:rsidRPr="00A6535E" w:rsidRDefault="009F56FA" w:rsidP="00A6535E">
      <w:pPr>
        <w:pStyle w:val="Heading4"/>
        <w:numPr>
          <w:ilvl w:val="0"/>
          <w:numId w:val="0"/>
        </w:numPr>
        <w:shd w:val="clear" w:color="auto" w:fill="FBE4D5" w:themeFill="accent2" w:themeFillTint="33"/>
        <w:spacing w:after="0"/>
        <w:rPr>
          <w:b/>
          <w:bCs/>
          <w:noProof/>
        </w:rPr>
      </w:pPr>
      <w:bookmarkStart w:id="42" w:name="_Hlk64382648"/>
      <w:r w:rsidRPr="00A6535E">
        <w:rPr>
          <w:b/>
          <w:bCs/>
          <w:noProof/>
        </w:rPr>
        <w:t>4.4.1. SAM “</w:t>
      </w:r>
      <w:r w:rsidR="008B2309" w:rsidRPr="00A6535E">
        <w:rPr>
          <w:b/>
          <w:bCs/>
          <w:noProof/>
        </w:rPr>
        <w:t>Veicināt nabadzības vai sociālās atstumtības riskam pakļauto personu</w:t>
      </w:r>
      <w:r w:rsidR="00423D0A">
        <w:rPr>
          <w:b/>
          <w:bCs/>
          <w:noProof/>
        </w:rPr>
        <w:t xml:space="preserve"> arī vistrūcīgāko personu un bērnu,</w:t>
      </w:r>
      <w:r w:rsidR="009E1BE3" w:rsidRPr="00A6535E">
        <w:rPr>
          <w:b/>
          <w:bCs/>
          <w:noProof/>
        </w:rPr>
        <w:t xml:space="preserve"> </w:t>
      </w:r>
      <w:r w:rsidR="008B2309" w:rsidRPr="00A6535E">
        <w:rPr>
          <w:b/>
          <w:bCs/>
          <w:noProof/>
        </w:rPr>
        <w:t>sociālo integrāciju</w:t>
      </w:r>
      <w:bookmarkEnd w:id="42"/>
      <w:r w:rsidRPr="00A6535E">
        <w:rPr>
          <w:b/>
          <w:bCs/>
          <w:noProof/>
        </w:rPr>
        <w:t>”</w:t>
      </w:r>
    </w:p>
    <w:p w14:paraId="5E50774D" w14:textId="10DBCA09" w:rsidR="00331865" w:rsidRPr="00331865" w:rsidRDefault="00331865" w:rsidP="00CD767E">
      <w:pPr>
        <w:pStyle w:val="ListParagraph"/>
        <w:numPr>
          <w:ilvl w:val="0"/>
          <w:numId w:val="60"/>
        </w:numPr>
        <w:spacing w:after="0" w:line="240" w:lineRule="auto"/>
        <w:ind w:left="567" w:hanging="567"/>
        <w:jc w:val="both"/>
        <w:rPr>
          <w:rFonts w:ascii="Times New Roman" w:eastAsia="Times New Roman" w:hAnsi="Times New Roman" w:cs="Times New Roman"/>
          <w:noProof/>
          <w:color w:val="FF0000"/>
          <w:sz w:val="24"/>
          <w:szCs w:val="24"/>
        </w:rPr>
      </w:pPr>
      <w:r w:rsidRPr="00331865">
        <w:rPr>
          <w:rFonts w:ascii="Times New Roman" w:hAnsi="Times New Roman" w:cs="Times New Roman"/>
          <w:b/>
          <w:noProof/>
          <w:sz w:val="24"/>
          <w:szCs w:val="24"/>
        </w:rPr>
        <w:t>Atbalstāmās darbības</w:t>
      </w:r>
      <w:r>
        <w:rPr>
          <w:rFonts w:ascii="Times New Roman" w:hAnsi="Times New Roman" w:cs="Times New Roman"/>
          <w:b/>
          <w:noProof/>
          <w:sz w:val="24"/>
          <w:szCs w:val="24"/>
        </w:rPr>
        <w:t xml:space="preserve">: </w:t>
      </w:r>
      <w:r w:rsidRPr="00331865">
        <w:rPr>
          <w:rFonts w:ascii="Times New Roman" w:hAnsi="Times New Roman" w:cs="Times New Roman"/>
          <w:bCs/>
          <w:iCs/>
          <w:sz w:val="24"/>
          <w:szCs w:val="24"/>
        </w:rPr>
        <w:t>Inovatīvu metožu sociālo pakalpojumu visvairāk sociālās atstumtības riskam pakļauto mērķa grupas personām sniegšanā izstrāde/aprobēšana, rezultātu novērtēšana, apmācības darbam ar pasākuma mērķa grupu un konsultatīvs atbalsts sociālā pakalpojuma speciālistiem. Plānoti pierādījumos balstīti efektīvi/inovatīvi risinājumi, piemēram, atkarību izraisošo vielu un procesu patēriņa mazināšanai, paredzot sociālās inovācijas sociālās rehabilitācijas pakalpojuma nodrošināšanā pilngadīgām personām institūcijā un dzīvesvietā. Sekmējot atbalsta nodrošināšanu nemotivētiem cilvēkiem ar garīga rakstura traucējumiem, plānota jauna un inovatīva pakalpojuma attīstīšana, izstrādājot starpprofesionāļu komandas atbalsta sniegšanas modeli un to aprobējot izmēģinājumprojektā. Sociālo pakalpojumu sniegšanā paredzēta integrēta veselības, izglītības un iekšlietu jomas speciālistu sadarbība.</w:t>
      </w:r>
    </w:p>
    <w:p w14:paraId="1BEA3FD4" w14:textId="1E74C387" w:rsidR="00331865" w:rsidRPr="00331865" w:rsidRDefault="00C45F5A" w:rsidP="00CD767E">
      <w:pPr>
        <w:pStyle w:val="ListParagraph"/>
        <w:numPr>
          <w:ilvl w:val="0"/>
          <w:numId w:val="60"/>
        </w:numPr>
        <w:spacing w:after="0" w:line="240" w:lineRule="auto"/>
        <w:ind w:left="567" w:hanging="567"/>
        <w:jc w:val="both"/>
        <w:rPr>
          <w:rFonts w:ascii="Times New Roman" w:hAnsi="Times New Roman" w:cs="Times New Roman"/>
          <w:sz w:val="24"/>
          <w:szCs w:val="24"/>
        </w:rPr>
      </w:pPr>
      <w:r w:rsidRPr="00331865">
        <w:rPr>
          <w:bCs/>
          <w:iCs/>
          <w:szCs w:val="24"/>
        </w:rPr>
        <w:t xml:space="preserve"> </w:t>
      </w:r>
      <w:r w:rsidR="008B4343" w:rsidRPr="00331865">
        <w:rPr>
          <w:rFonts w:ascii="Times New Roman" w:hAnsi="Times New Roman" w:cs="Times New Roman"/>
          <w:b/>
          <w:noProof/>
          <w:sz w:val="24"/>
          <w:szCs w:val="24"/>
        </w:rPr>
        <w:t>Galvenās mērķgrupas:</w:t>
      </w:r>
      <w:r w:rsidR="00331865" w:rsidRPr="00331865">
        <w:rPr>
          <w:rFonts w:ascii="Times New Roman" w:hAnsi="Times New Roman" w:cs="Times New Roman"/>
          <w:b/>
          <w:noProof/>
          <w:sz w:val="24"/>
          <w:szCs w:val="24"/>
        </w:rPr>
        <w:t xml:space="preserve"> </w:t>
      </w:r>
      <w:r w:rsidR="00331865" w:rsidRPr="00331865">
        <w:rPr>
          <w:rFonts w:ascii="Times New Roman" w:hAnsi="Times New Roman" w:cs="Times New Roman"/>
          <w:sz w:val="24"/>
          <w:szCs w:val="24"/>
        </w:rPr>
        <w:t xml:space="preserve">cilvēki ar </w:t>
      </w:r>
      <w:r w:rsidR="00772578" w:rsidRPr="00331865">
        <w:rPr>
          <w:rFonts w:ascii="Times New Roman" w:hAnsi="Times New Roman" w:cs="Times New Roman"/>
          <w:sz w:val="24"/>
          <w:szCs w:val="24"/>
        </w:rPr>
        <w:t>funkcionāliem</w:t>
      </w:r>
      <w:r w:rsidR="00331865" w:rsidRPr="00331865">
        <w:rPr>
          <w:rFonts w:ascii="Times New Roman" w:hAnsi="Times New Roman" w:cs="Times New Roman"/>
          <w:sz w:val="24"/>
          <w:szCs w:val="24"/>
        </w:rPr>
        <w:t xml:space="preserve"> traucējumiem vai invaliditāti, pensijas vecuma cilvēki, t.sk. ar demenci, aprūpējamo personu ģimenes locekļi vai citi neformālie aprūpētāji, ģimenes ar bērniem, bezpajumtnieki, ielu bērni un jaunieši, no atkarību vielām un procesiem atkarīgas personas, ilgstošie bezdarbnieki, personas, kuras atbrīvotas no ieslodzījuma vietas, nemotivēti cilvēki ar garīga rakstura traucējumiem</w:t>
      </w:r>
      <w:r w:rsidR="00331865" w:rsidRPr="00331865">
        <w:rPr>
          <w:rFonts w:ascii="Times New Roman" w:hAnsi="Times New Roman" w:cs="Times New Roman"/>
          <w:bCs/>
          <w:iCs/>
          <w:sz w:val="24"/>
          <w:szCs w:val="24"/>
        </w:rPr>
        <w:t xml:space="preserve"> u.c. sociālās atstumtības riskam pakļautas mērķa grupu personas</w:t>
      </w:r>
      <w:r w:rsidR="00331865" w:rsidRPr="00331865">
        <w:rPr>
          <w:rFonts w:ascii="Times New Roman" w:hAnsi="Times New Roman" w:cs="Times New Roman"/>
          <w:sz w:val="24"/>
          <w:szCs w:val="24"/>
        </w:rPr>
        <w:t>.</w:t>
      </w:r>
    </w:p>
    <w:p w14:paraId="60EF5217" w14:textId="019FDB6E" w:rsidR="008B4343" w:rsidRPr="00297934" w:rsidRDefault="008B4343" w:rsidP="00CD767E">
      <w:pPr>
        <w:pStyle w:val="ListParagraph"/>
        <w:numPr>
          <w:ilvl w:val="0"/>
          <w:numId w:val="60"/>
        </w:numPr>
        <w:spacing w:after="0" w:line="240" w:lineRule="auto"/>
        <w:ind w:left="567" w:hanging="567"/>
        <w:jc w:val="both"/>
        <w:rPr>
          <w:rFonts w:ascii="Times New Roman" w:hAnsi="Times New Roman" w:cs="Times New Roman"/>
          <w:bCs/>
          <w:noProof/>
          <w:sz w:val="24"/>
          <w:szCs w:val="24"/>
        </w:rPr>
      </w:pPr>
      <w:r w:rsidRPr="00331865">
        <w:rPr>
          <w:rFonts w:ascii="Times New Roman" w:hAnsi="Times New Roman" w:cs="Times New Roman"/>
          <w:b/>
          <w:noProof/>
          <w:sz w:val="24"/>
          <w:szCs w:val="24"/>
        </w:rPr>
        <w:t xml:space="preserve">Darbības, kas nodrošina vienlīdzību, iekļaušanu un nediskrimināciju: </w:t>
      </w:r>
      <w:r w:rsidR="00297934" w:rsidRPr="00297934">
        <w:rPr>
          <w:rFonts w:ascii="Times New Roman" w:hAnsi="Times New Roman" w:cs="Times New Roman"/>
          <w:bCs/>
          <w:noProof/>
          <w:sz w:val="24"/>
          <w:szCs w:val="24"/>
        </w:rPr>
        <w:t>Projekta vadībā un īstenošanā tiks nodrošināta informācijas un vides pieejamība, nediskriminācija pēc vecuma, dzimuma, etniskās piederības u.c. pazīmēm, vienlīdzīgu iespēju principu ievērošana u.c. pasākumi. Īstenotie pasākumi ir mērķdarbības, kas nodrošina vienlīdzību, iekļaušanu un nediskrimināciju, tostarp ietver tādus pasākumus kā sabiedrībā balstītu sociālo pakalpojumu pieejamības palielināšana atbilstoši individuālajām vajadzībām, t.sk. tehnoloģiju inovācijas pakalpojumu nodrošināšanā</w:t>
      </w:r>
      <w:r w:rsidR="00297934">
        <w:rPr>
          <w:rFonts w:ascii="Times New Roman" w:hAnsi="Times New Roman" w:cs="Times New Roman"/>
          <w:bCs/>
          <w:noProof/>
          <w:sz w:val="24"/>
          <w:szCs w:val="24"/>
        </w:rPr>
        <w:t>.</w:t>
      </w:r>
    </w:p>
    <w:p w14:paraId="587962A4" w14:textId="77B2A715" w:rsidR="008B4343" w:rsidRPr="00297934" w:rsidRDefault="008B4343" w:rsidP="00CD767E">
      <w:pPr>
        <w:pStyle w:val="ListParagraph"/>
        <w:numPr>
          <w:ilvl w:val="0"/>
          <w:numId w:val="60"/>
        </w:numPr>
        <w:spacing w:after="0" w:line="240" w:lineRule="auto"/>
        <w:ind w:left="567" w:hanging="567"/>
        <w:jc w:val="both"/>
        <w:rPr>
          <w:rFonts w:ascii="Times New Roman" w:hAnsi="Times New Roman" w:cs="Times New Roman"/>
          <w:bCs/>
          <w:noProof/>
          <w:sz w:val="24"/>
          <w:szCs w:val="24"/>
        </w:rPr>
      </w:pPr>
      <w:r w:rsidRPr="00331865">
        <w:rPr>
          <w:rFonts w:ascii="Times New Roman" w:hAnsi="Times New Roman" w:cs="Times New Roman"/>
          <w:b/>
          <w:noProof/>
          <w:sz w:val="24"/>
          <w:szCs w:val="24"/>
        </w:rPr>
        <w:t>Mērķteritorijas, t.sk. plānotais teritoriālo rīku izmantojums:</w:t>
      </w:r>
      <w:r w:rsidR="00297934">
        <w:rPr>
          <w:rFonts w:ascii="Times New Roman" w:hAnsi="Times New Roman" w:cs="Times New Roman"/>
          <w:b/>
          <w:noProof/>
          <w:sz w:val="24"/>
          <w:szCs w:val="24"/>
        </w:rPr>
        <w:t xml:space="preserve"> </w:t>
      </w:r>
      <w:r w:rsidR="00297934" w:rsidRPr="00297934">
        <w:rPr>
          <w:rFonts w:ascii="Times New Roman" w:hAnsi="Times New Roman" w:cs="Times New Roman"/>
          <w:bCs/>
          <w:noProof/>
          <w:sz w:val="24"/>
          <w:szCs w:val="24"/>
        </w:rPr>
        <w:t>Visa Latvija. Inovatīvu risinājumu ieviešanu sabiedrībā balstītu sociālo pakalpojumu sniegšanā jāpamato ar pierādījumiem par plānoto darbību efektivitāti un vajadzību analīzi pašvaldību vai reģionu līmenī</w:t>
      </w:r>
      <w:r w:rsidR="00297934">
        <w:rPr>
          <w:rFonts w:ascii="Times New Roman" w:hAnsi="Times New Roman" w:cs="Times New Roman"/>
          <w:bCs/>
          <w:noProof/>
          <w:sz w:val="24"/>
          <w:szCs w:val="24"/>
        </w:rPr>
        <w:t>.</w:t>
      </w:r>
    </w:p>
    <w:p w14:paraId="4A0B3AAE" w14:textId="4DFBAB6A" w:rsidR="008B4343" w:rsidRPr="00331865" w:rsidRDefault="008B4343" w:rsidP="00CD767E">
      <w:pPr>
        <w:pStyle w:val="ListParagraph"/>
        <w:numPr>
          <w:ilvl w:val="0"/>
          <w:numId w:val="60"/>
        </w:numPr>
        <w:spacing w:after="0" w:line="240" w:lineRule="auto"/>
        <w:ind w:left="567" w:hanging="567"/>
        <w:jc w:val="both"/>
        <w:rPr>
          <w:rFonts w:ascii="Times New Roman" w:hAnsi="Times New Roman" w:cs="Times New Roman"/>
          <w:b/>
          <w:noProof/>
          <w:sz w:val="24"/>
          <w:szCs w:val="24"/>
        </w:rPr>
      </w:pPr>
      <w:r w:rsidRPr="00331865">
        <w:rPr>
          <w:rFonts w:ascii="Times New Roman" w:hAnsi="Times New Roman" w:cs="Times New Roman"/>
          <w:b/>
          <w:noProof/>
          <w:sz w:val="24"/>
          <w:szCs w:val="24"/>
        </w:rPr>
        <w:t>Starpreģionālās, pārrobežu un transnacionālās darbības:</w:t>
      </w:r>
      <w:r w:rsidR="00794A02">
        <w:rPr>
          <w:rFonts w:ascii="Times New Roman" w:hAnsi="Times New Roman" w:cs="Times New Roman"/>
          <w:b/>
          <w:noProof/>
          <w:sz w:val="24"/>
          <w:szCs w:val="24"/>
        </w:rPr>
        <w:t xml:space="preserve"> </w:t>
      </w:r>
      <w:r w:rsidR="00794A02" w:rsidRPr="00794A02">
        <w:rPr>
          <w:rFonts w:ascii="Times New Roman" w:hAnsi="Times New Roman" w:cs="Times New Roman"/>
          <w:bCs/>
          <w:noProof/>
          <w:sz w:val="24"/>
          <w:szCs w:val="24"/>
        </w:rPr>
        <w:t>Sabiedrībā balstītu sociālo pakalpojumu attīstīšanai var tikt īstenota starptautiskā sadarbība (pieredzes apmaiņa, labās prakses pārņemšana, ekspertu piesaiste u.c.).</w:t>
      </w:r>
    </w:p>
    <w:p w14:paraId="6EA5FC3B" w14:textId="4C87951F" w:rsidR="008B4343" w:rsidRPr="00331865" w:rsidRDefault="008B4343" w:rsidP="00CD767E">
      <w:pPr>
        <w:pStyle w:val="ListParagraph"/>
        <w:numPr>
          <w:ilvl w:val="0"/>
          <w:numId w:val="60"/>
        </w:numPr>
        <w:spacing w:after="0" w:line="240" w:lineRule="auto"/>
        <w:ind w:left="567" w:hanging="567"/>
        <w:rPr>
          <w:rFonts w:ascii="Times New Roman" w:hAnsi="Times New Roman" w:cs="Times New Roman"/>
          <w:b/>
          <w:noProof/>
          <w:sz w:val="24"/>
          <w:szCs w:val="24"/>
        </w:rPr>
      </w:pPr>
      <w:r w:rsidRPr="00331865">
        <w:rPr>
          <w:rFonts w:ascii="Times New Roman" w:hAnsi="Times New Roman" w:cs="Times New Roman"/>
          <w:b/>
          <w:noProof/>
          <w:sz w:val="24"/>
          <w:szCs w:val="24"/>
        </w:rPr>
        <w:t>Finanšu instrumenti:</w:t>
      </w:r>
      <w:r w:rsidR="00794A02">
        <w:rPr>
          <w:rFonts w:ascii="Times New Roman" w:hAnsi="Times New Roman" w:cs="Times New Roman"/>
          <w:bCs/>
          <w:noProof/>
          <w:sz w:val="24"/>
          <w:szCs w:val="24"/>
        </w:rPr>
        <w:t xml:space="preserve"> N/A.</w:t>
      </w:r>
    </w:p>
    <w:p w14:paraId="6BF90369" w14:textId="1BACA676" w:rsidR="003155B0" w:rsidRPr="00331865" w:rsidRDefault="003155B0" w:rsidP="00331865">
      <w:pPr>
        <w:spacing w:before="0" w:after="0"/>
        <w:jc w:val="left"/>
        <w:rPr>
          <w:b/>
          <w:noProof/>
          <w:szCs w:val="24"/>
        </w:rPr>
      </w:pPr>
      <w:r w:rsidRPr="00331865">
        <w:rPr>
          <w:b/>
          <w:noProof/>
          <w:szCs w:val="24"/>
        </w:rPr>
        <w:br w:type="page"/>
      </w:r>
    </w:p>
    <w:p w14:paraId="69849D0D" w14:textId="77777777" w:rsidR="00B471B0" w:rsidRDefault="00B471B0" w:rsidP="003155B0">
      <w:pPr>
        <w:pStyle w:val="Heading3"/>
        <w:numPr>
          <w:ilvl w:val="0"/>
          <w:numId w:val="0"/>
        </w:numPr>
        <w:spacing w:after="0"/>
        <w:rPr>
          <w:b/>
          <w:i w:val="0"/>
          <w:noProof/>
        </w:rPr>
        <w:sectPr w:rsidR="00B471B0" w:rsidSect="00B8254F">
          <w:pgSz w:w="11906" w:h="16838" w:code="9"/>
          <w:pgMar w:top="1417" w:right="1417" w:bottom="1417" w:left="1417" w:header="567" w:footer="510" w:gutter="0"/>
          <w:cols w:space="708"/>
          <w:titlePg/>
          <w:docGrid w:linePitch="360"/>
        </w:sectPr>
      </w:pPr>
    </w:p>
    <w:p w14:paraId="2792934C" w14:textId="525120F4" w:rsidR="003155B0" w:rsidRPr="00930237" w:rsidRDefault="00B471B0" w:rsidP="003155B0">
      <w:pPr>
        <w:pStyle w:val="Heading3"/>
        <w:numPr>
          <w:ilvl w:val="0"/>
          <w:numId w:val="0"/>
        </w:numPr>
        <w:spacing w:after="0"/>
        <w:rPr>
          <w:b/>
          <w:i w:val="0"/>
          <w:noProof/>
        </w:rPr>
      </w:pPr>
      <w:bookmarkStart w:id="43" w:name="_Toc69125418"/>
      <w:r>
        <w:rPr>
          <w:b/>
          <w:i w:val="0"/>
          <w:noProof/>
        </w:rPr>
        <w:t>8.tabula</w:t>
      </w:r>
      <w:r w:rsidR="005156FC">
        <w:rPr>
          <w:b/>
          <w:i w:val="0"/>
          <w:noProof/>
        </w:rPr>
        <w:t xml:space="preserve"> (2)</w:t>
      </w:r>
      <w:r>
        <w:rPr>
          <w:b/>
          <w:i w:val="0"/>
          <w:noProof/>
        </w:rPr>
        <w:t xml:space="preserve"> 4.Politiskā mērķa i</w:t>
      </w:r>
      <w:r w:rsidR="003155B0" w:rsidRPr="00930237">
        <w:rPr>
          <w:b/>
          <w:i w:val="0"/>
          <w:noProof/>
        </w:rPr>
        <w:t>znākuma rādītāji</w:t>
      </w:r>
      <w:r w:rsidR="003155B0">
        <w:rPr>
          <w:rStyle w:val="FootnoteReference"/>
          <w:b/>
          <w:i w:val="0"/>
          <w:noProof/>
        </w:rPr>
        <w:footnoteReference w:id="123"/>
      </w:r>
      <w:bookmarkEnd w:id="43"/>
    </w:p>
    <w:p w14:paraId="3D298833" w14:textId="77777777" w:rsidR="003155B0" w:rsidRPr="00930237" w:rsidRDefault="003155B0" w:rsidP="003155B0">
      <w:pPr>
        <w:spacing w:before="0" w:after="0"/>
        <w:ind w:left="1080"/>
        <w:rPr>
          <w:rFonts w:eastAsia="Times New Roman"/>
          <w:i/>
          <w:noProof/>
          <w:sz w:val="20"/>
        </w:rPr>
      </w:pPr>
    </w:p>
    <w:tbl>
      <w:tblPr>
        <w:tblW w:w="45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1788"/>
        <w:gridCol w:w="907"/>
        <w:gridCol w:w="1251"/>
        <w:gridCol w:w="3348"/>
        <w:gridCol w:w="1380"/>
        <w:gridCol w:w="1318"/>
        <w:gridCol w:w="1632"/>
      </w:tblGrid>
      <w:tr w:rsidR="003155B0" w:rsidRPr="00930237" w14:paraId="187AD3B1" w14:textId="77777777" w:rsidTr="003155B0">
        <w:trPr>
          <w:trHeight w:val="756"/>
          <w:tblHeader/>
        </w:trPr>
        <w:tc>
          <w:tcPr>
            <w:tcW w:w="476" w:type="pct"/>
            <w:shd w:val="clear" w:color="auto" w:fill="D9D9D9" w:themeFill="background1" w:themeFillShade="D9"/>
            <w:vAlign w:val="center"/>
          </w:tcPr>
          <w:p w14:paraId="7D5AF234" w14:textId="77777777" w:rsidR="003155B0" w:rsidRPr="00930237" w:rsidRDefault="003155B0" w:rsidP="003155B0">
            <w:pPr>
              <w:pStyle w:val="Text1"/>
              <w:spacing w:before="0" w:after="0"/>
              <w:ind w:left="0"/>
              <w:jc w:val="center"/>
              <w:rPr>
                <w:b/>
                <w:noProof/>
                <w:sz w:val="18"/>
                <w:szCs w:val="18"/>
              </w:rPr>
            </w:pPr>
            <w:r w:rsidRPr="00930237">
              <w:rPr>
                <w:b/>
                <w:noProof/>
                <w:sz w:val="18"/>
                <w:szCs w:val="18"/>
              </w:rPr>
              <w:t>Prioritāte</w:t>
            </w:r>
          </w:p>
        </w:tc>
        <w:tc>
          <w:tcPr>
            <w:tcW w:w="696" w:type="pct"/>
            <w:shd w:val="clear" w:color="auto" w:fill="D9D9D9" w:themeFill="background1" w:themeFillShade="D9"/>
            <w:vAlign w:val="center"/>
          </w:tcPr>
          <w:p w14:paraId="250AA164" w14:textId="77777777" w:rsidR="003155B0" w:rsidRPr="00930237" w:rsidRDefault="003155B0" w:rsidP="003155B0">
            <w:pPr>
              <w:pStyle w:val="Text1"/>
              <w:spacing w:before="0" w:after="0"/>
              <w:ind w:left="0"/>
              <w:jc w:val="center"/>
              <w:rPr>
                <w:b/>
                <w:noProof/>
                <w:sz w:val="18"/>
                <w:szCs w:val="18"/>
              </w:rPr>
            </w:pPr>
            <w:r w:rsidRPr="00930237">
              <w:rPr>
                <w:b/>
                <w:noProof/>
                <w:sz w:val="18"/>
                <w:szCs w:val="18"/>
              </w:rPr>
              <w:t>SAM</w:t>
            </w:r>
          </w:p>
        </w:tc>
        <w:tc>
          <w:tcPr>
            <w:tcW w:w="353" w:type="pct"/>
            <w:shd w:val="clear" w:color="auto" w:fill="D9D9D9" w:themeFill="background1" w:themeFillShade="D9"/>
            <w:vAlign w:val="center"/>
          </w:tcPr>
          <w:p w14:paraId="23DE2D68" w14:textId="77777777" w:rsidR="003155B0" w:rsidRPr="00930237" w:rsidRDefault="003155B0" w:rsidP="003155B0">
            <w:pPr>
              <w:pStyle w:val="Text1"/>
              <w:spacing w:before="0" w:after="0"/>
              <w:ind w:left="0"/>
              <w:jc w:val="center"/>
              <w:rPr>
                <w:b/>
                <w:noProof/>
                <w:sz w:val="18"/>
                <w:szCs w:val="18"/>
              </w:rPr>
            </w:pPr>
            <w:r w:rsidRPr="00930237">
              <w:rPr>
                <w:b/>
                <w:noProof/>
                <w:sz w:val="18"/>
                <w:szCs w:val="18"/>
              </w:rPr>
              <w:t>Fonds</w:t>
            </w:r>
          </w:p>
        </w:tc>
        <w:tc>
          <w:tcPr>
            <w:tcW w:w="487" w:type="pct"/>
            <w:shd w:val="clear" w:color="auto" w:fill="D9D9D9" w:themeFill="background1" w:themeFillShade="D9"/>
            <w:vAlign w:val="center"/>
          </w:tcPr>
          <w:p w14:paraId="1D80AB7A" w14:textId="77777777" w:rsidR="003155B0" w:rsidRPr="00930237" w:rsidRDefault="003155B0" w:rsidP="003155B0">
            <w:pPr>
              <w:pStyle w:val="Text1"/>
              <w:spacing w:before="0" w:after="0"/>
              <w:ind w:left="0"/>
              <w:jc w:val="center"/>
              <w:rPr>
                <w:b/>
                <w:noProof/>
                <w:sz w:val="18"/>
                <w:szCs w:val="18"/>
              </w:rPr>
            </w:pPr>
            <w:r w:rsidRPr="00930237">
              <w:rPr>
                <w:b/>
                <w:noProof/>
                <w:sz w:val="18"/>
                <w:szCs w:val="18"/>
              </w:rPr>
              <w:t xml:space="preserve">ID </w:t>
            </w:r>
          </w:p>
        </w:tc>
        <w:tc>
          <w:tcPr>
            <w:tcW w:w="1303" w:type="pct"/>
            <w:shd w:val="clear" w:color="auto" w:fill="D9D9D9" w:themeFill="background1" w:themeFillShade="D9"/>
            <w:vAlign w:val="center"/>
          </w:tcPr>
          <w:p w14:paraId="6C3F1FBD" w14:textId="77777777" w:rsidR="003155B0" w:rsidRPr="00930237" w:rsidRDefault="003155B0" w:rsidP="003155B0">
            <w:pPr>
              <w:pStyle w:val="Text1"/>
              <w:spacing w:before="0" w:after="0"/>
              <w:ind w:left="0"/>
              <w:jc w:val="center"/>
              <w:rPr>
                <w:b/>
                <w:noProof/>
                <w:sz w:val="18"/>
                <w:szCs w:val="18"/>
              </w:rPr>
            </w:pPr>
            <w:r w:rsidRPr="00930237">
              <w:rPr>
                <w:b/>
                <w:noProof/>
                <w:sz w:val="18"/>
                <w:szCs w:val="18"/>
              </w:rPr>
              <w:t>Rādītājs</w:t>
            </w:r>
          </w:p>
        </w:tc>
        <w:tc>
          <w:tcPr>
            <w:tcW w:w="537" w:type="pct"/>
            <w:shd w:val="clear" w:color="auto" w:fill="D9D9D9" w:themeFill="background1" w:themeFillShade="D9"/>
            <w:vAlign w:val="center"/>
          </w:tcPr>
          <w:p w14:paraId="4CB18D3F" w14:textId="77777777" w:rsidR="003155B0" w:rsidRPr="00930237" w:rsidRDefault="003155B0" w:rsidP="003155B0">
            <w:pPr>
              <w:pStyle w:val="Text1"/>
              <w:spacing w:before="0" w:after="0"/>
              <w:ind w:left="0"/>
              <w:jc w:val="center"/>
              <w:rPr>
                <w:b/>
                <w:noProof/>
                <w:sz w:val="18"/>
                <w:szCs w:val="18"/>
              </w:rPr>
            </w:pPr>
            <w:r w:rsidRPr="00930237">
              <w:rPr>
                <w:b/>
                <w:noProof/>
                <w:sz w:val="18"/>
                <w:szCs w:val="18"/>
              </w:rPr>
              <w:t>Mērvienība</w:t>
            </w:r>
          </w:p>
        </w:tc>
        <w:tc>
          <w:tcPr>
            <w:tcW w:w="513" w:type="pct"/>
            <w:shd w:val="clear" w:color="auto" w:fill="D9D9D9" w:themeFill="background1" w:themeFillShade="D9"/>
            <w:vAlign w:val="center"/>
          </w:tcPr>
          <w:p w14:paraId="52847FD4" w14:textId="77777777" w:rsidR="003155B0" w:rsidRPr="00930237" w:rsidRDefault="003155B0" w:rsidP="003155B0">
            <w:pPr>
              <w:pStyle w:val="Text1"/>
              <w:spacing w:before="0" w:after="0"/>
              <w:ind w:left="0"/>
              <w:jc w:val="center"/>
              <w:rPr>
                <w:b/>
                <w:noProof/>
                <w:sz w:val="18"/>
                <w:szCs w:val="18"/>
              </w:rPr>
            </w:pPr>
            <w:r w:rsidRPr="00930237">
              <w:rPr>
                <w:b/>
                <w:noProof/>
                <w:sz w:val="18"/>
                <w:szCs w:val="18"/>
              </w:rPr>
              <w:t>Starpposma vērtība (2024)</w:t>
            </w:r>
          </w:p>
        </w:tc>
        <w:tc>
          <w:tcPr>
            <w:tcW w:w="635" w:type="pct"/>
            <w:shd w:val="clear" w:color="auto" w:fill="D9D9D9" w:themeFill="background1" w:themeFillShade="D9"/>
            <w:vAlign w:val="center"/>
          </w:tcPr>
          <w:p w14:paraId="4028CEF8" w14:textId="77777777" w:rsidR="003155B0" w:rsidRPr="00930237" w:rsidRDefault="003155B0" w:rsidP="003155B0">
            <w:pPr>
              <w:pStyle w:val="Text1"/>
              <w:spacing w:before="0" w:after="0"/>
              <w:ind w:left="0"/>
              <w:jc w:val="center"/>
              <w:rPr>
                <w:b/>
                <w:noProof/>
                <w:sz w:val="18"/>
                <w:szCs w:val="18"/>
              </w:rPr>
            </w:pPr>
            <w:r w:rsidRPr="00930237">
              <w:rPr>
                <w:b/>
                <w:noProof/>
                <w:sz w:val="18"/>
                <w:szCs w:val="18"/>
              </w:rPr>
              <w:t>Plānotā vērtība</w:t>
            </w:r>
          </w:p>
          <w:p w14:paraId="7898C998" w14:textId="77777777" w:rsidR="003155B0" w:rsidRPr="00930237" w:rsidRDefault="003155B0" w:rsidP="003155B0">
            <w:pPr>
              <w:pStyle w:val="Text1"/>
              <w:spacing w:before="0" w:after="0"/>
              <w:ind w:left="0"/>
              <w:jc w:val="center"/>
              <w:rPr>
                <w:b/>
                <w:noProof/>
                <w:sz w:val="18"/>
                <w:szCs w:val="18"/>
              </w:rPr>
            </w:pPr>
            <w:r w:rsidRPr="00930237">
              <w:rPr>
                <w:b/>
                <w:noProof/>
                <w:sz w:val="18"/>
                <w:szCs w:val="18"/>
              </w:rPr>
              <w:t>(2029)</w:t>
            </w:r>
          </w:p>
        </w:tc>
      </w:tr>
      <w:tr w:rsidR="003155B0" w:rsidRPr="00930237" w14:paraId="4C64DBF1" w14:textId="77777777" w:rsidTr="003155B0">
        <w:trPr>
          <w:trHeight w:val="332"/>
        </w:trPr>
        <w:tc>
          <w:tcPr>
            <w:tcW w:w="476" w:type="pct"/>
          </w:tcPr>
          <w:p w14:paraId="3B17F05D" w14:textId="77777777" w:rsidR="003155B0" w:rsidRPr="00930237" w:rsidRDefault="003155B0" w:rsidP="003155B0">
            <w:pPr>
              <w:pStyle w:val="Text1"/>
              <w:spacing w:before="0" w:after="0"/>
              <w:ind w:left="0"/>
              <w:rPr>
                <w:noProof/>
                <w:sz w:val="18"/>
                <w:szCs w:val="18"/>
              </w:rPr>
            </w:pPr>
            <w:r w:rsidRPr="00930237">
              <w:rPr>
                <w:noProof/>
                <w:sz w:val="18"/>
                <w:szCs w:val="18"/>
              </w:rPr>
              <w:t>4.3.prioritāte</w:t>
            </w:r>
          </w:p>
        </w:tc>
        <w:tc>
          <w:tcPr>
            <w:tcW w:w="696" w:type="pct"/>
          </w:tcPr>
          <w:p w14:paraId="206CE911" w14:textId="77777777" w:rsidR="003155B0" w:rsidRPr="00930237" w:rsidRDefault="003155B0" w:rsidP="003155B0">
            <w:pPr>
              <w:pStyle w:val="Text1"/>
              <w:spacing w:before="0" w:after="0"/>
              <w:ind w:left="0"/>
              <w:rPr>
                <w:noProof/>
                <w:sz w:val="18"/>
                <w:szCs w:val="18"/>
              </w:rPr>
            </w:pPr>
            <w:r w:rsidRPr="00930237">
              <w:rPr>
                <w:noProof/>
                <w:sz w:val="18"/>
                <w:szCs w:val="18"/>
              </w:rPr>
              <w:t>EM: 4.3.1.SAM</w:t>
            </w:r>
          </w:p>
        </w:tc>
        <w:tc>
          <w:tcPr>
            <w:tcW w:w="353" w:type="pct"/>
          </w:tcPr>
          <w:p w14:paraId="0D35FD62" w14:textId="77777777" w:rsidR="003155B0" w:rsidRPr="00930237" w:rsidRDefault="003155B0" w:rsidP="003155B0">
            <w:pPr>
              <w:pStyle w:val="Text1"/>
              <w:spacing w:before="0" w:after="0"/>
              <w:ind w:left="0"/>
              <w:rPr>
                <w:noProof/>
                <w:sz w:val="18"/>
                <w:szCs w:val="18"/>
              </w:rPr>
            </w:pPr>
            <w:r w:rsidRPr="00930237">
              <w:rPr>
                <w:noProof/>
                <w:sz w:val="18"/>
                <w:szCs w:val="18"/>
              </w:rPr>
              <w:t>ERAF</w:t>
            </w:r>
          </w:p>
        </w:tc>
        <w:tc>
          <w:tcPr>
            <w:tcW w:w="487" w:type="pct"/>
          </w:tcPr>
          <w:p w14:paraId="6B4641A9" w14:textId="77777777" w:rsidR="003155B0" w:rsidRPr="00930237" w:rsidRDefault="003155B0" w:rsidP="003155B0">
            <w:pPr>
              <w:pStyle w:val="Text1"/>
              <w:spacing w:before="0" w:after="0"/>
              <w:ind w:left="0"/>
              <w:rPr>
                <w:sz w:val="18"/>
                <w:szCs w:val="18"/>
              </w:rPr>
            </w:pPr>
            <w:r w:rsidRPr="00930237">
              <w:rPr>
                <w:sz w:val="18"/>
                <w:szCs w:val="18"/>
              </w:rPr>
              <w:t>RCO 65</w:t>
            </w:r>
          </w:p>
        </w:tc>
        <w:tc>
          <w:tcPr>
            <w:tcW w:w="1303" w:type="pct"/>
            <w:shd w:val="clear" w:color="auto" w:fill="auto"/>
          </w:tcPr>
          <w:p w14:paraId="0151DEEB" w14:textId="77777777" w:rsidR="003155B0" w:rsidRPr="00930237" w:rsidRDefault="003155B0" w:rsidP="003155B0">
            <w:pPr>
              <w:pStyle w:val="Default"/>
              <w:spacing w:after="0" w:line="240" w:lineRule="auto"/>
              <w:jc w:val="both"/>
              <w:rPr>
                <w:color w:val="auto"/>
                <w:sz w:val="18"/>
                <w:szCs w:val="18"/>
              </w:rPr>
            </w:pPr>
            <w:r w:rsidRPr="00930237">
              <w:rPr>
                <w:color w:val="auto"/>
                <w:sz w:val="18"/>
                <w:szCs w:val="18"/>
              </w:rPr>
              <w:t>Jaunu vai modernizētu sociālo mājokļu kapacitāte</w:t>
            </w:r>
          </w:p>
        </w:tc>
        <w:tc>
          <w:tcPr>
            <w:tcW w:w="537" w:type="pct"/>
          </w:tcPr>
          <w:p w14:paraId="3CE18DDA" w14:textId="77777777" w:rsidR="003155B0" w:rsidRPr="00930237" w:rsidRDefault="003155B0" w:rsidP="003155B0">
            <w:pPr>
              <w:pStyle w:val="Text1"/>
              <w:spacing w:before="0" w:after="0"/>
              <w:ind w:left="0"/>
              <w:rPr>
                <w:noProof/>
                <w:sz w:val="18"/>
                <w:szCs w:val="18"/>
              </w:rPr>
            </w:pPr>
            <w:r w:rsidRPr="00930237">
              <w:rPr>
                <w:noProof/>
                <w:sz w:val="18"/>
                <w:szCs w:val="18"/>
              </w:rPr>
              <w:t>Personu skaits</w:t>
            </w:r>
          </w:p>
        </w:tc>
        <w:tc>
          <w:tcPr>
            <w:tcW w:w="513" w:type="pct"/>
            <w:shd w:val="clear" w:color="auto" w:fill="auto"/>
          </w:tcPr>
          <w:p w14:paraId="340BABAE" w14:textId="77777777" w:rsidR="003155B0" w:rsidRPr="00930237" w:rsidRDefault="003155B0" w:rsidP="003155B0">
            <w:pPr>
              <w:pStyle w:val="Text1"/>
              <w:spacing w:before="0" w:after="0"/>
              <w:ind w:left="0"/>
              <w:rPr>
                <w:noProof/>
                <w:sz w:val="18"/>
                <w:szCs w:val="18"/>
              </w:rPr>
            </w:pPr>
            <w:r>
              <w:rPr>
                <w:noProof/>
                <w:sz w:val="18"/>
                <w:szCs w:val="18"/>
              </w:rPr>
              <w:t xml:space="preserve">200 </w:t>
            </w:r>
          </w:p>
        </w:tc>
        <w:tc>
          <w:tcPr>
            <w:tcW w:w="635" w:type="pct"/>
            <w:shd w:val="clear" w:color="auto" w:fill="auto"/>
          </w:tcPr>
          <w:p w14:paraId="3EC5FC17" w14:textId="77777777" w:rsidR="003155B0" w:rsidRPr="00930237" w:rsidRDefault="003155B0" w:rsidP="003155B0">
            <w:pPr>
              <w:pStyle w:val="Text1"/>
              <w:spacing w:before="0" w:after="0"/>
              <w:ind w:left="0"/>
              <w:rPr>
                <w:noProof/>
                <w:sz w:val="18"/>
                <w:szCs w:val="18"/>
              </w:rPr>
            </w:pPr>
            <w:r>
              <w:rPr>
                <w:noProof/>
                <w:sz w:val="18"/>
                <w:szCs w:val="18"/>
              </w:rPr>
              <w:t xml:space="preserve">1865 </w:t>
            </w:r>
          </w:p>
        </w:tc>
      </w:tr>
      <w:tr w:rsidR="003155B0" w:rsidRPr="00930237" w14:paraId="16B7B4BD" w14:textId="77777777" w:rsidTr="003155B0">
        <w:trPr>
          <w:trHeight w:val="332"/>
        </w:trPr>
        <w:tc>
          <w:tcPr>
            <w:tcW w:w="476" w:type="pct"/>
          </w:tcPr>
          <w:p w14:paraId="5456815E" w14:textId="77777777" w:rsidR="003155B0" w:rsidRPr="00930237" w:rsidRDefault="003155B0" w:rsidP="003155B0">
            <w:pPr>
              <w:pStyle w:val="Text1"/>
              <w:spacing w:before="0" w:after="0"/>
              <w:ind w:left="0"/>
              <w:rPr>
                <w:noProof/>
                <w:sz w:val="18"/>
                <w:szCs w:val="18"/>
              </w:rPr>
            </w:pPr>
            <w:r w:rsidRPr="00930237">
              <w:rPr>
                <w:noProof/>
                <w:sz w:val="18"/>
                <w:szCs w:val="18"/>
              </w:rPr>
              <w:t>4.2.prioritāte</w:t>
            </w:r>
          </w:p>
        </w:tc>
        <w:tc>
          <w:tcPr>
            <w:tcW w:w="696" w:type="pct"/>
          </w:tcPr>
          <w:p w14:paraId="15ADE4AB" w14:textId="77777777" w:rsidR="003155B0" w:rsidRPr="00930237" w:rsidRDefault="003155B0" w:rsidP="003155B0">
            <w:pPr>
              <w:spacing w:before="0" w:after="0"/>
              <w:rPr>
                <w:noProof/>
                <w:sz w:val="18"/>
                <w:szCs w:val="18"/>
              </w:rPr>
            </w:pPr>
            <w:r w:rsidRPr="00930237">
              <w:rPr>
                <w:noProof/>
                <w:sz w:val="18"/>
                <w:szCs w:val="18"/>
              </w:rPr>
              <w:t>VARAM</w:t>
            </w:r>
            <w:r>
              <w:rPr>
                <w:noProof/>
                <w:sz w:val="18"/>
                <w:szCs w:val="18"/>
              </w:rPr>
              <w:t>/ PKC</w:t>
            </w:r>
            <w:r w:rsidRPr="00930237">
              <w:rPr>
                <w:noProof/>
                <w:sz w:val="18"/>
                <w:szCs w:val="18"/>
              </w:rPr>
              <w:t>: 4.2.1.SAM</w:t>
            </w:r>
          </w:p>
          <w:p w14:paraId="4B2A2EB7" w14:textId="77777777" w:rsidR="003155B0" w:rsidRPr="00930237" w:rsidRDefault="003155B0" w:rsidP="003155B0">
            <w:pPr>
              <w:pStyle w:val="Text1"/>
              <w:spacing w:before="0" w:after="0"/>
              <w:ind w:left="0"/>
              <w:rPr>
                <w:noProof/>
                <w:sz w:val="18"/>
                <w:szCs w:val="18"/>
              </w:rPr>
            </w:pPr>
          </w:p>
        </w:tc>
        <w:tc>
          <w:tcPr>
            <w:tcW w:w="353" w:type="pct"/>
          </w:tcPr>
          <w:p w14:paraId="2C4EFDF8" w14:textId="77777777" w:rsidR="003155B0" w:rsidRPr="00930237" w:rsidRDefault="003155B0" w:rsidP="003155B0">
            <w:pPr>
              <w:pStyle w:val="Text1"/>
              <w:spacing w:before="0" w:after="0"/>
              <w:ind w:left="0"/>
              <w:rPr>
                <w:noProof/>
                <w:sz w:val="18"/>
                <w:szCs w:val="18"/>
              </w:rPr>
            </w:pPr>
            <w:r w:rsidRPr="00930237">
              <w:rPr>
                <w:noProof/>
                <w:sz w:val="18"/>
                <w:szCs w:val="18"/>
              </w:rPr>
              <w:t>ERAF</w:t>
            </w:r>
          </w:p>
        </w:tc>
        <w:tc>
          <w:tcPr>
            <w:tcW w:w="487" w:type="pct"/>
          </w:tcPr>
          <w:p w14:paraId="6D71E49D" w14:textId="77777777" w:rsidR="003155B0" w:rsidRPr="00930237" w:rsidRDefault="003155B0" w:rsidP="003155B0">
            <w:pPr>
              <w:pStyle w:val="Text1"/>
              <w:spacing w:before="0" w:after="0"/>
              <w:ind w:left="0"/>
              <w:rPr>
                <w:sz w:val="18"/>
                <w:szCs w:val="18"/>
              </w:rPr>
            </w:pPr>
            <w:r w:rsidRPr="00930237">
              <w:rPr>
                <w:sz w:val="18"/>
                <w:szCs w:val="18"/>
              </w:rPr>
              <w:t>RCO 66</w:t>
            </w:r>
          </w:p>
        </w:tc>
        <w:tc>
          <w:tcPr>
            <w:tcW w:w="1303" w:type="pct"/>
            <w:shd w:val="clear" w:color="auto" w:fill="auto"/>
          </w:tcPr>
          <w:p w14:paraId="455C4CDA" w14:textId="77777777" w:rsidR="003155B0" w:rsidRPr="00930237" w:rsidRDefault="003155B0" w:rsidP="003155B0">
            <w:pPr>
              <w:spacing w:before="0" w:after="0"/>
              <w:rPr>
                <w:sz w:val="18"/>
                <w:szCs w:val="18"/>
              </w:rPr>
            </w:pPr>
            <w:r w:rsidRPr="00930237">
              <w:rPr>
                <w:rFonts w:eastAsia="Times New Roman"/>
                <w:sz w:val="18"/>
                <w:szCs w:val="18"/>
              </w:rPr>
              <w:t>Jaunu vai modernizētu pirmskolas izglītības iestāžu mācību telpu kapacitāte</w:t>
            </w:r>
          </w:p>
        </w:tc>
        <w:tc>
          <w:tcPr>
            <w:tcW w:w="537" w:type="pct"/>
          </w:tcPr>
          <w:p w14:paraId="00FD1DBE" w14:textId="77777777" w:rsidR="003155B0" w:rsidRPr="00930237" w:rsidRDefault="003155B0" w:rsidP="003155B0">
            <w:pPr>
              <w:pStyle w:val="Text1"/>
              <w:spacing w:before="0" w:after="0"/>
              <w:ind w:left="0"/>
              <w:rPr>
                <w:noProof/>
                <w:sz w:val="18"/>
                <w:szCs w:val="18"/>
              </w:rPr>
            </w:pPr>
            <w:r w:rsidRPr="00930237">
              <w:rPr>
                <w:noProof/>
                <w:sz w:val="18"/>
                <w:szCs w:val="18"/>
              </w:rPr>
              <w:t>Personu skaits</w:t>
            </w:r>
          </w:p>
        </w:tc>
        <w:tc>
          <w:tcPr>
            <w:tcW w:w="513" w:type="pct"/>
            <w:shd w:val="clear" w:color="auto" w:fill="auto"/>
          </w:tcPr>
          <w:p w14:paraId="096AADA3" w14:textId="77777777" w:rsidR="003155B0" w:rsidRPr="00930237" w:rsidRDefault="003155B0" w:rsidP="003155B0">
            <w:pPr>
              <w:spacing w:before="0" w:after="0"/>
              <w:rPr>
                <w:noProof/>
                <w:sz w:val="18"/>
                <w:szCs w:val="18"/>
              </w:rPr>
            </w:pPr>
            <w:r w:rsidRPr="00930237">
              <w:rPr>
                <w:noProof/>
                <w:sz w:val="18"/>
                <w:szCs w:val="18"/>
              </w:rPr>
              <w:t>VARAM: 0</w:t>
            </w:r>
          </w:p>
          <w:p w14:paraId="5C93EEC0" w14:textId="77777777" w:rsidR="003155B0" w:rsidRPr="00930237" w:rsidRDefault="003155B0" w:rsidP="003155B0">
            <w:pPr>
              <w:pStyle w:val="Text1"/>
              <w:spacing w:before="0" w:after="0"/>
              <w:ind w:left="0"/>
              <w:rPr>
                <w:noProof/>
                <w:sz w:val="18"/>
                <w:szCs w:val="18"/>
              </w:rPr>
            </w:pPr>
          </w:p>
        </w:tc>
        <w:tc>
          <w:tcPr>
            <w:tcW w:w="635" w:type="pct"/>
            <w:shd w:val="clear" w:color="auto" w:fill="auto"/>
          </w:tcPr>
          <w:p w14:paraId="323B2B5B" w14:textId="77777777" w:rsidR="003155B0" w:rsidRPr="00930237" w:rsidRDefault="003155B0" w:rsidP="003155B0">
            <w:pPr>
              <w:pStyle w:val="Text1"/>
              <w:spacing w:before="0" w:after="0"/>
              <w:ind w:left="0"/>
              <w:rPr>
                <w:noProof/>
                <w:sz w:val="18"/>
                <w:szCs w:val="18"/>
              </w:rPr>
            </w:pPr>
            <w:r w:rsidRPr="00930237">
              <w:rPr>
                <w:noProof/>
                <w:sz w:val="18"/>
                <w:szCs w:val="18"/>
              </w:rPr>
              <w:t xml:space="preserve">VARAM: </w:t>
            </w:r>
            <w:r>
              <w:rPr>
                <w:noProof/>
                <w:sz w:val="18"/>
                <w:szCs w:val="18"/>
              </w:rPr>
              <w:t>1608</w:t>
            </w:r>
          </w:p>
          <w:p w14:paraId="22FB1DEC" w14:textId="77777777" w:rsidR="003155B0" w:rsidRPr="00930237" w:rsidRDefault="003155B0" w:rsidP="003155B0">
            <w:pPr>
              <w:pStyle w:val="Text1"/>
              <w:spacing w:before="0" w:after="0"/>
              <w:ind w:left="0"/>
              <w:rPr>
                <w:noProof/>
                <w:sz w:val="18"/>
                <w:szCs w:val="18"/>
              </w:rPr>
            </w:pPr>
          </w:p>
        </w:tc>
      </w:tr>
      <w:tr w:rsidR="003155B0" w:rsidRPr="00930237" w14:paraId="1154D8C8" w14:textId="77777777" w:rsidTr="003155B0">
        <w:trPr>
          <w:trHeight w:val="332"/>
        </w:trPr>
        <w:tc>
          <w:tcPr>
            <w:tcW w:w="476" w:type="pct"/>
          </w:tcPr>
          <w:p w14:paraId="209D6D83" w14:textId="77777777" w:rsidR="003155B0" w:rsidRPr="00930237" w:rsidRDefault="003155B0" w:rsidP="003155B0">
            <w:pPr>
              <w:pStyle w:val="Text1"/>
              <w:spacing w:before="0" w:after="0"/>
              <w:ind w:left="0"/>
              <w:rPr>
                <w:noProof/>
                <w:sz w:val="18"/>
                <w:szCs w:val="18"/>
              </w:rPr>
            </w:pPr>
            <w:r w:rsidRPr="00930237">
              <w:rPr>
                <w:noProof/>
                <w:sz w:val="18"/>
                <w:szCs w:val="18"/>
              </w:rPr>
              <w:t>4.2.prioritāte</w:t>
            </w:r>
          </w:p>
        </w:tc>
        <w:tc>
          <w:tcPr>
            <w:tcW w:w="696" w:type="pct"/>
          </w:tcPr>
          <w:p w14:paraId="527EEC91" w14:textId="77777777" w:rsidR="003155B0" w:rsidRPr="00930237" w:rsidRDefault="003155B0" w:rsidP="003155B0">
            <w:pPr>
              <w:spacing w:before="0" w:after="0"/>
              <w:rPr>
                <w:noProof/>
                <w:sz w:val="18"/>
                <w:szCs w:val="18"/>
              </w:rPr>
            </w:pPr>
            <w:r w:rsidRPr="00930237">
              <w:rPr>
                <w:noProof/>
                <w:sz w:val="18"/>
                <w:szCs w:val="18"/>
              </w:rPr>
              <w:t>IZM</w:t>
            </w:r>
            <w:r>
              <w:rPr>
                <w:noProof/>
                <w:sz w:val="18"/>
                <w:szCs w:val="18"/>
              </w:rPr>
              <w:t>/ PKC</w:t>
            </w:r>
            <w:r w:rsidRPr="00930237">
              <w:rPr>
                <w:noProof/>
                <w:sz w:val="18"/>
                <w:szCs w:val="18"/>
              </w:rPr>
              <w:t>: 4.2.1.SAM</w:t>
            </w:r>
          </w:p>
          <w:p w14:paraId="6A46566F" w14:textId="77777777" w:rsidR="003155B0" w:rsidRPr="00930237" w:rsidRDefault="003155B0" w:rsidP="003155B0">
            <w:pPr>
              <w:pStyle w:val="Text1"/>
              <w:spacing w:before="0" w:after="0"/>
              <w:ind w:left="0"/>
              <w:rPr>
                <w:noProof/>
                <w:sz w:val="18"/>
                <w:szCs w:val="18"/>
              </w:rPr>
            </w:pPr>
          </w:p>
        </w:tc>
        <w:tc>
          <w:tcPr>
            <w:tcW w:w="353" w:type="pct"/>
          </w:tcPr>
          <w:p w14:paraId="276EBF69" w14:textId="77777777" w:rsidR="003155B0" w:rsidRPr="00930237" w:rsidRDefault="003155B0" w:rsidP="003155B0">
            <w:pPr>
              <w:pStyle w:val="Text1"/>
              <w:spacing w:before="0" w:after="0"/>
              <w:ind w:left="0"/>
              <w:rPr>
                <w:noProof/>
                <w:sz w:val="18"/>
                <w:szCs w:val="18"/>
              </w:rPr>
            </w:pPr>
            <w:r w:rsidRPr="00930237">
              <w:rPr>
                <w:noProof/>
                <w:sz w:val="18"/>
                <w:szCs w:val="18"/>
              </w:rPr>
              <w:t>ERAF</w:t>
            </w:r>
          </w:p>
        </w:tc>
        <w:tc>
          <w:tcPr>
            <w:tcW w:w="487" w:type="pct"/>
          </w:tcPr>
          <w:p w14:paraId="5EB1E5E0" w14:textId="77777777" w:rsidR="003155B0" w:rsidRPr="00930237" w:rsidRDefault="003155B0" w:rsidP="003155B0">
            <w:pPr>
              <w:pStyle w:val="Text1"/>
              <w:spacing w:before="0" w:after="0"/>
              <w:ind w:left="0"/>
              <w:rPr>
                <w:sz w:val="18"/>
                <w:szCs w:val="18"/>
              </w:rPr>
            </w:pPr>
            <w:r w:rsidRPr="00930237">
              <w:rPr>
                <w:sz w:val="18"/>
                <w:szCs w:val="18"/>
              </w:rPr>
              <w:t>RCO 67</w:t>
            </w:r>
          </w:p>
        </w:tc>
        <w:tc>
          <w:tcPr>
            <w:tcW w:w="1303" w:type="pct"/>
            <w:shd w:val="clear" w:color="auto" w:fill="auto"/>
          </w:tcPr>
          <w:p w14:paraId="69CCAE32" w14:textId="77777777" w:rsidR="003155B0" w:rsidRPr="00930237" w:rsidRDefault="003155B0" w:rsidP="003155B0">
            <w:pPr>
              <w:pStyle w:val="Default"/>
              <w:spacing w:after="0" w:line="240" w:lineRule="auto"/>
              <w:jc w:val="both"/>
              <w:rPr>
                <w:color w:val="auto"/>
                <w:sz w:val="18"/>
                <w:szCs w:val="18"/>
              </w:rPr>
            </w:pPr>
            <w:r w:rsidRPr="00930237">
              <w:rPr>
                <w:sz w:val="18"/>
                <w:szCs w:val="18"/>
              </w:rPr>
              <w:t>Jaunu vai modernizētu izglītības iestāžu klašu kapacitāte</w:t>
            </w:r>
          </w:p>
        </w:tc>
        <w:tc>
          <w:tcPr>
            <w:tcW w:w="537" w:type="pct"/>
          </w:tcPr>
          <w:p w14:paraId="6C439C9D" w14:textId="77777777" w:rsidR="003155B0" w:rsidRPr="00930237" w:rsidRDefault="003155B0" w:rsidP="003155B0">
            <w:pPr>
              <w:pStyle w:val="Text1"/>
              <w:spacing w:before="0" w:after="0"/>
              <w:ind w:left="0"/>
              <w:rPr>
                <w:noProof/>
                <w:sz w:val="18"/>
                <w:szCs w:val="18"/>
              </w:rPr>
            </w:pPr>
            <w:r w:rsidRPr="00930237">
              <w:rPr>
                <w:noProof/>
                <w:sz w:val="18"/>
                <w:szCs w:val="18"/>
              </w:rPr>
              <w:t>Personu skaits</w:t>
            </w:r>
          </w:p>
        </w:tc>
        <w:tc>
          <w:tcPr>
            <w:tcW w:w="513" w:type="pct"/>
            <w:shd w:val="clear" w:color="auto" w:fill="auto"/>
          </w:tcPr>
          <w:p w14:paraId="78DC14D0" w14:textId="77777777" w:rsidR="003155B0" w:rsidRDefault="003155B0" w:rsidP="003155B0">
            <w:pPr>
              <w:pStyle w:val="Text1"/>
              <w:spacing w:before="0" w:after="0"/>
              <w:ind w:left="0"/>
              <w:rPr>
                <w:noProof/>
                <w:sz w:val="18"/>
                <w:szCs w:val="18"/>
              </w:rPr>
            </w:pPr>
            <w:r w:rsidRPr="00930237">
              <w:rPr>
                <w:noProof/>
                <w:sz w:val="18"/>
                <w:szCs w:val="18"/>
              </w:rPr>
              <w:t xml:space="preserve">IZM: </w:t>
            </w:r>
            <w:r>
              <w:rPr>
                <w:noProof/>
                <w:sz w:val="18"/>
                <w:szCs w:val="18"/>
              </w:rPr>
              <w:t>1288</w:t>
            </w:r>
          </w:p>
          <w:p w14:paraId="2E17716A" w14:textId="77777777" w:rsidR="003155B0" w:rsidRPr="00930237" w:rsidRDefault="003155B0" w:rsidP="003155B0">
            <w:pPr>
              <w:pStyle w:val="Text1"/>
              <w:spacing w:before="0" w:after="0"/>
              <w:ind w:left="0"/>
              <w:rPr>
                <w:noProof/>
                <w:sz w:val="18"/>
                <w:szCs w:val="18"/>
              </w:rPr>
            </w:pPr>
          </w:p>
        </w:tc>
        <w:tc>
          <w:tcPr>
            <w:tcW w:w="635" w:type="pct"/>
            <w:shd w:val="clear" w:color="auto" w:fill="auto"/>
          </w:tcPr>
          <w:p w14:paraId="5466C11B" w14:textId="77777777" w:rsidR="003155B0" w:rsidRPr="00930237" w:rsidRDefault="003155B0" w:rsidP="003155B0">
            <w:pPr>
              <w:spacing w:before="0" w:after="0"/>
              <w:rPr>
                <w:noProof/>
                <w:sz w:val="18"/>
                <w:szCs w:val="18"/>
              </w:rPr>
            </w:pPr>
            <w:r w:rsidRPr="00930237">
              <w:rPr>
                <w:noProof/>
                <w:sz w:val="18"/>
                <w:szCs w:val="18"/>
              </w:rPr>
              <w:t xml:space="preserve">IZM: </w:t>
            </w:r>
            <w:r>
              <w:rPr>
                <w:noProof/>
                <w:sz w:val="18"/>
                <w:szCs w:val="18"/>
              </w:rPr>
              <w:t>14 538</w:t>
            </w:r>
          </w:p>
          <w:p w14:paraId="050AFB3C" w14:textId="77777777" w:rsidR="003155B0" w:rsidRPr="00930237" w:rsidRDefault="003155B0" w:rsidP="003155B0">
            <w:pPr>
              <w:pStyle w:val="Text1"/>
              <w:spacing w:before="0" w:after="0"/>
              <w:ind w:left="0"/>
              <w:rPr>
                <w:noProof/>
                <w:sz w:val="18"/>
                <w:szCs w:val="18"/>
              </w:rPr>
            </w:pPr>
          </w:p>
        </w:tc>
      </w:tr>
      <w:tr w:rsidR="003155B0" w:rsidRPr="00930237" w14:paraId="70744777" w14:textId="77777777" w:rsidTr="003155B0">
        <w:trPr>
          <w:trHeight w:val="332"/>
        </w:trPr>
        <w:tc>
          <w:tcPr>
            <w:tcW w:w="476" w:type="pct"/>
            <w:shd w:val="clear" w:color="auto" w:fill="auto"/>
          </w:tcPr>
          <w:p w14:paraId="7F0D3C08" w14:textId="77777777" w:rsidR="003155B0" w:rsidRPr="00930237" w:rsidRDefault="003155B0" w:rsidP="003155B0">
            <w:pPr>
              <w:pStyle w:val="Text1"/>
              <w:spacing w:before="0" w:after="0"/>
              <w:ind w:left="0"/>
              <w:rPr>
                <w:noProof/>
                <w:sz w:val="18"/>
                <w:szCs w:val="18"/>
              </w:rPr>
            </w:pPr>
            <w:r w:rsidRPr="00930237">
              <w:rPr>
                <w:noProof/>
                <w:sz w:val="18"/>
                <w:szCs w:val="18"/>
              </w:rPr>
              <w:t>4.1.prioritāte</w:t>
            </w:r>
          </w:p>
        </w:tc>
        <w:tc>
          <w:tcPr>
            <w:tcW w:w="696" w:type="pct"/>
            <w:shd w:val="clear" w:color="auto" w:fill="auto"/>
          </w:tcPr>
          <w:p w14:paraId="39C4F4C5" w14:textId="77777777" w:rsidR="003155B0" w:rsidRPr="00930237" w:rsidRDefault="003155B0" w:rsidP="003155B0">
            <w:pPr>
              <w:pStyle w:val="Text1"/>
              <w:spacing w:before="0" w:after="0"/>
              <w:ind w:left="0"/>
              <w:rPr>
                <w:noProof/>
                <w:sz w:val="18"/>
                <w:szCs w:val="18"/>
              </w:rPr>
            </w:pPr>
            <w:r w:rsidRPr="00930237">
              <w:rPr>
                <w:noProof/>
                <w:sz w:val="18"/>
                <w:szCs w:val="18"/>
              </w:rPr>
              <w:t>4.1.1.SAM</w:t>
            </w:r>
          </w:p>
        </w:tc>
        <w:tc>
          <w:tcPr>
            <w:tcW w:w="353" w:type="pct"/>
            <w:shd w:val="clear" w:color="auto" w:fill="auto"/>
          </w:tcPr>
          <w:p w14:paraId="53EEF8C4" w14:textId="77777777" w:rsidR="003155B0" w:rsidRPr="00930237" w:rsidRDefault="003155B0" w:rsidP="003155B0">
            <w:pPr>
              <w:pStyle w:val="Text1"/>
              <w:spacing w:before="0" w:after="0"/>
              <w:ind w:left="0"/>
              <w:rPr>
                <w:noProof/>
                <w:sz w:val="18"/>
                <w:szCs w:val="18"/>
              </w:rPr>
            </w:pPr>
            <w:r w:rsidRPr="00930237">
              <w:rPr>
                <w:noProof/>
                <w:sz w:val="18"/>
                <w:szCs w:val="18"/>
              </w:rPr>
              <w:t>ERAF</w:t>
            </w:r>
          </w:p>
        </w:tc>
        <w:tc>
          <w:tcPr>
            <w:tcW w:w="487" w:type="pct"/>
            <w:shd w:val="clear" w:color="auto" w:fill="auto"/>
          </w:tcPr>
          <w:p w14:paraId="11CA50D2" w14:textId="77777777" w:rsidR="003155B0" w:rsidRPr="00930237" w:rsidRDefault="003155B0" w:rsidP="003155B0">
            <w:pPr>
              <w:pStyle w:val="Text1"/>
              <w:spacing w:before="0" w:after="0"/>
              <w:ind w:left="0"/>
              <w:rPr>
                <w:sz w:val="18"/>
                <w:szCs w:val="18"/>
              </w:rPr>
            </w:pPr>
            <w:r w:rsidRPr="00930237">
              <w:rPr>
                <w:sz w:val="18"/>
                <w:szCs w:val="18"/>
              </w:rPr>
              <w:t>RCO 69</w:t>
            </w:r>
          </w:p>
        </w:tc>
        <w:tc>
          <w:tcPr>
            <w:tcW w:w="1303" w:type="pct"/>
            <w:shd w:val="clear" w:color="auto" w:fill="auto"/>
          </w:tcPr>
          <w:p w14:paraId="198B450F" w14:textId="77777777" w:rsidR="003155B0" w:rsidRPr="00930237" w:rsidRDefault="003155B0" w:rsidP="003155B0">
            <w:pPr>
              <w:pStyle w:val="Default"/>
              <w:spacing w:after="0" w:line="240" w:lineRule="auto"/>
              <w:jc w:val="both"/>
              <w:rPr>
                <w:color w:val="auto"/>
                <w:sz w:val="18"/>
                <w:szCs w:val="18"/>
              </w:rPr>
            </w:pPr>
            <w:r w:rsidRPr="00930237">
              <w:rPr>
                <w:color w:val="auto"/>
                <w:sz w:val="18"/>
                <w:szCs w:val="18"/>
              </w:rPr>
              <w:t>Jaunu vai modernizētu veselības aprūpes iestāžu kapacitāte</w:t>
            </w:r>
          </w:p>
        </w:tc>
        <w:tc>
          <w:tcPr>
            <w:tcW w:w="537" w:type="pct"/>
            <w:shd w:val="clear" w:color="auto" w:fill="auto"/>
          </w:tcPr>
          <w:p w14:paraId="0EE50FD8" w14:textId="77777777" w:rsidR="003155B0" w:rsidRPr="00930237" w:rsidRDefault="003155B0" w:rsidP="003155B0">
            <w:pPr>
              <w:pStyle w:val="Text1"/>
              <w:spacing w:before="0" w:after="0"/>
              <w:ind w:left="0"/>
              <w:rPr>
                <w:noProof/>
                <w:sz w:val="18"/>
                <w:szCs w:val="18"/>
              </w:rPr>
            </w:pPr>
            <w:r w:rsidRPr="00930237">
              <w:rPr>
                <w:sz w:val="18"/>
                <w:szCs w:val="18"/>
              </w:rPr>
              <w:t>Personas / gadā</w:t>
            </w:r>
          </w:p>
        </w:tc>
        <w:tc>
          <w:tcPr>
            <w:tcW w:w="513" w:type="pct"/>
            <w:shd w:val="clear" w:color="auto" w:fill="auto"/>
          </w:tcPr>
          <w:p w14:paraId="049D7836" w14:textId="77777777" w:rsidR="003155B0" w:rsidRPr="00930237" w:rsidRDefault="003155B0" w:rsidP="003155B0">
            <w:pPr>
              <w:pStyle w:val="Text1"/>
              <w:spacing w:before="0" w:after="0"/>
              <w:ind w:left="0"/>
              <w:rPr>
                <w:noProof/>
                <w:sz w:val="18"/>
                <w:szCs w:val="18"/>
              </w:rPr>
            </w:pPr>
            <w:r w:rsidRPr="00930237">
              <w:rPr>
                <w:sz w:val="18"/>
                <w:szCs w:val="18"/>
              </w:rPr>
              <w:t xml:space="preserve"> 0</w:t>
            </w:r>
          </w:p>
        </w:tc>
        <w:tc>
          <w:tcPr>
            <w:tcW w:w="635" w:type="pct"/>
            <w:shd w:val="clear" w:color="auto" w:fill="auto"/>
          </w:tcPr>
          <w:p w14:paraId="28195F93" w14:textId="77777777" w:rsidR="003155B0" w:rsidRPr="00930237" w:rsidRDefault="003155B0" w:rsidP="003155B0">
            <w:pPr>
              <w:pStyle w:val="Text1"/>
              <w:spacing w:before="0" w:after="0"/>
              <w:ind w:left="0"/>
              <w:rPr>
                <w:noProof/>
                <w:sz w:val="18"/>
                <w:szCs w:val="18"/>
              </w:rPr>
            </w:pPr>
            <w:r w:rsidRPr="00930237">
              <w:rPr>
                <w:sz w:val="18"/>
                <w:szCs w:val="18"/>
              </w:rPr>
              <w:t>1 746 604</w:t>
            </w:r>
          </w:p>
        </w:tc>
      </w:tr>
      <w:tr w:rsidR="003155B0" w:rsidRPr="00930237" w14:paraId="4A0EBA3D" w14:textId="77777777" w:rsidTr="003155B0">
        <w:trPr>
          <w:trHeight w:val="332"/>
        </w:trPr>
        <w:tc>
          <w:tcPr>
            <w:tcW w:w="476" w:type="pct"/>
          </w:tcPr>
          <w:p w14:paraId="37E6A1DB" w14:textId="77777777" w:rsidR="003155B0" w:rsidRPr="00930237" w:rsidRDefault="003155B0" w:rsidP="003155B0">
            <w:pPr>
              <w:pStyle w:val="Text1"/>
              <w:spacing w:before="0" w:after="0"/>
              <w:ind w:left="0"/>
              <w:rPr>
                <w:noProof/>
                <w:sz w:val="18"/>
                <w:szCs w:val="18"/>
              </w:rPr>
            </w:pPr>
            <w:r w:rsidRPr="00930237">
              <w:rPr>
                <w:noProof/>
                <w:sz w:val="18"/>
                <w:szCs w:val="18"/>
              </w:rPr>
              <w:t>4.3.prioritāte</w:t>
            </w:r>
          </w:p>
        </w:tc>
        <w:tc>
          <w:tcPr>
            <w:tcW w:w="696" w:type="pct"/>
          </w:tcPr>
          <w:p w14:paraId="25DC31B1" w14:textId="77777777" w:rsidR="003155B0" w:rsidRPr="00930237" w:rsidRDefault="003155B0" w:rsidP="003155B0">
            <w:pPr>
              <w:pStyle w:val="Text1"/>
              <w:spacing w:before="0" w:after="0"/>
              <w:ind w:left="0"/>
              <w:rPr>
                <w:noProof/>
                <w:sz w:val="18"/>
                <w:szCs w:val="18"/>
              </w:rPr>
            </w:pPr>
            <w:r w:rsidRPr="00930237">
              <w:rPr>
                <w:noProof/>
                <w:sz w:val="18"/>
                <w:szCs w:val="18"/>
              </w:rPr>
              <w:t>4.3.1.SAM</w:t>
            </w:r>
          </w:p>
        </w:tc>
        <w:tc>
          <w:tcPr>
            <w:tcW w:w="353" w:type="pct"/>
          </w:tcPr>
          <w:p w14:paraId="0B6B12B2" w14:textId="77777777" w:rsidR="003155B0" w:rsidRPr="00930237" w:rsidRDefault="003155B0" w:rsidP="003155B0">
            <w:pPr>
              <w:pStyle w:val="Text1"/>
              <w:spacing w:before="0" w:after="0"/>
              <w:ind w:left="0"/>
              <w:rPr>
                <w:noProof/>
                <w:sz w:val="18"/>
                <w:szCs w:val="18"/>
              </w:rPr>
            </w:pPr>
            <w:r w:rsidRPr="00930237">
              <w:rPr>
                <w:noProof/>
                <w:sz w:val="18"/>
                <w:szCs w:val="18"/>
              </w:rPr>
              <w:t>ERAF</w:t>
            </w:r>
          </w:p>
        </w:tc>
        <w:tc>
          <w:tcPr>
            <w:tcW w:w="487" w:type="pct"/>
          </w:tcPr>
          <w:p w14:paraId="25B8DD67" w14:textId="77777777" w:rsidR="003155B0" w:rsidRPr="00930237" w:rsidRDefault="003155B0" w:rsidP="003155B0">
            <w:pPr>
              <w:pStyle w:val="Text1"/>
              <w:spacing w:before="0" w:after="0"/>
              <w:ind w:left="0"/>
              <w:rPr>
                <w:sz w:val="18"/>
                <w:szCs w:val="18"/>
              </w:rPr>
            </w:pPr>
            <w:r w:rsidRPr="00930237">
              <w:rPr>
                <w:sz w:val="18"/>
                <w:szCs w:val="18"/>
              </w:rPr>
              <w:t>RCO 70</w:t>
            </w:r>
          </w:p>
        </w:tc>
        <w:tc>
          <w:tcPr>
            <w:tcW w:w="1303" w:type="pct"/>
            <w:shd w:val="clear" w:color="auto" w:fill="auto"/>
          </w:tcPr>
          <w:p w14:paraId="40128EBC" w14:textId="77777777" w:rsidR="003155B0" w:rsidRPr="00930237" w:rsidRDefault="003155B0" w:rsidP="003155B0">
            <w:pPr>
              <w:pStyle w:val="Default"/>
              <w:spacing w:after="0" w:line="240" w:lineRule="auto"/>
              <w:jc w:val="both"/>
              <w:rPr>
                <w:color w:val="auto"/>
                <w:sz w:val="18"/>
                <w:szCs w:val="18"/>
              </w:rPr>
            </w:pPr>
            <w:r w:rsidRPr="00930237">
              <w:rPr>
                <w:color w:val="auto"/>
                <w:sz w:val="18"/>
                <w:szCs w:val="18"/>
              </w:rPr>
              <w:t>Jaunu vai modernizētu sociālās aprūpes iestāžu (izņemot sociālo mājokļu) kapacitāte</w:t>
            </w:r>
          </w:p>
        </w:tc>
        <w:tc>
          <w:tcPr>
            <w:tcW w:w="537" w:type="pct"/>
          </w:tcPr>
          <w:p w14:paraId="22FAA5BB" w14:textId="77777777" w:rsidR="003155B0" w:rsidRPr="00930237" w:rsidRDefault="003155B0" w:rsidP="003155B0">
            <w:pPr>
              <w:pStyle w:val="Text1"/>
              <w:spacing w:before="0" w:after="0"/>
              <w:ind w:left="0"/>
              <w:rPr>
                <w:noProof/>
                <w:sz w:val="18"/>
                <w:szCs w:val="18"/>
              </w:rPr>
            </w:pPr>
            <w:r w:rsidRPr="00930237">
              <w:rPr>
                <w:sz w:val="18"/>
                <w:szCs w:val="18"/>
              </w:rPr>
              <w:t>Personas / gadā</w:t>
            </w:r>
          </w:p>
        </w:tc>
        <w:tc>
          <w:tcPr>
            <w:tcW w:w="513" w:type="pct"/>
            <w:shd w:val="clear" w:color="auto" w:fill="auto"/>
          </w:tcPr>
          <w:p w14:paraId="04B4ABD6" w14:textId="77777777" w:rsidR="003155B0" w:rsidRPr="00930237" w:rsidRDefault="003155B0" w:rsidP="003155B0">
            <w:pPr>
              <w:pStyle w:val="Text1"/>
              <w:spacing w:before="0" w:after="0"/>
              <w:ind w:left="0"/>
              <w:rPr>
                <w:noProof/>
                <w:sz w:val="18"/>
                <w:szCs w:val="18"/>
              </w:rPr>
            </w:pPr>
            <w:r w:rsidRPr="00930237">
              <w:rPr>
                <w:noProof/>
                <w:sz w:val="18"/>
                <w:szCs w:val="18"/>
              </w:rPr>
              <w:t>0</w:t>
            </w:r>
          </w:p>
        </w:tc>
        <w:tc>
          <w:tcPr>
            <w:tcW w:w="635" w:type="pct"/>
            <w:shd w:val="clear" w:color="auto" w:fill="auto"/>
          </w:tcPr>
          <w:p w14:paraId="2230ED5C" w14:textId="77777777" w:rsidR="003155B0" w:rsidRPr="00930237" w:rsidRDefault="003155B0" w:rsidP="003155B0">
            <w:pPr>
              <w:pStyle w:val="Text1"/>
              <w:spacing w:before="0" w:after="0"/>
              <w:ind w:left="0"/>
              <w:rPr>
                <w:noProof/>
                <w:sz w:val="18"/>
                <w:szCs w:val="18"/>
              </w:rPr>
            </w:pPr>
            <w:r>
              <w:rPr>
                <w:noProof/>
                <w:sz w:val="18"/>
                <w:szCs w:val="18"/>
              </w:rPr>
              <w:t>120</w:t>
            </w:r>
          </w:p>
        </w:tc>
      </w:tr>
      <w:tr w:rsidR="003155B0" w:rsidRPr="00930237" w14:paraId="66617527" w14:textId="77777777" w:rsidTr="003155B0">
        <w:trPr>
          <w:trHeight w:val="332"/>
        </w:trPr>
        <w:tc>
          <w:tcPr>
            <w:tcW w:w="476" w:type="pct"/>
            <w:shd w:val="clear" w:color="auto" w:fill="auto"/>
          </w:tcPr>
          <w:p w14:paraId="320B8B81" w14:textId="77777777" w:rsidR="003155B0" w:rsidRPr="00930237" w:rsidRDefault="003155B0" w:rsidP="003155B0">
            <w:pPr>
              <w:pStyle w:val="Text1"/>
              <w:spacing w:before="0" w:after="0"/>
              <w:ind w:left="0"/>
              <w:rPr>
                <w:noProof/>
                <w:sz w:val="18"/>
                <w:szCs w:val="18"/>
              </w:rPr>
            </w:pPr>
            <w:r w:rsidRPr="00930237">
              <w:rPr>
                <w:noProof/>
                <w:sz w:val="18"/>
                <w:szCs w:val="18"/>
              </w:rPr>
              <w:t>4.3.prioritāte</w:t>
            </w:r>
          </w:p>
        </w:tc>
        <w:tc>
          <w:tcPr>
            <w:tcW w:w="696" w:type="pct"/>
            <w:shd w:val="clear" w:color="auto" w:fill="auto"/>
          </w:tcPr>
          <w:p w14:paraId="7FF3A96E" w14:textId="77777777" w:rsidR="003155B0" w:rsidRPr="00930237" w:rsidRDefault="003155B0" w:rsidP="003155B0">
            <w:pPr>
              <w:pStyle w:val="Text1"/>
              <w:spacing w:before="0" w:after="0"/>
              <w:ind w:left="0"/>
              <w:rPr>
                <w:noProof/>
                <w:sz w:val="18"/>
                <w:szCs w:val="18"/>
              </w:rPr>
            </w:pPr>
            <w:r>
              <w:rPr>
                <w:noProof/>
                <w:sz w:val="18"/>
                <w:szCs w:val="18"/>
              </w:rPr>
              <w:t>4.3.3.SAM</w:t>
            </w:r>
          </w:p>
        </w:tc>
        <w:tc>
          <w:tcPr>
            <w:tcW w:w="353" w:type="pct"/>
            <w:shd w:val="clear" w:color="auto" w:fill="auto"/>
          </w:tcPr>
          <w:p w14:paraId="41B7CB6F" w14:textId="77777777" w:rsidR="003155B0" w:rsidRPr="00930237" w:rsidRDefault="003155B0" w:rsidP="003155B0">
            <w:pPr>
              <w:pStyle w:val="Text1"/>
              <w:spacing w:before="0" w:after="0"/>
              <w:ind w:left="0"/>
              <w:rPr>
                <w:noProof/>
                <w:sz w:val="18"/>
                <w:szCs w:val="18"/>
              </w:rPr>
            </w:pPr>
            <w:r w:rsidRPr="00930237">
              <w:rPr>
                <w:noProof/>
                <w:sz w:val="18"/>
                <w:szCs w:val="18"/>
              </w:rPr>
              <w:t>ESF</w:t>
            </w:r>
          </w:p>
        </w:tc>
        <w:tc>
          <w:tcPr>
            <w:tcW w:w="487" w:type="pct"/>
            <w:shd w:val="clear" w:color="auto" w:fill="auto"/>
          </w:tcPr>
          <w:p w14:paraId="43043F82" w14:textId="77777777" w:rsidR="003155B0" w:rsidRPr="00930237" w:rsidRDefault="003155B0" w:rsidP="003155B0">
            <w:pPr>
              <w:pStyle w:val="Text1"/>
              <w:spacing w:before="0" w:after="0"/>
              <w:ind w:left="0"/>
              <w:rPr>
                <w:sz w:val="18"/>
                <w:szCs w:val="18"/>
              </w:rPr>
            </w:pPr>
            <w:r w:rsidRPr="00930237">
              <w:rPr>
                <w:sz w:val="18"/>
                <w:szCs w:val="18"/>
              </w:rPr>
              <w:t>CO01</w:t>
            </w:r>
          </w:p>
        </w:tc>
        <w:tc>
          <w:tcPr>
            <w:tcW w:w="1303" w:type="pct"/>
            <w:shd w:val="clear" w:color="auto" w:fill="auto"/>
          </w:tcPr>
          <w:p w14:paraId="1505446F" w14:textId="77777777" w:rsidR="003155B0" w:rsidRPr="00930237" w:rsidRDefault="003155B0" w:rsidP="003155B0">
            <w:pPr>
              <w:pStyle w:val="Default"/>
              <w:spacing w:after="0" w:line="240" w:lineRule="auto"/>
              <w:jc w:val="both"/>
              <w:rPr>
                <w:color w:val="auto"/>
                <w:sz w:val="18"/>
                <w:szCs w:val="18"/>
              </w:rPr>
            </w:pPr>
            <w:r w:rsidRPr="00930237">
              <w:rPr>
                <w:color w:val="auto"/>
                <w:sz w:val="18"/>
                <w:szCs w:val="18"/>
                <w:lang w:eastAsia="en-GB"/>
              </w:rPr>
              <w:t>Bezdarbnieki, tostarp ilgstošie bezdarbnieki</w:t>
            </w:r>
          </w:p>
        </w:tc>
        <w:tc>
          <w:tcPr>
            <w:tcW w:w="537" w:type="pct"/>
            <w:shd w:val="clear" w:color="auto" w:fill="auto"/>
          </w:tcPr>
          <w:p w14:paraId="061F0083" w14:textId="77777777" w:rsidR="003155B0" w:rsidRPr="00930237" w:rsidRDefault="003155B0" w:rsidP="003155B0">
            <w:pPr>
              <w:pStyle w:val="Text1"/>
              <w:spacing w:before="0" w:after="0"/>
              <w:ind w:left="0"/>
              <w:rPr>
                <w:noProof/>
                <w:sz w:val="18"/>
                <w:szCs w:val="18"/>
              </w:rPr>
            </w:pPr>
            <w:r w:rsidRPr="00930237">
              <w:rPr>
                <w:noProof/>
                <w:sz w:val="18"/>
                <w:szCs w:val="18"/>
              </w:rPr>
              <w:t>Personu skaits</w:t>
            </w:r>
          </w:p>
        </w:tc>
        <w:tc>
          <w:tcPr>
            <w:tcW w:w="513" w:type="pct"/>
            <w:shd w:val="clear" w:color="auto" w:fill="auto"/>
          </w:tcPr>
          <w:p w14:paraId="6E635F2E" w14:textId="77777777" w:rsidR="003155B0" w:rsidRPr="00930237" w:rsidRDefault="003155B0" w:rsidP="003155B0">
            <w:pPr>
              <w:spacing w:before="0" w:after="0"/>
              <w:rPr>
                <w:noProof/>
                <w:sz w:val="18"/>
                <w:szCs w:val="18"/>
              </w:rPr>
            </w:pPr>
            <w:r>
              <w:rPr>
                <w:noProof/>
                <w:sz w:val="18"/>
                <w:szCs w:val="18"/>
              </w:rPr>
              <w:t>690</w:t>
            </w:r>
          </w:p>
          <w:p w14:paraId="75474D63" w14:textId="77777777" w:rsidR="003155B0" w:rsidRPr="00930237" w:rsidRDefault="003155B0" w:rsidP="003155B0">
            <w:pPr>
              <w:pStyle w:val="Text1"/>
              <w:spacing w:before="0" w:after="0"/>
              <w:ind w:left="0"/>
              <w:rPr>
                <w:noProof/>
                <w:sz w:val="18"/>
                <w:szCs w:val="18"/>
              </w:rPr>
            </w:pPr>
          </w:p>
        </w:tc>
        <w:tc>
          <w:tcPr>
            <w:tcW w:w="635" w:type="pct"/>
            <w:shd w:val="clear" w:color="auto" w:fill="auto"/>
          </w:tcPr>
          <w:p w14:paraId="4B70BB89" w14:textId="77777777" w:rsidR="003155B0" w:rsidRPr="00930237" w:rsidRDefault="003155B0" w:rsidP="003155B0">
            <w:pPr>
              <w:spacing w:before="0" w:after="0"/>
              <w:rPr>
                <w:noProof/>
                <w:sz w:val="18"/>
                <w:szCs w:val="18"/>
              </w:rPr>
            </w:pPr>
            <w:r>
              <w:rPr>
                <w:noProof/>
                <w:sz w:val="18"/>
                <w:szCs w:val="18"/>
              </w:rPr>
              <w:t>  8586</w:t>
            </w:r>
          </w:p>
          <w:p w14:paraId="3ED75840" w14:textId="77777777" w:rsidR="003155B0" w:rsidRPr="00930237" w:rsidRDefault="003155B0" w:rsidP="003155B0">
            <w:pPr>
              <w:pStyle w:val="Text1"/>
              <w:spacing w:before="0" w:after="0"/>
              <w:ind w:left="0"/>
              <w:rPr>
                <w:noProof/>
                <w:sz w:val="18"/>
                <w:szCs w:val="18"/>
              </w:rPr>
            </w:pPr>
          </w:p>
        </w:tc>
      </w:tr>
      <w:tr w:rsidR="003155B0" w:rsidRPr="00930237" w14:paraId="6019B93A" w14:textId="77777777" w:rsidTr="003155B0">
        <w:trPr>
          <w:trHeight w:val="332"/>
        </w:trPr>
        <w:tc>
          <w:tcPr>
            <w:tcW w:w="476" w:type="pct"/>
            <w:shd w:val="clear" w:color="auto" w:fill="auto"/>
          </w:tcPr>
          <w:p w14:paraId="43D83435" w14:textId="77777777" w:rsidR="003155B0" w:rsidRPr="00930237" w:rsidRDefault="003155B0" w:rsidP="003155B0">
            <w:pPr>
              <w:pStyle w:val="Text1"/>
              <w:spacing w:before="0" w:after="0"/>
              <w:ind w:left="0"/>
              <w:rPr>
                <w:noProof/>
                <w:sz w:val="18"/>
                <w:szCs w:val="18"/>
              </w:rPr>
            </w:pPr>
            <w:r w:rsidRPr="00E742B8">
              <w:rPr>
                <w:noProof/>
                <w:sz w:val="18"/>
                <w:szCs w:val="18"/>
              </w:rPr>
              <w:t>4.3.prioritāte</w:t>
            </w:r>
          </w:p>
        </w:tc>
        <w:tc>
          <w:tcPr>
            <w:tcW w:w="696" w:type="pct"/>
            <w:shd w:val="clear" w:color="auto" w:fill="auto"/>
          </w:tcPr>
          <w:p w14:paraId="5857A354" w14:textId="77777777" w:rsidR="003155B0" w:rsidRPr="00930237" w:rsidRDefault="003155B0" w:rsidP="003155B0">
            <w:pPr>
              <w:pStyle w:val="Text1"/>
              <w:spacing w:before="0" w:after="0"/>
              <w:ind w:left="0"/>
              <w:rPr>
                <w:noProof/>
                <w:sz w:val="18"/>
                <w:szCs w:val="18"/>
              </w:rPr>
            </w:pPr>
            <w:r w:rsidRPr="00930237">
              <w:rPr>
                <w:noProof/>
                <w:sz w:val="18"/>
                <w:szCs w:val="18"/>
              </w:rPr>
              <w:t>4.3.4.SAM</w:t>
            </w:r>
          </w:p>
        </w:tc>
        <w:tc>
          <w:tcPr>
            <w:tcW w:w="353" w:type="pct"/>
            <w:shd w:val="clear" w:color="auto" w:fill="auto"/>
          </w:tcPr>
          <w:p w14:paraId="3521B1B2" w14:textId="77777777" w:rsidR="003155B0" w:rsidRPr="00930237" w:rsidRDefault="003155B0" w:rsidP="003155B0">
            <w:pPr>
              <w:pStyle w:val="Text1"/>
              <w:spacing w:before="0" w:after="0"/>
              <w:ind w:left="0"/>
              <w:rPr>
                <w:noProof/>
                <w:sz w:val="18"/>
                <w:szCs w:val="18"/>
              </w:rPr>
            </w:pPr>
            <w:r w:rsidRPr="00E742B8">
              <w:rPr>
                <w:noProof/>
                <w:sz w:val="18"/>
                <w:szCs w:val="18"/>
              </w:rPr>
              <w:t>ESF</w:t>
            </w:r>
          </w:p>
        </w:tc>
        <w:tc>
          <w:tcPr>
            <w:tcW w:w="487" w:type="pct"/>
            <w:shd w:val="clear" w:color="auto" w:fill="auto"/>
          </w:tcPr>
          <w:p w14:paraId="68AACDE2" w14:textId="77777777" w:rsidR="003155B0" w:rsidRPr="00930237" w:rsidRDefault="003155B0" w:rsidP="003155B0">
            <w:pPr>
              <w:pStyle w:val="Text1"/>
              <w:spacing w:before="0" w:after="0"/>
              <w:ind w:left="0"/>
              <w:rPr>
                <w:sz w:val="18"/>
                <w:szCs w:val="18"/>
              </w:rPr>
            </w:pPr>
            <w:r w:rsidRPr="00E742B8">
              <w:rPr>
                <w:sz w:val="18"/>
                <w:szCs w:val="18"/>
              </w:rPr>
              <w:t>CO01</w:t>
            </w:r>
          </w:p>
        </w:tc>
        <w:tc>
          <w:tcPr>
            <w:tcW w:w="1303" w:type="pct"/>
            <w:shd w:val="clear" w:color="auto" w:fill="auto"/>
          </w:tcPr>
          <w:p w14:paraId="7BA9373B" w14:textId="77777777" w:rsidR="003155B0" w:rsidRPr="00930237" w:rsidRDefault="003155B0" w:rsidP="003155B0">
            <w:pPr>
              <w:pStyle w:val="Default"/>
              <w:spacing w:after="0" w:line="240" w:lineRule="auto"/>
              <w:jc w:val="both"/>
              <w:rPr>
                <w:color w:val="auto"/>
                <w:sz w:val="18"/>
                <w:szCs w:val="18"/>
                <w:lang w:eastAsia="en-GB"/>
              </w:rPr>
            </w:pPr>
            <w:r w:rsidRPr="00E742B8">
              <w:rPr>
                <w:color w:val="auto"/>
                <w:sz w:val="18"/>
                <w:szCs w:val="18"/>
                <w:lang w:eastAsia="en-GB"/>
              </w:rPr>
              <w:t>Bezdarbnieki, tostarp ilgstošie bezdarbnieki</w:t>
            </w:r>
          </w:p>
        </w:tc>
        <w:tc>
          <w:tcPr>
            <w:tcW w:w="537" w:type="pct"/>
            <w:shd w:val="clear" w:color="auto" w:fill="auto"/>
          </w:tcPr>
          <w:p w14:paraId="25B8D45C" w14:textId="77777777" w:rsidR="003155B0" w:rsidRPr="00930237" w:rsidRDefault="003155B0" w:rsidP="003155B0">
            <w:pPr>
              <w:pStyle w:val="Text1"/>
              <w:spacing w:before="0" w:after="0"/>
              <w:ind w:left="0"/>
              <w:rPr>
                <w:noProof/>
                <w:sz w:val="18"/>
                <w:szCs w:val="18"/>
              </w:rPr>
            </w:pPr>
            <w:r w:rsidRPr="00E742B8">
              <w:rPr>
                <w:noProof/>
                <w:sz w:val="18"/>
                <w:szCs w:val="18"/>
              </w:rPr>
              <w:t>Personu skaits</w:t>
            </w:r>
          </w:p>
        </w:tc>
        <w:tc>
          <w:tcPr>
            <w:tcW w:w="513" w:type="pct"/>
            <w:shd w:val="clear" w:color="auto" w:fill="auto"/>
          </w:tcPr>
          <w:p w14:paraId="3EB7A610" w14:textId="77777777" w:rsidR="003155B0" w:rsidRPr="00930237" w:rsidRDefault="003155B0" w:rsidP="003155B0">
            <w:pPr>
              <w:spacing w:before="0" w:after="0"/>
              <w:rPr>
                <w:noProof/>
                <w:sz w:val="18"/>
                <w:szCs w:val="18"/>
              </w:rPr>
            </w:pPr>
            <w:r>
              <w:rPr>
                <w:noProof/>
                <w:sz w:val="18"/>
                <w:szCs w:val="18"/>
              </w:rPr>
              <w:t>200</w:t>
            </w:r>
          </w:p>
        </w:tc>
        <w:tc>
          <w:tcPr>
            <w:tcW w:w="635" w:type="pct"/>
            <w:shd w:val="clear" w:color="auto" w:fill="auto"/>
          </w:tcPr>
          <w:p w14:paraId="266A8915" w14:textId="77777777" w:rsidR="003155B0" w:rsidRPr="00930237" w:rsidRDefault="003155B0" w:rsidP="003155B0">
            <w:pPr>
              <w:spacing w:before="0" w:after="0"/>
              <w:rPr>
                <w:noProof/>
                <w:sz w:val="18"/>
                <w:szCs w:val="18"/>
              </w:rPr>
            </w:pPr>
            <w:r>
              <w:rPr>
                <w:noProof/>
                <w:sz w:val="18"/>
                <w:szCs w:val="18"/>
              </w:rPr>
              <w:t>1000</w:t>
            </w:r>
          </w:p>
        </w:tc>
      </w:tr>
      <w:tr w:rsidR="003155B0" w:rsidRPr="00B1464F" w14:paraId="6E598B53" w14:textId="77777777" w:rsidTr="003155B0">
        <w:trPr>
          <w:trHeight w:val="332"/>
        </w:trPr>
        <w:tc>
          <w:tcPr>
            <w:tcW w:w="476" w:type="pct"/>
          </w:tcPr>
          <w:p w14:paraId="55E3D4AA" w14:textId="77777777" w:rsidR="003155B0" w:rsidRPr="005D1743" w:rsidRDefault="003155B0" w:rsidP="003155B0">
            <w:pPr>
              <w:spacing w:before="0" w:after="0"/>
              <w:rPr>
                <w:noProof/>
                <w:sz w:val="18"/>
                <w:szCs w:val="18"/>
              </w:rPr>
            </w:pPr>
            <w:r w:rsidRPr="005D1743">
              <w:rPr>
                <w:noProof/>
                <w:sz w:val="18"/>
                <w:szCs w:val="18"/>
              </w:rPr>
              <w:t>4.3.prioritāte</w:t>
            </w:r>
          </w:p>
        </w:tc>
        <w:tc>
          <w:tcPr>
            <w:tcW w:w="696" w:type="pct"/>
          </w:tcPr>
          <w:p w14:paraId="20625B7F" w14:textId="77777777" w:rsidR="003155B0" w:rsidRPr="005D1743" w:rsidRDefault="003155B0" w:rsidP="003155B0">
            <w:pPr>
              <w:spacing w:before="0" w:after="0"/>
              <w:rPr>
                <w:noProof/>
                <w:sz w:val="18"/>
                <w:szCs w:val="18"/>
              </w:rPr>
            </w:pPr>
            <w:r w:rsidRPr="005D1743">
              <w:rPr>
                <w:noProof/>
                <w:sz w:val="18"/>
                <w:szCs w:val="18"/>
              </w:rPr>
              <w:t>4.3.4.SAM</w:t>
            </w:r>
          </w:p>
        </w:tc>
        <w:tc>
          <w:tcPr>
            <w:tcW w:w="353" w:type="pct"/>
          </w:tcPr>
          <w:p w14:paraId="785CD387" w14:textId="77777777" w:rsidR="003155B0" w:rsidRPr="005D1743" w:rsidRDefault="003155B0" w:rsidP="003155B0">
            <w:pPr>
              <w:spacing w:before="0" w:after="0"/>
              <w:rPr>
                <w:noProof/>
                <w:sz w:val="18"/>
                <w:szCs w:val="18"/>
              </w:rPr>
            </w:pPr>
            <w:r w:rsidRPr="005D1743">
              <w:rPr>
                <w:noProof/>
                <w:sz w:val="18"/>
                <w:szCs w:val="18"/>
              </w:rPr>
              <w:t>ESF</w:t>
            </w:r>
          </w:p>
        </w:tc>
        <w:tc>
          <w:tcPr>
            <w:tcW w:w="487" w:type="pct"/>
          </w:tcPr>
          <w:p w14:paraId="1C2BCB52" w14:textId="77777777" w:rsidR="003155B0" w:rsidRPr="005D1743" w:rsidRDefault="003155B0" w:rsidP="003155B0">
            <w:pPr>
              <w:spacing w:before="0" w:after="0"/>
              <w:rPr>
                <w:noProof/>
                <w:sz w:val="18"/>
                <w:szCs w:val="18"/>
              </w:rPr>
            </w:pPr>
            <w:r w:rsidRPr="005D1743">
              <w:rPr>
                <w:noProof/>
                <w:sz w:val="18"/>
                <w:szCs w:val="18"/>
              </w:rPr>
              <w:t>CO03</w:t>
            </w:r>
          </w:p>
        </w:tc>
        <w:tc>
          <w:tcPr>
            <w:tcW w:w="1303" w:type="pct"/>
            <w:shd w:val="clear" w:color="auto" w:fill="auto"/>
          </w:tcPr>
          <w:p w14:paraId="5723C435" w14:textId="77777777" w:rsidR="003155B0" w:rsidRPr="005D1743" w:rsidRDefault="003155B0" w:rsidP="003155B0">
            <w:pPr>
              <w:spacing w:before="0" w:after="0"/>
              <w:rPr>
                <w:noProof/>
                <w:sz w:val="18"/>
                <w:szCs w:val="18"/>
              </w:rPr>
            </w:pPr>
            <w:r w:rsidRPr="005D1743">
              <w:rPr>
                <w:noProof/>
                <w:sz w:val="18"/>
                <w:szCs w:val="18"/>
              </w:rPr>
              <w:t>Neaktīvās personas</w:t>
            </w:r>
          </w:p>
        </w:tc>
        <w:tc>
          <w:tcPr>
            <w:tcW w:w="537" w:type="pct"/>
          </w:tcPr>
          <w:p w14:paraId="122B00AB" w14:textId="77777777" w:rsidR="003155B0" w:rsidRPr="005D1743" w:rsidRDefault="003155B0" w:rsidP="003155B0">
            <w:pPr>
              <w:spacing w:before="0" w:after="0"/>
              <w:rPr>
                <w:noProof/>
                <w:sz w:val="18"/>
                <w:szCs w:val="18"/>
              </w:rPr>
            </w:pPr>
            <w:r w:rsidRPr="005D1743">
              <w:rPr>
                <w:noProof/>
                <w:sz w:val="18"/>
                <w:szCs w:val="18"/>
              </w:rPr>
              <w:t>Personu skaits</w:t>
            </w:r>
          </w:p>
        </w:tc>
        <w:tc>
          <w:tcPr>
            <w:tcW w:w="513" w:type="pct"/>
            <w:shd w:val="clear" w:color="auto" w:fill="auto"/>
          </w:tcPr>
          <w:p w14:paraId="16C56AAD" w14:textId="77777777" w:rsidR="003155B0" w:rsidRPr="005D1743" w:rsidRDefault="003155B0" w:rsidP="003155B0">
            <w:pPr>
              <w:spacing w:before="0" w:after="0"/>
              <w:rPr>
                <w:noProof/>
                <w:sz w:val="18"/>
                <w:szCs w:val="18"/>
              </w:rPr>
            </w:pPr>
            <w:r w:rsidRPr="005D1743">
              <w:rPr>
                <w:noProof/>
                <w:sz w:val="18"/>
                <w:szCs w:val="18"/>
              </w:rPr>
              <w:t>80</w:t>
            </w:r>
          </w:p>
        </w:tc>
        <w:tc>
          <w:tcPr>
            <w:tcW w:w="635" w:type="pct"/>
            <w:shd w:val="clear" w:color="auto" w:fill="auto"/>
          </w:tcPr>
          <w:p w14:paraId="2E9A3E6C" w14:textId="77777777" w:rsidR="003155B0" w:rsidRPr="005D1743" w:rsidRDefault="003155B0" w:rsidP="003155B0">
            <w:pPr>
              <w:spacing w:before="0" w:after="0"/>
              <w:rPr>
                <w:noProof/>
                <w:sz w:val="18"/>
                <w:szCs w:val="18"/>
              </w:rPr>
            </w:pPr>
            <w:r w:rsidRPr="005D1743">
              <w:rPr>
                <w:noProof/>
                <w:sz w:val="18"/>
                <w:szCs w:val="18"/>
              </w:rPr>
              <w:t>1200</w:t>
            </w:r>
          </w:p>
        </w:tc>
      </w:tr>
      <w:tr w:rsidR="003155B0" w:rsidRPr="00930237" w14:paraId="69296C01" w14:textId="77777777" w:rsidTr="003155B0">
        <w:trPr>
          <w:trHeight w:val="483"/>
        </w:trPr>
        <w:tc>
          <w:tcPr>
            <w:tcW w:w="476" w:type="pct"/>
          </w:tcPr>
          <w:p w14:paraId="7C42E40A" w14:textId="77777777" w:rsidR="003155B0" w:rsidRPr="00930237" w:rsidRDefault="003155B0" w:rsidP="003155B0">
            <w:pPr>
              <w:pStyle w:val="Text1"/>
              <w:spacing w:before="0" w:after="0"/>
              <w:ind w:left="0"/>
              <w:rPr>
                <w:noProof/>
                <w:sz w:val="18"/>
                <w:szCs w:val="18"/>
              </w:rPr>
            </w:pPr>
            <w:r w:rsidRPr="00930237">
              <w:rPr>
                <w:noProof/>
                <w:sz w:val="18"/>
                <w:szCs w:val="18"/>
              </w:rPr>
              <w:t>4.1.prioritāte</w:t>
            </w:r>
          </w:p>
          <w:p w14:paraId="2D333B43" w14:textId="77777777" w:rsidR="003155B0" w:rsidRPr="00930237" w:rsidRDefault="003155B0" w:rsidP="003155B0">
            <w:pPr>
              <w:pStyle w:val="Text1"/>
              <w:spacing w:before="0" w:after="0"/>
              <w:ind w:left="0"/>
              <w:rPr>
                <w:noProof/>
                <w:sz w:val="18"/>
                <w:szCs w:val="18"/>
              </w:rPr>
            </w:pPr>
          </w:p>
        </w:tc>
        <w:tc>
          <w:tcPr>
            <w:tcW w:w="696" w:type="pct"/>
          </w:tcPr>
          <w:p w14:paraId="217534E9" w14:textId="77777777" w:rsidR="003155B0" w:rsidRPr="00930237" w:rsidRDefault="003155B0" w:rsidP="003155B0">
            <w:pPr>
              <w:spacing w:before="0" w:after="0"/>
              <w:rPr>
                <w:noProof/>
                <w:sz w:val="18"/>
                <w:szCs w:val="18"/>
              </w:rPr>
            </w:pPr>
            <w:r>
              <w:rPr>
                <w:noProof/>
                <w:sz w:val="18"/>
                <w:szCs w:val="18"/>
              </w:rPr>
              <w:t>4.1.3.SAM</w:t>
            </w:r>
          </w:p>
          <w:p w14:paraId="287B91A2" w14:textId="77777777" w:rsidR="003155B0" w:rsidRPr="00930237" w:rsidRDefault="003155B0" w:rsidP="003155B0">
            <w:pPr>
              <w:spacing w:before="0" w:after="0"/>
              <w:rPr>
                <w:noProof/>
                <w:sz w:val="18"/>
                <w:szCs w:val="18"/>
              </w:rPr>
            </w:pPr>
          </w:p>
        </w:tc>
        <w:tc>
          <w:tcPr>
            <w:tcW w:w="353" w:type="pct"/>
          </w:tcPr>
          <w:p w14:paraId="278EB62A" w14:textId="77777777" w:rsidR="003155B0" w:rsidRDefault="003155B0" w:rsidP="003155B0">
            <w:pPr>
              <w:pStyle w:val="Text1"/>
              <w:spacing w:before="0" w:after="0"/>
              <w:ind w:left="0"/>
              <w:rPr>
                <w:noProof/>
                <w:sz w:val="18"/>
                <w:szCs w:val="18"/>
              </w:rPr>
            </w:pPr>
            <w:r w:rsidRPr="00930237">
              <w:rPr>
                <w:noProof/>
                <w:sz w:val="18"/>
                <w:szCs w:val="18"/>
              </w:rPr>
              <w:t>ESF</w:t>
            </w:r>
          </w:p>
          <w:p w14:paraId="28EF3995" w14:textId="77777777" w:rsidR="003155B0" w:rsidRPr="00930237" w:rsidRDefault="003155B0" w:rsidP="003155B0">
            <w:pPr>
              <w:pStyle w:val="Text1"/>
              <w:spacing w:before="0" w:after="0"/>
              <w:ind w:left="0"/>
              <w:rPr>
                <w:noProof/>
                <w:sz w:val="18"/>
                <w:szCs w:val="18"/>
              </w:rPr>
            </w:pPr>
          </w:p>
        </w:tc>
        <w:tc>
          <w:tcPr>
            <w:tcW w:w="487" w:type="pct"/>
          </w:tcPr>
          <w:p w14:paraId="7C80D82D" w14:textId="77777777" w:rsidR="003155B0" w:rsidRDefault="003155B0" w:rsidP="003155B0">
            <w:pPr>
              <w:pStyle w:val="Text1"/>
              <w:spacing w:before="0" w:after="0"/>
              <w:ind w:left="0"/>
              <w:rPr>
                <w:sz w:val="18"/>
                <w:szCs w:val="18"/>
              </w:rPr>
            </w:pPr>
            <w:r w:rsidRPr="00930237">
              <w:rPr>
                <w:sz w:val="18"/>
                <w:szCs w:val="18"/>
              </w:rPr>
              <w:t>CO04</w:t>
            </w:r>
          </w:p>
          <w:p w14:paraId="75F22863" w14:textId="77777777" w:rsidR="003155B0" w:rsidRPr="00930237" w:rsidRDefault="003155B0" w:rsidP="003155B0">
            <w:pPr>
              <w:pStyle w:val="Text1"/>
              <w:spacing w:before="0" w:after="0"/>
              <w:ind w:left="0"/>
              <w:rPr>
                <w:sz w:val="18"/>
                <w:szCs w:val="18"/>
              </w:rPr>
            </w:pPr>
          </w:p>
        </w:tc>
        <w:tc>
          <w:tcPr>
            <w:tcW w:w="1303" w:type="pct"/>
            <w:shd w:val="clear" w:color="auto" w:fill="auto"/>
          </w:tcPr>
          <w:p w14:paraId="6604497C" w14:textId="77777777" w:rsidR="003155B0" w:rsidRPr="00930237" w:rsidRDefault="003155B0" w:rsidP="003155B0">
            <w:pPr>
              <w:pStyle w:val="Default"/>
              <w:spacing w:after="0" w:line="240" w:lineRule="auto"/>
              <w:jc w:val="both"/>
              <w:rPr>
                <w:color w:val="auto"/>
                <w:sz w:val="18"/>
                <w:szCs w:val="18"/>
                <w:lang w:eastAsia="en-GB"/>
              </w:rPr>
            </w:pPr>
            <w:r w:rsidRPr="00930237">
              <w:rPr>
                <w:sz w:val="18"/>
                <w:szCs w:val="18"/>
                <w:lang w:eastAsia="en-GB"/>
              </w:rPr>
              <w:t>Nodarbinātie, tostarp pašnodarbinātie</w:t>
            </w:r>
          </w:p>
        </w:tc>
        <w:tc>
          <w:tcPr>
            <w:tcW w:w="537" w:type="pct"/>
          </w:tcPr>
          <w:p w14:paraId="4D840D10" w14:textId="77777777" w:rsidR="003155B0" w:rsidRPr="00930237" w:rsidRDefault="003155B0" w:rsidP="003155B0">
            <w:pPr>
              <w:pStyle w:val="Text1"/>
              <w:spacing w:before="0" w:after="0"/>
              <w:ind w:left="0"/>
              <w:rPr>
                <w:noProof/>
                <w:sz w:val="18"/>
                <w:szCs w:val="18"/>
              </w:rPr>
            </w:pPr>
            <w:r w:rsidRPr="00930237">
              <w:rPr>
                <w:noProof/>
                <w:sz w:val="18"/>
                <w:szCs w:val="18"/>
              </w:rPr>
              <w:t>Personu skaits</w:t>
            </w:r>
          </w:p>
        </w:tc>
        <w:tc>
          <w:tcPr>
            <w:tcW w:w="513" w:type="pct"/>
            <w:shd w:val="clear" w:color="auto" w:fill="auto"/>
          </w:tcPr>
          <w:p w14:paraId="5DF5F1AF" w14:textId="77777777" w:rsidR="003155B0" w:rsidRPr="00930237" w:rsidRDefault="003155B0" w:rsidP="003155B0">
            <w:pPr>
              <w:spacing w:before="0" w:after="0"/>
              <w:rPr>
                <w:noProof/>
                <w:sz w:val="18"/>
                <w:szCs w:val="18"/>
              </w:rPr>
            </w:pPr>
            <w:r>
              <w:rPr>
                <w:noProof/>
                <w:sz w:val="18"/>
                <w:szCs w:val="18"/>
              </w:rPr>
              <w:t>37</w:t>
            </w:r>
          </w:p>
          <w:p w14:paraId="3F459C5E" w14:textId="77777777" w:rsidR="003155B0" w:rsidRPr="00930237" w:rsidRDefault="003155B0" w:rsidP="003155B0">
            <w:pPr>
              <w:spacing w:before="0" w:after="0"/>
              <w:rPr>
                <w:noProof/>
                <w:sz w:val="18"/>
                <w:szCs w:val="18"/>
              </w:rPr>
            </w:pPr>
          </w:p>
        </w:tc>
        <w:tc>
          <w:tcPr>
            <w:tcW w:w="635" w:type="pct"/>
            <w:shd w:val="clear" w:color="auto" w:fill="auto"/>
          </w:tcPr>
          <w:p w14:paraId="6C8C9B29" w14:textId="77777777" w:rsidR="003155B0" w:rsidRPr="00930237" w:rsidRDefault="003155B0" w:rsidP="003155B0">
            <w:pPr>
              <w:spacing w:before="0" w:after="0"/>
              <w:rPr>
                <w:noProof/>
                <w:sz w:val="18"/>
                <w:szCs w:val="18"/>
              </w:rPr>
            </w:pPr>
            <w:r w:rsidRPr="00FB51CE">
              <w:rPr>
                <w:noProof/>
                <w:sz w:val="18"/>
                <w:szCs w:val="18"/>
              </w:rPr>
              <w:t>735</w:t>
            </w:r>
          </w:p>
        </w:tc>
      </w:tr>
      <w:tr w:rsidR="003155B0" w:rsidRPr="00930237" w14:paraId="39CABD4C" w14:textId="77777777" w:rsidTr="003155B0">
        <w:trPr>
          <w:trHeight w:val="332"/>
        </w:trPr>
        <w:tc>
          <w:tcPr>
            <w:tcW w:w="476" w:type="pct"/>
          </w:tcPr>
          <w:p w14:paraId="752142CB" w14:textId="77777777" w:rsidR="003155B0" w:rsidRPr="00930237" w:rsidRDefault="003155B0" w:rsidP="003155B0">
            <w:pPr>
              <w:pStyle w:val="Text1"/>
              <w:spacing w:before="0" w:after="0"/>
              <w:ind w:left="0"/>
              <w:rPr>
                <w:noProof/>
                <w:sz w:val="18"/>
                <w:szCs w:val="18"/>
              </w:rPr>
            </w:pPr>
            <w:r w:rsidRPr="00930237">
              <w:rPr>
                <w:noProof/>
                <w:sz w:val="18"/>
                <w:szCs w:val="18"/>
              </w:rPr>
              <w:t>4.2.prioritāte</w:t>
            </w:r>
          </w:p>
          <w:p w14:paraId="180C5D2F" w14:textId="77777777" w:rsidR="003155B0" w:rsidRPr="00930237" w:rsidRDefault="003155B0" w:rsidP="003155B0">
            <w:pPr>
              <w:pStyle w:val="Text1"/>
              <w:spacing w:before="0" w:after="0"/>
              <w:ind w:left="0"/>
              <w:rPr>
                <w:noProof/>
                <w:sz w:val="18"/>
                <w:szCs w:val="18"/>
              </w:rPr>
            </w:pPr>
          </w:p>
        </w:tc>
        <w:tc>
          <w:tcPr>
            <w:tcW w:w="696" w:type="pct"/>
          </w:tcPr>
          <w:p w14:paraId="2D5F9C3B" w14:textId="77777777" w:rsidR="003155B0" w:rsidRPr="00930237" w:rsidRDefault="003155B0" w:rsidP="003155B0">
            <w:pPr>
              <w:spacing w:before="0" w:after="0"/>
              <w:rPr>
                <w:noProof/>
                <w:sz w:val="18"/>
                <w:szCs w:val="18"/>
              </w:rPr>
            </w:pPr>
            <w:r w:rsidRPr="00930237">
              <w:rPr>
                <w:noProof/>
                <w:sz w:val="18"/>
                <w:szCs w:val="18"/>
              </w:rPr>
              <w:t>IZM</w:t>
            </w:r>
            <w:r>
              <w:rPr>
                <w:noProof/>
                <w:sz w:val="18"/>
                <w:szCs w:val="18"/>
              </w:rPr>
              <w:t>/ VARAM: 4.2.4.SAM</w:t>
            </w:r>
          </w:p>
        </w:tc>
        <w:tc>
          <w:tcPr>
            <w:tcW w:w="353" w:type="pct"/>
          </w:tcPr>
          <w:p w14:paraId="47F95A33" w14:textId="77777777" w:rsidR="003155B0" w:rsidRPr="00930237" w:rsidRDefault="003155B0" w:rsidP="003155B0">
            <w:pPr>
              <w:pStyle w:val="Text1"/>
              <w:spacing w:before="0" w:after="0"/>
              <w:ind w:left="0"/>
              <w:rPr>
                <w:noProof/>
                <w:sz w:val="18"/>
                <w:szCs w:val="18"/>
              </w:rPr>
            </w:pPr>
            <w:r w:rsidRPr="00E742B8">
              <w:rPr>
                <w:noProof/>
                <w:sz w:val="18"/>
                <w:szCs w:val="18"/>
              </w:rPr>
              <w:t>ESF</w:t>
            </w:r>
          </w:p>
        </w:tc>
        <w:tc>
          <w:tcPr>
            <w:tcW w:w="487" w:type="pct"/>
          </w:tcPr>
          <w:p w14:paraId="44063D67" w14:textId="77777777" w:rsidR="003155B0" w:rsidRPr="00930237" w:rsidRDefault="003155B0" w:rsidP="003155B0">
            <w:pPr>
              <w:pStyle w:val="Text1"/>
              <w:spacing w:before="0" w:after="0"/>
              <w:ind w:left="0"/>
              <w:rPr>
                <w:sz w:val="18"/>
                <w:szCs w:val="18"/>
              </w:rPr>
            </w:pPr>
            <w:r w:rsidRPr="00E742B8">
              <w:rPr>
                <w:sz w:val="18"/>
                <w:szCs w:val="18"/>
              </w:rPr>
              <w:t>CO04</w:t>
            </w:r>
          </w:p>
        </w:tc>
        <w:tc>
          <w:tcPr>
            <w:tcW w:w="1303" w:type="pct"/>
            <w:shd w:val="clear" w:color="auto" w:fill="auto"/>
          </w:tcPr>
          <w:p w14:paraId="3E6E8151" w14:textId="77777777" w:rsidR="003155B0" w:rsidRPr="00930237" w:rsidRDefault="003155B0" w:rsidP="003155B0">
            <w:pPr>
              <w:pStyle w:val="Default"/>
              <w:spacing w:after="0" w:line="240" w:lineRule="auto"/>
              <w:jc w:val="both"/>
              <w:rPr>
                <w:sz w:val="18"/>
                <w:szCs w:val="18"/>
                <w:lang w:eastAsia="en-GB"/>
              </w:rPr>
            </w:pPr>
            <w:r w:rsidRPr="00E742B8">
              <w:rPr>
                <w:sz w:val="18"/>
                <w:szCs w:val="18"/>
                <w:lang w:eastAsia="en-GB"/>
              </w:rPr>
              <w:t>Nodarbinātie, tostarp pašnodarbinātie</w:t>
            </w:r>
          </w:p>
        </w:tc>
        <w:tc>
          <w:tcPr>
            <w:tcW w:w="537" w:type="pct"/>
          </w:tcPr>
          <w:p w14:paraId="3063E5A8" w14:textId="77777777" w:rsidR="003155B0" w:rsidRPr="00930237" w:rsidRDefault="003155B0" w:rsidP="003155B0">
            <w:pPr>
              <w:pStyle w:val="Text1"/>
              <w:spacing w:before="0" w:after="0"/>
              <w:ind w:left="0"/>
              <w:rPr>
                <w:noProof/>
                <w:sz w:val="18"/>
                <w:szCs w:val="18"/>
              </w:rPr>
            </w:pPr>
            <w:r w:rsidRPr="00E742B8">
              <w:rPr>
                <w:noProof/>
                <w:sz w:val="18"/>
                <w:szCs w:val="18"/>
              </w:rPr>
              <w:t>Personu skaits</w:t>
            </w:r>
          </w:p>
        </w:tc>
        <w:tc>
          <w:tcPr>
            <w:tcW w:w="513" w:type="pct"/>
            <w:shd w:val="clear" w:color="auto" w:fill="auto"/>
          </w:tcPr>
          <w:p w14:paraId="036E20B9" w14:textId="77777777" w:rsidR="003155B0" w:rsidRPr="00930237" w:rsidRDefault="003155B0" w:rsidP="003155B0">
            <w:pPr>
              <w:spacing w:before="0" w:after="0"/>
              <w:rPr>
                <w:noProof/>
                <w:sz w:val="18"/>
                <w:szCs w:val="18"/>
              </w:rPr>
            </w:pPr>
            <w:r w:rsidRPr="00930237">
              <w:rPr>
                <w:noProof/>
                <w:sz w:val="18"/>
                <w:szCs w:val="18"/>
              </w:rPr>
              <w:t xml:space="preserve">IZM: </w:t>
            </w:r>
            <w:r>
              <w:rPr>
                <w:noProof/>
                <w:sz w:val="18"/>
                <w:szCs w:val="18"/>
              </w:rPr>
              <w:t>4 672</w:t>
            </w:r>
          </w:p>
          <w:p w14:paraId="32E9FFA5" w14:textId="77777777" w:rsidR="003155B0" w:rsidRDefault="003155B0" w:rsidP="003155B0">
            <w:pPr>
              <w:spacing w:before="0" w:after="0"/>
              <w:rPr>
                <w:noProof/>
                <w:sz w:val="18"/>
                <w:szCs w:val="18"/>
              </w:rPr>
            </w:pPr>
            <w:r w:rsidRPr="00930237">
              <w:rPr>
                <w:noProof/>
                <w:sz w:val="18"/>
                <w:szCs w:val="18"/>
              </w:rPr>
              <w:t xml:space="preserve">VARAM: </w:t>
            </w:r>
            <w:r>
              <w:rPr>
                <w:noProof/>
                <w:sz w:val="18"/>
                <w:szCs w:val="18"/>
              </w:rPr>
              <w:t>200</w:t>
            </w:r>
          </w:p>
          <w:p w14:paraId="56013DBF" w14:textId="77777777" w:rsidR="003155B0" w:rsidRPr="00930237" w:rsidRDefault="003155B0" w:rsidP="003155B0">
            <w:pPr>
              <w:spacing w:before="0" w:after="0"/>
              <w:rPr>
                <w:noProof/>
                <w:sz w:val="18"/>
                <w:szCs w:val="18"/>
              </w:rPr>
            </w:pPr>
          </w:p>
        </w:tc>
        <w:tc>
          <w:tcPr>
            <w:tcW w:w="635" w:type="pct"/>
            <w:shd w:val="clear" w:color="auto" w:fill="auto"/>
          </w:tcPr>
          <w:p w14:paraId="08AABC4E" w14:textId="77777777" w:rsidR="003155B0" w:rsidRPr="00930237" w:rsidRDefault="003155B0" w:rsidP="003155B0">
            <w:pPr>
              <w:spacing w:before="0" w:after="0"/>
              <w:rPr>
                <w:noProof/>
                <w:sz w:val="18"/>
                <w:szCs w:val="18"/>
              </w:rPr>
            </w:pPr>
            <w:r w:rsidRPr="00930237">
              <w:rPr>
                <w:noProof/>
                <w:sz w:val="18"/>
                <w:szCs w:val="18"/>
              </w:rPr>
              <w:t xml:space="preserve">IZM: </w:t>
            </w:r>
            <w:r>
              <w:rPr>
                <w:noProof/>
                <w:sz w:val="18"/>
                <w:szCs w:val="18"/>
              </w:rPr>
              <w:t>23 360</w:t>
            </w:r>
          </w:p>
          <w:p w14:paraId="1906AFBD" w14:textId="77777777" w:rsidR="003155B0" w:rsidRDefault="003155B0" w:rsidP="003155B0">
            <w:pPr>
              <w:spacing w:before="0" w:after="0"/>
              <w:rPr>
                <w:noProof/>
                <w:sz w:val="18"/>
                <w:szCs w:val="18"/>
              </w:rPr>
            </w:pPr>
            <w:r w:rsidRPr="00930237">
              <w:rPr>
                <w:noProof/>
                <w:sz w:val="18"/>
                <w:szCs w:val="18"/>
              </w:rPr>
              <w:t>VARAM:</w:t>
            </w:r>
            <w:r>
              <w:rPr>
                <w:noProof/>
                <w:sz w:val="18"/>
                <w:szCs w:val="18"/>
              </w:rPr>
              <w:t>2000</w:t>
            </w:r>
          </w:p>
          <w:p w14:paraId="3090B05D" w14:textId="77777777" w:rsidR="003155B0" w:rsidRPr="00930237" w:rsidRDefault="003155B0" w:rsidP="003155B0">
            <w:pPr>
              <w:spacing w:before="0" w:after="0"/>
              <w:rPr>
                <w:noProof/>
                <w:sz w:val="18"/>
                <w:szCs w:val="18"/>
              </w:rPr>
            </w:pPr>
          </w:p>
        </w:tc>
      </w:tr>
      <w:tr w:rsidR="003155B0" w:rsidRPr="00930237" w14:paraId="16D056C4" w14:textId="77777777" w:rsidTr="003155B0">
        <w:trPr>
          <w:trHeight w:val="332"/>
        </w:trPr>
        <w:tc>
          <w:tcPr>
            <w:tcW w:w="476" w:type="pct"/>
          </w:tcPr>
          <w:p w14:paraId="31CCDA76" w14:textId="77777777" w:rsidR="003155B0" w:rsidRDefault="003155B0" w:rsidP="003155B0">
            <w:pPr>
              <w:pStyle w:val="Text1"/>
              <w:spacing w:before="0" w:after="0"/>
              <w:ind w:left="0"/>
              <w:rPr>
                <w:noProof/>
                <w:sz w:val="18"/>
                <w:szCs w:val="18"/>
              </w:rPr>
            </w:pPr>
            <w:r w:rsidRPr="00930237">
              <w:rPr>
                <w:noProof/>
                <w:sz w:val="18"/>
                <w:szCs w:val="18"/>
              </w:rPr>
              <w:t>4.3.prioritāte</w:t>
            </w:r>
          </w:p>
          <w:p w14:paraId="1AE5B025" w14:textId="77777777" w:rsidR="003155B0" w:rsidRPr="00930237" w:rsidRDefault="003155B0" w:rsidP="003155B0">
            <w:pPr>
              <w:spacing w:before="0" w:after="0"/>
              <w:rPr>
                <w:noProof/>
                <w:sz w:val="18"/>
                <w:szCs w:val="18"/>
              </w:rPr>
            </w:pPr>
          </w:p>
        </w:tc>
        <w:tc>
          <w:tcPr>
            <w:tcW w:w="696" w:type="pct"/>
          </w:tcPr>
          <w:p w14:paraId="78A335A8" w14:textId="77777777" w:rsidR="003155B0" w:rsidRPr="00930237" w:rsidRDefault="003155B0" w:rsidP="003155B0">
            <w:pPr>
              <w:spacing w:before="0" w:after="0"/>
              <w:rPr>
                <w:noProof/>
                <w:sz w:val="18"/>
                <w:szCs w:val="18"/>
              </w:rPr>
            </w:pPr>
            <w:r w:rsidRPr="00930237">
              <w:rPr>
                <w:noProof/>
                <w:sz w:val="18"/>
                <w:szCs w:val="18"/>
              </w:rPr>
              <w:t>4.3.3.SAM</w:t>
            </w:r>
          </w:p>
        </w:tc>
        <w:tc>
          <w:tcPr>
            <w:tcW w:w="353" w:type="pct"/>
          </w:tcPr>
          <w:p w14:paraId="284E7368" w14:textId="77777777" w:rsidR="003155B0" w:rsidRPr="00930237" w:rsidRDefault="003155B0" w:rsidP="003155B0">
            <w:pPr>
              <w:pStyle w:val="Text1"/>
              <w:spacing w:before="0" w:after="0"/>
              <w:ind w:left="0"/>
              <w:rPr>
                <w:noProof/>
                <w:sz w:val="18"/>
                <w:szCs w:val="18"/>
              </w:rPr>
            </w:pPr>
            <w:r w:rsidRPr="006A4536">
              <w:rPr>
                <w:noProof/>
                <w:sz w:val="18"/>
                <w:szCs w:val="18"/>
              </w:rPr>
              <w:t>ESF</w:t>
            </w:r>
          </w:p>
        </w:tc>
        <w:tc>
          <w:tcPr>
            <w:tcW w:w="487" w:type="pct"/>
          </w:tcPr>
          <w:p w14:paraId="64AE1C8B" w14:textId="77777777" w:rsidR="003155B0" w:rsidRPr="00930237" w:rsidRDefault="003155B0" w:rsidP="003155B0">
            <w:pPr>
              <w:pStyle w:val="Text1"/>
              <w:spacing w:before="0" w:after="0"/>
              <w:ind w:left="0"/>
              <w:rPr>
                <w:sz w:val="18"/>
                <w:szCs w:val="18"/>
              </w:rPr>
            </w:pPr>
            <w:r w:rsidRPr="006A4536">
              <w:rPr>
                <w:sz w:val="18"/>
                <w:szCs w:val="18"/>
              </w:rPr>
              <w:t>CO04</w:t>
            </w:r>
          </w:p>
        </w:tc>
        <w:tc>
          <w:tcPr>
            <w:tcW w:w="1303" w:type="pct"/>
            <w:shd w:val="clear" w:color="auto" w:fill="auto"/>
          </w:tcPr>
          <w:p w14:paraId="0689F071" w14:textId="77777777" w:rsidR="003155B0" w:rsidRPr="00930237" w:rsidRDefault="003155B0" w:rsidP="003155B0">
            <w:pPr>
              <w:pStyle w:val="Default"/>
              <w:spacing w:after="0" w:line="240" w:lineRule="auto"/>
              <w:jc w:val="both"/>
              <w:rPr>
                <w:sz w:val="18"/>
                <w:szCs w:val="18"/>
                <w:lang w:eastAsia="en-GB"/>
              </w:rPr>
            </w:pPr>
            <w:r w:rsidRPr="006A4536">
              <w:rPr>
                <w:sz w:val="18"/>
                <w:szCs w:val="18"/>
                <w:lang w:eastAsia="en-GB"/>
              </w:rPr>
              <w:t>Nodarbinātie, tostarp pašnodarbinātie</w:t>
            </w:r>
          </w:p>
        </w:tc>
        <w:tc>
          <w:tcPr>
            <w:tcW w:w="537" w:type="pct"/>
          </w:tcPr>
          <w:p w14:paraId="74D9E0C3" w14:textId="77777777" w:rsidR="003155B0" w:rsidRPr="00930237" w:rsidRDefault="003155B0" w:rsidP="003155B0">
            <w:pPr>
              <w:pStyle w:val="Text1"/>
              <w:spacing w:before="0" w:after="0"/>
              <w:ind w:left="0"/>
              <w:rPr>
                <w:noProof/>
                <w:sz w:val="18"/>
                <w:szCs w:val="18"/>
              </w:rPr>
            </w:pPr>
            <w:r w:rsidRPr="006A4536">
              <w:rPr>
                <w:noProof/>
                <w:sz w:val="18"/>
                <w:szCs w:val="18"/>
              </w:rPr>
              <w:t>Personu skaits</w:t>
            </w:r>
          </w:p>
        </w:tc>
        <w:tc>
          <w:tcPr>
            <w:tcW w:w="513" w:type="pct"/>
            <w:shd w:val="clear" w:color="auto" w:fill="auto"/>
          </w:tcPr>
          <w:p w14:paraId="65907E24" w14:textId="77777777" w:rsidR="003155B0" w:rsidRPr="00930237" w:rsidRDefault="003155B0" w:rsidP="003155B0">
            <w:pPr>
              <w:spacing w:before="0" w:after="0"/>
              <w:rPr>
                <w:noProof/>
                <w:sz w:val="18"/>
                <w:szCs w:val="18"/>
              </w:rPr>
            </w:pPr>
            <w:r w:rsidRPr="006A4536">
              <w:rPr>
                <w:noProof/>
                <w:sz w:val="18"/>
                <w:szCs w:val="18"/>
              </w:rPr>
              <w:t xml:space="preserve">LM: </w:t>
            </w:r>
            <w:r w:rsidRPr="00B66963">
              <w:rPr>
                <w:noProof/>
                <w:sz w:val="18"/>
                <w:szCs w:val="18"/>
              </w:rPr>
              <w:t>511</w:t>
            </w:r>
          </w:p>
        </w:tc>
        <w:tc>
          <w:tcPr>
            <w:tcW w:w="635" w:type="pct"/>
            <w:shd w:val="clear" w:color="auto" w:fill="auto"/>
          </w:tcPr>
          <w:p w14:paraId="73441B18" w14:textId="77777777" w:rsidR="003155B0" w:rsidRPr="00930237" w:rsidRDefault="003155B0" w:rsidP="003155B0">
            <w:pPr>
              <w:spacing w:before="0" w:after="0"/>
              <w:rPr>
                <w:noProof/>
                <w:sz w:val="18"/>
                <w:szCs w:val="18"/>
              </w:rPr>
            </w:pPr>
            <w:r w:rsidRPr="006A4536">
              <w:rPr>
                <w:noProof/>
                <w:sz w:val="18"/>
                <w:szCs w:val="18"/>
              </w:rPr>
              <w:t xml:space="preserve">LM: </w:t>
            </w:r>
            <w:r w:rsidRPr="00B66963">
              <w:rPr>
                <w:noProof/>
                <w:sz w:val="18"/>
                <w:szCs w:val="18"/>
              </w:rPr>
              <w:t>2641</w:t>
            </w:r>
          </w:p>
        </w:tc>
      </w:tr>
      <w:tr w:rsidR="003155B0" w:rsidRPr="00930237" w14:paraId="20D515A4" w14:textId="77777777" w:rsidTr="003155B0">
        <w:trPr>
          <w:trHeight w:val="332"/>
        </w:trPr>
        <w:tc>
          <w:tcPr>
            <w:tcW w:w="476" w:type="pct"/>
          </w:tcPr>
          <w:p w14:paraId="519D582C" w14:textId="77777777" w:rsidR="003155B0" w:rsidRPr="00930237" w:rsidRDefault="003155B0" w:rsidP="003155B0">
            <w:pPr>
              <w:pStyle w:val="Text1"/>
              <w:spacing w:before="0" w:after="0"/>
              <w:ind w:left="0"/>
              <w:rPr>
                <w:noProof/>
                <w:sz w:val="18"/>
                <w:szCs w:val="18"/>
              </w:rPr>
            </w:pPr>
            <w:r w:rsidRPr="006A4536">
              <w:rPr>
                <w:noProof/>
                <w:sz w:val="18"/>
                <w:szCs w:val="18"/>
              </w:rPr>
              <w:t>4.3.prioritāte</w:t>
            </w:r>
          </w:p>
        </w:tc>
        <w:tc>
          <w:tcPr>
            <w:tcW w:w="696" w:type="pct"/>
          </w:tcPr>
          <w:p w14:paraId="1C4C67F4" w14:textId="77777777" w:rsidR="003155B0" w:rsidRPr="00930237" w:rsidRDefault="003155B0" w:rsidP="003155B0">
            <w:pPr>
              <w:spacing w:before="0" w:after="0"/>
              <w:rPr>
                <w:noProof/>
                <w:sz w:val="18"/>
                <w:szCs w:val="18"/>
              </w:rPr>
            </w:pPr>
            <w:r>
              <w:rPr>
                <w:noProof/>
                <w:sz w:val="18"/>
                <w:szCs w:val="18"/>
              </w:rPr>
              <w:t>4.3.5.SAM</w:t>
            </w:r>
          </w:p>
        </w:tc>
        <w:tc>
          <w:tcPr>
            <w:tcW w:w="353" w:type="pct"/>
          </w:tcPr>
          <w:p w14:paraId="3A3CB88F" w14:textId="77777777" w:rsidR="003155B0" w:rsidRPr="00930237" w:rsidRDefault="003155B0" w:rsidP="003155B0">
            <w:pPr>
              <w:pStyle w:val="Text1"/>
              <w:spacing w:before="0" w:after="0"/>
              <w:ind w:left="0"/>
              <w:rPr>
                <w:noProof/>
                <w:sz w:val="18"/>
                <w:szCs w:val="18"/>
              </w:rPr>
            </w:pPr>
            <w:r w:rsidRPr="006A4536">
              <w:rPr>
                <w:noProof/>
                <w:sz w:val="18"/>
                <w:szCs w:val="18"/>
              </w:rPr>
              <w:t>ESF</w:t>
            </w:r>
          </w:p>
        </w:tc>
        <w:tc>
          <w:tcPr>
            <w:tcW w:w="487" w:type="pct"/>
          </w:tcPr>
          <w:p w14:paraId="46811346" w14:textId="77777777" w:rsidR="003155B0" w:rsidRPr="00930237" w:rsidRDefault="003155B0" w:rsidP="003155B0">
            <w:pPr>
              <w:pStyle w:val="Text1"/>
              <w:spacing w:before="0" w:after="0"/>
              <w:ind w:left="0"/>
              <w:rPr>
                <w:sz w:val="18"/>
                <w:szCs w:val="18"/>
              </w:rPr>
            </w:pPr>
            <w:r w:rsidRPr="006A4536">
              <w:rPr>
                <w:sz w:val="18"/>
                <w:szCs w:val="18"/>
              </w:rPr>
              <w:t>CO04</w:t>
            </w:r>
          </w:p>
        </w:tc>
        <w:tc>
          <w:tcPr>
            <w:tcW w:w="1303" w:type="pct"/>
            <w:shd w:val="clear" w:color="auto" w:fill="auto"/>
          </w:tcPr>
          <w:p w14:paraId="60CD4FA7" w14:textId="77777777" w:rsidR="003155B0" w:rsidRPr="00930237" w:rsidRDefault="003155B0" w:rsidP="003155B0">
            <w:pPr>
              <w:pStyle w:val="Default"/>
              <w:spacing w:after="0" w:line="240" w:lineRule="auto"/>
              <w:jc w:val="both"/>
              <w:rPr>
                <w:sz w:val="18"/>
                <w:szCs w:val="18"/>
                <w:lang w:eastAsia="en-GB"/>
              </w:rPr>
            </w:pPr>
            <w:r w:rsidRPr="006A4536">
              <w:rPr>
                <w:sz w:val="18"/>
                <w:szCs w:val="18"/>
                <w:lang w:eastAsia="en-GB"/>
              </w:rPr>
              <w:t>Nodarbinātie, tostarp pašnodarbinātie</w:t>
            </w:r>
          </w:p>
        </w:tc>
        <w:tc>
          <w:tcPr>
            <w:tcW w:w="537" w:type="pct"/>
          </w:tcPr>
          <w:p w14:paraId="3F7590BC" w14:textId="77777777" w:rsidR="003155B0" w:rsidRPr="00930237" w:rsidRDefault="003155B0" w:rsidP="003155B0">
            <w:pPr>
              <w:pStyle w:val="Text1"/>
              <w:spacing w:before="0" w:after="0"/>
              <w:ind w:left="0"/>
              <w:rPr>
                <w:noProof/>
                <w:sz w:val="18"/>
                <w:szCs w:val="18"/>
              </w:rPr>
            </w:pPr>
            <w:r w:rsidRPr="006A4536">
              <w:rPr>
                <w:noProof/>
                <w:sz w:val="18"/>
                <w:szCs w:val="18"/>
              </w:rPr>
              <w:t>Personu skaits</w:t>
            </w:r>
          </w:p>
        </w:tc>
        <w:tc>
          <w:tcPr>
            <w:tcW w:w="513" w:type="pct"/>
            <w:shd w:val="clear" w:color="auto" w:fill="auto"/>
          </w:tcPr>
          <w:p w14:paraId="1C3E58B0" w14:textId="77777777" w:rsidR="003155B0" w:rsidRPr="00930237" w:rsidRDefault="003155B0" w:rsidP="003155B0">
            <w:pPr>
              <w:spacing w:before="0" w:after="0"/>
              <w:rPr>
                <w:noProof/>
                <w:sz w:val="18"/>
                <w:szCs w:val="18"/>
              </w:rPr>
            </w:pPr>
            <w:r>
              <w:rPr>
                <w:noProof/>
                <w:sz w:val="18"/>
                <w:szCs w:val="18"/>
              </w:rPr>
              <w:t xml:space="preserve">LM: </w:t>
            </w:r>
            <w:r w:rsidRPr="0005288B">
              <w:rPr>
                <w:noProof/>
                <w:sz w:val="18"/>
                <w:szCs w:val="18"/>
              </w:rPr>
              <w:t>475</w:t>
            </w:r>
          </w:p>
        </w:tc>
        <w:tc>
          <w:tcPr>
            <w:tcW w:w="635" w:type="pct"/>
            <w:shd w:val="clear" w:color="auto" w:fill="auto"/>
          </w:tcPr>
          <w:p w14:paraId="1EDD09FE" w14:textId="77777777" w:rsidR="003155B0" w:rsidRPr="00930237" w:rsidRDefault="003155B0" w:rsidP="003155B0">
            <w:pPr>
              <w:spacing w:before="0" w:after="0"/>
              <w:rPr>
                <w:noProof/>
                <w:sz w:val="18"/>
                <w:szCs w:val="18"/>
              </w:rPr>
            </w:pPr>
            <w:r>
              <w:rPr>
                <w:noProof/>
                <w:sz w:val="18"/>
                <w:szCs w:val="18"/>
              </w:rPr>
              <w:t xml:space="preserve">LM: </w:t>
            </w:r>
            <w:r w:rsidRPr="0005288B">
              <w:rPr>
                <w:noProof/>
                <w:sz w:val="18"/>
                <w:szCs w:val="18"/>
              </w:rPr>
              <w:t>1900</w:t>
            </w:r>
          </w:p>
        </w:tc>
      </w:tr>
      <w:tr w:rsidR="003155B0" w:rsidRPr="00930237" w14:paraId="37C2B97D" w14:textId="77777777" w:rsidTr="003155B0">
        <w:trPr>
          <w:trHeight w:val="332"/>
        </w:trPr>
        <w:tc>
          <w:tcPr>
            <w:tcW w:w="476" w:type="pct"/>
          </w:tcPr>
          <w:p w14:paraId="29ABE92E" w14:textId="77777777" w:rsidR="003155B0" w:rsidRPr="006A4536" w:rsidRDefault="003155B0" w:rsidP="003155B0">
            <w:pPr>
              <w:pStyle w:val="Text1"/>
              <w:spacing w:before="0" w:after="0"/>
              <w:ind w:left="0"/>
              <w:rPr>
                <w:noProof/>
                <w:sz w:val="18"/>
                <w:szCs w:val="18"/>
              </w:rPr>
            </w:pPr>
            <w:r w:rsidRPr="006A4536">
              <w:rPr>
                <w:noProof/>
                <w:sz w:val="18"/>
                <w:szCs w:val="18"/>
              </w:rPr>
              <w:t>4.3.prioritāte</w:t>
            </w:r>
          </w:p>
        </w:tc>
        <w:tc>
          <w:tcPr>
            <w:tcW w:w="696" w:type="pct"/>
          </w:tcPr>
          <w:p w14:paraId="431D50D1" w14:textId="77777777" w:rsidR="003155B0" w:rsidRDefault="003155B0" w:rsidP="003155B0">
            <w:pPr>
              <w:spacing w:before="0" w:after="0"/>
              <w:rPr>
                <w:noProof/>
                <w:sz w:val="18"/>
                <w:szCs w:val="18"/>
              </w:rPr>
            </w:pPr>
            <w:r w:rsidRPr="006A4536">
              <w:rPr>
                <w:noProof/>
                <w:sz w:val="18"/>
                <w:szCs w:val="18"/>
              </w:rPr>
              <w:t>PKC/LM 4.3.6.SAM</w:t>
            </w:r>
          </w:p>
        </w:tc>
        <w:tc>
          <w:tcPr>
            <w:tcW w:w="353" w:type="pct"/>
          </w:tcPr>
          <w:p w14:paraId="56B24A3A" w14:textId="77777777" w:rsidR="003155B0" w:rsidRPr="006A4536" w:rsidRDefault="003155B0" w:rsidP="003155B0">
            <w:pPr>
              <w:pStyle w:val="Text1"/>
              <w:spacing w:before="0" w:after="0"/>
              <w:ind w:left="0"/>
              <w:rPr>
                <w:noProof/>
                <w:sz w:val="18"/>
                <w:szCs w:val="18"/>
              </w:rPr>
            </w:pPr>
            <w:r w:rsidRPr="006A4536">
              <w:rPr>
                <w:noProof/>
                <w:sz w:val="18"/>
                <w:szCs w:val="18"/>
              </w:rPr>
              <w:t>ESF</w:t>
            </w:r>
          </w:p>
        </w:tc>
        <w:tc>
          <w:tcPr>
            <w:tcW w:w="487" w:type="pct"/>
          </w:tcPr>
          <w:p w14:paraId="10D666EB" w14:textId="77777777" w:rsidR="003155B0" w:rsidRPr="00930237" w:rsidRDefault="003155B0" w:rsidP="003155B0">
            <w:pPr>
              <w:pStyle w:val="Text1"/>
              <w:spacing w:before="0" w:after="0"/>
              <w:ind w:left="0"/>
              <w:rPr>
                <w:sz w:val="18"/>
                <w:szCs w:val="18"/>
              </w:rPr>
            </w:pPr>
            <w:r w:rsidRPr="006A4536">
              <w:rPr>
                <w:sz w:val="18"/>
                <w:szCs w:val="18"/>
              </w:rPr>
              <w:t>CO04</w:t>
            </w:r>
          </w:p>
        </w:tc>
        <w:tc>
          <w:tcPr>
            <w:tcW w:w="1303" w:type="pct"/>
            <w:shd w:val="clear" w:color="auto" w:fill="auto"/>
          </w:tcPr>
          <w:p w14:paraId="0C3702AA" w14:textId="77777777" w:rsidR="003155B0" w:rsidRPr="00930237" w:rsidRDefault="003155B0" w:rsidP="003155B0">
            <w:pPr>
              <w:pStyle w:val="Default"/>
              <w:spacing w:after="0" w:line="240" w:lineRule="auto"/>
              <w:jc w:val="both"/>
              <w:rPr>
                <w:sz w:val="18"/>
                <w:szCs w:val="18"/>
                <w:lang w:eastAsia="en-GB"/>
              </w:rPr>
            </w:pPr>
            <w:r w:rsidRPr="006A4536">
              <w:rPr>
                <w:sz w:val="18"/>
                <w:szCs w:val="18"/>
                <w:lang w:eastAsia="en-GB"/>
              </w:rPr>
              <w:t>Nodarbinātie, tostarp pašnodarbinātie</w:t>
            </w:r>
          </w:p>
        </w:tc>
        <w:tc>
          <w:tcPr>
            <w:tcW w:w="537" w:type="pct"/>
          </w:tcPr>
          <w:p w14:paraId="356DFD90" w14:textId="77777777" w:rsidR="003155B0" w:rsidRPr="00930237" w:rsidRDefault="003155B0" w:rsidP="003155B0">
            <w:pPr>
              <w:pStyle w:val="Text1"/>
              <w:spacing w:before="0" w:after="0"/>
              <w:ind w:left="0"/>
              <w:rPr>
                <w:noProof/>
                <w:sz w:val="18"/>
                <w:szCs w:val="18"/>
              </w:rPr>
            </w:pPr>
            <w:r w:rsidRPr="006A4536">
              <w:rPr>
                <w:noProof/>
                <w:sz w:val="18"/>
                <w:szCs w:val="18"/>
              </w:rPr>
              <w:t>Personu skaits</w:t>
            </w:r>
          </w:p>
        </w:tc>
        <w:tc>
          <w:tcPr>
            <w:tcW w:w="513" w:type="pct"/>
            <w:shd w:val="clear" w:color="auto" w:fill="auto"/>
          </w:tcPr>
          <w:p w14:paraId="57A553EE" w14:textId="77777777" w:rsidR="003155B0" w:rsidRDefault="003155B0" w:rsidP="003155B0">
            <w:pPr>
              <w:spacing w:before="0" w:after="0"/>
              <w:rPr>
                <w:noProof/>
                <w:sz w:val="18"/>
                <w:szCs w:val="18"/>
              </w:rPr>
            </w:pPr>
            <w:r>
              <w:rPr>
                <w:noProof/>
                <w:sz w:val="18"/>
                <w:szCs w:val="18"/>
              </w:rPr>
              <w:t>LM:</w:t>
            </w:r>
            <w:r>
              <w:t xml:space="preserve"> </w:t>
            </w:r>
            <w:r w:rsidRPr="00C23326">
              <w:rPr>
                <w:noProof/>
                <w:sz w:val="18"/>
                <w:szCs w:val="18"/>
              </w:rPr>
              <w:t>1302</w:t>
            </w:r>
          </w:p>
          <w:p w14:paraId="7C91AA66" w14:textId="77777777" w:rsidR="003155B0" w:rsidRPr="00930237" w:rsidRDefault="003155B0" w:rsidP="003155B0">
            <w:pPr>
              <w:spacing w:before="0" w:after="0"/>
              <w:rPr>
                <w:noProof/>
                <w:sz w:val="18"/>
                <w:szCs w:val="18"/>
              </w:rPr>
            </w:pPr>
            <w:r w:rsidRPr="006A4536">
              <w:rPr>
                <w:noProof/>
                <w:sz w:val="18"/>
                <w:szCs w:val="18"/>
              </w:rPr>
              <w:t xml:space="preserve">PKC: </w:t>
            </w:r>
            <w:r>
              <w:rPr>
                <w:noProof/>
                <w:sz w:val="18"/>
                <w:szCs w:val="18"/>
              </w:rPr>
              <w:t>750</w:t>
            </w:r>
          </w:p>
        </w:tc>
        <w:tc>
          <w:tcPr>
            <w:tcW w:w="635" w:type="pct"/>
            <w:shd w:val="clear" w:color="auto" w:fill="auto"/>
          </w:tcPr>
          <w:p w14:paraId="7B42FC31" w14:textId="77777777" w:rsidR="003155B0" w:rsidRDefault="003155B0" w:rsidP="003155B0">
            <w:pPr>
              <w:spacing w:before="0" w:after="0"/>
              <w:rPr>
                <w:noProof/>
                <w:sz w:val="18"/>
                <w:szCs w:val="18"/>
              </w:rPr>
            </w:pPr>
            <w:r>
              <w:rPr>
                <w:noProof/>
                <w:sz w:val="18"/>
                <w:szCs w:val="18"/>
              </w:rPr>
              <w:t xml:space="preserve">LM: </w:t>
            </w:r>
            <w:r w:rsidRPr="00C23326">
              <w:rPr>
                <w:noProof/>
                <w:sz w:val="18"/>
                <w:szCs w:val="18"/>
              </w:rPr>
              <w:t>5988</w:t>
            </w:r>
          </w:p>
          <w:p w14:paraId="53D1EECB" w14:textId="77777777" w:rsidR="003155B0" w:rsidRPr="00930237" w:rsidRDefault="003155B0" w:rsidP="003155B0">
            <w:pPr>
              <w:spacing w:before="0" w:after="0"/>
              <w:rPr>
                <w:noProof/>
                <w:sz w:val="18"/>
                <w:szCs w:val="18"/>
              </w:rPr>
            </w:pPr>
            <w:r w:rsidRPr="006A4536">
              <w:rPr>
                <w:noProof/>
                <w:sz w:val="18"/>
                <w:szCs w:val="18"/>
              </w:rPr>
              <w:t xml:space="preserve">PKC: </w:t>
            </w:r>
            <w:r>
              <w:rPr>
                <w:noProof/>
                <w:sz w:val="18"/>
                <w:szCs w:val="18"/>
              </w:rPr>
              <w:t>3 750</w:t>
            </w:r>
          </w:p>
        </w:tc>
      </w:tr>
      <w:tr w:rsidR="003155B0" w:rsidRPr="00930237" w14:paraId="259A1A84" w14:textId="77777777" w:rsidTr="003155B0">
        <w:trPr>
          <w:trHeight w:val="332"/>
        </w:trPr>
        <w:tc>
          <w:tcPr>
            <w:tcW w:w="476" w:type="pct"/>
          </w:tcPr>
          <w:p w14:paraId="4452BEC9" w14:textId="77777777" w:rsidR="003155B0" w:rsidRPr="00930237" w:rsidRDefault="003155B0" w:rsidP="003155B0">
            <w:pPr>
              <w:pStyle w:val="Text1"/>
              <w:spacing w:before="0" w:after="0"/>
              <w:ind w:left="0"/>
              <w:rPr>
                <w:noProof/>
                <w:sz w:val="18"/>
                <w:szCs w:val="18"/>
              </w:rPr>
            </w:pPr>
            <w:r w:rsidRPr="00930237">
              <w:rPr>
                <w:noProof/>
                <w:sz w:val="18"/>
                <w:szCs w:val="18"/>
              </w:rPr>
              <w:t>4.2.prioritāte</w:t>
            </w:r>
          </w:p>
          <w:p w14:paraId="356DFEB6" w14:textId="77777777" w:rsidR="003155B0" w:rsidRPr="00930237" w:rsidRDefault="003155B0" w:rsidP="003155B0">
            <w:pPr>
              <w:pStyle w:val="Text1"/>
              <w:spacing w:before="0" w:after="0"/>
              <w:ind w:left="0"/>
              <w:rPr>
                <w:noProof/>
                <w:sz w:val="18"/>
                <w:szCs w:val="18"/>
              </w:rPr>
            </w:pPr>
          </w:p>
        </w:tc>
        <w:tc>
          <w:tcPr>
            <w:tcW w:w="696" w:type="pct"/>
          </w:tcPr>
          <w:p w14:paraId="57D14FDA" w14:textId="77777777" w:rsidR="003155B0" w:rsidRPr="00930237" w:rsidRDefault="003155B0" w:rsidP="003155B0">
            <w:pPr>
              <w:spacing w:before="0" w:after="0"/>
              <w:rPr>
                <w:noProof/>
                <w:sz w:val="18"/>
                <w:szCs w:val="18"/>
              </w:rPr>
            </w:pPr>
            <w:r w:rsidRPr="00930237">
              <w:rPr>
                <w:noProof/>
                <w:sz w:val="18"/>
                <w:szCs w:val="18"/>
              </w:rPr>
              <w:t>4.2.3.SAM</w:t>
            </w:r>
          </w:p>
          <w:p w14:paraId="13F13FD4" w14:textId="77777777" w:rsidR="003155B0" w:rsidRPr="00930237" w:rsidRDefault="003155B0" w:rsidP="003155B0">
            <w:pPr>
              <w:pStyle w:val="Text1"/>
              <w:spacing w:before="0" w:after="0"/>
              <w:ind w:left="0"/>
              <w:rPr>
                <w:noProof/>
                <w:sz w:val="18"/>
                <w:szCs w:val="18"/>
              </w:rPr>
            </w:pPr>
          </w:p>
        </w:tc>
        <w:tc>
          <w:tcPr>
            <w:tcW w:w="353" w:type="pct"/>
          </w:tcPr>
          <w:p w14:paraId="292A757E" w14:textId="77777777" w:rsidR="003155B0" w:rsidRPr="00930237" w:rsidRDefault="003155B0" w:rsidP="003155B0">
            <w:pPr>
              <w:pStyle w:val="Text1"/>
              <w:spacing w:before="0" w:after="0"/>
              <w:ind w:left="0"/>
              <w:rPr>
                <w:noProof/>
                <w:sz w:val="18"/>
                <w:szCs w:val="18"/>
              </w:rPr>
            </w:pPr>
            <w:r w:rsidRPr="00930237">
              <w:rPr>
                <w:noProof/>
                <w:sz w:val="18"/>
                <w:szCs w:val="18"/>
              </w:rPr>
              <w:t>ESF</w:t>
            </w:r>
          </w:p>
        </w:tc>
        <w:tc>
          <w:tcPr>
            <w:tcW w:w="487" w:type="pct"/>
          </w:tcPr>
          <w:p w14:paraId="5CEA3591" w14:textId="77777777" w:rsidR="003155B0" w:rsidRPr="00930237" w:rsidRDefault="003155B0" w:rsidP="003155B0">
            <w:pPr>
              <w:pStyle w:val="Text1"/>
              <w:spacing w:before="0" w:after="0"/>
              <w:ind w:left="0"/>
              <w:rPr>
                <w:sz w:val="18"/>
                <w:szCs w:val="18"/>
              </w:rPr>
            </w:pPr>
            <w:r w:rsidRPr="00930237">
              <w:rPr>
                <w:sz w:val="18"/>
                <w:szCs w:val="18"/>
              </w:rPr>
              <w:t>CO05</w:t>
            </w:r>
          </w:p>
        </w:tc>
        <w:tc>
          <w:tcPr>
            <w:tcW w:w="1303" w:type="pct"/>
            <w:shd w:val="clear" w:color="auto" w:fill="auto"/>
          </w:tcPr>
          <w:p w14:paraId="2015F0DE" w14:textId="77777777" w:rsidR="003155B0" w:rsidRPr="00930237" w:rsidRDefault="003155B0" w:rsidP="003155B0">
            <w:pPr>
              <w:pStyle w:val="Default"/>
              <w:spacing w:after="0" w:line="240" w:lineRule="auto"/>
              <w:jc w:val="both"/>
              <w:rPr>
                <w:color w:val="auto"/>
                <w:sz w:val="18"/>
                <w:szCs w:val="18"/>
              </w:rPr>
            </w:pPr>
            <w:r w:rsidRPr="00930237">
              <w:rPr>
                <w:sz w:val="18"/>
                <w:szCs w:val="18"/>
                <w:lang w:eastAsia="en-GB"/>
              </w:rPr>
              <w:t xml:space="preserve">Personas, kuras jaunākas par 30 gadiem </w:t>
            </w:r>
          </w:p>
        </w:tc>
        <w:tc>
          <w:tcPr>
            <w:tcW w:w="537" w:type="pct"/>
          </w:tcPr>
          <w:p w14:paraId="04C62B6D" w14:textId="77777777" w:rsidR="003155B0" w:rsidRPr="00930237" w:rsidRDefault="003155B0" w:rsidP="003155B0">
            <w:pPr>
              <w:pStyle w:val="Text1"/>
              <w:spacing w:before="0" w:after="0"/>
              <w:ind w:left="0"/>
              <w:rPr>
                <w:noProof/>
                <w:sz w:val="18"/>
                <w:szCs w:val="18"/>
              </w:rPr>
            </w:pPr>
            <w:r w:rsidRPr="00930237">
              <w:rPr>
                <w:noProof/>
                <w:sz w:val="18"/>
                <w:szCs w:val="18"/>
              </w:rPr>
              <w:t>Dalībnieku  skaits</w:t>
            </w:r>
          </w:p>
        </w:tc>
        <w:tc>
          <w:tcPr>
            <w:tcW w:w="513" w:type="pct"/>
            <w:shd w:val="clear" w:color="auto" w:fill="auto"/>
          </w:tcPr>
          <w:p w14:paraId="417C9F9B" w14:textId="77777777" w:rsidR="003155B0" w:rsidRPr="00930237" w:rsidRDefault="003155B0" w:rsidP="003155B0">
            <w:pPr>
              <w:spacing w:before="0" w:after="0"/>
              <w:rPr>
                <w:noProof/>
                <w:sz w:val="18"/>
                <w:szCs w:val="18"/>
              </w:rPr>
            </w:pPr>
            <w:r>
              <w:rPr>
                <w:noProof/>
                <w:sz w:val="18"/>
                <w:szCs w:val="18"/>
              </w:rPr>
              <w:t>1000</w:t>
            </w:r>
          </w:p>
          <w:p w14:paraId="6503E130" w14:textId="77777777" w:rsidR="003155B0" w:rsidRPr="00930237" w:rsidRDefault="003155B0" w:rsidP="003155B0">
            <w:pPr>
              <w:pStyle w:val="Text1"/>
              <w:spacing w:before="0" w:after="0"/>
              <w:ind w:left="0"/>
              <w:rPr>
                <w:noProof/>
                <w:sz w:val="18"/>
                <w:szCs w:val="18"/>
              </w:rPr>
            </w:pPr>
          </w:p>
        </w:tc>
        <w:tc>
          <w:tcPr>
            <w:tcW w:w="635" w:type="pct"/>
            <w:shd w:val="clear" w:color="auto" w:fill="auto"/>
          </w:tcPr>
          <w:p w14:paraId="60E2CD25" w14:textId="77777777" w:rsidR="003155B0" w:rsidRPr="00930237" w:rsidRDefault="003155B0" w:rsidP="003155B0">
            <w:pPr>
              <w:spacing w:before="0" w:after="0"/>
              <w:rPr>
                <w:noProof/>
                <w:sz w:val="18"/>
                <w:szCs w:val="18"/>
              </w:rPr>
            </w:pPr>
            <w:r>
              <w:rPr>
                <w:noProof/>
                <w:sz w:val="18"/>
                <w:szCs w:val="18"/>
              </w:rPr>
              <w:t>2050</w:t>
            </w:r>
          </w:p>
          <w:p w14:paraId="77E4F50E" w14:textId="77777777" w:rsidR="003155B0" w:rsidRPr="00930237" w:rsidRDefault="003155B0" w:rsidP="003155B0">
            <w:pPr>
              <w:pStyle w:val="Text1"/>
              <w:spacing w:before="0" w:after="0"/>
              <w:ind w:left="0"/>
              <w:rPr>
                <w:noProof/>
                <w:sz w:val="18"/>
                <w:szCs w:val="18"/>
              </w:rPr>
            </w:pPr>
          </w:p>
        </w:tc>
      </w:tr>
      <w:tr w:rsidR="003155B0" w:rsidRPr="00930237" w14:paraId="515F1446" w14:textId="77777777" w:rsidTr="003155B0">
        <w:trPr>
          <w:trHeight w:val="332"/>
        </w:trPr>
        <w:tc>
          <w:tcPr>
            <w:tcW w:w="476" w:type="pct"/>
          </w:tcPr>
          <w:p w14:paraId="23F7FA52" w14:textId="77777777" w:rsidR="003155B0" w:rsidRPr="00930237" w:rsidRDefault="003155B0" w:rsidP="003155B0">
            <w:pPr>
              <w:pStyle w:val="Text1"/>
              <w:spacing w:before="0" w:after="0"/>
              <w:ind w:left="0"/>
              <w:rPr>
                <w:noProof/>
                <w:sz w:val="18"/>
                <w:szCs w:val="18"/>
              </w:rPr>
            </w:pPr>
            <w:r w:rsidRPr="006A4536">
              <w:rPr>
                <w:noProof/>
                <w:sz w:val="18"/>
                <w:szCs w:val="18"/>
              </w:rPr>
              <w:t>4.3.prioritāte</w:t>
            </w:r>
          </w:p>
        </w:tc>
        <w:tc>
          <w:tcPr>
            <w:tcW w:w="696" w:type="pct"/>
          </w:tcPr>
          <w:p w14:paraId="7B4AD063" w14:textId="77777777" w:rsidR="003155B0" w:rsidRPr="00930237" w:rsidRDefault="003155B0" w:rsidP="003155B0">
            <w:pPr>
              <w:spacing w:before="0" w:after="0"/>
              <w:rPr>
                <w:noProof/>
                <w:sz w:val="18"/>
                <w:szCs w:val="18"/>
              </w:rPr>
            </w:pPr>
            <w:r w:rsidRPr="00930237">
              <w:rPr>
                <w:noProof/>
                <w:sz w:val="18"/>
                <w:szCs w:val="18"/>
              </w:rPr>
              <w:t>PKC</w:t>
            </w:r>
            <w:r>
              <w:rPr>
                <w:noProof/>
                <w:sz w:val="18"/>
                <w:szCs w:val="18"/>
              </w:rPr>
              <w:t>/LM</w:t>
            </w:r>
            <w:r w:rsidRPr="00930237">
              <w:rPr>
                <w:noProof/>
                <w:sz w:val="18"/>
                <w:szCs w:val="18"/>
              </w:rPr>
              <w:t>: 4.3.6.SAM</w:t>
            </w:r>
          </w:p>
          <w:p w14:paraId="00295370" w14:textId="77777777" w:rsidR="003155B0" w:rsidRPr="00930237" w:rsidRDefault="003155B0" w:rsidP="003155B0">
            <w:pPr>
              <w:spacing w:before="0" w:after="0"/>
              <w:rPr>
                <w:noProof/>
                <w:sz w:val="18"/>
                <w:szCs w:val="18"/>
              </w:rPr>
            </w:pPr>
          </w:p>
        </w:tc>
        <w:tc>
          <w:tcPr>
            <w:tcW w:w="353" w:type="pct"/>
          </w:tcPr>
          <w:p w14:paraId="4C72B1B3" w14:textId="77777777" w:rsidR="003155B0" w:rsidRPr="00930237" w:rsidRDefault="003155B0" w:rsidP="003155B0">
            <w:pPr>
              <w:pStyle w:val="Text1"/>
              <w:spacing w:before="0" w:after="0"/>
              <w:ind w:left="0"/>
              <w:rPr>
                <w:noProof/>
                <w:sz w:val="18"/>
                <w:szCs w:val="18"/>
              </w:rPr>
            </w:pPr>
            <w:r w:rsidRPr="006A4536">
              <w:rPr>
                <w:noProof/>
                <w:sz w:val="18"/>
                <w:szCs w:val="18"/>
              </w:rPr>
              <w:t>ESF</w:t>
            </w:r>
          </w:p>
        </w:tc>
        <w:tc>
          <w:tcPr>
            <w:tcW w:w="487" w:type="pct"/>
          </w:tcPr>
          <w:p w14:paraId="6717FAD7" w14:textId="77777777" w:rsidR="003155B0" w:rsidRPr="00930237" w:rsidRDefault="003155B0" w:rsidP="003155B0">
            <w:pPr>
              <w:pStyle w:val="Text1"/>
              <w:spacing w:before="0" w:after="0"/>
              <w:ind w:left="0"/>
              <w:rPr>
                <w:sz w:val="18"/>
                <w:szCs w:val="18"/>
              </w:rPr>
            </w:pPr>
            <w:r w:rsidRPr="006A4536">
              <w:rPr>
                <w:sz w:val="18"/>
                <w:szCs w:val="18"/>
              </w:rPr>
              <w:t>CO05</w:t>
            </w:r>
          </w:p>
        </w:tc>
        <w:tc>
          <w:tcPr>
            <w:tcW w:w="1303" w:type="pct"/>
            <w:shd w:val="clear" w:color="auto" w:fill="auto"/>
          </w:tcPr>
          <w:p w14:paraId="1DFEF807" w14:textId="77777777" w:rsidR="003155B0" w:rsidRPr="00930237" w:rsidRDefault="003155B0" w:rsidP="003155B0">
            <w:pPr>
              <w:pStyle w:val="Default"/>
              <w:spacing w:after="0" w:line="240" w:lineRule="auto"/>
              <w:jc w:val="both"/>
              <w:rPr>
                <w:sz w:val="18"/>
                <w:szCs w:val="18"/>
                <w:lang w:eastAsia="en-GB"/>
              </w:rPr>
            </w:pPr>
            <w:r w:rsidRPr="006A4536">
              <w:rPr>
                <w:sz w:val="18"/>
                <w:szCs w:val="18"/>
                <w:lang w:eastAsia="en-GB"/>
              </w:rPr>
              <w:t>Personas, kuras jaunākas par 30 gadiem</w:t>
            </w:r>
          </w:p>
        </w:tc>
        <w:tc>
          <w:tcPr>
            <w:tcW w:w="537" w:type="pct"/>
          </w:tcPr>
          <w:p w14:paraId="597DE9ED" w14:textId="77777777" w:rsidR="003155B0" w:rsidRPr="00930237" w:rsidRDefault="003155B0" w:rsidP="003155B0">
            <w:pPr>
              <w:pStyle w:val="Text1"/>
              <w:spacing w:before="0" w:after="0"/>
              <w:ind w:left="0"/>
              <w:rPr>
                <w:noProof/>
                <w:sz w:val="18"/>
                <w:szCs w:val="18"/>
              </w:rPr>
            </w:pPr>
            <w:r w:rsidRPr="006A4536">
              <w:rPr>
                <w:noProof/>
                <w:sz w:val="18"/>
                <w:szCs w:val="18"/>
              </w:rPr>
              <w:t>Dalībnieku  skaits</w:t>
            </w:r>
          </w:p>
        </w:tc>
        <w:tc>
          <w:tcPr>
            <w:tcW w:w="513" w:type="pct"/>
            <w:shd w:val="clear" w:color="auto" w:fill="auto"/>
          </w:tcPr>
          <w:p w14:paraId="4E840A94" w14:textId="77777777" w:rsidR="003155B0" w:rsidRPr="00930237" w:rsidRDefault="003155B0" w:rsidP="003155B0">
            <w:pPr>
              <w:spacing w:before="0" w:after="0"/>
              <w:rPr>
                <w:noProof/>
                <w:sz w:val="18"/>
                <w:szCs w:val="18"/>
              </w:rPr>
            </w:pPr>
            <w:r w:rsidRPr="00930237">
              <w:rPr>
                <w:noProof/>
                <w:sz w:val="18"/>
                <w:szCs w:val="18"/>
              </w:rPr>
              <w:t xml:space="preserve">PKC: </w:t>
            </w:r>
            <w:r>
              <w:rPr>
                <w:noProof/>
                <w:sz w:val="18"/>
                <w:szCs w:val="18"/>
              </w:rPr>
              <w:t xml:space="preserve">4 </w:t>
            </w:r>
            <w:r w:rsidRPr="007B01DC">
              <w:rPr>
                <w:sz w:val="20"/>
              </w:rPr>
              <w:t>530</w:t>
            </w:r>
          </w:p>
          <w:p w14:paraId="3A96B5AB" w14:textId="77777777" w:rsidR="003155B0" w:rsidRPr="00930237" w:rsidRDefault="003155B0" w:rsidP="003155B0">
            <w:pPr>
              <w:spacing w:before="0" w:after="0"/>
              <w:rPr>
                <w:noProof/>
                <w:sz w:val="18"/>
                <w:szCs w:val="18"/>
              </w:rPr>
            </w:pPr>
            <w:r w:rsidRPr="00930237">
              <w:rPr>
                <w:noProof/>
                <w:sz w:val="18"/>
                <w:szCs w:val="18"/>
              </w:rPr>
              <w:t xml:space="preserve">LM: </w:t>
            </w:r>
            <w:r>
              <w:rPr>
                <w:noProof/>
                <w:sz w:val="18"/>
                <w:szCs w:val="18"/>
              </w:rPr>
              <w:t>2 450</w:t>
            </w:r>
          </w:p>
        </w:tc>
        <w:tc>
          <w:tcPr>
            <w:tcW w:w="635" w:type="pct"/>
            <w:shd w:val="clear" w:color="auto" w:fill="auto"/>
          </w:tcPr>
          <w:p w14:paraId="42C43C29" w14:textId="77777777" w:rsidR="003155B0" w:rsidRPr="00930237" w:rsidRDefault="003155B0" w:rsidP="003155B0">
            <w:pPr>
              <w:spacing w:before="0" w:after="0"/>
              <w:rPr>
                <w:noProof/>
                <w:sz w:val="18"/>
                <w:szCs w:val="18"/>
              </w:rPr>
            </w:pPr>
            <w:r w:rsidRPr="00930237">
              <w:rPr>
                <w:noProof/>
                <w:sz w:val="18"/>
                <w:szCs w:val="18"/>
              </w:rPr>
              <w:t xml:space="preserve">PKC: </w:t>
            </w:r>
            <w:r w:rsidRPr="00D61DFF">
              <w:rPr>
                <w:noProof/>
                <w:sz w:val="18"/>
                <w:szCs w:val="18"/>
              </w:rPr>
              <w:t>22 650</w:t>
            </w:r>
          </w:p>
          <w:p w14:paraId="7D44BEF7" w14:textId="77777777" w:rsidR="003155B0" w:rsidRPr="00930237" w:rsidRDefault="003155B0" w:rsidP="003155B0">
            <w:pPr>
              <w:spacing w:before="0" w:after="0"/>
              <w:rPr>
                <w:noProof/>
                <w:sz w:val="18"/>
                <w:szCs w:val="18"/>
              </w:rPr>
            </w:pPr>
            <w:r w:rsidRPr="00930237">
              <w:rPr>
                <w:noProof/>
                <w:sz w:val="18"/>
                <w:szCs w:val="18"/>
              </w:rPr>
              <w:t xml:space="preserve">LM: </w:t>
            </w:r>
            <w:r>
              <w:rPr>
                <w:noProof/>
                <w:sz w:val="18"/>
                <w:szCs w:val="18"/>
              </w:rPr>
              <w:t>4 900</w:t>
            </w:r>
          </w:p>
        </w:tc>
      </w:tr>
      <w:tr w:rsidR="003155B0" w:rsidRPr="00930237" w14:paraId="04E914E9" w14:textId="77777777" w:rsidTr="003155B0">
        <w:trPr>
          <w:trHeight w:val="332"/>
        </w:trPr>
        <w:tc>
          <w:tcPr>
            <w:tcW w:w="476" w:type="pct"/>
          </w:tcPr>
          <w:p w14:paraId="479995B9" w14:textId="77777777" w:rsidR="003155B0" w:rsidRPr="00930237" w:rsidRDefault="003155B0" w:rsidP="003155B0">
            <w:pPr>
              <w:spacing w:before="0" w:after="0"/>
              <w:rPr>
                <w:noProof/>
                <w:sz w:val="18"/>
                <w:szCs w:val="18"/>
              </w:rPr>
            </w:pPr>
            <w:r w:rsidRPr="00930237">
              <w:rPr>
                <w:noProof/>
                <w:sz w:val="18"/>
                <w:szCs w:val="18"/>
              </w:rPr>
              <w:t>4.1.prioritāte</w:t>
            </w:r>
          </w:p>
          <w:p w14:paraId="6A11C14E" w14:textId="77777777" w:rsidR="003155B0" w:rsidRPr="00930237" w:rsidRDefault="003155B0" w:rsidP="003155B0">
            <w:pPr>
              <w:pStyle w:val="Text1"/>
              <w:spacing w:before="0" w:after="0"/>
              <w:ind w:left="0"/>
              <w:rPr>
                <w:noProof/>
                <w:sz w:val="18"/>
                <w:szCs w:val="18"/>
              </w:rPr>
            </w:pPr>
          </w:p>
        </w:tc>
        <w:tc>
          <w:tcPr>
            <w:tcW w:w="696" w:type="pct"/>
          </w:tcPr>
          <w:p w14:paraId="4631CB24" w14:textId="77777777" w:rsidR="003155B0" w:rsidRPr="00930237" w:rsidRDefault="003155B0" w:rsidP="003155B0">
            <w:pPr>
              <w:spacing w:before="0" w:after="0"/>
              <w:rPr>
                <w:noProof/>
                <w:sz w:val="18"/>
                <w:szCs w:val="18"/>
              </w:rPr>
            </w:pPr>
            <w:r w:rsidRPr="00930237">
              <w:rPr>
                <w:noProof/>
                <w:sz w:val="18"/>
                <w:szCs w:val="18"/>
              </w:rPr>
              <w:t>4.1.3.SAM</w:t>
            </w:r>
          </w:p>
          <w:p w14:paraId="7F4AFCF1" w14:textId="77777777" w:rsidR="003155B0" w:rsidRPr="00930237" w:rsidRDefault="003155B0" w:rsidP="003155B0">
            <w:pPr>
              <w:spacing w:before="0" w:after="0"/>
              <w:rPr>
                <w:noProof/>
                <w:sz w:val="18"/>
                <w:szCs w:val="18"/>
              </w:rPr>
            </w:pPr>
          </w:p>
        </w:tc>
        <w:tc>
          <w:tcPr>
            <w:tcW w:w="353" w:type="pct"/>
          </w:tcPr>
          <w:p w14:paraId="7AD693B9" w14:textId="77777777" w:rsidR="003155B0" w:rsidRPr="00930237" w:rsidRDefault="003155B0" w:rsidP="003155B0">
            <w:pPr>
              <w:pStyle w:val="Text1"/>
              <w:spacing w:before="0" w:after="0"/>
              <w:ind w:left="0"/>
              <w:rPr>
                <w:noProof/>
                <w:sz w:val="18"/>
                <w:szCs w:val="18"/>
              </w:rPr>
            </w:pPr>
            <w:r w:rsidRPr="00930237">
              <w:rPr>
                <w:noProof/>
                <w:sz w:val="18"/>
                <w:szCs w:val="18"/>
              </w:rPr>
              <w:t>ESF</w:t>
            </w:r>
          </w:p>
        </w:tc>
        <w:tc>
          <w:tcPr>
            <w:tcW w:w="487" w:type="pct"/>
          </w:tcPr>
          <w:p w14:paraId="14EE08E3" w14:textId="77777777" w:rsidR="003155B0" w:rsidRPr="00930237" w:rsidRDefault="003155B0" w:rsidP="003155B0">
            <w:pPr>
              <w:pStyle w:val="Text1"/>
              <w:spacing w:before="0" w:after="0"/>
              <w:ind w:left="0"/>
              <w:rPr>
                <w:sz w:val="18"/>
                <w:szCs w:val="18"/>
              </w:rPr>
            </w:pPr>
            <w:r w:rsidRPr="00930237">
              <w:rPr>
                <w:sz w:val="18"/>
                <w:szCs w:val="18"/>
              </w:rPr>
              <w:t>CO08</w:t>
            </w:r>
          </w:p>
        </w:tc>
        <w:tc>
          <w:tcPr>
            <w:tcW w:w="1303" w:type="pct"/>
            <w:shd w:val="clear" w:color="auto" w:fill="auto"/>
          </w:tcPr>
          <w:p w14:paraId="0AD79681" w14:textId="77777777" w:rsidR="003155B0" w:rsidRPr="00930237" w:rsidRDefault="003155B0" w:rsidP="003155B0">
            <w:pPr>
              <w:pStyle w:val="Default"/>
              <w:spacing w:after="0" w:line="240" w:lineRule="auto"/>
              <w:jc w:val="both"/>
              <w:rPr>
                <w:color w:val="auto"/>
                <w:sz w:val="18"/>
                <w:szCs w:val="18"/>
                <w:highlight w:val="yellow"/>
              </w:rPr>
            </w:pPr>
            <w:r w:rsidRPr="00930237">
              <w:rPr>
                <w:sz w:val="18"/>
                <w:szCs w:val="18"/>
                <w:lang w:eastAsia="en-GB"/>
              </w:rPr>
              <w:t>Personas ar vidējo izglītību</w:t>
            </w:r>
          </w:p>
        </w:tc>
        <w:tc>
          <w:tcPr>
            <w:tcW w:w="537" w:type="pct"/>
          </w:tcPr>
          <w:p w14:paraId="0BB58285" w14:textId="77777777" w:rsidR="003155B0" w:rsidRPr="00930237" w:rsidRDefault="003155B0" w:rsidP="003155B0">
            <w:pPr>
              <w:pStyle w:val="Text1"/>
              <w:spacing w:before="0" w:after="0"/>
              <w:ind w:left="0"/>
              <w:rPr>
                <w:noProof/>
                <w:sz w:val="18"/>
                <w:szCs w:val="18"/>
              </w:rPr>
            </w:pPr>
            <w:r w:rsidRPr="00930237">
              <w:rPr>
                <w:noProof/>
                <w:sz w:val="18"/>
                <w:szCs w:val="18"/>
              </w:rPr>
              <w:t>Dalībnieku skaits</w:t>
            </w:r>
          </w:p>
        </w:tc>
        <w:tc>
          <w:tcPr>
            <w:tcW w:w="513" w:type="pct"/>
            <w:shd w:val="clear" w:color="auto" w:fill="auto"/>
          </w:tcPr>
          <w:p w14:paraId="4D5CEFDF" w14:textId="77777777" w:rsidR="003155B0" w:rsidRPr="00930237" w:rsidRDefault="003155B0" w:rsidP="003155B0">
            <w:pPr>
              <w:spacing w:before="0" w:after="0"/>
              <w:rPr>
                <w:noProof/>
                <w:sz w:val="18"/>
                <w:szCs w:val="18"/>
              </w:rPr>
            </w:pPr>
            <w:r>
              <w:rPr>
                <w:noProof/>
                <w:sz w:val="18"/>
                <w:szCs w:val="18"/>
              </w:rPr>
              <w:t>31</w:t>
            </w:r>
          </w:p>
          <w:p w14:paraId="016B29C3" w14:textId="77777777" w:rsidR="003155B0" w:rsidRPr="00930237" w:rsidRDefault="003155B0" w:rsidP="003155B0">
            <w:pPr>
              <w:pStyle w:val="Text1"/>
              <w:spacing w:before="0" w:after="0"/>
              <w:ind w:left="0"/>
              <w:rPr>
                <w:noProof/>
                <w:sz w:val="18"/>
                <w:szCs w:val="18"/>
              </w:rPr>
            </w:pPr>
          </w:p>
        </w:tc>
        <w:tc>
          <w:tcPr>
            <w:tcW w:w="635" w:type="pct"/>
            <w:shd w:val="clear" w:color="auto" w:fill="auto"/>
          </w:tcPr>
          <w:p w14:paraId="072DD8F6" w14:textId="77777777" w:rsidR="003155B0" w:rsidRPr="00930237" w:rsidRDefault="003155B0" w:rsidP="003155B0">
            <w:pPr>
              <w:pStyle w:val="Text1"/>
              <w:spacing w:before="0" w:after="0"/>
              <w:ind w:left="0"/>
              <w:rPr>
                <w:noProof/>
                <w:sz w:val="18"/>
                <w:szCs w:val="18"/>
              </w:rPr>
            </w:pPr>
            <w:r w:rsidRPr="00FB51CE">
              <w:rPr>
                <w:noProof/>
                <w:sz w:val="18"/>
                <w:szCs w:val="18"/>
              </w:rPr>
              <w:t>1 556</w:t>
            </w:r>
          </w:p>
        </w:tc>
      </w:tr>
      <w:tr w:rsidR="003155B0" w:rsidRPr="00930237" w14:paraId="27F07C59" w14:textId="77777777" w:rsidTr="003155B0">
        <w:trPr>
          <w:trHeight w:val="332"/>
        </w:trPr>
        <w:tc>
          <w:tcPr>
            <w:tcW w:w="476" w:type="pct"/>
          </w:tcPr>
          <w:p w14:paraId="7CD3EED1" w14:textId="77777777" w:rsidR="003155B0" w:rsidRPr="00930237" w:rsidRDefault="003155B0" w:rsidP="003155B0">
            <w:pPr>
              <w:pStyle w:val="Text1"/>
              <w:spacing w:before="0" w:after="0"/>
              <w:ind w:left="0"/>
              <w:rPr>
                <w:noProof/>
                <w:sz w:val="18"/>
                <w:szCs w:val="18"/>
              </w:rPr>
            </w:pPr>
            <w:r w:rsidRPr="00930237">
              <w:rPr>
                <w:noProof/>
                <w:sz w:val="18"/>
                <w:szCs w:val="18"/>
              </w:rPr>
              <w:t>4.1.prioritāte</w:t>
            </w:r>
          </w:p>
          <w:p w14:paraId="697DCB03" w14:textId="77777777" w:rsidR="003155B0" w:rsidRPr="00930237" w:rsidRDefault="003155B0" w:rsidP="003155B0">
            <w:pPr>
              <w:pStyle w:val="Text1"/>
              <w:spacing w:before="0" w:after="0"/>
              <w:ind w:left="0"/>
              <w:rPr>
                <w:noProof/>
                <w:sz w:val="18"/>
                <w:szCs w:val="18"/>
              </w:rPr>
            </w:pPr>
          </w:p>
        </w:tc>
        <w:tc>
          <w:tcPr>
            <w:tcW w:w="696" w:type="pct"/>
          </w:tcPr>
          <w:p w14:paraId="19E216B9" w14:textId="77777777" w:rsidR="003155B0" w:rsidRPr="00930237" w:rsidRDefault="003155B0" w:rsidP="003155B0">
            <w:pPr>
              <w:pStyle w:val="Text1"/>
              <w:spacing w:before="0" w:after="0"/>
              <w:ind w:left="0"/>
              <w:rPr>
                <w:noProof/>
                <w:sz w:val="18"/>
                <w:szCs w:val="18"/>
              </w:rPr>
            </w:pPr>
            <w:r w:rsidRPr="00930237">
              <w:rPr>
                <w:noProof/>
                <w:sz w:val="18"/>
                <w:szCs w:val="18"/>
              </w:rPr>
              <w:t>4.1.3.SAM</w:t>
            </w:r>
          </w:p>
          <w:p w14:paraId="118E6883" w14:textId="77777777" w:rsidR="003155B0" w:rsidRPr="00930237" w:rsidRDefault="003155B0" w:rsidP="003155B0">
            <w:pPr>
              <w:pStyle w:val="Text1"/>
              <w:spacing w:before="0" w:after="0"/>
              <w:ind w:left="0"/>
              <w:rPr>
                <w:noProof/>
                <w:sz w:val="18"/>
                <w:szCs w:val="18"/>
              </w:rPr>
            </w:pPr>
          </w:p>
        </w:tc>
        <w:tc>
          <w:tcPr>
            <w:tcW w:w="353" w:type="pct"/>
          </w:tcPr>
          <w:p w14:paraId="1F4C3100" w14:textId="77777777" w:rsidR="003155B0" w:rsidRPr="00930237" w:rsidRDefault="003155B0" w:rsidP="003155B0">
            <w:pPr>
              <w:pStyle w:val="Text1"/>
              <w:spacing w:before="0" w:after="0"/>
              <w:ind w:left="0"/>
              <w:rPr>
                <w:noProof/>
                <w:sz w:val="18"/>
                <w:szCs w:val="18"/>
              </w:rPr>
            </w:pPr>
            <w:r w:rsidRPr="00930237">
              <w:rPr>
                <w:noProof/>
                <w:sz w:val="18"/>
                <w:szCs w:val="18"/>
              </w:rPr>
              <w:t>ESF</w:t>
            </w:r>
          </w:p>
        </w:tc>
        <w:tc>
          <w:tcPr>
            <w:tcW w:w="487" w:type="pct"/>
          </w:tcPr>
          <w:p w14:paraId="49008472" w14:textId="77777777" w:rsidR="003155B0" w:rsidRPr="00930237" w:rsidRDefault="003155B0" w:rsidP="003155B0">
            <w:pPr>
              <w:pStyle w:val="Text1"/>
              <w:spacing w:before="0" w:after="0"/>
              <w:ind w:left="0"/>
              <w:rPr>
                <w:sz w:val="18"/>
                <w:szCs w:val="18"/>
              </w:rPr>
            </w:pPr>
            <w:r w:rsidRPr="00930237">
              <w:rPr>
                <w:sz w:val="18"/>
                <w:szCs w:val="18"/>
              </w:rPr>
              <w:t>CO09</w:t>
            </w:r>
          </w:p>
        </w:tc>
        <w:tc>
          <w:tcPr>
            <w:tcW w:w="1303" w:type="pct"/>
            <w:shd w:val="clear" w:color="auto" w:fill="auto"/>
          </w:tcPr>
          <w:p w14:paraId="33E5F324" w14:textId="77777777" w:rsidR="003155B0" w:rsidRPr="00930237" w:rsidRDefault="003155B0" w:rsidP="003155B0">
            <w:pPr>
              <w:pStyle w:val="Default"/>
              <w:spacing w:after="0" w:line="240" w:lineRule="auto"/>
              <w:jc w:val="both"/>
              <w:rPr>
                <w:color w:val="auto"/>
                <w:sz w:val="18"/>
                <w:szCs w:val="18"/>
              </w:rPr>
            </w:pPr>
            <w:r w:rsidRPr="00930237">
              <w:rPr>
                <w:color w:val="auto"/>
                <w:sz w:val="18"/>
                <w:szCs w:val="18"/>
                <w:lang w:eastAsia="en-GB"/>
              </w:rPr>
              <w:t>Personas ar augstāko izglītību</w:t>
            </w:r>
          </w:p>
        </w:tc>
        <w:tc>
          <w:tcPr>
            <w:tcW w:w="537" w:type="pct"/>
          </w:tcPr>
          <w:p w14:paraId="17AD6ADF" w14:textId="77777777" w:rsidR="003155B0" w:rsidRPr="00930237" w:rsidRDefault="003155B0" w:rsidP="003155B0">
            <w:pPr>
              <w:pStyle w:val="Text1"/>
              <w:spacing w:before="0" w:after="0"/>
              <w:ind w:left="0"/>
              <w:rPr>
                <w:noProof/>
                <w:sz w:val="18"/>
                <w:szCs w:val="18"/>
              </w:rPr>
            </w:pPr>
            <w:r w:rsidRPr="00930237">
              <w:rPr>
                <w:noProof/>
                <w:sz w:val="18"/>
                <w:szCs w:val="18"/>
              </w:rPr>
              <w:t>Dalībnieku skaits</w:t>
            </w:r>
          </w:p>
        </w:tc>
        <w:tc>
          <w:tcPr>
            <w:tcW w:w="513" w:type="pct"/>
            <w:shd w:val="clear" w:color="auto" w:fill="auto"/>
          </w:tcPr>
          <w:p w14:paraId="72E9A8BA" w14:textId="77777777" w:rsidR="003155B0" w:rsidRPr="00930237" w:rsidRDefault="003155B0" w:rsidP="003155B0">
            <w:pPr>
              <w:spacing w:before="0" w:after="0"/>
              <w:rPr>
                <w:noProof/>
                <w:sz w:val="18"/>
                <w:szCs w:val="18"/>
              </w:rPr>
            </w:pPr>
            <w:r>
              <w:rPr>
                <w:noProof/>
                <w:sz w:val="18"/>
                <w:szCs w:val="18"/>
              </w:rPr>
              <w:t>280</w:t>
            </w:r>
          </w:p>
          <w:p w14:paraId="08FADEDC" w14:textId="77777777" w:rsidR="003155B0" w:rsidRPr="00930237" w:rsidRDefault="003155B0" w:rsidP="003155B0">
            <w:pPr>
              <w:pStyle w:val="Text1"/>
              <w:spacing w:before="0" w:after="0"/>
              <w:ind w:left="0"/>
              <w:rPr>
                <w:noProof/>
                <w:sz w:val="18"/>
                <w:szCs w:val="18"/>
              </w:rPr>
            </w:pPr>
          </w:p>
        </w:tc>
        <w:tc>
          <w:tcPr>
            <w:tcW w:w="635" w:type="pct"/>
            <w:shd w:val="clear" w:color="auto" w:fill="auto"/>
          </w:tcPr>
          <w:p w14:paraId="1B4457FE" w14:textId="77777777" w:rsidR="003155B0" w:rsidRPr="00930237" w:rsidRDefault="003155B0" w:rsidP="003155B0">
            <w:pPr>
              <w:pStyle w:val="Text1"/>
              <w:spacing w:before="0" w:after="0"/>
              <w:ind w:left="0"/>
              <w:rPr>
                <w:noProof/>
                <w:sz w:val="18"/>
                <w:szCs w:val="18"/>
              </w:rPr>
            </w:pPr>
            <w:r w:rsidRPr="00FB51CE">
              <w:rPr>
                <w:noProof/>
                <w:sz w:val="18"/>
                <w:szCs w:val="18"/>
              </w:rPr>
              <w:t>14 006</w:t>
            </w:r>
          </w:p>
        </w:tc>
      </w:tr>
      <w:tr w:rsidR="003155B0" w:rsidRPr="00930237" w14:paraId="71A6FE16" w14:textId="77777777" w:rsidTr="003155B0">
        <w:trPr>
          <w:trHeight w:val="332"/>
        </w:trPr>
        <w:tc>
          <w:tcPr>
            <w:tcW w:w="476" w:type="pct"/>
          </w:tcPr>
          <w:p w14:paraId="4FDF2A56" w14:textId="77777777" w:rsidR="003155B0" w:rsidRPr="00930237" w:rsidRDefault="003155B0" w:rsidP="003155B0">
            <w:pPr>
              <w:pStyle w:val="Text1"/>
              <w:spacing w:before="0" w:after="0"/>
              <w:ind w:left="0"/>
              <w:rPr>
                <w:noProof/>
                <w:sz w:val="18"/>
                <w:szCs w:val="18"/>
              </w:rPr>
            </w:pPr>
            <w:r w:rsidRPr="00930237">
              <w:rPr>
                <w:noProof/>
                <w:sz w:val="18"/>
                <w:szCs w:val="18"/>
              </w:rPr>
              <w:t>4.1.prioritāte</w:t>
            </w:r>
          </w:p>
          <w:p w14:paraId="3F681470" w14:textId="77777777" w:rsidR="003155B0" w:rsidRPr="00930237" w:rsidRDefault="003155B0" w:rsidP="003155B0">
            <w:pPr>
              <w:pStyle w:val="Text1"/>
              <w:spacing w:before="0" w:after="0"/>
              <w:ind w:left="0"/>
              <w:rPr>
                <w:noProof/>
                <w:sz w:val="18"/>
                <w:szCs w:val="18"/>
              </w:rPr>
            </w:pPr>
          </w:p>
        </w:tc>
        <w:tc>
          <w:tcPr>
            <w:tcW w:w="696" w:type="pct"/>
          </w:tcPr>
          <w:p w14:paraId="16E4D572" w14:textId="77777777" w:rsidR="003155B0" w:rsidRPr="00930237" w:rsidRDefault="003155B0" w:rsidP="003155B0">
            <w:pPr>
              <w:spacing w:before="0" w:after="0"/>
              <w:rPr>
                <w:noProof/>
                <w:sz w:val="18"/>
                <w:szCs w:val="18"/>
              </w:rPr>
            </w:pPr>
            <w:r w:rsidRPr="00930237">
              <w:rPr>
                <w:noProof/>
                <w:sz w:val="18"/>
                <w:szCs w:val="18"/>
              </w:rPr>
              <w:t>4.1.2.SAM</w:t>
            </w:r>
          </w:p>
          <w:p w14:paraId="63DD3833" w14:textId="77777777" w:rsidR="003155B0" w:rsidRPr="00930237" w:rsidRDefault="003155B0" w:rsidP="003155B0">
            <w:pPr>
              <w:pStyle w:val="Text1"/>
              <w:spacing w:before="0" w:after="0"/>
              <w:ind w:left="0"/>
              <w:rPr>
                <w:noProof/>
                <w:sz w:val="18"/>
                <w:szCs w:val="18"/>
              </w:rPr>
            </w:pPr>
          </w:p>
        </w:tc>
        <w:tc>
          <w:tcPr>
            <w:tcW w:w="353" w:type="pct"/>
          </w:tcPr>
          <w:p w14:paraId="38C1E8CD" w14:textId="77777777" w:rsidR="003155B0" w:rsidRPr="00930237" w:rsidRDefault="003155B0" w:rsidP="003155B0">
            <w:pPr>
              <w:pStyle w:val="Text1"/>
              <w:spacing w:before="0" w:after="0"/>
              <w:ind w:left="0"/>
              <w:rPr>
                <w:noProof/>
                <w:sz w:val="18"/>
                <w:szCs w:val="18"/>
              </w:rPr>
            </w:pPr>
            <w:r w:rsidRPr="00930237">
              <w:rPr>
                <w:noProof/>
                <w:sz w:val="18"/>
                <w:szCs w:val="18"/>
              </w:rPr>
              <w:t>ESF</w:t>
            </w:r>
          </w:p>
        </w:tc>
        <w:tc>
          <w:tcPr>
            <w:tcW w:w="487" w:type="pct"/>
          </w:tcPr>
          <w:p w14:paraId="020CC603" w14:textId="77777777" w:rsidR="003155B0" w:rsidRPr="00930237" w:rsidRDefault="003155B0" w:rsidP="003155B0">
            <w:pPr>
              <w:pStyle w:val="Text1"/>
              <w:spacing w:before="0" w:after="0"/>
              <w:ind w:left="0"/>
              <w:rPr>
                <w:sz w:val="18"/>
                <w:szCs w:val="18"/>
              </w:rPr>
            </w:pPr>
            <w:r w:rsidRPr="00930237">
              <w:rPr>
                <w:sz w:val="18"/>
                <w:szCs w:val="18"/>
              </w:rPr>
              <w:t>CO16</w:t>
            </w:r>
          </w:p>
        </w:tc>
        <w:tc>
          <w:tcPr>
            <w:tcW w:w="1303" w:type="pct"/>
            <w:shd w:val="clear" w:color="auto" w:fill="auto"/>
          </w:tcPr>
          <w:p w14:paraId="3F1503C8" w14:textId="77777777" w:rsidR="003155B0" w:rsidRPr="00930237" w:rsidRDefault="003155B0" w:rsidP="003155B0">
            <w:pPr>
              <w:pStyle w:val="Default"/>
              <w:spacing w:after="0" w:line="240" w:lineRule="auto"/>
              <w:jc w:val="both"/>
              <w:rPr>
                <w:color w:val="auto"/>
                <w:sz w:val="18"/>
                <w:szCs w:val="18"/>
              </w:rPr>
            </w:pPr>
            <w:r w:rsidRPr="00930237">
              <w:rPr>
                <w:sz w:val="18"/>
                <w:szCs w:val="18"/>
                <w:lang w:eastAsia="en-GB"/>
              </w:rPr>
              <w:t>Nacionāla, reģionāla vai vietēja mēroga valsts administrācijas vai sabiedrisko pakalpojumu iestādes, kas saņēmušas atbalstu</w:t>
            </w:r>
          </w:p>
        </w:tc>
        <w:tc>
          <w:tcPr>
            <w:tcW w:w="537" w:type="pct"/>
          </w:tcPr>
          <w:p w14:paraId="243EED52" w14:textId="77777777" w:rsidR="003155B0" w:rsidRPr="00930237" w:rsidRDefault="003155B0" w:rsidP="003155B0">
            <w:pPr>
              <w:pStyle w:val="Text1"/>
              <w:spacing w:before="0" w:after="0"/>
              <w:ind w:left="0"/>
              <w:rPr>
                <w:noProof/>
                <w:sz w:val="18"/>
                <w:szCs w:val="18"/>
              </w:rPr>
            </w:pPr>
            <w:r w:rsidRPr="00930237">
              <w:rPr>
                <w:noProof/>
                <w:sz w:val="18"/>
                <w:szCs w:val="18"/>
              </w:rPr>
              <w:t>Iestāžu skaits</w:t>
            </w:r>
          </w:p>
        </w:tc>
        <w:tc>
          <w:tcPr>
            <w:tcW w:w="513" w:type="pct"/>
            <w:shd w:val="clear" w:color="auto" w:fill="auto"/>
          </w:tcPr>
          <w:p w14:paraId="1D232F38" w14:textId="77777777" w:rsidR="003155B0" w:rsidRPr="00930237" w:rsidRDefault="003155B0" w:rsidP="003155B0">
            <w:pPr>
              <w:spacing w:before="0" w:after="0"/>
              <w:rPr>
                <w:noProof/>
                <w:sz w:val="18"/>
                <w:szCs w:val="18"/>
              </w:rPr>
            </w:pPr>
            <w:r>
              <w:rPr>
                <w:noProof/>
                <w:sz w:val="18"/>
                <w:szCs w:val="18"/>
              </w:rPr>
              <w:t>47</w:t>
            </w:r>
          </w:p>
          <w:p w14:paraId="69D7354F" w14:textId="77777777" w:rsidR="003155B0" w:rsidRPr="00930237" w:rsidRDefault="003155B0" w:rsidP="003155B0">
            <w:pPr>
              <w:spacing w:before="0" w:after="0"/>
              <w:rPr>
                <w:noProof/>
                <w:sz w:val="18"/>
                <w:szCs w:val="18"/>
              </w:rPr>
            </w:pPr>
          </w:p>
        </w:tc>
        <w:tc>
          <w:tcPr>
            <w:tcW w:w="635" w:type="pct"/>
            <w:shd w:val="clear" w:color="auto" w:fill="auto"/>
          </w:tcPr>
          <w:p w14:paraId="0024F9DC" w14:textId="77777777" w:rsidR="003155B0" w:rsidRPr="00930237" w:rsidRDefault="003155B0" w:rsidP="003155B0">
            <w:pPr>
              <w:spacing w:before="0" w:after="0"/>
              <w:rPr>
                <w:noProof/>
                <w:sz w:val="18"/>
                <w:szCs w:val="18"/>
              </w:rPr>
            </w:pPr>
            <w:r w:rsidRPr="00930237">
              <w:rPr>
                <w:noProof/>
                <w:sz w:val="18"/>
                <w:szCs w:val="18"/>
              </w:rPr>
              <w:t>4</w:t>
            </w:r>
            <w:r>
              <w:rPr>
                <w:noProof/>
                <w:sz w:val="18"/>
                <w:szCs w:val="18"/>
              </w:rPr>
              <w:t>7</w:t>
            </w:r>
          </w:p>
          <w:p w14:paraId="25921E74" w14:textId="77777777" w:rsidR="003155B0" w:rsidRPr="00930237" w:rsidRDefault="003155B0" w:rsidP="003155B0">
            <w:pPr>
              <w:spacing w:before="0" w:after="0"/>
              <w:rPr>
                <w:noProof/>
                <w:sz w:val="18"/>
                <w:szCs w:val="18"/>
              </w:rPr>
            </w:pPr>
          </w:p>
        </w:tc>
      </w:tr>
      <w:tr w:rsidR="003155B0" w:rsidRPr="00930237" w14:paraId="40558A31" w14:textId="77777777" w:rsidTr="003155B0">
        <w:trPr>
          <w:trHeight w:val="332"/>
        </w:trPr>
        <w:tc>
          <w:tcPr>
            <w:tcW w:w="476" w:type="pct"/>
          </w:tcPr>
          <w:p w14:paraId="2E6E9831" w14:textId="77777777" w:rsidR="003155B0" w:rsidRPr="00930237" w:rsidRDefault="003155B0" w:rsidP="003155B0">
            <w:pPr>
              <w:pStyle w:val="Text1"/>
              <w:spacing w:before="0" w:after="0"/>
              <w:ind w:left="0"/>
              <w:rPr>
                <w:noProof/>
                <w:sz w:val="18"/>
                <w:szCs w:val="18"/>
              </w:rPr>
            </w:pPr>
            <w:r w:rsidRPr="008B49D5">
              <w:rPr>
                <w:noProof/>
                <w:sz w:val="18"/>
                <w:szCs w:val="18"/>
              </w:rPr>
              <w:t>4.2.prioritāte</w:t>
            </w:r>
          </w:p>
        </w:tc>
        <w:tc>
          <w:tcPr>
            <w:tcW w:w="696" w:type="pct"/>
          </w:tcPr>
          <w:p w14:paraId="63D14F90" w14:textId="77777777" w:rsidR="003155B0" w:rsidRPr="00930237" w:rsidRDefault="003155B0" w:rsidP="003155B0">
            <w:pPr>
              <w:spacing w:before="0" w:after="0"/>
              <w:rPr>
                <w:noProof/>
                <w:sz w:val="18"/>
                <w:szCs w:val="18"/>
              </w:rPr>
            </w:pPr>
            <w:r w:rsidRPr="008B49D5">
              <w:rPr>
                <w:noProof/>
                <w:sz w:val="18"/>
                <w:szCs w:val="18"/>
              </w:rPr>
              <w:t>4.2.2.SAM</w:t>
            </w:r>
          </w:p>
        </w:tc>
        <w:tc>
          <w:tcPr>
            <w:tcW w:w="353" w:type="pct"/>
          </w:tcPr>
          <w:p w14:paraId="6FE63741" w14:textId="77777777" w:rsidR="003155B0" w:rsidRPr="00930237" w:rsidRDefault="003155B0" w:rsidP="003155B0">
            <w:pPr>
              <w:pStyle w:val="Text1"/>
              <w:spacing w:before="0" w:after="0"/>
              <w:ind w:left="0"/>
              <w:rPr>
                <w:noProof/>
                <w:sz w:val="18"/>
                <w:szCs w:val="18"/>
              </w:rPr>
            </w:pPr>
            <w:r w:rsidRPr="008B49D5">
              <w:rPr>
                <w:noProof/>
                <w:sz w:val="18"/>
                <w:szCs w:val="18"/>
              </w:rPr>
              <w:t>ESF</w:t>
            </w:r>
          </w:p>
        </w:tc>
        <w:tc>
          <w:tcPr>
            <w:tcW w:w="487" w:type="pct"/>
          </w:tcPr>
          <w:p w14:paraId="6DE2A0B0" w14:textId="77777777" w:rsidR="003155B0" w:rsidRPr="00930237" w:rsidRDefault="003155B0" w:rsidP="003155B0">
            <w:pPr>
              <w:pStyle w:val="Text1"/>
              <w:spacing w:before="0" w:after="0"/>
              <w:ind w:left="0"/>
              <w:rPr>
                <w:sz w:val="18"/>
                <w:szCs w:val="18"/>
              </w:rPr>
            </w:pPr>
            <w:r w:rsidRPr="008B49D5">
              <w:rPr>
                <w:sz w:val="18"/>
                <w:szCs w:val="18"/>
              </w:rPr>
              <w:t>CO16</w:t>
            </w:r>
          </w:p>
        </w:tc>
        <w:tc>
          <w:tcPr>
            <w:tcW w:w="1303" w:type="pct"/>
            <w:shd w:val="clear" w:color="auto" w:fill="auto"/>
          </w:tcPr>
          <w:p w14:paraId="2A3B6551" w14:textId="77777777" w:rsidR="003155B0" w:rsidRPr="00930237" w:rsidRDefault="003155B0" w:rsidP="003155B0">
            <w:pPr>
              <w:pStyle w:val="Default"/>
              <w:spacing w:after="0" w:line="240" w:lineRule="auto"/>
              <w:jc w:val="both"/>
              <w:rPr>
                <w:sz w:val="18"/>
                <w:szCs w:val="18"/>
                <w:lang w:eastAsia="en-GB"/>
              </w:rPr>
            </w:pPr>
            <w:r w:rsidRPr="008B49D5">
              <w:rPr>
                <w:sz w:val="18"/>
                <w:szCs w:val="18"/>
                <w:lang w:eastAsia="en-GB"/>
              </w:rPr>
              <w:t>Nacionāla, reģionāla vai vietēja mēroga valsts administrācijas vai sabiedrisko pakalpojumu iestādes, kas saņēmušas atbalstu</w:t>
            </w:r>
          </w:p>
        </w:tc>
        <w:tc>
          <w:tcPr>
            <w:tcW w:w="537" w:type="pct"/>
          </w:tcPr>
          <w:p w14:paraId="43AAA520" w14:textId="77777777" w:rsidR="003155B0" w:rsidRPr="00930237" w:rsidRDefault="003155B0" w:rsidP="003155B0">
            <w:pPr>
              <w:pStyle w:val="Text1"/>
              <w:spacing w:before="0" w:after="0"/>
              <w:ind w:left="0"/>
              <w:rPr>
                <w:noProof/>
                <w:sz w:val="18"/>
                <w:szCs w:val="18"/>
              </w:rPr>
            </w:pPr>
            <w:r w:rsidRPr="008B49D5">
              <w:rPr>
                <w:noProof/>
                <w:sz w:val="18"/>
                <w:szCs w:val="18"/>
              </w:rPr>
              <w:t>Iestāžu skaits</w:t>
            </w:r>
          </w:p>
        </w:tc>
        <w:tc>
          <w:tcPr>
            <w:tcW w:w="513" w:type="pct"/>
            <w:shd w:val="clear" w:color="auto" w:fill="auto"/>
          </w:tcPr>
          <w:p w14:paraId="048D8828" w14:textId="77777777" w:rsidR="003155B0" w:rsidRPr="00930237" w:rsidRDefault="003155B0" w:rsidP="003155B0">
            <w:pPr>
              <w:spacing w:before="0" w:after="0"/>
              <w:rPr>
                <w:noProof/>
                <w:sz w:val="18"/>
                <w:szCs w:val="18"/>
              </w:rPr>
            </w:pPr>
            <w:r>
              <w:rPr>
                <w:noProof/>
                <w:sz w:val="18"/>
                <w:szCs w:val="18"/>
              </w:rPr>
              <w:t>98</w:t>
            </w:r>
          </w:p>
        </w:tc>
        <w:tc>
          <w:tcPr>
            <w:tcW w:w="635" w:type="pct"/>
            <w:shd w:val="clear" w:color="auto" w:fill="auto"/>
          </w:tcPr>
          <w:p w14:paraId="44AD1D9B" w14:textId="77777777" w:rsidR="003155B0" w:rsidRPr="00930237" w:rsidRDefault="003155B0" w:rsidP="003155B0">
            <w:pPr>
              <w:spacing w:before="0" w:after="0"/>
              <w:rPr>
                <w:noProof/>
                <w:sz w:val="18"/>
                <w:szCs w:val="18"/>
              </w:rPr>
            </w:pPr>
            <w:r>
              <w:rPr>
                <w:noProof/>
                <w:sz w:val="18"/>
                <w:szCs w:val="18"/>
              </w:rPr>
              <w:t>103</w:t>
            </w:r>
          </w:p>
        </w:tc>
      </w:tr>
      <w:tr w:rsidR="003155B0" w:rsidRPr="00930237" w14:paraId="10238BF4" w14:textId="77777777" w:rsidTr="003155B0">
        <w:trPr>
          <w:trHeight w:val="332"/>
        </w:trPr>
        <w:tc>
          <w:tcPr>
            <w:tcW w:w="476" w:type="pct"/>
          </w:tcPr>
          <w:p w14:paraId="2CA34D33" w14:textId="77777777" w:rsidR="003155B0" w:rsidRPr="00930237" w:rsidRDefault="003155B0" w:rsidP="003155B0">
            <w:pPr>
              <w:pStyle w:val="Text1"/>
              <w:spacing w:before="0" w:after="0"/>
              <w:ind w:left="0"/>
              <w:rPr>
                <w:noProof/>
                <w:sz w:val="18"/>
                <w:szCs w:val="18"/>
              </w:rPr>
            </w:pPr>
            <w:r w:rsidRPr="008B49D5">
              <w:rPr>
                <w:noProof/>
                <w:sz w:val="18"/>
                <w:szCs w:val="18"/>
              </w:rPr>
              <w:t>4.2.prioritāte</w:t>
            </w:r>
          </w:p>
        </w:tc>
        <w:tc>
          <w:tcPr>
            <w:tcW w:w="696" w:type="pct"/>
          </w:tcPr>
          <w:p w14:paraId="0FD55760" w14:textId="77777777" w:rsidR="003155B0" w:rsidRPr="00930237" w:rsidRDefault="003155B0" w:rsidP="003155B0">
            <w:pPr>
              <w:spacing w:before="0" w:after="0"/>
              <w:rPr>
                <w:noProof/>
                <w:sz w:val="18"/>
                <w:szCs w:val="18"/>
              </w:rPr>
            </w:pPr>
            <w:r w:rsidRPr="008B49D5">
              <w:rPr>
                <w:noProof/>
                <w:sz w:val="18"/>
                <w:szCs w:val="18"/>
              </w:rPr>
              <w:t>4.2.3.SAM</w:t>
            </w:r>
          </w:p>
        </w:tc>
        <w:tc>
          <w:tcPr>
            <w:tcW w:w="353" w:type="pct"/>
          </w:tcPr>
          <w:p w14:paraId="0685BA0C" w14:textId="77777777" w:rsidR="003155B0" w:rsidRPr="00930237" w:rsidRDefault="003155B0" w:rsidP="003155B0">
            <w:pPr>
              <w:pStyle w:val="Text1"/>
              <w:spacing w:before="0" w:after="0"/>
              <w:ind w:left="0"/>
              <w:rPr>
                <w:noProof/>
                <w:sz w:val="18"/>
                <w:szCs w:val="18"/>
              </w:rPr>
            </w:pPr>
            <w:r w:rsidRPr="008B49D5">
              <w:rPr>
                <w:noProof/>
                <w:sz w:val="18"/>
                <w:szCs w:val="18"/>
              </w:rPr>
              <w:t>ESF</w:t>
            </w:r>
          </w:p>
        </w:tc>
        <w:tc>
          <w:tcPr>
            <w:tcW w:w="487" w:type="pct"/>
          </w:tcPr>
          <w:p w14:paraId="533F0C5D" w14:textId="77777777" w:rsidR="003155B0" w:rsidRPr="00930237" w:rsidRDefault="003155B0" w:rsidP="003155B0">
            <w:pPr>
              <w:pStyle w:val="Text1"/>
              <w:spacing w:before="0" w:after="0"/>
              <w:ind w:left="0"/>
              <w:rPr>
                <w:sz w:val="18"/>
                <w:szCs w:val="18"/>
              </w:rPr>
            </w:pPr>
            <w:r w:rsidRPr="008B49D5">
              <w:rPr>
                <w:sz w:val="18"/>
                <w:szCs w:val="18"/>
              </w:rPr>
              <w:t>CO16</w:t>
            </w:r>
          </w:p>
        </w:tc>
        <w:tc>
          <w:tcPr>
            <w:tcW w:w="1303" w:type="pct"/>
            <w:shd w:val="clear" w:color="auto" w:fill="auto"/>
          </w:tcPr>
          <w:p w14:paraId="34CA39DB" w14:textId="77777777" w:rsidR="003155B0" w:rsidRPr="00930237" w:rsidRDefault="003155B0" w:rsidP="003155B0">
            <w:pPr>
              <w:pStyle w:val="Default"/>
              <w:spacing w:after="0" w:line="240" w:lineRule="auto"/>
              <w:jc w:val="both"/>
              <w:rPr>
                <w:sz w:val="18"/>
                <w:szCs w:val="18"/>
                <w:lang w:eastAsia="en-GB"/>
              </w:rPr>
            </w:pPr>
            <w:r w:rsidRPr="008B49D5">
              <w:rPr>
                <w:sz w:val="18"/>
                <w:szCs w:val="18"/>
                <w:lang w:eastAsia="en-GB"/>
              </w:rPr>
              <w:t>Nacionāla, reģionāla vai vietēja mēroga valsts administrācijas vai sabiedrisko pakalpojumu iestādes, kas saņēmušas atbalstu</w:t>
            </w:r>
          </w:p>
        </w:tc>
        <w:tc>
          <w:tcPr>
            <w:tcW w:w="537" w:type="pct"/>
          </w:tcPr>
          <w:p w14:paraId="4D1A59E1" w14:textId="77777777" w:rsidR="003155B0" w:rsidRPr="00930237" w:rsidRDefault="003155B0" w:rsidP="003155B0">
            <w:pPr>
              <w:pStyle w:val="Text1"/>
              <w:spacing w:before="0" w:after="0"/>
              <w:ind w:left="0"/>
              <w:rPr>
                <w:noProof/>
                <w:sz w:val="18"/>
                <w:szCs w:val="18"/>
              </w:rPr>
            </w:pPr>
            <w:r w:rsidRPr="008B49D5">
              <w:rPr>
                <w:noProof/>
                <w:sz w:val="18"/>
                <w:szCs w:val="18"/>
              </w:rPr>
              <w:t>Iestāžu skaits</w:t>
            </w:r>
          </w:p>
        </w:tc>
        <w:tc>
          <w:tcPr>
            <w:tcW w:w="513" w:type="pct"/>
            <w:shd w:val="clear" w:color="auto" w:fill="auto"/>
          </w:tcPr>
          <w:p w14:paraId="06F6E5FB" w14:textId="77777777" w:rsidR="003155B0" w:rsidRPr="00930237" w:rsidRDefault="003155B0" w:rsidP="003155B0">
            <w:pPr>
              <w:spacing w:before="0" w:after="0"/>
              <w:rPr>
                <w:noProof/>
                <w:sz w:val="18"/>
                <w:szCs w:val="18"/>
              </w:rPr>
            </w:pPr>
            <w:r w:rsidRPr="008B49D5">
              <w:rPr>
                <w:noProof/>
                <w:sz w:val="18"/>
                <w:szCs w:val="18"/>
              </w:rPr>
              <w:t xml:space="preserve">IZM: </w:t>
            </w:r>
            <w:r>
              <w:rPr>
                <w:noProof/>
                <w:sz w:val="18"/>
                <w:szCs w:val="18"/>
              </w:rPr>
              <w:t>42</w:t>
            </w:r>
          </w:p>
        </w:tc>
        <w:tc>
          <w:tcPr>
            <w:tcW w:w="635" w:type="pct"/>
            <w:shd w:val="clear" w:color="auto" w:fill="auto"/>
          </w:tcPr>
          <w:p w14:paraId="48E18E79" w14:textId="77777777" w:rsidR="003155B0" w:rsidRPr="00930237" w:rsidRDefault="003155B0" w:rsidP="003155B0">
            <w:pPr>
              <w:spacing w:before="0" w:after="0"/>
              <w:rPr>
                <w:noProof/>
                <w:sz w:val="18"/>
                <w:szCs w:val="18"/>
              </w:rPr>
            </w:pPr>
            <w:r w:rsidRPr="008B49D5">
              <w:rPr>
                <w:noProof/>
                <w:sz w:val="18"/>
                <w:szCs w:val="18"/>
              </w:rPr>
              <w:t xml:space="preserve">IZM: </w:t>
            </w:r>
            <w:r>
              <w:rPr>
                <w:noProof/>
                <w:sz w:val="18"/>
                <w:szCs w:val="18"/>
              </w:rPr>
              <w:t>42</w:t>
            </w:r>
          </w:p>
        </w:tc>
      </w:tr>
      <w:tr w:rsidR="003155B0" w:rsidRPr="00930237" w14:paraId="5AA5DE04" w14:textId="77777777" w:rsidTr="003155B0">
        <w:trPr>
          <w:trHeight w:val="332"/>
        </w:trPr>
        <w:tc>
          <w:tcPr>
            <w:tcW w:w="476" w:type="pct"/>
          </w:tcPr>
          <w:p w14:paraId="3EBCDADE" w14:textId="77777777" w:rsidR="003155B0" w:rsidRPr="00930237" w:rsidRDefault="003155B0" w:rsidP="003155B0">
            <w:pPr>
              <w:pStyle w:val="Text1"/>
              <w:spacing w:before="0" w:after="0"/>
              <w:ind w:left="0"/>
              <w:rPr>
                <w:noProof/>
                <w:sz w:val="18"/>
                <w:szCs w:val="18"/>
              </w:rPr>
            </w:pPr>
            <w:r w:rsidRPr="008B49D5">
              <w:rPr>
                <w:noProof/>
                <w:sz w:val="18"/>
                <w:szCs w:val="18"/>
              </w:rPr>
              <w:t>4.3.prioritāte</w:t>
            </w:r>
          </w:p>
        </w:tc>
        <w:tc>
          <w:tcPr>
            <w:tcW w:w="696" w:type="pct"/>
          </w:tcPr>
          <w:p w14:paraId="6E255E92" w14:textId="77777777" w:rsidR="003155B0" w:rsidRPr="00930237" w:rsidRDefault="003155B0" w:rsidP="003155B0">
            <w:pPr>
              <w:spacing w:before="0" w:after="0"/>
              <w:rPr>
                <w:noProof/>
                <w:sz w:val="18"/>
                <w:szCs w:val="18"/>
              </w:rPr>
            </w:pPr>
            <w:r w:rsidRPr="008B49D5">
              <w:rPr>
                <w:noProof/>
                <w:sz w:val="18"/>
                <w:szCs w:val="18"/>
              </w:rPr>
              <w:t>4.3.3.SAM</w:t>
            </w:r>
          </w:p>
        </w:tc>
        <w:tc>
          <w:tcPr>
            <w:tcW w:w="353" w:type="pct"/>
          </w:tcPr>
          <w:p w14:paraId="2AAA04C5" w14:textId="77777777" w:rsidR="003155B0" w:rsidRPr="00930237" w:rsidRDefault="003155B0" w:rsidP="003155B0">
            <w:pPr>
              <w:pStyle w:val="Text1"/>
              <w:spacing w:before="0" w:after="0"/>
              <w:ind w:left="0"/>
              <w:rPr>
                <w:noProof/>
                <w:sz w:val="18"/>
                <w:szCs w:val="18"/>
              </w:rPr>
            </w:pPr>
            <w:r w:rsidRPr="008B49D5">
              <w:rPr>
                <w:noProof/>
                <w:sz w:val="18"/>
                <w:szCs w:val="18"/>
              </w:rPr>
              <w:t>ESF</w:t>
            </w:r>
          </w:p>
        </w:tc>
        <w:tc>
          <w:tcPr>
            <w:tcW w:w="487" w:type="pct"/>
          </w:tcPr>
          <w:p w14:paraId="5785CB9D" w14:textId="77777777" w:rsidR="003155B0" w:rsidRPr="00930237" w:rsidRDefault="003155B0" w:rsidP="003155B0">
            <w:pPr>
              <w:pStyle w:val="Text1"/>
              <w:spacing w:before="0" w:after="0"/>
              <w:ind w:left="0"/>
              <w:rPr>
                <w:sz w:val="18"/>
                <w:szCs w:val="18"/>
              </w:rPr>
            </w:pPr>
            <w:r w:rsidRPr="008B49D5">
              <w:rPr>
                <w:sz w:val="18"/>
                <w:szCs w:val="18"/>
              </w:rPr>
              <w:t>CO16</w:t>
            </w:r>
          </w:p>
        </w:tc>
        <w:tc>
          <w:tcPr>
            <w:tcW w:w="1303" w:type="pct"/>
            <w:shd w:val="clear" w:color="auto" w:fill="auto"/>
          </w:tcPr>
          <w:p w14:paraId="42E11BE7" w14:textId="77777777" w:rsidR="003155B0" w:rsidRPr="00930237" w:rsidRDefault="003155B0" w:rsidP="003155B0">
            <w:pPr>
              <w:pStyle w:val="Default"/>
              <w:spacing w:after="0" w:line="240" w:lineRule="auto"/>
              <w:jc w:val="both"/>
              <w:rPr>
                <w:sz w:val="18"/>
                <w:szCs w:val="18"/>
                <w:lang w:eastAsia="en-GB"/>
              </w:rPr>
            </w:pPr>
            <w:r w:rsidRPr="008B49D5">
              <w:rPr>
                <w:sz w:val="18"/>
                <w:szCs w:val="18"/>
                <w:lang w:eastAsia="en-GB"/>
              </w:rPr>
              <w:t>Nacionāla, reģionāla vai vietēja mēroga valsts administrācijas vai sabiedrisko pakalpojumu iestādes, kas saņēmušas atbalstu</w:t>
            </w:r>
          </w:p>
        </w:tc>
        <w:tc>
          <w:tcPr>
            <w:tcW w:w="537" w:type="pct"/>
          </w:tcPr>
          <w:p w14:paraId="50F84CE7" w14:textId="77777777" w:rsidR="003155B0" w:rsidRPr="00930237" w:rsidRDefault="003155B0" w:rsidP="003155B0">
            <w:pPr>
              <w:pStyle w:val="Text1"/>
              <w:spacing w:before="0" w:after="0"/>
              <w:ind w:left="0"/>
              <w:rPr>
                <w:noProof/>
                <w:sz w:val="18"/>
                <w:szCs w:val="18"/>
              </w:rPr>
            </w:pPr>
            <w:r w:rsidRPr="008B49D5">
              <w:rPr>
                <w:noProof/>
                <w:sz w:val="18"/>
                <w:szCs w:val="18"/>
              </w:rPr>
              <w:t>Iestāžu skaits</w:t>
            </w:r>
          </w:p>
        </w:tc>
        <w:tc>
          <w:tcPr>
            <w:tcW w:w="513" w:type="pct"/>
            <w:shd w:val="clear" w:color="auto" w:fill="auto"/>
          </w:tcPr>
          <w:p w14:paraId="60AB078B" w14:textId="77777777" w:rsidR="003155B0" w:rsidRPr="00930237" w:rsidRDefault="003155B0" w:rsidP="003155B0">
            <w:pPr>
              <w:spacing w:before="0" w:after="0"/>
              <w:rPr>
                <w:noProof/>
                <w:sz w:val="18"/>
                <w:szCs w:val="18"/>
              </w:rPr>
            </w:pPr>
            <w:r w:rsidRPr="008B49D5">
              <w:rPr>
                <w:noProof/>
                <w:sz w:val="18"/>
                <w:szCs w:val="18"/>
              </w:rPr>
              <w:t xml:space="preserve"> </w:t>
            </w:r>
            <w:r>
              <w:rPr>
                <w:noProof/>
                <w:sz w:val="18"/>
                <w:szCs w:val="18"/>
              </w:rPr>
              <w:t xml:space="preserve">LM: </w:t>
            </w:r>
            <w:r w:rsidRPr="008B49D5">
              <w:rPr>
                <w:noProof/>
                <w:sz w:val="18"/>
                <w:szCs w:val="18"/>
              </w:rPr>
              <w:t>3</w:t>
            </w:r>
          </w:p>
        </w:tc>
        <w:tc>
          <w:tcPr>
            <w:tcW w:w="635" w:type="pct"/>
            <w:shd w:val="clear" w:color="auto" w:fill="auto"/>
          </w:tcPr>
          <w:p w14:paraId="1C4D403B" w14:textId="77777777" w:rsidR="003155B0" w:rsidRPr="00930237" w:rsidRDefault="003155B0" w:rsidP="003155B0">
            <w:pPr>
              <w:spacing w:before="0" w:after="0"/>
              <w:rPr>
                <w:noProof/>
                <w:sz w:val="18"/>
                <w:szCs w:val="18"/>
              </w:rPr>
            </w:pPr>
            <w:r w:rsidRPr="008B49D5">
              <w:rPr>
                <w:noProof/>
                <w:sz w:val="18"/>
                <w:szCs w:val="18"/>
              </w:rPr>
              <w:t xml:space="preserve"> </w:t>
            </w:r>
            <w:r>
              <w:rPr>
                <w:noProof/>
                <w:sz w:val="18"/>
                <w:szCs w:val="18"/>
              </w:rPr>
              <w:t xml:space="preserve">LM: </w:t>
            </w:r>
            <w:r w:rsidRPr="008B49D5">
              <w:rPr>
                <w:noProof/>
                <w:sz w:val="18"/>
                <w:szCs w:val="18"/>
              </w:rPr>
              <w:t>3</w:t>
            </w:r>
          </w:p>
        </w:tc>
      </w:tr>
      <w:tr w:rsidR="003155B0" w:rsidRPr="00930237" w14:paraId="4132E292" w14:textId="77777777" w:rsidTr="003155B0">
        <w:trPr>
          <w:trHeight w:val="332"/>
        </w:trPr>
        <w:tc>
          <w:tcPr>
            <w:tcW w:w="476" w:type="pct"/>
          </w:tcPr>
          <w:p w14:paraId="28431D57" w14:textId="77777777" w:rsidR="003155B0" w:rsidRPr="00930237" w:rsidRDefault="003155B0" w:rsidP="003155B0">
            <w:pPr>
              <w:pStyle w:val="Text1"/>
              <w:spacing w:before="0" w:after="0"/>
              <w:ind w:left="0"/>
              <w:rPr>
                <w:noProof/>
                <w:sz w:val="18"/>
                <w:szCs w:val="18"/>
              </w:rPr>
            </w:pPr>
            <w:r w:rsidRPr="008B49D5">
              <w:rPr>
                <w:noProof/>
                <w:sz w:val="18"/>
                <w:szCs w:val="18"/>
              </w:rPr>
              <w:t>4.3.prioritāte</w:t>
            </w:r>
          </w:p>
        </w:tc>
        <w:tc>
          <w:tcPr>
            <w:tcW w:w="696" w:type="pct"/>
          </w:tcPr>
          <w:p w14:paraId="31C95CEF" w14:textId="77777777" w:rsidR="003155B0" w:rsidRPr="00930237" w:rsidRDefault="003155B0" w:rsidP="003155B0">
            <w:pPr>
              <w:spacing w:before="0" w:after="0"/>
              <w:rPr>
                <w:noProof/>
                <w:sz w:val="18"/>
                <w:szCs w:val="18"/>
              </w:rPr>
            </w:pPr>
            <w:r w:rsidRPr="00930237">
              <w:rPr>
                <w:noProof/>
                <w:sz w:val="18"/>
                <w:szCs w:val="18"/>
              </w:rPr>
              <w:t>LM/TM/KM/SIF: 4.3.4.SAM</w:t>
            </w:r>
          </w:p>
          <w:p w14:paraId="14FF1DDC" w14:textId="77777777" w:rsidR="003155B0" w:rsidRPr="00930237" w:rsidRDefault="003155B0" w:rsidP="003155B0">
            <w:pPr>
              <w:spacing w:before="0" w:after="0"/>
              <w:rPr>
                <w:noProof/>
                <w:sz w:val="18"/>
                <w:szCs w:val="18"/>
              </w:rPr>
            </w:pPr>
          </w:p>
        </w:tc>
        <w:tc>
          <w:tcPr>
            <w:tcW w:w="353" w:type="pct"/>
          </w:tcPr>
          <w:p w14:paraId="1A293D04" w14:textId="77777777" w:rsidR="003155B0" w:rsidRPr="00930237" w:rsidRDefault="003155B0" w:rsidP="003155B0">
            <w:pPr>
              <w:pStyle w:val="Text1"/>
              <w:spacing w:before="0" w:after="0"/>
              <w:ind w:left="0"/>
              <w:rPr>
                <w:noProof/>
                <w:sz w:val="18"/>
                <w:szCs w:val="18"/>
              </w:rPr>
            </w:pPr>
            <w:r w:rsidRPr="008B49D5">
              <w:rPr>
                <w:noProof/>
                <w:sz w:val="18"/>
                <w:szCs w:val="18"/>
              </w:rPr>
              <w:t>ESF</w:t>
            </w:r>
          </w:p>
        </w:tc>
        <w:tc>
          <w:tcPr>
            <w:tcW w:w="487" w:type="pct"/>
          </w:tcPr>
          <w:p w14:paraId="3B168FDB" w14:textId="77777777" w:rsidR="003155B0" w:rsidRPr="00930237" w:rsidRDefault="003155B0" w:rsidP="003155B0">
            <w:pPr>
              <w:pStyle w:val="Text1"/>
              <w:spacing w:before="0" w:after="0"/>
              <w:ind w:left="0"/>
              <w:rPr>
                <w:sz w:val="18"/>
                <w:szCs w:val="18"/>
              </w:rPr>
            </w:pPr>
            <w:r w:rsidRPr="008B49D5">
              <w:rPr>
                <w:sz w:val="18"/>
                <w:szCs w:val="18"/>
              </w:rPr>
              <w:t>CO16</w:t>
            </w:r>
          </w:p>
        </w:tc>
        <w:tc>
          <w:tcPr>
            <w:tcW w:w="1303" w:type="pct"/>
            <w:shd w:val="clear" w:color="auto" w:fill="auto"/>
          </w:tcPr>
          <w:p w14:paraId="6B999062" w14:textId="77777777" w:rsidR="003155B0" w:rsidRPr="00930237" w:rsidRDefault="003155B0" w:rsidP="003155B0">
            <w:pPr>
              <w:pStyle w:val="Default"/>
              <w:spacing w:after="0" w:line="240" w:lineRule="auto"/>
              <w:jc w:val="both"/>
              <w:rPr>
                <w:sz w:val="18"/>
                <w:szCs w:val="18"/>
                <w:lang w:eastAsia="en-GB"/>
              </w:rPr>
            </w:pPr>
            <w:r w:rsidRPr="008B49D5">
              <w:rPr>
                <w:sz w:val="18"/>
                <w:szCs w:val="18"/>
                <w:lang w:eastAsia="en-GB"/>
              </w:rPr>
              <w:t>Nacionāla, reģionāla vai vietēja mēroga valsts administrācijas vai sabiedrisko pakalpojumu iestādes, kas saņēmušas atbalstu</w:t>
            </w:r>
          </w:p>
        </w:tc>
        <w:tc>
          <w:tcPr>
            <w:tcW w:w="537" w:type="pct"/>
          </w:tcPr>
          <w:p w14:paraId="7D44F8E8" w14:textId="77777777" w:rsidR="003155B0" w:rsidRPr="00930237" w:rsidRDefault="003155B0" w:rsidP="003155B0">
            <w:pPr>
              <w:pStyle w:val="Text1"/>
              <w:spacing w:before="0" w:after="0"/>
              <w:ind w:left="0"/>
              <w:rPr>
                <w:noProof/>
                <w:sz w:val="18"/>
                <w:szCs w:val="18"/>
              </w:rPr>
            </w:pPr>
            <w:r w:rsidRPr="008B49D5">
              <w:rPr>
                <w:noProof/>
                <w:sz w:val="18"/>
                <w:szCs w:val="18"/>
              </w:rPr>
              <w:t>Iestāžu skaits</w:t>
            </w:r>
          </w:p>
        </w:tc>
        <w:tc>
          <w:tcPr>
            <w:tcW w:w="513" w:type="pct"/>
            <w:shd w:val="clear" w:color="auto" w:fill="auto"/>
          </w:tcPr>
          <w:p w14:paraId="5A0DDF7B" w14:textId="77777777" w:rsidR="003155B0" w:rsidRPr="008B49D5" w:rsidRDefault="003155B0" w:rsidP="003155B0">
            <w:pPr>
              <w:spacing w:before="0" w:after="0"/>
              <w:rPr>
                <w:noProof/>
                <w:sz w:val="18"/>
                <w:szCs w:val="18"/>
              </w:rPr>
            </w:pPr>
            <w:r w:rsidRPr="008B49D5">
              <w:rPr>
                <w:noProof/>
                <w:sz w:val="18"/>
                <w:szCs w:val="18"/>
              </w:rPr>
              <w:t xml:space="preserve">LM: </w:t>
            </w:r>
            <w:r>
              <w:rPr>
                <w:noProof/>
                <w:sz w:val="18"/>
                <w:szCs w:val="18"/>
              </w:rPr>
              <w:t>71</w:t>
            </w:r>
          </w:p>
          <w:p w14:paraId="61434D9E" w14:textId="77777777" w:rsidR="003155B0" w:rsidRPr="008B49D5" w:rsidRDefault="003155B0" w:rsidP="003155B0">
            <w:pPr>
              <w:spacing w:before="0" w:after="0"/>
              <w:rPr>
                <w:noProof/>
                <w:sz w:val="18"/>
                <w:szCs w:val="18"/>
              </w:rPr>
            </w:pPr>
            <w:r w:rsidRPr="008B49D5">
              <w:rPr>
                <w:noProof/>
                <w:sz w:val="18"/>
                <w:szCs w:val="18"/>
              </w:rPr>
              <w:t>TM: 2</w:t>
            </w:r>
          </w:p>
          <w:p w14:paraId="6E05A1BA" w14:textId="77777777" w:rsidR="003155B0" w:rsidRPr="008B49D5" w:rsidRDefault="003155B0" w:rsidP="003155B0">
            <w:pPr>
              <w:spacing w:before="0" w:after="0"/>
              <w:rPr>
                <w:noProof/>
                <w:sz w:val="18"/>
                <w:szCs w:val="18"/>
              </w:rPr>
            </w:pPr>
          </w:p>
          <w:p w14:paraId="691A5C05" w14:textId="77777777" w:rsidR="003155B0" w:rsidRPr="008B49D5" w:rsidRDefault="003155B0" w:rsidP="003155B0">
            <w:pPr>
              <w:spacing w:before="0" w:after="0"/>
              <w:rPr>
                <w:noProof/>
                <w:sz w:val="18"/>
                <w:szCs w:val="18"/>
              </w:rPr>
            </w:pPr>
            <w:r w:rsidRPr="008B49D5">
              <w:rPr>
                <w:noProof/>
                <w:sz w:val="18"/>
                <w:szCs w:val="18"/>
              </w:rPr>
              <w:t>KM</w:t>
            </w:r>
            <w:r>
              <w:rPr>
                <w:noProof/>
                <w:sz w:val="18"/>
                <w:szCs w:val="18"/>
              </w:rPr>
              <w:t>/SIF</w:t>
            </w:r>
            <w:r w:rsidRPr="008B49D5">
              <w:rPr>
                <w:noProof/>
                <w:sz w:val="18"/>
                <w:szCs w:val="18"/>
              </w:rPr>
              <w:t xml:space="preserve"> </w:t>
            </w:r>
          </w:p>
          <w:p w14:paraId="33492AF9" w14:textId="77777777" w:rsidR="003155B0" w:rsidRPr="00930237" w:rsidRDefault="003155B0" w:rsidP="003155B0">
            <w:pPr>
              <w:spacing w:before="0" w:after="0"/>
              <w:rPr>
                <w:noProof/>
                <w:sz w:val="18"/>
                <w:szCs w:val="18"/>
              </w:rPr>
            </w:pPr>
            <w:r w:rsidRPr="008B49D5">
              <w:rPr>
                <w:noProof/>
                <w:sz w:val="18"/>
                <w:szCs w:val="18"/>
              </w:rPr>
              <w:t xml:space="preserve"> </w:t>
            </w:r>
            <w:r>
              <w:rPr>
                <w:noProof/>
                <w:sz w:val="18"/>
                <w:szCs w:val="18"/>
              </w:rPr>
              <w:t>3</w:t>
            </w:r>
          </w:p>
        </w:tc>
        <w:tc>
          <w:tcPr>
            <w:tcW w:w="635" w:type="pct"/>
            <w:shd w:val="clear" w:color="auto" w:fill="auto"/>
          </w:tcPr>
          <w:p w14:paraId="19024F4D" w14:textId="77777777" w:rsidR="003155B0" w:rsidRPr="008B49D5" w:rsidRDefault="003155B0" w:rsidP="003155B0">
            <w:pPr>
              <w:spacing w:before="0" w:after="0"/>
              <w:rPr>
                <w:noProof/>
                <w:sz w:val="18"/>
                <w:szCs w:val="18"/>
              </w:rPr>
            </w:pPr>
            <w:r w:rsidRPr="008B49D5">
              <w:rPr>
                <w:noProof/>
                <w:sz w:val="18"/>
                <w:szCs w:val="18"/>
              </w:rPr>
              <w:t xml:space="preserve">LM: </w:t>
            </w:r>
            <w:r>
              <w:rPr>
                <w:noProof/>
                <w:sz w:val="18"/>
                <w:szCs w:val="18"/>
              </w:rPr>
              <w:t>211</w:t>
            </w:r>
          </w:p>
          <w:p w14:paraId="08A90356" w14:textId="77777777" w:rsidR="003155B0" w:rsidRPr="008B49D5" w:rsidRDefault="003155B0" w:rsidP="003155B0">
            <w:pPr>
              <w:spacing w:before="0" w:after="0"/>
              <w:rPr>
                <w:noProof/>
                <w:sz w:val="18"/>
                <w:szCs w:val="18"/>
              </w:rPr>
            </w:pPr>
            <w:r w:rsidRPr="008B49D5">
              <w:rPr>
                <w:noProof/>
                <w:sz w:val="18"/>
                <w:szCs w:val="18"/>
              </w:rPr>
              <w:t>TM: 2</w:t>
            </w:r>
          </w:p>
          <w:p w14:paraId="56F19CDC" w14:textId="77777777" w:rsidR="003155B0" w:rsidRPr="008B49D5" w:rsidRDefault="003155B0" w:rsidP="003155B0">
            <w:pPr>
              <w:spacing w:before="0" w:after="0"/>
              <w:rPr>
                <w:noProof/>
                <w:sz w:val="18"/>
                <w:szCs w:val="18"/>
              </w:rPr>
            </w:pPr>
          </w:p>
          <w:p w14:paraId="0E1B7A9E" w14:textId="77777777" w:rsidR="003155B0" w:rsidRPr="008B49D5" w:rsidRDefault="003155B0" w:rsidP="003155B0">
            <w:pPr>
              <w:spacing w:before="0" w:after="0"/>
              <w:rPr>
                <w:noProof/>
                <w:sz w:val="18"/>
                <w:szCs w:val="18"/>
              </w:rPr>
            </w:pPr>
            <w:r w:rsidRPr="008B49D5">
              <w:rPr>
                <w:noProof/>
                <w:sz w:val="18"/>
                <w:szCs w:val="18"/>
              </w:rPr>
              <w:t>KM</w:t>
            </w:r>
            <w:r>
              <w:rPr>
                <w:noProof/>
                <w:sz w:val="18"/>
                <w:szCs w:val="18"/>
              </w:rPr>
              <w:t>/SIF</w:t>
            </w:r>
            <w:r w:rsidRPr="008B49D5">
              <w:rPr>
                <w:noProof/>
                <w:sz w:val="18"/>
                <w:szCs w:val="18"/>
              </w:rPr>
              <w:t xml:space="preserve"> </w:t>
            </w:r>
          </w:p>
          <w:p w14:paraId="4F3BB8F1" w14:textId="77777777" w:rsidR="003155B0" w:rsidRPr="00930237" w:rsidRDefault="003155B0" w:rsidP="003155B0">
            <w:pPr>
              <w:spacing w:before="0" w:after="0"/>
              <w:rPr>
                <w:noProof/>
                <w:sz w:val="18"/>
                <w:szCs w:val="18"/>
              </w:rPr>
            </w:pPr>
            <w:r>
              <w:rPr>
                <w:noProof/>
                <w:sz w:val="18"/>
                <w:szCs w:val="18"/>
              </w:rPr>
              <w:t>3</w:t>
            </w:r>
          </w:p>
        </w:tc>
      </w:tr>
      <w:tr w:rsidR="003155B0" w:rsidRPr="00930237" w14:paraId="7E26CFD5" w14:textId="77777777" w:rsidTr="003155B0">
        <w:trPr>
          <w:trHeight w:val="332"/>
        </w:trPr>
        <w:tc>
          <w:tcPr>
            <w:tcW w:w="476" w:type="pct"/>
          </w:tcPr>
          <w:p w14:paraId="582ADFE4" w14:textId="77777777" w:rsidR="003155B0" w:rsidRPr="00930237" w:rsidRDefault="003155B0" w:rsidP="003155B0">
            <w:pPr>
              <w:pStyle w:val="Text1"/>
              <w:spacing w:before="0" w:after="0"/>
              <w:ind w:left="0"/>
              <w:rPr>
                <w:noProof/>
                <w:sz w:val="18"/>
                <w:szCs w:val="18"/>
              </w:rPr>
            </w:pPr>
            <w:r w:rsidRPr="008B49D5">
              <w:rPr>
                <w:noProof/>
                <w:sz w:val="18"/>
                <w:szCs w:val="18"/>
              </w:rPr>
              <w:t>4.3.prioritāte</w:t>
            </w:r>
          </w:p>
        </w:tc>
        <w:tc>
          <w:tcPr>
            <w:tcW w:w="696" w:type="pct"/>
          </w:tcPr>
          <w:p w14:paraId="7FDC1A65" w14:textId="77777777" w:rsidR="003155B0" w:rsidRPr="00930237" w:rsidRDefault="003155B0" w:rsidP="003155B0">
            <w:pPr>
              <w:spacing w:before="0" w:after="0"/>
              <w:rPr>
                <w:noProof/>
                <w:sz w:val="18"/>
                <w:szCs w:val="18"/>
              </w:rPr>
            </w:pPr>
            <w:r w:rsidRPr="008B49D5">
              <w:rPr>
                <w:noProof/>
                <w:sz w:val="18"/>
                <w:szCs w:val="18"/>
              </w:rPr>
              <w:t>LM/TM: 4.3.5.SAM</w:t>
            </w:r>
          </w:p>
        </w:tc>
        <w:tc>
          <w:tcPr>
            <w:tcW w:w="353" w:type="pct"/>
          </w:tcPr>
          <w:p w14:paraId="39ED9C76" w14:textId="77777777" w:rsidR="003155B0" w:rsidRPr="00930237" w:rsidRDefault="003155B0" w:rsidP="003155B0">
            <w:pPr>
              <w:pStyle w:val="Text1"/>
              <w:spacing w:before="0" w:after="0"/>
              <w:ind w:left="0"/>
              <w:rPr>
                <w:noProof/>
                <w:sz w:val="18"/>
                <w:szCs w:val="18"/>
              </w:rPr>
            </w:pPr>
            <w:r w:rsidRPr="008B49D5">
              <w:rPr>
                <w:noProof/>
                <w:sz w:val="18"/>
                <w:szCs w:val="18"/>
              </w:rPr>
              <w:t>ESF</w:t>
            </w:r>
          </w:p>
        </w:tc>
        <w:tc>
          <w:tcPr>
            <w:tcW w:w="487" w:type="pct"/>
          </w:tcPr>
          <w:p w14:paraId="6B9839CD" w14:textId="77777777" w:rsidR="003155B0" w:rsidRPr="00930237" w:rsidRDefault="003155B0" w:rsidP="003155B0">
            <w:pPr>
              <w:pStyle w:val="Text1"/>
              <w:spacing w:before="0" w:after="0"/>
              <w:ind w:left="0"/>
              <w:rPr>
                <w:sz w:val="18"/>
                <w:szCs w:val="18"/>
              </w:rPr>
            </w:pPr>
            <w:r w:rsidRPr="008B49D5">
              <w:rPr>
                <w:sz w:val="18"/>
                <w:szCs w:val="18"/>
              </w:rPr>
              <w:t>CO16</w:t>
            </w:r>
          </w:p>
        </w:tc>
        <w:tc>
          <w:tcPr>
            <w:tcW w:w="1303" w:type="pct"/>
            <w:shd w:val="clear" w:color="auto" w:fill="auto"/>
          </w:tcPr>
          <w:p w14:paraId="49EE4CA2" w14:textId="77777777" w:rsidR="003155B0" w:rsidRPr="00930237" w:rsidRDefault="003155B0" w:rsidP="003155B0">
            <w:pPr>
              <w:pStyle w:val="Default"/>
              <w:spacing w:after="0" w:line="240" w:lineRule="auto"/>
              <w:jc w:val="both"/>
              <w:rPr>
                <w:sz w:val="18"/>
                <w:szCs w:val="18"/>
                <w:lang w:eastAsia="en-GB"/>
              </w:rPr>
            </w:pPr>
            <w:r w:rsidRPr="008B49D5">
              <w:rPr>
                <w:sz w:val="18"/>
                <w:szCs w:val="18"/>
                <w:lang w:eastAsia="en-GB"/>
              </w:rPr>
              <w:t>Nacionāla, reģionāla vai vietēja mēroga valsts administrācijas vai sabiedrisko pakalpojumu iestādes, kas saņēmušas atbalstu</w:t>
            </w:r>
          </w:p>
        </w:tc>
        <w:tc>
          <w:tcPr>
            <w:tcW w:w="537" w:type="pct"/>
          </w:tcPr>
          <w:p w14:paraId="55FEB0B3" w14:textId="77777777" w:rsidR="003155B0" w:rsidRPr="00930237" w:rsidRDefault="003155B0" w:rsidP="003155B0">
            <w:pPr>
              <w:pStyle w:val="Text1"/>
              <w:spacing w:before="0" w:after="0"/>
              <w:ind w:left="0"/>
              <w:rPr>
                <w:noProof/>
                <w:sz w:val="18"/>
                <w:szCs w:val="18"/>
              </w:rPr>
            </w:pPr>
            <w:r w:rsidRPr="008B49D5">
              <w:rPr>
                <w:noProof/>
                <w:sz w:val="18"/>
                <w:szCs w:val="18"/>
              </w:rPr>
              <w:t>Iestāžu skaits</w:t>
            </w:r>
          </w:p>
        </w:tc>
        <w:tc>
          <w:tcPr>
            <w:tcW w:w="513" w:type="pct"/>
            <w:shd w:val="clear" w:color="auto" w:fill="auto"/>
          </w:tcPr>
          <w:p w14:paraId="26CDB8AB" w14:textId="3D8650A9" w:rsidR="003155B0" w:rsidRPr="008B49D5" w:rsidRDefault="003155B0" w:rsidP="003155B0">
            <w:pPr>
              <w:spacing w:before="0" w:after="0"/>
              <w:rPr>
                <w:noProof/>
                <w:sz w:val="18"/>
                <w:szCs w:val="18"/>
              </w:rPr>
            </w:pPr>
            <w:r w:rsidRPr="008B49D5">
              <w:rPr>
                <w:noProof/>
                <w:sz w:val="18"/>
                <w:szCs w:val="18"/>
              </w:rPr>
              <w:t xml:space="preserve">LM: </w:t>
            </w:r>
            <w:r w:rsidR="00794A02">
              <w:rPr>
                <w:noProof/>
                <w:sz w:val="18"/>
                <w:szCs w:val="18"/>
              </w:rPr>
              <w:t>43</w:t>
            </w:r>
          </w:p>
          <w:p w14:paraId="3D323257" w14:textId="77777777" w:rsidR="003155B0" w:rsidRPr="008B49D5" w:rsidRDefault="003155B0" w:rsidP="003155B0">
            <w:pPr>
              <w:spacing w:before="0" w:after="0"/>
              <w:rPr>
                <w:noProof/>
                <w:sz w:val="18"/>
                <w:szCs w:val="18"/>
              </w:rPr>
            </w:pPr>
            <w:r w:rsidRPr="008B49D5">
              <w:rPr>
                <w:noProof/>
                <w:sz w:val="18"/>
                <w:szCs w:val="18"/>
              </w:rPr>
              <w:t>TM: 0</w:t>
            </w:r>
          </w:p>
        </w:tc>
        <w:tc>
          <w:tcPr>
            <w:tcW w:w="635" w:type="pct"/>
            <w:shd w:val="clear" w:color="auto" w:fill="auto"/>
          </w:tcPr>
          <w:p w14:paraId="49C2129D" w14:textId="64D126C1" w:rsidR="003155B0" w:rsidRPr="008B49D5" w:rsidRDefault="003155B0" w:rsidP="003155B0">
            <w:pPr>
              <w:spacing w:before="0" w:after="0"/>
              <w:rPr>
                <w:noProof/>
                <w:sz w:val="18"/>
                <w:szCs w:val="18"/>
              </w:rPr>
            </w:pPr>
            <w:r w:rsidRPr="008B49D5">
              <w:rPr>
                <w:noProof/>
                <w:sz w:val="18"/>
                <w:szCs w:val="18"/>
              </w:rPr>
              <w:t xml:space="preserve">LM: </w:t>
            </w:r>
            <w:r w:rsidR="00794A02">
              <w:rPr>
                <w:noProof/>
                <w:sz w:val="18"/>
                <w:szCs w:val="18"/>
              </w:rPr>
              <w:t>43</w:t>
            </w:r>
          </w:p>
          <w:p w14:paraId="3550F72A" w14:textId="77777777" w:rsidR="003155B0" w:rsidRPr="008B49D5" w:rsidRDefault="003155B0" w:rsidP="003155B0">
            <w:pPr>
              <w:spacing w:before="0" w:after="0"/>
              <w:rPr>
                <w:noProof/>
                <w:sz w:val="18"/>
                <w:szCs w:val="18"/>
              </w:rPr>
            </w:pPr>
            <w:r w:rsidRPr="008B49D5">
              <w:rPr>
                <w:noProof/>
                <w:sz w:val="18"/>
                <w:szCs w:val="18"/>
              </w:rPr>
              <w:t>TM: 1</w:t>
            </w:r>
          </w:p>
        </w:tc>
      </w:tr>
      <w:tr w:rsidR="003155B0" w:rsidRPr="00930237" w14:paraId="439EDFA9" w14:textId="77777777" w:rsidTr="003155B0">
        <w:trPr>
          <w:trHeight w:val="332"/>
        </w:trPr>
        <w:tc>
          <w:tcPr>
            <w:tcW w:w="476" w:type="pct"/>
          </w:tcPr>
          <w:p w14:paraId="32002CD2" w14:textId="77777777" w:rsidR="003155B0" w:rsidRPr="008B49D5" w:rsidRDefault="003155B0" w:rsidP="003155B0">
            <w:pPr>
              <w:pStyle w:val="Text1"/>
              <w:spacing w:before="0" w:after="0"/>
              <w:ind w:left="0"/>
              <w:rPr>
                <w:noProof/>
                <w:sz w:val="18"/>
                <w:szCs w:val="18"/>
              </w:rPr>
            </w:pPr>
            <w:r w:rsidRPr="008B49D5">
              <w:rPr>
                <w:noProof/>
                <w:sz w:val="18"/>
                <w:szCs w:val="18"/>
              </w:rPr>
              <w:t>4.3.prioritāte</w:t>
            </w:r>
          </w:p>
        </w:tc>
        <w:tc>
          <w:tcPr>
            <w:tcW w:w="696" w:type="pct"/>
          </w:tcPr>
          <w:p w14:paraId="4BC4334E" w14:textId="77777777" w:rsidR="003155B0" w:rsidRPr="008B49D5" w:rsidRDefault="003155B0" w:rsidP="003155B0">
            <w:pPr>
              <w:spacing w:before="0" w:after="0"/>
              <w:rPr>
                <w:noProof/>
                <w:sz w:val="18"/>
                <w:szCs w:val="18"/>
              </w:rPr>
            </w:pPr>
            <w:r w:rsidRPr="008B49D5">
              <w:rPr>
                <w:noProof/>
                <w:sz w:val="18"/>
                <w:szCs w:val="18"/>
              </w:rPr>
              <w:t>LM/PKC/VARAM: 4.3.6.SAM</w:t>
            </w:r>
          </w:p>
        </w:tc>
        <w:tc>
          <w:tcPr>
            <w:tcW w:w="353" w:type="pct"/>
          </w:tcPr>
          <w:p w14:paraId="40F107F6" w14:textId="77777777" w:rsidR="003155B0" w:rsidRPr="00930237" w:rsidRDefault="003155B0" w:rsidP="003155B0">
            <w:pPr>
              <w:pStyle w:val="Text1"/>
              <w:spacing w:before="0" w:after="0"/>
              <w:ind w:left="0"/>
              <w:rPr>
                <w:noProof/>
                <w:sz w:val="18"/>
                <w:szCs w:val="18"/>
              </w:rPr>
            </w:pPr>
            <w:r w:rsidRPr="008B49D5">
              <w:rPr>
                <w:noProof/>
                <w:sz w:val="18"/>
                <w:szCs w:val="18"/>
              </w:rPr>
              <w:t>ESF</w:t>
            </w:r>
          </w:p>
        </w:tc>
        <w:tc>
          <w:tcPr>
            <w:tcW w:w="487" w:type="pct"/>
          </w:tcPr>
          <w:p w14:paraId="79CB2CEC" w14:textId="77777777" w:rsidR="003155B0" w:rsidRPr="00930237" w:rsidRDefault="003155B0" w:rsidP="003155B0">
            <w:pPr>
              <w:pStyle w:val="Text1"/>
              <w:spacing w:before="0" w:after="0"/>
              <w:ind w:left="0"/>
              <w:rPr>
                <w:sz w:val="18"/>
                <w:szCs w:val="18"/>
              </w:rPr>
            </w:pPr>
            <w:r w:rsidRPr="008B49D5">
              <w:rPr>
                <w:sz w:val="18"/>
                <w:szCs w:val="18"/>
              </w:rPr>
              <w:t>CO16</w:t>
            </w:r>
          </w:p>
        </w:tc>
        <w:tc>
          <w:tcPr>
            <w:tcW w:w="1303" w:type="pct"/>
            <w:shd w:val="clear" w:color="auto" w:fill="auto"/>
          </w:tcPr>
          <w:p w14:paraId="028761A9" w14:textId="77777777" w:rsidR="003155B0" w:rsidRPr="00930237" w:rsidRDefault="003155B0" w:rsidP="003155B0">
            <w:pPr>
              <w:pStyle w:val="Default"/>
              <w:spacing w:after="0" w:line="240" w:lineRule="auto"/>
              <w:jc w:val="both"/>
              <w:rPr>
                <w:sz w:val="18"/>
                <w:szCs w:val="18"/>
                <w:lang w:eastAsia="en-GB"/>
              </w:rPr>
            </w:pPr>
            <w:r w:rsidRPr="008B49D5">
              <w:rPr>
                <w:sz w:val="18"/>
                <w:szCs w:val="18"/>
                <w:lang w:eastAsia="en-GB"/>
              </w:rPr>
              <w:t>Nacionāla, reģionāla vai vietēja mēroga valsts administrācijas vai sabiedrisko pakalpojumu iestādes, kas saņēmušas atbalstu</w:t>
            </w:r>
          </w:p>
        </w:tc>
        <w:tc>
          <w:tcPr>
            <w:tcW w:w="537" w:type="pct"/>
          </w:tcPr>
          <w:p w14:paraId="1EBA30B1" w14:textId="77777777" w:rsidR="003155B0" w:rsidRPr="00930237" w:rsidRDefault="003155B0" w:rsidP="003155B0">
            <w:pPr>
              <w:pStyle w:val="Text1"/>
              <w:spacing w:before="0" w:after="0"/>
              <w:ind w:left="0"/>
              <w:rPr>
                <w:noProof/>
                <w:sz w:val="18"/>
                <w:szCs w:val="18"/>
              </w:rPr>
            </w:pPr>
            <w:r w:rsidRPr="008B49D5">
              <w:rPr>
                <w:noProof/>
                <w:sz w:val="18"/>
                <w:szCs w:val="18"/>
              </w:rPr>
              <w:t>Iestāžu skaits</w:t>
            </w:r>
          </w:p>
        </w:tc>
        <w:tc>
          <w:tcPr>
            <w:tcW w:w="513" w:type="pct"/>
            <w:shd w:val="clear" w:color="auto" w:fill="auto"/>
          </w:tcPr>
          <w:p w14:paraId="67EAB4CB" w14:textId="77777777" w:rsidR="003155B0" w:rsidRPr="008B49D5" w:rsidRDefault="003155B0" w:rsidP="003155B0">
            <w:pPr>
              <w:spacing w:before="0" w:after="0"/>
              <w:rPr>
                <w:noProof/>
                <w:sz w:val="18"/>
                <w:szCs w:val="18"/>
              </w:rPr>
            </w:pPr>
            <w:r w:rsidRPr="008B49D5">
              <w:rPr>
                <w:noProof/>
                <w:sz w:val="18"/>
                <w:szCs w:val="18"/>
              </w:rPr>
              <w:t>LM:2</w:t>
            </w:r>
          </w:p>
          <w:p w14:paraId="3226ACF5" w14:textId="77777777" w:rsidR="003155B0" w:rsidRPr="008B49D5" w:rsidRDefault="003155B0" w:rsidP="003155B0">
            <w:pPr>
              <w:spacing w:before="0" w:after="0"/>
              <w:rPr>
                <w:noProof/>
                <w:sz w:val="18"/>
                <w:szCs w:val="18"/>
              </w:rPr>
            </w:pPr>
            <w:r w:rsidRPr="008B49D5">
              <w:rPr>
                <w:noProof/>
                <w:sz w:val="18"/>
                <w:szCs w:val="18"/>
              </w:rPr>
              <w:t xml:space="preserve">PKC: </w:t>
            </w:r>
            <w:r>
              <w:rPr>
                <w:noProof/>
                <w:sz w:val="18"/>
                <w:szCs w:val="18"/>
              </w:rPr>
              <w:t>280</w:t>
            </w:r>
          </w:p>
          <w:p w14:paraId="10C60B59" w14:textId="77777777" w:rsidR="003155B0" w:rsidRPr="008B49D5" w:rsidRDefault="003155B0" w:rsidP="003155B0">
            <w:pPr>
              <w:spacing w:before="0" w:after="0"/>
              <w:rPr>
                <w:noProof/>
                <w:sz w:val="18"/>
                <w:szCs w:val="18"/>
              </w:rPr>
            </w:pPr>
            <w:r w:rsidRPr="008B49D5">
              <w:rPr>
                <w:noProof/>
                <w:sz w:val="18"/>
                <w:szCs w:val="18"/>
              </w:rPr>
              <w:t>VARAM: 0</w:t>
            </w:r>
          </w:p>
        </w:tc>
        <w:tc>
          <w:tcPr>
            <w:tcW w:w="635" w:type="pct"/>
            <w:shd w:val="clear" w:color="auto" w:fill="auto"/>
          </w:tcPr>
          <w:p w14:paraId="18AE0EBB" w14:textId="77777777" w:rsidR="003155B0" w:rsidRPr="008B49D5" w:rsidRDefault="003155B0" w:rsidP="003155B0">
            <w:pPr>
              <w:spacing w:before="0" w:after="0"/>
              <w:rPr>
                <w:noProof/>
                <w:sz w:val="18"/>
                <w:szCs w:val="18"/>
              </w:rPr>
            </w:pPr>
            <w:r w:rsidRPr="008B49D5">
              <w:rPr>
                <w:noProof/>
                <w:sz w:val="18"/>
                <w:szCs w:val="18"/>
              </w:rPr>
              <w:t>LM:2</w:t>
            </w:r>
          </w:p>
          <w:p w14:paraId="6877D4A7" w14:textId="77777777" w:rsidR="003155B0" w:rsidRPr="008B49D5" w:rsidRDefault="003155B0" w:rsidP="003155B0">
            <w:pPr>
              <w:spacing w:before="0" w:after="0"/>
              <w:rPr>
                <w:noProof/>
                <w:sz w:val="18"/>
                <w:szCs w:val="18"/>
              </w:rPr>
            </w:pPr>
            <w:r w:rsidRPr="008B49D5">
              <w:rPr>
                <w:noProof/>
                <w:sz w:val="18"/>
                <w:szCs w:val="18"/>
              </w:rPr>
              <w:t xml:space="preserve">PKC: </w:t>
            </w:r>
            <w:r>
              <w:rPr>
                <w:noProof/>
                <w:sz w:val="18"/>
                <w:szCs w:val="18"/>
              </w:rPr>
              <w:t>837</w:t>
            </w:r>
          </w:p>
          <w:p w14:paraId="5825F7C3" w14:textId="77777777" w:rsidR="003155B0" w:rsidRPr="008B49D5" w:rsidRDefault="003155B0" w:rsidP="003155B0">
            <w:pPr>
              <w:spacing w:before="0" w:after="0"/>
              <w:rPr>
                <w:noProof/>
                <w:sz w:val="18"/>
                <w:szCs w:val="18"/>
              </w:rPr>
            </w:pPr>
            <w:r w:rsidRPr="008B49D5">
              <w:rPr>
                <w:noProof/>
                <w:sz w:val="18"/>
                <w:szCs w:val="18"/>
              </w:rPr>
              <w:t xml:space="preserve">VARAM: </w:t>
            </w:r>
            <w:r>
              <w:rPr>
                <w:noProof/>
                <w:sz w:val="18"/>
                <w:szCs w:val="18"/>
              </w:rPr>
              <w:t>8</w:t>
            </w:r>
          </w:p>
        </w:tc>
      </w:tr>
      <w:tr w:rsidR="00794A02" w:rsidRPr="00930237" w14:paraId="2E0477DF" w14:textId="77777777" w:rsidTr="003155B0">
        <w:trPr>
          <w:trHeight w:val="332"/>
        </w:trPr>
        <w:tc>
          <w:tcPr>
            <w:tcW w:w="476" w:type="pct"/>
          </w:tcPr>
          <w:p w14:paraId="0C5F4B7D" w14:textId="5D919B23" w:rsidR="00794A02" w:rsidRPr="008B49D5" w:rsidRDefault="00794A02" w:rsidP="00794A02">
            <w:pPr>
              <w:pStyle w:val="Text1"/>
              <w:spacing w:before="0" w:after="0"/>
              <w:ind w:left="0"/>
              <w:rPr>
                <w:noProof/>
                <w:sz w:val="18"/>
                <w:szCs w:val="18"/>
              </w:rPr>
            </w:pPr>
            <w:r>
              <w:rPr>
                <w:rFonts w:cs="Times New Roman"/>
                <w:noProof/>
                <w:sz w:val="18"/>
                <w:szCs w:val="18"/>
              </w:rPr>
              <w:t>4.4.prioritāte</w:t>
            </w:r>
          </w:p>
        </w:tc>
        <w:tc>
          <w:tcPr>
            <w:tcW w:w="696" w:type="pct"/>
          </w:tcPr>
          <w:p w14:paraId="3EDFA259" w14:textId="35F97F9B" w:rsidR="00794A02" w:rsidRPr="008B49D5" w:rsidRDefault="00794A02" w:rsidP="00794A02">
            <w:pPr>
              <w:spacing w:before="0" w:after="0"/>
              <w:rPr>
                <w:noProof/>
                <w:sz w:val="18"/>
                <w:szCs w:val="18"/>
              </w:rPr>
            </w:pPr>
            <w:r>
              <w:rPr>
                <w:noProof/>
                <w:sz w:val="18"/>
                <w:szCs w:val="18"/>
              </w:rPr>
              <w:t>4.4.1.SAM</w:t>
            </w:r>
          </w:p>
        </w:tc>
        <w:tc>
          <w:tcPr>
            <w:tcW w:w="353" w:type="pct"/>
          </w:tcPr>
          <w:p w14:paraId="2464030E" w14:textId="3FA13ABF" w:rsidR="00794A02" w:rsidRPr="008B49D5" w:rsidRDefault="00794A02" w:rsidP="00794A02">
            <w:pPr>
              <w:pStyle w:val="Text1"/>
              <w:spacing w:before="0" w:after="0"/>
              <w:ind w:left="0"/>
              <w:rPr>
                <w:noProof/>
                <w:sz w:val="18"/>
                <w:szCs w:val="18"/>
              </w:rPr>
            </w:pPr>
            <w:r>
              <w:rPr>
                <w:rFonts w:cs="Times New Roman"/>
                <w:noProof/>
                <w:sz w:val="18"/>
                <w:szCs w:val="18"/>
              </w:rPr>
              <w:t>ESF</w:t>
            </w:r>
          </w:p>
        </w:tc>
        <w:tc>
          <w:tcPr>
            <w:tcW w:w="487" w:type="pct"/>
          </w:tcPr>
          <w:p w14:paraId="2BD5F7F2" w14:textId="27577845" w:rsidR="00794A02" w:rsidRPr="008B49D5" w:rsidRDefault="00794A02" w:rsidP="00794A02">
            <w:pPr>
              <w:pStyle w:val="Text1"/>
              <w:spacing w:before="0" w:after="0"/>
              <w:ind w:left="0"/>
              <w:rPr>
                <w:sz w:val="18"/>
                <w:szCs w:val="18"/>
              </w:rPr>
            </w:pPr>
            <w:r>
              <w:rPr>
                <w:rFonts w:cs="Times New Roman"/>
                <w:sz w:val="18"/>
                <w:szCs w:val="18"/>
              </w:rPr>
              <w:t>CO16</w:t>
            </w:r>
          </w:p>
        </w:tc>
        <w:tc>
          <w:tcPr>
            <w:tcW w:w="1303" w:type="pct"/>
            <w:shd w:val="clear" w:color="auto" w:fill="auto"/>
          </w:tcPr>
          <w:p w14:paraId="4A95B9CF" w14:textId="61ADC276" w:rsidR="00794A02" w:rsidRPr="008B49D5" w:rsidRDefault="00794A02" w:rsidP="00794A02">
            <w:pPr>
              <w:pStyle w:val="Default"/>
              <w:spacing w:after="0" w:line="240" w:lineRule="auto"/>
              <w:jc w:val="both"/>
              <w:rPr>
                <w:sz w:val="18"/>
                <w:szCs w:val="18"/>
                <w:lang w:eastAsia="en-GB"/>
              </w:rPr>
            </w:pPr>
            <w:r w:rsidRPr="008B49D5">
              <w:rPr>
                <w:sz w:val="18"/>
                <w:szCs w:val="18"/>
                <w:lang w:eastAsia="en-GB"/>
              </w:rPr>
              <w:t>Nacionāla, reģionāla vai vietēja mēroga valsts administrācijas vai sabiedrisko pakalpojumu iestādes, kas saņēmušas atbalstu</w:t>
            </w:r>
          </w:p>
        </w:tc>
        <w:tc>
          <w:tcPr>
            <w:tcW w:w="537" w:type="pct"/>
          </w:tcPr>
          <w:p w14:paraId="6D060B32" w14:textId="620A0913" w:rsidR="00794A02" w:rsidRPr="008B49D5" w:rsidRDefault="00794A02" w:rsidP="00794A02">
            <w:pPr>
              <w:pStyle w:val="Text1"/>
              <w:spacing w:before="0" w:after="0"/>
              <w:ind w:left="0"/>
              <w:rPr>
                <w:noProof/>
                <w:sz w:val="18"/>
                <w:szCs w:val="18"/>
              </w:rPr>
            </w:pPr>
            <w:r>
              <w:rPr>
                <w:rFonts w:cs="Times New Roman"/>
                <w:noProof/>
                <w:sz w:val="18"/>
                <w:szCs w:val="18"/>
              </w:rPr>
              <w:t>Iestāžu skaits</w:t>
            </w:r>
          </w:p>
        </w:tc>
        <w:tc>
          <w:tcPr>
            <w:tcW w:w="513" w:type="pct"/>
            <w:shd w:val="clear" w:color="auto" w:fill="auto"/>
          </w:tcPr>
          <w:p w14:paraId="1BE86491" w14:textId="360B006F" w:rsidR="00794A02" w:rsidRPr="008B49D5" w:rsidRDefault="00794A02" w:rsidP="00794A02">
            <w:pPr>
              <w:spacing w:before="0" w:after="0"/>
              <w:rPr>
                <w:noProof/>
                <w:sz w:val="18"/>
                <w:szCs w:val="18"/>
              </w:rPr>
            </w:pPr>
            <w:r>
              <w:rPr>
                <w:noProof/>
                <w:sz w:val="18"/>
                <w:szCs w:val="18"/>
              </w:rPr>
              <w:t>LM: 12</w:t>
            </w:r>
          </w:p>
        </w:tc>
        <w:tc>
          <w:tcPr>
            <w:tcW w:w="635" w:type="pct"/>
            <w:shd w:val="clear" w:color="auto" w:fill="auto"/>
          </w:tcPr>
          <w:p w14:paraId="3D66DBA1" w14:textId="5F1C76B1" w:rsidR="00794A02" w:rsidRPr="008B49D5" w:rsidRDefault="00794A02" w:rsidP="00794A02">
            <w:pPr>
              <w:spacing w:before="0" w:after="0"/>
              <w:rPr>
                <w:noProof/>
                <w:sz w:val="18"/>
                <w:szCs w:val="18"/>
              </w:rPr>
            </w:pPr>
            <w:r>
              <w:rPr>
                <w:noProof/>
                <w:sz w:val="18"/>
                <w:szCs w:val="18"/>
              </w:rPr>
              <w:t>LM:24</w:t>
            </w:r>
          </w:p>
        </w:tc>
      </w:tr>
      <w:tr w:rsidR="003155B0" w:rsidRPr="00930237" w14:paraId="763DD381" w14:textId="77777777" w:rsidTr="003155B0">
        <w:trPr>
          <w:trHeight w:val="332"/>
        </w:trPr>
        <w:tc>
          <w:tcPr>
            <w:tcW w:w="476" w:type="pct"/>
            <w:shd w:val="clear" w:color="auto" w:fill="auto"/>
          </w:tcPr>
          <w:p w14:paraId="40F73ED8" w14:textId="77777777" w:rsidR="003155B0" w:rsidRPr="00930237" w:rsidRDefault="003155B0" w:rsidP="003155B0">
            <w:pPr>
              <w:spacing w:before="0" w:after="0"/>
              <w:rPr>
                <w:noProof/>
                <w:sz w:val="18"/>
                <w:szCs w:val="18"/>
              </w:rPr>
            </w:pPr>
            <w:r w:rsidRPr="00930237">
              <w:rPr>
                <w:noProof/>
                <w:sz w:val="18"/>
                <w:szCs w:val="18"/>
              </w:rPr>
              <w:t>4.2.prioritāte</w:t>
            </w:r>
          </w:p>
          <w:p w14:paraId="6832C63F" w14:textId="77777777" w:rsidR="003155B0" w:rsidRPr="00930237" w:rsidRDefault="003155B0" w:rsidP="003155B0">
            <w:pPr>
              <w:pStyle w:val="Text1"/>
              <w:spacing w:before="0" w:after="0"/>
              <w:ind w:left="0"/>
              <w:rPr>
                <w:noProof/>
                <w:sz w:val="18"/>
                <w:szCs w:val="18"/>
              </w:rPr>
            </w:pPr>
          </w:p>
        </w:tc>
        <w:tc>
          <w:tcPr>
            <w:tcW w:w="696" w:type="pct"/>
            <w:shd w:val="clear" w:color="auto" w:fill="auto"/>
          </w:tcPr>
          <w:p w14:paraId="7EEC60A9" w14:textId="77777777" w:rsidR="003155B0" w:rsidRPr="00930237" w:rsidRDefault="003155B0" w:rsidP="003155B0">
            <w:pPr>
              <w:spacing w:before="0" w:after="0"/>
              <w:rPr>
                <w:noProof/>
                <w:sz w:val="18"/>
                <w:szCs w:val="18"/>
              </w:rPr>
            </w:pPr>
            <w:r w:rsidRPr="00930237">
              <w:rPr>
                <w:noProof/>
                <w:sz w:val="18"/>
                <w:szCs w:val="18"/>
              </w:rPr>
              <w:t>4.2.4.SAM</w:t>
            </w:r>
          </w:p>
          <w:p w14:paraId="4D452450" w14:textId="77777777" w:rsidR="003155B0" w:rsidRPr="00930237" w:rsidRDefault="003155B0" w:rsidP="003155B0">
            <w:pPr>
              <w:spacing w:before="0" w:after="0"/>
              <w:rPr>
                <w:noProof/>
                <w:sz w:val="18"/>
                <w:szCs w:val="18"/>
              </w:rPr>
            </w:pPr>
          </w:p>
        </w:tc>
        <w:tc>
          <w:tcPr>
            <w:tcW w:w="353" w:type="pct"/>
            <w:shd w:val="clear" w:color="auto" w:fill="auto"/>
          </w:tcPr>
          <w:p w14:paraId="708EE0B5" w14:textId="77777777" w:rsidR="003155B0" w:rsidRPr="00930237" w:rsidRDefault="003155B0" w:rsidP="003155B0">
            <w:pPr>
              <w:pStyle w:val="Text1"/>
              <w:spacing w:before="0" w:after="0"/>
              <w:ind w:left="0"/>
              <w:rPr>
                <w:noProof/>
                <w:sz w:val="18"/>
                <w:szCs w:val="18"/>
              </w:rPr>
            </w:pPr>
            <w:r w:rsidRPr="00930237">
              <w:rPr>
                <w:noProof/>
                <w:sz w:val="18"/>
                <w:szCs w:val="18"/>
              </w:rPr>
              <w:t>ESF</w:t>
            </w:r>
          </w:p>
        </w:tc>
        <w:tc>
          <w:tcPr>
            <w:tcW w:w="487" w:type="pct"/>
            <w:shd w:val="clear" w:color="auto" w:fill="auto"/>
          </w:tcPr>
          <w:p w14:paraId="344F832E" w14:textId="77777777" w:rsidR="003155B0" w:rsidRPr="00930237" w:rsidRDefault="003155B0" w:rsidP="003155B0">
            <w:pPr>
              <w:pStyle w:val="Text1"/>
              <w:spacing w:before="0" w:after="0"/>
              <w:ind w:left="0"/>
              <w:rPr>
                <w:sz w:val="18"/>
                <w:szCs w:val="18"/>
              </w:rPr>
            </w:pPr>
            <w:r w:rsidRPr="00930237">
              <w:rPr>
                <w:sz w:val="18"/>
                <w:szCs w:val="18"/>
              </w:rPr>
              <w:t>CO17</w:t>
            </w:r>
          </w:p>
        </w:tc>
        <w:tc>
          <w:tcPr>
            <w:tcW w:w="1303" w:type="pct"/>
            <w:shd w:val="clear" w:color="auto" w:fill="auto"/>
          </w:tcPr>
          <w:p w14:paraId="69684643" w14:textId="77777777" w:rsidR="003155B0" w:rsidRPr="00930237" w:rsidRDefault="003155B0" w:rsidP="003155B0">
            <w:pPr>
              <w:pStyle w:val="Default"/>
              <w:spacing w:after="0" w:line="240" w:lineRule="auto"/>
              <w:jc w:val="both"/>
              <w:rPr>
                <w:color w:val="auto"/>
                <w:sz w:val="18"/>
                <w:szCs w:val="18"/>
              </w:rPr>
            </w:pPr>
            <w:r w:rsidRPr="00930237">
              <w:rPr>
                <w:sz w:val="18"/>
                <w:szCs w:val="18"/>
                <w:lang w:eastAsia="en-GB"/>
              </w:rPr>
              <w:t>Mikrouzņēmumi, mazie vai vidējie uzņēmumi, kas saņēmuši atbalstu</w:t>
            </w:r>
          </w:p>
        </w:tc>
        <w:tc>
          <w:tcPr>
            <w:tcW w:w="537" w:type="pct"/>
            <w:shd w:val="clear" w:color="auto" w:fill="auto"/>
          </w:tcPr>
          <w:p w14:paraId="605C6E46" w14:textId="77777777" w:rsidR="003155B0" w:rsidRPr="00930237" w:rsidRDefault="003155B0" w:rsidP="003155B0">
            <w:pPr>
              <w:pStyle w:val="Text1"/>
              <w:spacing w:before="0" w:after="0"/>
              <w:ind w:left="0"/>
              <w:rPr>
                <w:noProof/>
                <w:sz w:val="18"/>
                <w:szCs w:val="18"/>
              </w:rPr>
            </w:pPr>
            <w:r w:rsidRPr="00930237">
              <w:rPr>
                <w:noProof/>
                <w:sz w:val="18"/>
                <w:szCs w:val="18"/>
              </w:rPr>
              <w:t>Uzņēmumu skaits</w:t>
            </w:r>
          </w:p>
        </w:tc>
        <w:tc>
          <w:tcPr>
            <w:tcW w:w="513" w:type="pct"/>
            <w:shd w:val="clear" w:color="auto" w:fill="auto"/>
          </w:tcPr>
          <w:p w14:paraId="54FF6FE2" w14:textId="77777777" w:rsidR="003155B0" w:rsidRPr="00930237" w:rsidRDefault="003155B0" w:rsidP="003155B0">
            <w:pPr>
              <w:spacing w:before="0" w:after="0"/>
              <w:rPr>
                <w:noProof/>
                <w:sz w:val="18"/>
                <w:szCs w:val="18"/>
              </w:rPr>
            </w:pPr>
            <w:r>
              <w:rPr>
                <w:noProof/>
                <w:sz w:val="18"/>
                <w:szCs w:val="18"/>
              </w:rPr>
              <w:t>IZM: 0</w:t>
            </w:r>
          </w:p>
          <w:p w14:paraId="667425FD" w14:textId="77777777" w:rsidR="003155B0" w:rsidRPr="00930237" w:rsidRDefault="003155B0" w:rsidP="003155B0">
            <w:pPr>
              <w:pStyle w:val="Text1"/>
              <w:spacing w:before="0" w:after="0"/>
              <w:ind w:left="0"/>
              <w:rPr>
                <w:noProof/>
                <w:sz w:val="18"/>
                <w:szCs w:val="18"/>
              </w:rPr>
            </w:pPr>
            <w:r w:rsidRPr="00930237">
              <w:rPr>
                <w:noProof/>
                <w:sz w:val="18"/>
                <w:szCs w:val="18"/>
              </w:rPr>
              <w:t xml:space="preserve"> </w:t>
            </w:r>
          </w:p>
        </w:tc>
        <w:tc>
          <w:tcPr>
            <w:tcW w:w="635" w:type="pct"/>
            <w:shd w:val="clear" w:color="auto" w:fill="auto"/>
          </w:tcPr>
          <w:p w14:paraId="10E2428A" w14:textId="77777777" w:rsidR="003155B0" w:rsidRPr="00930237" w:rsidRDefault="003155B0" w:rsidP="003155B0">
            <w:pPr>
              <w:spacing w:before="0" w:after="0"/>
              <w:rPr>
                <w:noProof/>
                <w:sz w:val="18"/>
                <w:szCs w:val="18"/>
              </w:rPr>
            </w:pPr>
            <w:r>
              <w:rPr>
                <w:noProof/>
                <w:sz w:val="18"/>
                <w:szCs w:val="18"/>
              </w:rPr>
              <w:t>IZM: 168</w:t>
            </w:r>
          </w:p>
          <w:p w14:paraId="531F63A0" w14:textId="77777777" w:rsidR="003155B0" w:rsidRPr="00930237" w:rsidRDefault="003155B0" w:rsidP="003155B0">
            <w:pPr>
              <w:pStyle w:val="Text1"/>
              <w:spacing w:before="0" w:after="0"/>
              <w:ind w:left="0"/>
              <w:rPr>
                <w:noProof/>
                <w:sz w:val="18"/>
                <w:szCs w:val="18"/>
              </w:rPr>
            </w:pPr>
            <w:r w:rsidRPr="00930237">
              <w:rPr>
                <w:noProof/>
                <w:sz w:val="18"/>
                <w:szCs w:val="18"/>
              </w:rPr>
              <w:t xml:space="preserve"> </w:t>
            </w:r>
          </w:p>
        </w:tc>
      </w:tr>
      <w:tr w:rsidR="003155B0" w:rsidRPr="00930237" w14:paraId="038B3C7C" w14:textId="77777777" w:rsidTr="003155B0">
        <w:trPr>
          <w:trHeight w:val="332"/>
        </w:trPr>
        <w:tc>
          <w:tcPr>
            <w:tcW w:w="476" w:type="pct"/>
            <w:shd w:val="clear" w:color="auto" w:fill="auto"/>
          </w:tcPr>
          <w:p w14:paraId="3CE7E8A9" w14:textId="77777777" w:rsidR="003155B0" w:rsidRPr="00930237" w:rsidRDefault="003155B0" w:rsidP="003155B0">
            <w:pPr>
              <w:spacing w:before="0" w:after="0"/>
              <w:rPr>
                <w:noProof/>
                <w:sz w:val="18"/>
                <w:szCs w:val="18"/>
              </w:rPr>
            </w:pPr>
            <w:r w:rsidRPr="00634D26">
              <w:rPr>
                <w:noProof/>
                <w:sz w:val="18"/>
                <w:szCs w:val="18"/>
              </w:rPr>
              <w:t>4.3.prioritāte</w:t>
            </w:r>
          </w:p>
        </w:tc>
        <w:tc>
          <w:tcPr>
            <w:tcW w:w="696" w:type="pct"/>
            <w:shd w:val="clear" w:color="auto" w:fill="auto"/>
          </w:tcPr>
          <w:p w14:paraId="27D56B58" w14:textId="77777777" w:rsidR="003155B0" w:rsidRPr="00930237" w:rsidRDefault="003155B0" w:rsidP="003155B0">
            <w:pPr>
              <w:spacing w:before="0" w:after="0"/>
              <w:rPr>
                <w:noProof/>
                <w:sz w:val="18"/>
                <w:szCs w:val="18"/>
              </w:rPr>
            </w:pPr>
            <w:r w:rsidRPr="00634D26">
              <w:rPr>
                <w:noProof/>
                <w:sz w:val="18"/>
                <w:szCs w:val="18"/>
              </w:rPr>
              <w:t>4.3.3.SAM</w:t>
            </w:r>
          </w:p>
        </w:tc>
        <w:tc>
          <w:tcPr>
            <w:tcW w:w="353" w:type="pct"/>
            <w:shd w:val="clear" w:color="auto" w:fill="auto"/>
          </w:tcPr>
          <w:p w14:paraId="4183E18A" w14:textId="77777777" w:rsidR="003155B0" w:rsidRPr="00930237" w:rsidRDefault="003155B0" w:rsidP="003155B0">
            <w:pPr>
              <w:pStyle w:val="Text1"/>
              <w:spacing w:before="0" w:after="0"/>
              <w:ind w:left="0"/>
              <w:rPr>
                <w:noProof/>
                <w:sz w:val="18"/>
                <w:szCs w:val="18"/>
              </w:rPr>
            </w:pPr>
            <w:r w:rsidRPr="00634D26">
              <w:rPr>
                <w:noProof/>
                <w:sz w:val="18"/>
                <w:szCs w:val="18"/>
              </w:rPr>
              <w:t>ESF</w:t>
            </w:r>
          </w:p>
        </w:tc>
        <w:tc>
          <w:tcPr>
            <w:tcW w:w="487" w:type="pct"/>
            <w:shd w:val="clear" w:color="auto" w:fill="auto"/>
          </w:tcPr>
          <w:p w14:paraId="7B704B6A" w14:textId="77777777" w:rsidR="003155B0" w:rsidRPr="00930237" w:rsidRDefault="003155B0" w:rsidP="003155B0">
            <w:pPr>
              <w:pStyle w:val="Text1"/>
              <w:spacing w:before="0" w:after="0"/>
              <w:ind w:left="0"/>
              <w:rPr>
                <w:sz w:val="18"/>
                <w:szCs w:val="18"/>
              </w:rPr>
            </w:pPr>
            <w:r w:rsidRPr="00634D26">
              <w:rPr>
                <w:sz w:val="18"/>
                <w:szCs w:val="18"/>
              </w:rPr>
              <w:t>CO17</w:t>
            </w:r>
          </w:p>
        </w:tc>
        <w:tc>
          <w:tcPr>
            <w:tcW w:w="1303" w:type="pct"/>
            <w:shd w:val="clear" w:color="auto" w:fill="auto"/>
          </w:tcPr>
          <w:p w14:paraId="1E0A0B02" w14:textId="77777777" w:rsidR="003155B0" w:rsidRPr="00930237" w:rsidRDefault="003155B0" w:rsidP="003155B0">
            <w:pPr>
              <w:pStyle w:val="Default"/>
              <w:spacing w:after="0" w:line="240" w:lineRule="auto"/>
              <w:jc w:val="both"/>
              <w:rPr>
                <w:sz w:val="18"/>
                <w:szCs w:val="18"/>
                <w:lang w:eastAsia="en-GB"/>
              </w:rPr>
            </w:pPr>
            <w:r w:rsidRPr="00634D26">
              <w:rPr>
                <w:sz w:val="18"/>
                <w:szCs w:val="18"/>
                <w:lang w:eastAsia="en-GB"/>
              </w:rPr>
              <w:t>Mikrouzņēmumi, mazie vai vidējie uzņēmumi, kas saņēmuši atbalstu</w:t>
            </w:r>
          </w:p>
        </w:tc>
        <w:tc>
          <w:tcPr>
            <w:tcW w:w="537" w:type="pct"/>
            <w:shd w:val="clear" w:color="auto" w:fill="auto"/>
          </w:tcPr>
          <w:p w14:paraId="02551BFB" w14:textId="77777777" w:rsidR="003155B0" w:rsidRPr="00930237" w:rsidRDefault="003155B0" w:rsidP="003155B0">
            <w:pPr>
              <w:pStyle w:val="Text1"/>
              <w:spacing w:before="0" w:after="0"/>
              <w:ind w:left="0"/>
              <w:rPr>
                <w:noProof/>
                <w:sz w:val="18"/>
                <w:szCs w:val="18"/>
              </w:rPr>
            </w:pPr>
            <w:r w:rsidRPr="00634D26">
              <w:rPr>
                <w:noProof/>
                <w:sz w:val="18"/>
                <w:szCs w:val="18"/>
              </w:rPr>
              <w:t>Uzņēmumu skaits</w:t>
            </w:r>
          </w:p>
        </w:tc>
        <w:tc>
          <w:tcPr>
            <w:tcW w:w="513" w:type="pct"/>
            <w:shd w:val="clear" w:color="auto" w:fill="auto"/>
          </w:tcPr>
          <w:p w14:paraId="161F0DE7" w14:textId="77777777" w:rsidR="003155B0" w:rsidRPr="00930237" w:rsidRDefault="003155B0" w:rsidP="003155B0">
            <w:pPr>
              <w:spacing w:before="0" w:after="0"/>
              <w:rPr>
                <w:noProof/>
                <w:sz w:val="18"/>
                <w:szCs w:val="18"/>
              </w:rPr>
            </w:pPr>
            <w:r>
              <w:rPr>
                <w:noProof/>
                <w:sz w:val="18"/>
                <w:szCs w:val="18"/>
              </w:rPr>
              <w:t>LM: 42</w:t>
            </w:r>
          </w:p>
        </w:tc>
        <w:tc>
          <w:tcPr>
            <w:tcW w:w="635" w:type="pct"/>
            <w:shd w:val="clear" w:color="auto" w:fill="auto"/>
          </w:tcPr>
          <w:p w14:paraId="406526B8" w14:textId="77777777" w:rsidR="003155B0" w:rsidRPr="00930237" w:rsidRDefault="003155B0" w:rsidP="003155B0">
            <w:pPr>
              <w:spacing w:before="0" w:after="0"/>
              <w:rPr>
                <w:noProof/>
                <w:sz w:val="18"/>
                <w:szCs w:val="18"/>
              </w:rPr>
            </w:pPr>
            <w:r>
              <w:rPr>
                <w:noProof/>
                <w:sz w:val="18"/>
                <w:szCs w:val="18"/>
              </w:rPr>
              <w:t>LM: 140</w:t>
            </w:r>
          </w:p>
        </w:tc>
      </w:tr>
      <w:tr w:rsidR="003155B0" w:rsidRPr="00930237" w14:paraId="675EE9A1" w14:textId="77777777" w:rsidTr="003155B0">
        <w:trPr>
          <w:trHeight w:val="332"/>
        </w:trPr>
        <w:tc>
          <w:tcPr>
            <w:tcW w:w="476" w:type="pct"/>
            <w:shd w:val="clear" w:color="auto" w:fill="auto"/>
          </w:tcPr>
          <w:p w14:paraId="0F9C1A25" w14:textId="77777777" w:rsidR="003155B0" w:rsidRPr="00930237" w:rsidRDefault="003155B0" w:rsidP="003155B0">
            <w:pPr>
              <w:spacing w:before="0" w:after="0"/>
              <w:rPr>
                <w:noProof/>
                <w:sz w:val="18"/>
                <w:szCs w:val="18"/>
              </w:rPr>
            </w:pPr>
            <w:r w:rsidRPr="00634D26">
              <w:rPr>
                <w:noProof/>
                <w:sz w:val="18"/>
                <w:szCs w:val="18"/>
              </w:rPr>
              <w:t>4.3.prioritāte</w:t>
            </w:r>
          </w:p>
        </w:tc>
        <w:tc>
          <w:tcPr>
            <w:tcW w:w="696" w:type="pct"/>
            <w:shd w:val="clear" w:color="auto" w:fill="auto"/>
          </w:tcPr>
          <w:p w14:paraId="72A3C0A6" w14:textId="77777777" w:rsidR="003155B0" w:rsidRPr="00930237" w:rsidRDefault="003155B0" w:rsidP="003155B0">
            <w:pPr>
              <w:spacing w:before="0" w:after="0"/>
              <w:rPr>
                <w:noProof/>
                <w:sz w:val="18"/>
                <w:szCs w:val="18"/>
              </w:rPr>
            </w:pPr>
            <w:r w:rsidRPr="00634D26">
              <w:rPr>
                <w:noProof/>
                <w:sz w:val="18"/>
                <w:szCs w:val="18"/>
              </w:rPr>
              <w:t>LM: 4.3.4.SAM</w:t>
            </w:r>
          </w:p>
        </w:tc>
        <w:tc>
          <w:tcPr>
            <w:tcW w:w="353" w:type="pct"/>
            <w:shd w:val="clear" w:color="auto" w:fill="auto"/>
          </w:tcPr>
          <w:p w14:paraId="0F229DE3" w14:textId="77777777" w:rsidR="003155B0" w:rsidRPr="00930237" w:rsidRDefault="003155B0" w:rsidP="003155B0">
            <w:pPr>
              <w:pStyle w:val="Text1"/>
              <w:spacing w:before="0" w:after="0"/>
              <w:ind w:left="0"/>
              <w:rPr>
                <w:noProof/>
                <w:sz w:val="18"/>
                <w:szCs w:val="18"/>
              </w:rPr>
            </w:pPr>
            <w:r w:rsidRPr="00634D26">
              <w:rPr>
                <w:noProof/>
                <w:sz w:val="18"/>
                <w:szCs w:val="18"/>
              </w:rPr>
              <w:t>ESF</w:t>
            </w:r>
          </w:p>
        </w:tc>
        <w:tc>
          <w:tcPr>
            <w:tcW w:w="487" w:type="pct"/>
            <w:shd w:val="clear" w:color="auto" w:fill="auto"/>
          </w:tcPr>
          <w:p w14:paraId="3E0FD16D" w14:textId="77777777" w:rsidR="003155B0" w:rsidRPr="00930237" w:rsidRDefault="003155B0" w:rsidP="003155B0">
            <w:pPr>
              <w:pStyle w:val="Text1"/>
              <w:spacing w:before="0" w:after="0"/>
              <w:ind w:left="0"/>
              <w:rPr>
                <w:sz w:val="18"/>
                <w:szCs w:val="18"/>
              </w:rPr>
            </w:pPr>
            <w:r w:rsidRPr="00634D26">
              <w:rPr>
                <w:sz w:val="18"/>
                <w:szCs w:val="18"/>
              </w:rPr>
              <w:t>CO17</w:t>
            </w:r>
          </w:p>
        </w:tc>
        <w:tc>
          <w:tcPr>
            <w:tcW w:w="1303" w:type="pct"/>
            <w:shd w:val="clear" w:color="auto" w:fill="auto"/>
          </w:tcPr>
          <w:p w14:paraId="7FE212C4" w14:textId="77777777" w:rsidR="003155B0" w:rsidRPr="00930237" w:rsidRDefault="003155B0" w:rsidP="003155B0">
            <w:pPr>
              <w:pStyle w:val="Default"/>
              <w:spacing w:after="0" w:line="240" w:lineRule="auto"/>
              <w:jc w:val="both"/>
              <w:rPr>
                <w:sz w:val="18"/>
                <w:szCs w:val="18"/>
                <w:lang w:eastAsia="en-GB"/>
              </w:rPr>
            </w:pPr>
            <w:r w:rsidRPr="00634D26">
              <w:rPr>
                <w:sz w:val="18"/>
                <w:szCs w:val="18"/>
                <w:lang w:eastAsia="en-GB"/>
              </w:rPr>
              <w:t>Mikrouzņēmumi, mazie vai vidējie uzņēmumi, kas saņēmuši atbalstu</w:t>
            </w:r>
          </w:p>
        </w:tc>
        <w:tc>
          <w:tcPr>
            <w:tcW w:w="537" w:type="pct"/>
            <w:shd w:val="clear" w:color="auto" w:fill="auto"/>
          </w:tcPr>
          <w:p w14:paraId="1EF6F70B" w14:textId="77777777" w:rsidR="003155B0" w:rsidRPr="00930237" w:rsidRDefault="003155B0" w:rsidP="003155B0">
            <w:pPr>
              <w:pStyle w:val="Text1"/>
              <w:spacing w:before="0" w:after="0"/>
              <w:ind w:left="0"/>
              <w:rPr>
                <w:noProof/>
                <w:sz w:val="18"/>
                <w:szCs w:val="18"/>
              </w:rPr>
            </w:pPr>
            <w:r w:rsidRPr="00634D26">
              <w:rPr>
                <w:noProof/>
                <w:sz w:val="18"/>
                <w:szCs w:val="18"/>
              </w:rPr>
              <w:t>Uzņēmumu skaits</w:t>
            </w:r>
          </w:p>
        </w:tc>
        <w:tc>
          <w:tcPr>
            <w:tcW w:w="513" w:type="pct"/>
            <w:shd w:val="clear" w:color="auto" w:fill="auto"/>
          </w:tcPr>
          <w:p w14:paraId="037034FF" w14:textId="7A93713D" w:rsidR="003155B0" w:rsidRPr="00634D26" w:rsidRDefault="003155B0" w:rsidP="003155B0">
            <w:pPr>
              <w:spacing w:before="0" w:after="0"/>
              <w:rPr>
                <w:noProof/>
                <w:sz w:val="18"/>
                <w:szCs w:val="18"/>
              </w:rPr>
            </w:pPr>
            <w:r w:rsidRPr="00634D26">
              <w:rPr>
                <w:noProof/>
                <w:sz w:val="18"/>
                <w:szCs w:val="18"/>
              </w:rPr>
              <w:t xml:space="preserve">LM: </w:t>
            </w:r>
            <w:r w:rsidR="00794A02">
              <w:rPr>
                <w:noProof/>
                <w:sz w:val="18"/>
                <w:szCs w:val="18"/>
              </w:rPr>
              <w:t>228</w:t>
            </w:r>
          </w:p>
          <w:p w14:paraId="02ADBF81" w14:textId="77777777" w:rsidR="003155B0" w:rsidRPr="00930237" w:rsidRDefault="003155B0" w:rsidP="003155B0">
            <w:pPr>
              <w:spacing w:before="0" w:after="0"/>
              <w:rPr>
                <w:noProof/>
                <w:sz w:val="18"/>
                <w:szCs w:val="18"/>
              </w:rPr>
            </w:pPr>
          </w:p>
        </w:tc>
        <w:tc>
          <w:tcPr>
            <w:tcW w:w="635" w:type="pct"/>
            <w:shd w:val="clear" w:color="auto" w:fill="auto"/>
          </w:tcPr>
          <w:p w14:paraId="5E98796D" w14:textId="056C2873" w:rsidR="003155B0" w:rsidRPr="00634D26" w:rsidRDefault="003155B0" w:rsidP="003155B0">
            <w:pPr>
              <w:spacing w:before="0" w:after="0"/>
              <w:rPr>
                <w:noProof/>
                <w:sz w:val="18"/>
                <w:szCs w:val="18"/>
              </w:rPr>
            </w:pPr>
            <w:r w:rsidRPr="00634D26">
              <w:rPr>
                <w:noProof/>
                <w:sz w:val="18"/>
                <w:szCs w:val="18"/>
              </w:rPr>
              <w:t xml:space="preserve">LM: </w:t>
            </w:r>
            <w:r w:rsidR="00794A02">
              <w:rPr>
                <w:noProof/>
                <w:sz w:val="18"/>
                <w:szCs w:val="18"/>
              </w:rPr>
              <w:t>624</w:t>
            </w:r>
          </w:p>
          <w:p w14:paraId="1A7721F8" w14:textId="77777777" w:rsidR="003155B0" w:rsidRPr="00930237" w:rsidRDefault="003155B0" w:rsidP="003155B0">
            <w:pPr>
              <w:spacing w:before="0" w:after="0"/>
              <w:rPr>
                <w:noProof/>
                <w:sz w:val="18"/>
                <w:szCs w:val="18"/>
              </w:rPr>
            </w:pPr>
          </w:p>
        </w:tc>
      </w:tr>
      <w:tr w:rsidR="003155B0" w:rsidRPr="00930237" w14:paraId="1C3B3960" w14:textId="77777777" w:rsidTr="003155B0">
        <w:trPr>
          <w:trHeight w:val="332"/>
        </w:trPr>
        <w:tc>
          <w:tcPr>
            <w:tcW w:w="476" w:type="pct"/>
            <w:shd w:val="clear" w:color="auto" w:fill="auto"/>
          </w:tcPr>
          <w:p w14:paraId="3F35AAB7" w14:textId="77777777" w:rsidR="003155B0" w:rsidRPr="00930237" w:rsidRDefault="003155B0" w:rsidP="003155B0">
            <w:pPr>
              <w:spacing w:before="0" w:after="0"/>
              <w:rPr>
                <w:noProof/>
                <w:sz w:val="18"/>
                <w:szCs w:val="18"/>
              </w:rPr>
            </w:pPr>
            <w:r w:rsidRPr="00634D26">
              <w:rPr>
                <w:noProof/>
                <w:sz w:val="18"/>
                <w:szCs w:val="18"/>
              </w:rPr>
              <w:t>4.3.prioritāte</w:t>
            </w:r>
          </w:p>
        </w:tc>
        <w:tc>
          <w:tcPr>
            <w:tcW w:w="696" w:type="pct"/>
            <w:shd w:val="clear" w:color="auto" w:fill="auto"/>
          </w:tcPr>
          <w:p w14:paraId="08E31789" w14:textId="77777777" w:rsidR="003155B0" w:rsidRPr="00930237" w:rsidRDefault="003155B0" w:rsidP="003155B0">
            <w:pPr>
              <w:spacing w:before="0" w:after="0"/>
              <w:rPr>
                <w:noProof/>
                <w:sz w:val="18"/>
                <w:szCs w:val="18"/>
              </w:rPr>
            </w:pPr>
            <w:r w:rsidRPr="00634D26">
              <w:rPr>
                <w:noProof/>
                <w:sz w:val="18"/>
                <w:szCs w:val="18"/>
              </w:rPr>
              <w:t>LM: 4.3.5.SAM</w:t>
            </w:r>
          </w:p>
        </w:tc>
        <w:tc>
          <w:tcPr>
            <w:tcW w:w="353" w:type="pct"/>
            <w:shd w:val="clear" w:color="auto" w:fill="auto"/>
          </w:tcPr>
          <w:p w14:paraId="0B0A8936" w14:textId="77777777" w:rsidR="003155B0" w:rsidRPr="00930237" w:rsidRDefault="003155B0" w:rsidP="003155B0">
            <w:pPr>
              <w:pStyle w:val="Text1"/>
              <w:spacing w:before="0" w:after="0"/>
              <w:ind w:left="0"/>
              <w:rPr>
                <w:noProof/>
                <w:sz w:val="18"/>
                <w:szCs w:val="18"/>
              </w:rPr>
            </w:pPr>
            <w:r w:rsidRPr="00634D26">
              <w:rPr>
                <w:noProof/>
                <w:sz w:val="18"/>
                <w:szCs w:val="18"/>
              </w:rPr>
              <w:t>ESF</w:t>
            </w:r>
          </w:p>
        </w:tc>
        <w:tc>
          <w:tcPr>
            <w:tcW w:w="487" w:type="pct"/>
            <w:shd w:val="clear" w:color="auto" w:fill="auto"/>
          </w:tcPr>
          <w:p w14:paraId="2E3E9710" w14:textId="77777777" w:rsidR="003155B0" w:rsidRPr="00930237" w:rsidRDefault="003155B0" w:rsidP="003155B0">
            <w:pPr>
              <w:pStyle w:val="Text1"/>
              <w:spacing w:before="0" w:after="0"/>
              <w:ind w:left="0"/>
              <w:rPr>
                <w:sz w:val="18"/>
                <w:szCs w:val="18"/>
              </w:rPr>
            </w:pPr>
            <w:r w:rsidRPr="00634D26">
              <w:rPr>
                <w:sz w:val="18"/>
                <w:szCs w:val="18"/>
              </w:rPr>
              <w:t>CO17</w:t>
            </w:r>
          </w:p>
        </w:tc>
        <w:tc>
          <w:tcPr>
            <w:tcW w:w="1303" w:type="pct"/>
            <w:shd w:val="clear" w:color="auto" w:fill="auto"/>
          </w:tcPr>
          <w:p w14:paraId="32360E5D" w14:textId="77777777" w:rsidR="003155B0" w:rsidRPr="00930237" w:rsidRDefault="003155B0" w:rsidP="003155B0">
            <w:pPr>
              <w:pStyle w:val="Default"/>
              <w:spacing w:after="0" w:line="240" w:lineRule="auto"/>
              <w:jc w:val="both"/>
              <w:rPr>
                <w:sz w:val="18"/>
                <w:szCs w:val="18"/>
                <w:lang w:eastAsia="en-GB"/>
              </w:rPr>
            </w:pPr>
            <w:r w:rsidRPr="00634D26">
              <w:rPr>
                <w:sz w:val="18"/>
                <w:szCs w:val="18"/>
                <w:lang w:eastAsia="en-GB"/>
              </w:rPr>
              <w:t>Mikrouzņēmumi, mazie vai vidējie uzņēmumi, kas saņēmuši atbalstu</w:t>
            </w:r>
          </w:p>
        </w:tc>
        <w:tc>
          <w:tcPr>
            <w:tcW w:w="537" w:type="pct"/>
            <w:shd w:val="clear" w:color="auto" w:fill="auto"/>
          </w:tcPr>
          <w:p w14:paraId="5ED1DF8C" w14:textId="77777777" w:rsidR="003155B0" w:rsidRPr="00930237" w:rsidRDefault="003155B0" w:rsidP="003155B0">
            <w:pPr>
              <w:pStyle w:val="Text1"/>
              <w:spacing w:before="0" w:after="0"/>
              <w:ind w:left="0"/>
              <w:rPr>
                <w:noProof/>
                <w:sz w:val="18"/>
                <w:szCs w:val="18"/>
              </w:rPr>
            </w:pPr>
            <w:r w:rsidRPr="00634D26">
              <w:rPr>
                <w:noProof/>
                <w:sz w:val="18"/>
                <w:szCs w:val="18"/>
              </w:rPr>
              <w:t>Uzņēmumu skaits</w:t>
            </w:r>
          </w:p>
        </w:tc>
        <w:tc>
          <w:tcPr>
            <w:tcW w:w="513" w:type="pct"/>
            <w:shd w:val="clear" w:color="auto" w:fill="auto"/>
          </w:tcPr>
          <w:p w14:paraId="3479EEED" w14:textId="21587DD9" w:rsidR="003155B0" w:rsidRPr="00930237" w:rsidRDefault="003155B0" w:rsidP="003155B0">
            <w:pPr>
              <w:spacing w:before="0" w:after="0"/>
              <w:rPr>
                <w:noProof/>
                <w:sz w:val="18"/>
                <w:szCs w:val="18"/>
              </w:rPr>
            </w:pPr>
            <w:r w:rsidRPr="00930237">
              <w:rPr>
                <w:noProof/>
                <w:sz w:val="18"/>
                <w:szCs w:val="18"/>
              </w:rPr>
              <w:t xml:space="preserve">LM: </w:t>
            </w:r>
            <w:r w:rsidR="00794A02">
              <w:rPr>
                <w:noProof/>
                <w:sz w:val="18"/>
                <w:szCs w:val="18"/>
              </w:rPr>
              <w:t>65</w:t>
            </w:r>
          </w:p>
          <w:p w14:paraId="44CFD79C" w14:textId="77777777" w:rsidR="003155B0" w:rsidRPr="00930237" w:rsidRDefault="003155B0" w:rsidP="003155B0">
            <w:pPr>
              <w:spacing w:before="0" w:after="0"/>
              <w:rPr>
                <w:noProof/>
                <w:sz w:val="18"/>
                <w:szCs w:val="18"/>
              </w:rPr>
            </w:pPr>
          </w:p>
        </w:tc>
        <w:tc>
          <w:tcPr>
            <w:tcW w:w="635" w:type="pct"/>
            <w:shd w:val="clear" w:color="auto" w:fill="auto"/>
          </w:tcPr>
          <w:p w14:paraId="748F4985" w14:textId="5AE0BEE7" w:rsidR="003155B0" w:rsidRPr="00930237" w:rsidRDefault="003155B0" w:rsidP="003155B0">
            <w:pPr>
              <w:spacing w:before="0" w:after="0"/>
              <w:rPr>
                <w:noProof/>
                <w:sz w:val="18"/>
                <w:szCs w:val="18"/>
              </w:rPr>
            </w:pPr>
            <w:r w:rsidRPr="00930237">
              <w:rPr>
                <w:noProof/>
                <w:sz w:val="18"/>
                <w:szCs w:val="18"/>
              </w:rPr>
              <w:t xml:space="preserve">LM: </w:t>
            </w:r>
            <w:r w:rsidR="00794A02">
              <w:rPr>
                <w:noProof/>
                <w:sz w:val="18"/>
                <w:szCs w:val="18"/>
              </w:rPr>
              <w:t>65</w:t>
            </w:r>
          </w:p>
          <w:p w14:paraId="380468F4" w14:textId="77777777" w:rsidR="003155B0" w:rsidRPr="00930237" w:rsidRDefault="003155B0" w:rsidP="003155B0">
            <w:pPr>
              <w:spacing w:before="0" w:after="0"/>
              <w:rPr>
                <w:noProof/>
                <w:sz w:val="18"/>
                <w:szCs w:val="18"/>
              </w:rPr>
            </w:pPr>
          </w:p>
        </w:tc>
      </w:tr>
      <w:tr w:rsidR="003155B0" w:rsidRPr="00930237" w14:paraId="582BEF9C" w14:textId="77777777" w:rsidTr="003155B0">
        <w:trPr>
          <w:trHeight w:val="332"/>
        </w:trPr>
        <w:tc>
          <w:tcPr>
            <w:tcW w:w="476" w:type="pct"/>
            <w:shd w:val="clear" w:color="auto" w:fill="auto"/>
          </w:tcPr>
          <w:p w14:paraId="2714DE76" w14:textId="77777777" w:rsidR="003155B0" w:rsidRPr="00930237" w:rsidRDefault="003155B0" w:rsidP="003155B0">
            <w:pPr>
              <w:spacing w:before="0" w:after="0"/>
              <w:rPr>
                <w:noProof/>
                <w:sz w:val="18"/>
                <w:szCs w:val="18"/>
              </w:rPr>
            </w:pPr>
            <w:r w:rsidRPr="00634D26">
              <w:rPr>
                <w:noProof/>
                <w:sz w:val="18"/>
                <w:szCs w:val="18"/>
              </w:rPr>
              <w:t>4.3.prioritāte</w:t>
            </w:r>
          </w:p>
        </w:tc>
        <w:tc>
          <w:tcPr>
            <w:tcW w:w="696" w:type="pct"/>
            <w:shd w:val="clear" w:color="auto" w:fill="auto"/>
          </w:tcPr>
          <w:p w14:paraId="66A70C63" w14:textId="77777777" w:rsidR="003155B0" w:rsidRPr="00930237" w:rsidRDefault="003155B0" w:rsidP="003155B0">
            <w:pPr>
              <w:spacing w:before="0" w:after="0"/>
              <w:rPr>
                <w:noProof/>
                <w:sz w:val="18"/>
                <w:szCs w:val="18"/>
              </w:rPr>
            </w:pPr>
            <w:r w:rsidRPr="00634D26">
              <w:rPr>
                <w:noProof/>
                <w:sz w:val="18"/>
                <w:szCs w:val="18"/>
              </w:rPr>
              <w:t>LM: 4.3.6.SAM</w:t>
            </w:r>
          </w:p>
        </w:tc>
        <w:tc>
          <w:tcPr>
            <w:tcW w:w="353" w:type="pct"/>
            <w:shd w:val="clear" w:color="auto" w:fill="auto"/>
          </w:tcPr>
          <w:p w14:paraId="319322A8" w14:textId="77777777" w:rsidR="003155B0" w:rsidRPr="00930237" w:rsidRDefault="003155B0" w:rsidP="003155B0">
            <w:pPr>
              <w:pStyle w:val="Text1"/>
              <w:spacing w:before="0" w:after="0"/>
              <w:ind w:left="0"/>
              <w:rPr>
                <w:noProof/>
                <w:sz w:val="18"/>
                <w:szCs w:val="18"/>
              </w:rPr>
            </w:pPr>
            <w:r w:rsidRPr="00634D26">
              <w:rPr>
                <w:noProof/>
                <w:sz w:val="18"/>
                <w:szCs w:val="18"/>
              </w:rPr>
              <w:t>ESF</w:t>
            </w:r>
          </w:p>
        </w:tc>
        <w:tc>
          <w:tcPr>
            <w:tcW w:w="487" w:type="pct"/>
            <w:shd w:val="clear" w:color="auto" w:fill="auto"/>
          </w:tcPr>
          <w:p w14:paraId="74A5680F" w14:textId="77777777" w:rsidR="003155B0" w:rsidRPr="00930237" w:rsidRDefault="003155B0" w:rsidP="003155B0">
            <w:pPr>
              <w:pStyle w:val="Text1"/>
              <w:spacing w:before="0" w:after="0"/>
              <w:ind w:left="0"/>
              <w:rPr>
                <w:sz w:val="18"/>
                <w:szCs w:val="18"/>
              </w:rPr>
            </w:pPr>
            <w:r w:rsidRPr="00634D26">
              <w:rPr>
                <w:sz w:val="18"/>
                <w:szCs w:val="18"/>
              </w:rPr>
              <w:t>CO17</w:t>
            </w:r>
          </w:p>
        </w:tc>
        <w:tc>
          <w:tcPr>
            <w:tcW w:w="1303" w:type="pct"/>
            <w:shd w:val="clear" w:color="auto" w:fill="auto"/>
          </w:tcPr>
          <w:p w14:paraId="08961046" w14:textId="77777777" w:rsidR="003155B0" w:rsidRPr="00930237" w:rsidRDefault="003155B0" w:rsidP="003155B0">
            <w:pPr>
              <w:pStyle w:val="Default"/>
              <w:spacing w:after="0" w:line="240" w:lineRule="auto"/>
              <w:jc w:val="both"/>
              <w:rPr>
                <w:sz w:val="18"/>
                <w:szCs w:val="18"/>
                <w:lang w:eastAsia="en-GB"/>
              </w:rPr>
            </w:pPr>
            <w:r w:rsidRPr="00634D26">
              <w:rPr>
                <w:sz w:val="18"/>
                <w:szCs w:val="18"/>
                <w:lang w:eastAsia="en-GB"/>
              </w:rPr>
              <w:t>Mikrouzņēmumi, mazie vai vidējie uzņēmumi, kas saņēmuši atbalstu</w:t>
            </w:r>
          </w:p>
        </w:tc>
        <w:tc>
          <w:tcPr>
            <w:tcW w:w="537" w:type="pct"/>
            <w:shd w:val="clear" w:color="auto" w:fill="auto"/>
          </w:tcPr>
          <w:p w14:paraId="7FFAF49D" w14:textId="77777777" w:rsidR="003155B0" w:rsidRPr="00930237" w:rsidRDefault="003155B0" w:rsidP="003155B0">
            <w:pPr>
              <w:pStyle w:val="Text1"/>
              <w:spacing w:before="0" w:after="0"/>
              <w:ind w:left="0"/>
              <w:rPr>
                <w:noProof/>
                <w:sz w:val="18"/>
                <w:szCs w:val="18"/>
              </w:rPr>
            </w:pPr>
            <w:r w:rsidRPr="00634D26">
              <w:rPr>
                <w:noProof/>
                <w:sz w:val="18"/>
                <w:szCs w:val="18"/>
              </w:rPr>
              <w:t>Uzņēmumu skaits</w:t>
            </w:r>
          </w:p>
        </w:tc>
        <w:tc>
          <w:tcPr>
            <w:tcW w:w="513" w:type="pct"/>
            <w:shd w:val="clear" w:color="auto" w:fill="auto"/>
          </w:tcPr>
          <w:p w14:paraId="59872B29" w14:textId="77777777" w:rsidR="003155B0" w:rsidRPr="00930237" w:rsidRDefault="003155B0" w:rsidP="003155B0">
            <w:pPr>
              <w:spacing w:before="0" w:after="0"/>
              <w:rPr>
                <w:noProof/>
                <w:sz w:val="18"/>
                <w:szCs w:val="18"/>
              </w:rPr>
            </w:pPr>
            <w:r w:rsidRPr="00930237">
              <w:rPr>
                <w:noProof/>
                <w:sz w:val="18"/>
                <w:szCs w:val="18"/>
              </w:rPr>
              <w:t>LM:</w:t>
            </w:r>
            <w:r>
              <w:rPr>
                <w:noProof/>
                <w:sz w:val="18"/>
                <w:szCs w:val="18"/>
              </w:rPr>
              <w:t>10</w:t>
            </w:r>
          </w:p>
          <w:p w14:paraId="318FB51D" w14:textId="77777777" w:rsidR="003155B0" w:rsidRPr="00930237" w:rsidRDefault="003155B0" w:rsidP="003155B0">
            <w:pPr>
              <w:spacing w:before="0" w:after="0"/>
              <w:rPr>
                <w:noProof/>
                <w:sz w:val="18"/>
                <w:szCs w:val="18"/>
              </w:rPr>
            </w:pPr>
          </w:p>
        </w:tc>
        <w:tc>
          <w:tcPr>
            <w:tcW w:w="635" w:type="pct"/>
            <w:shd w:val="clear" w:color="auto" w:fill="auto"/>
          </w:tcPr>
          <w:p w14:paraId="7123DE9E" w14:textId="77777777" w:rsidR="003155B0" w:rsidRPr="00930237" w:rsidRDefault="003155B0" w:rsidP="003155B0">
            <w:pPr>
              <w:spacing w:before="0" w:after="0"/>
              <w:rPr>
                <w:noProof/>
                <w:sz w:val="18"/>
                <w:szCs w:val="18"/>
              </w:rPr>
            </w:pPr>
            <w:r w:rsidRPr="00930237">
              <w:rPr>
                <w:noProof/>
                <w:sz w:val="18"/>
                <w:szCs w:val="18"/>
              </w:rPr>
              <w:t xml:space="preserve">LM: </w:t>
            </w:r>
            <w:r>
              <w:rPr>
                <w:noProof/>
                <w:sz w:val="18"/>
                <w:szCs w:val="18"/>
              </w:rPr>
              <w:t>13</w:t>
            </w:r>
          </w:p>
          <w:p w14:paraId="08203F60" w14:textId="77777777" w:rsidR="003155B0" w:rsidRPr="00930237" w:rsidRDefault="003155B0" w:rsidP="003155B0">
            <w:pPr>
              <w:spacing w:before="0" w:after="0"/>
              <w:rPr>
                <w:noProof/>
                <w:sz w:val="18"/>
                <w:szCs w:val="18"/>
              </w:rPr>
            </w:pPr>
          </w:p>
        </w:tc>
      </w:tr>
      <w:tr w:rsidR="00794A02" w:rsidRPr="00930237" w14:paraId="5492DB8E" w14:textId="77777777" w:rsidTr="003155B0">
        <w:trPr>
          <w:trHeight w:val="332"/>
        </w:trPr>
        <w:tc>
          <w:tcPr>
            <w:tcW w:w="476" w:type="pct"/>
          </w:tcPr>
          <w:p w14:paraId="3E69DA28" w14:textId="4D03444C" w:rsidR="00794A02" w:rsidRPr="00930237" w:rsidRDefault="00794A02" w:rsidP="00794A02">
            <w:pPr>
              <w:pStyle w:val="Text1"/>
              <w:spacing w:before="0" w:after="0"/>
              <w:ind w:left="0"/>
              <w:rPr>
                <w:noProof/>
                <w:sz w:val="18"/>
                <w:szCs w:val="18"/>
              </w:rPr>
            </w:pPr>
            <w:r>
              <w:rPr>
                <w:noProof/>
                <w:sz w:val="18"/>
                <w:szCs w:val="18"/>
              </w:rPr>
              <w:t>4.4.prioritāte</w:t>
            </w:r>
          </w:p>
        </w:tc>
        <w:tc>
          <w:tcPr>
            <w:tcW w:w="696" w:type="pct"/>
          </w:tcPr>
          <w:p w14:paraId="7DE31874" w14:textId="115FF8DF" w:rsidR="00794A02" w:rsidRPr="00930237" w:rsidRDefault="00794A02" w:rsidP="00794A02">
            <w:pPr>
              <w:pStyle w:val="Text1"/>
              <w:spacing w:before="0" w:after="0"/>
              <w:ind w:left="0"/>
              <w:rPr>
                <w:noProof/>
                <w:sz w:val="18"/>
                <w:szCs w:val="18"/>
              </w:rPr>
            </w:pPr>
            <w:r>
              <w:rPr>
                <w:noProof/>
                <w:sz w:val="18"/>
                <w:szCs w:val="18"/>
              </w:rPr>
              <w:t>4.4.1.SAM</w:t>
            </w:r>
          </w:p>
        </w:tc>
        <w:tc>
          <w:tcPr>
            <w:tcW w:w="353" w:type="pct"/>
          </w:tcPr>
          <w:p w14:paraId="0C2E17E0" w14:textId="29DB2DA6" w:rsidR="00794A02" w:rsidRPr="00634D26" w:rsidRDefault="00794A02" w:rsidP="00794A02">
            <w:pPr>
              <w:pStyle w:val="Text1"/>
              <w:spacing w:before="0" w:after="0"/>
              <w:ind w:left="0"/>
              <w:rPr>
                <w:noProof/>
                <w:sz w:val="18"/>
                <w:szCs w:val="18"/>
              </w:rPr>
            </w:pPr>
            <w:r>
              <w:rPr>
                <w:rFonts w:cs="Times New Roman"/>
                <w:noProof/>
                <w:sz w:val="18"/>
                <w:szCs w:val="18"/>
              </w:rPr>
              <w:t>ESF</w:t>
            </w:r>
          </w:p>
        </w:tc>
        <w:tc>
          <w:tcPr>
            <w:tcW w:w="487" w:type="pct"/>
          </w:tcPr>
          <w:p w14:paraId="5F56980E" w14:textId="5872FA57" w:rsidR="00794A02" w:rsidRPr="00634D26" w:rsidRDefault="00794A02" w:rsidP="00794A02">
            <w:pPr>
              <w:pStyle w:val="Text1"/>
              <w:spacing w:before="0" w:after="0"/>
              <w:ind w:left="0"/>
              <w:rPr>
                <w:sz w:val="18"/>
                <w:szCs w:val="18"/>
              </w:rPr>
            </w:pPr>
            <w:r w:rsidRPr="00634D26">
              <w:rPr>
                <w:rFonts w:cs="Times New Roman"/>
                <w:sz w:val="18"/>
                <w:szCs w:val="18"/>
              </w:rPr>
              <w:t>CO17</w:t>
            </w:r>
          </w:p>
        </w:tc>
        <w:tc>
          <w:tcPr>
            <w:tcW w:w="1303" w:type="pct"/>
            <w:shd w:val="clear" w:color="auto" w:fill="auto"/>
          </w:tcPr>
          <w:p w14:paraId="18144D52" w14:textId="4DFACEEB" w:rsidR="00794A02" w:rsidRPr="00634D26" w:rsidRDefault="00794A02" w:rsidP="00794A02">
            <w:pPr>
              <w:pStyle w:val="Default"/>
              <w:spacing w:after="0" w:line="240" w:lineRule="auto"/>
              <w:jc w:val="both"/>
              <w:rPr>
                <w:color w:val="auto"/>
                <w:sz w:val="18"/>
                <w:szCs w:val="18"/>
              </w:rPr>
            </w:pPr>
            <w:r w:rsidRPr="00634D26">
              <w:rPr>
                <w:sz w:val="18"/>
                <w:szCs w:val="18"/>
                <w:lang w:eastAsia="en-GB"/>
              </w:rPr>
              <w:t>Mikrouzņēmumi, mazie vai vidējie uzņēmumi, kas saņēmuši atbalstu</w:t>
            </w:r>
          </w:p>
        </w:tc>
        <w:tc>
          <w:tcPr>
            <w:tcW w:w="537" w:type="pct"/>
          </w:tcPr>
          <w:p w14:paraId="5DE6FC68" w14:textId="29E0FC1E" w:rsidR="00794A02" w:rsidRPr="00634D26" w:rsidRDefault="00794A02" w:rsidP="00794A02">
            <w:pPr>
              <w:pStyle w:val="Text1"/>
              <w:spacing w:before="0" w:after="0"/>
              <w:ind w:left="0"/>
              <w:rPr>
                <w:noProof/>
                <w:sz w:val="18"/>
                <w:szCs w:val="18"/>
              </w:rPr>
            </w:pPr>
            <w:r w:rsidRPr="00634D26">
              <w:rPr>
                <w:rFonts w:cs="Times New Roman"/>
                <w:noProof/>
                <w:sz w:val="18"/>
                <w:szCs w:val="18"/>
              </w:rPr>
              <w:t>Uzņēmumu skaits</w:t>
            </w:r>
          </w:p>
        </w:tc>
        <w:tc>
          <w:tcPr>
            <w:tcW w:w="513" w:type="pct"/>
            <w:shd w:val="clear" w:color="auto" w:fill="auto"/>
          </w:tcPr>
          <w:p w14:paraId="016E15C6" w14:textId="3734D035" w:rsidR="00794A02" w:rsidRPr="00930237" w:rsidRDefault="00794A02" w:rsidP="00794A02">
            <w:pPr>
              <w:pStyle w:val="Text1"/>
              <w:spacing w:before="0" w:after="0"/>
              <w:ind w:left="0"/>
              <w:rPr>
                <w:noProof/>
                <w:sz w:val="18"/>
                <w:szCs w:val="18"/>
              </w:rPr>
            </w:pPr>
            <w:r>
              <w:rPr>
                <w:noProof/>
                <w:sz w:val="18"/>
                <w:szCs w:val="18"/>
              </w:rPr>
              <w:t>LM: 13</w:t>
            </w:r>
          </w:p>
        </w:tc>
        <w:tc>
          <w:tcPr>
            <w:tcW w:w="635" w:type="pct"/>
            <w:shd w:val="clear" w:color="auto" w:fill="auto"/>
          </w:tcPr>
          <w:p w14:paraId="7746074C" w14:textId="00245BC6" w:rsidR="00794A02" w:rsidRPr="00930237" w:rsidRDefault="00794A02" w:rsidP="00794A02">
            <w:pPr>
              <w:pStyle w:val="Text1"/>
              <w:spacing w:before="0" w:after="0"/>
              <w:ind w:left="0"/>
              <w:rPr>
                <w:noProof/>
                <w:sz w:val="18"/>
                <w:szCs w:val="18"/>
              </w:rPr>
            </w:pPr>
            <w:r>
              <w:rPr>
                <w:noProof/>
                <w:sz w:val="18"/>
                <w:szCs w:val="18"/>
              </w:rPr>
              <w:t>LM: 25</w:t>
            </w:r>
          </w:p>
        </w:tc>
      </w:tr>
      <w:tr w:rsidR="00794A02" w:rsidRPr="00930237" w14:paraId="7A371EE9" w14:textId="77777777" w:rsidTr="003155B0">
        <w:trPr>
          <w:trHeight w:val="332"/>
        </w:trPr>
        <w:tc>
          <w:tcPr>
            <w:tcW w:w="476" w:type="pct"/>
          </w:tcPr>
          <w:p w14:paraId="2894142E" w14:textId="77777777" w:rsidR="00794A02" w:rsidRPr="00930237" w:rsidRDefault="00794A02" w:rsidP="00794A02">
            <w:pPr>
              <w:pStyle w:val="Text1"/>
              <w:spacing w:before="0" w:after="0"/>
              <w:ind w:left="0"/>
              <w:rPr>
                <w:noProof/>
                <w:sz w:val="18"/>
                <w:szCs w:val="18"/>
              </w:rPr>
            </w:pPr>
            <w:r w:rsidRPr="00930237">
              <w:rPr>
                <w:noProof/>
                <w:sz w:val="18"/>
                <w:szCs w:val="18"/>
              </w:rPr>
              <w:t>4.3.prioritāte</w:t>
            </w:r>
          </w:p>
          <w:p w14:paraId="53D700C0" w14:textId="77777777" w:rsidR="00794A02" w:rsidRPr="00930237" w:rsidRDefault="00794A02" w:rsidP="00794A02">
            <w:pPr>
              <w:pStyle w:val="Text1"/>
              <w:spacing w:before="0" w:after="0"/>
              <w:ind w:left="0"/>
              <w:rPr>
                <w:noProof/>
                <w:sz w:val="18"/>
                <w:szCs w:val="18"/>
              </w:rPr>
            </w:pPr>
          </w:p>
        </w:tc>
        <w:tc>
          <w:tcPr>
            <w:tcW w:w="696" w:type="pct"/>
          </w:tcPr>
          <w:p w14:paraId="7A44AFFF" w14:textId="77777777" w:rsidR="00794A02" w:rsidRPr="00930237" w:rsidRDefault="00794A02" w:rsidP="00794A02">
            <w:pPr>
              <w:pStyle w:val="Text1"/>
              <w:spacing w:before="0" w:after="0"/>
              <w:ind w:left="0"/>
              <w:rPr>
                <w:noProof/>
                <w:sz w:val="18"/>
                <w:szCs w:val="18"/>
              </w:rPr>
            </w:pPr>
            <w:r w:rsidRPr="00930237">
              <w:rPr>
                <w:noProof/>
                <w:sz w:val="18"/>
                <w:szCs w:val="18"/>
              </w:rPr>
              <w:t>4.3.2.SAM</w:t>
            </w:r>
          </w:p>
          <w:p w14:paraId="3820B935" w14:textId="77777777" w:rsidR="00794A02" w:rsidRPr="00930237" w:rsidRDefault="00794A02" w:rsidP="00794A02">
            <w:pPr>
              <w:pStyle w:val="Text1"/>
              <w:spacing w:before="0" w:after="0"/>
              <w:ind w:left="0"/>
              <w:rPr>
                <w:noProof/>
                <w:sz w:val="18"/>
                <w:szCs w:val="18"/>
              </w:rPr>
            </w:pPr>
          </w:p>
        </w:tc>
        <w:tc>
          <w:tcPr>
            <w:tcW w:w="353" w:type="pct"/>
          </w:tcPr>
          <w:p w14:paraId="5A6DEB90" w14:textId="77777777" w:rsidR="00794A02" w:rsidRPr="00930237" w:rsidRDefault="00794A02" w:rsidP="00794A02">
            <w:pPr>
              <w:pStyle w:val="Text1"/>
              <w:spacing w:before="0" w:after="0"/>
              <w:ind w:left="0"/>
              <w:rPr>
                <w:noProof/>
                <w:sz w:val="18"/>
                <w:szCs w:val="18"/>
              </w:rPr>
            </w:pPr>
            <w:r w:rsidRPr="00634D26">
              <w:rPr>
                <w:noProof/>
                <w:sz w:val="18"/>
                <w:szCs w:val="18"/>
              </w:rPr>
              <w:t>ERAF</w:t>
            </w:r>
          </w:p>
        </w:tc>
        <w:tc>
          <w:tcPr>
            <w:tcW w:w="487" w:type="pct"/>
          </w:tcPr>
          <w:p w14:paraId="45F2CDD3" w14:textId="77777777" w:rsidR="00794A02" w:rsidRPr="00930237" w:rsidRDefault="00794A02" w:rsidP="00794A02">
            <w:pPr>
              <w:pStyle w:val="Text1"/>
              <w:spacing w:before="0" w:after="0"/>
              <w:ind w:left="0"/>
              <w:rPr>
                <w:sz w:val="18"/>
                <w:szCs w:val="18"/>
              </w:rPr>
            </w:pPr>
            <w:r w:rsidRPr="00634D26">
              <w:rPr>
                <w:sz w:val="18"/>
                <w:szCs w:val="18"/>
              </w:rPr>
              <w:t>RCO 77</w:t>
            </w:r>
          </w:p>
        </w:tc>
        <w:tc>
          <w:tcPr>
            <w:tcW w:w="1303" w:type="pct"/>
            <w:shd w:val="clear" w:color="auto" w:fill="auto"/>
          </w:tcPr>
          <w:p w14:paraId="0ECF01AE" w14:textId="77777777" w:rsidR="00794A02" w:rsidRPr="00930237" w:rsidRDefault="00794A02" w:rsidP="00794A02">
            <w:pPr>
              <w:pStyle w:val="Default"/>
              <w:spacing w:after="0" w:line="240" w:lineRule="auto"/>
              <w:jc w:val="both"/>
              <w:rPr>
                <w:color w:val="auto"/>
                <w:sz w:val="18"/>
                <w:szCs w:val="18"/>
              </w:rPr>
            </w:pPr>
            <w:r w:rsidRPr="00634D26">
              <w:rPr>
                <w:color w:val="auto"/>
                <w:sz w:val="18"/>
                <w:szCs w:val="18"/>
              </w:rPr>
              <w:t>Atbalstīto kultūras un tūrisma vietu skaits</w:t>
            </w:r>
          </w:p>
        </w:tc>
        <w:tc>
          <w:tcPr>
            <w:tcW w:w="537" w:type="pct"/>
          </w:tcPr>
          <w:p w14:paraId="36802483" w14:textId="77777777" w:rsidR="00794A02" w:rsidRPr="00930237" w:rsidRDefault="00794A02" w:rsidP="00794A02">
            <w:pPr>
              <w:pStyle w:val="Text1"/>
              <w:spacing w:before="0" w:after="0"/>
              <w:ind w:left="0"/>
              <w:rPr>
                <w:noProof/>
                <w:sz w:val="18"/>
                <w:szCs w:val="18"/>
              </w:rPr>
            </w:pPr>
            <w:r w:rsidRPr="00634D26">
              <w:rPr>
                <w:noProof/>
                <w:sz w:val="18"/>
                <w:szCs w:val="18"/>
              </w:rPr>
              <w:t>Skaits</w:t>
            </w:r>
          </w:p>
        </w:tc>
        <w:tc>
          <w:tcPr>
            <w:tcW w:w="513" w:type="pct"/>
            <w:shd w:val="clear" w:color="auto" w:fill="auto"/>
          </w:tcPr>
          <w:p w14:paraId="6D05872F" w14:textId="77777777" w:rsidR="00794A02" w:rsidRPr="00930237" w:rsidRDefault="00794A02" w:rsidP="00794A02">
            <w:pPr>
              <w:pStyle w:val="Text1"/>
              <w:spacing w:before="0" w:after="0"/>
              <w:ind w:left="0"/>
              <w:rPr>
                <w:noProof/>
                <w:sz w:val="18"/>
                <w:szCs w:val="18"/>
              </w:rPr>
            </w:pPr>
            <w:r w:rsidRPr="00930237">
              <w:rPr>
                <w:noProof/>
                <w:sz w:val="18"/>
                <w:szCs w:val="18"/>
              </w:rPr>
              <w:t>0</w:t>
            </w:r>
          </w:p>
          <w:p w14:paraId="08200EDD" w14:textId="77777777" w:rsidR="00794A02" w:rsidRPr="00930237" w:rsidRDefault="00794A02" w:rsidP="00794A02">
            <w:pPr>
              <w:pStyle w:val="Text1"/>
              <w:spacing w:before="0" w:after="0"/>
              <w:ind w:left="0"/>
              <w:rPr>
                <w:noProof/>
                <w:sz w:val="18"/>
                <w:szCs w:val="18"/>
              </w:rPr>
            </w:pPr>
          </w:p>
        </w:tc>
        <w:tc>
          <w:tcPr>
            <w:tcW w:w="635" w:type="pct"/>
            <w:shd w:val="clear" w:color="auto" w:fill="auto"/>
          </w:tcPr>
          <w:p w14:paraId="50E6E044" w14:textId="77777777" w:rsidR="00794A02" w:rsidRPr="00930237" w:rsidRDefault="00794A02" w:rsidP="00794A02">
            <w:pPr>
              <w:pStyle w:val="Text1"/>
              <w:spacing w:before="0" w:after="0"/>
              <w:ind w:left="0"/>
              <w:rPr>
                <w:noProof/>
                <w:sz w:val="18"/>
                <w:szCs w:val="18"/>
              </w:rPr>
            </w:pPr>
            <w:r w:rsidRPr="00930237">
              <w:rPr>
                <w:noProof/>
                <w:sz w:val="18"/>
                <w:szCs w:val="18"/>
              </w:rPr>
              <w:t>9</w:t>
            </w:r>
          </w:p>
          <w:p w14:paraId="44368272" w14:textId="77777777" w:rsidR="00794A02" w:rsidRPr="00930237" w:rsidRDefault="00794A02" w:rsidP="00794A02">
            <w:pPr>
              <w:pStyle w:val="Text1"/>
              <w:spacing w:before="0" w:after="0"/>
              <w:ind w:left="0"/>
              <w:rPr>
                <w:noProof/>
                <w:sz w:val="18"/>
                <w:szCs w:val="18"/>
              </w:rPr>
            </w:pPr>
          </w:p>
        </w:tc>
      </w:tr>
      <w:tr w:rsidR="00794A02" w:rsidRPr="00930237" w14:paraId="2D58CE85" w14:textId="77777777" w:rsidTr="003155B0">
        <w:trPr>
          <w:trHeight w:val="332"/>
        </w:trPr>
        <w:tc>
          <w:tcPr>
            <w:tcW w:w="476" w:type="pct"/>
          </w:tcPr>
          <w:p w14:paraId="2FA9C622" w14:textId="77777777" w:rsidR="00794A02" w:rsidRPr="00930237" w:rsidRDefault="00794A02" w:rsidP="00794A02">
            <w:pPr>
              <w:pStyle w:val="Text1"/>
              <w:spacing w:before="0" w:after="0"/>
              <w:ind w:left="0"/>
              <w:rPr>
                <w:noProof/>
                <w:sz w:val="18"/>
                <w:szCs w:val="18"/>
              </w:rPr>
            </w:pPr>
            <w:r w:rsidRPr="00930237">
              <w:rPr>
                <w:noProof/>
                <w:sz w:val="18"/>
                <w:szCs w:val="18"/>
              </w:rPr>
              <w:t>4.3.prioritāte</w:t>
            </w:r>
          </w:p>
          <w:p w14:paraId="1F22D900" w14:textId="77777777" w:rsidR="00794A02" w:rsidRPr="00930237" w:rsidRDefault="00794A02" w:rsidP="00794A02">
            <w:pPr>
              <w:pStyle w:val="Text1"/>
              <w:spacing w:before="0" w:after="0"/>
              <w:ind w:left="0"/>
              <w:rPr>
                <w:noProof/>
                <w:sz w:val="18"/>
                <w:szCs w:val="18"/>
              </w:rPr>
            </w:pPr>
          </w:p>
        </w:tc>
        <w:tc>
          <w:tcPr>
            <w:tcW w:w="696" w:type="pct"/>
          </w:tcPr>
          <w:p w14:paraId="16EB95E4" w14:textId="77777777" w:rsidR="00794A02" w:rsidRDefault="00794A02" w:rsidP="00794A02">
            <w:pPr>
              <w:pStyle w:val="Text1"/>
              <w:spacing w:before="0" w:after="0"/>
              <w:ind w:left="0"/>
              <w:rPr>
                <w:noProof/>
                <w:sz w:val="18"/>
                <w:szCs w:val="18"/>
              </w:rPr>
            </w:pPr>
            <w:r>
              <w:rPr>
                <w:noProof/>
                <w:sz w:val="18"/>
                <w:szCs w:val="18"/>
              </w:rPr>
              <w:t>4.3.4.SAM</w:t>
            </w:r>
          </w:p>
        </w:tc>
        <w:tc>
          <w:tcPr>
            <w:tcW w:w="353" w:type="pct"/>
          </w:tcPr>
          <w:p w14:paraId="66E20AD7" w14:textId="77777777" w:rsidR="00794A02" w:rsidRPr="00634D26" w:rsidRDefault="00794A02" w:rsidP="00794A02">
            <w:pPr>
              <w:pStyle w:val="Text1"/>
              <w:spacing w:before="0" w:after="0"/>
              <w:ind w:left="0"/>
              <w:rPr>
                <w:noProof/>
                <w:sz w:val="18"/>
                <w:szCs w:val="18"/>
              </w:rPr>
            </w:pPr>
            <w:r>
              <w:rPr>
                <w:noProof/>
                <w:sz w:val="18"/>
                <w:szCs w:val="18"/>
              </w:rPr>
              <w:t>ESF</w:t>
            </w:r>
          </w:p>
        </w:tc>
        <w:tc>
          <w:tcPr>
            <w:tcW w:w="487" w:type="pct"/>
          </w:tcPr>
          <w:p w14:paraId="08C6D118" w14:textId="77777777" w:rsidR="00794A02" w:rsidRPr="00634D26" w:rsidRDefault="00794A02" w:rsidP="00794A02">
            <w:pPr>
              <w:pStyle w:val="Text1"/>
              <w:spacing w:before="0" w:after="0"/>
              <w:ind w:left="0"/>
              <w:rPr>
                <w:sz w:val="18"/>
                <w:szCs w:val="18"/>
              </w:rPr>
            </w:pPr>
            <w:r w:rsidRPr="00C75648">
              <w:rPr>
                <w:sz w:val="18"/>
                <w:szCs w:val="18"/>
              </w:rPr>
              <w:t>i.4.3.4.a</w:t>
            </w:r>
          </w:p>
        </w:tc>
        <w:tc>
          <w:tcPr>
            <w:tcW w:w="1303" w:type="pct"/>
            <w:shd w:val="clear" w:color="auto" w:fill="auto"/>
          </w:tcPr>
          <w:p w14:paraId="4E504A47" w14:textId="77777777" w:rsidR="00794A02" w:rsidRPr="00634D26" w:rsidRDefault="00794A02" w:rsidP="00794A02">
            <w:pPr>
              <w:pStyle w:val="Default"/>
              <w:spacing w:after="0" w:line="240" w:lineRule="auto"/>
              <w:jc w:val="both"/>
              <w:rPr>
                <w:color w:val="auto"/>
                <w:sz w:val="18"/>
                <w:szCs w:val="18"/>
              </w:rPr>
            </w:pPr>
            <w:r w:rsidRPr="00C75648">
              <w:rPr>
                <w:color w:val="auto"/>
                <w:sz w:val="18"/>
                <w:szCs w:val="18"/>
              </w:rPr>
              <w:t>Nevalstiskās organizācijas (NVO), kas saņēmušas atbalstu</w:t>
            </w:r>
          </w:p>
        </w:tc>
        <w:tc>
          <w:tcPr>
            <w:tcW w:w="537" w:type="pct"/>
          </w:tcPr>
          <w:p w14:paraId="793E6759" w14:textId="77777777" w:rsidR="00794A02" w:rsidRPr="00634D26" w:rsidRDefault="00794A02" w:rsidP="00794A02">
            <w:pPr>
              <w:pStyle w:val="Text1"/>
              <w:spacing w:before="0" w:after="0"/>
              <w:ind w:left="0"/>
              <w:rPr>
                <w:noProof/>
                <w:sz w:val="18"/>
                <w:szCs w:val="18"/>
              </w:rPr>
            </w:pPr>
            <w:r w:rsidRPr="00C75648">
              <w:rPr>
                <w:noProof/>
                <w:sz w:val="18"/>
                <w:szCs w:val="18"/>
              </w:rPr>
              <w:t>NVO skaits</w:t>
            </w:r>
          </w:p>
        </w:tc>
        <w:tc>
          <w:tcPr>
            <w:tcW w:w="513" w:type="pct"/>
            <w:shd w:val="clear" w:color="auto" w:fill="auto"/>
          </w:tcPr>
          <w:p w14:paraId="6A0FAE33" w14:textId="77777777" w:rsidR="00794A02" w:rsidRPr="00930237" w:rsidRDefault="00794A02" w:rsidP="00794A02">
            <w:pPr>
              <w:pStyle w:val="Text1"/>
              <w:spacing w:before="0" w:after="0"/>
              <w:ind w:left="0"/>
              <w:rPr>
                <w:noProof/>
                <w:sz w:val="18"/>
                <w:szCs w:val="18"/>
              </w:rPr>
            </w:pPr>
            <w:r>
              <w:rPr>
                <w:noProof/>
                <w:sz w:val="18"/>
                <w:szCs w:val="18"/>
              </w:rPr>
              <w:t>100</w:t>
            </w:r>
          </w:p>
        </w:tc>
        <w:tc>
          <w:tcPr>
            <w:tcW w:w="635" w:type="pct"/>
            <w:shd w:val="clear" w:color="auto" w:fill="auto"/>
          </w:tcPr>
          <w:p w14:paraId="769AD7E1" w14:textId="77777777" w:rsidR="00794A02" w:rsidRPr="00930237" w:rsidDel="00242AC2" w:rsidRDefault="00794A02" w:rsidP="00794A02">
            <w:pPr>
              <w:pStyle w:val="Text1"/>
              <w:spacing w:before="0" w:after="0"/>
              <w:ind w:left="0"/>
              <w:rPr>
                <w:noProof/>
                <w:sz w:val="18"/>
                <w:szCs w:val="18"/>
              </w:rPr>
            </w:pPr>
            <w:r>
              <w:rPr>
                <w:noProof/>
                <w:sz w:val="18"/>
                <w:szCs w:val="18"/>
              </w:rPr>
              <w:t>250</w:t>
            </w:r>
          </w:p>
        </w:tc>
      </w:tr>
      <w:tr w:rsidR="00794A02" w:rsidRPr="00930237" w14:paraId="4A27AFBA" w14:textId="77777777" w:rsidTr="003155B0">
        <w:trPr>
          <w:trHeight w:val="332"/>
        </w:trPr>
        <w:tc>
          <w:tcPr>
            <w:tcW w:w="476" w:type="pct"/>
          </w:tcPr>
          <w:p w14:paraId="42F7A0DA" w14:textId="77777777" w:rsidR="00794A02" w:rsidRPr="00930237" w:rsidRDefault="00794A02" w:rsidP="00794A02">
            <w:pPr>
              <w:pStyle w:val="Text1"/>
              <w:spacing w:before="0" w:after="0"/>
              <w:ind w:left="0"/>
              <w:rPr>
                <w:noProof/>
                <w:sz w:val="18"/>
                <w:szCs w:val="18"/>
              </w:rPr>
            </w:pPr>
            <w:r w:rsidRPr="00930237">
              <w:rPr>
                <w:noProof/>
                <w:sz w:val="18"/>
                <w:szCs w:val="18"/>
              </w:rPr>
              <w:t>4.3.prioritāte</w:t>
            </w:r>
          </w:p>
          <w:p w14:paraId="30E2B18C" w14:textId="77777777" w:rsidR="00794A02" w:rsidRPr="00930237" w:rsidRDefault="00794A02" w:rsidP="00794A02">
            <w:pPr>
              <w:pStyle w:val="Text1"/>
              <w:spacing w:before="0" w:after="0"/>
              <w:ind w:left="0"/>
              <w:rPr>
                <w:noProof/>
                <w:sz w:val="18"/>
                <w:szCs w:val="18"/>
              </w:rPr>
            </w:pPr>
          </w:p>
        </w:tc>
        <w:tc>
          <w:tcPr>
            <w:tcW w:w="696" w:type="pct"/>
          </w:tcPr>
          <w:p w14:paraId="03C22659" w14:textId="77777777" w:rsidR="00794A02" w:rsidRDefault="00794A02" w:rsidP="00794A02">
            <w:pPr>
              <w:pStyle w:val="Text1"/>
              <w:spacing w:before="0" w:after="0"/>
              <w:ind w:left="0"/>
              <w:rPr>
                <w:noProof/>
                <w:sz w:val="18"/>
                <w:szCs w:val="18"/>
              </w:rPr>
            </w:pPr>
            <w:r>
              <w:rPr>
                <w:noProof/>
                <w:sz w:val="18"/>
                <w:szCs w:val="18"/>
              </w:rPr>
              <w:t>4.3.4.SAM</w:t>
            </w:r>
          </w:p>
        </w:tc>
        <w:tc>
          <w:tcPr>
            <w:tcW w:w="353" w:type="pct"/>
          </w:tcPr>
          <w:p w14:paraId="4A45D9AE" w14:textId="77777777" w:rsidR="00794A02" w:rsidRDefault="00794A02" w:rsidP="00794A02">
            <w:pPr>
              <w:pStyle w:val="Text1"/>
              <w:spacing w:before="0" w:after="0"/>
              <w:ind w:left="0"/>
              <w:rPr>
                <w:noProof/>
                <w:sz w:val="18"/>
                <w:szCs w:val="18"/>
              </w:rPr>
            </w:pPr>
            <w:r>
              <w:rPr>
                <w:noProof/>
                <w:sz w:val="18"/>
                <w:szCs w:val="18"/>
              </w:rPr>
              <w:t>ESF</w:t>
            </w:r>
          </w:p>
        </w:tc>
        <w:tc>
          <w:tcPr>
            <w:tcW w:w="487" w:type="pct"/>
          </w:tcPr>
          <w:p w14:paraId="74BCCEA3" w14:textId="77777777" w:rsidR="00794A02" w:rsidRPr="00C75648" w:rsidRDefault="00794A02" w:rsidP="00794A02">
            <w:pPr>
              <w:pStyle w:val="Text1"/>
              <w:spacing w:before="0" w:after="0"/>
              <w:ind w:left="0"/>
              <w:rPr>
                <w:sz w:val="18"/>
                <w:szCs w:val="18"/>
              </w:rPr>
            </w:pPr>
            <w:r w:rsidRPr="00C75648">
              <w:rPr>
                <w:sz w:val="18"/>
                <w:szCs w:val="18"/>
              </w:rPr>
              <w:t>i.4.3.4.b</w:t>
            </w:r>
          </w:p>
        </w:tc>
        <w:tc>
          <w:tcPr>
            <w:tcW w:w="1303" w:type="pct"/>
            <w:shd w:val="clear" w:color="auto" w:fill="auto"/>
          </w:tcPr>
          <w:p w14:paraId="0A5028AC" w14:textId="77777777" w:rsidR="00794A02" w:rsidRPr="00C75648" w:rsidRDefault="00794A02" w:rsidP="00794A02">
            <w:pPr>
              <w:pStyle w:val="Default"/>
              <w:spacing w:after="0" w:line="240" w:lineRule="auto"/>
              <w:jc w:val="both"/>
              <w:rPr>
                <w:color w:val="auto"/>
                <w:sz w:val="18"/>
                <w:szCs w:val="18"/>
              </w:rPr>
            </w:pPr>
            <w:r w:rsidRPr="00C75648">
              <w:rPr>
                <w:color w:val="auto"/>
                <w:sz w:val="18"/>
                <w:szCs w:val="18"/>
              </w:rPr>
              <w:t>Sociālo partneru skaits, kas saņēmuši atbalstu</w:t>
            </w:r>
          </w:p>
        </w:tc>
        <w:tc>
          <w:tcPr>
            <w:tcW w:w="537" w:type="pct"/>
          </w:tcPr>
          <w:p w14:paraId="4034FFDD" w14:textId="77777777" w:rsidR="00794A02" w:rsidRPr="00C75648" w:rsidRDefault="00794A02" w:rsidP="00794A02">
            <w:pPr>
              <w:pStyle w:val="Text1"/>
              <w:spacing w:before="0" w:after="0"/>
              <w:ind w:left="0"/>
              <w:rPr>
                <w:noProof/>
                <w:sz w:val="18"/>
                <w:szCs w:val="18"/>
              </w:rPr>
            </w:pPr>
            <w:r w:rsidRPr="00C75648">
              <w:rPr>
                <w:noProof/>
                <w:sz w:val="18"/>
                <w:szCs w:val="18"/>
              </w:rPr>
              <w:t>Organizāciju skaits</w:t>
            </w:r>
          </w:p>
        </w:tc>
        <w:tc>
          <w:tcPr>
            <w:tcW w:w="513" w:type="pct"/>
            <w:shd w:val="clear" w:color="auto" w:fill="auto"/>
          </w:tcPr>
          <w:p w14:paraId="4C488FA9" w14:textId="77777777" w:rsidR="00794A02" w:rsidRDefault="00794A02" w:rsidP="00794A02">
            <w:pPr>
              <w:pStyle w:val="Text1"/>
              <w:spacing w:before="0" w:after="0"/>
              <w:ind w:left="0"/>
              <w:rPr>
                <w:noProof/>
                <w:sz w:val="18"/>
                <w:szCs w:val="18"/>
              </w:rPr>
            </w:pPr>
            <w:r>
              <w:rPr>
                <w:noProof/>
                <w:sz w:val="18"/>
                <w:szCs w:val="18"/>
              </w:rPr>
              <w:t>2</w:t>
            </w:r>
          </w:p>
        </w:tc>
        <w:tc>
          <w:tcPr>
            <w:tcW w:w="635" w:type="pct"/>
            <w:shd w:val="clear" w:color="auto" w:fill="auto"/>
          </w:tcPr>
          <w:p w14:paraId="16BC2016" w14:textId="77777777" w:rsidR="00794A02" w:rsidRDefault="00794A02" w:rsidP="00794A02">
            <w:pPr>
              <w:pStyle w:val="Text1"/>
              <w:spacing w:before="0" w:after="0"/>
              <w:ind w:left="0"/>
              <w:rPr>
                <w:noProof/>
                <w:sz w:val="18"/>
                <w:szCs w:val="18"/>
              </w:rPr>
            </w:pPr>
            <w:r>
              <w:rPr>
                <w:noProof/>
                <w:sz w:val="18"/>
                <w:szCs w:val="18"/>
              </w:rPr>
              <w:t>2</w:t>
            </w:r>
          </w:p>
        </w:tc>
      </w:tr>
      <w:tr w:rsidR="00794A02" w:rsidRPr="00930237" w14:paraId="196ED121" w14:textId="77777777" w:rsidTr="003155B0">
        <w:trPr>
          <w:trHeight w:val="332"/>
        </w:trPr>
        <w:tc>
          <w:tcPr>
            <w:tcW w:w="476" w:type="pct"/>
          </w:tcPr>
          <w:p w14:paraId="6F8D5433" w14:textId="77777777" w:rsidR="00794A02" w:rsidRPr="00930237" w:rsidRDefault="00794A02" w:rsidP="00794A02">
            <w:pPr>
              <w:pStyle w:val="Text1"/>
              <w:spacing w:before="0" w:after="0"/>
              <w:ind w:left="0"/>
              <w:rPr>
                <w:noProof/>
                <w:sz w:val="18"/>
                <w:szCs w:val="18"/>
              </w:rPr>
            </w:pPr>
            <w:r w:rsidRPr="00930237">
              <w:rPr>
                <w:noProof/>
                <w:sz w:val="18"/>
                <w:szCs w:val="18"/>
              </w:rPr>
              <w:t>4.3.prioritāte</w:t>
            </w:r>
          </w:p>
          <w:p w14:paraId="1BE41C5E" w14:textId="77777777" w:rsidR="00794A02" w:rsidRPr="00930237" w:rsidRDefault="00794A02" w:rsidP="00794A02">
            <w:pPr>
              <w:pStyle w:val="Text1"/>
              <w:spacing w:before="0" w:after="0"/>
              <w:ind w:left="0"/>
              <w:rPr>
                <w:noProof/>
                <w:sz w:val="18"/>
                <w:szCs w:val="18"/>
              </w:rPr>
            </w:pPr>
          </w:p>
        </w:tc>
        <w:tc>
          <w:tcPr>
            <w:tcW w:w="696" w:type="pct"/>
          </w:tcPr>
          <w:p w14:paraId="19211519" w14:textId="77777777" w:rsidR="00794A02" w:rsidRDefault="00794A02" w:rsidP="00794A02">
            <w:pPr>
              <w:pStyle w:val="Text1"/>
              <w:spacing w:before="0" w:after="0"/>
              <w:ind w:left="0"/>
              <w:rPr>
                <w:noProof/>
                <w:sz w:val="18"/>
                <w:szCs w:val="18"/>
              </w:rPr>
            </w:pPr>
            <w:r>
              <w:rPr>
                <w:noProof/>
                <w:sz w:val="18"/>
                <w:szCs w:val="18"/>
              </w:rPr>
              <w:t>4.3.4.SAM</w:t>
            </w:r>
          </w:p>
        </w:tc>
        <w:tc>
          <w:tcPr>
            <w:tcW w:w="353" w:type="pct"/>
          </w:tcPr>
          <w:p w14:paraId="2533167B" w14:textId="77777777" w:rsidR="00794A02" w:rsidRDefault="00794A02" w:rsidP="00794A02">
            <w:pPr>
              <w:pStyle w:val="Text1"/>
              <w:spacing w:before="0" w:after="0"/>
              <w:ind w:left="0"/>
              <w:rPr>
                <w:noProof/>
                <w:sz w:val="18"/>
                <w:szCs w:val="18"/>
              </w:rPr>
            </w:pPr>
            <w:r>
              <w:rPr>
                <w:noProof/>
                <w:sz w:val="18"/>
                <w:szCs w:val="18"/>
              </w:rPr>
              <w:t>ESF</w:t>
            </w:r>
          </w:p>
        </w:tc>
        <w:tc>
          <w:tcPr>
            <w:tcW w:w="487" w:type="pct"/>
          </w:tcPr>
          <w:p w14:paraId="33F24194" w14:textId="77777777" w:rsidR="00794A02" w:rsidRPr="00C75648" w:rsidRDefault="00794A02" w:rsidP="00794A02">
            <w:pPr>
              <w:pStyle w:val="Text1"/>
              <w:spacing w:before="0" w:after="0"/>
              <w:ind w:left="0"/>
              <w:rPr>
                <w:sz w:val="18"/>
                <w:szCs w:val="18"/>
              </w:rPr>
            </w:pPr>
            <w:r>
              <w:rPr>
                <w:sz w:val="18"/>
                <w:szCs w:val="18"/>
              </w:rPr>
              <w:t>i.4.3.4.c</w:t>
            </w:r>
          </w:p>
        </w:tc>
        <w:tc>
          <w:tcPr>
            <w:tcW w:w="1303" w:type="pct"/>
            <w:shd w:val="clear" w:color="auto" w:fill="auto"/>
          </w:tcPr>
          <w:p w14:paraId="6FCA9CE2" w14:textId="77777777" w:rsidR="00794A02" w:rsidRPr="00C75648" w:rsidRDefault="00794A02" w:rsidP="00794A02">
            <w:pPr>
              <w:pStyle w:val="Default"/>
              <w:spacing w:after="0" w:line="240" w:lineRule="auto"/>
              <w:jc w:val="both"/>
              <w:rPr>
                <w:color w:val="auto"/>
                <w:sz w:val="18"/>
                <w:szCs w:val="18"/>
              </w:rPr>
            </w:pPr>
            <w:r w:rsidRPr="00C75648">
              <w:rPr>
                <w:color w:val="auto"/>
                <w:sz w:val="18"/>
                <w:szCs w:val="18"/>
              </w:rPr>
              <w:t>Nodarbināto / biedru skaits, kas piedalījušies apmācībās no darba devēju puses</w:t>
            </w:r>
          </w:p>
        </w:tc>
        <w:tc>
          <w:tcPr>
            <w:tcW w:w="537" w:type="pct"/>
          </w:tcPr>
          <w:p w14:paraId="4AF18D4D" w14:textId="77777777" w:rsidR="00794A02" w:rsidRPr="00C75648" w:rsidRDefault="00794A02" w:rsidP="00794A02">
            <w:pPr>
              <w:pStyle w:val="Text1"/>
              <w:spacing w:before="0" w:after="0"/>
              <w:ind w:left="0"/>
              <w:rPr>
                <w:noProof/>
                <w:sz w:val="18"/>
                <w:szCs w:val="18"/>
              </w:rPr>
            </w:pPr>
            <w:r>
              <w:rPr>
                <w:noProof/>
                <w:sz w:val="18"/>
                <w:szCs w:val="18"/>
              </w:rPr>
              <w:t>P</w:t>
            </w:r>
            <w:r w:rsidRPr="00C75648">
              <w:rPr>
                <w:noProof/>
                <w:sz w:val="18"/>
                <w:szCs w:val="18"/>
              </w:rPr>
              <w:t>ersonu skaits</w:t>
            </w:r>
          </w:p>
        </w:tc>
        <w:tc>
          <w:tcPr>
            <w:tcW w:w="513" w:type="pct"/>
            <w:shd w:val="clear" w:color="auto" w:fill="auto"/>
          </w:tcPr>
          <w:p w14:paraId="2FC69EE9" w14:textId="77777777" w:rsidR="00794A02" w:rsidRDefault="00794A02" w:rsidP="00794A02">
            <w:pPr>
              <w:pStyle w:val="Text1"/>
              <w:spacing w:before="0" w:after="0"/>
              <w:ind w:left="0"/>
              <w:rPr>
                <w:noProof/>
                <w:sz w:val="18"/>
                <w:szCs w:val="18"/>
              </w:rPr>
            </w:pPr>
            <w:r>
              <w:rPr>
                <w:noProof/>
                <w:sz w:val="18"/>
                <w:szCs w:val="18"/>
              </w:rPr>
              <w:t>500</w:t>
            </w:r>
          </w:p>
        </w:tc>
        <w:tc>
          <w:tcPr>
            <w:tcW w:w="635" w:type="pct"/>
            <w:shd w:val="clear" w:color="auto" w:fill="auto"/>
          </w:tcPr>
          <w:p w14:paraId="71CB259C" w14:textId="77777777" w:rsidR="00794A02" w:rsidRDefault="00794A02" w:rsidP="00794A02">
            <w:pPr>
              <w:pStyle w:val="Text1"/>
              <w:spacing w:before="0" w:after="0"/>
              <w:ind w:left="0"/>
              <w:rPr>
                <w:noProof/>
                <w:sz w:val="18"/>
                <w:szCs w:val="18"/>
              </w:rPr>
            </w:pPr>
            <w:r>
              <w:rPr>
                <w:noProof/>
                <w:sz w:val="18"/>
                <w:szCs w:val="18"/>
              </w:rPr>
              <w:t>1500</w:t>
            </w:r>
          </w:p>
        </w:tc>
      </w:tr>
      <w:tr w:rsidR="00794A02" w:rsidRPr="00930237" w14:paraId="552F11DE" w14:textId="77777777" w:rsidTr="003155B0">
        <w:trPr>
          <w:trHeight w:val="332"/>
        </w:trPr>
        <w:tc>
          <w:tcPr>
            <w:tcW w:w="476" w:type="pct"/>
          </w:tcPr>
          <w:p w14:paraId="4B59916A" w14:textId="77777777" w:rsidR="00794A02" w:rsidRPr="00930237" w:rsidRDefault="00794A02" w:rsidP="00794A02">
            <w:pPr>
              <w:pStyle w:val="Text1"/>
              <w:spacing w:before="0" w:after="0"/>
              <w:ind w:left="0"/>
              <w:rPr>
                <w:noProof/>
                <w:sz w:val="18"/>
                <w:szCs w:val="18"/>
              </w:rPr>
            </w:pPr>
            <w:r w:rsidRPr="00930237">
              <w:rPr>
                <w:noProof/>
                <w:sz w:val="18"/>
                <w:szCs w:val="18"/>
              </w:rPr>
              <w:t>4.3.prioritāte</w:t>
            </w:r>
          </w:p>
          <w:p w14:paraId="462C72B6" w14:textId="77777777" w:rsidR="00794A02" w:rsidRPr="00930237" w:rsidRDefault="00794A02" w:rsidP="00794A02">
            <w:pPr>
              <w:pStyle w:val="Text1"/>
              <w:spacing w:before="0" w:after="0"/>
              <w:ind w:left="0"/>
              <w:rPr>
                <w:noProof/>
                <w:sz w:val="18"/>
                <w:szCs w:val="18"/>
              </w:rPr>
            </w:pPr>
          </w:p>
        </w:tc>
        <w:tc>
          <w:tcPr>
            <w:tcW w:w="696" w:type="pct"/>
          </w:tcPr>
          <w:p w14:paraId="32399CD7" w14:textId="77777777" w:rsidR="00794A02" w:rsidRDefault="00794A02" w:rsidP="00794A02">
            <w:pPr>
              <w:pStyle w:val="Text1"/>
              <w:spacing w:before="0" w:after="0"/>
              <w:ind w:left="0"/>
              <w:rPr>
                <w:noProof/>
                <w:sz w:val="18"/>
                <w:szCs w:val="18"/>
              </w:rPr>
            </w:pPr>
            <w:r>
              <w:rPr>
                <w:noProof/>
                <w:sz w:val="18"/>
                <w:szCs w:val="18"/>
              </w:rPr>
              <w:t>4.3.4.SAM</w:t>
            </w:r>
          </w:p>
        </w:tc>
        <w:tc>
          <w:tcPr>
            <w:tcW w:w="353" w:type="pct"/>
          </w:tcPr>
          <w:p w14:paraId="6742AD15" w14:textId="77777777" w:rsidR="00794A02" w:rsidRDefault="00794A02" w:rsidP="00794A02">
            <w:pPr>
              <w:pStyle w:val="Text1"/>
              <w:spacing w:before="0" w:after="0"/>
              <w:ind w:left="0"/>
              <w:rPr>
                <w:noProof/>
                <w:sz w:val="18"/>
                <w:szCs w:val="18"/>
              </w:rPr>
            </w:pPr>
            <w:r>
              <w:rPr>
                <w:noProof/>
                <w:sz w:val="18"/>
                <w:szCs w:val="18"/>
              </w:rPr>
              <w:t>ESF</w:t>
            </w:r>
          </w:p>
        </w:tc>
        <w:tc>
          <w:tcPr>
            <w:tcW w:w="487" w:type="pct"/>
          </w:tcPr>
          <w:p w14:paraId="03F6FBB0" w14:textId="77777777" w:rsidR="00794A02" w:rsidRPr="00C75648" w:rsidRDefault="00794A02" w:rsidP="00794A02">
            <w:pPr>
              <w:pStyle w:val="Text1"/>
              <w:spacing w:before="0" w:after="0"/>
              <w:ind w:left="0"/>
              <w:rPr>
                <w:sz w:val="18"/>
                <w:szCs w:val="18"/>
              </w:rPr>
            </w:pPr>
            <w:r>
              <w:rPr>
                <w:sz w:val="18"/>
                <w:szCs w:val="18"/>
              </w:rPr>
              <w:t>i.4.3.4.d</w:t>
            </w:r>
          </w:p>
        </w:tc>
        <w:tc>
          <w:tcPr>
            <w:tcW w:w="1303" w:type="pct"/>
            <w:shd w:val="clear" w:color="auto" w:fill="auto"/>
          </w:tcPr>
          <w:p w14:paraId="3522487C" w14:textId="77777777" w:rsidR="00794A02" w:rsidRPr="00C75648" w:rsidRDefault="00794A02" w:rsidP="00794A02">
            <w:pPr>
              <w:pStyle w:val="Default"/>
              <w:spacing w:after="0" w:line="240" w:lineRule="auto"/>
              <w:jc w:val="both"/>
              <w:rPr>
                <w:color w:val="auto"/>
                <w:sz w:val="18"/>
                <w:szCs w:val="18"/>
              </w:rPr>
            </w:pPr>
            <w:r w:rsidRPr="00C75648">
              <w:rPr>
                <w:color w:val="auto"/>
                <w:sz w:val="18"/>
                <w:szCs w:val="18"/>
              </w:rPr>
              <w:t>Nodarbināto / biedru skaits, kas piedalījušies apmācībās no darba ņēmēju puses</w:t>
            </w:r>
          </w:p>
        </w:tc>
        <w:tc>
          <w:tcPr>
            <w:tcW w:w="537" w:type="pct"/>
          </w:tcPr>
          <w:p w14:paraId="7F4383B3" w14:textId="77777777" w:rsidR="00794A02" w:rsidRPr="00C75648" w:rsidRDefault="00794A02" w:rsidP="00794A02">
            <w:pPr>
              <w:pStyle w:val="Text1"/>
              <w:spacing w:before="0" w:after="0"/>
              <w:ind w:left="0"/>
              <w:rPr>
                <w:noProof/>
                <w:sz w:val="18"/>
                <w:szCs w:val="18"/>
              </w:rPr>
            </w:pPr>
            <w:r>
              <w:rPr>
                <w:noProof/>
                <w:sz w:val="18"/>
                <w:szCs w:val="18"/>
              </w:rPr>
              <w:t>P</w:t>
            </w:r>
            <w:r w:rsidRPr="00C75648">
              <w:rPr>
                <w:noProof/>
                <w:sz w:val="18"/>
                <w:szCs w:val="18"/>
              </w:rPr>
              <w:t>ersonu skaits</w:t>
            </w:r>
          </w:p>
        </w:tc>
        <w:tc>
          <w:tcPr>
            <w:tcW w:w="513" w:type="pct"/>
            <w:shd w:val="clear" w:color="auto" w:fill="auto"/>
          </w:tcPr>
          <w:p w14:paraId="5C20753E" w14:textId="77777777" w:rsidR="00794A02" w:rsidRDefault="00794A02" w:rsidP="00794A02">
            <w:pPr>
              <w:pStyle w:val="Text1"/>
              <w:spacing w:before="0" w:after="0"/>
              <w:ind w:left="0"/>
              <w:rPr>
                <w:noProof/>
                <w:sz w:val="18"/>
                <w:szCs w:val="18"/>
              </w:rPr>
            </w:pPr>
            <w:r>
              <w:rPr>
                <w:noProof/>
                <w:sz w:val="18"/>
                <w:szCs w:val="18"/>
              </w:rPr>
              <w:t>500</w:t>
            </w:r>
          </w:p>
        </w:tc>
        <w:tc>
          <w:tcPr>
            <w:tcW w:w="635" w:type="pct"/>
            <w:shd w:val="clear" w:color="auto" w:fill="auto"/>
          </w:tcPr>
          <w:p w14:paraId="643EB83E" w14:textId="77777777" w:rsidR="00794A02" w:rsidRDefault="00794A02" w:rsidP="00794A02">
            <w:pPr>
              <w:pStyle w:val="Text1"/>
              <w:spacing w:before="0" w:after="0"/>
              <w:ind w:left="0"/>
              <w:rPr>
                <w:noProof/>
                <w:sz w:val="18"/>
                <w:szCs w:val="18"/>
              </w:rPr>
            </w:pPr>
            <w:r>
              <w:rPr>
                <w:noProof/>
                <w:sz w:val="18"/>
                <w:szCs w:val="18"/>
              </w:rPr>
              <w:t>1500</w:t>
            </w:r>
          </w:p>
        </w:tc>
      </w:tr>
    </w:tbl>
    <w:p w14:paraId="09CD4858" w14:textId="77777777" w:rsidR="003155B0" w:rsidRPr="00930237" w:rsidRDefault="003155B0" w:rsidP="003155B0">
      <w:pPr>
        <w:spacing w:before="0" w:after="0"/>
        <w:rPr>
          <w:rFonts w:eastAsia="Times New Roman"/>
          <w:b/>
          <w:iCs/>
          <w:noProof/>
          <w:sz w:val="20"/>
        </w:rPr>
      </w:pPr>
    </w:p>
    <w:p w14:paraId="235D1184" w14:textId="77777777" w:rsidR="003155B0" w:rsidRPr="00930237" w:rsidRDefault="003155B0" w:rsidP="003155B0">
      <w:pPr>
        <w:spacing w:before="0" w:after="0"/>
        <w:rPr>
          <w:rFonts w:eastAsia="Times New Roman"/>
          <w:iCs/>
          <w:noProof/>
          <w:sz w:val="20"/>
        </w:rPr>
      </w:pPr>
      <w:r w:rsidRPr="00930237">
        <w:rPr>
          <w:rFonts w:eastAsia="Times New Roman"/>
          <w:iCs/>
          <w:noProof/>
          <w:sz w:val="20"/>
        </w:rPr>
        <w:t>* Rādītāju sasniedzamās vērtības tiks definētas, kad būs pieejami veikto izvērtējumu rezultāti, kā arī attiecīgo nozaru plānošanas dokumentu izstrādes un saskaņošanas ietvaros.</w:t>
      </w:r>
    </w:p>
    <w:p w14:paraId="73AB3486" w14:textId="5C5428C0" w:rsidR="003155B0" w:rsidRDefault="003155B0" w:rsidP="005156FC">
      <w:pPr>
        <w:spacing w:before="0" w:after="0"/>
        <w:rPr>
          <w:rFonts w:eastAsia="Times New Roman"/>
          <w:b/>
          <w:iCs/>
          <w:noProof/>
          <w:sz w:val="20"/>
        </w:rPr>
      </w:pPr>
    </w:p>
    <w:p w14:paraId="23AC34C7" w14:textId="77777777" w:rsidR="005156FC" w:rsidRPr="00930237" w:rsidRDefault="005156FC" w:rsidP="005156FC">
      <w:pPr>
        <w:spacing w:before="0" w:after="0"/>
        <w:rPr>
          <w:rFonts w:eastAsia="Times New Roman"/>
          <w:b/>
          <w:iCs/>
          <w:noProof/>
          <w:sz w:val="20"/>
        </w:rPr>
      </w:pPr>
    </w:p>
    <w:p w14:paraId="0A0AE541" w14:textId="744AEDB9" w:rsidR="003155B0" w:rsidRPr="00930237" w:rsidRDefault="00B471B0" w:rsidP="005156FC">
      <w:pPr>
        <w:pStyle w:val="Heading3"/>
        <w:numPr>
          <w:ilvl w:val="0"/>
          <w:numId w:val="0"/>
        </w:numPr>
        <w:spacing w:after="0"/>
        <w:rPr>
          <w:b/>
          <w:i w:val="0"/>
          <w:noProof/>
        </w:rPr>
      </w:pPr>
      <w:bookmarkStart w:id="44" w:name="_Toc69125419"/>
      <w:r>
        <w:rPr>
          <w:b/>
          <w:i w:val="0"/>
          <w:noProof/>
        </w:rPr>
        <w:t>9</w:t>
      </w:r>
      <w:r w:rsidR="003155B0" w:rsidRPr="00930237">
        <w:rPr>
          <w:b/>
          <w:i w:val="0"/>
          <w:noProof/>
        </w:rPr>
        <w:t>.tabula</w:t>
      </w:r>
      <w:r w:rsidR="005156FC">
        <w:rPr>
          <w:b/>
          <w:i w:val="0"/>
          <w:noProof/>
        </w:rPr>
        <w:t xml:space="preserve"> (3)</w:t>
      </w:r>
      <w:r w:rsidR="003155B0" w:rsidRPr="00930237">
        <w:rPr>
          <w:b/>
          <w:i w:val="0"/>
          <w:noProof/>
        </w:rPr>
        <w:t xml:space="preserve"> </w:t>
      </w:r>
      <w:r>
        <w:rPr>
          <w:b/>
          <w:i w:val="0"/>
          <w:noProof/>
        </w:rPr>
        <w:t>4.Politiskā mērķa r</w:t>
      </w:r>
      <w:r w:rsidR="003155B0" w:rsidRPr="00930237">
        <w:rPr>
          <w:b/>
          <w:i w:val="0"/>
          <w:noProof/>
        </w:rPr>
        <w:t>ezultātu rādītāji</w:t>
      </w:r>
      <w:r w:rsidR="003155B0" w:rsidRPr="00930237">
        <w:rPr>
          <w:rStyle w:val="FootnoteReference"/>
          <w:b/>
          <w:i w:val="0"/>
          <w:noProof/>
        </w:rPr>
        <w:footnoteReference w:id="124"/>
      </w:r>
      <w:bookmarkEnd w:id="44"/>
    </w:p>
    <w:p w14:paraId="5F09A9BB" w14:textId="77777777" w:rsidR="003155B0" w:rsidRPr="00930237" w:rsidRDefault="003155B0" w:rsidP="005156FC">
      <w:pPr>
        <w:spacing w:before="0" w:after="0"/>
        <w:rPr>
          <w:rFonts w:eastAsia="Times New Roman"/>
          <w:b/>
          <w:iCs/>
          <w:noProof/>
          <w:sz w:val="20"/>
        </w:rPr>
      </w:pPr>
    </w:p>
    <w:tbl>
      <w:tblP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2"/>
        <w:gridCol w:w="1151"/>
        <w:gridCol w:w="835"/>
        <w:gridCol w:w="997"/>
        <w:gridCol w:w="2214"/>
        <w:gridCol w:w="1289"/>
        <w:gridCol w:w="1041"/>
        <w:gridCol w:w="1217"/>
        <w:gridCol w:w="1382"/>
        <w:gridCol w:w="1356"/>
        <w:gridCol w:w="1700"/>
      </w:tblGrid>
      <w:tr w:rsidR="003155B0" w:rsidRPr="00BF555E" w14:paraId="255BD9E6" w14:textId="77777777" w:rsidTr="003155B0">
        <w:trPr>
          <w:trHeight w:val="282"/>
          <w:tblHeader/>
        </w:trPr>
        <w:tc>
          <w:tcPr>
            <w:tcW w:w="440" w:type="pct"/>
            <w:shd w:val="clear" w:color="auto" w:fill="D9D9D9" w:themeFill="background1" w:themeFillShade="D9"/>
            <w:vAlign w:val="center"/>
          </w:tcPr>
          <w:p w14:paraId="10C150D7" w14:textId="77777777" w:rsidR="003155B0" w:rsidRPr="00BF555E" w:rsidRDefault="003155B0" w:rsidP="003155B0">
            <w:pPr>
              <w:pStyle w:val="Text1"/>
              <w:spacing w:before="0" w:after="0"/>
              <w:ind w:left="0"/>
              <w:jc w:val="center"/>
              <w:rPr>
                <w:b/>
                <w:noProof/>
                <w:sz w:val="18"/>
                <w:szCs w:val="18"/>
              </w:rPr>
            </w:pPr>
            <w:r w:rsidRPr="00BF555E">
              <w:rPr>
                <w:b/>
                <w:noProof/>
                <w:sz w:val="18"/>
                <w:szCs w:val="18"/>
              </w:rPr>
              <w:t>Prioritāte</w:t>
            </w:r>
          </w:p>
        </w:tc>
        <w:tc>
          <w:tcPr>
            <w:tcW w:w="398" w:type="pct"/>
            <w:shd w:val="clear" w:color="auto" w:fill="D9D9D9" w:themeFill="background1" w:themeFillShade="D9"/>
            <w:vAlign w:val="center"/>
          </w:tcPr>
          <w:p w14:paraId="6346FCC7" w14:textId="77777777" w:rsidR="003155B0" w:rsidRPr="00BF555E" w:rsidRDefault="003155B0" w:rsidP="003155B0">
            <w:pPr>
              <w:pStyle w:val="Text1"/>
              <w:spacing w:before="0" w:after="0"/>
              <w:ind w:left="0"/>
              <w:jc w:val="center"/>
              <w:rPr>
                <w:b/>
                <w:noProof/>
                <w:sz w:val="18"/>
                <w:szCs w:val="18"/>
              </w:rPr>
            </w:pPr>
            <w:r w:rsidRPr="00BF555E">
              <w:rPr>
                <w:b/>
                <w:noProof/>
                <w:sz w:val="18"/>
                <w:szCs w:val="18"/>
              </w:rPr>
              <w:t>SAM</w:t>
            </w:r>
          </w:p>
        </w:tc>
        <w:tc>
          <w:tcPr>
            <w:tcW w:w="289" w:type="pct"/>
            <w:shd w:val="clear" w:color="auto" w:fill="D9D9D9" w:themeFill="background1" w:themeFillShade="D9"/>
            <w:vAlign w:val="center"/>
          </w:tcPr>
          <w:p w14:paraId="355C52BC" w14:textId="77777777" w:rsidR="003155B0" w:rsidRPr="00BF555E" w:rsidRDefault="003155B0" w:rsidP="003155B0">
            <w:pPr>
              <w:pStyle w:val="Text1"/>
              <w:spacing w:before="0" w:after="0"/>
              <w:ind w:left="0"/>
              <w:jc w:val="center"/>
              <w:rPr>
                <w:b/>
                <w:noProof/>
                <w:sz w:val="18"/>
                <w:szCs w:val="18"/>
              </w:rPr>
            </w:pPr>
            <w:r w:rsidRPr="00BF555E">
              <w:rPr>
                <w:b/>
                <w:noProof/>
                <w:sz w:val="18"/>
                <w:szCs w:val="18"/>
              </w:rPr>
              <w:t>Fonds</w:t>
            </w:r>
          </w:p>
        </w:tc>
        <w:tc>
          <w:tcPr>
            <w:tcW w:w="345" w:type="pct"/>
            <w:shd w:val="clear" w:color="auto" w:fill="D9D9D9" w:themeFill="background1" w:themeFillShade="D9"/>
            <w:vAlign w:val="center"/>
          </w:tcPr>
          <w:p w14:paraId="31DEB41D" w14:textId="77777777" w:rsidR="003155B0" w:rsidRPr="00BF555E" w:rsidRDefault="003155B0" w:rsidP="003155B0">
            <w:pPr>
              <w:pStyle w:val="Text1"/>
              <w:spacing w:before="0" w:after="0"/>
              <w:ind w:left="0"/>
              <w:jc w:val="center"/>
              <w:rPr>
                <w:b/>
                <w:noProof/>
                <w:sz w:val="18"/>
                <w:szCs w:val="18"/>
              </w:rPr>
            </w:pPr>
            <w:r w:rsidRPr="00BF555E">
              <w:rPr>
                <w:b/>
                <w:noProof/>
                <w:sz w:val="18"/>
                <w:szCs w:val="18"/>
              </w:rPr>
              <w:t xml:space="preserve">ID </w:t>
            </w:r>
          </w:p>
        </w:tc>
        <w:tc>
          <w:tcPr>
            <w:tcW w:w="766" w:type="pct"/>
            <w:shd w:val="clear" w:color="auto" w:fill="D9D9D9" w:themeFill="background1" w:themeFillShade="D9"/>
            <w:vAlign w:val="center"/>
          </w:tcPr>
          <w:p w14:paraId="47B090C1" w14:textId="77777777" w:rsidR="003155B0" w:rsidRPr="00BF555E" w:rsidRDefault="003155B0" w:rsidP="003155B0">
            <w:pPr>
              <w:pStyle w:val="Text1"/>
              <w:spacing w:before="0" w:after="0"/>
              <w:ind w:left="0"/>
              <w:jc w:val="center"/>
              <w:rPr>
                <w:b/>
                <w:noProof/>
                <w:sz w:val="18"/>
                <w:szCs w:val="18"/>
              </w:rPr>
            </w:pPr>
            <w:r w:rsidRPr="00BF555E">
              <w:rPr>
                <w:b/>
                <w:noProof/>
                <w:sz w:val="18"/>
                <w:szCs w:val="18"/>
              </w:rPr>
              <w:t xml:space="preserve">Rādītājs </w:t>
            </w:r>
          </w:p>
        </w:tc>
        <w:tc>
          <w:tcPr>
            <w:tcW w:w="446" w:type="pct"/>
            <w:shd w:val="clear" w:color="auto" w:fill="D9D9D9" w:themeFill="background1" w:themeFillShade="D9"/>
            <w:vAlign w:val="center"/>
          </w:tcPr>
          <w:p w14:paraId="5BAE1C3F" w14:textId="77777777" w:rsidR="003155B0" w:rsidRPr="00BF555E" w:rsidRDefault="003155B0" w:rsidP="003155B0">
            <w:pPr>
              <w:pStyle w:val="Text1"/>
              <w:spacing w:before="0" w:after="0"/>
              <w:ind w:left="0"/>
              <w:jc w:val="center"/>
              <w:rPr>
                <w:b/>
                <w:noProof/>
                <w:sz w:val="18"/>
                <w:szCs w:val="18"/>
              </w:rPr>
            </w:pPr>
            <w:r w:rsidRPr="00BF555E">
              <w:rPr>
                <w:b/>
                <w:noProof/>
                <w:sz w:val="18"/>
                <w:szCs w:val="18"/>
              </w:rPr>
              <w:t>Mērvienība</w:t>
            </w:r>
          </w:p>
        </w:tc>
        <w:tc>
          <w:tcPr>
            <w:tcW w:w="360" w:type="pct"/>
            <w:shd w:val="clear" w:color="auto" w:fill="D9D9D9" w:themeFill="background1" w:themeFillShade="D9"/>
            <w:vAlign w:val="center"/>
          </w:tcPr>
          <w:p w14:paraId="417E7873" w14:textId="77777777" w:rsidR="003155B0" w:rsidRPr="00BF555E" w:rsidRDefault="003155B0" w:rsidP="003155B0">
            <w:pPr>
              <w:pStyle w:val="Text1"/>
              <w:spacing w:before="0" w:after="0"/>
              <w:ind w:left="0"/>
              <w:jc w:val="center"/>
              <w:rPr>
                <w:b/>
                <w:noProof/>
                <w:sz w:val="18"/>
                <w:szCs w:val="18"/>
              </w:rPr>
            </w:pPr>
            <w:r w:rsidRPr="00BF555E">
              <w:rPr>
                <w:b/>
                <w:noProof/>
                <w:sz w:val="18"/>
                <w:szCs w:val="18"/>
              </w:rPr>
              <w:t>Sākotnējā vērtība</w:t>
            </w:r>
          </w:p>
        </w:tc>
        <w:tc>
          <w:tcPr>
            <w:tcW w:w="421" w:type="pct"/>
            <w:shd w:val="clear" w:color="auto" w:fill="D9D9D9" w:themeFill="background1" w:themeFillShade="D9"/>
            <w:vAlign w:val="center"/>
          </w:tcPr>
          <w:p w14:paraId="2BDFAC45" w14:textId="77777777" w:rsidR="003155B0" w:rsidRPr="00BF555E" w:rsidRDefault="003155B0" w:rsidP="003155B0">
            <w:pPr>
              <w:pStyle w:val="Text1"/>
              <w:spacing w:before="0" w:after="0"/>
              <w:ind w:left="0"/>
              <w:jc w:val="center"/>
              <w:rPr>
                <w:b/>
                <w:noProof/>
                <w:sz w:val="18"/>
                <w:szCs w:val="18"/>
              </w:rPr>
            </w:pPr>
            <w:r w:rsidRPr="00BF555E">
              <w:rPr>
                <w:b/>
                <w:noProof/>
                <w:sz w:val="18"/>
                <w:szCs w:val="18"/>
              </w:rPr>
              <w:t>Sākotnējās vērtības gads</w:t>
            </w:r>
          </w:p>
        </w:tc>
        <w:tc>
          <w:tcPr>
            <w:tcW w:w="478" w:type="pct"/>
            <w:shd w:val="clear" w:color="auto" w:fill="D9D9D9" w:themeFill="background1" w:themeFillShade="D9"/>
            <w:vAlign w:val="center"/>
          </w:tcPr>
          <w:p w14:paraId="3EE09A66" w14:textId="77777777" w:rsidR="003155B0" w:rsidRPr="00BF555E" w:rsidRDefault="003155B0" w:rsidP="003155B0">
            <w:pPr>
              <w:pStyle w:val="Text1"/>
              <w:spacing w:before="0" w:after="0"/>
              <w:ind w:left="0"/>
              <w:jc w:val="center"/>
              <w:rPr>
                <w:b/>
                <w:noProof/>
                <w:sz w:val="18"/>
                <w:szCs w:val="18"/>
              </w:rPr>
            </w:pPr>
            <w:r w:rsidRPr="00BF555E">
              <w:rPr>
                <w:b/>
                <w:noProof/>
                <w:sz w:val="18"/>
                <w:szCs w:val="18"/>
              </w:rPr>
              <w:t>Plānotā vērtība (2029)</w:t>
            </w:r>
          </w:p>
          <w:p w14:paraId="499011E5" w14:textId="77777777" w:rsidR="003155B0" w:rsidRPr="00BF555E" w:rsidRDefault="003155B0" w:rsidP="003155B0">
            <w:pPr>
              <w:pStyle w:val="Text1"/>
              <w:spacing w:before="0" w:after="0"/>
              <w:ind w:left="0"/>
              <w:jc w:val="center"/>
              <w:rPr>
                <w:b/>
                <w:noProof/>
                <w:sz w:val="18"/>
                <w:szCs w:val="18"/>
              </w:rPr>
            </w:pPr>
          </w:p>
        </w:tc>
        <w:tc>
          <w:tcPr>
            <w:tcW w:w="469" w:type="pct"/>
            <w:shd w:val="clear" w:color="auto" w:fill="D9D9D9" w:themeFill="background1" w:themeFillShade="D9"/>
            <w:vAlign w:val="center"/>
          </w:tcPr>
          <w:p w14:paraId="370B6C0A" w14:textId="77777777" w:rsidR="003155B0" w:rsidRPr="00BF555E" w:rsidRDefault="003155B0" w:rsidP="003155B0">
            <w:pPr>
              <w:pStyle w:val="Text1"/>
              <w:spacing w:before="0" w:after="0"/>
              <w:ind w:left="0"/>
              <w:jc w:val="center"/>
              <w:rPr>
                <w:b/>
                <w:noProof/>
                <w:sz w:val="18"/>
                <w:szCs w:val="18"/>
              </w:rPr>
            </w:pPr>
            <w:r w:rsidRPr="00BF555E">
              <w:rPr>
                <w:b/>
                <w:noProof/>
                <w:sz w:val="18"/>
                <w:szCs w:val="18"/>
              </w:rPr>
              <w:t>Datu avots [200]</w:t>
            </w:r>
          </w:p>
        </w:tc>
        <w:tc>
          <w:tcPr>
            <w:tcW w:w="588" w:type="pct"/>
            <w:shd w:val="clear" w:color="auto" w:fill="D9D9D9" w:themeFill="background1" w:themeFillShade="D9"/>
            <w:vAlign w:val="center"/>
          </w:tcPr>
          <w:p w14:paraId="4C3C7A0C" w14:textId="77777777" w:rsidR="003155B0" w:rsidRPr="00BF555E" w:rsidRDefault="003155B0" w:rsidP="003155B0">
            <w:pPr>
              <w:pStyle w:val="Text1"/>
              <w:spacing w:before="0" w:after="0"/>
              <w:ind w:left="0"/>
              <w:jc w:val="center"/>
              <w:rPr>
                <w:b/>
                <w:noProof/>
                <w:sz w:val="18"/>
                <w:szCs w:val="18"/>
              </w:rPr>
            </w:pPr>
            <w:r w:rsidRPr="00BF555E">
              <w:rPr>
                <w:b/>
                <w:noProof/>
                <w:sz w:val="18"/>
                <w:szCs w:val="18"/>
              </w:rPr>
              <w:t xml:space="preserve">Komentāri </w:t>
            </w:r>
          </w:p>
          <w:p w14:paraId="472303F6" w14:textId="77777777" w:rsidR="003155B0" w:rsidRPr="00BF555E" w:rsidRDefault="003155B0" w:rsidP="003155B0">
            <w:pPr>
              <w:pStyle w:val="Text1"/>
              <w:spacing w:before="0" w:after="0"/>
              <w:ind w:left="0"/>
              <w:jc w:val="center"/>
              <w:rPr>
                <w:b/>
                <w:noProof/>
                <w:sz w:val="18"/>
                <w:szCs w:val="18"/>
              </w:rPr>
            </w:pPr>
            <w:r w:rsidRPr="00BF555E">
              <w:rPr>
                <w:b/>
                <w:noProof/>
                <w:sz w:val="18"/>
                <w:szCs w:val="18"/>
              </w:rPr>
              <w:t>[200]</w:t>
            </w:r>
          </w:p>
        </w:tc>
      </w:tr>
      <w:tr w:rsidR="003155B0" w:rsidRPr="00BF555E" w14:paraId="1438C276" w14:textId="77777777" w:rsidTr="003155B0">
        <w:trPr>
          <w:trHeight w:val="286"/>
        </w:trPr>
        <w:tc>
          <w:tcPr>
            <w:tcW w:w="440" w:type="pct"/>
          </w:tcPr>
          <w:p w14:paraId="4FC304C0" w14:textId="77777777" w:rsidR="003155B0" w:rsidRPr="00BF555E" w:rsidRDefault="003155B0" w:rsidP="003155B0">
            <w:pPr>
              <w:pStyle w:val="Text1"/>
              <w:spacing w:before="0" w:after="0"/>
              <w:ind w:left="0"/>
              <w:rPr>
                <w:noProof/>
                <w:sz w:val="18"/>
                <w:szCs w:val="18"/>
              </w:rPr>
            </w:pPr>
            <w:r w:rsidRPr="00BF555E">
              <w:rPr>
                <w:noProof/>
                <w:sz w:val="18"/>
                <w:szCs w:val="18"/>
              </w:rPr>
              <w:t>4.2.prioritāte</w:t>
            </w:r>
          </w:p>
        </w:tc>
        <w:tc>
          <w:tcPr>
            <w:tcW w:w="398" w:type="pct"/>
          </w:tcPr>
          <w:p w14:paraId="079A1C6F" w14:textId="77777777" w:rsidR="003155B0" w:rsidRPr="00BF555E" w:rsidRDefault="003155B0" w:rsidP="003155B0">
            <w:pPr>
              <w:pStyle w:val="Text1"/>
              <w:spacing w:before="0" w:after="0"/>
              <w:ind w:left="0"/>
              <w:rPr>
                <w:noProof/>
                <w:sz w:val="18"/>
                <w:szCs w:val="18"/>
              </w:rPr>
            </w:pPr>
            <w:r w:rsidRPr="00BF555E">
              <w:rPr>
                <w:noProof/>
                <w:sz w:val="18"/>
                <w:szCs w:val="18"/>
              </w:rPr>
              <w:t>VARAM/</w:t>
            </w:r>
            <w:r>
              <w:rPr>
                <w:noProof/>
                <w:sz w:val="18"/>
                <w:szCs w:val="18"/>
              </w:rPr>
              <w:t xml:space="preserve"> </w:t>
            </w:r>
            <w:r w:rsidRPr="00BF555E">
              <w:rPr>
                <w:noProof/>
                <w:sz w:val="18"/>
                <w:szCs w:val="18"/>
              </w:rPr>
              <w:t>PKC: 4.2.1.SAM</w:t>
            </w:r>
          </w:p>
        </w:tc>
        <w:tc>
          <w:tcPr>
            <w:tcW w:w="289" w:type="pct"/>
          </w:tcPr>
          <w:p w14:paraId="3E418A44" w14:textId="77777777" w:rsidR="003155B0" w:rsidRPr="00BF555E" w:rsidRDefault="003155B0" w:rsidP="003155B0">
            <w:pPr>
              <w:pStyle w:val="Text1"/>
              <w:spacing w:before="0" w:after="0"/>
              <w:ind w:left="0"/>
              <w:rPr>
                <w:noProof/>
                <w:sz w:val="18"/>
                <w:szCs w:val="18"/>
              </w:rPr>
            </w:pPr>
            <w:r w:rsidRPr="00BF555E">
              <w:rPr>
                <w:noProof/>
                <w:sz w:val="18"/>
                <w:szCs w:val="18"/>
              </w:rPr>
              <w:t>ERAF</w:t>
            </w:r>
          </w:p>
        </w:tc>
        <w:tc>
          <w:tcPr>
            <w:tcW w:w="345" w:type="pct"/>
          </w:tcPr>
          <w:p w14:paraId="73623887" w14:textId="77777777" w:rsidR="003155B0" w:rsidRPr="00BF555E" w:rsidRDefault="003155B0" w:rsidP="003155B0">
            <w:pPr>
              <w:pStyle w:val="Text1"/>
              <w:spacing w:before="0" w:after="0"/>
              <w:ind w:left="0"/>
              <w:rPr>
                <w:noProof/>
                <w:sz w:val="18"/>
                <w:szCs w:val="18"/>
              </w:rPr>
            </w:pPr>
            <w:r w:rsidRPr="00BF555E">
              <w:rPr>
                <w:sz w:val="18"/>
                <w:szCs w:val="18"/>
              </w:rPr>
              <w:t>RCR 70</w:t>
            </w:r>
          </w:p>
        </w:tc>
        <w:tc>
          <w:tcPr>
            <w:tcW w:w="766" w:type="pct"/>
            <w:shd w:val="clear" w:color="auto" w:fill="auto"/>
          </w:tcPr>
          <w:p w14:paraId="1A1F8D7A" w14:textId="77777777" w:rsidR="003155B0" w:rsidRPr="00BF555E" w:rsidRDefault="003155B0" w:rsidP="003155B0">
            <w:pPr>
              <w:pStyle w:val="Default"/>
              <w:spacing w:after="0" w:line="240" w:lineRule="auto"/>
              <w:jc w:val="both"/>
              <w:rPr>
                <w:noProof/>
                <w:color w:val="auto"/>
                <w:sz w:val="18"/>
                <w:szCs w:val="18"/>
              </w:rPr>
            </w:pPr>
            <w:r w:rsidRPr="00BF555E">
              <w:rPr>
                <w:color w:val="auto"/>
                <w:sz w:val="18"/>
                <w:szCs w:val="18"/>
              </w:rPr>
              <w:t>Personu skaits, kas lieto jaunas vai modernizētas pirmsskolas izglītības iestāžu mācību telpas, gadā</w:t>
            </w:r>
          </w:p>
        </w:tc>
        <w:tc>
          <w:tcPr>
            <w:tcW w:w="446" w:type="pct"/>
          </w:tcPr>
          <w:p w14:paraId="478353AB" w14:textId="77777777" w:rsidR="003155B0" w:rsidRPr="00BF555E" w:rsidRDefault="003155B0" w:rsidP="003155B0">
            <w:pPr>
              <w:pStyle w:val="Text1"/>
              <w:spacing w:before="0" w:after="0"/>
              <w:ind w:left="0"/>
              <w:rPr>
                <w:noProof/>
                <w:sz w:val="18"/>
                <w:szCs w:val="18"/>
              </w:rPr>
            </w:pPr>
            <w:r w:rsidRPr="00BF555E">
              <w:rPr>
                <w:noProof/>
                <w:sz w:val="18"/>
                <w:szCs w:val="18"/>
              </w:rPr>
              <w:t>Lietotāji/ gadā</w:t>
            </w:r>
          </w:p>
        </w:tc>
        <w:tc>
          <w:tcPr>
            <w:tcW w:w="360" w:type="pct"/>
          </w:tcPr>
          <w:p w14:paraId="142D9281" w14:textId="77777777" w:rsidR="003155B0" w:rsidRPr="00BF555E" w:rsidRDefault="003155B0" w:rsidP="003155B0">
            <w:pPr>
              <w:pStyle w:val="Text1"/>
              <w:spacing w:before="0" w:after="0"/>
              <w:ind w:left="0"/>
              <w:rPr>
                <w:noProof/>
                <w:sz w:val="18"/>
                <w:szCs w:val="18"/>
              </w:rPr>
            </w:pPr>
            <w:r w:rsidRPr="00BF555E">
              <w:rPr>
                <w:noProof/>
                <w:sz w:val="18"/>
                <w:szCs w:val="18"/>
              </w:rPr>
              <w:t>0</w:t>
            </w:r>
          </w:p>
        </w:tc>
        <w:tc>
          <w:tcPr>
            <w:tcW w:w="421" w:type="pct"/>
          </w:tcPr>
          <w:p w14:paraId="335A0800" w14:textId="77777777" w:rsidR="003155B0" w:rsidRPr="00BF555E" w:rsidRDefault="003155B0" w:rsidP="003155B0">
            <w:pPr>
              <w:pStyle w:val="Text1"/>
              <w:spacing w:before="0" w:after="0"/>
              <w:ind w:left="0"/>
              <w:rPr>
                <w:noProof/>
                <w:sz w:val="18"/>
                <w:szCs w:val="18"/>
              </w:rPr>
            </w:pPr>
            <w:r w:rsidRPr="00BF555E">
              <w:rPr>
                <w:noProof/>
                <w:sz w:val="18"/>
                <w:szCs w:val="18"/>
              </w:rPr>
              <w:t>2020</w:t>
            </w:r>
          </w:p>
        </w:tc>
        <w:tc>
          <w:tcPr>
            <w:tcW w:w="478" w:type="pct"/>
            <w:shd w:val="clear" w:color="auto" w:fill="auto"/>
          </w:tcPr>
          <w:p w14:paraId="1FF1B720" w14:textId="77777777" w:rsidR="003155B0" w:rsidRPr="00BF555E" w:rsidRDefault="003155B0" w:rsidP="003155B0">
            <w:pPr>
              <w:spacing w:before="0" w:after="0"/>
              <w:jc w:val="center"/>
              <w:rPr>
                <w:noProof/>
                <w:sz w:val="18"/>
                <w:szCs w:val="18"/>
              </w:rPr>
            </w:pPr>
            <w:r w:rsidRPr="00BF555E">
              <w:rPr>
                <w:noProof/>
                <w:sz w:val="18"/>
                <w:szCs w:val="18"/>
              </w:rPr>
              <w:t>VARAM:</w:t>
            </w:r>
            <w:r>
              <w:rPr>
                <w:noProof/>
                <w:sz w:val="18"/>
                <w:szCs w:val="18"/>
              </w:rPr>
              <w:t>1527</w:t>
            </w:r>
          </w:p>
          <w:p w14:paraId="170B1946" w14:textId="77777777" w:rsidR="003155B0" w:rsidRPr="00BF555E" w:rsidRDefault="003155B0" w:rsidP="003155B0">
            <w:pPr>
              <w:spacing w:before="0" w:after="0"/>
              <w:jc w:val="center"/>
              <w:rPr>
                <w:noProof/>
                <w:sz w:val="18"/>
                <w:szCs w:val="18"/>
              </w:rPr>
            </w:pPr>
          </w:p>
        </w:tc>
        <w:tc>
          <w:tcPr>
            <w:tcW w:w="469" w:type="pct"/>
            <w:shd w:val="clear" w:color="auto" w:fill="auto"/>
          </w:tcPr>
          <w:p w14:paraId="1FD55352" w14:textId="77777777" w:rsidR="003155B0" w:rsidRPr="00BF555E" w:rsidRDefault="003155B0" w:rsidP="003155B0">
            <w:pPr>
              <w:pStyle w:val="Text1"/>
              <w:spacing w:before="0" w:after="0"/>
              <w:ind w:left="0"/>
              <w:rPr>
                <w:noProof/>
                <w:sz w:val="18"/>
                <w:szCs w:val="18"/>
              </w:rPr>
            </w:pPr>
            <w:r w:rsidRPr="00BF555E">
              <w:rPr>
                <w:sz w:val="18"/>
                <w:szCs w:val="18"/>
              </w:rPr>
              <w:t>Projektu dati</w:t>
            </w:r>
          </w:p>
        </w:tc>
        <w:tc>
          <w:tcPr>
            <w:tcW w:w="588" w:type="pct"/>
          </w:tcPr>
          <w:p w14:paraId="55EA2FCE" w14:textId="77777777" w:rsidR="003155B0" w:rsidRPr="00BF555E" w:rsidRDefault="003155B0" w:rsidP="003155B0">
            <w:pPr>
              <w:spacing w:before="0" w:after="0"/>
              <w:rPr>
                <w:noProof/>
                <w:sz w:val="18"/>
                <w:szCs w:val="18"/>
              </w:rPr>
            </w:pPr>
          </w:p>
        </w:tc>
      </w:tr>
      <w:tr w:rsidR="003155B0" w:rsidRPr="00BF555E" w14:paraId="65E05E61" w14:textId="77777777" w:rsidTr="003155B0">
        <w:trPr>
          <w:trHeight w:val="286"/>
        </w:trPr>
        <w:tc>
          <w:tcPr>
            <w:tcW w:w="440" w:type="pct"/>
          </w:tcPr>
          <w:p w14:paraId="6088ED6D" w14:textId="77777777" w:rsidR="003155B0" w:rsidRPr="00BF555E" w:rsidRDefault="003155B0" w:rsidP="003155B0">
            <w:pPr>
              <w:pStyle w:val="Text1"/>
              <w:spacing w:before="0" w:after="0"/>
              <w:ind w:left="0"/>
              <w:rPr>
                <w:i/>
                <w:noProof/>
                <w:sz w:val="18"/>
                <w:szCs w:val="18"/>
              </w:rPr>
            </w:pPr>
            <w:r w:rsidRPr="00BF555E">
              <w:rPr>
                <w:noProof/>
                <w:sz w:val="18"/>
                <w:szCs w:val="18"/>
              </w:rPr>
              <w:t>4.2.prioritāte</w:t>
            </w:r>
          </w:p>
        </w:tc>
        <w:tc>
          <w:tcPr>
            <w:tcW w:w="398" w:type="pct"/>
          </w:tcPr>
          <w:p w14:paraId="00095029" w14:textId="77777777" w:rsidR="003155B0" w:rsidRPr="00BF555E" w:rsidRDefault="003155B0" w:rsidP="003155B0">
            <w:pPr>
              <w:pStyle w:val="Text1"/>
              <w:spacing w:before="0" w:after="0"/>
              <w:ind w:left="0"/>
              <w:rPr>
                <w:noProof/>
                <w:sz w:val="18"/>
                <w:szCs w:val="18"/>
              </w:rPr>
            </w:pPr>
            <w:r w:rsidRPr="00BF555E">
              <w:rPr>
                <w:noProof/>
                <w:sz w:val="18"/>
                <w:szCs w:val="18"/>
              </w:rPr>
              <w:t>IZM/</w:t>
            </w:r>
            <w:r>
              <w:rPr>
                <w:noProof/>
                <w:sz w:val="18"/>
                <w:szCs w:val="18"/>
              </w:rPr>
              <w:t xml:space="preserve"> </w:t>
            </w:r>
            <w:r w:rsidRPr="00BF555E">
              <w:rPr>
                <w:noProof/>
                <w:sz w:val="18"/>
                <w:szCs w:val="18"/>
              </w:rPr>
              <w:t>PKC:  4.2.1.SAM</w:t>
            </w:r>
          </w:p>
        </w:tc>
        <w:tc>
          <w:tcPr>
            <w:tcW w:w="289" w:type="pct"/>
          </w:tcPr>
          <w:p w14:paraId="0054D50B" w14:textId="77777777" w:rsidR="003155B0" w:rsidRPr="00BF555E" w:rsidRDefault="003155B0" w:rsidP="003155B0">
            <w:pPr>
              <w:pStyle w:val="Text1"/>
              <w:spacing w:before="0" w:after="0"/>
              <w:ind w:left="0"/>
              <w:rPr>
                <w:i/>
                <w:noProof/>
                <w:sz w:val="18"/>
                <w:szCs w:val="18"/>
              </w:rPr>
            </w:pPr>
            <w:r w:rsidRPr="00BF555E">
              <w:rPr>
                <w:noProof/>
                <w:sz w:val="18"/>
                <w:szCs w:val="18"/>
              </w:rPr>
              <w:t>ERAF</w:t>
            </w:r>
          </w:p>
        </w:tc>
        <w:tc>
          <w:tcPr>
            <w:tcW w:w="345" w:type="pct"/>
          </w:tcPr>
          <w:p w14:paraId="517DB78D" w14:textId="77777777" w:rsidR="003155B0" w:rsidRPr="00BF555E" w:rsidRDefault="003155B0" w:rsidP="003155B0">
            <w:pPr>
              <w:pStyle w:val="Text1"/>
              <w:spacing w:before="0" w:after="0"/>
              <w:ind w:left="0"/>
              <w:rPr>
                <w:i/>
                <w:noProof/>
                <w:sz w:val="18"/>
                <w:szCs w:val="18"/>
              </w:rPr>
            </w:pPr>
            <w:r w:rsidRPr="00BF555E">
              <w:rPr>
                <w:sz w:val="18"/>
                <w:szCs w:val="18"/>
              </w:rPr>
              <w:t>RCR 71</w:t>
            </w:r>
          </w:p>
        </w:tc>
        <w:tc>
          <w:tcPr>
            <w:tcW w:w="766" w:type="pct"/>
            <w:shd w:val="clear" w:color="auto" w:fill="auto"/>
          </w:tcPr>
          <w:p w14:paraId="5EF77854" w14:textId="77777777" w:rsidR="003155B0" w:rsidRPr="00BF555E" w:rsidRDefault="003155B0" w:rsidP="003155B0">
            <w:pPr>
              <w:pStyle w:val="Text1"/>
              <w:spacing w:before="0" w:after="0"/>
              <w:ind w:left="0"/>
              <w:rPr>
                <w:sz w:val="18"/>
                <w:szCs w:val="18"/>
              </w:rPr>
            </w:pPr>
            <w:r w:rsidRPr="00BF555E">
              <w:rPr>
                <w:sz w:val="18"/>
                <w:szCs w:val="18"/>
              </w:rPr>
              <w:t>Personu skaits, kas lieto jaunas vai modernizētas izglītības iestāžu mācību telpas, gadā</w:t>
            </w:r>
          </w:p>
        </w:tc>
        <w:tc>
          <w:tcPr>
            <w:tcW w:w="446" w:type="pct"/>
          </w:tcPr>
          <w:p w14:paraId="56D006B5" w14:textId="77777777" w:rsidR="003155B0" w:rsidRPr="00BF555E" w:rsidRDefault="003155B0" w:rsidP="003155B0">
            <w:pPr>
              <w:pStyle w:val="Text1"/>
              <w:spacing w:before="0" w:after="0"/>
              <w:ind w:left="0"/>
              <w:rPr>
                <w:i/>
                <w:noProof/>
                <w:sz w:val="18"/>
                <w:szCs w:val="18"/>
              </w:rPr>
            </w:pPr>
            <w:r w:rsidRPr="00BF555E">
              <w:rPr>
                <w:noProof/>
                <w:sz w:val="18"/>
                <w:szCs w:val="18"/>
              </w:rPr>
              <w:t>Lietotāji/ gadā</w:t>
            </w:r>
          </w:p>
        </w:tc>
        <w:tc>
          <w:tcPr>
            <w:tcW w:w="360" w:type="pct"/>
          </w:tcPr>
          <w:p w14:paraId="059E1F94" w14:textId="77777777" w:rsidR="003155B0" w:rsidRPr="00BF555E" w:rsidRDefault="003155B0" w:rsidP="003155B0">
            <w:pPr>
              <w:pStyle w:val="Text1"/>
              <w:spacing w:before="0" w:after="0"/>
              <w:ind w:left="0"/>
              <w:rPr>
                <w:i/>
                <w:noProof/>
                <w:sz w:val="18"/>
                <w:szCs w:val="18"/>
              </w:rPr>
            </w:pPr>
            <w:r>
              <w:rPr>
                <w:noProof/>
                <w:sz w:val="18"/>
                <w:szCs w:val="18"/>
              </w:rPr>
              <w:t>0</w:t>
            </w:r>
          </w:p>
        </w:tc>
        <w:tc>
          <w:tcPr>
            <w:tcW w:w="421" w:type="pct"/>
          </w:tcPr>
          <w:p w14:paraId="1E2E31BB" w14:textId="77777777" w:rsidR="003155B0" w:rsidRPr="00BF555E" w:rsidRDefault="003155B0" w:rsidP="003155B0">
            <w:pPr>
              <w:pStyle w:val="Text1"/>
              <w:spacing w:before="0" w:after="0"/>
              <w:ind w:left="0"/>
              <w:rPr>
                <w:b/>
                <w:noProof/>
                <w:sz w:val="18"/>
                <w:szCs w:val="18"/>
              </w:rPr>
            </w:pPr>
            <w:r w:rsidRPr="00BF555E">
              <w:rPr>
                <w:noProof/>
                <w:sz w:val="18"/>
                <w:szCs w:val="18"/>
              </w:rPr>
              <w:t>2020</w:t>
            </w:r>
          </w:p>
        </w:tc>
        <w:tc>
          <w:tcPr>
            <w:tcW w:w="478" w:type="pct"/>
            <w:shd w:val="clear" w:color="auto" w:fill="auto"/>
          </w:tcPr>
          <w:p w14:paraId="6D3698EA" w14:textId="77777777" w:rsidR="003155B0" w:rsidRPr="00BF555E" w:rsidRDefault="003155B0" w:rsidP="003155B0">
            <w:r w:rsidRPr="00BF555E">
              <w:rPr>
                <w:noProof/>
                <w:sz w:val="18"/>
                <w:szCs w:val="18"/>
              </w:rPr>
              <w:t>IZM: 18 393</w:t>
            </w:r>
            <w:r w:rsidRPr="00BF555E">
              <w:t xml:space="preserve"> </w:t>
            </w:r>
          </w:p>
          <w:p w14:paraId="62953BDF" w14:textId="77777777" w:rsidR="003155B0" w:rsidRPr="00BF555E" w:rsidRDefault="003155B0" w:rsidP="003155B0">
            <w:pPr>
              <w:spacing w:before="0" w:after="0"/>
              <w:jc w:val="center"/>
              <w:rPr>
                <w:noProof/>
                <w:sz w:val="18"/>
                <w:szCs w:val="18"/>
              </w:rPr>
            </w:pPr>
            <w:r w:rsidRPr="00BF555E">
              <w:rPr>
                <w:noProof/>
                <w:sz w:val="18"/>
                <w:szCs w:val="18"/>
              </w:rPr>
              <w:t> </w:t>
            </w:r>
          </w:p>
          <w:p w14:paraId="1226C563" w14:textId="77777777" w:rsidR="003155B0" w:rsidRPr="00BF555E" w:rsidRDefault="003155B0" w:rsidP="003155B0">
            <w:pPr>
              <w:pStyle w:val="Text1"/>
              <w:spacing w:before="0" w:after="0"/>
              <w:ind w:left="0"/>
              <w:jc w:val="center"/>
              <w:rPr>
                <w:b/>
                <w:noProof/>
                <w:sz w:val="18"/>
                <w:szCs w:val="18"/>
              </w:rPr>
            </w:pPr>
          </w:p>
        </w:tc>
        <w:tc>
          <w:tcPr>
            <w:tcW w:w="469" w:type="pct"/>
            <w:shd w:val="clear" w:color="auto" w:fill="auto"/>
          </w:tcPr>
          <w:p w14:paraId="746F259A" w14:textId="77777777" w:rsidR="003155B0" w:rsidRPr="00BF555E" w:rsidRDefault="003155B0" w:rsidP="003155B0">
            <w:pPr>
              <w:pStyle w:val="Text1"/>
              <w:spacing w:before="0" w:after="0"/>
              <w:ind w:left="0"/>
              <w:rPr>
                <w:i/>
                <w:noProof/>
                <w:sz w:val="18"/>
                <w:szCs w:val="18"/>
              </w:rPr>
            </w:pPr>
            <w:r w:rsidRPr="00BF555E">
              <w:rPr>
                <w:sz w:val="18"/>
                <w:szCs w:val="18"/>
              </w:rPr>
              <w:t>Projektu dati</w:t>
            </w:r>
          </w:p>
        </w:tc>
        <w:tc>
          <w:tcPr>
            <w:tcW w:w="588" w:type="pct"/>
          </w:tcPr>
          <w:p w14:paraId="67027F73" w14:textId="77777777" w:rsidR="003155B0" w:rsidRPr="00BF555E" w:rsidRDefault="003155B0" w:rsidP="003155B0">
            <w:pPr>
              <w:spacing w:before="0" w:after="0"/>
              <w:rPr>
                <w:i/>
                <w:noProof/>
                <w:sz w:val="18"/>
                <w:szCs w:val="18"/>
              </w:rPr>
            </w:pPr>
          </w:p>
        </w:tc>
      </w:tr>
      <w:tr w:rsidR="003155B0" w:rsidRPr="00BF555E" w14:paraId="3A83947D" w14:textId="77777777" w:rsidTr="003155B0">
        <w:trPr>
          <w:trHeight w:val="286"/>
        </w:trPr>
        <w:tc>
          <w:tcPr>
            <w:tcW w:w="440" w:type="pct"/>
            <w:shd w:val="clear" w:color="auto" w:fill="auto"/>
          </w:tcPr>
          <w:p w14:paraId="6B9195E3" w14:textId="77777777" w:rsidR="003155B0" w:rsidRPr="00BF555E" w:rsidRDefault="003155B0" w:rsidP="003155B0">
            <w:pPr>
              <w:pStyle w:val="Text1"/>
              <w:spacing w:before="0" w:after="0"/>
              <w:ind w:left="0"/>
              <w:rPr>
                <w:noProof/>
                <w:sz w:val="18"/>
                <w:szCs w:val="18"/>
              </w:rPr>
            </w:pPr>
            <w:r w:rsidRPr="00BF555E">
              <w:rPr>
                <w:noProof/>
                <w:sz w:val="18"/>
                <w:szCs w:val="18"/>
              </w:rPr>
              <w:t>4.1.prioritāte</w:t>
            </w:r>
          </w:p>
        </w:tc>
        <w:tc>
          <w:tcPr>
            <w:tcW w:w="398" w:type="pct"/>
            <w:shd w:val="clear" w:color="auto" w:fill="auto"/>
          </w:tcPr>
          <w:p w14:paraId="4B301FD3" w14:textId="77777777" w:rsidR="003155B0" w:rsidRPr="00BF555E" w:rsidRDefault="003155B0" w:rsidP="003155B0">
            <w:pPr>
              <w:pStyle w:val="Text1"/>
              <w:spacing w:before="0" w:after="0"/>
              <w:ind w:left="0"/>
              <w:rPr>
                <w:noProof/>
                <w:sz w:val="18"/>
                <w:szCs w:val="18"/>
              </w:rPr>
            </w:pPr>
            <w:r w:rsidRPr="00BF555E">
              <w:rPr>
                <w:noProof/>
                <w:sz w:val="18"/>
                <w:szCs w:val="18"/>
              </w:rPr>
              <w:t>4.1.1.SAM</w:t>
            </w:r>
          </w:p>
        </w:tc>
        <w:tc>
          <w:tcPr>
            <w:tcW w:w="289" w:type="pct"/>
            <w:shd w:val="clear" w:color="auto" w:fill="auto"/>
          </w:tcPr>
          <w:p w14:paraId="1041ACF5" w14:textId="77777777" w:rsidR="003155B0" w:rsidRPr="00BF555E" w:rsidRDefault="003155B0" w:rsidP="003155B0">
            <w:pPr>
              <w:pStyle w:val="Text1"/>
              <w:spacing w:before="0" w:after="0"/>
              <w:ind w:left="0"/>
              <w:rPr>
                <w:noProof/>
                <w:sz w:val="18"/>
                <w:szCs w:val="18"/>
              </w:rPr>
            </w:pPr>
            <w:r w:rsidRPr="00BF555E">
              <w:rPr>
                <w:noProof/>
                <w:sz w:val="18"/>
                <w:szCs w:val="18"/>
              </w:rPr>
              <w:t>ERAF</w:t>
            </w:r>
          </w:p>
        </w:tc>
        <w:tc>
          <w:tcPr>
            <w:tcW w:w="345" w:type="pct"/>
            <w:shd w:val="clear" w:color="auto" w:fill="auto"/>
          </w:tcPr>
          <w:p w14:paraId="4294FB89" w14:textId="77777777" w:rsidR="003155B0" w:rsidRPr="00BF555E" w:rsidRDefault="003155B0" w:rsidP="003155B0">
            <w:pPr>
              <w:pStyle w:val="Text1"/>
              <w:spacing w:before="0" w:after="0"/>
              <w:ind w:left="0"/>
              <w:rPr>
                <w:sz w:val="18"/>
                <w:szCs w:val="18"/>
              </w:rPr>
            </w:pPr>
            <w:r w:rsidRPr="00BF555E">
              <w:rPr>
                <w:sz w:val="18"/>
                <w:szCs w:val="18"/>
              </w:rPr>
              <w:t>RCR 72</w:t>
            </w:r>
          </w:p>
        </w:tc>
        <w:tc>
          <w:tcPr>
            <w:tcW w:w="766" w:type="pct"/>
            <w:shd w:val="clear" w:color="auto" w:fill="auto"/>
          </w:tcPr>
          <w:p w14:paraId="68828A03" w14:textId="77777777" w:rsidR="003155B0" w:rsidRPr="00BF555E" w:rsidRDefault="003155B0" w:rsidP="003155B0">
            <w:pPr>
              <w:pStyle w:val="Text1"/>
              <w:spacing w:before="0" w:after="0"/>
              <w:ind w:left="0"/>
              <w:rPr>
                <w:sz w:val="18"/>
                <w:szCs w:val="18"/>
              </w:rPr>
            </w:pPr>
            <w:r w:rsidRPr="00BF555E">
              <w:rPr>
                <w:sz w:val="18"/>
                <w:szCs w:val="18"/>
              </w:rPr>
              <w:t xml:space="preserve">Personu skaits, kas izmanto e-veselības pakalpojumus, gadā </w:t>
            </w:r>
          </w:p>
        </w:tc>
        <w:tc>
          <w:tcPr>
            <w:tcW w:w="446" w:type="pct"/>
            <w:shd w:val="clear" w:color="auto" w:fill="auto"/>
          </w:tcPr>
          <w:p w14:paraId="72F58DB9" w14:textId="77777777" w:rsidR="003155B0" w:rsidRPr="00BF555E" w:rsidRDefault="003155B0" w:rsidP="003155B0">
            <w:pPr>
              <w:pStyle w:val="Text1"/>
              <w:spacing w:before="0" w:after="0"/>
              <w:ind w:left="0"/>
              <w:jc w:val="center"/>
              <w:rPr>
                <w:noProof/>
                <w:sz w:val="18"/>
                <w:szCs w:val="18"/>
              </w:rPr>
            </w:pPr>
            <w:r w:rsidRPr="00BF555E">
              <w:rPr>
                <w:noProof/>
                <w:sz w:val="18"/>
                <w:szCs w:val="18"/>
              </w:rPr>
              <w:t>Lietotāji/ gadā</w:t>
            </w:r>
          </w:p>
        </w:tc>
        <w:tc>
          <w:tcPr>
            <w:tcW w:w="360" w:type="pct"/>
            <w:shd w:val="clear" w:color="auto" w:fill="auto"/>
          </w:tcPr>
          <w:p w14:paraId="514ADCFB" w14:textId="77777777" w:rsidR="003155B0" w:rsidRPr="00BF555E" w:rsidRDefault="003155B0" w:rsidP="003155B0">
            <w:pPr>
              <w:pStyle w:val="Text1"/>
              <w:spacing w:before="0" w:after="0"/>
              <w:ind w:left="0"/>
              <w:jc w:val="center"/>
              <w:rPr>
                <w:noProof/>
                <w:sz w:val="18"/>
                <w:szCs w:val="18"/>
              </w:rPr>
            </w:pPr>
            <w:r w:rsidRPr="00807E21">
              <w:rPr>
                <w:noProof/>
                <w:sz w:val="18"/>
                <w:szCs w:val="18"/>
              </w:rPr>
              <w:t>351 648</w:t>
            </w:r>
          </w:p>
        </w:tc>
        <w:tc>
          <w:tcPr>
            <w:tcW w:w="421" w:type="pct"/>
            <w:shd w:val="clear" w:color="auto" w:fill="auto"/>
          </w:tcPr>
          <w:p w14:paraId="400C5CE1" w14:textId="77777777" w:rsidR="003155B0" w:rsidRPr="00BF555E" w:rsidRDefault="003155B0" w:rsidP="003155B0">
            <w:pPr>
              <w:pStyle w:val="Text1"/>
              <w:spacing w:before="0" w:after="0"/>
              <w:ind w:left="0"/>
              <w:jc w:val="center"/>
              <w:rPr>
                <w:noProof/>
                <w:sz w:val="18"/>
                <w:szCs w:val="18"/>
              </w:rPr>
            </w:pPr>
            <w:r w:rsidRPr="00BF555E">
              <w:rPr>
                <w:noProof/>
                <w:sz w:val="18"/>
                <w:szCs w:val="18"/>
              </w:rPr>
              <w:t>2020</w:t>
            </w:r>
          </w:p>
        </w:tc>
        <w:tc>
          <w:tcPr>
            <w:tcW w:w="478" w:type="pct"/>
            <w:shd w:val="clear" w:color="auto" w:fill="auto"/>
          </w:tcPr>
          <w:p w14:paraId="3553F975" w14:textId="77777777" w:rsidR="003155B0" w:rsidRPr="00BF555E" w:rsidRDefault="003155B0" w:rsidP="003155B0">
            <w:pPr>
              <w:pStyle w:val="Text1"/>
              <w:spacing w:before="0" w:after="0"/>
              <w:ind w:left="0"/>
              <w:jc w:val="center"/>
              <w:rPr>
                <w:noProof/>
                <w:sz w:val="18"/>
                <w:szCs w:val="18"/>
              </w:rPr>
            </w:pPr>
            <w:r w:rsidRPr="00807E21">
              <w:rPr>
                <w:noProof/>
                <w:sz w:val="18"/>
                <w:szCs w:val="18"/>
              </w:rPr>
              <w:t>667 686</w:t>
            </w:r>
          </w:p>
        </w:tc>
        <w:tc>
          <w:tcPr>
            <w:tcW w:w="469" w:type="pct"/>
            <w:shd w:val="clear" w:color="auto" w:fill="auto"/>
          </w:tcPr>
          <w:p w14:paraId="7195CF8C" w14:textId="77777777" w:rsidR="003155B0" w:rsidRPr="00BF555E" w:rsidRDefault="003155B0" w:rsidP="003155B0">
            <w:pPr>
              <w:pStyle w:val="Text1"/>
              <w:spacing w:before="0" w:after="0"/>
              <w:ind w:left="0"/>
              <w:jc w:val="center"/>
              <w:rPr>
                <w:noProof/>
                <w:sz w:val="18"/>
                <w:szCs w:val="18"/>
              </w:rPr>
            </w:pPr>
            <w:r w:rsidRPr="00BF555E">
              <w:rPr>
                <w:sz w:val="18"/>
                <w:szCs w:val="18"/>
              </w:rPr>
              <w:t>Projektu dati</w:t>
            </w:r>
          </w:p>
        </w:tc>
        <w:tc>
          <w:tcPr>
            <w:tcW w:w="588" w:type="pct"/>
            <w:shd w:val="clear" w:color="auto" w:fill="auto"/>
          </w:tcPr>
          <w:p w14:paraId="1B482A18" w14:textId="77777777" w:rsidR="003155B0" w:rsidRPr="00BF555E" w:rsidRDefault="003155B0" w:rsidP="003155B0">
            <w:pPr>
              <w:spacing w:before="0" w:after="0"/>
              <w:jc w:val="left"/>
              <w:rPr>
                <w:sz w:val="18"/>
                <w:szCs w:val="18"/>
              </w:rPr>
            </w:pPr>
            <w:r w:rsidRPr="00BF555E">
              <w:rPr>
                <w:sz w:val="18"/>
                <w:szCs w:val="18"/>
              </w:rPr>
              <w:t>Dati tiks iegūti no projektu atskaitēm, apkopjot projektu iesniedzēju sniegto informāciju par personu skaitu, kuras saņem attīstītos e-veselības pakalpojumus projektu ietvaros attīstītajā digitālajā infrastruktūrā</w:t>
            </w:r>
          </w:p>
        </w:tc>
      </w:tr>
      <w:tr w:rsidR="003155B0" w:rsidRPr="00BF555E" w14:paraId="2B3BD81A" w14:textId="77777777" w:rsidTr="003155B0">
        <w:trPr>
          <w:trHeight w:val="286"/>
        </w:trPr>
        <w:tc>
          <w:tcPr>
            <w:tcW w:w="440" w:type="pct"/>
            <w:shd w:val="clear" w:color="auto" w:fill="auto"/>
          </w:tcPr>
          <w:p w14:paraId="64E45AF8" w14:textId="77777777" w:rsidR="003155B0" w:rsidRPr="00BF555E" w:rsidRDefault="003155B0" w:rsidP="003155B0">
            <w:pPr>
              <w:pStyle w:val="Text1"/>
              <w:spacing w:before="0" w:after="0"/>
              <w:ind w:left="0"/>
              <w:rPr>
                <w:noProof/>
                <w:sz w:val="18"/>
                <w:szCs w:val="18"/>
              </w:rPr>
            </w:pPr>
            <w:r w:rsidRPr="00BF555E">
              <w:rPr>
                <w:noProof/>
                <w:sz w:val="18"/>
                <w:szCs w:val="18"/>
              </w:rPr>
              <w:t>4.1.prioritāte</w:t>
            </w:r>
          </w:p>
        </w:tc>
        <w:tc>
          <w:tcPr>
            <w:tcW w:w="398" w:type="pct"/>
            <w:shd w:val="clear" w:color="auto" w:fill="auto"/>
          </w:tcPr>
          <w:p w14:paraId="2782DAF3" w14:textId="77777777" w:rsidR="003155B0" w:rsidRPr="00BF555E" w:rsidRDefault="003155B0" w:rsidP="003155B0">
            <w:pPr>
              <w:pStyle w:val="Text1"/>
              <w:spacing w:before="0" w:after="0"/>
              <w:ind w:left="0"/>
              <w:rPr>
                <w:noProof/>
                <w:sz w:val="18"/>
                <w:szCs w:val="18"/>
              </w:rPr>
            </w:pPr>
            <w:r w:rsidRPr="00BF555E">
              <w:rPr>
                <w:noProof/>
                <w:sz w:val="18"/>
                <w:szCs w:val="18"/>
              </w:rPr>
              <w:t>4.1.1.SAM</w:t>
            </w:r>
          </w:p>
        </w:tc>
        <w:tc>
          <w:tcPr>
            <w:tcW w:w="289" w:type="pct"/>
            <w:shd w:val="clear" w:color="auto" w:fill="auto"/>
          </w:tcPr>
          <w:p w14:paraId="6216639B" w14:textId="77777777" w:rsidR="003155B0" w:rsidRPr="00BF555E" w:rsidRDefault="003155B0" w:rsidP="003155B0">
            <w:pPr>
              <w:pStyle w:val="Text1"/>
              <w:spacing w:before="0" w:after="0"/>
              <w:ind w:left="0"/>
              <w:rPr>
                <w:i/>
                <w:noProof/>
                <w:sz w:val="18"/>
                <w:szCs w:val="18"/>
              </w:rPr>
            </w:pPr>
            <w:r w:rsidRPr="00BF555E">
              <w:rPr>
                <w:noProof/>
                <w:sz w:val="18"/>
                <w:szCs w:val="18"/>
              </w:rPr>
              <w:t>ERAF</w:t>
            </w:r>
          </w:p>
        </w:tc>
        <w:tc>
          <w:tcPr>
            <w:tcW w:w="345" w:type="pct"/>
            <w:shd w:val="clear" w:color="auto" w:fill="auto"/>
          </w:tcPr>
          <w:p w14:paraId="0FF82E84" w14:textId="77777777" w:rsidR="003155B0" w:rsidRPr="00BF555E" w:rsidRDefault="003155B0" w:rsidP="003155B0">
            <w:pPr>
              <w:pStyle w:val="Text1"/>
              <w:spacing w:before="0" w:after="0"/>
              <w:ind w:left="0"/>
              <w:rPr>
                <w:i/>
                <w:noProof/>
                <w:sz w:val="18"/>
                <w:szCs w:val="18"/>
              </w:rPr>
            </w:pPr>
            <w:r w:rsidRPr="00BF555E">
              <w:rPr>
                <w:sz w:val="18"/>
                <w:szCs w:val="18"/>
              </w:rPr>
              <w:t>RCR 73</w:t>
            </w:r>
          </w:p>
        </w:tc>
        <w:tc>
          <w:tcPr>
            <w:tcW w:w="766" w:type="pct"/>
            <w:shd w:val="clear" w:color="auto" w:fill="auto"/>
          </w:tcPr>
          <w:p w14:paraId="3F1D456F" w14:textId="77777777" w:rsidR="003155B0" w:rsidRPr="00BF555E" w:rsidRDefault="003155B0" w:rsidP="003155B0">
            <w:pPr>
              <w:pStyle w:val="Text1"/>
              <w:spacing w:before="0" w:after="0"/>
              <w:ind w:left="0"/>
              <w:rPr>
                <w:sz w:val="18"/>
                <w:szCs w:val="18"/>
              </w:rPr>
            </w:pPr>
            <w:r w:rsidRPr="00BF555E">
              <w:rPr>
                <w:sz w:val="18"/>
                <w:szCs w:val="18"/>
              </w:rPr>
              <w:t>Personu skaits, kas izmanto jaunas vai modernizētas veselības aprūpes iestādes pakalpojumus, gadā</w:t>
            </w:r>
          </w:p>
        </w:tc>
        <w:tc>
          <w:tcPr>
            <w:tcW w:w="446" w:type="pct"/>
            <w:shd w:val="clear" w:color="auto" w:fill="auto"/>
          </w:tcPr>
          <w:p w14:paraId="60FD981A" w14:textId="77777777" w:rsidR="003155B0" w:rsidRPr="00BF555E" w:rsidRDefault="003155B0" w:rsidP="003155B0">
            <w:pPr>
              <w:pStyle w:val="Text1"/>
              <w:spacing w:before="0" w:after="0"/>
              <w:ind w:left="0"/>
              <w:jc w:val="center"/>
              <w:rPr>
                <w:i/>
                <w:noProof/>
                <w:sz w:val="18"/>
                <w:szCs w:val="18"/>
              </w:rPr>
            </w:pPr>
            <w:r w:rsidRPr="00BF555E">
              <w:rPr>
                <w:noProof/>
                <w:sz w:val="18"/>
                <w:szCs w:val="18"/>
              </w:rPr>
              <w:t>Lietotāji/ gadā</w:t>
            </w:r>
          </w:p>
        </w:tc>
        <w:tc>
          <w:tcPr>
            <w:tcW w:w="360" w:type="pct"/>
            <w:shd w:val="clear" w:color="auto" w:fill="auto"/>
          </w:tcPr>
          <w:p w14:paraId="7BC1030B" w14:textId="77777777" w:rsidR="003155B0" w:rsidRPr="00BF555E" w:rsidRDefault="003155B0" w:rsidP="003155B0">
            <w:pPr>
              <w:pStyle w:val="Text1"/>
              <w:spacing w:before="0" w:after="0"/>
              <w:ind w:left="0"/>
              <w:jc w:val="center"/>
              <w:rPr>
                <w:i/>
                <w:noProof/>
                <w:sz w:val="18"/>
                <w:szCs w:val="18"/>
              </w:rPr>
            </w:pPr>
            <w:r w:rsidRPr="00BF555E">
              <w:rPr>
                <w:noProof/>
                <w:sz w:val="18"/>
                <w:szCs w:val="18"/>
              </w:rPr>
              <w:t>0</w:t>
            </w:r>
          </w:p>
        </w:tc>
        <w:tc>
          <w:tcPr>
            <w:tcW w:w="421" w:type="pct"/>
            <w:shd w:val="clear" w:color="auto" w:fill="auto"/>
          </w:tcPr>
          <w:p w14:paraId="369EC8E3" w14:textId="77777777" w:rsidR="003155B0" w:rsidRPr="00BF555E" w:rsidRDefault="003155B0" w:rsidP="003155B0">
            <w:pPr>
              <w:pStyle w:val="Text1"/>
              <w:spacing w:before="0" w:after="0"/>
              <w:ind w:left="0"/>
              <w:jc w:val="center"/>
              <w:rPr>
                <w:b/>
                <w:noProof/>
                <w:sz w:val="18"/>
                <w:szCs w:val="18"/>
              </w:rPr>
            </w:pPr>
            <w:r w:rsidRPr="00BF555E">
              <w:rPr>
                <w:noProof/>
                <w:sz w:val="18"/>
                <w:szCs w:val="18"/>
              </w:rPr>
              <w:t>2021</w:t>
            </w:r>
          </w:p>
        </w:tc>
        <w:tc>
          <w:tcPr>
            <w:tcW w:w="478" w:type="pct"/>
            <w:shd w:val="clear" w:color="auto" w:fill="auto"/>
          </w:tcPr>
          <w:p w14:paraId="048D8B1A" w14:textId="77777777" w:rsidR="003155B0" w:rsidRPr="00BF555E" w:rsidRDefault="003155B0" w:rsidP="003155B0">
            <w:pPr>
              <w:pStyle w:val="Text1"/>
              <w:spacing w:before="0" w:after="0"/>
              <w:ind w:left="0"/>
              <w:jc w:val="center"/>
              <w:rPr>
                <w:b/>
                <w:noProof/>
                <w:sz w:val="18"/>
                <w:szCs w:val="18"/>
              </w:rPr>
            </w:pPr>
            <w:r w:rsidRPr="00BF555E">
              <w:rPr>
                <w:noProof/>
                <w:sz w:val="18"/>
                <w:szCs w:val="18"/>
              </w:rPr>
              <w:t>1 746 604</w:t>
            </w:r>
          </w:p>
        </w:tc>
        <w:tc>
          <w:tcPr>
            <w:tcW w:w="469" w:type="pct"/>
            <w:shd w:val="clear" w:color="auto" w:fill="auto"/>
          </w:tcPr>
          <w:p w14:paraId="451E27BB" w14:textId="77777777" w:rsidR="003155B0" w:rsidRPr="00BF555E" w:rsidRDefault="003155B0" w:rsidP="003155B0">
            <w:pPr>
              <w:pStyle w:val="Text1"/>
              <w:spacing w:before="0" w:after="0"/>
              <w:ind w:left="0"/>
              <w:jc w:val="center"/>
              <w:rPr>
                <w:noProof/>
                <w:sz w:val="18"/>
                <w:szCs w:val="18"/>
              </w:rPr>
            </w:pPr>
            <w:r w:rsidRPr="00BF555E">
              <w:rPr>
                <w:noProof/>
                <w:sz w:val="18"/>
                <w:szCs w:val="18"/>
              </w:rPr>
              <w:t>Projektu dati</w:t>
            </w:r>
          </w:p>
        </w:tc>
        <w:tc>
          <w:tcPr>
            <w:tcW w:w="588" w:type="pct"/>
            <w:shd w:val="clear" w:color="auto" w:fill="auto"/>
          </w:tcPr>
          <w:p w14:paraId="30E70F1F" w14:textId="77777777" w:rsidR="003155B0" w:rsidRPr="00BF555E" w:rsidRDefault="003155B0" w:rsidP="003155B0">
            <w:pPr>
              <w:spacing w:before="0" w:after="0"/>
              <w:jc w:val="left"/>
              <w:rPr>
                <w:i/>
                <w:noProof/>
                <w:sz w:val="18"/>
                <w:szCs w:val="18"/>
              </w:rPr>
            </w:pPr>
            <w:r w:rsidRPr="00BF555E">
              <w:rPr>
                <w:sz w:val="18"/>
                <w:szCs w:val="18"/>
              </w:rPr>
              <w:t>Dati tiks iegūti no projektu atskaitēm, apkopjot projektu iesniedzēju sniegto informāciju par personu skaitu, kuras saņem veselības pakalpojumus projektu ietvaros uzbūvētajās vai modernizētajās veselības aprūpes iestādēs</w:t>
            </w:r>
          </w:p>
        </w:tc>
      </w:tr>
      <w:tr w:rsidR="003155B0" w:rsidRPr="00BF555E" w14:paraId="59C13843" w14:textId="77777777" w:rsidTr="003155B0">
        <w:trPr>
          <w:trHeight w:val="286"/>
        </w:trPr>
        <w:tc>
          <w:tcPr>
            <w:tcW w:w="440" w:type="pct"/>
            <w:shd w:val="clear" w:color="auto" w:fill="auto"/>
          </w:tcPr>
          <w:p w14:paraId="31DE2DFF" w14:textId="77777777" w:rsidR="003155B0" w:rsidRPr="00BF555E" w:rsidRDefault="003155B0" w:rsidP="003155B0">
            <w:pPr>
              <w:pStyle w:val="Text1"/>
              <w:spacing w:before="0" w:after="0"/>
              <w:ind w:left="0"/>
              <w:rPr>
                <w:noProof/>
                <w:sz w:val="18"/>
                <w:szCs w:val="18"/>
              </w:rPr>
            </w:pPr>
            <w:r w:rsidRPr="00BF555E">
              <w:rPr>
                <w:noProof/>
                <w:sz w:val="18"/>
                <w:szCs w:val="18"/>
              </w:rPr>
              <w:t>4.3.prioritāte</w:t>
            </w:r>
          </w:p>
        </w:tc>
        <w:tc>
          <w:tcPr>
            <w:tcW w:w="398" w:type="pct"/>
            <w:shd w:val="clear" w:color="auto" w:fill="auto"/>
          </w:tcPr>
          <w:p w14:paraId="33974D3B" w14:textId="77777777" w:rsidR="003155B0" w:rsidRPr="00BF555E" w:rsidRDefault="003155B0" w:rsidP="003155B0">
            <w:pPr>
              <w:pStyle w:val="Text1"/>
              <w:spacing w:before="0" w:after="0"/>
              <w:ind w:left="0"/>
              <w:rPr>
                <w:noProof/>
                <w:sz w:val="18"/>
                <w:szCs w:val="18"/>
              </w:rPr>
            </w:pPr>
            <w:r>
              <w:rPr>
                <w:noProof/>
                <w:sz w:val="18"/>
                <w:szCs w:val="18"/>
              </w:rPr>
              <w:t>EM</w:t>
            </w:r>
            <w:r w:rsidRPr="00BF555E">
              <w:rPr>
                <w:noProof/>
                <w:sz w:val="18"/>
                <w:szCs w:val="18"/>
              </w:rPr>
              <w:t>: 4.3.1.SAM</w:t>
            </w:r>
          </w:p>
        </w:tc>
        <w:tc>
          <w:tcPr>
            <w:tcW w:w="289" w:type="pct"/>
            <w:shd w:val="clear" w:color="auto" w:fill="auto"/>
          </w:tcPr>
          <w:p w14:paraId="4E7A8FBF" w14:textId="77777777" w:rsidR="003155B0" w:rsidRPr="00BF555E" w:rsidRDefault="003155B0" w:rsidP="003155B0">
            <w:pPr>
              <w:pStyle w:val="Text1"/>
              <w:spacing w:before="0" w:after="0"/>
              <w:ind w:left="0"/>
              <w:rPr>
                <w:noProof/>
                <w:sz w:val="18"/>
                <w:szCs w:val="18"/>
              </w:rPr>
            </w:pPr>
            <w:r w:rsidRPr="00BF555E">
              <w:rPr>
                <w:noProof/>
                <w:sz w:val="18"/>
                <w:szCs w:val="18"/>
              </w:rPr>
              <w:t>ERAF</w:t>
            </w:r>
          </w:p>
        </w:tc>
        <w:tc>
          <w:tcPr>
            <w:tcW w:w="345" w:type="pct"/>
            <w:shd w:val="clear" w:color="auto" w:fill="auto"/>
          </w:tcPr>
          <w:p w14:paraId="4EE97EE2" w14:textId="77777777" w:rsidR="003155B0" w:rsidRPr="00BF555E" w:rsidRDefault="003155B0" w:rsidP="003155B0">
            <w:pPr>
              <w:pStyle w:val="Text1"/>
              <w:spacing w:before="0" w:after="0"/>
              <w:ind w:left="0"/>
              <w:rPr>
                <w:sz w:val="18"/>
                <w:szCs w:val="18"/>
              </w:rPr>
            </w:pPr>
            <w:r w:rsidRPr="00D01AA1">
              <w:rPr>
                <w:sz w:val="18"/>
                <w:szCs w:val="18"/>
              </w:rPr>
              <w:t>RCR 67</w:t>
            </w:r>
          </w:p>
        </w:tc>
        <w:tc>
          <w:tcPr>
            <w:tcW w:w="766" w:type="pct"/>
            <w:shd w:val="clear" w:color="auto" w:fill="auto"/>
          </w:tcPr>
          <w:p w14:paraId="6EB57E8A" w14:textId="77777777" w:rsidR="003155B0" w:rsidRPr="00BF555E" w:rsidRDefault="003155B0" w:rsidP="003155B0">
            <w:pPr>
              <w:pStyle w:val="Text1"/>
              <w:spacing w:before="0" w:after="0"/>
              <w:ind w:left="0"/>
              <w:rPr>
                <w:sz w:val="18"/>
                <w:szCs w:val="18"/>
              </w:rPr>
            </w:pPr>
            <w:r w:rsidRPr="00D058F8">
              <w:rPr>
                <w:sz w:val="18"/>
                <w:szCs w:val="18"/>
              </w:rPr>
              <w:t>Ikgadējais jaunu vai modernizētu sociālo mājokļu lietotāju skaits</w:t>
            </w:r>
          </w:p>
        </w:tc>
        <w:tc>
          <w:tcPr>
            <w:tcW w:w="446" w:type="pct"/>
            <w:shd w:val="clear" w:color="auto" w:fill="auto"/>
          </w:tcPr>
          <w:p w14:paraId="43C45730" w14:textId="77777777" w:rsidR="003155B0" w:rsidRPr="00BF555E" w:rsidRDefault="003155B0" w:rsidP="003155B0">
            <w:pPr>
              <w:pStyle w:val="Text1"/>
              <w:spacing w:before="0" w:after="0"/>
              <w:ind w:left="0"/>
              <w:rPr>
                <w:noProof/>
                <w:sz w:val="18"/>
                <w:szCs w:val="18"/>
              </w:rPr>
            </w:pPr>
            <w:r w:rsidRPr="00D01AA1">
              <w:rPr>
                <w:noProof/>
                <w:sz w:val="18"/>
                <w:szCs w:val="18"/>
              </w:rPr>
              <w:t>Personu skaits</w:t>
            </w:r>
          </w:p>
        </w:tc>
        <w:tc>
          <w:tcPr>
            <w:tcW w:w="360" w:type="pct"/>
            <w:shd w:val="clear" w:color="auto" w:fill="auto"/>
          </w:tcPr>
          <w:p w14:paraId="5E51AB5F" w14:textId="77777777" w:rsidR="003155B0" w:rsidRPr="00BF555E" w:rsidRDefault="003155B0" w:rsidP="003155B0">
            <w:pPr>
              <w:pStyle w:val="Text1"/>
              <w:spacing w:before="0" w:after="0"/>
              <w:ind w:left="0"/>
              <w:jc w:val="center"/>
              <w:rPr>
                <w:noProof/>
                <w:sz w:val="18"/>
                <w:szCs w:val="18"/>
              </w:rPr>
            </w:pPr>
            <w:r>
              <w:rPr>
                <w:noProof/>
                <w:sz w:val="18"/>
                <w:szCs w:val="18"/>
              </w:rPr>
              <w:t>0</w:t>
            </w:r>
          </w:p>
        </w:tc>
        <w:tc>
          <w:tcPr>
            <w:tcW w:w="421" w:type="pct"/>
            <w:shd w:val="clear" w:color="auto" w:fill="auto"/>
          </w:tcPr>
          <w:p w14:paraId="7E283AAB" w14:textId="77777777" w:rsidR="003155B0" w:rsidRPr="00BF555E" w:rsidRDefault="003155B0" w:rsidP="003155B0">
            <w:pPr>
              <w:pStyle w:val="Text1"/>
              <w:spacing w:before="0" w:after="0"/>
              <w:ind w:left="0"/>
              <w:jc w:val="center"/>
              <w:rPr>
                <w:noProof/>
                <w:sz w:val="18"/>
                <w:szCs w:val="18"/>
              </w:rPr>
            </w:pPr>
            <w:r w:rsidRPr="00BF555E">
              <w:rPr>
                <w:noProof/>
                <w:sz w:val="18"/>
                <w:szCs w:val="18"/>
              </w:rPr>
              <w:t>2021</w:t>
            </w:r>
          </w:p>
        </w:tc>
        <w:tc>
          <w:tcPr>
            <w:tcW w:w="478" w:type="pct"/>
            <w:shd w:val="clear" w:color="auto" w:fill="auto"/>
          </w:tcPr>
          <w:p w14:paraId="685FA62F" w14:textId="77777777" w:rsidR="003155B0" w:rsidRPr="00BF555E" w:rsidRDefault="003155B0" w:rsidP="003155B0">
            <w:pPr>
              <w:pStyle w:val="Text1"/>
              <w:spacing w:before="0" w:after="0"/>
              <w:ind w:left="0"/>
              <w:jc w:val="center"/>
              <w:rPr>
                <w:noProof/>
                <w:sz w:val="18"/>
                <w:szCs w:val="18"/>
              </w:rPr>
            </w:pPr>
            <w:r w:rsidRPr="00540B77">
              <w:rPr>
                <w:sz w:val="20"/>
              </w:rPr>
              <w:t>1</w:t>
            </w:r>
            <w:r>
              <w:rPr>
                <w:sz w:val="20"/>
              </w:rPr>
              <w:t xml:space="preserve"> </w:t>
            </w:r>
            <w:r w:rsidRPr="00540B77">
              <w:rPr>
                <w:sz w:val="20"/>
              </w:rPr>
              <w:t>865</w:t>
            </w:r>
          </w:p>
        </w:tc>
        <w:tc>
          <w:tcPr>
            <w:tcW w:w="469" w:type="pct"/>
            <w:shd w:val="clear" w:color="auto" w:fill="auto"/>
          </w:tcPr>
          <w:p w14:paraId="387740DA" w14:textId="77777777" w:rsidR="003155B0" w:rsidRPr="00BF555E" w:rsidRDefault="003155B0" w:rsidP="003155B0">
            <w:pPr>
              <w:pStyle w:val="Text1"/>
              <w:spacing w:before="0" w:after="0"/>
              <w:ind w:left="0"/>
              <w:jc w:val="center"/>
              <w:rPr>
                <w:noProof/>
                <w:sz w:val="18"/>
                <w:szCs w:val="18"/>
              </w:rPr>
            </w:pPr>
            <w:r w:rsidRPr="00BF555E">
              <w:rPr>
                <w:noProof/>
                <w:sz w:val="18"/>
                <w:szCs w:val="18"/>
              </w:rPr>
              <w:t>Projektu dati</w:t>
            </w:r>
          </w:p>
        </w:tc>
        <w:tc>
          <w:tcPr>
            <w:tcW w:w="588" w:type="pct"/>
            <w:shd w:val="clear" w:color="auto" w:fill="auto"/>
          </w:tcPr>
          <w:p w14:paraId="51FFB4A0" w14:textId="77777777" w:rsidR="003155B0" w:rsidRPr="00BF555E" w:rsidRDefault="003155B0" w:rsidP="003155B0">
            <w:pPr>
              <w:spacing w:before="0" w:after="0"/>
              <w:jc w:val="left"/>
              <w:rPr>
                <w:sz w:val="18"/>
                <w:szCs w:val="18"/>
              </w:rPr>
            </w:pPr>
          </w:p>
        </w:tc>
      </w:tr>
      <w:tr w:rsidR="003155B0" w:rsidRPr="00BF555E" w14:paraId="6BB673EC" w14:textId="77777777" w:rsidTr="003155B0">
        <w:trPr>
          <w:trHeight w:val="286"/>
        </w:trPr>
        <w:tc>
          <w:tcPr>
            <w:tcW w:w="440" w:type="pct"/>
          </w:tcPr>
          <w:p w14:paraId="64984FE2" w14:textId="77777777" w:rsidR="003155B0" w:rsidRPr="00BF555E" w:rsidRDefault="003155B0" w:rsidP="003155B0">
            <w:pPr>
              <w:pStyle w:val="Text1"/>
              <w:spacing w:before="0" w:after="0"/>
              <w:ind w:left="0"/>
              <w:rPr>
                <w:i/>
                <w:noProof/>
                <w:sz w:val="18"/>
                <w:szCs w:val="18"/>
              </w:rPr>
            </w:pPr>
            <w:r w:rsidRPr="00BF555E">
              <w:rPr>
                <w:noProof/>
                <w:sz w:val="18"/>
                <w:szCs w:val="18"/>
              </w:rPr>
              <w:t>4.3.prioritāte</w:t>
            </w:r>
          </w:p>
        </w:tc>
        <w:tc>
          <w:tcPr>
            <w:tcW w:w="398" w:type="pct"/>
          </w:tcPr>
          <w:p w14:paraId="423D805F" w14:textId="77777777" w:rsidR="003155B0" w:rsidRPr="00BF555E" w:rsidRDefault="003155B0" w:rsidP="003155B0">
            <w:pPr>
              <w:pStyle w:val="Text1"/>
              <w:spacing w:before="0" w:after="0"/>
              <w:ind w:left="0"/>
              <w:rPr>
                <w:noProof/>
                <w:sz w:val="18"/>
                <w:szCs w:val="18"/>
              </w:rPr>
            </w:pPr>
            <w:r w:rsidRPr="00BF555E">
              <w:rPr>
                <w:noProof/>
                <w:sz w:val="18"/>
                <w:szCs w:val="18"/>
              </w:rPr>
              <w:t>LM: 4.3.1.SAM</w:t>
            </w:r>
          </w:p>
        </w:tc>
        <w:tc>
          <w:tcPr>
            <w:tcW w:w="289" w:type="pct"/>
          </w:tcPr>
          <w:p w14:paraId="4C728C3C" w14:textId="77777777" w:rsidR="003155B0" w:rsidRPr="00BF555E" w:rsidRDefault="003155B0" w:rsidP="003155B0">
            <w:pPr>
              <w:pStyle w:val="Text1"/>
              <w:spacing w:before="0" w:after="0"/>
              <w:ind w:left="0"/>
              <w:rPr>
                <w:i/>
                <w:noProof/>
                <w:sz w:val="18"/>
                <w:szCs w:val="18"/>
              </w:rPr>
            </w:pPr>
            <w:r w:rsidRPr="00BF555E">
              <w:rPr>
                <w:noProof/>
                <w:sz w:val="18"/>
                <w:szCs w:val="18"/>
              </w:rPr>
              <w:t>ERAF</w:t>
            </w:r>
          </w:p>
        </w:tc>
        <w:tc>
          <w:tcPr>
            <w:tcW w:w="345" w:type="pct"/>
          </w:tcPr>
          <w:p w14:paraId="617ABDD3" w14:textId="77777777" w:rsidR="003155B0" w:rsidRPr="00BF555E" w:rsidRDefault="003155B0" w:rsidP="003155B0">
            <w:pPr>
              <w:pStyle w:val="Text1"/>
              <w:spacing w:before="0" w:after="0"/>
              <w:ind w:left="0"/>
              <w:rPr>
                <w:i/>
                <w:noProof/>
                <w:sz w:val="18"/>
                <w:szCs w:val="18"/>
              </w:rPr>
            </w:pPr>
            <w:r w:rsidRPr="00BF555E">
              <w:rPr>
                <w:sz w:val="18"/>
                <w:szCs w:val="18"/>
              </w:rPr>
              <w:t>RCR 74</w:t>
            </w:r>
          </w:p>
        </w:tc>
        <w:tc>
          <w:tcPr>
            <w:tcW w:w="766" w:type="pct"/>
            <w:shd w:val="clear" w:color="auto" w:fill="auto"/>
          </w:tcPr>
          <w:p w14:paraId="3CD1344D" w14:textId="77777777" w:rsidR="003155B0" w:rsidRPr="00BF555E" w:rsidRDefault="003155B0" w:rsidP="003155B0">
            <w:pPr>
              <w:pStyle w:val="Text1"/>
              <w:spacing w:before="0" w:after="0"/>
              <w:ind w:left="0"/>
              <w:rPr>
                <w:sz w:val="18"/>
                <w:szCs w:val="18"/>
              </w:rPr>
            </w:pPr>
            <w:r w:rsidRPr="00BF555E">
              <w:rPr>
                <w:sz w:val="18"/>
                <w:szCs w:val="18"/>
              </w:rPr>
              <w:t>Personu skaits, kas izmantot jaunu vai modernizētu sociālās aprūpes iestāžu pakalpojumus, gadā.</w:t>
            </w:r>
          </w:p>
        </w:tc>
        <w:tc>
          <w:tcPr>
            <w:tcW w:w="446" w:type="pct"/>
          </w:tcPr>
          <w:p w14:paraId="40D02FFC" w14:textId="77777777" w:rsidR="003155B0" w:rsidRPr="00BF555E" w:rsidRDefault="003155B0" w:rsidP="003155B0">
            <w:pPr>
              <w:pStyle w:val="Text1"/>
              <w:spacing w:before="0" w:after="0"/>
              <w:ind w:left="0"/>
              <w:rPr>
                <w:i/>
                <w:noProof/>
                <w:sz w:val="18"/>
                <w:szCs w:val="18"/>
              </w:rPr>
            </w:pPr>
            <w:r w:rsidRPr="00BF555E">
              <w:rPr>
                <w:noProof/>
                <w:sz w:val="18"/>
                <w:szCs w:val="18"/>
              </w:rPr>
              <w:t>Lietotāji/ gadā</w:t>
            </w:r>
          </w:p>
        </w:tc>
        <w:tc>
          <w:tcPr>
            <w:tcW w:w="360" w:type="pct"/>
          </w:tcPr>
          <w:p w14:paraId="0DCDB15D" w14:textId="77777777" w:rsidR="003155B0" w:rsidRPr="00BF555E" w:rsidRDefault="003155B0" w:rsidP="003155B0">
            <w:pPr>
              <w:pStyle w:val="Text1"/>
              <w:spacing w:before="0" w:after="0"/>
              <w:ind w:left="0"/>
              <w:rPr>
                <w:i/>
                <w:noProof/>
                <w:sz w:val="18"/>
                <w:szCs w:val="18"/>
              </w:rPr>
            </w:pPr>
            <w:r w:rsidRPr="00BF555E">
              <w:rPr>
                <w:noProof/>
                <w:sz w:val="18"/>
                <w:szCs w:val="18"/>
              </w:rPr>
              <w:t xml:space="preserve">  0</w:t>
            </w:r>
          </w:p>
        </w:tc>
        <w:tc>
          <w:tcPr>
            <w:tcW w:w="421" w:type="pct"/>
          </w:tcPr>
          <w:p w14:paraId="2719F5F5" w14:textId="77777777" w:rsidR="003155B0" w:rsidRPr="00BF555E" w:rsidRDefault="003155B0" w:rsidP="003155B0">
            <w:pPr>
              <w:pStyle w:val="Text1"/>
              <w:spacing w:before="0" w:after="0"/>
              <w:ind w:left="0"/>
              <w:rPr>
                <w:b/>
                <w:noProof/>
                <w:sz w:val="18"/>
                <w:szCs w:val="18"/>
              </w:rPr>
            </w:pPr>
            <w:r w:rsidRPr="00BF555E">
              <w:rPr>
                <w:noProof/>
                <w:sz w:val="18"/>
                <w:szCs w:val="18"/>
              </w:rPr>
              <w:t xml:space="preserve"> 2021</w:t>
            </w:r>
          </w:p>
        </w:tc>
        <w:tc>
          <w:tcPr>
            <w:tcW w:w="478" w:type="pct"/>
            <w:shd w:val="clear" w:color="auto" w:fill="auto"/>
          </w:tcPr>
          <w:p w14:paraId="29FD822F" w14:textId="77777777" w:rsidR="003155B0" w:rsidRPr="00BF555E" w:rsidRDefault="003155B0" w:rsidP="003155B0">
            <w:pPr>
              <w:spacing w:before="0" w:after="0"/>
              <w:rPr>
                <w:noProof/>
                <w:sz w:val="18"/>
                <w:szCs w:val="18"/>
              </w:rPr>
            </w:pPr>
            <w:r w:rsidRPr="00BF555E">
              <w:rPr>
                <w:noProof/>
                <w:sz w:val="18"/>
                <w:szCs w:val="18"/>
              </w:rPr>
              <w:t>LM:  120</w:t>
            </w:r>
          </w:p>
          <w:p w14:paraId="7D78182B" w14:textId="77777777" w:rsidR="003155B0" w:rsidRPr="00BF555E" w:rsidRDefault="003155B0" w:rsidP="003155B0">
            <w:pPr>
              <w:pStyle w:val="Text1"/>
              <w:spacing w:before="0" w:after="0"/>
              <w:ind w:left="0"/>
              <w:rPr>
                <w:b/>
                <w:noProof/>
                <w:sz w:val="18"/>
                <w:szCs w:val="18"/>
              </w:rPr>
            </w:pPr>
          </w:p>
        </w:tc>
        <w:tc>
          <w:tcPr>
            <w:tcW w:w="469" w:type="pct"/>
            <w:shd w:val="clear" w:color="auto" w:fill="auto"/>
          </w:tcPr>
          <w:p w14:paraId="03441453" w14:textId="77777777" w:rsidR="003155B0" w:rsidRPr="00BF555E" w:rsidRDefault="003155B0" w:rsidP="003155B0">
            <w:pPr>
              <w:pStyle w:val="Text1"/>
              <w:spacing w:before="0" w:after="0"/>
              <w:ind w:left="0"/>
              <w:rPr>
                <w:i/>
                <w:noProof/>
                <w:sz w:val="18"/>
                <w:szCs w:val="18"/>
              </w:rPr>
            </w:pPr>
            <w:r w:rsidRPr="00BF555E">
              <w:rPr>
                <w:noProof/>
                <w:sz w:val="18"/>
                <w:szCs w:val="18"/>
              </w:rPr>
              <w:t xml:space="preserve"> Projektu dati</w:t>
            </w:r>
          </w:p>
        </w:tc>
        <w:tc>
          <w:tcPr>
            <w:tcW w:w="588" w:type="pct"/>
          </w:tcPr>
          <w:p w14:paraId="65CC5A70" w14:textId="77777777" w:rsidR="003155B0" w:rsidRPr="00BF555E" w:rsidRDefault="003155B0" w:rsidP="003155B0">
            <w:pPr>
              <w:spacing w:before="0" w:after="0"/>
              <w:rPr>
                <w:i/>
                <w:noProof/>
                <w:sz w:val="18"/>
                <w:szCs w:val="18"/>
              </w:rPr>
            </w:pPr>
          </w:p>
        </w:tc>
      </w:tr>
      <w:tr w:rsidR="003155B0" w:rsidRPr="00BF555E" w14:paraId="4196F504" w14:textId="77777777" w:rsidTr="003155B0">
        <w:trPr>
          <w:trHeight w:val="286"/>
        </w:trPr>
        <w:tc>
          <w:tcPr>
            <w:tcW w:w="440" w:type="pct"/>
          </w:tcPr>
          <w:p w14:paraId="518A1188" w14:textId="77777777" w:rsidR="003155B0" w:rsidRPr="00320A32" w:rsidRDefault="003155B0" w:rsidP="003155B0">
            <w:pPr>
              <w:spacing w:before="0" w:after="0"/>
              <w:rPr>
                <w:noProof/>
                <w:sz w:val="18"/>
                <w:szCs w:val="18"/>
              </w:rPr>
            </w:pPr>
            <w:r w:rsidRPr="00320A32">
              <w:rPr>
                <w:sz w:val="18"/>
                <w:szCs w:val="18"/>
              </w:rPr>
              <w:t>4.2.prioritāte</w:t>
            </w:r>
          </w:p>
        </w:tc>
        <w:tc>
          <w:tcPr>
            <w:tcW w:w="398" w:type="pct"/>
          </w:tcPr>
          <w:p w14:paraId="38CF5E5B" w14:textId="77777777" w:rsidR="003155B0" w:rsidRPr="00320A32" w:rsidRDefault="003155B0" w:rsidP="003155B0">
            <w:pPr>
              <w:spacing w:before="0" w:after="0"/>
              <w:rPr>
                <w:noProof/>
                <w:sz w:val="18"/>
                <w:szCs w:val="18"/>
              </w:rPr>
            </w:pPr>
            <w:r w:rsidRPr="00320A32">
              <w:rPr>
                <w:sz w:val="18"/>
                <w:szCs w:val="18"/>
              </w:rPr>
              <w:t>4.2.2.SAM</w:t>
            </w:r>
          </w:p>
        </w:tc>
        <w:tc>
          <w:tcPr>
            <w:tcW w:w="289" w:type="pct"/>
          </w:tcPr>
          <w:p w14:paraId="06639BA2" w14:textId="77777777" w:rsidR="003155B0" w:rsidRPr="00320A32" w:rsidRDefault="003155B0" w:rsidP="003155B0">
            <w:pPr>
              <w:pStyle w:val="Text1"/>
              <w:spacing w:before="0" w:after="0"/>
              <w:ind w:left="0"/>
              <w:rPr>
                <w:noProof/>
                <w:sz w:val="18"/>
                <w:szCs w:val="18"/>
              </w:rPr>
            </w:pPr>
            <w:r w:rsidRPr="00320A32">
              <w:rPr>
                <w:sz w:val="18"/>
                <w:szCs w:val="18"/>
              </w:rPr>
              <w:t>ESF</w:t>
            </w:r>
          </w:p>
        </w:tc>
        <w:tc>
          <w:tcPr>
            <w:tcW w:w="345" w:type="pct"/>
          </w:tcPr>
          <w:p w14:paraId="36564FC6" w14:textId="77777777" w:rsidR="003155B0" w:rsidRPr="00320A32" w:rsidRDefault="003155B0" w:rsidP="003155B0">
            <w:pPr>
              <w:pStyle w:val="Text1"/>
              <w:spacing w:before="0" w:after="0"/>
              <w:ind w:left="0"/>
              <w:rPr>
                <w:sz w:val="18"/>
                <w:szCs w:val="18"/>
              </w:rPr>
            </w:pPr>
            <w:r w:rsidRPr="00320A32">
              <w:rPr>
                <w:sz w:val="18"/>
                <w:szCs w:val="18"/>
              </w:rPr>
              <w:t>r.4.2.2.a</w:t>
            </w:r>
          </w:p>
        </w:tc>
        <w:tc>
          <w:tcPr>
            <w:tcW w:w="766" w:type="pct"/>
            <w:shd w:val="clear" w:color="auto" w:fill="auto"/>
          </w:tcPr>
          <w:p w14:paraId="283F2211" w14:textId="77777777" w:rsidR="003155B0" w:rsidRPr="00320A32" w:rsidRDefault="003155B0" w:rsidP="003155B0">
            <w:pPr>
              <w:pStyle w:val="Text1"/>
              <w:spacing w:before="0" w:after="0"/>
              <w:ind w:left="0"/>
              <w:rPr>
                <w:sz w:val="18"/>
                <w:szCs w:val="18"/>
                <w:lang w:eastAsia="en-GB"/>
              </w:rPr>
            </w:pPr>
            <w:r w:rsidRPr="00320A32">
              <w:rPr>
                <w:sz w:val="18"/>
                <w:szCs w:val="18"/>
              </w:rPr>
              <w:t>Iestādes, kas ieviesušas uzlabojumus izglītības un mācību sistēmu kvalitātei, efektivitātei un atbilstībai darba tirgum</w:t>
            </w:r>
          </w:p>
        </w:tc>
        <w:tc>
          <w:tcPr>
            <w:tcW w:w="446" w:type="pct"/>
          </w:tcPr>
          <w:p w14:paraId="190AB66D" w14:textId="77777777" w:rsidR="003155B0" w:rsidRPr="00320A32" w:rsidRDefault="003155B0" w:rsidP="003155B0">
            <w:pPr>
              <w:pStyle w:val="Text1"/>
              <w:spacing w:before="0" w:after="0"/>
              <w:ind w:left="0"/>
              <w:rPr>
                <w:noProof/>
                <w:sz w:val="18"/>
                <w:szCs w:val="18"/>
              </w:rPr>
            </w:pPr>
            <w:r w:rsidRPr="00320A32">
              <w:rPr>
                <w:sz w:val="18"/>
                <w:szCs w:val="18"/>
              </w:rPr>
              <w:t>Iestāžu skaits</w:t>
            </w:r>
          </w:p>
        </w:tc>
        <w:tc>
          <w:tcPr>
            <w:tcW w:w="360" w:type="pct"/>
          </w:tcPr>
          <w:p w14:paraId="4B053BAE" w14:textId="77777777" w:rsidR="003155B0" w:rsidRPr="00320A32" w:rsidRDefault="003155B0" w:rsidP="003155B0">
            <w:pPr>
              <w:pStyle w:val="Text1"/>
              <w:spacing w:before="0" w:after="0"/>
              <w:ind w:left="0"/>
              <w:rPr>
                <w:noProof/>
                <w:sz w:val="18"/>
                <w:szCs w:val="18"/>
              </w:rPr>
            </w:pPr>
            <w:r w:rsidRPr="00320A32">
              <w:rPr>
                <w:sz w:val="18"/>
                <w:szCs w:val="18"/>
              </w:rPr>
              <w:t>0</w:t>
            </w:r>
          </w:p>
        </w:tc>
        <w:tc>
          <w:tcPr>
            <w:tcW w:w="421" w:type="pct"/>
          </w:tcPr>
          <w:p w14:paraId="22CF5203" w14:textId="77777777" w:rsidR="003155B0" w:rsidRPr="00320A32" w:rsidRDefault="003155B0" w:rsidP="003155B0">
            <w:pPr>
              <w:pStyle w:val="Text1"/>
              <w:spacing w:before="0" w:after="0"/>
              <w:ind w:left="0"/>
              <w:rPr>
                <w:noProof/>
                <w:sz w:val="18"/>
                <w:szCs w:val="18"/>
              </w:rPr>
            </w:pPr>
            <w:r w:rsidRPr="00320A32">
              <w:rPr>
                <w:sz w:val="18"/>
                <w:szCs w:val="18"/>
              </w:rPr>
              <w:t>2020</w:t>
            </w:r>
          </w:p>
        </w:tc>
        <w:tc>
          <w:tcPr>
            <w:tcW w:w="478" w:type="pct"/>
            <w:shd w:val="clear" w:color="auto" w:fill="auto"/>
          </w:tcPr>
          <w:p w14:paraId="068A01BA" w14:textId="77777777" w:rsidR="003155B0" w:rsidRPr="00320A32" w:rsidRDefault="003155B0" w:rsidP="003155B0">
            <w:pPr>
              <w:spacing w:before="0" w:after="0"/>
              <w:rPr>
                <w:noProof/>
                <w:sz w:val="18"/>
                <w:szCs w:val="18"/>
              </w:rPr>
            </w:pPr>
            <w:r w:rsidRPr="00320A32">
              <w:rPr>
                <w:sz w:val="18"/>
                <w:szCs w:val="18"/>
              </w:rPr>
              <w:t>103</w:t>
            </w:r>
          </w:p>
        </w:tc>
        <w:tc>
          <w:tcPr>
            <w:tcW w:w="469" w:type="pct"/>
            <w:shd w:val="clear" w:color="auto" w:fill="auto"/>
          </w:tcPr>
          <w:p w14:paraId="7770FEBB" w14:textId="77777777" w:rsidR="003155B0" w:rsidRPr="00320A32" w:rsidRDefault="003155B0" w:rsidP="003155B0">
            <w:pPr>
              <w:pStyle w:val="Text1"/>
              <w:spacing w:before="0" w:after="0"/>
              <w:ind w:left="0"/>
              <w:rPr>
                <w:noProof/>
                <w:sz w:val="18"/>
                <w:szCs w:val="18"/>
              </w:rPr>
            </w:pPr>
            <w:r w:rsidRPr="00320A32">
              <w:rPr>
                <w:sz w:val="18"/>
                <w:szCs w:val="18"/>
              </w:rPr>
              <w:t>Projektu dati</w:t>
            </w:r>
          </w:p>
        </w:tc>
        <w:tc>
          <w:tcPr>
            <w:tcW w:w="588" w:type="pct"/>
          </w:tcPr>
          <w:p w14:paraId="44E934AF" w14:textId="77777777" w:rsidR="003155B0" w:rsidRPr="00320A32" w:rsidRDefault="003155B0" w:rsidP="003155B0">
            <w:pPr>
              <w:spacing w:before="0" w:after="0"/>
              <w:rPr>
                <w:i/>
                <w:noProof/>
                <w:sz w:val="18"/>
                <w:szCs w:val="18"/>
              </w:rPr>
            </w:pPr>
            <w:r w:rsidRPr="00320A32">
              <w:rPr>
                <w:sz w:val="18"/>
                <w:szCs w:val="18"/>
              </w:rPr>
              <w:t>Programmas specifiskais rezultāta rādītājs</w:t>
            </w:r>
          </w:p>
        </w:tc>
      </w:tr>
      <w:tr w:rsidR="003155B0" w:rsidRPr="00BF555E" w14:paraId="32BE64F9" w14:textId="77777777" w:rsidTr="003155B0">
        <w:trPr>
          <w:trHeight w:val="286"/>
        </w:trPr>
        <w:tc>
          <w:tcPr>
            <w:tcW w:w="440" w:type="pct"/>
          </w:tcPr>
          <w:p w14:paraId="57427351" w14:textId="77777777" w:rsidR="003155B0" w:rsidRPr="00320A32" w:rsidRDefault="009A507A" w:rsidP="003155B0">
            <w:pPr>
              <w:spacing w:before="0" w:after="0"/>
              <w:rPr>
                <w:noProof/>
                <w:sz w:val="18"/>
                <w:szCs w:val="18"/>
              </w:rPr>
            </w:pPr>
            <w:sdt>
              <w:sdtPr>
                <w:rPr>
                  <w:sz w:val="18"/>
                  <w:szCs w:val="18"/>
                </w:rPr>
                <w:tag w:val="goog_rdk_147"/>
                <w:id w:val="-1641019349"/>
              </w:sdtPr>
              <w:sdtEndPr/>
              <w:sdtContent>
                <w:sdt>
                  <w:sdtPr>
                    <w:rPr>
                      <w:sz w:val="18"/>
                      <w:szCs w:val="18"/>
                    </w:rPr>
                    <w:tag w:val="goog_rdk_146"/>
                    <w:id w:val="-1600320214"/>
                  </w:sdtPr>
                  <w:sdtEndPr/>
                  <w:sdtContent>
                    <w:r w:rsidR="003155B0" w:rsidRPr="00320A32">
                      <w:rPr>
                        <w:sz w:val="18"/>
                        <w:szCs w:val="18"/>
                      </w:rPr>
                      <w:t>4.2.prioritāte</w:t>
                    </w:r>
                  </w:sdtContent>
                </w:sdt>
              </w:sdtContent>
            </w:sdt>
          </w:p>
        </w:tc>
        <w:tc>
          <w:tcPr>
            <w:tcW w:w="398" w:type="pct"/>
          </w:tcPr>
          <w:sdt>
            <w:sdtPr>
              <w:rPr>
                <w:sz w:val="18"/>
                <w:szCs w:val="18"/>
              </w:rPr>
              <w:tag w:val="goog_rdk_149"/>
              <w:id w:val="1211540809"/>
            </w:sdtPr>
            <w:sdtEndPr/>
            <w:sdtContent>
              <w:p w14:paraId="2B4ED49A" w14:textId="77777777" w:rsidR="003155B0" w:rsidRPr="00320A32" w:rsidRDefault="009A507A" w:rsidP="003155B0">
                <w:pPr>
                  <w:spacing w:before="0" w:after="0"/>
                  <w:rPr>
                    <w:noProof/>
                    <w:sz w:val="18"/>
                    <w:szCs w:val="18"/>
                  </w:rPr>
                </w:pPr>
                <w:sdt>
                  <w:sdtPr>
                    <w:rPr>
                      <w:sz w:val="18"/>
                      <w:szCs w:val="18"/>
                    </w:rPr>
                    <w:tag w:val="goog_rdk_148"/>
                    <w:id w:val="850838876"/>
                  </w:sdtPr>
                  <w:sdtEndPr/>
                  <w:sdtContent>
                    <w:r w:rsidR="003155B0" w:rsidRPr="00320A32">
                      <w:rPr>
                        <w:sz w:val="18"/>
                        <w:szCs w:val="18"/>
                      </w:rPr>
                      <w:t>4.2.3.SAM</w:t>
                    </w:r>
                  </w:sdtContent>
                </w:sdt>
              </w:p>
            </w:sdtContent>
          </w:sdt>
        </w:tc>
        <w:tc>
          <w:tcPr>
            <w:tcW w:w="289" w:type="pct"/>
          </w:tcPr>
          <w:sdt>
            <w:sdtPr>
              <w:rPr>
                <w:sz w:val="18"/>
                <w:szCs w:val="18"/>
              </w:rPr>
              <w:tag w:val="goog_rdk_151"/>
              <w:id w:val="-874687618"/>
            </w:sdtPr>
            <w:sdtEndPr/>
            <w:sdtContent>
              <w:p w14:paraId="0A3EDA2F" w14:textId="77777777" w:rsidR="003155B0" w:rsidRPr="00320A32" w:rsidRDefault="009A507A" w:rsidP="003155B0">
                <w:pPr>
                  <w:pStyle w:val="Text1"/>
                  <w:spacing w:before="0" w:after="0"/>
                  <w:ind w:left="0"/>
                  <w:rPr>
                    <w:noProof/>
                    <w:sz w:val="18"/>
                    <w:szCs w:val="18"/>
                  </w:rPr>
                </w:pPr>
                <w:sdt>
                  <w:sdtPr>
                    <w:rPr>
                      <w:sz w:val="18"/>
                      <w:szCs w:val="18"/>
                    </w:rPr>
                    <w:tag w:val="goog_rdk_150"/>
                    <w:id w:val="1535389372"/>
                  </w:sdtPr>
                  <w:sdtEndPr/>
                  <w:sdtContent>
                    <w:r w:rsidR="003155B0" w:rsidRPr="00320A32">
                      <w:rPr>
                        <w:sz w:val="18"/>
                        <w:szCs w:val="18"/>
                      </w:rPr>
                      <w:t>ESF</w:t>
                    </w:r>
                  </w:sdtContent>
                </w:sdt>
              </w:p>
            </w:sdtContent>
          </w:sdt>
        </w:tc>
        <w:tc>
          <w:tcPr>
            <w:tcW w:w="345" w:type="pct"/>
          </w:tcPr>
          <w:sdt>
            <w:sdtPr>
              <w:rPr>
                <w:sz w:val="18"/>
                <w:szCs w:val="18"/>
              </w:rPr>
              <w:tag w:val="goog_rdk_153"/>
              <w:id w:val="546270556"/>
            </w:sdtPr>
            <w:sdtEndPr/>
            <w:sdtContent>
              <w:p w14:paraId="2845066E" w14:textId="77777777" w:rsidR="003155B0" w:rsidRPr="00320A32" w:rsidRDefault="009A507A" w:rsidP="003155B0">
                <w:pPr>
                  <w:pStyle w:val="Text1"/>
                  <w:spacing w:before="0" w:after="0"/>
                  <w:ind w:left="0"/>
                  <w:rPr>
                    <w:sz w:val="18"/>
                    <w:szCs w:val="18"/>
                  </w:rPr>
                </w:pPr>
                <w:sdt>
                  <w:sdtPr>
                    <w:rPr>
                      <w:sz w:val="18"/>
                      <w:szCs w:val="18"/>
                    </w:rPr>
                    <w:tag w:val="goog_rdk_152"/>
                    <w:id w:val="-1245029996"/>
                  </w:sdtPr>
                  <w:sdtEndPr/>
                  <w:sdtContent>
                    <w:r w:rsidR="003155B0" w:rsidRPr="00320A32">
                      <w:rPr>
                        <w:sz w:val="18"/>
                        <w:szCs w:val="18"/>
                      </w:rPr>
                      <w:t>r.4.2.3.a</w:t>
                    </w:r>
                  </w:sdtContent>
                </w:sdt>
              </w:p>
            </w:sdtContent>
          </w:sdt>
        </w:tc>
        <w:tc>
          <w:tcPr>
            <w:tcW w:w="766" w:type="pct"/>
            <w:shd w:val="clear" w:color="auto" w:fill="auto"/>
          </w:tcPr>
          <w:sdt>
            <w:sdtPr>
              <w:rPr>
                <w:sz w:val="18"/>
                <w:szCs w:val="18"/>
              </w:rPr>
              <w:tag w:val="goog_rdk_155"/>
              <w:id w:val="-382711431"/>
            </w:sdtPr>
            <w:sdtEndPr/>
            <w:sdtContent>
              <w:p w14:paraId="7B147D21" w14:textId="77777777" w:rsidR="003155B0" w:rsidRPr="00320A32" w:rsidRDefault="009A507A" w:rsidP="003155B0">
                <w:pPr>
                  <w:pStyle w:val="Text1"/>
                  <w:spacing w:before="0" w:after="0"/>
                  <w:ind w:left="0"/>
                  <w:rPr>
                    <w:sz w:val="18"/>
                    <w:szCs w:val="18"/>
                    <w:lang w:eastAsia="en-GB"/>
                  </w:rPr>
                </w:pPr>
                <w:sdt>
                  <w:sdtPr>
                    <w:rPr>
                      <w:sz w:val="18"/>
                      <w:szCs w:val="18"/>
                    </w:rPr>
                    <w:tag w:val="goog_rdk_154"/>
                    <w:id w:val="7330729"/>
                  </w:sdtPr>
                  <w:sdtEndPr/>
                  <w:sdtContent>
                    <w:r w:rsidR="003155B0" w:rsidRPr="00320A32">
                      <w:rPr>
                        <w:sz w:val="18"/>
                        <w:szCs w:val="18"/>
                      </w:rPr>
                      <w:t>Iestādes, kas veicinājušas vienlīdzīgu piekļuvi kvalitatīvai un iekļaujošai izglītībai pašvaldībās, jo īpaši nelabvēlīgā situācijā esošiem bērniem un jauniešiem</w:t>
                    </w:r>
                  </w:sdtContent>
                </w:sdt>
              </w:p>
            </w:sdtContent>
          </w:sdt>
        </w:tc>
        <w:tc>
          <w:tcPr>
            <w:tcW w:w="446" w:type="pct"/>
          </w:tcPr>
          <w:sdt>
            <w:sdtPr>
              <w:rPr>
                <w:sz w:val="18"/>
                <w:szCs w:val="18"/>
              </w:rPr>
              <w:tag w:val="goog_rdk_157"/>
              <w:id w:val="1354771285"/>
            </w:sdtPr>
            <w:sdtEndPr/>
            <w:sdtContent>
              <w:p w14:paraId="5C114CA7" w14:textId="77777777" w:rsidR="003155B0" w:rsidRPr="00320A32" w:rsidRDefault="009A507A" w:rsidP="003155B0">
                <w:pPr>
                  <w:pStyle w:val="Text1"/>
                  <w:spacing w:before="0" w:after="0"/>
                  <w:ind w:left="0"/>
                  <w:rPr>
                    <w:noProof/>
                    <w:sz w:val="18"/>
                    <w:szCs w:val="18"/>
                  </w:rPr>
                </w:pPr>
                <w:sdt>
                  <w:sdtPr>
                    <w:rPr>
                      <w:sz w:val="18"/>
                      <w:szCs w:val="18"/>
                    </w:rPr>
                    <w:tag w:val="goog_rdk_156"/>
                    <w:id w:val="-1611662374"/>
                  </w:sdtPr>
                  <w:sdtEndPr/>
                  <w:sdtContent>
                    <w:r w:rsidR="003155B0" w:rsidRPr="00320A32">
                      <w:rPr>
                        <w:sz w:val="18"/>
                        <w:szCs w:val="18"/>
                      </w:rPr>
                      <w:t>Iestāžu skaits</w:t>
                    </w:r>
                  </w:sdtContent>
                </w:sdt>
              </w:p>
            </w:sdtContent>
          </w:sdt>
        </w:tc>
        <w:tc>
          <w:tcPr>
            <w:tcW w:w="360" w:type="pct"/>
          </w:tcPr>
          <w:sdt>
            <w:sdtPr>
              <w:rPr>
                <w:sz w:val="18"/>
                <w:szCs w:val="18"/>
              </w:rPr>
              <w:tag w:val="goog_rdk_159"/>
              <w:id w:val="1222170823"/>
            </w:sdtPr>
            <w:sdtEndPr/>
            <w:sdtContent>
              <w:p w14:paraId="1EB691A4" w14:textId="77777777" w:rsidR="003155B0" w:rsidRPr="00320A32" w:rsidRDefault="009A507A" w:rsidP="003155B0">
                <w:pPr>
                  <w:pStyle w:val="Text1"/>
                  <w:spacing w:before="0" w:after="0"/>
                  <w:ind w:left="0"/>
                  <w:rPr>
                    <w:noProof/>
                    <w:sz w:val="18"/>
                    <w:szCs w:val="18"/>
                  </w:rPr>
                </w:pPr>
                <w:sdt>
                  <w:sdtPr>
                    <w:rPr>
                      <w:sz w:val="18"/>
                      <w:szCs w:val="18"/>
                    </w:rPr>
                    <w:tag w:val="goog_rdk_158"/>
                    <w:id w:val="-1047072931"/>
                  </w:sdtPr>
                  <w:sdtEndPr/>
                  <w:sdtContent>
                    <w:r w:rsidR="003155B0" w:rsidRPr="00320A32">
                      <w:rPr>
                        <w:sz w:val="18"/>
                        <w:szCs w:val="18"/>
                      </w:rPr>
                      <w:t>0</w:t>
                    </w:r>
                  </w:sdtContent>
                </w:sdt>
              </w:p>
            </w:sdtContent>
          </w:sdt>
        </w:tc>
        <w:tc>
          <w:tcPr>
            <w:tcW w:w="421" w:type="pct"/>
          </w:tcPr>
          <w:sdt>
            <w:sdtPr>
              <w:rPr>
                <w:sz w:val="18"/>
                <w:szCs w:val="18"/>
              </w:rPr>
              <w:tag w:val="goog_rdk_161"/>
              <w:id w:val="1052972452"/>
            </w:sdtPr>
            <w:sdtEndPr/>
            <w:sdtContent>
              <w:p w14:paraId="5CFDF46D" w14:textId="77777777" w:rsidR="003155B0" w:rsidRPr="00320A32" w:rsidRDefault="009A507A" w:rsidP="003155B0">
                <w:pPr>
                  <w:pStyle w:val="Text1"/>
                  <w:spacing w:before="0" w:after="0"/>
                  <w:ind w:left="0"/>
                  <w:rPr>
                    <w:noProof/>
                    <w:sz w:val="18"/>
                    <w:szCs w:val="18"/>
                  </w:rPr>
                </w:pPr>
                <w:sdt>
                  <w:sdtPr>
                    <w:rPr>
                      <w:sz w:val="18"/>
                      <w:szCs w:val="18"/>
                    </w:rPr>
                    <w:tag w:val="goog_rdk_160"/>
                    <w:id w:val="2048177765"/>
                  </w:sdtPr>
                  <w:sdtEndPr/>
                  <w:sdtContent>
                    <w:r w:rsidR="003155B0" w:rsidRPr="00320A32">
                      <w:rPr>
                        <w:sz w:val="18"/>
                        <w:szCs w:val="18"/>
                      </w:rPr>
                      <w:t>2020</w:t>
                    </w:r>
                  </w:sdtContent>
                </w:sdt>
              </w:p>
            </w:sdtContent>
          </w:sdt>
        </w:tc>
        <w:tc>
          <w:tcPr>
            <w:tcW w:w="478" w:type="pct"/>
            <w:shd w:val="clear" w:color="auto" w:fill="auto"/>
          </w:tcPr>
          <w:sdt>
            <w:sdtPr>
              <w:rPr>
                <w:sz w:val="18"/>
                <w:szCs w:val="18"/>
              </w:rPr>
              <w:tag w:val="goog_rdk_163"/>
              <w:id w:val="-1345402221"/>
            </w:sdtPr>
            <w:sdtEndPr/>
            <w:sdtContent>
              <w:p w14:paraId="1596EE1D" w14:textId="77777777" w:rsidR="003155B0" w:rsidRPr="00320A32" w:rsidRDefault="009A507A" w:rsidP="003155B0">
                <w:pPr>
                  <w:spacing w:before="0" w:after="0"/>
                  <w:rPr>
                    <w:noProof/>
                    <w:sz w:val="18"/>
                    <w:szCs w:val="18"/>
                  </w:rPr>
                </w:pPr>
                <w:sdt>
                  <w:sdtPr>
                    <w:rPr>
                      <w:sz w:val="18"/>
                      <w:szCs w:val="18"/>
                    </w:rPr>
                    <w:tag w:val="goog_rdk_162"/>
                    <w:id w:val="-643511021"/>
                  </w:sdtPr>
                  <w:sdtEndPr/>
                  <w:sdtContent>
                    <w:r w:rsidR="003155B0" w:rsidRPr="00320A32">
                      <w:rPr>
                        <w:sz w:val="18"/>
                        <w:szCs w:val="18"/>
                      </w:rPr>
                      <w:t>42</w:t>
                    </w:r>
                  </w:sdtContent>
                </w:sdt>
              </w:p>
            </w:sdtContent>
          </w:sdt>
        </w:tc>
        <w:tc>
          <w:tcPr>
            <w:tcW w:w="469" w:type="pct"/>
            <w:shd w:val="clear" w:color="auto" w:fill="auto"/>
          </w:tcPr>
          <w:sdt>
            <w:sdtPr>
              <w:rPr>
                <w:sz w:val="18"/>
                <w:szCs w:val="18"/>
              </w:rPr>
              <w:tag w:val="goog_rdk_165"/>
              <w:id w:val="-1112270767"/>
            </w:sdtPr>
            <w:sdtEndPr/>
            <w:sdtContent>
              <w:p w14:paraId="5A399351" w14:textId="77777777" w:rsidR="003155B0" w:rsidRPr="00320A32" w:rsidRDefault="009A507A" w:rsidP="003155B0">
                <w:pPr>
                  <w:pStyle w:val="Text1"/>
                  <w:spacing w:before="0" w:after="0"/>
                  <w:ind w:left="0"/>
                  <w:rPr>
                    <w:noProof/>
                    <w:sz w:val="18"/>
                    <w:szCs w:val="18"/>
                  </w:rPr>
                </w:pPr>
                <w:sdt>
                  <w:sdtPr>
                    <w:rPr>
                      <w:sz w:val="18"/>
                      <w:szCs w:val="18"/>
                    </w:rPr>
                    <w:tag w:val="goog_rdk_164"/>
                    <w:id w:val="678010138"/>
                  </w:sdtPr>
                  <w:sdtEndPr/>
                  <w:sdtContent>
                    <w:r w:rsidR="003155B0" w:rsidRPr="00320A32">
                      <w:rPr>
                        <w:sz w:val="18"/>
                        <w:szCs w:val="18"/>
                      </w:rPr>
                      <w:t>Projektu dati</w:t>
                    </w:r>
                  </w:sdtContent>
                </w:sdt>
              </w:p>
            </w:sdtContent>
          </w:sdt>
        </w:tc>
        <w:tc>
          <w:tcPr>
            <w:tcW w:w="588" w:type="pct"/>
          </w:tcPr>
          <w:p w14:paraId="6DD580E3" w14:textId="77777777" w:rsidR="003155B0" w:rsidRPr="00320A32" w:rsidRDefault="009A507A" w:rsidP="003155B0">
            <w:pPr>
              <w:spacing w:before="0" w:after="0"/>
              <w:rPr>
                <w:i/>
                <w:noProof/>
                <w:sz w:val="18"/>
                <w:szCs w:val="18"/>
              </w:rPr>
            </w:pPr>
            <w:sdt>
              <w:sdtPr>
                <w:rPr>
                  <w:sz w:val="18"/>
                  <w:szCs w:val="18"/>
                </w:rPr>
                <w:tag w:val="goog_rdk_167"/>
                <w:id w:val="1113173967"/>
              </w:sdtPr>
              <w:sdtEndPr/>
              <w:sdtContent>
                <w:sdt>
                  <w:sdtPr>
                    <w:rPr>
                      <w:sz w:val="18"/>
                      <w:szCs w:val="18"/>
                    </w:rPr>
                    <w:tag w:val="goog_rdk_166"/>
                    <w:id w:val="-32040958"/>
                  </w:sdtPr>
                  <w:sdtEndPr/>
                  <w:sdtContent>
                    <w:r w:rsidR="003155B0" w:rsidRPr="00320A32">
                      <w:rPr>
                        <w:sz w:val="18"/>
                        <w:szCs w:val="18"/>
                      </w:rPr>
                      <w:t>Programmas specifiskais rezultāta rādītājs</w:t>
                    </w:r>
                  </w:sdtContent>
                </w:sdt>
              </w:sdtContent>
            </w:sdt>
          </w:p>
        </w:tc>
      </w:tr>
      <w:tr w:rsidR="003155B0" w:rsidRPr="00BF555E" w14:paraId="07324BEB" w14:textId="77777777" w:rsidTr="003155B0">
        <w:trPr>
          <w:trHeight w:val="286"/>
        </w:trPr>
        <w:tc>
          <w:tcPr>
            <w:tcW w:w="440" w:type="pct"/>
          </w:tcPr>
          <w:p w14:paraId="4D347C7F" w14:textId="77777777" w:rsidR="003155B0" w:rsidRPr="00BF555E" w:rsidRDefault="003155B0" w:rsidP="003155B0">
            <w:pPr>
              <w:spacing w:before="0" w:after="0"/>
              <w:rPr>
                <w:noProof/>
                <w:sz w:val="18"/>
                <w:szCs w:val="18"/>
              </w:rPr>
            </w:pPr>
            <w:r w:rsidRPr="00BF555E">
              <w:rPr>
                <w:noProof/>
                <w:sz w:val="18"/>
                <w:szCs w:val="18"/>
              </w:rPr>
              <w:t>4.2.prioritāte</w:t>
            </w:r>
          </w:p>
          <w:p w14:paraId="7198FE62" w14:textId="77777777" w:rsidR="003155B0" w:rsidRPr="00BF555E" w:rsidRDefault="003155B0" w:rsidP="003155B0">
            <w:pPr>
              <w:pStyle w:val="Text1"/>
              <w:spacing w:before="0" w:after="0"/>
              <w:ind w:left="0"/>
              <w:rPr>
                <w:i/>
                <w:noProof/>
                <w:sz w:val="18"/>
                <w:szCs w:val="18"/>
              </w:rPr>
            </w:pPr>
          </w:p>
        </w:tc>
        <w:tc>
          <w:tcPr>
            <w:tcW w:w="398" w:type="pct"/>
          </w:tcPr>
          <w:p w14:paraId="1563E52C" w14:textId="77777777" w:rsidR="003155B0" w:rsidRPr="00BF555E" w:rsidRDefault="003155B0" w:rsidP="003155B0">
            <w:pPr>
              <w:spacing w:before="0" w:after="0"/>
              <w:rPr>
                <w:noProof/>
                <w:sz w:val="18"/>
                <w:szCs w:val="18"/>
              </w:rPr>
            </w:pPr>
            <w:r w:rsidRPr="00BF555E">
              <w:rPr>
                <w:noProof/>
                <w:sz w:val="18"/>
                <w:szCs w:val="18"/>
              </w:rPr>
              <w:t>4.2.3.SAM</w:t>
            </w:r>
          </w:p>
          <w:p w14:paraId="345B8E4B" w14:textId="77777777" w:rsidR="003155B0" w:rsidRPr="00BF555E" w:rsidRDefault="003155B0" w:rsidP="003155B0">
            <w:pPr>
              <w:pStyle w:val="Text1"/>
              <w:spacing w:before="0" w:after="0"/>
              <w:ind w:left="0"/>
              <w:rPr>
                <w:noProof/>
                <w:sz w:val="18"/>
                <w:szCs w:val="18"/>
              </w:rPr>
            </w:pPr>
          </w:p>
        </w:tc>
        <w:tc>
          <w:tcPr>
            <w:tcW w:w="289" w:type="pct"/>
          </w:tcPr>
          <w:p w14:paraId="376EADC3" w14:textId="77777777" w:rsidR="003155B0" w:rsidRPr="00BF555E" w:rsidRDefault="003155B0" w:rsidP="003155B0">
            <w:pPr>
              <w:pStyle w:val="Text1"/>
              <w:spacing w:before="0" w:after="0"/>
              <w:ind w:left="0"/>
              <w:rPr>
                <w:i/>
                <w:noProof/>
                <w:sz w:val="18"/>
                <w:szCs w:val="18"/>
              </w:rPr>
            </w:pPr>
            <w:r w:rsidRPr="00BF555E">
              <w:rPr>
                <w:noProof/>
                <w:sz w:val="18"/>
                <w:szCs w:val="18"/>
              </w:rPr>
              <w:t>ESF</w:t>
            </w:r>
          </w:p>
        </w:tc>
        <w:tc>
          <w:tcPr>
            <w:tcW w:w="345" w:type="pct"/>
          </w:tcPr>
          <w:p w14:paraId="2C0CD580" w14:textId="77777777" w:rsidR="003155B0" w:rsidRPr="00BF555E" w:rsidRDefault="003155B0" w:rsidP="003155B0">
            <w:pPr>
              <w:pStyle w:val="Text1"/>
              <w:spacing w:before="0" w:after="0"/>
              <w:ind w:left="0"/>
              <w:rPr>
                <w:i/>
                <w:noProof/>
                <w:sz w:val="18"/>
                <w:szCs w:val="18"/>
              </w:rPr>
            </w:pPr>
            <w:r w:rsidRPr="00BF555E">
              <w:rPr>
                <w:sz w:val="18"/>
                <w:szCs w:val="18"/>
              </w:rPr>
              <w:t>CR02</w:t>
            </w:r>
          </w:p>
        </w:tc>
        <w:tc>
          <w:tcPr>
            <w:tcW w:w="766" w:type="pct"/>
            <w:shd w:val="clear" w:color="auto" w:fill="auto"/>
          </w:tcPr>
          <w:p w14:paraId="03676A2B" w14:textId="77777777" w:rsidR="003155B0" w:rsidRPr="00BF555E" w:rsidRDefault="003155B0" w:rsidP="003155B0">
            <w:pPr>
              <w:pStyle w:val="Text1"/>
              <w:spacing w:before="0" w:after="0"/>
              <w:ind w:left="0"/>
              <w:rPr>
                <w:i/>
                <w:noProof/>
                <w:sz w:val="18"/>
                <w:szCs w:val="18"/>
              </w:rPr>
            </w:pPr>
            <w:r w:rsidRPr="00BF555E">
              <w:rPr>
                <w:sz w:val="18"/>
                <w:szCs w:val="18"/>
                <w:lang w:eastAsia="en-GB"/>
              </w:rPr>
              <w:t>Dalībnieki, kuri iesaistīti izglītībā vai mācībās pēc dalības pārtraukšanas</w:t>
            </w:r>
          </w:p>
        </w:tc>
        <w:tc>
          <w:tcPr>
            <w:tcW w:w="446" w:type="pct"/>
          </w:tcPr>
          <w:p w14:paraId="31609EDB" w14:textId="77777777" w:rsidR="003155B0" w:rsidRPr="00BF555E" w:rsidRDefault="003155B0" w:rsidP="003155B0">
            <w:pPr>
              <w:pStyle w:val="Text1"/>
              <w:spacing w:before="0" w:after="0"/>
              <w:ind w:left="0"/>
              <w:rPr>
                <w:noProof/>
                <w:sz w:val="18"/>
                <w:szCs w:val="18"/>
              </w:rPr>
            </w:pPr>
            <w:r w:rsidRPr="00BF555E">
              <w:rPr>
                <w:noProof/>
                <w:sz w:val="18"/>
                <w:szCs w:val="18"/>
              </w:rPr>
              <w:t>Dalībnieku skaits</w:t>
            </w:r>
          </w:p>
        </w:tc>
        <w:tc>
          <w:tcPr>
            <w:tcW w:w="360" w:type="pct"/>
          </w:tcPr>
          <w:p w14:paraId="62BB09FA" w14:textId="77777777" w:rsidR="003155B0" w:rsidRPr="00BF555E" w:rsidRDefault="003155B0" w:rsidP="003155B0">
            <w:pPr>
              <w:pStyle w:val="Text1"/>
              <w:spacing w:before="0" w:after="0"/>
              <w:ind w:left="0"/>
              <w:rPr>
                <w:i/>
                <w:noProof/>
                <w:sz w:val="18"/>
                <w:szCs w:val="18"/>
              </w:rPr>
            </w:pPr>
            <w:r>
              <w:rPr>
                <w:noProof/>
                <w:sz w:val="18"/>
                <w:szCs w:val="18"/>
              </w:rPr>
              <w:t>378</w:t>
            </w:r>
          </w:p>
        </w:tc>
        <w:tc>
          <w:tcPr>
            <w:tcW w:w="421" w:type="pct"/>
          </w:tcPr>
          <w:p w14:paraId="3C7AB488" w14:textId="77777777" w:rsidR="003155B0" w:rsidRPr="00BF555E" w:rsidRDefault="003155B0" w:rsidP="003155B0">
            <w:pPr>
              <w:pStyle w:val="Text1"/>
              <w:spacing w:before="0" w:after="0"/>
              <w:ind w:left="0"/>
              <w:rPr>
                <w:b/>
                <w:noProof/>
                <w:sz w:val="18"/>
                <w:szCs w:val="18"/>
              </w:rPr>
            </w:pPr>
            <w:r w:rsidRPr="00BF555E">
              <w:rPr>
                <w:noProof/>
                <w:sz w:val="18"/>
                <w:szCs w:val="18"/>
              </w:rPr>
              <w:t>2021</w:t>
            </w:r>
          </w:p>
        </w:tc>
        <w:tc>
          <w:tcPr>
            <w:tcW w:w="478" w:type="pct"/>
            <w:shd w:val="clear" w:color="auto" w:fill="auto"/>
          </w:tcPr>
          <w:p w14:paraId="4A6C90C9" w14:textId="77777777" w:rsidR="003155B0" w:rsidRPr="00BF555E" w:rsidRDefault="003155B0" w:rsidP="003155B0">
            <w:pPr>
              <w:spacing w:before="0" w:after="0"/>
              <w:rPr>
                <w:noProof/>
                <w:sz w:val="18"/>
                <w:szCs w:val="18"/>
              </w:rPr>
            </w:pPr>
            <w:r w:rsidRPr="00BF555E">
              <w:rPr>
                <w:noProof/>
                <w:sz w:val="18"/>
                <w:szCs w:val="18"/>
              </w:rPr>
              <w:t>IZM: 1230</w:t>
            </w:r>
          </w:p>
          <w:p w14:paraId="41FB3E85" w14:textId="77777777" w:rsidR="003155B0" w:rsidRPr="00BF555E" w:rsidRDefault="003155B0" w:rsidP="003155B0">
            <w:pPr>
              <w:pStyle w:val="Text1"/>
              <w:spacing w:before="0" w:after="0"/>
              <w:ind w:left="0"/>
              <w:jc w:val="center"/>
              <w:rPr>
                <w:b/>
                <w:noProof/>
                <w:sz w:val="18"/>
                <w:szCs w:val="18"/>
              </w:rPr>
            </w:pPr>
          </w:p>
        </w:tc>
        <w:tc>
          <w:tcPr>
            <w:tcW w:w="469" w:type="pct"/>
            <w:shd w:val="clear" w:color="auto" w:fill="auto"/>
          </w:tcPr>
          <w:p w14:paraId="5E9A4370" w14:textId="77777777" w:rsidR="003155B0" w:rsidRPr="00BF555E" w:rsidRDefault="003155B0" w:rsidP="003155B0">
            <w:pPr>
              <w:pStyle w:val="Text1"/>
              <w:spacing w:before="0" w:after="0"/>
              <w:ind w:left="0"/>
              <w:rPr>
                <w:i/>
                <w:noProof/>
                <w:sz w:val="18"/>
                <w:szCs w:val="18"/>
              </w:rPr>
            </w:pPr>
            <w:r w:rsidRPr="00BF555E">
              <w:rPr>
                <w:noProof/>
                <w:sz w:val="18"/>
                <w:szCs w:val="18"/>
              </w:rPr>
              <w:t>Projekta dati</w:t>
            </w:r>
          </w:p>
        </w:tc>
        <w:tc>
          <w:tcPr>
            <w:tcW w:w="588" w:type="pct"/>
          </w:tcPr>
          <w:p w14:paraId="5F1A18B2" w14:textId="77777777" w:rsidR="003155B0" w:rsidRPr="00BF555E" w:rsidRDefault="003155B0" w:rsidP="003155B0">
            <w:pPr>
              <w:spacing w:before="0" w:after="0"/>
              <w:rPr>
                <w:i/>
                <w:noProof/>
                <w:sz w:val="18"/>
                <w:szCs w:val="18"/>
              </w:rPr>
            </w:pPr>
            <w:r w:rsidRPr="00BF555E">
              <w:rPr>
                <w:i/>
                <w:noProof/>
                <w:sz w:val="18"/>
                <w:szCs w:val="18"/>
              </w:rPr>
              <w:t>IZM: veidlapas “Noslēguma ziņojums par individuālās pasākumu programmas ietekmi uz mērķa grupas dalībnieku” dati (aizpilda jaunieši, kas sekmīgi izpildījuši individuālo pasākumu programmu)</w:t>
            </w:r>
          </w:p>
        </w:tc>
      </w:tr>
      <w:tr w:rsidR="003155B0" w:rsidRPr="00BF555E" w14:paraId="649F11D9" w14:textId="77777777" w:rsidTr="003155B0">
        <w:trPr>
          <w:trHeight w:val="286"/>
        </w:trPr>
        <w:tc>
          <w:tcPr>
            <w:tcW w:w="440" w:type="pct"/>
          </w:tcPr>
          <w:p w14:paraId="2F973563" w14:textId="77777777" w:rsidR="003155B0" w:rsidRPr="00BF555E" w:rsidRDefault="003155B0" w:rsidP="003155B0">
            <w:pPr>
              <w:spacing w:before="0" w:after="0"/>
              <w:rPr>
                <w:noProof/>
                <w:sz w:val="18"/>
                <w:szCs w:val="18"/>
              </w:rPr>
            </w:pPr>
            <w:r w:rsidRPr="00BF555E">
              <w:rPr>
                <w:noProof/>
                <w:sz w:val="18"/>
                <w:szCs w:val="18"/>
              </w:rPr>
              <w:t>4.3.prioritāte</w:t>
            </w:r>
          </w:p>
        </w:tc>
        <w:tc>
          <w:tcPr>
            <w:tcW w:w="398" w:type="pct"/>
          </w:tcPr>
          <w:p w14:paraId="56E7E796" w14:textId="77777777" w:rsidR="003155B0" w:rsidRPr="00BF555E" w:rsidRDefault="003155B0" w:rsidP="003155B0">
            <w:pPr>
              <w:spacing w:before="0" w:after="0"/>
              <w:rPr>
                <w:noProof/>
                <w:sz w:val="18"/>
                <w:szCs w:val="18"/>
              </w:rPr>
            </w:pPr>
            <w:r w:rsidRPr="00BF555E">
              <w:rPr>
                <w:noProof/>
                <w:sz w:val="18"/>
                <w:szCs w:val="18"/>
              </w:rPr>
              <w:t>4.3.6.SAM</w:t>
            </w:r>
          </w:p>
        </w:tc>
        <w:tc>
          <w:tcPr>
            <w:tcW w:w="289" w:type="pct"/>
          </w:tcPr>
          <w:p w14:paraId="19AC506B" w14:textId="77777777" w:rsidR="003155B0" w:rsidRPr="00BF555E" w:rsidRDefault="003155B0" w:rsidP="003155B0">
            <w:pPr>
              <w:pStyle w:val="Text1"/>
              <w:spacing w:before="0" w:after="0"/>
              <w:ind w:left="0"/>
              <w:rPr>
                <w:noProof/>
                <w:sz w:val="18"/>
                <w:szCs w:val="18"/>
              </w:rPr>
            </w:pPr>
            <w:r w:rsidRPr="00BF555E">
              <w:rPr>
                <w:noProof/>
                <w:sz w:val="18"/>
                <w:szCs w:val="18"/>
              </w:rPr>
              <w:t>ESF</w:t>
            </w:r>
          </w:p>
        </w:tc>
        <w:tc>
          <w:tcPr>
            <w:tcW w:w="345" w:type="pct"/>
          </w:tcPr>
          <w:p w14:paraId="0295D412" w14:textId="77777777" w:rsidR="003155B0" w:rsidRPr="00BF555E" w:rsidRDefault="003155B0" w:rsidP="003155B0">
            <w:pPr>
              <w:pStyle w:val="Text1"/>
              <w:spacing w:before="0" w:after="0"/>
              <w:ind w:left="0"/>
              <w:rPr>
                <w:sz w:val="18"/>
                <w:szCs w:val="18"/>
              </w:rPr>
            </w:pPr>
            <w:r w:rsidRPr="00BF555E">
              <w:rPr>
                <w:sz w:val="18"/>
                <w:szCs w:val="18"/>
              </w:rPr>
              <w:t>CR02</w:t>
            </w:r>
          </w:p>
        </w:tc>
        <w:tc>
          <w:tcPr>
            <w:tcW w:w="766" w:type="pct"/>
            <w:shd w:val="clear" w:color="auto" w:fill="auto"/>
          </w:tcPr>
          <w:p w14:paraId="48F556AF" w14:textId="77777777" w:rsidR="003155B0" w:rsidRPr="00BF555E" w:rsidRDefault="003155B0" w:rsidP="003155B0">
            <w:pPr>
              <w:pStyle w:val="Text1"/>
              <w:spacing w:before="0" w:after="0"/>
              <w:ind w:left="0"/>
              <w:rPr>
                <w:sz w:val="18"/>
                <w:szCs w:val="18"/>
                <w:lang w:eastAsia="en-GB"/>
              </w:rPr>
            </w:pPr>
            <w:r w:rsidRPr="00BF555E">
              <w:rPr>
                <w:sz w:val="18"/>
                <w:szCs w:val="18"/>
                <w:lang w:eastAsia="en-GB"/>
              </w:rPr>
              <w:t>Dalībnieki, kuri iesaistīti izglītībā vai mācībās pēc dalības pārtraukšanas</w:t>
            </w:r>
          </w:p>
        </w:tc>
        <w:tc>
          <w:tcPr>
            <w:tcW w:w="446" w:type="pct"/>
          </w:tcPr>
          <w:p w14:paraId="070B4E7F" w14:textId="77777777" w:rsidR="003155B0" w:rsidRPr="00BF555E" w:rsidRDefault="003155B0" w:rsidP="003155B0">
            <w:pPr>
              <w:pStyle w:val="Text1"/>
              <w:spacing w:before="0" w:after="0"/>
              <w:ind w:left="0"/>
              <w:rPr>
                <w:noProof/>
                <w:sz w:val="18"/>
                <w:szCs w:val="18"/>
              </w:rPr>
            </w:pPr>
            <w:r w:rsidRPr="00BF555E">
              <w:rPr>
                <w:noProof/>
                <w:sz w:val="18"/>
                <w:szCs w:val="18"/>
              </w:rPr>
              <w:t>Dalībnieku skaits</w:t>
            </w:r>
          </w:p>
        </w:tc>
        <w:tc>
          <w:tcPr>
            <w:tcW w:w="360" w:type="pct"/>
          </w:tcPr>
          <w:p w14:paraId="57CF1D3A" w14:textId="77777777" w:rsidR="003155B0" w:rsidRPr="00BF555E" w:rsidRDefault="003155B0" w:rsidP="003155B0">
            <w:pPr>
              <w:pStyle w:val="Text1"/>
              <w:spacing w:before="0" w:after="0"/>
              <w:ind w:left="0"/>
              <w:rPr>
                <w:noProof/>
                <w:sz w:val="18"/>
                <w:szCs w:val="18"/>
              </w:rPr>
            </w:pPr>
            <w:r w:rsidRPr="00BF555E">
              <w:rPr>
                <w:noProof/>
                <w:sz w:val="18"/>
                <w:szCs w:val="18"/>
              </w:rPr>
              <w:t>0</w:t>
            </w:r>
          </w:p>
        </w:tc>
        <w:tc>
          <w:tcPr>
            <w:tcW w:w="421" w:type="pct"/>
          </w:tcPr>
          <w:p w14:paraId="3FA111A9" w14:textId="77777777" w:rsidR="003155B0" w:rsidRPr="00BF555E" w:rsidRDefault="003155B0" w:rsidP="003155B0">
            <w:pPr>
              <w:pStyle w:val="Text1"/>
              <w:spacing w:before="0" w:after="0"/>
              <w:ind w:left="0"/>
              <w:rPr>
                <w:noProof/>
                <w:sz w:val="18"/>
                <w:szCs w:val="18"/>
              </w:rPr>
            </w:pPr>
            <w:r w:rsidRPr="00BF555E">
              <w:rPr>
                <w:noProof/>
                <w:sz w:val="18"/>
                <w:szCs w:val="18"/>
              </w:rPr>
              <w:t>2021</w:t>
            </w:r>
          </w:p>
        </w:tc>
        <w:tc>
          <w:tcPr>
            <w:tcW w:w="478" w:type="pct"/>
            <w:shd w:val="clear" w:color="auto" w:fill="auto"/>
          </w:tcPr>
          <w:p w14:paraId="212F6733" w14:textId="77777777" w:rsidR="003155B0" w:rsidRPr="00BF555E" w:rsidRDefault="003155B0" w:rsidP="003155B0">
            <w:pPr>
              <w:spacing w:before="0" w:after="0"/>
              <w:jc w:val="center"/>
              <w:rPr>
                <w:noProof/>
                <w:sz w:val="18"/>
                <w:szCs w:val="18"/>
              </w:rPr>
            </w:pPr>
            <w:r>
              <w:rPr>
                <w:noProof/>
                <w:sz w:val="18"/>
                <w:szCs w:val="18"/>
              </w:rPr>
              <w:t xml:space="preserve">706 </w:t>
            </w:r>
          </w:p>
        </w:tc>
        <w:tc>
          <w:tcPr>
            <w:tcW w:w="469" w:type="pct"/>
            <w:shd w:val="clear" w:color="auto" w:fill="auto"/>
          </w:tcPr>
          <w:p w14:paraId="3296CB19" w14:textId="77777777" w:rsidR="003155B0" w:rsidRPr="00BF555E" w:rsidRDefault="003155B0" w:rsidP="003155B0">
            <w:pPr>
              <w:pStyle w:val="Text1"/>
              <w:spacing w:before="0" w:after="0"/>
              <w:ind w:left="0"/>
              <w:rPr>
                <w:noProof/>
                <w:sz w:val="18"/>
                <w:szCs w:val="18"/>
              </w:rPr>
            </w:pPr>
            <w:r w:rsidRPr="00BF555E">
              <w:rPr>
                <w:noProof/>
                <w:sz w:val="18"/>
                <w:szCs w:val="18"/>
              </w:rPr>
              <w:t>Projekta dati</w:t>
            </w:r>
          </w:p>
        </w:tc>
        <w:tc>
          <w:tcPr>
            <w:tcW w:w="588" w:type="pct"/>
          </w:tcPr>
          <w:p w14:paraId="5DFA4111" w14:textId="77777777" w:rsidR="003155B0" w:rsidRPr="00BF555E" w:rsidRDefault="003155B0" w:rsidP="003155B0">
            <w:pPr>
              <w:spacing w:before="0" w:after="0"/>
              <w:rPr>
                <w:noProof/>
                <w:sz w:val="18"/>
                <w:szCs w:val="18"/>
              </w:rPr>
            </w:pPr>
            <w:r w:rsidRPr="00BF555E">
              <w:rPr>
                <w:noProof/>
                <w:sz w:val="18"/>
                <w:szCs w:val="18"/>
              </w:rPr>
              <w:t>PKC: Uzskaita bērnus, kuri pateicoties saņemtai intervencei turpina izglītības ieguvi iekļaujošas izglītības procesā</w:t>
            </w:r>
          </w:p>
        </w:tc>
      </w:tr>
      <w:tr w:rsidR="003155B0" w:rsidRPr="00BF555E" w14:paraId="4EED925C" w14:textId="77777777" w:rsidTr="003155B0">
        <w:trPr>
          <w:trHeight w:val="286"/>
        </w:trPr>
        <w:tc>
          <w:tcPr>
            <w:tcW w:w="440" w:type="pct"/>
          </w:tcPr>
          <w:p w14:paraId="457CA885" w14:textId="77777777" w:rsidR="003155B0" w:rsidRPr="00BF555E" w:rsidRDefault="003155B0" w:rsidP="003155B0">
            <w:pPr>
              <w:spacing w:before="0" w:after="0"/>
              <w:rPr>
                <w:noProof/>
                <w:sz w:val="18"/>
                <w:szCs w:val="18"/>
              </w:rPr>
            </w:pPr>
            <w:r>
              <w:rPr>
                <w:noProof/>
                <w:sz w:val="18"/>
                <w:szCs w:val="18"/>
              </w:rPr>
              <w:t>4.1.prioritāte</w:t>
            </w:r>
          </w:p>
        </w:tc>
        <w:tc>
          <w:tcPr>
            <w:tcW w:w="398" w:type="pct"/>
          </w:tcPr>
          <w:p w14:paraId="5A59C55D" w14:textId="77777777" w:rsidR="003155B0" w:rsidRPr="00BF555E" w:rsidRDefault="003155B0" w:rsidP="003155B0">
            <w:pPr>
              <w:spacing w:before="0" w:after="0"/>
              <w:rPr>
                <w:noProof/>
                <w:sz w:val="18"/>
                <w:szCs w:val="18"/>
              </w:rPr>
            </w:pPr>
            <w:r>
              <w:rPr>
                <w:noProof/>
                <w:sz w:val="18"/>
                <w:szCs w:val="18"/>
              </w:rPr>
              <w:t>4.1.2.SAM</w:t>
            </w:r>
          </w:p>
        </w:tc>
        <w:tc>
          <w:tcPr>
            <w:tcW w:w="289" w:type="pct"/>
          </w:tcPr>
          <w:p w14:paraId="40F572D4" w14:textId="77777777" w:rsidR="003155B0" w:rsidRPr="00BF555E" w:rsidRDefault="003155B0" w:rsidP="003155B0">
            <w:pPr>
              <w:pStyle w:val="Text1"/>
              <w:spacing w:before="0" w:after="0"/>
              <w:ind w:left="0"/>
              <w:rPr>
                <w:noProof/>
                <w:sz w:val="18"/>
                <w:szCs w:val="18"/>
              </w:rPr>
            </w:pPr>
            <w:r>
              <w:rPr>
                <w:noProof/>
                <w:sz w:val="18"/>
                <w:szCs w:val="18"/>
              </w:rPr>
              <w:t>ESF</w:t>
            </w:r>
          </w:p>
        </w:tc>
        <w:tc>
          <w:tcPr>
            <w:tcW w:w="345" w:type="pct"/>
          </w:tcPr>
          <w:p w14:paraId="2342F407" w14:textId="77777777" w:rsidR="003155B0" w:rsidRPr="00BF555E" w:rsidRDefault="003155B0" w:rsidP="003155B0">
            <w:pPr>
              <w:pStyle w:val="Text1"/>
              <w:spacing w:before="0" w:after="0"/>
              <w:ind w:left="0"/>
              <w:rPr>
                <w:sz w:val="18"/>
                <w:szCs w:val="18"/>
              </w:rPr>
            </w:pPr>
            <w:r>
              <w:rPr>
                <w:sz w:val="18"/>
                <w:szCs w:val="18"/>
              </w:rPr>
              <w:t>r.4.1.2.a</w:t>
            </w:r>
          </w:p>
        </w:tc>
        <w:tc>
          <w:tcPr>
            <w:tcW w:w="766" w:type="pct"/>
            <w:shd w:val="clear" w:color="auto" w:fill="auto"/>
          </w:tcPr>
          <w:p w14:paraId="5A986F2F" w14:textId="77777777" w:rsidR="003155B0" w:rsidRPr="00BF555E" w:rsidRDefault="003155B0" w:rsidP="003155B0">
            <w:pPr>
              <w:pStyle w:val="Text1"/>
              <w:spacing w:before="0" w:after="0"/>
              <w:ind w:left="0"/>
              <w:rPr>
                <w:sz w:val="18"/>
                <w:szCs w:val="18"/>
                <w:lang w:eastAsia="en-GB"/>
              </w:rPr>
            </w:pPr>
            <w:r w:rsidRPr="00C151D7">
              <w:rPr>
                <w:sz w:val="18"/>
                <w:szCs w:val="18"/>
                <w:lang w:eastAsia="en-GB"/>
              </w:rPr>
              <w:t>Iedzīvotāju skaits, kuri pēdējā gada laikā veselības apsvērumu dēļ ESF + veselības veicināšanas pasākumu ietekmē ir mainījuši uztura un citus dzīvesveida paradumus</w:t>
            </w:r>
          </w:p>
        </w:tc>
        <w:tc>
          <w:tcPr>
            <w:tcW w:w="446" w:type="pct"/>
          </w:tcPr>
          <w:p w14:paraId="24EE3238" w14:textId="77777777" w:rsidR="003155B0" w:rsidRPr="00BF555E" w:rsidRDefault="003155B0" w:rsidP="003155B0">
            <w:pPr>
              <w:pStyle w:val="Text1"/>
              <w:spacing w:before="0" w:after="0"/>
              <w:ind w:left="0"/>
              <w:rPr>
                <w:noProof/>
                <w:sz w:val="18"/>
                <w:szCs w:val="18"/>
              </w:rPr>
            </w:pPr>
            <w:r w:rsidRPr="00C151D7">
              <w:rPr>
                <w:noProof/>
                <w:sz w:val="18"/>
                <w:szCs w:val="18"/>
              </w:rPr>
              <w:t>Iedzīvotāju skaits</w:t>
            </w:r>
          </w:p>
        </w:tc>
        <w:tc>
          <w:tcPr>
            <w:tcW w:w="360" w:type="pct"/>
          </w:tcPr>
          <w:p w14:paraId="61096782" w14:textId="77777777" w:rsidR="003155B0" w:rsidRPr="00BF555E" w:rsidRDefault="003155B0" w:rsidP="003155B0">
            <w:pPr>
              <w:pStyle w:val="Text1"/>
              <w:spacing w:before="0" w:after="0"/>
              <w:ind w:left="0"/>
              <w:rPr>
                <w:noProof/>
                <w:sz w:val="18"/>
                <w:szCs w:val="18"/>
              </w:rPr>
            </w:pPr>
            <w:r>
              <w:rPr>
                <w:noProof/>
                <w:sz w:val="18"/>
                <w:szCs w:val="18"/>
              </w:rPr>
              <w:t>0</w:t>
            </w:r>
          </w:p>
        </w:tc>
        <w:tc>
          <w:tcPr>
            <w:tcW w:w="421" w:type="pct"/>
          </w:tcPr>
          <w:p w14:paraId="40D4C5E9" w14:textId="77777777" w:rsidR="003155B0" w:rsidRPr="00BF555E" w:rsidRDefault="003155B0" w:rsidP="003155B0">
            <w:pPr>
              <w:pStyle w:val="Text1"/>
              <w:spacing w:before="0" w:after="0"/>
              <w:ind w:left="0"/>
              <w:rPr>
                <w:noProof/>
                <w:sz w:val="18"/>
                <w:szCs w:val="18"/>
              </w:rPr>
            </w:pPr>
            <w:r>
              <w:rPr>
                <w:noProof/>
                <w:sz w:val="18"/>
                <w:szCs w:val="18"/>
              </w:rPr>
              <w:t>2021</w:t>
            </w:r>
          </w:p>
        </w:tc>
        <w:tc>
          <w:tcPr>
            <w:tcW w:w="478" w:type="pct"/>
            <w:shd w:val="clear" w:color="auto" w:fill="auto"/>
          </w:tcPr>
          <w:p w14:paraId="3DB953C3" w14:textId="77777777" w:rsidR="003155B0" w:rsidRPr="00BF555E" w:rsidRDefault="003155B0" w:rsidP="003155B0">
            <w:pPr>
              <w:spacing w:before="0" w:after="0"/>
              <w:jc w:val="center"/>
              <w:rPr>
                <w:noProof/>
                <w:sz w:val="18"/>
                <w:szCs w:val="18"/>
              </w:rPr>
            </w:pPr>
            <w:r w:rsidRPr="00C151D7">
              <w:rPr>
                <w:noProof/>
                <w:sz w:val="18"/>
                <w:szCs w:val="18"/>
              </w:rPr>
              <w:t>50 000 – 60 000</w:t>
            </w:r>
          </w:p>
        </w:tc>
        <w:tc>
          <w:tcPr>
            <w:tcW w:w="469" w:type="pct"/>
            <w:shd w:val="clear" w:color="auto" w:fill="auto"/>
          </w:tcPr>
          <w:p w14:paraId="09CF2AB2" w14:textId="77777777" w:rsidR="003155B0" w:rsidRPr="00BF555E" w:rsidRDefault="003155B0" w:rsidP="003155B0">
            <w:pPr>
              <w:pStyle w:val="Text1"/>
              <w:spacing w:before="0" w:after="0"/>
              <w:ind w:left="0"/>
              <w:rPr>
                <w:noProof/>
                <w:sz w:val="18"/>
                <w:szCs w:val="18"/>
              </w:rPr>
            </w:pPr>
            <w:r>
              <w:rPr>
                <w:noProof/>
                <w:sz w:val="18"/>
                <w:szCs w:val="18"/>
              </w:rPr>
              <w:t>SPKC dati</w:t>
            </w:r>
          </w:p>
        </w:tc>
        <w:tc>
          <w:tcPr>
            <w:tcW w:w="588" w:type="pct"/>
          </w:tcPr>
          <w:p w14:paraId="6BA5B3BF" w14:textId="77777777" w:rsidR="003155B0" w:rsidRPr="00BF555E" w:rsidRDefault="003155B0" w:rsidP="003155B0">
            <w:pPr>
              <w:spacing w:before="0" w:after="0"/>
              <w:rPr>
                <w:noProof/>
                <w:sz w:val="18"/>
                <w:szCs w:val="18"/>
              </w:rPr>
            </w:pPr>
            <w:r w:rsidRPr="00C151D7">
              <w:rPr>
                <w:noProof/>
                <w:sz w:val="18"/>
                <w:szCs w:val="18"/>
              </w:rPr>
              <w:t xml:space="preserve">Dati tiks iegūti no Latvijas pieaugušo iedzīvotāju un Latvijas skolēnu veselības paradumu pētījumiem. Iegūtie dati tiks attiecināti un populāciju (aprēķinus veiks SPKC), lai iegūtu rezultāta rādītāja vērtību.  </w:t>
            </w:r>
          </w:p>
        </w:tc>
      </w:tr>
      <w:tr w:rsidR="003155B0" w:rsidRPr="00BF555E" w14:paraId="179EC132" w14:textId="77777777" w:rsidTr="003155B0">
        <w:trPr>
          <w:trHeight w:val="286"/>
        </w:trPr>
        <w:tc>
          <w:tcPr>
            <w:tcW w:w="440" w:type="pct"/>
          </w:tcPr>
          <w:p w14:paraId="0B14A386" w14:textId="77777777" w:rsidR="003155B0" w:rsidRPr="00BF555E" w:rsidRDefault="003155B0" w:rsidP="003155B0">
            <w:pPr>
              <w:spacing w:before="0" w:after="0"/>
              <w:rPr>
                <w:noProof/>
                <w:sz w:val="18"/>
                <w:szCs w:val="18"/>
              </w:rPr>
            </w:pPr>
            <w:r w:rsidRPr="00BF555E">
              <w:rPr>
                <w:noProof/>
                <w:sz w:val="18"/>
                <w:szCs w:val="18"/>
              </w:rPr>
              <w:t>4.1.prioritāte</w:t>
            </w:r>
          </w:p>
          <w:p w14:paraId="31D205D3" w14:textId="77777777" w:rsidR="003155B0" w:rsidRPr="00BF555E" w:rsidRDefault="003155B0" w:rsidP="003155B0">
            <w:pPr>
              <w:pStyle w:val="Text1"/>
              <w:spacing w:before="0" w:after="0"/>
              <w:ind w:left="0"/>
              <w:rPr>
                <w:noProof/>
                <w:sz w:val="18"/>
                <w:szCs w:val="18"/>
              </w:rPr>
            </w:pPr>
          </w:p>
        </w:tc>
        <w:tc>
          <w:tcPr>
            <w:tcW w:w="398" w:type="pct"/>
          </w:tcPr>
          <w:p w14:paraId="613647B1" w14:textId="77777777" w:rsidR="003155B0" w:rsidRPr="00BF555E" w:rsidRDefault="003155B0" w:rsidP="003155B0">
            <w:pPr>
              <w:spacing w:before="0" w:after="0"/>
              <w:rPr>
                <w:noProof/>
                <w:sz w:val="18"/>
                <w:szCs w:val="18"/>
              </w:rPr>
            </w:pPr>
            <w:r w:rsidRPr="00BF555E">
              <w:rPr>
                <w:noProof/>
                <w:sz w:val="18"/>
                <w:szCs w:val="18"/>
              </w:rPr>
              <w:t>4.1.3.SAM</w:t>
            </w:r>
          </w:p>
          <w:p w14:paraId="7A693B8C" w14:textId="77777777" w:rsidR="003155B0" w:rsidRPr="00BF555E" w:rsidRDefault="003155B0" w:rsidP="003155B0">
            <w:pPr>
              <w:spacing w:before="0" w:after="0"/>
              <w:rPr>
                <w:noProof/>
                <w:sz w:val="18"/>
                <w:szCs w:val="18"/>
              </w:rPr>
            </w:pPr>
          </w:p>
        </w:tc>
        <w:tc>
          <w:tcPr>
            <w:tcW w:w="289" w:type="pct"/>
          </w:tcPr>
          <w:p w14:paraId="321E596E" w14:textId="77777777" w:rsidR="003155B0" w:rsidRPr="00BF555E" w:rsidRDefault="003155B0" w:rsidP="003155B0">
            <w:pPr>
              <w:pStyle w:val="Text1"/>
              <w:spacing w:before="0" w:after="0"/>
              <w:ind w:left="0"/>
              <w:rPr>
                <w:noProof/>
                <w:sz w:val="18"/>
                <w:szCs w:val="18"/>
              </w:rPr>
            </w:pPr>
            <w:r w:rsidRPr="00BF555E">
              <w:rPr>
                <w:noProof/>
                <w:sz w:val="18"/>
                <w:szCs w:val="18"/>
              </w:rPr>
              <w:t>ESF</w:t>
            </w:r>
          </w:p>
          <w:p w14:paraId="51599645" w14:textId="77777777" w:rsidR="003155B0" w:rsidRPr="00BF555E" w:rsidRDefault="003155B0" w:rsidP="003155B0">
            <w:pPr>
              <w:pStyle w:val="Text1"/>
              <w:spacing w:before="0" w:after="0"/>
              <w:ind w:left="0"/>
              <w:rPr>
                <w:noProof/>
                <w:sz w:val="18"/>
                <w:szCs w:val="18"/>
              </w:rPr>
            </w:pPr>
          </w:p>
        </w:tc>
        <w:tc>
          <w:tcPr>
            <w:tcW w:w="345" w:type="pct"/>
          </w:tcPr>
          <w:p w14:paraId="74E6AF94" w14:textId="77777777" w:rsidR="003155B0" w:rsidRPr="00BF555E" w:rsidRDefault="003155B0" w:rsidP="003155B0">
            <w:pPr>
              <w:pStyle w:val="Text1"/>
              <w:spacing w:before="0" w:after="0"/>
              <w:ind w:left="0"/>
              <w:rPr>
                <w:sz w:val="18"/>
                <w:szCs w:val="18"/>
              </w:rPr>
            </w:pPr>
            <w:r w:rsidRPr="00BF555E">
              <w:rPr>
                <w:sz w:val="18"/>
                <w:szCs w:val="18"/>
              </w:rPr>
              <w:t>CR03</w:t>
            </w:r>
          </w:p>
          <w:p w14:paraId="50EAAACA" w14:textId="77777777" w:rsidR="003155B0" w:rsidRPr="00BF555E" w:rsidRDefault="003155B0" w:rsidP="003155B0">
            <w:pPr>
              <w:pStyle w:val="Text1"/>
              <w:spacing w:before="0" w:after="0"/>
              <w:ind w:left="0"/>
              <w:rPr>
                <w:noProof/>
                <w:sz w:val="18"/>
                <w:szCs w:val="18"/>
              </w:rPr>
            </w:pPr>
          </w:p>
        </w:tc>
        <w:tc>
          <w:tcPr>
            <w:tcW w:w="766" w:type="pct"/>
            <w:shd w:val="clear" w:color="auto" w:fill="auto"/>
          </w:tcPr>
          <w:p w14:paraId="55A6E21F" w14:textId="77777777" w:rsidR="003155B0" w:rsidRPr="00BF555E" w:rsidRDefault="003155B0" w:rsidP="003155B0">
            <w:pPr>
              <w:pStyle w:val="Text1"/>
              <w:spacing w:before="0" w:after="0"/>
              <w:ind w:left="0"/>
              <w:rPr>
                <w:noProof/>
                <w:sz w:val="18"/>
                <w:szCs w:val="18"/>
              </w:rPr>
            </w:pPr>
            <w:r w:rsidRPr="00BF555E">
              <w:rPr>
                <w:noProof/>
                <w:sz w:val="18"/>
                <w:szCs w:val="18"/>
              </w:rPr>
              <w:t>Dalībnieki, kuri pabeidzot dalību, ir ieguvuši kvalifikāciju</w:t>
            </w:r>
          </w:p>
          <w:p w14:paraId="7E3D97D3" w14:textId="77777777" w:rsidR="003155B0" w:rsidRPr="00BF555E" w:rsidRDefault="003155B0" w:rsidP="003155B0">
            <w:pPr>
              <w:rPr>
                <w:noProof/>
                <w:sz w:val="18"/>
                <w:szCs w:val="18"/>
              </w:rPr>
            </w:pPr>
          </w:p>
        </w:tc>
        <w:tc>
          <w:tcPr>
            <w:tcW w:w="446" w:type="pct"/>
          </w:tcPr>
          <w:p w14:paraId="1BF66E51" w14:textId="77777777" w:rsidR="003155B0" w:rsidRPr="00BF555E" w:rsidRDefault="003155B0" w:rsidP="003155B0">
            <w:pPr>
              <w:pStyle w:val="Text1"/>
              <w:spacing w:before="0" w:after="0"/>
              <w:ind w:left="0"/>
              <w:rPr>
                <w:i/>
                <w:noProof/>
                <w:sz w:val="18"/>
                <w:szCs w:val="18"/>
              </w:rPr>
            </w:pPr>
            <w:r w:rsidRPr="00BF555E">
              <w:rPr>
                <w:noProof/>
                <w:sz w:val="18"/>
                <w:szCs w:val="18"/>
              </w:rPr>
              <w:t>Dalībnieku skaits</w:t>
            </w:r>
          </w:p>
        </w:tc>
        <w:tc>
          <w:tcPr>
            <w:tcW w:w="360" w:type="pct"/>
          </w:tcPr>
          <w:p w14:paraId="57F2EC38" w14:textId="77777777" w:rsidR="003155B0" w:rsidRPr="00BF555E" w:rsidRDefault="003155B0" w:rsidP="003155B0">
            <w:pPr>
              <w:spacing w:before="0" w:after="0"/>
              <w:rPr>
                <w:noProof/>
                <w:sz w:val="18"/>
                <w:szCs w:val="18"/>
              </w:rPr>
            </w:pPr>
            <w:r w:rsidRPr="00BF555E">
              <w:rPr>
                <w:noProof/>
                <w:sz w:val="18"/>
                <w:szCs w:val="18"/>
              </w:rPr>
              <w:t>0</w:t>
            </w:r>
          </w:p>
          <w:p w14:paraId="1D5D1589" w14:textId="77777777" w:rsidR="003155B0" w:rsidRPr="00BF555E" w:rsidRDefault="003155B0" w:rsidP="003155B0">
            <w:pPr>
              <w:spacing w:before="0" w:after="0"/>
              <w:jc w:val="center"/>
              <w:rPr>
                <w:noProof/>
                <w:sz w:val="18"/>
                <w:szCs w:val="18"/>
              </w:rPr>
            </w:pPr>
            <w:r w:rsidRPr="00BF555E">
              <w:rPr>
                <w:noProof/>
                <w:sz w:val="18"/>
                <w:szCs w:val="18"/>
              </w:rPr>
              <w:t xml:space="preserve"> </w:t>
            </w:r>
          </w:p>
        </w:tc>
        <w:tc>
          <w:tcPr>
            <w:tcW w:w="421" w:type="pct"/>
          </w:tcPr>
          <w:p w14:paraId="170FDF8C" w14:textId="77777777" w:rsidR="003155B0" w:rsidRPr="00BF555E" w:rsidRDefault="003155B0" w:rsidP="003155B0">
            <w:pPr>
              <w:pStyle w:val="Text1"/>
              <w:spacing w:before="0" w:after="0"/>
              <w:ind w:left="0"/>
              <w:jc w:val="center"/>
              <w:rPr>
                <w:b/>
                <w:noProof/>
                <w:sz w:val="18"/>
                <w:szCs w:val="18"/>
              </w:rPr>
            </w:pPr>
            <w:r w:rsidRPr="00BF555E">
              <w:rPr>
                <w:noProof/>
                <w:sz w:val="18"/>
                <w:szCs w:val="18"/>
              </w:rPr>
              <w:t>2020</w:t>
            </w:r>
          </w:p>
        </w:tc>
        <w:tc>
          <w:tcPr>
            <w:tcW w:w="478" w:type="pct"/>
            <w:shd w:val="clear" w:color="auto" w:fill="auto"/>
          </w:tcPr>
          <w:p w14:paraId="56FFA8DE" w14:textId="77777777" w:rsidR="003155B0" w:rsidRPr="00BF555E" w:rsidRDefault="003155B0" w:rsidP="003155B0">
            <w:pPr>
              <w:spacing w:before="0" w:after="0"/>
              <w:jc w:val="center"/>
              <w:rPr>
                <w:noProof/>
                <w:sz w:val="18"/>
                <w:szCs w:val="18"/>
              </w:rPr>
            </w:pPr>
            <w:r w:rsidRPr="00BF555E">
              <w:rPr>
                <w:noProof/>
                <w:sz w:val="18"/>
                <w:szCs w:val="18"/>
              </w:rPr>
              <w:t>12 262</w:t>
            </w:r>
          </w:p>
          <w:p w14:paraId="28FE3088" w14:textId="77777777" w:rsidR="003155B0" w:rsidRPr="00BF555E" w:rsidRDefault="003155B0" w:rsidP="003155B0">
            <w:pPr>
              <w:pStyle w:val="Text1"/>
              <w:spacing w:before="0" w:after="0"/>
              <w:ind w:left="0"/>
              <w:jc w:val="center"/>
              <w:rPr>
                <w:noProof/>
                <w:sz w:val="18"/>
                <w:szCs w:val="18"/>
              </w:rPr>
            </w:pPr>
            <w:r w:rsidRPr="00BF555E">
              <w:rPr>
                <w:noProof/>
                <w:sz w:val="18"/>
                <w:szCs w:val="18"/>
              </w:rPr>
              <w:t xml:space="preserve"> </w:t>
            </w:r>
          </w:p>
        </w:tc>
        <w:tc>
          <w:tcPr>
            <w:tcW w:w="469" w:type="pct"/>
            <w:shd w:val="clear" w:color="auto" w:fill="auto"/>
          </w:tcPr>
          <w:p w14:paraId="3A9889C1" w14:textId="77777777" w:rsidR="003155B0" w:rsidRPr="00BF555E" w:rsidRDefault="003155B0" w:rsidP="003155B0">
            <w:pPr>
              <w:pStyle w:val="Text1"/>
              <w:spacing w:before="0" w:after="0"/>
              <w:ind w:left="0"/>
              <w:jc w:val="center"/>
              <w:rPr>
                <w:noProof/>
                <w:sz w:val="18"/>
                <w:szCs w:val="18"/>
              </w:rPr>
            </w:pPr>
            <w:r w:rsidRPr="00BF555E">
              <w:rPr>
                <w:noProof/>
                <w:sz w:val="18"/>
                <w:szCs w:val="18"/>
              </w:rPr>
              <w:t>Projektu dati</w:t>
            </w:r>
          </w:p>
          <w:p w14:paraId="08E97B5F" w14:textId="77777777" w:rsidR="003155B0" w:rsidRPr="00BF555E" w:rsidRDefault="003155B0" w:rsidP="003155B0">
            <w:pPr>
              <w:pStyle w:val="Text1"/>
              <w:spacing w:before="0" w:after="0"/>
              <w:ind w:left="0"/>
              <w:jc w:val="center"/>
              <w:rPr>
                <w:i/>
                <w:noProof/>
                <w:sz w:val="18"/>
                <w:szCs w:val="18"/>
              </w:rPr>
            </w:pPr>
            <w:r w:rsidRPr="00BF555E">
              <w:rPr>
                <w:noProof/>
                <w:sz w:val="18"/>
                <w:szCs w:val="18"/>
              </w:rPr>
              <w:t xml:space="preserve"> </w:t>
            </w:r>
          </w:p>
        </w:tc>
        <w:tc>
          <w:tcPr>
            <w:tcW w:w="588" w:type="pct"/>
          </w:tcPr>
          <w:p w14:paraId="002E9F37" w14:textId="77777777" w:rsidR="003155B0" w:rsidRPr="00BF555E" w:rsidRDefault="003155B0" w:rsidP="003155B0">
            <w:pPr>
              <w:spacing w:before="0" w:after="0"/>
              <w:rPr>
                <w:i/>
                <w:noProof/>
                <w:sz w:val="18"/>
                <w:szCs w:val="18"/>
              </w:rPr>
            </w:pPr>
          </w:p>
        </w:tc>
      </w:tr>
      <w:tr w:rsidR="003155B0" w:rsidRPr="00BF555E" w14:paraId="03297024" w14:textId="77777777" w:rsidTr="003155B0">
        <w:trPr>
          <w:trHeight w:val="286"/>
        </w:trPr>
        <w:tc>
          <w:tcPr>
            <w:tcW w:w="440" w:type="pct"/>
          </w:tcPr>
          <w:p w14:paraId="40666831" w14:textId="77777777" w:rsidR="003155B0" w:rsidRPr="00BF555E" w:rsidRDefault="003155B0" w:rsidP="003155B0">
            <w:pPr>
              <w:spacing w:before="0" w:after="0"/>
              <w:rPr>
                <w:noProof/>
                <w:sz w:val="18"/>
                <w:szCs w:val="18"/>
              </w:rPr>
            </w:pPr>
            <w:r w:rsidRPr="00BF555E">
              <w:rPr>
                <w:noProof/>
                <w:sz w:val="18"/>
                <w:szCs w:val="18"/>
              </w:rPr>
              <w:t>4.2.prioritāte</w:t>
            </w:r>
          </w:p>
          <w:p w14:paraId="33B7FD85" w14:textId="77777777" w:rsidR="003155B0" w:rsidRPr="00BF555E" w:rsidRDefault="003155B0" w:rsidP="003155B0">
            <w:pPr>
              <w:spacing w:before="0" w:after="0"/>
              <w:rPr>
                <w:noProof/>
                <w:sz w:val="18"/>
                <w:szCs w:val="18"/>
              </w:rPr>
            </w:pPr>
          </w:p>
        </w:tc>
        <w:tc>
          <w:tcPr>
            <w:tcW w:w="398" w:type="pct"/>
          </w:tcPr>
          <w:p w14:paraId="34859B94" w14:textId="77777777" w:rsidR="003155B0" w:rsidRPr="00BF555E" w:rsidRDefault="003155B0" w:rsidP="003155B0">
            <w:pPr>
              <w:spacing w:before="0" w:after="0"/>
              <w:rPr>
                <w:noProof/>
                <w:sz w:val="18"/>
                <w:szCs w:val="18"/>
              </w:rPr>
            </w:pPr>
            <w:r w:rsidRPr="00BF555E">
              <w:rPr>
                <w:noProof/>
                <w:sz w:val="18"/>
                <w:szCs w:val="18"/>
              </w:rPr>
              <w:t>4.2.4.SAM</w:t>
            </w:r>
          </w:p>
          <w:p w14:paraId="04AE4274" w14:textId="77777777" w:rsidR="003155B0" w:rsidRPr="00BF555E" w:rsidRDefault="003155B0" w:rsidP="003155B0">
            <w:pPr>
              <w:spacing w:before="0" w:after="0"/>
              <w:rPr>
                <w:noProof/>
                <w:sz w:val="18"/>
                <w:szCs w:val="18"/>
              </w:rPr>
            </w:pPr>
          </w:p>
        </w:tc>
        <w:tc>
          <w:tcPr>
            <w:tcW w:w="289" w:type="pct"/>
          </w:tcPr>
          <w:p w14:paraId="2C380CC5" w14:textId="77777777" w:rsidR="003155B0" w:rsidRPr="00BF555E" w:rsidRDefault="003155B0" w:rsidP="003155B0">
            <w:pPr>
              <w:pStyle w:val="Text1"/>
              <w:spacing w:before="0" w:after="0"/>
              <w:ind w:left="0"/>
              <w:rPr>
                <w:noProof/>
                <w:sz w:val="18"/>
                <w:szCs w:val="18"/>
              </w:rPr>
            </w:pPr>
            <w:r w:rsidRPr="00BF555E">
              <w:rPr>
                <w:noProof/>
                <w:sz w:val="18"/>
                <w:szCs w:val="18"/>
              </w:rPr>
              <w:t>ESF</w:t>
            </w:r>
          </w:p>
        </w:tc>
        <w:tc>
          <w:tcPr>
            <w:tcW w:w="345" w:type="pct"/>
          </w:tcPr>
          <w:p w14:paraId="7D4EB6FB" w14:textId="77777777" w:rsidR="003155B0" w:rsidRPr="00BF555E" w:rsidRDefault="003155B0" w:rsidP="003155B0">
            <w:pPr>
              <w:pStyle w:val="Text1"/>
              <w:spacing w:before="0" w:after="0"/>
              <w:ind w:left="0"/>
              <w:rPr>
                <w:sz w:val="18"/>
                <w:szCs w:val="18"/>
              </w:rPr>
            </w:pPr>
            <w:r w:rsidRPr="00BF555E">
              <w:rPr>
                <w:sz w:val="18"/>
                <w:szCs w:val="18"/>
              </w:rPr>
              <w:t>CR03</w:t>
            </w:r>
          </w:p>
        </w:tc>
        <w:tc>
          <w:tcPr>
            <w:tcW w:w="766" w:type="pct"/>
            <w:shd w:val="clear" w:color="auto" w:fill="auto"/>
          </w:tcPr>
          <w:p w14:paraId="4FCEBE15" w14:textId="77777777" w:rsidR="003155B0" w:rsidRPr="00BF555E" w:rsidRDefault="003155B0" w:rsidP="003155B0">
            <w:pPr>
              <w:pStyle w:val="Text1"/>
              <w:spacing w:before="0" w:after="0"/>
              <w:ind w:left="0"/>
              <w:rPr>
                <w:sz w:val="18"/>
                <w:szCs w:val="18"/>
                <w:lang w:eastAsia="en-GB"/>
              </w:rPr>
            </w:pPr>
            <w:r w:rsidRPr="00BF555E">
              <w:rPr>
                <w:sz w:val="18"/>
                <w:szCs w:val="18"/>
                <w:lang w:eastAsia="en-GB"/>
              </w:rPr>
              <w:t>Dalībnieki, kuri pabeidzot dalību, ir ieguvuši kvalifikāciju</w:t>
            </w:r>
          </w:p>
        </w:tc>
        <w:tc>
          <w:tcPr>
            <w:tcW w:w="446" w:type="pct"/>
          </w:tcPr>
          <w:p w14:paraId="495F120E" w14:textId="77777777" w:rsidR="003155B0" w:rsidRPr="00BF555E" w:rsidRDefault="003155B0" w:rsidP="003155B0">
            <w:pPr>
              <w:pStyle w:val="Text1"/>
              <w:spacing w:before="0" w:after="0"/>
              <w:ind w:left="0"/>
              <w:rPr>
                <w:noProof/>
                <w:sz w:val="18"/>
                <w:szCs w:val="18"/>
              </w:rPr>
            </w:pPr>
            <w:r w:rsidRPr="00BF555E">
              <w:rPr>
                <w:noProof/>
                <w:sz w:val="18"/>
                <w:szCs w:val="18"/>
              </w:rPr>
              <w:t>Dalībnieku skaits</w:t>
            </w:r>
          </w:p>
        </w:tc>
        <w:tc>
          <w:tcPr>
            <w:tcW w:w="360" w:type="pct"/>
          </w:tcPr>
          <w:p w14:paraId="5F44888A" w14:textId="77777777" w:rsidR="003155B0" w:rsidRDefault="003155B0" w:rsidP="003155B0">
            <w:pPr>
              <w:spacing w:before="0" w:after="0"/>
              <w:jc w:val="center"/>
              <w:rPr>
                <w:noProof/>
                <w:sz w:val="18"/>
                <w:szCs w:val="18"/>
              </w:rPr>
            </w:pPr>
            <w:r w:rsidRPr="00BF555E">
              <w:rPr>
                <w:noProof/>
                <w:sz w:val="18"/>
                <w:szCs w:val="18"/>
              </w:rPr>
              <w:t xml:space="preserve">IZM: </w:t>
            </w:r>
          </w:p>
          <w:p w14:paraId="6336EDB9" w14:textId="77777777" w:rsidR="003155B0" w:rsidRPr="00BF555E" w:rsidRDefault="003155B0" w:rsidP="003155B0">
            <w:pPr>
              <w:spacing w:before="0" w:after="0"/>
              <w:jc w:val="center"/>
              <w:rPr>
                <w:noProof/>
                <w:sz w:val="18"/>
                <w:szCs w:val="18"/>
              </w:rPr>
            </w:pPr>
            <w:r w:rsidRPr="00BF555E">
              <w:rPr>
                <w:noProof/>
                <w:sz w:val="18"/>
                <w:szCs w:val="18"/>
              </w:rPr>
              <w:t>38 102</w:t>
            </w:r>
          </w:p>
          <w:p w14:paraId="4D4AB902" w14:textId="77777777" w:rsidR="003155B0" w:rsidRPr="00BF555E" w:rsidRDefault="003155B0" w:rsidP="003155B0">
            <w:pPr>
              <w:spacing w:before="0" w:after="0"/>
              <w:jc w:val="center"/>
              <w:rPr>
                <w:noProof/>
                <w:sz w:val="18"/>
                <w:szCs w:val="18"/>
              </w:rPr>
            </w:pPr>
          </w:p>
        </w:tc>
        <w:tc>
          <w:tcPr>
            <w:tcW w:w="421" w:type="pct"/>
          </w:tcPr>
          <w:p w14:paraId="46A863A8" w14:textId="77777777" w:rsidR="003155B0" w:rsidRPr="00BF555E" w:rsidRDefault="003155B0" w:rsidP="003155B0">
            <w:pPr>
              <w:pStyle w:val="Text1"/>
              <w:spacing w:before="0" w:after="0"/>
              <w:ind w:left="0"/>
              <w:jc w:val="center"/>
              <w:rPr>
                <w:noProof/>
                <w:sz w:val="18"/>
                <w:szCs w:val="18"/>
              </w:rPr>
            </w:pPr>
            <w:r w:rsidRPr="00BF555E">
              <w:rPr>
                <w:noProof/>
                <w:sz w:val="18"/>
                <w:szCs w:val="18"/>
              </w:rPr>
              <w:t>2020</w:t>
            </w:r>
          </w:p>
        </w:tc>
        <w:tc>
          <w:tcPr>
            <w:tcW w:w="478" w:type="pct"/>
            <w:shd w:val="clear" w:color="auto" w:fill="auto"/>
          </w:tcPr>
          <w:p w14:paraId="45040D61" w14:textId="77777777" w:rsidR="003155B0" w:rsidRPr="00BF555E" w:rsidRDefault="003155B0" w:rsidP="003155B0">
            <w:pPr>
              <w:spacing w:before="0" w:after="0"/>
              <w:jc w:val="center"/>
              <w:rPr>
                <w:noProof/>
                <w:sz w:val="18"/>
                <w:szCs w:val="18"/>
              </w:rPr>
            </w:pPr>
            <w:r w:rsidRPr="00BF555E">
              <w:rPr>
                <w:noProof/>
                <w:sz w:val="18"/>
                <w:szCs w:val="18"/>
              </w:rPr>
              <w:t>IZM: 9 998</w:t>
            </w:r>
          </w:p>
          <w:p w14:paraId="47822AEA" w14:textId="77777777" w:rsidR="003155B0" w:rsidRPr="00BF555E" w:rsidRDefault="003155B0" w:rsidP="003155B0">
            <w:pPr>
              <w:pStyle w:val="Text1"/>
              <w:spacing w:before="0" w:after="0"/>
              <w:ind w:left="0"/>
              <w:jc w:val="center"/>
              <w:rPr>
                <w:noProof/>
                <w:sz w:val="18"/>
                <w:szCs w:val="18"/>
              </w:rPr>
            </w:pPr>
          </w:p>
        </w:tc>
        <w:tc>
          <w:tcPr>
            <w:tcW w:w="469" w:type="pct"/>
            <w:shd w:val="clear" w:color="auto" w:fill="auto"/>
          </w:tcPr>
          <w:p w14:paraId="67B52354" w14:textId="77777777" w:rsidR="003155B0" w:rsidRPr="00BF555E" w:rsidRDefault="003155B0" w:rsidP="003155B0">
            <w:pPr>
              <w:pStyle w:val="Text1"/>
              <w:spacing w:before="0" w:after="0"/>
              <w:ind w:left="0"/>
              <w:jc w:val="center"/>
              <w:rPr>
                <w:noProof/>
                <w:sz w:val="18"/>
                <w:szCs w:val="18"/>
              </w:rPr>
            </w:pPr>
            <w:r w:rsidRPr="00BF555E">
              <w:rPr>
                <w:noProof/>
                <w:sz w:val="18"/>
                <w:szCs w:val="18"/>
              </w:rPr>
              <w:t>Projektu dati</w:t>
            </w:r>
          </w:p>
        </w:tc>
        <w:tc>
          <w:tcPr>
            <w:tcW w:w="588" w:type="pct"/>
          </w:tcPr>
          <w:p w14:paraId="2B1942EE" w14:textId="77777777" w:rsidR="003155B0" w:rsidRPr="00BF555E" w:rsidRDefault="003155B0" w:rsidP="003155B0">
            <w:pPr>
              <w:spacing w:before="0" w:after="0"/>
              <w:rPr>
                <w:i/>
                <w:noProof/>
                <w:sz w:val="18"/>
                <w:szCs w:val="18"/>
              </w:rPr>
            </w:pPr>
          </w:p>
        </w:tc>
      </w:tr>
      <w:tr w:rsidR="003155B0" w:rsidRPr="00BF555E" w14:paraId="150A97A9" w14:textId="77777777" w:rsidTr="003155B0">
        <w:trPr>
          <w:trHeight w:val="286"/>
        </w:trPr>
        <w:tc>
          <w:tcPr>
            <w:tcW w:w="440" w:type="pct"/>
          </w:tcPr>
          <w:p w14:paraId="67BFDA16" w14:textId="77777777" w:rsidR="003155B0" w:rsidRPr="00BF555E" w:rsidRDefault="003155B0" w:rsidP="003155B0">
            <w:pPr>
              <w:pStyle w:val="Text1"/>
              <w:spacing w:before="0" w:after="0"/>
              <w:ind w:left="0"/>
              <w:rPr>
                <w:noProof/>
                <w:sz w:val="18"/>
                <w:szCs w:val="18"/>
              </w:rPr>
            </w:pPr>
            <w:r w:rsidRPr="00BF555E">
              <w:rPr>
                <w:noProof/>
                <w:sz w:val="18"/>
                <w:szCs w:val="18"/>
              </w:rPr>
              <w:t>4.3.prioritāte</w:t>
            </w:r>
          </w:p>
          <w:p w14:paraId="461E62FF" w14:textId="77777777" w:rsidR="003155B0" w:rsidRPr="00BF555E" w:rsidRDefault="003155B0" w:rsidP="003155B0">
            <w:pPr>
              <w:spacing w:before="0" w:after="0"/>
              <w:rPr>
                <w:noProof/>
                <w:sz w:val="18"/>
                <w:szCs w:val="18"/>
              </w:rPr>
            </w:pPr>
          </w:p>
        </w:tc>
        <w:tc>
          <w:tcPr>
            <w:tcW w:w="398" w:type="pct"/>
          </w:tcPr>
          <w:p w14:paraId="16C8BBC9" w14:textId="77777777" w:rsidR="003155B0" w:rsidRPr="00BF555E" w:rsidRDefault="003155B0" w:rsidP="003155B0">
            <w:pPr>
              <w:spacing w:before="0" w:after="0"/>
              <w:rPr>
                <w:noProof/>
                <w:sz w:val="18"/>
                <w:szCs w:val="18"/>
              </w:rPr>
            </w:pPr>
            <w:r w:rsidRPr="00BF555E">
              <w:rPr>
                <w:noProof/>
                <w:sz w:val="18"/>
                <w:szCs w:val="18"/>
              </w:rPr>
              <w:t>4.3.3.SAM</w:t>
            </w:r>
          </w:p>
          <w:p w14:paraId="2DD8DE1F" w14:textId="77777777" w:rsidR="003155B0" w:rsidRPr="00BF555E" w:rsidRDefault="003155B0" w:rsidP="003155B0">
            <w:pPr>
              <w:spacing w:before="0" w:after="0"/>
              <w:rPr>
                <w:noProof/>
                <w:sz w:val="18"/>
                <w:szCs w:val="18"/>
              </w:rPr>
            </w:pPr>
          </w:p>
        </w:tc>
        <w:tc>
          <w:tcPr>
            <w:tcW w:w="289" w:type="pct"/>
          </w:tcPr>
          <w:p w14:paraId="73CE0567" w14:textId="77777777" w:rsidR="003155B0" w:rsidRPr="00BF555E" w:rsidRDefault="003155B0" w:rsidP="003155B0">
            <w:pPr>
              <w:pStyle w:val="Text1"/>
              <w:spacing w:before="0" w:after="0"/>
              <w:ind w:left="0"/>
              <w:rPr>
                <w:noProof/>
                <w:sz w:val="18"/>
                <w:szCs w:val="18"/>
              </w:rPr>
            </w:pPr>
            <w:r w:rsidRPr="00BF555E">
              <w:rPr>
                <w:noProof/>
                <w:sz w:val="18"/>
                <w:szCs w:val="18"/>
              </w:rPr>
              <w:t>ESF</w:t>
            </w:r>
          </w:p>
        </w:tc>
        <w:tc>
          <w:tcPr>
            <w:tcW w:w="345" w:type="pct"/>
          </w:tcPr>
          <w:p w14:paraId="41B23ED2" w14:textId="77777777" w:rsidR="003155B0" w:rsidRPr="00BF555E" w:rsidRDefault="003155B0" w:rsidP="003155B0">
            <w:pPr>
              <w:pStyle w:val="Text1"/>
              <w:spacing w:before="0" w:after="0"/>
              <w:ind w:left="0"/>
              <w:rPr>
                <w:sz w:val="18"/>
                <w:szCs w:val="18"/>
              </w:rPr>
            </w:pPr>
            <w:r w:rsidRPr="00BF555E">
              <w:rPr>
                <w:sz w:val="18"/>
                <w:szCs w:val="18"/>
              </w:rPr>
              <w:t>CR03</w:t>
            </w:r>
          </w:p>
        </w:tc>
        <w:tc>
          <w:tcPr>
            <w:tcW w:w="766" w:type="pct"/>
            <w:shd w:val="clear" w:color="auto" w:fill="auto"/>
          </w:tcPr>
          <w:p w14:paraId="6E20E89C" w14:textId="77777777" w:rsidR="003155B0" w:rsidRPr="00BF555E" w:rsidRDefault="003155B0" w:rsidP="003155B0">
            <w:pPr>
              <w:pStyle w:val="Text1"/>
              <w:spacing w:before="0" w:after="0"/>
              <w:ind w:left="0"/>
              <w:rPr>
                <w:sz w:val="18"/>
                <w:szCs w:val="18"/>
                <w:lang w:eastAsia="en-GB"/>
              </w:rPr>
            </w:pPr>
            <w:r w:rsidRPr="00BF555E">
              <w:rPr>
                <w:sz w:val="18"/>
                <w:szCs w:val="18"/>
                <w:lang w:eastAsia="en-GB"/>
              </w:rPr>
              <w:t>Dalībnieki, kuri pabeidzot dalību, ir ieguvuši kvalifikāciju</w:t>
            </w:r>
          </w:p>
        </w:tc>
        <w:tc>
          <w:tcPr>
            <w:tcW w:w="446" w:type="pct"/>
          </w:tcPr>
          <w:p w14:paraId="7F889F34" w14:textId="77777777" w:rsidR="003155B0" w:rsidRPr="00BF555E" w:rsidRDefault="003155B0" w:rsidP="003155B0">
            <w:pPr>
              <w:pStyle w:val="Text1"/>
              <w:spacing w:before="0" w:after="0"/>
              <w:ind w:left="0"/>
              <w:rPr>
                <w:noProof/>
                <w:sz w:val="18"/>
                <w:szCs w:val="18"/>
              </w:rPr>
            </w:pPr>
            <w:r w:rsidRPr="00BF555E">
              <w:rPr>
                <w:noProof/>
                <w:sz w:val="18"/>
                <w:szCs w:val="18"/>
              </w:rPr>
              <w:t>Dalībnieku skaits</w:t>
            </w:r>
          </w:p>
        </w:tc>
        <w:tc>
          <w:tcPr>
            <w:tcW w:w="360" w:type="pct"/>
          </w:tcPr>
          <w:p w14:paraId="37509BE1" w14:textId="77777777" w:rsidR="003155B0" w:rsidRPr="00BF555E" w:rsidRDefault="003155B0" w:rsidP="003155B0">
            <w:pPr>
              <w:spacing w:before="0" w:after="0"/>
              <w:jc w:val="center"/>
              <w:rPr>
                <w:noProof/>
                <w:sz w:val="18"/>
                <w:szCs w:val="18"/>
              </w:rPr>
            </w:pPr>
            <w:r>
              <w:rPr>
                <w:noProof/>
                <w:sz w:val="18"/>
                <w:szCs w:val="18"/>
              </w:rPr>
              <w:t xml:space="preserve"> </w:t>
            </w:r>
            <w:r w:rsidRPr="00D32C79">
              <w:rPr>
                <w:noProof/>
                <w:sz w:val="18"/>
                <w:szCs w:val="18"/>
              </w:rPr>
              <w:t>1 234</w:t>
            </w:r>
          </w:p>
          <w:p w14:paraId="2A78E8AC" w14:textId="77777777" w:rsidR="003155B0" w:rsidRPr="00BF555E" w:rsidRDefault="003155B0" w:rsidP="003155B0">
            <w:pPr>
              <w:spacing w:before="0" w:after="0"/>
              <w:jc w:val="center"/>
              <w:rPr>
                <w:noProof/>
                <w:sz w:val="18"/>
                <w:szCs w:val="18"/>
              </w:rPr>
            </w:pPr>
          </w:p>
        </w:tc>
        <w:tc>
          <w:tcPr>
            <w:tcW w:w="421" w:type="pct"/>
          </w:tcPr>
          <w:p w14:paraId="7B82D178" w14:textId="77777777" w:rsidR="003155B0" w:rsidRPr="00BF555E" w:rsidRDefault="003155B0" w:rsidP="003155B0">
            <w:pPr>
              <w:pStyle w:val="Text1"/>
              <w:spacing w:before="0" w:after="0"/>
              <w:ind w:left="0"/>
              <w:jc w:val="center"/>
              <w:rPr>
                <w:noProof/>
                <w:sz w:val="18"/>
                <w:szCs w:val="18"/>
              </w:rPr>
            </w:pPr>
            <w:r w:rsidRPr="00BF555E">
              <w:rPr>
                <w:noProof/>
                <w:sz w:val="18"/>
                <w:szCs w:val="18"/>
              </w:rPr>
              <w:t>20</w:t>
            </w:r>
            <w:r>
              <w:rPr>
                <w:noProof/>
                <w:sz w:val="18"/>
                <w:szCs w:val="18"/>
              </w:rPr>
              <w:t>19</w:t>
            </w:r>
          </w:p>
        </w:tc>
        <w:tc>
          <w:tcPr>
            <w:tcW w:w="478" w:type="pct"/>
            <w:shd w:val="clear" w:color="auto" w:fill="auto"/>
          </w:tcPr>
          <w:p w14:paraId="64AAD144" w14:textId="77777777" w:rsidR="003155B0" w:rsidRPr="00BF555E" w:rsidRDefault="003155B0" w:rsidP="003155B0">
            <w:pPr>
              <w:spacing w:before="0" w:after="0"/>
              <w:jc w:val="center"/>
              <w:rPr>
                <w:noProof/>
                <w:sz w:val="18"/>
                <w:szCs w:val="18"/>
              </w:rPr>
            </w:pPr>
            <w:r w:rsidRPr="00BF555E">
              <w:rPr>
                <w:noProof/>
                <w:sz w:val="18"/>
                <w:szCs w:val="18"/>
              </w:rPr>
              <w:t>0</w:t>
            </w:r>
          </w:p>
          <w:p w14:paraId="082B1478" w14:textId="77777777" w:rsidR="003155B0" w:rsidRPr="00BF555E" w:rsidRDefault="003155B0" w:rsidP="003155B0">
            <w:pPr>
              <w:spacing w:before="0" w:after="0"/>
              <w:jc w:val="center"/>
              <w:rPr>
                <w:noProof/>
                <w:sz w:val="18"/>
                <w:szCs w:val="18"/>
              </w:rPr>
            </w:pPr>
          </w:p>
        </w:tc>
        <w:tc>
          <w:tcPr>
            <w:tcW w:w="469" w:type="pct"/>
            <w:shd w:val="clear" w:color="auto" w:fill="auto"/>
          </w:tcPr>
          <w:p w14:paraId="77BCEF3F" w14:textId="77777777" w:rsidR="003155B0" w:rsidRPr="00BF555E" w:rsidRDefault="003155B0" w:rsidP="003155B0">
            <w:pPr>
              <w:pStyle w:val="Text1"/>
              <w:spacing w:before="0" w:after="0"/>
              <w:ind w:left="0"/>
              <w:jc w:val="center"/>
              <w:rPr>
                <w:noProof/>
                <w:sz w:val="18"/>
                <w:szCs w:val="18"/>
              </w:rPr>
            </w:pPr>
            <w:r w:rsidRPr="00BF555E">
              <w:rPr>
                <w:noProof/>
                <w:sz w:val="18"/>
                <w:szCs w:val="18"/>
              </w:rPr>
              <w:t>Projektu dati</w:t>
            </w:r>
          </w:p>
        </w:tc>
        <w:tc>
          <w:tcPr>
            <w:tcW w:w="588" w:type="pct"/>
          </w:tcPr>
          <w:p w14:paraId="263331CF" w14:textId="77777777" w:rsidR="003155B0" w:rsidRPr="00BF555E" w:rsidRDefault="003155B0" w:rsidP="003155B0">
            <w:pPr>
              <w:spacing w:before="0" w:after="0"/>
              <w:rPr>
                <w:i/>
                <w:noProof/>
                <w:sz w:val="18"/>
                <w:szCs w:val="18"/>
              </w:rPr>
            </w:pPr>
          </w:p>
        </w:tc>
      </w:tr>
      <w:tr w:rsidR="003155B0" w:rsidRPr="00BF555E" w14:paraId="397039E6" w14:textId="77777777" w:rsidTr="003155B0">
        <w:trPr>
          <w:trHeight w:val="286"/>
        </w:trPr>
        <w:tc>
          <w:tcPr>
            <w:tcW w:w="440" w:type="pct"/>
          </w:tcPr>
          <w:p w14:paraId="5268F07B" w14:textId="77777777" w:rsidR="003155B0" w:rsidRPr="00BF555E" w:rsidRDefault="003155B0" w:rsidP="003155B0">
            <w:pPr>
              <w:pStyle w:val="Text1"/>
              <w:spacing w:before="0" w:after="0"/>
              <w:ind w:left="0"/>
              <w:rPr>
                <w:i/>
                <w:noProof/>
                <w:sz w:val="18"/>
                <w:szCs w:val="18"/>
              </w:rPr>
            </w:pPr>
            <w:r w:rsidRPr="00BF555E">
              <w:rPr>
                <w:noProof/>
                <w:sz w:val="18"/>
                <w:szCs w:val="18"/>
              </w:rPr>
              <w:t>4.3.prioritāte</w:t>
            </w:r>
          </w:p>
        </w:tc>
        <w:tc>
          <w:tcPr>
            <w:tcW w:w="398" w:type="pct"/>
          </w:tcPr>
          <w:p w14:paraId="1EDE8078" w14:textId="77777777" w:rsidR="003155B0" w:rsidRPr="00BF555E" w:rsidRDefault="003155B0" w:rsidP="003155B0">
            <w:pPr>
              <w:spacing w:before="0" w:after="0"/>
              <w:rPr>
                <w:noProof/>
                <w:sz w:val="18"/>
                <w:szCs w:val="18"/>
              </w:rPr>
            </w:pPr>
            <w:r w:rsidRPr="00BF555E">
              <w:rPr>
                <w:noProof/>
                <w:sz w:val="18"/>
                <w:szCs w:val="18"/>
              </w:rPr>
              <w:t>4.3.3.SAM</w:t>
            </w:r>
          </w:p>
          <w:p w14:paraId="58F330A4" w14:textId="77777777" w:rsidR="003155B0" w:rsidRPr="00BF555E" w:rsidRDefault="003155B0" w:rsidP="003155B0">
            <w:pPr>
              <w:pStyle w:val="Text1"/>
              <w:spacing w:before="0" w:after="0"/>
              <w:ind w:left="0"/>
              <w:rPr>
                <w:noProof/>
                <w:sz w:val="18"/>
                <w:szCs w:val="18"/>
              </w:rPr>
            </w:pPr>
          </w:p>
        </w:tc>
        <w:tc>
          <w:tcPr>
            <w:tcW w:w="289" w:type="pct"/>
          </w:tcPr>
          <w:p w14:paraId="049DF480" w14:textId="77777777" w:rsidR="003155B0" w:rsidRPr="00BF555E" w:rsidRDefault="003155B0" w:rsidP="003155B0">
            <w:pPr>
              <w:pStyle w:val="Text1"/>
              <w:spacing w:before="0" w:after="0"/>
              <w:ind w:left="0"/>
              <w:rPr>
                <w:i/>
                <w:noProof/>
                <w:sz w:val="18"/>
                <w:szCs w:val="18"/>
              </w:rPr>
            </w:pPr>
            <w:r w:rsidRPr="00BF555E">
              <w:rPr>
                <w:noProof/>
                <w:sz w:val="18"/>
                <w:szCs w:val="18"/>
              </w:rPr>
              <w:t>ESF</w:t>
            </w:r>
          </w:p>
        </w:tc>
        <w:tc>
          <w:tcPr>
            <w:tcW w:w="345" w:type="pct"/>
          </w:tcPr>
          <w:p w14:paraId="3AB97BB6" w14:textId="77777777" w:rsidR="003155B0" w:rsidRPr="00BF555E" w:rsidRDefault="003155B0" w:rsidP="003155B0">
            <w:pPr>
              <w:pStyle w:val="Text1"/>
              <w:spacing w:before="0" w:after="0"/>
              <w:ind w:left="0"/>
              <w:rPr>
                <w:i/>
                <w:noProof/>
                <w:sz w:val="18"/>
                <w:szCs w:val="18"/>
              </w:rPr>
            </w:pPr>
            <w:r w:rsidRPr="00BF555E">
              <w:rPr>
                <w:sz w:val="18"/>
                <w:szCs w:val="18"/>
              </w:rPr>
              <w:t>CR04</w:t>
            </w:r>
          </w:p>
        </w:tc>
        <w:tc>
          <w:tcPr>
            <w:tcW w:w="766" w:type="pct"/>
            <w:shd w:val="clear" w:color="auto" w:fill="auto"/>
          </w:tcPr>
          <w:p w14:paraId="78CBCB35" w14:textId="77777777" w:rsidR="003155B0" w:rsidRPr="00BF555E" w:rsidRDefault="003155B0" w:rsidP="003155B0">
            <w:pPr>
              <w:pStyle w:val="Text1"/>
              <w:spacing w:before="0" w:after="0"/>
              <w:ind w:left="0"/>
              <w:rPr>
                <w:sz w:val="18"/>
                <w:szCs w:val="18"/>
                <w:lang w:eastAsia="en-GB"/>
              </w:rPr>
            </w:pPr>
            <w:r w:rsidRPr="00BF555E">
              <w:rPr>
                <w:sz w:val="18"/>
                <w:szCs w:val="18"/>
                <w:lang w:eastAsia="en-GB"/>
              </w:rPr>
              <w:t xml:space="preserve">Nodarbinātie dalībnieki, tostarp pašnodarbinātie, pēc dalības pabeigšanas  </w:t>
            </w:r>
          </w:p>
          <w:p w14:paraId="3D3FA524" w14:textId="77777777" w:rsidR="003155B0" w:rsidRPr="00BF555E" w:rsidRDefault="003155B0" w:rsidP="003155B0">
            <w:pPr>
              <w:pStyle w:val="Text1"/>
              <w:spacing w:before="0" w:after="0"/>
              <w:ind w:left="0"/>
              <w:rPr>
                <w:noProof/>
                <w:sz w:val="18"/>
                <w:szCs w:val="18"/>
              </w:rPr>
            </w:pPr>
          </w:p>
        </w:tc>
        <w:tc>
          <w:tcPr>
            <w:tcW w:w="446" w:type="pct"/>
          </w:tcPr>
          <w:p w14:paraId="4DAF3DB4" w14:textId="77777777" w:rsidR="003155B0" w:rsidRPr="00BF555E" w:rsidRDefault="003155B0" w:rsidP="003155B0">
            <w:pPr>
              <w:pStyle w:val="Text1"/>
              <w:spacing w:before="0" w:after="0"/>
              <w:ind w:left="0"/>
              <w:rPr>
                <w:noProof/>
                <w:sz w:val="18"/>
                <w:szCs w:val="18"/>
              </w:rPr>
            </w:pPr>
            <w:r w:rsidRPr="00BF555E">
              <w:rPr>
                <w:noProof/>
                <w:sz w:val="18"/>
                <w:szCs w:val="18"/>
              </w:rPr>
              <w:t>Dalībnieku skaits</w:t>
            </w:r>
          </w:p>
        </w:tc>
        <w:tc>
          <w:tcPr>
            <w:tcW w:w="360" w:type="pct"/>
          </w:tcPr>
          <w:p w14:paraId="56DF043F" w14:textId="77777777" w:rsidR="003155B0" w:rsidRPr="00BF555E" w:rsidRDefault="003155B0" w:rsidP="003155B0">
            <w:pPr>
              <w:spacing w:before="0" w:after="0"/>
              <w:jc w:val="center"/>
              <w:rPr>
                <w:noProof/>
                <w:sz w:val="18"/>
                <w:szCs w:val="18"/>
              </w:rPr>
            </w:pPr>
            <w:r>
              <w:rPr>
                <w:noProof/>
                <w:sz w:val="18"/>
                <w:szCs w:val="18"/>
              </w:rPr>
              <w:t>2 151</w:t>
            </w:r>
          </w:p>
          <w:p w14:paraId="44B2C745" w14:textId="77777777" w:rsidR="003155B0" w:rsidRPr="00BF555E" w:rsidRDefault="003155B0" w:rsidP="003155B0">
            <w:pPr>
              <w:pStyle w:val="Text1"/>
              <w:spacing w:before="0" w:after="0"/>
              <w:ind w:left="0"/>
              <w:jc w:val="center"/>
              <w:rPr>
                <w:noProof/>
                <w:sz w:val="18"/>
                <w:szCs w:val="18"/>
              </w:rPr>
            </w:pPr>
          </w:p>
        </w:tc>
        <w:tc>
          <w:tcPr>
            <w:tcW w:w="421" w:type="pct"/>
          </w:tcPr>
          <w:p w14:paraId="19936880" w14:textId="77777777" w:rsidR="003155B0" w:rsidRPr="00BF555E" w:rsidRDefault="003155B0" w:rsidP="003155B0">
            <w:pPr>
              <w:pStyle w:val="Text1"/>
              <w:spacing w:before="0" w:after="0"/>
              <w:ind w:left="0"/>
              <w:rPr>
                <w:noProof/>
                <w:sz w:val="18"/>
                <w:szCs w:val="18"/>
              </w:rPr>
            </w:pPr>
            <w:r w:rsidRPr="00BF555E">
              <w:rPr>
                <w:noProof/>
                <w:sz w:val="18"/>
                <w:szCs w:val="18"/>
              </w:rPr>
              <w:t>20</w:t>
            </w:r>
            <w:r>
              <w:rPr>
                <w:noProof/>
                <w:sz w:val="18"/>
                <w:szCs w:val="18"/>
              </w:rPr>
              <w:t>19</w:t>
            </w:r>
          </w:p>
        </w:tc>
        <w:tc>
          <w:tcPr>
            <w:tcW w:w="478" w:type="pct"/>
            <w:shd w:val="clear" w:color="auto" w:fill="auto"/>
          </w:tcPr>
          <w:p w14:paraId="471CC673" w14:textId="77777777" w:rsidR="003155B0" w:rsidRPr="00BF555E" w:rsidRDefault="003155B0" w:rsidP="003155B0">
            <w:pPr>
              <w:spacing w:before="0" w:after="0"/>
              <w:jc w:val="center"/>
              <w:rPr>
                <w:noProof/>
                <w:sz w:val="18"/>
                <w:szCs w:val="18"/>
              </w:rPr>
            </w:pPr>
            <w:r>
              <w:rPr>
                <w:noProof/>
                <w:sz w:val="18"/>
                <w:szCs w:val="18"/>
              </w:rPr>
              <w:t>1442</w:t>
            </w:r>
          </w:p>
          <w:p w14:paraId="35F5FC59" w14:textId="77777777" w:rsidR="003155B0" w:rsidRPr="00BF555E" w:rsidRDefault="003155B0" w:rsidP="003155B0">
            <w:pPr>
              <w:pStyle w:val="Text1"/>
              <w:spacing w:before="0" w:after="0"/>
              <w:ind w:left="0"/>
              <w:jc w:val="center"/>
              <w:rPr>
                <w:noProof/>
                <w:sz w:val="18"/>
                <w:szCs w:val="18"/>
              </w:rPr>
            </w:pPr>
          </w:p>
        </w:tc>
        <w:tc>
          <w:tcPr>
            <w:tcW w:w="469" w:type="pct"/>
            <w:shd w:val="clear" w:color="auto" w:fill="auto"/>
          </w:tcPr>
          <w:p w14:paraId="38DEC29E" w14:textId="77777777" w:rsidR="003155B0" w:rsidRPr="00BF555E" w:rsidRDefault="003155B0" w:rsidP="003155B0">
            <w:pPr>
              <w:pStyle w:val="Text1"/>
              <w:spacing w:before="0" w:after="0"/>
              <w:ind w:left="0"/>
              <w:rPr>
                <w:noProof/>
                <w:sz w:val="18"/>
                <w:szCs w:val="18"/>
              </w:rPr>
            </w:pPr>
            <w:r w:rsidRPr="00BF555E">
              <w:rPr>
                <w:noProof/>
                <w:sz w:val="18"/>
                <w:szCs w:val="18"/>
              </w:rPr>
              <w:t>Projekta dati</w:t>
            </w:r>
          </w:p>
        </w:tc>
        <w:tc>
          <w:tcPr>
            <w:tcW w:w="588" w:type="pct"/>
          </w:tcPr>
          <w:p w14:paraId="3A1E5A05" w14:textId="767FF12F" w:rsidR="003155B0" w:rsidRPr="00BF555E" w:rsidRDefault="003155B0" w:rsidP="003155B0">
            <w:pPr>
              <w:spacing w:before="0" w:after="0"/>
              <w:rPr>
                <w:noProof/>
                <w:sz w:val="18"/>
                <w:szCs w:val="18"/>
              </w:rPr>
            </w:pPr>
          </w:p>
        </w:tc>
      </w:tr>
      <w:tr w:rsidR="003155B0" w:rsidRPr="00BF555E" w14:paraId="50772713" w14:textId="77777777" w:rsidTr="003155B0">
        <w:trPr>
          <w:trHeight w:val="286"/>
        </w:trPr>
        <w:tc>
          <w:tcPr>
            <w:tcW w:w="440" w:type="pct"/>
          </w:tcPr>
          <w:p w14:paraId="2169FC5B" w14:textId="77777777" w:rsidR="003155B0" w:rsidRPr="00BF555E" w:rsidRDefault="003155B0" w:rsidP="003155B0">
            <w:pPr>
              <w:pStyle w:val="Text1"/>
              <w:spacing w:before="0" w:after="0"/>
              <w:ind w:left="0"/>
              <w:rPr>
                <w:noProof/>
                <w:sz w:val="18"/>
                <w:szCs w:val="18"/>
              </w:rPr>
            </w:pPr>
            <w:r w:rsidRPr="00BF555E">
              <w:rPr>
                <w:noProof/>
                <w:sz w:val="18"/>
                <w:szCs w:val="18"/>
              </w:rPr>
              <w:t>4.3.prioritāte</w:t>
            </w:r>
          </w:p>
        </w:tc>
        <w:tc>
          <w:tcPr>
            <w:tcW w:w="398" w:type="pct"/>
          </w:tcPr>
          <w:p w14:paraId="7A02F3B1" w14:textId="77777777" w:rsidR="003155B0" w:rsidRPr="00BF555E" w:rsidRDefault="003155B0" w:rsidP="003155B0">
            <w:pPr>
              <w:spacing w:before="0" w:after="0"/>
              <w:rPr>
                <w:noProof/>
                <w:sz w:val="18"/>
                <w:szCs w:val="18"/>
              </w:rPr>
            </w:pPr>
            <w:r w:rsidRPr="00BF555E">
              <w:rPr>
                <w:noProof/>
                <w:sz w:val="18"/>
                <w:szCs w:val="18"/>
              </w:rPr>
              <w:t>4.3.4.SAM</w:t>
            </w:r>
          </w:p>
        </w:tc>
        <w:tc>
          <w:tcPr>
            <w:tcW w:w="289" w:type="pct"/>
          </w:tcPr>
          <w:p w14:paraId="5E4BB5D3" w14:textId="77777777" w:rsidR="003155B0" w:rsidRPr="00BF555E" w:rsidRDefault="003155B0" w:rsidP="003155B0">
            <w:pPr>
              <w:pStyle w:val="Text1"/>
              <w:spacing w:before="0" w:after="0"/>
              <w:ind w:left="0"/>
              <w:rPr>
                <w:noProof/>
                <w:sz w:val="18"/>
                <w:szCs w:val="18"/>
              </w:rPr>
            </w:pPr>
            <w:r w:rsidRPr="00BF555E">
              <w:rPr>
                <w:noProof/>
                <w:sz w:val="18"/>
                <w:szCs w:val="18"/>
              </w:rPr>
              <w:t>ESF</w:t>
            </w:r>
          </w:p>
        </w:tc>
        <w:tc>
          <w:tcPr>
            <w:tcW w:w="345" w:type="pct"/>
          </w:tcPr>
          <w:p w14:paraId="198B487B" w14:textId="77777777" w:rsidR="003155B0" w:rsidRPr="00BF555E" w:rsidRDefault="003155B0" w:rsidP="003155B0">
            <w:pPr>
              <w:pStyle w:val="Text1"/>
              <w:spacing w:before="0" w:after="0"/>
              <w:ind w:left="0"/>
              <w:rPr>
                <w:sz w:val="18"/>
                <w:szCs w:val="18"/>
              </w:rPr>
            </w:pPr>
            <w:r w:rsidRPr="00BF555E">
              <w:rPr>
                <w:sz w:val="18"/>
                <w:szCs w:val="18"/>
              </w:rPr>
              <w:t>CR04</w:t>
            </w:r>
          </w:p>
        </w:tc>
        <w:tc>
          <w:tcPr>
            <w:tcW w:w="766" w:type="pct"/>
            <w:shd w:val="clear" w:color="auto" w:fill="auto"/>
          </w:tcPr>
          <w:p w14:paraId="0F684E95" w14:textId="77777777" w:rsidR="003155B0" w:rsidRPr="00BF555E" w:rsidRDefault="003155B0" w:rsidP="003155B0">
            <w:pPr>
              <w:pStyle w:val="Text1"/>
              <w:spacing w:before="0" w:after="0"/>
              <w:ind w:left="0"/>
              <w:rPr>
                <w:sz w:val="18"/>
                <w:szCs w:val="18"/>
                <w:lang w:eastAsia="en-GB"/>
              </w:rPr>
            </w:pPr>
            <w:r w:rsidRPr="00BF555E">
              <w:rPr>
                <w:sz w:val="18"/>
                <w:szCs w:val="18"/>
                <w:lang w:eastAsia="en-GB"/>
              </w:rPr>
              <w:t xml:space="preserve">Nodarbinātie dalībnieki, tostarp pašnodarbinātie, pēc dalības pabeigšanas  </w:t>
            </w:r>
          </w:p>
          <w:p w14:paraId="2F9B70F0" w14:textId="77777777" w:rsidR="003155B0" w:rsidRPr="00BF555E" w:rsidRDefault="003155B0" w:rsidP="003155B0">
            <w:pPr>
              <w:pStyle w:val="Text1"/>
              <w:spacing w:before="0" w:after="0"/>
              <w:ind w:left="0"/>
              <w:rPr>
                <w:sz w:val="18"/>
                <w:szCs w:val="18"/>
                <w:lang w:eastAsia="en-GB"/>
              </w:rPr>
            </w:pPr>
          </w:p>
        </w:tc>
        <w:tc>
          <w:tcPr>
            <w:tcW w:w="446" w:type="pct"/>
          </w:tcPr>
          <w:p w14:paraId="7948739C" w14:textId="77777777" w:rsidR="003155B0" w:rsidRPr="00BF555E" w:rsidRDefault="003155B0" w:rsidP="003155B0">
            <w:pPr>
              <w:pStyle w:val="Text1"/>
              <w:spacing w:before="0" w:after="0"/>
              <w:ind w:left="0"/>
              <w:rPr>
                <w:noProof/>
                <w:sz w:val="18"/>
                <w:szCs w:val="18"/>
              </w:rPr>
            </w:pPr>
            <w:r w:rsidRPr="00BF555E">
              <w:rPr>
                <w:noProof/>
                <w:sz w:val="18"/>
                <w:szCs w:val="18"/>
              </w:rPr>
              <w:t>Dalībnieku skaits</w:t>
            </w:r>
          </w:p>
        </w:tc>
        <w:tc>
          <w:tcPr>
            <w:tcW w:w="360" w:type="pct"/>
          </w:tcPr>
          <w:p w14:paraId="6B88325D" w14:textId="77777777" w:rsidR="003155B0" w:rsidRPr="00BF555E" w:rsidRDefault="003155B0" w:rsidP="003155B0">
            <w:pPr>
              <w:spacing w:before="0" w:after="0"/>
              <w:jc w:val="center"/>
              <w:rPr>
                <w:noProof/>
                <w:sz w:val="18"/>
                <w:szCs w:val="18"/>
              </w:rPr>
            </w:pPr>
            <w:r w:rsidRPr="00BF555E">
              <w:rPr>
                <w:noProof/>
                <w:sz w:val="18"/>
                <w:szCs w:val="18"/>
              </w:rPr>
              <w:t>1</w:t>
            </w:r>
            <w:r>
              <w:rPr>
                <w:noProof/>
                <w:sz w:val="18"/>
                <w:szCs w:val="18"/>
              </w:rPr>
              <w:t>0</w:t>
            </w:r>
            <w:r w:rsidRPr="00BF555E">
              <w:rPr>
                <w:noProof/>
                <w:sz w:val="18"/>
                <w:szCs w:val="18"/>
              </w:rPr>
              <w:t>0</w:t>
            </w:r>
          </w:p>
          <w:p w14:paraId="6300FC04" w14:textId="77777777" w:rsidR="003155B0" w:rsidRPr="00BF555E" w:rsidRDefault="003155B0" w:rsidP="003155B0">
            <w:pPr>
              <w:spacing w:before="0" w:after="0"/>
              <w:jc w:val="center"/>
              <w:rPr>
                <w:noProof/>
                <w:sz w:val="18"/>
                <w:szCs w:val="18"/>
              </w:rPr>
            </w:pPr>
          </w:p>
        </w:tc>
        <w:tc>
          <w:tcPr>
            <w:tcW w:w="421" w:type="pct"/>
          </w:tcPr>
          <w:p w14:paraId="37D10463" w14:textId="77777777" w:rsidR="003155B0" w:rsidRPr="00BF555E" w:rsidRDefault="003155B0" w:rsidP="003155B0">
            <w:pPr>
              <w:pStyle w:val="Text1"/>
              <w:spacing w:before="0" w:after="0"/>
              <w:ind w:left="0"/>
              <w:rPr>
                <w:noProof/>
                <w:sz w:val="18"/>
                <w:szCs w:val="18"/>
              </w:rPr>
            </w:pPr>
            <w:r w:rsidRPr="00BF555E">
              <w:rPr>
                <w:noProof/>
                <w:sz w:val="18"/>
                <w:szCs w:val="18"/>
              </w:rPr>
              <w:t>2020</w:t>
            </w:r>
          </w:p>
        </w:tc>
        <w:tc>
          <w:tcPr>
            <w:tcW w:w="478" w:type="pct"/>
            <w:shd w:val="clear" w:color="auto" w:fill="auto"/>
          </w:tcPr>
          <w:p w14:paraId="68A2291F" w14:textId="77777777" w:rsidR="003155B0" w:rsidRPr="00BF555E" w:rsidRDefault="003155B0" w:rsidP="003155B0">
            <w:pPr>
              <w:spacing w:before="0" w:after="0"/>
              <w:jc w:val="center"/>
              <w:rPr>
                <w:noProof/>
                <w:sz w:val="18"/>
                <w:szCs w:val="18"/>
              </w:rPr>
            </w:pPr>
            <w:r w:rsidRPr="00BF555E">
              <w:rPr>
                <w:noProof/>
                <w:sz w:val="18"/>
                <w:szCs w:val="18"/>
              </w:rPr>
              <w:t>200</w:t>
            </w:r>
          </w:p>
          <w:p w14:paraId="30107E54" w14:textId="77777777" w:rsidR="003155B0" w:rsidRPr="00BF555E" w:rsidRDefault="003155B0" w:rsidP="003155B0">
            <w:pPr>
              <w:spacing w:before="0" w:after="0"/>
              <w:jc w:val="center"/>
              <w:rPr>
                <w:noProof/>
                <w:sz w:val="18"/>
                <w:szCs w:val="18"/>
              </w:rPr>
            </w:pPr>
          </w:p>
        </w:tc>
        <w:tc>
          <w:tcPr>
            <w:tcW w:w="469" w:type="pct"/>
            <w:shd w:val="clear" w:color="auto" w:fill="auto"/>
          </w:tcPr>
          <w:p w14:paraId="03CB1DDB" w14:textId="77777777" w:rsidR="003155B0" w:rsidRPr="00BF555E" w:rsidRDefault="003155B0" w:rsidP="003155B0">
            <w:pPr>
              <w:pStyle w:val="Text1"/>
              <w:spacing w:before="0" w:after="0"/>
              <w:ind w:left="0"/>
              <w:rPr>
                <w:noProof/>
                <w:sz w:val="18"/>
                <w:szCs w:val="18"/>
              </w:rPr>
            </w:pPr>
            <w:r w:rsidRPr="00BF555E">
              <w:rPr>
                <w:noProof/>
                <w:sz w:val="18"/>
                <w:szCs w:val="18"/>
              </w:rPr>
              <w:t>Projekta dati</w:t>
            </w:r>
          </w:p>
        </w:tc>
        <w:tc>
          <w:tcPr>
            <w:tcW w:w="588" w:type="pct"/>
          </w:tcPr>
          <w:p w14:paraId="22451D06" w14:textId="77777777" w:rsidR="003155B0" w:rsidRPr="00BF555E" w:rsidRDefault="003155B0" w:rsidP="003155B0">
            <w:pPr>
              <w:spacing w:before="0" w:after="0"/>
              <w:rPr>
                <w:noProof/>
                <w:sz w:val="18"/>
                <w:szCs w:val="18"/>
              </w:rPr>
            </w:pPr>
            <w:r w:rsidRPr="00BF555E">
              <w:rPr>
                <w:noProof/>
                <w:sz w:val="18"/>
                <w:szCs w:val="18"/>
              </w:rPr>
              <w:t>TM: Skaita, ja Valsts probācijas dienesta datu bāzē uzraudzības sekcijas slēgšanas datumā šī persona ir oficiāli reģistrēta kā nodarbināta vai pašnodarbināta persona.</w:t>
            </w:r>
          </w:p>
        </w:tc>
      </w:tr>
      <w:tr w:rsidR="003155B0" w:rsidRPr="00BF555E" w14:paraId="7FCC1DEA" w14:textId="77777777" w:rsidTr="003155B0">
        <w:trPr>
          <w:trHeight w:val="286"/>
        </w:trPr>
        <w:tc>
          <w:tcPr>
            <w:tcW w:w="440" w:type="pct"/>
          </w:tcPr>
          <w:p w14:paraId="0622F114" w14:textId="77777777" w:rsidR="003155B0" w:rsidRPr="00BF555E" w:rsidRDefault="003155B0" w:rsidP="003155B0">
            <w:pPr>
              <w:pStyle w:val="Text1"/>
              <w:spacing w:before="0" w:after="0"/>
              <w:ind w:left="0"/>
              <w:rPr>
                <w:noProof/>
                <w:sz w:val="18"/>
                <w:szCs w:val="18"/>
              </w:rPr>
            </w:pPr>
            <w:r w:rsidRPr="00BF555E">
              <w:rPr>
                <w:noProof/>
                <w:sz w:val="18"/>
                <w:szCs w:val="18"/>
              </w:rPr>
              <w:t>4.3.prioritāte</w:t>
            </w:r>
          </w:p>
        </w:tc>
        <w:tc>
          <w:tcPr>
            <w:tcW w:w="398" w:type="pct"/>
          </w:tcPr>
          <w:p w14:paraId="05873255" w14:textId="77777777" w:rsidR="003155B0" w:rsidRPr="00BF555E" w:rsidRDefault="003155B0" w:rsidP="003155B0">
            <w:pPr>
              <w:spacing w:before="0" w:after="0"/>
              <w:rPr>
                <w:noProof/>
                <w:sz w:val="18"/>
                <w:szCs w:val="18"/>
              </w:rPr>
            </w:pPr>
            <w:r w:rsidRPr="00BF555E">
              <w:rPr>
                <w:noProof/>
                <w:sz w:val="18"/>
                <w:szCs w:val="18"/>
              </w:rPr>
              <w:t>4.3.6.SAM</w:t>
            </w:r>
          </w:p>
        </w:tc>
        <w:tc>
          <w:tcPr>
            <w:tcW w:w="289" w:type="pct"/>
          </w:tcPr>
          <w:p w14:paraId="2EA2A4D9" w14:textId="77777777" w:rsidR="003155B0" w:rsidRPr="00BF555E" w:rsidRDefault="003155B0" w:rsidP="003155B0">
            <w:pPr>
              <w:pStyle w:val="Text1"/>
              <w:spacing w:before="0" w:after="0"/>
              <w:ind w:left="0"/>
              <w:rPr>
                <w:noProof/>
                <w:sz w:val="18"/>
                <w:szCs w:val="18"/>
              </w:rPr>
            </w:pPr>
            <w:r w:rsidRPr="00BF555E">
              <w:rPr>
                <w:noProof/>
                <w:sz w:val="18"/>
                <w:szCs w:val="18"/>
              </w:rPr>
              <w:t>ESF</w:t>
            </w:r>
          </w:p>
        </w:tc>
        <w:tc>
          <w:tcPr>
            <w:tcW w:w="345" w:type="pct"/>
          </w:tcPr>
          <w:p w14:paraId="309AD4A0" w14:textId="77777777" w:rsidR="003155B0" w:rsidRPr="00BF555E" w:rsidRDefault="003155B0" w:rsidP="003155B0">
            <w:pPr>
              <w:pStyle w:val="Text1"/>
              <w:spacing w:before="0" w:after="0"/>
              <w:ind w:left="0"/>
              <w:rPr>
                <w:sz w:val="18"/>
                <w:szCs w:val="18"/>
              </w:rPr>
            </w:pPr>
            <w:r w:rsidRPr="00BF555E">
              <w:rPr>
                <w:sz w:val="18"/>
                <w:szCs w:val="18"/>
              </w:rPr>
              <w:t>CR04</w:t>
            </w:r>
          </w:p>
        </w:tc>
        <w:tc>
          <w:tcPr>
            <w:tcW w:w="766" w:type="pct"/>
            <w:shd w:val="clear" w:color="auto" w:fill="auto"/>
          </w:tcPr>
          <w:p w14:paraId="3EDBD604" w14:textId="77777777" w:rsidR="003155B0" w:rsidRPr="00BF555E" w:rsidRDefault="003155B0" w:rsidP="003155B0">
            <w:pPr>
              <w:pStyle w:val="Text1"/>
              <w:spacing w:before="0" w:after="0"/>
              <w:ind w:left="0"/>
              <w:rPr>
                <w:sz w:val="18"/>
                <w:szCs w:val="18"/>
                <w:lang w:eastAsia="en-GB"/>
              </w:rPr>
            </w:pPr>
            <w:r w:rsidRPr="00BF555E">
              <w:rPr>
                <w:sz w:val="18"/>
                <w:szCs w:val="18"/>
                <w:lang w:eastAsia="en-GB"/>
              </w:rPr>
              <w:t xml:space="preserve">Nodarbinātie dalībnieki, tostarp pašnodarbinātie, pēc dalības pabeigšanas  </w:t>
            </w:r>
          </w:p>
          <w:p w14:paraId="12AE33C5" w14:textId="77777777" w:rsidR="003155B0" w:rsidRPr="00BF555E" w:rsidRDefault="003155B0" w:rsidP="003155B0">
            <w:pPr>
              <w:pStyle w:val="Text1"/>
              <w:spacing w:before="0" w:after="0"/>
              <w:ind w:left="0"/>
              <w:rPr>
                <w:sz w:val="18"/>
                <w:szCs w:val="18"/>
                <w:lang w:eastAsia="en-GB"/>
              </w:rPr>
            </w:pPr>
          </w:p>
        </w:tc>
        <w:tc>
          <w:tcPr>
            <w:tcW w:w="446" w:type="pct"/>
          </w:tcPr>
          <w:p w14:paraId="4004B7A7" w14:textId="77777777" w:rsidR="003155B0" w:rsidRPr="00BF555E" w:rsidRDefault="003155B0" w:rsidP="003155B0">
            <w:pPr>
              <w:pStyle w:val="Text1"/>
              <w:spacing w:before="0" w:after="0"/>
              <w:ind w:left="0"/>
              <w:rPr>
                <w:noProof/>
                <w:sz w:val="18"/>
                <w:szCs w:val="18"/>
              </w:rPr>
            </w:pPr>
            <w:r w:rsidRPr="00BF555E">
              <w:rPr>
                <w:noProof/>
                <w:sz w:val="18"/>
                <w:szCs w:val="18"/>
              </w:rPr>
              <w:t>Dalībnieku skaits</w:t>
            </w:r>
          </w:p>
        </w:tc>
        <w:tc>
          <w:tcPr>
            <w:tcW w:w="360" w:type="pct"/>
          </w:tcPr>
          <w:p w14:paraId="10064628" w14:textId="77777777" w:rsidR="003155B0" w:rsidRPr="00BF555E" w:rsidRDefault="003155B0" w:rsidP="003155B0">
            <w:pPr>
              <w:spacing w:before="0" w:after="0"/>
              <w:jc w:val="center"/>
              <w:rPr>
                <w:noProof/>
                <w:sz w:val="18"/>
                <w:szCs w:val="18"/>
              </w:rPr>
            </w:pPr>
            <w:r>
              <w:rPr>
                <w:noProof/>
                <w:sz w:val="18"/>
                <w:szCs w:val="18"/>
              </w:rPr>
              <w:t xml:space="preserve">VARAM: </w:t>
            </w:r>
            <w:r w:rsidRPr="00BF555E">
              <w:rPr>
                <w:noProof/>
                <w:sz w:val="18"/>
                <w:szCs w:val="18"/>
              </w:rPr>
              <w:t>0</w:t>
            </w:r>
          </w:p>
          <w:p w14:paraId="5BBE20C1" w14:textId="77777777" w:rsidR="003155B0" w:rsidRPr="00BF555E" w:rsidRDefault="003155B0" w:rsidP="003155B0">
            <w:pPr>
              <w:spacing w:before="0" w:after="0"/>
              <w:jc w:val="center"/>
              <w:rPr>
                <w:noProof/>
                <w:sz w:val="18"/>
                <w:szCs w:val="18"/>
              </w:rPr>
            </w:pPr>
          </w:p>
        </w:tc>
        <w:tc>
          <w:tcPr>
            <w:tcW w:w="421" w:type="pct"/>
          </w:tcPr>
          <w:p w14:paraId="27FB7D1B" w14:textId="77777777" w:rsidR="003155B0" w:rsidRPr="00BF555E" w:rsidRDefault="003155B0" w:rsidP="003155B0">
            <w:pPr>
              <w:pStyle w:val="Text1"/>
              <w:spacing w:before="0" w:after="0"/>
              <w:ind w:left="0"/>
              <w:rPr>
                <w:noProof/>
                <w:sz w:val="18"/>
                <w:szCs w:val="18"/>
              </w:rPr>
            </w:pPr>
            <w:r w:rsidRPr="00BF555E">
              <w:rPr>
                <w:noProof/>
                <w:sz w:val="18"/>
                <w:szCs w:val="18"/>
              </w:rPr>
              <w:t>2020</w:t>
            </w:r>
          </w:p>
        </w:tc>
        <w:tc>
          <w:tcPr>
            <w:tcW w:w="478" w:type="pct"/>
            <w:shd w:val="clear" w:color="auto" w:fill="auto"/>
          </w:tcPr>
          <w:p w14:paraId="75FB4B59" w14:textId="77777777" w:rsidR="003155B0" w:rsidRPr="00BF555E" w:rsidRDefault="003155B0" w:rsidP="003155B0">
            <w:pPr>
              <w:spacing w:before="0" w:after="0"/>
              <w:jc w:val="center"/>
              <w:rPr>
                <w:noProof/>
                <w:sz w:val="18"/>
                <w:szCs w:val="18"/>
              </w:rPr>
            </w:pPr>
            <w:r>
              <w:rPr>
                <w:noProof/>
                <w:sz w:val="18"/>
                <w:szCs w:val="18"/>
              </w:rPr>
              <w:t>VARAM: 1145</w:t>
            </w:r>
          </w:p>
          <w:p w14:paraId="44868DAB" w14:textId="77777777" w:rsidR="003155B0" w:rsidRPr="00BF555E" w:rsidRDefault="003155B0" w:rsidP="003155B0">
            <w:pPr>
              <w:spacing w:before="0" w:after="0"/>
              <w:jc w:val="center"/>
              <w:rPr>
                <w:noProof/>
                <w:sz w:val="18"/>
                <w:szCs w:val="18"/>
              </w:rPr>
            </w:pPr>
          </w:p>
        </w:tc>
        <w:tc>
          <w:tcPr>
            <w:tcW w:w="469" w:type="pct"/>
            <w:shd w:val="clear" w:color="auto" w:fill="auto"/>
          </w:tcPr>
          <w:p w14:paraId="78F5A82B" w14:textId="77777777" w:rsidR="003155B0" w:rsidRPr="00BF555E" w:rsidRDefault="003155B0" w:rsidP="003155B0">
            <w:pPr>
              <w:pStyle w:val="Text1"/>
              <w:spacing w:before="0" w:after="0"/>
              <w:ind w:left="0"/>
              <w:rPr>
                <w:noProof/>
                <w:sz w:val="18"/>
                <w:szCs w:val="18"/>
              </w:rPr>
            </w:pPr>
            <w:r w:rsidRPr="00BF555E">
              <w:rPr>
                <w:noProof/>
                <w:sz w:val="18"/>
                <w:szCs w:val="18"/>
              </w:rPr>
              <w:t>Projekta dati</w:t>
            </w:r>
          </w:p>
        </w:tc>
        <w:tc>
          <w:tcPr>
            <w:tcW w:w="588" w:type="pct"/>
          </w:tcPr>
          <w:p w14:paraId="03416BAA" w14:textId="77777777" w:rsidR="003155B0" w:rsidRPr="00BF555E" w:rsidRDefault="003155B0" w:rsidP="003155B0">
            <w:pPr>
              <w:spacing w:before="0" w:after="0"/>
              <w:rPr>
                <w:noProof/>
                <w:sz w:val="18"/>
                <w:szCs w:val="18"/>
              </w:rPr>
            </w:pPr>
          </w:p>
        </w:tc>
      </w:tr>
      <w:tr w:rsidR="003155B0" w:rsidRPr="00BF555E" w14:paraId="0CC9E27F" w14:textId="77777777" w:rsidTr="003155B0">
        <w:trPr>
          <w:trHeight w:val="286"/>
        </w:trPr>
        <w:tc>
          <w:tcPr>
            <w:tcW w:w="440" w:type="pct"/>
          </w:tcPr>
          <w:p w14:paraId="54A48CF3" w14:textId="77777777" w:rsidR="003155B0" w:rsidRPr="00BF555E" w:rsidRDefault="003155B0" w:rsidP="003155B0">
            <w:pPr>
              <w:spacing w:before="0" w:after="0"/>
              <w:rPr>
                <w:noProof/>
                <w:sz w:val="18"/>
                <w:szCs w:val="18"/>
              </w:rPr>
            </w:pPr>
            <w:r w:rsidRPr="00BF555E">
              <w:rPr>
                <w:noProof/>
                <w:sz w:val="18"/>
                <w:szCs w:val="18"/>
              </w:rPr>
              <w:t>4.2.prioritāte</w:t>
            </w:r>
          </w:p>
          <w:p w14:paraId="47C02942" w14:textId="77777777" w:rsidR="003155B0" w:rsidRPr="00BF555E" w:rsidRDefault="003155B0" w:rsidP="003155B0">
            <w:pPr>
              <w:pStyle w:val="Text1"/>
              <w:spacing w:before="0" w:after="0"/>
              <w:ind w:left="0"/>
              <w:rPr>
                <w:noProof/>
                <w:sz w:val="18"/>
                <w:szCs w:val="18"/>
              </w:rPr>
            </w:pPr>
          </w:p>
        </w:tc>
        <w:tc>
          <w:tcPr>
            <w:tcW w:w="398" w:type="pct"/>
          </w:tcPr>
          <w:p w14:paraId="31FBA0CB" w14:textId="77777777" w:rsidR="003155B0" w:rsidRPr="00BF555E" w:rsidRDefault="003155B0" w:rsidP="003155B0">
            <w:pPr>
              <w:spacing w:before="0" w:after="0"/>
              <w:rPr>
                <w:noProof/>
                <w:sz w:val="18"/>
                <w:szCs w:val="18"/>
              </w:rPr>
            </w:pPr>
            <w:r w:rsidRPr="00BF555E">
              <w:rPr>
                <w:noProof/>
                <w:sz w:val="18"/>
                <w:szCs w:val="18"/>
              </w:rPr>
              <w:t>4.2.4.SAM</w:t>
            </w:r>
          </w:p>
          <w:p w14:paraId="1D546118" w14:textId="77777777" w:rsidR="003155B0" w:rsidRPr="00BF555E" w:rsidRDefault="003155B0" w:rsidP="003155B0">
            <w:pPr>
              <w:pStyle w:val="Text1"/>
              <w:spacing w:before="0" w:after="0"/>
              <w:ind w:left="0"/>
              <w:rPr>
                <w:noProof/>
                <w:sz w:val="18"/>
                <w:szCs w:val="18"/>
              </w:rPr>
            </w:pPr>
          </w:p>
        </w:tc>
        <w:tc>
          <w:tcPr>
            <w:tcW w:w="289" w:type="pct"/>
          </w:tcPr>
          <w:p w14:paraId="491D84EC" w14:textId="77777777" w:rsidR="003155B0" w:rsidRPr="00BF555E" w:rsidRDefault="003155B0" w:rsidP="003155B0">
            <w:pPr>
              <w:pStyle w:val="Text1"/>
              <w:spacing w:before="0" w:after="0"/>
              <w:ind w:left="0"/>
              <w:rPr>
                <w:noProof/>
                <w:sz w:val="18"/>
                <w:szCs w:val="18"/>
              </w:rPr>
            </w:pPr>
            <w:r w:rsidRPr="00BF555E">
              <w:rPr>
                <w:noProof/>
                <w:sz w:val="18"/>
                <w:szCs w:val="18"/>
              </w:rPr>
              <w:t>ESF</w:t>
            </w:r>
          </w:p>
        </w:tc>
        <w:tc>
          <w:tcPr>
            <w:tcW w:w="345" w:type="pct"/>
          </w:tcPr>
          <w:p w14:paraId="0C813C36" w14:textId="77777777" w:rsidR="003155B0" w:rsidRPr="00BF555E" w:rsidRDefault="003155B0" w:rsidP="003155B0">
            <w:pPr>
              <w:pStyle w:val="Text1"/>
              <w:spacing w:before="0" w:after="0"/>
              <w:ind w:left="0"/>
              <w:rPr>
                <w:noProof/>
                <w:sz w:val="18"/>
                <w:szCs w:val="18"/>
              </w:rPr>
            </w:pPr>
            <w:r w:rsidRPr="00BF555E">
              <w:rPr>
                <w:sz w:val="18"/>
                <w:szCs w:val="18"/>
              </w:rPr>
              <w:t>CR06</w:t>
            </w:r>
          </w:p>
        </w:tc>
        <w:tc>
          <w:tcPr>
            <w:tcW w:w="766" w:type="pct"/>
            <w:shd w:val="clear" w:color="auto" w:fill="auto"/>
          </w:tcPr>
          <w:p w14:paraId="54EF9B5D" w14:textId="77777777" w:rsidR="003155B0" w:rsidRPr="00BF555E" w:rsidRDefault="003155B0" w:rsidP="003155B0">
            <w:pPr>
              <w:pStyle w:val="Text1"/>
              <w:spacing w:before="0" w:after="0"/>
              <w:ind w:left="0"/>
              <w:rPr>
                <w:noProof/>
                <w:sz w:val="18"/>
                <w:szCs w:val="18"/>
              </w:rPr>
            </w:pPr>
            <w:r w:rsidRPr="00BF555E">
              <w:rPr>
                <w:sz w:val="18"/>
                <w:szCs w:val="18"/>
                <w:lang w:eastAsia="en-GB"/>
              </w:rPr>
              <w:t>Dalībnieki, kuri atrodas labākā darba situācijā sešos mēnešos pēc dalības pārtraukšanas</w:t>
            </w:r>
          </w:p>
        </w:tc>
        <w:tc>
          <w:tcPr>
            <w:tcW w:w="446" w:type="pct"/>
          </w:tcPr>
          <w:p w14:paraId="07281E06" w14:textId="77777777" w:rsidR="003155B0" w:rsidRPr="00BF555E" w:rsidRDefault="003155B0" w:rsidP="003155B0">
            <w:pPr>
              <w:pStyle w:val="Text1"/>
              <w:spacing w:before="0" w:after="0"/>
              <w:ind w:left="0"/>
              <w:rPr>
                <w:noProof/>
                <w:sz w:val="18"/>
                <w:szCs w:val="18"/>
              </w:rPr>
            </w:pPr>
            <w:r w:rsidRPr="00BF555E">
              <w:rPr>
                <w:noProof/>
                <w:sz w:val="18"/>
                <w:szCs w:val="18"/>
              </w:rPr>
              <w:t>Dalībnieku skaits</w:t>
            </w:r>
          </w:p>
        </w:tc>
        <w:tc>
          <w:tcPr>
            <w:tcW w:w="360" w:type="pct"/>
          </w:tcPr>
          <w:p w14:paraId="29147A7D" w14:textId="77777777" w:rsidR="003155B0" w:rsidRPr="00BF555E" w:rsidRDefault="003155B0" w:rsidP="003155B0">
            <w:pPr>
              <w:spacing w:before="0" w:after="0"/>
              <w:jc w:val="center"/>
              <w:rPr>
                <w:noProof/>
                <w:sz w:val="18"/>
                <w:szCs w:val="18"/>
              </w:rPr>
            </w:pPr>
            <w:r w:rsidRPr="00BF555E">
              <w:rPr>
                <w:noProof/>
                <w:sz w:val="18"/>
                <w:szCs w:val="18"/>
              </w:rPr>
              <w:t>0</w:t>
            </w:r>
          </w:p>
          <w:p w14:paraId="11ABCAA1" w14:textId="77777777" w:rsidR="003155B0" w:rsidRPr="00BF555E" w:rsidRDefault="003155B0" w:rsidP="003155B0">
            <w:pPr>
              <w:pStyle w:val="Text1"/>
              <w:spacing w:before="0" w:after="0"/>
              <w:ind w:left="0"/>
              <w:jc w:val="center"/>
              <w:rPr>
                <w:noProof/>
                <w:sz w:val="18"/>
                <w:szCs w:val="18"/>
              </w:rPr>
            </w:pPr>
          </w:p>
        </w:tc>
        <w:tc>
          <w:tcPr>
            <w:tcW w:w="421" w:type="pct"/>
          </w:tcPr>
          <w:p w14:paraId="06894554" w14:textId="77777777" w:rsidR="003155B0" w:rsidRPr="00BF555E" w:rsidRDefault="003155B0" w:rsidP="003155B0">
            <w:pPr>
              <w:spacing w:before="0" w:after="0"/>
              <w:jc w:val="center"/>
              <w:rPr>
                <w:noProof/>
                <w:sz w:val="18"/>
                <w:szCs w:val="18"/>
              </w:rPr>
            </w:pPr>
            <w:r w:rsidRPr="00BF555E">
              <w:rPr>
                <w:noProof/>
                <w:sz w:val="18"/>
                <w:szCs w:val="18"/>
              </w:rPr>
              <w:t>2020</w:t>
            </w:r>
          </w:p>
          <w:p w14:paraId="5B355BE4" w14:textId="77777777" w:rsidR="003155B0" w:rsidRPr="00BF555E" w:rsidRDefault="003155B0" w:rsidP="003155B0">
            <w:pPr>
              <w:pStyle w:val="Text1"/>
              <w:spacing w:before="0" w:after="0"/>
              <w:ind w:left="0"/>
              <w:jc w:val="center"/>
              <w:rPr>
                <w:noProof/>
                <w:sz w:val="18"/>
                <w:szCs w:val="18"/>
              </w:rPr>
            </w:pPr>
          </w:p>
        </w:tc>
        <w:tc>
          <w:tcPr>
            <w:tcW w:w="478" w:type="pct"/>
            <w:shd w:val="clear" w:color="auto" w:fill="auto"/>
          </w:tcPr>
          <w:p w14:paraId="29131265" w14:textId="77777777" w:rsidR="003155B0" w:rsidRPr="00BF555E" w:rsidRDefault="003155B0" w:rsidP="003155B0">
            <w:pPr>
              <w:pStyle w:val="Text1"/>
              <w:spacing w:before="0" w:after="0"/>
              <w:ind w:left="0"/>
              <w:jc w:val="center"/>
              <w:rPr>
                <w:noProof/>
                <w:sz w:val="18"/>
                <w:szCs w:val="18"/>
              </w:rPr>
            </w:pPr>
            <w:r w:rsidRPr="00BF555E">
              <w:rPr>
                <w:noProof/>
                <w:sz w:val="18"/>
                <w:szCs w:val="18"/>
              </w:rPr>
              <w:t>2 803</w:t>
            </w:r>
          </w:p>
        </w:tc>
        <w:tc>
          <w:tcPr>
            <w:tcW w:w="469" w:type="pct"/>
            <w:shd w:val="clear" w:color="auto" w:fill="auto"/>
          </w:tcPr>
          <w:p w14:paraId="5BB57AFD" w14:textId="77777777" w:rsidR="003155B0" w:rsidRPr="00BF555E" w:rsidRDefault="003155B0" w:rsidP="003155B0">
            <w:pPr>
              <w:pStyle w:val="Text1"/>
              <w:spacing w:before="0" w:after="0"/>
              <w:ind w:left="0"/>
              <w:jc w:val="center"/>
              <w:rPr>
                <w:noProof/>
                <w:sz w:val="18"/>
                <w:szCs w:val="18"/>
              </w:rPr>
            </w:pPr>
            <w:r w:rsidRPr="00BF555E">
              <w:rPr>
                <w:noProof/>
                <w:sz w:val="18"/>
                <w:szCs w:val="18"/>
              </w:rPr>
              <w:t xml:space="preserve">Projekta dati </w:t>
            </w:r>
          </w:p>
        </w:tc>
        <w:tc>
          <w:tcPr>
            <w:tcW w:w="588" w:type="pct"/>
          </w:tcPr>
          <w:p w14:paraId="5C3C34FE" w14:textId="77777777" w:rsidR="003155B0" w:rsidRPr="00BF555E" w:rsidRDefault="003155B0" w:rsidP="003155B0">
            <w:pPr>
              <w:spacing w:before="0" w:after="0"/>
              <w:rPr>
                <w:noProof/>
                <w:sz w:val="18"/>
                <w:szCs w:val="18"/>
              </w:rPr>
            </w:pPr>
          </w:p>
        </w:tc>
      </w:tr>
      <w:tr w:rsidR="003155B0" w:rsidRPr="00BF555E" w14:paraId="36D05F51" w14:textId="77777777" w:rsidTr="003155B0">
        <w:trPr>
          <w:trHeight w:val="286"/>
        </w:trPr>
        <w:tc>
          <w:tcPr>
            <w:tcW w:w="440" w:type="pct"/>
          </w:tcPr>
          <w:p w14:paraId="3802DD08" w14:textId="77777777" w:rsidR="003155B0" w:rsidRPr="00BF555E" w:rsidRDefault="003155B0" w:rsidP="003155B0">
            <w:pPr>
              <w:pStyle w:val="Text1"/>
              <w:spacing w:before="0" w:after="0"/>
              <w:ind w:left="0"/>
              <w:rPr>
                <w:noProof/>
                <w:sz w:val="18"/>
                <w:szCs w:val="18"/>
              </w:rPr>
            </w:pPr>
            <w:r w:rsidRPr="00BF555E">
              <w:rPr>
                <w:noProof/>
                <w:sz w:val="18"/>
                <w:szCs w:val="18"/>
              </w:rPr>
              <w:t>4.3.prioritāte</w:t>
            </w:r>
          </w:p>
          <w:p w14:paraId="60E64CE7" w14:textId="77777777" w:rsidR="003155B0" w:rsidRPr="00BF555E" w:rsidRDefault="003155B0" w:rsidP="003155B0">
            <w:pPr>
              <w:spacing w:before="0" w:after="0"/>
              <w:rPr>
                <w:noProof/>
                <w:sz w:val="18"/>
                <w:szCs w:val="18"/>
              </w:rPr>
            </w:pPr>
          </w:p>
        </w:tc>
        <w:tc>
          <w:tcPr>
            <w:tcW w:w="398" w:type="pct"/>
          </w:tcPr>
          <w:p w14:paraId="7E212151" w14:textId="77777777" w:rsidR="003155B0" w:rsidRPr="00BF555E" w:rsidRDefault="003155B0" w:rsidP="003155B0">
            <w:pPr>
              <w:spacing w:before="0" w:after="0"/>
              <w:rPr>
                <w:noProof/>
                <w:sz w:val="18"/>
                <w:szCs w:val="18"/>
              </w:rPr>
            </w:pPr>
            <w:r>
              <w:rPr>
                <w:noProof/>
                <w:sz w:val="18"/>
                <w:szCs w:val="18"/>
              </w:rPr>
              <w:t xml:space="preserve">4.3.4.SAM </w:t>
            </w:r>
          </w:p>
        </w:tc>
        <w:tc>
          <w:tcPr>
            <w:tcW w:w="289" w:type="pct"/>
          </w:tcPr>
          <w:p w14:paraId="580813BD" w14:textId="77777777" w:rsidR="003155B0" w:rsidRPr="00BF555E" w:rsidRDefault="003155B0" w:rsidP="003155B0">
            <w:pPr>
              <w:pStyle w:val="Text1"/>
              <w:spacing w:before="0" w:after="0"/>
              <w:ind w:left="0"/>
              <w:rPr>
                <w:noProof/>
                <w:sz w:val="18"/>
                <w:szCs w:val="18"/>
              </w:rPr>
            </w:pPr>
            <w:r>
              <w:rPr>
                <w:noProof/>
                <w:sz w:val="18"/>
                <w:szCs w:val="18"/>
              </w:rPr>
              <w:t xml:space="preserve">ESF </w:t>
            </w:r>
          </w:p>
        </w:tc>
        <w:tc>
          <w:tcPr>
            <w:tcW w:w="345" w:type="pct"/>
          </w:tcPr>
          <w:p w14:paraId="48EA287B" w14:textId="77777777" w:rsidR="003155B0" w:rsidRPr="00BF555E" w:rsidRDefault="003155B0" w:rsidP="003155B0">
            <w:pPr>
              <w:pStyle w:val="Text1"/>
              <w:spacing w:before="0" w:after="0"/>
              <w:ind w:left="0"/>
              <w:rPr>
                <w:sz w:val="18"/>
                <w:szCs w:val="18"/>
              </w:rPr>
            </w:pPr>
            <w:r w:rsidRPr="00FA3704">
              <w:rPr>
                <w:sz w:val="18"/>
                <w:szCs w:val="18"/>
              </w:rPr>
              <w:t>r.4.3.4.a</w:t>
            </w:r>
          </w:p>
        </w:tc>
        <w:tc>
          <w:tcPr>
            <w:tcW w:w="766" w:type="pct"/>
            <w:shd w:val="clear" w:color="auto" w:fill="auto"/>
          </w:tcPr>
          <w:p w14:paraId="5A1FC2F6" w14:textId="77777777" w:rsidR="003155B0" w:rsidRPr="00BF555E" w:rsidRDefault="003155B0" w:rsidP="003155B0">
            <w:pPr>
              <w:pStyle w:val="Text1"/>
              <w:spacing w:before="0" w:after="0"/>
              <w:ind w:left="0"/>
              <w:rPr>
                <w:sz w:val="18"/>
                <w:szCs w:val="18"/>
                <w:lang w:eastAsia="en-GB"/>
              </w:rPr>
            </w:pPr>
            <w:r w:rsidRPr="00FA3704">
              <w:rPr>
                <w:sz w:val="18"/>
                <w:szCs w:val="18"/>
                <w:lang w:eastAsia="en-GB"/>
              </w:rPr>
              <w:t>NVO skaita pieaugums, kas sniegušas atzinumus par rīcībpolitikas  plānošanas dokumentiem un normatīvajiem aktiem (6 mēnešu laikā pēc iesaistes projekta darbībās</w:t>
            </w:r>
          </w:p>
        </w:tc>
        <w:tc>
          <w:tcPr>
            <w:tcW w:w="446" w:type="pct"/>
          </w:tcPr>
          <w:p w14:paraId="0F872DC3" w14:textId="77777777" w:rsidR="003155B0" w:rsidRPr="00BF555E" w:rsidRDefault="003155B0" w:rsidP="003155B0">
            <w:pPr>
              <w:pStyle w:val="Text1"/>
              <w:spacing w:before="0" w:after="0"/>
              <w:ind w:left="0"/>
              <w:rPr>
                <w:noProof/>
                <w:sz w:val="18"/>
                <w:szCs w:val="18"/>
              </w:rPr>
            </w:pPr>
            <w:r w:rsidRPr="00FA3704">
              <w:rPr>
                <w:noProof/>
                <w:sz w:val="18"/>
                <w:szCs w:val="18"/>
              </w:rPr>
              <w:t>NVO skaita pieaugums</w:t>
            </w:r>
          </w:p>
        </w:tc>
        <w:tc>
          <w:tcPr>
            <w:tcW w:w="360" w:type="pct"/>
          </w:tcPr>
          <w:p w14:paraId="4FF355E0" w14:textId="77777777" w:rsidR="003155B0" w:rsidRPr="00BF555E" w:rsidRDefault="003155B0" w:rsidP="003155B0">
            <w:pPr>
              <w:spacing w:before="0" w:after="0"/>
              <w:jc w:val="center"/>
              <w:rPr>
                <w:noProof/>
                <w:sz w:val="18"/>
                <w:szCs w:val="18"/>
              </w:rPr>
            </w:pPr>
            <w:r>
              <w:rPr>
                <w:noProof/>
                <w:sz w:val="18"/>
                <w:szCs w:val="18"/>
              </w:rPr>
              <w:t>0</w:t>
            </w:r>
          </w:p>
        </w:tc>
        <w:tc>
          <w:tcPr>
            <w:tcW w:w="421" w:type="pct"/>
          </w:tcPr>
          <w:p w14:paraId="45324984" w14:textId="77777777" w:rsidR="003155B0" w:rsidRPr="00BF555E" w:rsidRDefault="003155B0" w:rsidP="003155B0">
            <w:pPr>
              <w:spacing w:before="0" w:after="0"/>
              <w:jc w:val="center"/>
              <w:rPr>
                <w:noProof/>
                <w:sz w:val="18"/>
                <w:szCs w:val="18"/>
              </w:rPr>
            </w:pPr>
            <w:r>
              <w:rPr>
                <w:noProof/>
                <w:sz w:val="18"/>
                <w:szCs w:val="18"/>
              </w:rPr>
              <w:t>2021</w:t>
            </w:r>
          </w:p>
        </w:tc>
        <w:tc>
          <w:tcPr>
            <w:tcW w:w="478" w:type="pct"/>
            <w:shd w:val="clear" w:color="auto" w:fill="auto"/>
          </w:tcPr>
          <w:p w14:paraId="353B304F" w14:textId="77777777" w:rsidR="003155B0" w:rsidRPr="00BF555E" w:rsidRDefault="003155B0" w:rsidP="003155B0">
            <w:pPr>
              <w:pStyle w:val="Text1"/>
              <w:spacing w:before="0" w:after="0"/>
              <w:ind w:left="0"/>
              <w:jc w:val="center"/>
              <w:rPr>
                <w:noProof/>
                <w:sz w:val="18"/>
                <w:szCs w:val="18"/>
              </w:rPr>
            </w:pPr>
            <w:r>
              <w:rPr>
                <w:noProof/>
                <w:sz w:val="18"/>
                <w:szCs w:val="18"/>
              </w:rPr>
              <w:t>15</w:t>
            </w:r>
          </w:p>
        </w:tc>
        <w:tc>
          <w:tcPr>
            <w:tcW w:w="469" w:type="pct"/>
            <w:shd w:val="clear" w:color="auto" w:fill="auto"/>
          </w:tcPr>
          <w:p w14:paraId="3AB91AFF" w14:textId="77777777" w:rsidR="003155B0" w:rsidRPr="00BF555E" w:rsidRDefault="003155B0" w:rsidP="003155B0">
            <w:pPr>
              <w:pStyle w:val="Text1"/>
              <w:spacing w:before="0" w:after="0"/>
              <w:ind w:left="0"/>
              <w:jc w:val="center"/>
              <w:rPr>
                <w:noProof/>
                <w:sz w:val="18"/>
                <w:szCs w:val="18"/>
              </w:rPr>
            </w:pPr>
            <w:r w:rsidRPr="00BF555E">
              <w:rPr>
                <w:noProof/>
                <w:sz w:val="18"/>
                <w:szCs w:val="18"/>
              </w:rPr>
              <w:t>Projekta dati</w:t>
            </w:r>
          </w:p>
        </w:tc>
        <w:tc>
          <w:tcPr>
            <w:tcW w:w="588" w:type="pct"/>
          </w:tcPr>
          <w:p w14:paraId="6A4D695F" w14:textId="77777777" w:rsidR="003155B0" w:rsidRPr="00BF555E" w:rsidRDefault="003155B0" w:rsidP="003155B0">
            <w:pPr>
              <w:spacing w:before="0" w:after="0"/>
              <w:rPr>
                <w:noProof/>
                <w:sz w:val="18"/>
                <w:szCs w:val="18"/>
              </w:rPr>
            </w:pPr>
          </w:p>
        </w:tc>
      </w:tr>
      <w:tr w:rsidR="003155B0" w:rsidRPr="00BF555E" w14:paraId="53F0F042" w14:textId="77777777" w:rsidTr="003155B0">
        <w:trPr>
          <w:trHeight w:val="286"/>
        </w:trPr>
        <w:tc>
          <w:tcPr>
            <w:tcW w:w="440" w:type="pct"/>
          </w:tcPr>
          <w:p w14:paraId="72E57F4A" w14:textId="77777777" w:rsidR="003155B0" w:rsidRPr="00BF555E" w:rsidRDefault="003155B0" w:rsidP="003155B0">
            <w:pPr>
              <w:pStyle w:val="Text1"/>
              <w:spacing w:before="0" w:after="0"/>
              <w:ind w:left="0"/>
              <w:rPr>
                <w:noProof/>
                <w:sz w:val="18"/>
                <w:szCs w:val="18"/>
              </w:rPr>
            </w:pPr>
            <w:r w:rsidRPr="00BF555E">
              <w:rPr>
                <w:noProof/>
                <w:sz w:val="18"/>
                <w:szCs w:val="18"/>
              </w:rPr>
              <w:t>4.3.prioritāte</w:t>
            </w:r>
          </w:p>
          <w:p w14:paraId="6951240E" w14:textId="77777777" w:rsidR="003155B0" w:rsidRPr="00BF555E" w:rsidRDefault="003155B0" w:rsidP="003155B0">
            <w:pPr>
              <w:pStyle w:val="Text1"/>
              <w:spacing w:before="0" w:after="0"/>
              <w:ind w:left="0"/>
              <w:rPr>
                <w:noProof/>
                <w:sz w:val="18"/>
                <w:szCs w:val="18"/>
              </w:rPr>
            </w:pPr>
          </w:p>
        </w:tc>
        <w:tc>
          <w:tcPr>
            <w:tcW w:w="398" w:type="pct"/>
          </w:tcPr>
          <w:p w14:paraId="68E115C2" w14:textId="77777777" w:rsidR="003155B0" w:rsidRDefault="003155B0" w:rsidP="003155B0">
            <w:pPr>
              <w:spacing w:before="0" w:after="0"/>
              <w:rPr>
                <w:noProof/>
                <w:sz w:val="18"/>
                <w:szCs w:val="18"/>
              </w:rPr>
            </w:pPr>
            <w:r>
              <w:rPr>
                <w:noProof/>
                <w:sz w:val="18"/>
                <w:szCs w:val="18"/>
              </w:rPr>
              <w:t>4.3.4.SAM</w:t>
            </w:r>
          </w:p>
        </w:tc>
        <w:tc>
          <w:tcPr>
            <w:tcW w:w="289" w:type="pct"/>
          </w:tcPr>
          <w:p w14:paraId="1E0CAA2A" w14:textId="77777777" w:rsidR="003155B0" w:rsidRDefault="003155B0" w:rsidP="003155B0">
            <w:pPr>
              <w:pStyle w:val="Text1"/>
              <w:spacing w:before="0" w:after="0"/>
              <w:ind w:left="0"/>
              <w:rPr>
                <w:noProof/>
                <w:sz w:val="18"/>
                <w:szCs w:val="18"/>
              </w:rPr>
            </w:pPr>
            <w:r>
              <w:rPr>
                <w:noProof/>
                <w:sz w:val="18"/>
                <w:szCs w:val="18"/>
              </w:rPr>
              <w:t>ESF</w:t>
            </w:r>
          </w:p>
        </w:tc>
        <w:tc>
          <w:tcPr>
            <w:tcW w:w="345" w:type="pct"/>
          </w:tcPr>
          <w:p w14:paraId="66E8DC4E" w14:textId="77777777" w:rsidR="003155B0" w:rsidRPr="00FA3704" w:rsidRDefault="003155B0" w:rsidP="003155B0">
            <w:pPr>
              <w:pStyle w:val="Text1"/>
              <w:spacing w:before="0" w:after="0"/>
              <w:ind w:left="0"/>
              <w:rPr>
                <w:sz w:val="18"/>
                <w:szCs w:val="18"/>
              </w:rPr>
            </w:pPr>
            <w:r w:rsidRPr="00942E28">
              <w:rPr>
                <w:sz w:val="18"/>
                <w:szCs w:val="18"/>
              </w:rPr>
              <w:t>r.4.3.4.b</w:t>
            </w:r>
          </w:p>
        </w:tc>
        <w:tc>
          <w:tcPr>
            <w:tcW w:w="766" w:type="pct"/>
            <w:shd w:val="clear" w:color="auto" w:fill="auto"/>
          </w:tcPr>
          <w:p w14:paraId="0E588E61" w14:textId="77777777" w:rsidR="003155B0" w:rsidRPr="00FA3704" w:rsidRDefault="003155B0" w:rsidP="003155B0">
            <w:pPr>
              <w:pStyle w:val="Text1"/>
              <w:spacing w:before="0" w:after="0"/>
              <w:ind w:left="0"/>
              <w:rPr>
                <w:sz w:val="18"/>
                <w:szCs w:val="18"/>
                <w:lang w:eastAsia="en-GB"/>
              </w:rPr>
            </w:pPr>
            <w:r w:rsidRPr="00942E28">
              <w:rPr>
                <w:sz w:val="18"/>
                <w:szCs w:val="18"/>
                <w:lang w:eastAsia="en-GB"/>
              </w:rPr>
              <w:t>Atbalstīto sociālo partneru skaits, kas sniedz atzinumus/priekšlikums likumdošanas procesā un Eiropas Semestra ietvaros</w:t>
            </w:r>
          </w:p>
        </w:tc>
        <w:tc>
          <w:tcPr>
            <w:tcW w:w="446" w:type="pct"/>
          </w:tcPr>
          <w:p w14:paraId="765AE43F" w14:textId="77777777" w:rsidR="003155B0" w:rsidRPr="00FA3704" w:rsidRDefault="003155B0" w:rsidP="003155B0">
            <w:pPr>
              <w:pStyle w:val="Text1"/>
              <w:spacing w:before="0" w:after="0"/>
              <w:ind w:left="0"/>
              <w:rPr>
                <w:noProof/>
                <w:sz w:val="18"/>
                <w:szCs w:val="18"/>
              </w:rPr>
            </w:pPr>
            <w:r w:rsidRPr="00942E28">
              <w:rPr>
                <w:noProof/>
                <w:sz w:val="18"/>
                <w:szCs w:val="18"/>
              </w:rPr>
              <w:t>Organizāciju skaits</w:t>
            </w:r>
          </w:p>
        </w:tc>
        <w:tc>
          <w:tcPr>
            <w:tcW w:w="360" w:type="pct"/>
          </w:tcPr>
          <w:p w14:paraId="17F329E5" w14:textId="77777777" w:rsidR="003155B0" w:rsidRDefault="003155B0" w:rsidP="003155B0">
            <w:pPr>
              <w:spacing w:before="0" w:after="0"/>
              <w:jc w:val="center"/>
              <w:rPr>
                <w:noProof/>
                <w:sz w:val="18"/>
                <w:szCs w:val="18"/>
              </w:rPr>
            </w:pPr>
            <w:r>
              <w:rPr>
                <w:noProof/>
                <w:sz w:val="18"/>
                <w:szCs w:val="18"/>
              </w:rPr>
              <w:t>0</w:t>
            </w:r>
          </w:p>
        </w:tc>
        <w:tc>
          <w:tcPr>
            <w:tcW w:w="421" w:type="pct"/>
          </w:tcPr>
          <w:p w14:paraId="669AE3F8" w14:textId="77777777" w:rsidR="003155B0" w:rsidRDefault="003155B0" w:rsidP="003155B0">
            <w:pPr>
              <w:spacing w:before="0" w:after="0"/>
              <w:jc w:val="center"/>
              <w:rPr>
                <w:noProof/>
                <w:sz w:val="18"/>
                <w:szCs w:val="18"/>
              </w:rPr>
            </w:pPr>
            <w:r>
              <w:rPr>
                <w:noProof/>
                <w:sz w:val="18"/>
                <w:szCs w:val="18"/>
              </w:rPr>
              <w:t>2021</w:t>
            </w:r>
          </w:p>
        </w:tc>
        <w:tc>
          <w:tcPr>
            <w:tcW w:w="478" w:type="pct"/>
            <w:shd w:val="clear" w:color="auto" w:fill="auto"/>
          </w:tcPr>
          <w:p w14:paraId="5F28A09F" w14:textId="77777777" w:rsidR="003155B0" w:rsidRDefault="003155B0" w:rsidP="003155B0">
            <w:pPr>
              <w:pStyle w:val="Text1"/>
              <w:spacing w:before="0" w:after="0"/>
              <w:ind w:left="0"/>
              <w:jc w:val="center"/>
              <w:rPr>
                <w:noProof/>
                <w:sz w:val="18"/>
                <w:szCs w:val="18"/>
              </w:rPr>
            </w:pPr>
            <w:r>
              <w:rPr>
                <w:noProof/>
                <w:sz w:val="18"/>
                <w:szCs w:val="18"/>
              </w:rPr>
              <w:t>2</w:t>
            </w:r>
          </w:p>
        </w:tc>
        <w:tc>
          <w:tcPr>
            <w:tcW w:w="469" w:type="pct"/>
            <w:shd w:val="clear" w:color="auto" w:fill="auto"/>
          </w:tcPr>
          <w:p w14:paraId="34A6D372" w14:textId="77777777" w:rsidR="003155B0" w:rsidRPr="00BF555E" w:rsidRDefault="003155B0" w:rsidP="003155B0">
            <w:pPr>
              <w:pStyle w:val="Text1"/>
              <w:spacing w:before="0" w:after="0"/>
              <w:ind w:left="0"/>
              <w:jc w:val="center"/>
              <w:rPr>
                <w:noProof/>
                <w:sz w:val="18"/>
                <w:szCs w:val="18"/>
              </w:rPr>
            </w:pPr>
            <w:r w:rsidRPr="00BF555E">
              <w:rPr>
                <w:noProof/>
                <w:sz w:val="18"/>
                <w:szCs w:val="18"/>
              </w:rPr>
              <w:t>Projekta dati</w:t>
            </w:r>
          </w:p>
        </w:tc>
        <w:tc>
          <w:tcPr>
            <w:tcW w:w="588" w:type="pct"/>
          </w:tcPr>
          <w:p w14:paraId="7F0A9487" w14:textId="77777777" w:rsidR="003155B0" w:rsidRPr="00BF555E" w:rsidRDefault="003155B0" w:rsidP="003155B0">
            <w:pPr>
              <w:spacing w:before="0" w:after="0"/>
              <w:rPr>
                <w:noProof/>
                <w:sz w:val="18"/>
                <w:szCs w:val="18"/>
              </w:rPr>
            </w:pPr>
          </w:p>
        </w:tc>
      </w:tr>
      <w:tr w:rsidR="003155B0" w:rsidRPr="00BF555E" w14:paraId="25B6BDDA" w14:textId="77777777" w:rsidTr="003155B0">
        <w:trPr>
          <w:trHeight w:val="286"/>
        </w:trPr>
        <w:tc>
          <w:tcPr>
            <w:tcW w:w="440" w:type="pct"/>
          </w:tcPr>
          <w:p w14:paraId="5D3DFF7F" w14:textId="77777777" w:rsidR="003155B0" w:rsidRPr="00BF555E" w:rsidRDefault="003155B0" w:rsidP="003155B0">
            <w:pPr>
              <w:pStyle w:val="Text1"/>
              <w:spacing w:before="0" w:after="0"/>
              <w:ind w:left="0"/>
              <w:rPr>
                <w:noProof/>
                <w:sz w:val="18"/>
                <w:szCs w:val="18"/>
              </w:rPr>
            </w:pPr>
            <w:r w:rsidRPr="00BF555E">
              <w:rPr>
                <w:noProof/>
                <w:sz w:val="18"/>
                <w:szCs w:val="18"/>
              </w:rPr>
              <w:t>4.3.prioritāte</w:t>
            </w:r>
          </w:p>
          <w:p w14:paraId="2E7F9E14" w14:textId="77777777" w:rsidR="003155B0" w:rsidRPr="00BF555E" w:rsidRDefault="003155B0" w:rsidP="003155B0">
            <w:pPr>
              <w:pStyle w:val="Text1"/>
              <w:spacing w:before="0" w:after="0"/>
              <w:ind w:left="0"/>
              <w:rPr>
                <w:noProof/>
                <w:sz w:val="18"/>
                <w:szCs w:val="18"/>
              </w:rPr>
            </w:pPr>
          </w:p>
        </w:tc>
        <w:tc>
          <w:tcPr>
            <w:tcW w:w="398" w:type="pct"/>
          </w:tcPr>
          <w:p w14:paraId="70E0312A" w14:textId="77777777" w:rsidR="003155B0" w:rsidRDefault="003155B0" w:rsidP="003155B0">
            <w:pPr>
              <w:spacing w:before="0" w:after="0"/>
              <w:rPr>
                <w:noProof/>
                <w:sz w:val="18"/>
                <w:szCs w:val="18"/>
              </w:rPr>
            </w:pPr>
            <w:r>
              <w:rPr>
                <w:noProof/>
                <w:sz w:val="18"/>
                <w:szCs w:val="18"/>
              </w:rPr>
              <w:t>4.3.4.SAM</w:t>
            </w:r>
          </w:p>
        </w:tc>
        <w:tc>
          <w:tcPr>
            <w:tcW w:w="289" w:type="pct"/>
          </w:tcPr>
          <w:p w14:paraId="63CB1888" w14:textId="77777777" w:rsidR="003155B0" w:rsidRDefault="003155B0" w:rsidP="003155B0">
            <w:pPr>
              <w:pStyle w:val="Text1"/>
              <w:spacing w:before="0" w:after="0"/>
              <w:ind w:left="0"/>
              <w:rPr>
                <w:noProof/>
                <w:sz w:val="18"/>
                <w:szCs w:val="18"/>
              </w:rPr>
            </w:pPr>
            <w:r>
              <w:rPr>
                <w:noProof/>
                <w:sz w:val="18"/>
                <w:szCs w:val="18"/>
              </w:rPr>
              <w:t>ESF</w:t>
            </w:r>
          </w:p>
        </w:tc>
        <w:tc>
          <w:tcPr>
            <w:tcW w:w="345" w:type="pct"/>
          </w:tcPr>
          <w:p w14:paraId="0179186A" w14:textId="77777777" w:rsidR="003155B0" w:rsidRPr="00942E28" w:rsidRDefault="003155B0" w:rsidP="003155B0">
            <w:pPr>
              <w:pStyle w:val="Text1"/>
              <w:spacing w:before="0" w:after="0"/>
              <w:ind w:left="0"/>
              <w:rPr>
                <w:sz w:val="18"/>
                <w:szCs w:val="18"/>
              </w:rPr>
            </w:pPr>
            <w:r w:rsidRPr="00942E28">
              <w:rPr>
                <w:sz w:val="18"/>
                <w:szCs w:val="18"/>
              </w:rPr>
              <w:t>r.4.3.4.c</w:t>
            </w:r>
          </w:p>
        </w:tc>
        <w:tc>
          <w:tcPr>
            <w:tcW w:w="766" w:type="pct"/>
            <w:shd w:val="clear" w:color="auto" w:fill="auto"/>
          </w:tcPr>
          <w:p w14:paraId="1DAA496A" w14:textId="77777777" w:rsidR="003155B0" w:rsidRPr="00942E28" w:rsidRDefault="003155B0" w:rsidP="003155B0">
            <w:pPr>
              <w:pStyle w:val="Text1"/>
              <w:spacing w:before="0" w:after="0"/>
              <w:ind w:left="0"/>
              <w:rPr>
                <w:sz w:val="18"/>
                <w:szCs w:val="18"/>
                <w:lang w:eastAsia="en-GB"/>
              </w:rPr>
            </w:pPr>
            <w:r w:rsidRPr="00942E28">
              <w:rPr>
                <w:sz w:val="18"/>
                <w:szCs w:val="18"/>
                <w:lang w:eastAsia="en-GB"/>
              </w:rPr>
              <w:t>Nodarbināto / biedru skaits, kas pabeigušas apmācības no darba devēju puses</w:t>
            </w:r>
          </w:p>
        </w:tc>
        <w:tc>
          <w:tcPr>
            <w:tcW w:w="446" w:type="pct"/>
          </w:tcPr>
          <w:p w14:paraId="28CF361C" w14:textId="77777777" w:rsidR="003155B0" w:rsidRDefault="003155B0" w:rsidP="003155B0">
            <w:pPr>
              <w:pStyle w:val="Text1"/>
              <w:spacing w:before="0" w:after="0"/>
              <w:ind w:left="0"/>
              <w:rPr>
                <w:noProof/>
                <w:sz w:val="18"/>
                <w:szCs w:val="18"/>
              </w:rPr>
            </w:pPr>
            <w:r w:rsidRPr="00942E28">
              <w:rPr>
                <w:noProof/>
                <w:sz w:val="18"/>
                <w:szCs w:val="18"/>
              </w:rPr>
              <w:t>Apmācības pabeigušo personu skaits</w:t>
            </w:r>
          </w:p>
          <w:p w14:paraId="305BA3E8" w14:textId="77777777" w:rsidR="003155B0" w:rsidRPr="00942E28" w:rsidRDefault="003155B0" w:rsidP="003155B0">
            <w:pPr>
              <w:pStyle w:val="Text1"/>
              <w:spacing w:before="0" w:after="0"/>
              <w:ind w:left="0"/>
              <w:rPr>
                <w:noProof/>
                <w:sz w:val="18"/>
                <w:szCs w:val="18"/>
              </w:rPr>
            </w:pPr>
          </w:p>
        </w:tc>
        <w:tc>
          <w:tcPr>
            <w:tcW w:w="360" w:type="pct"/>
          </w:tcPr>
          <w:p w14:paraId="46ABC14D" w14:textId="77777777" w:rsidR="003155B0" w:rsidRDefault="003155B0" w:rsidP="003155B0">
            <w:pPr>
              <w:spacing w:before="0" w:after="0"/>
              <w:jc w:val="center"/>
              <w:rPr>
                <w:noProof/>
                <w:sz w:val="18"/>
                <w:szCs w:val="18"/>
              </w:rPr>
            </w:pPr>
            <w:r>
              <w:rPr>
                <w:noProof/>
                <w:sz w:val="18"/>
                <w:szCs w:val="18"/>
              </w:rPr>
              <w:t>0</w:t>
            </w:r>
          </w:p>
        </w:tc>
        <w:tc>
          <w:tcPr>
            <w:tcW w:w="421" w:type="pct"/>
          </w:tcPr>
          <w:p w14:paraId="46238A24" w14:textId="77777777" w:rsidR="003155B0" w:rsidRDefault="003155B0" w:rsidP="003155B0">
            <w:pPr>
              <w:spacing w:before="0" w:after="0"/>
              <w:jc w:val="center"/>
              <w:rPr>
                <w:noProof/>
                <w:sz w:val="18"/>
                <w:szCs w:val="18"/>
              </w:rPr>
            </w:pPr>
            <w:r>
              <w:rPr>
                <w:noProof/>
                <w:sz w:val="18"/>
                <w:szCs w:val="18"/>
              </w:rPr>
              <w:t>2021</w:t>
            </w:r>
          </w:p>
        </w:tc>
        <w:tc>
          <w:tcPr>
            <w:tcW w:w="478" w:type="pct"/>
            <w:shd w:val="clear" w:color="auto" w:fill="auto"/>
          </w:tcPr>
          <w:p w14:paraId="5C775D18" w14:textId="77777777" w:rsidR="003155B0" w:rsidRDefault="003155B0" w:rsidP="003155B0">
            <w:pPr>
              <w:pStyle w:val="Text1"/>
              <w:spacing w:before="0" w:after="0"/>
              <w:ind w:left="0"/>
              <w:jc w:val="center"/>
              <w:rPr>
                <w:noProof/>
                <w:sz w:val="18"/>
                <w:szCs w:val="18"/>
              </w:rPr>
            </w:pPr>
            <w:r w:rsidRPr="00942E28">
              <w:rPr>
                <w:noProof/>
                <w:sz w:val="18"/>
                <w:szCs w:val="18"/>
              </w:rPr>
              <w:t>1</w:t>
            </w:r>
            <w:r>
              <w:rPr>
                <w:noProof/>
                <w:sz w:val="18"/>
                <w:szCs w:val="18"/>
              </w:rPr>
              <w:t xml:space="preserve"> </w:t>
            </w:r>
            <w:r w:rsidRPr="00942E28">
              <w:rPr>
                <w:noProof/>
                <w:sz w:val="18"/>
                <w:szCs w:val="18"/>
              </w:rPr>
              <w:t>275</w:t>
            </w:r>
          </w:p>
        </w:tc>
        <w:tc>
          <w:tcPr>
            <w:tcW w:w="469" w:type="pct"/>
            <w:shd w:val="clear" w:color="auto" w:fill="auto"/>
          </w:tcPr>
          <w:p w14:paraId="6A3B4FA3" w14:textId="77777777" w:rsidR="003155B0" w:rsidRPr="00BF555E" w:rsidRDefault="003155B0" w:rsidP="003155B0">
            <w:pPr>
              <w:pStyle w:val="Text1"/>
              <w:spacing w:before="0" w:after="0"/>
              <w:ind w:left="0"/>
              <w:jc w:val="center"/>
              <w:rPr>
                <w:noProof/>
                <w:sz w:val="18"/>
                <w:szCs w:val="18"/>
              </w:rPr>
            </w:pPr>
            <w:r w:rsidRPr="00BF555E">
              <w:rPr>
                <w:noProof/>
                <w:sz w:val="18"/>
                <w:szCs w:val="18"/>
              </w:rPr>
              <w:t>Projekta dati</w:t>
            </w:r>
          </w:p>
        </w:tc>
        <w:tc>
          <w:tcPr>
            <w:tcW w:w="588" w:type="pct"/>
          </w:tcPr>
          <w:p w14:paraId="006B0BF7" w14:textId="77777777" w:rsidR="003155B0" w:rsidRPr="00BF555E" w:rsidRDefault="003155B0" w:rsidP="003155B0">
            <w:pPr>
              <w:spacing w:before="0" w:after="0"/>
              <w:rPr>
                <w:noProof/>
                <w:sz w:val="18"/>
                <w:szCs w:val="18"/>
              </w:rPr>
            </w:pPr>
          </w:p>
        </w:tc>
      </w:tr>
      <w:tr w:rsidR="003155B0" w:rsidRPr="00BF555E" w14:paraId="4E042AFB" w14:textId="77777777" w:rsidTr="003155B0">
        <w:trPr>
          <w:trHeight w:val="286"/>
        </w:trPr>
        <w:tc>
          <w:tcPr>
            <w:tcW w:w="440" w:type="pct"/>
          </w:tcPr>
          <w:p w14:paraId="6E9E13BC" w14:textId="77777777" w:rsidR="003155B0" w:rsidRPr="00BF555E" w:rsidRDefault="003155B0" w:rsidP="003155B0">
            <w:pPr>
              <w:pStyle w:val="Text1"/>
              <w:spacing w:before="0" w:after="0"/>
              <w:ind w:left="0"/>
              <w:rPr>
                <w:noProof/>
                <w:sz w:val="18"/>
                <w:szCs w:val="18"/>
              </w:rPr>
            </w:pPr>
            <w:r w:rsidRPr="00BF555E">
              <w:rPr>
                <w:noProof/>
                <w:sz w:val="18"/>
                <w:szCs w:val="18"/>
              </w:rPr>
              <w:t>4.3.prioritāte</w:t>
            </w:r>
          </w:p>
          <w:p w14:paraId="4167F9D6" w14:textId="77777777" w:rsidR="003155B0" w:rsidRPr="00BF555E" w:rsidRDefault="003155B0" w:rsidP="003155B0">
            <w:pPr>
              <w:pStyle w:val="Text1"/>
              <w:spacing w:before="0" w:after="0"/>
              <w:ind w:left="0"/>
              <w:rPr>
                <w:noProof/>
                <w:sz w:val="18"/>
                <w:szCs w:val="18"/>
              </w:rPr>
            </w:pPr>
          </w:p>
        </w:tc>
        <w:tc>
          <w:tcPr>
            <w:tcW w:w="398" w:type="pct"/>
          </w:tcPr>
          <w:p w14:paraId="4CE86394" w14:textId="77777777" w:rsidR="003155B0" w:rsidRDefault="003155B0" w:rsidP="003155B0">
            <w:pPr>
              <w:spacing w:before="0" w:after="0"/>
              <w:rPr>
                <w:noProof/>
                <w:sz w:val="18"/>
                <w:szCs w:val="18"/>
              </w:rPr>
            </w:pPr>
            <w:r>
              <w:rPr>
                <w:noProof/>
                <w:sz w:val="18"/>
                <w:szCs w:val="18"/>
              </w:rPr>
              <w:t>4.3.4.SAM</w:t>
            </w:r>
          </w:p>
        </w:tc>
        <w:tc>
          <w:tcPr>
            <w:tcW w:w="289" w:type="pct"/>
          </w:tcPr>
          <w:p w14:paraId="0A4100A2" w14:textId="77777777" w:rsidR="003155B0" w:rsidRDefault="003155B0" w:rsidP="003155B0">
            <w:pPr>
              <w:pStyle w:val="Text1"/>
              <w:spacing w:before="0" w:after="0"/>
              <w:ind w:left="0"/>
              <w:rPr>
                <w:noProof/>
                <w:sz w:val="18"/>
                <w:szCs w:val="18"/>
              </w:rPr>
            </w:pPr>
            <w:r>
              <w:rPr>
                <w:noProof/>
                <w:sz w:val="18"/>
                <w:szCs w:val="18"/>
              </w:rPr>
              <w:t>ESF</w:t>
            </w:r>
          </w:p>
        </w:tc>
        <w:tc>
          <w:tcPr>
            <w:tcW w:w="345" w:type="pct"/>
          </w:tcPr>
          <w:p w14:paraId="7AC1EE7C" w14:textId="77777777" w:rsidR="003155B0" w:rsidRPr="00942E28" w:rsidRDefault="003155B0" w:rsidP="003155B0">
            <w:pPr>
              <w:pStyle w:val="Text1"/>
              <w:spacing w:before="0" w:after="0"/>
              <w:ind w:left="0"/>
              <w:rPr>
                <w:sz w:val="18"/>
                <w:szCs w:val="18"/>
              </w:rPr>
            </w:pPr>
            <w:r w:rsidRPr="00C54AC3">
              <w:rPr>
                <w:sz w:val="18"/>
                <w:szCs w:val="18"/>
              </w:rPr>
              <w:t>r.4.3.4.d</w:t>
            </w:r>
          </w:p>
        </w:tc>
        <w:tc>
          <w:tcPr>
            <w:tcW w:w="766" w:type="pct"/>
            <w:shd w:val="clear" w:color="auto" w:fill="auto"/>
          </w:tcPr>
          <w:p w14:paraId="7CE70E9E" w14:textId="77777777" w:rsidR="003155B0" w:rsidRPr="00942E28" w:rsidRDefault="003155B0" w:rsidP="003155B0">
            <w:pPr>
              <w:pStyle w:val="Text1"/>
              <w:spacing w:before="0" w:after="0"/>
              <w:ind w:left="0"/>
              <w:rPr>
                <w:sz w:val="18"/>
                <w:szCs w:val="18"/>
                <w:lang w:eastAsia="en-GB"/>
              </w:rPr>
            </w:pPr>
            <w:r w:rsidRPr="00C54AC3">
              <w:rPr>
                <w:sz w:val="18"/>
                <w:szCs w:val="18"/>
                <w:lang w:eastAsia="en-GB"/>
              </w:rPr>
              <w:t>Nodarbināto / biedru skaits, kas pabeigušas apmācības no darba ņēmēju puses</w:t>
            </w:r>
          </w:p>
        </w:tc>
        <w:tc>
          <w:tcPr>
            <w:tcW w:w="446" w:type="pct"/>
          </w:tcPr>
          <w:p w14:paraId="4728C21A" w14:textId="77777777" w:rsidR="003155B0" w:rsidRDefault="003155B0" w:rsidP="003155B0">
            <w:pPr>
              <w:pStyle w:val="Text1"/>
              <w:spacing w:before="0" w:after="0"/>
              <w:ind w:left="0"/>
              <w:rPr>
                <w:noProof/>
                <w:sz w:val="18"/>
                <w:szCs w:val="18"/>
              </w:rPr>
            </w:pPr>
            <w:r w:rsidRPr="00942E28">
              <w:rPr>
                <w:noProof/>
                <w:sz w:val="18"/>
                <w:szCs w:val="18"/>
              </w:rPr>
              <w:t>Apmācības pabeigušo personu skaits</w:t>
            </w:r>
          </w:p>
          <w:p w14:paraId="01AB3F48" w14:textId="77777777" w:rsidR="003155B0" w:rsidRPr="00942E28" w:rsidRDefault="003155B0" w:rsidP="003155B0">
            <w:pPr>
              <w:pStyle w:val="Text1"/>
              <w:spacing w:before="0" w:after="0"/>
              <w:ind w:left="0"/>
              <w:rPr>
                <w:noProof/>
                <w:sz w:val="18"/>
                <w:szCs w:val="18"/>
              </w:rPr>
            </w:pPr>
          </w:p>
        </w:tc>
        <w:tc>
          <w:tcPr>
            <w:tcW w:w="360" w:type="pct"/>
          </w:tcPr>
          <w:p w14:paraId="21A76CD9" w14:textId="77777777" w:rsidR="003155B0" w:rsidRDefault="003155B0" w:rsidP="003155B0">
            <w:pPr>
              <w:spacing w:before="0" w:after="0"/>
              <w:jc w:val="center"/>
              <w:rPr>
                <w:noProof/>
                <w:sz w:val="18"/>
                <w:szCs w:val="18"/>
              </w:rPr>
            </w:pPr>
            <w:r>
              <w:rPr>
                <w:noProof/>
                <w:sz w:val="18"/>
                <w:szCs w:val="18"/>
              </w:rPr>
              <w:t>0</w:t>
            </w:r>
          </w:p>
        </w:tc>
        <w:tc>
          <w:tcPr>
            <w:tcW w:w="421" w:type="pct"/>
          </w:tcPr>
          <w:p w14:paraId="2F078372" w14:textId="77777777" w:rsidR="003155B0" w:rsidRDefault="003155B0" w:rsidP="003155B0">
            <w:pPr>
              <w:spacing w:before="0" w:after="0"/>
              <w:jc w:val="center"/>
              <w:rPr>
                <w:noProof/>
                <w:sz w:val="18"/>
                <w:szCs w:val="18"/>
              </w:rPr>
            </w:pPr>
            <w:r>
              <w:rPr>
                <w:noProof/>
                <w:sz w:val="18"/>
                <w:szCs w:val="18"/>
              </w:rPr>
              <w:t>2021</w:t>
            </w:r>
          </w:p>
        </w:tc>
        <w:tc>
          <w:tcPr>
            <w:tcW w:w="478" w:type="pct"/>
            <w:shd w:val="clear" w:color="auto" w:fill="auto"/>
          </w:tcPr>
          <w:p w14:paraId="4E4A8940" w14:textId="77777777" w:rsidR="003155B0" w:rsidRPr="00942E28" w:rsidRDefault="003155B0" w:rsidP="003155B0">
            <w:pPr>
              <w:pStyle w:val="Text1"/>
              <w:spacing w:before="0" w:after="0"/>
              <w:ind w:left="0"/>
              <w:jc w:val="center"/>
              <w:rPr>
                <w:noProof/>
                <w:sz w:val="18"/>
                <w:szCs w:val="18"/>
              </w:rPr>
            </w:pPr>
            <w:r w:rsidRPr="00942E28">
              <w:rPr>
                <w:noProof/>
                <w:sz w:val="18"/>
                <w:szCs w:val="18"/>
              </w:rPr>
              <w:t>1</w:t>
            </w:r>
            <w:r>
              <w:rPr>
                <w:noProof/>
                <w:sz w:val="18"/>
                <w:szCs w:val="18"/>
              </w:rPr>
              <w:t xml:space="preserve"> </w:t>
            </w:r>
            <w:r w:rsidRPr="00942E28">
              <w:rPr>
                <w:noProof/>
                <w:sz w:val="18"/>
                <w:szCs w:val="18"/>
              </w:rPr>
              <w:t>275</w:t>
            </w:r>
          </w:p>
        </w:tc>
        <w:tc>
          <w:tcPr>
            <w:tcW w:w="469" w:type="pct"/>
            <w:shd w:val="clear" w:color="auto" w:fill="auto"/>
          </w:tcPr>
          <w:p w14:paraId="1C80381D" w14:textId="77777777" w:rsidR="003155B0" w:rsidRPr="00BF555E" w:rsidRDefault="003155B0" w:rsidP="003155B0">
            <w:pPr>
              <w:pStyle w:val="Text1"/>
              <w:spacing w:before="0" w:after="0"/>
              <w:ind w:left="0"/>
              <w:jc w:val="center"/>
              <w:rPr>
                <w:noProof/>
                <w:sz w:val="18"/>
                <w:szCs w:val="18"/>
              </w:rPr>
            </w:pPr>
            <w:r w:rsidRPr="00BF555E">
              <w:rPr>
                <w:noProof/>
                <w:sz w:val="18"/>
                <w:szCs w:val="18"/>
              </w:rPr>
              <w:t>Projekta dati</w:t>
            </w:r>
          </w:p>
        </w:tc>
        <w:tc>
          <w:tcPr>
            <w:tcW w:w="588" w:type="pct"/>
          </w:tcPr>
          <w:p w14:paraId="7DF57E88" w14:textId="77777777" w:rsidR="003155B0" w:rsidRPr="00BF555E" w:rsidRDefault="003155B0" w:rsidP="003155B0">
            <w:pPr>
              <w:spacing w:before="0" w:after="0"/>
              <w:rPr>
                <w:noProof/>
                <w:sz w:val="18"/>
                <w:szCs w:val="18"/>
              </w:rPr>
            </w:pPr>
          </w:p>
        </w:tc>
      </w:tr>
      <w:tr w:rsidR="003155B0" w:rsidRPr="00BF555E" w14:paraId="0EAECAD8" w14:textId="77777777" w:rsidTr="003155B0">
        <w:trPr>
          <w:trHeight w:val="286"/>
        </w:trPr>
        <w:tc>
          <w:tcPr>
            <w:tcW w:w="440" w:type="pct"/>
          </w:tcPr>
          <w:p w14:paraId="10F1B787" w14:textId="77777777" w:rsidR="003155B0" w:rsidRPr="00BF555E" w:rsidRDefault="003155B0" w:rsidP="003155B0">
            <w:pPr>
              <w:pStyle w:val="Text1"/>
              <w:spacing w:before="0" w:after="0"/>
              <w:ind w:left="0"/>
              <w:rPr>
                <w:noProof/>
                <w:sz w:val="18"/>
                <w:szCs w:val="18"/>
              </w:rPr>
            </w:pPr>
            <w:r w:rsidRPr="00BF555E">
              <w:rPr>
                <w:noProof/>
                <w:sz w:val="18"/>
                <w:szCs w:val="18"/>
              </w:rPr>
              <w:t>4.3.prioritāte</w:t>
            </w:r>
          </w:p>
          <w:p w14:paraId="241A6F71" w14:textId="77777777" w:rsidR="003155B0" w:rsidRPr="00BF555E" w:rsidRDefault="003155B0" w:rsidP="003155B0">
            <w:pPr>
              <w:pStyle w:val="Text1"/>
              <w:spacing w:before="0" w:after="0"/>
              <w:ind w:left="0"/>
              <w:rPr>
                <w:noProof/>
                <w:sz w:val="18"/>
                <w:szCs w:val="18"/>
              </w:rPr>
            </w:pPr>
          </w:p>
        </w:tc>
        <w:tc>
          <w:tcPr>
            <w:tcW w:w="398" w:type="pct"/>
          </w:tcPr>
          <w:p w14:paraId="2531FAC6" w14:textId="77777777" w:rsidR="003155B0" w:rsidRDefault="003155B0" w:rsidP="003155B0">
            <w:pPr>
              <w:spacing w:before="0" w:after="0"/>
              <w:rPr>
                <w:noProof/>
                <w:sz w:val="18"/>
                <w:szCs w:val="18"/>
              </w:rPr>
            </w:pPr>
            <w:r>
              <w:rPr>
                <w:noProof/>
                <w:sz w:val="18"/>
                <w:szCs w:val="18"/>
              </w:rPr>
              <w:t>4.3.4.SAM</w:t>
            </w:r>
          </w:p>
        </w:tc>
        <w:tc>
          <w:tcPr>
            <w:tcW w:w="289" w:type="pct"/>
          </w:tcPr>
          <w:p w14:paraId="096E44AA" w14:textId="77777777" w:rsidR="003155B0" w:rsidRDefault="003155B0" w:rsidP="003155B0">
            <w:pPr>
              <w:pStyle w:val="Text1"/>
              <w:spacing w:before="0" w:after="0"/>
              <w:ind w:left="0"/>
              <w:rPr>
                <w:noProof/>
                <w:sz w:val="18"/>
                <w:szCs w:val="18"/>
              </w:rPr>
            </w:pPr>
            <w:r>
              <w:rPr>
                <w:noProof/>
                <w:sz w:val="18"/>
                <w:szCs w:val="18"/>
              </w:rPr>
              <w:t>ESF</w:t>
            </w:r>
          </w:p>
        </w:tc>
        <w:tc>
          <w:tcPr>
            <w:tcW w:w="345" w:type="pct"/>
          </w:tcPr>
          <w:p w14:paraId="664CF337" w14:textId="77777777" w:rsidR="003155B0" w:rsidRPr="00C54AC3" w:rsidRDefault="003155B0" w:rsidP="003155B0">
            <w:pPr>
              <w:pStyle w:val="Text1"/>
              <w:spacing w:before="0" w:after="0"/>
              <w:ind w:left="0"/>
              <w:rPr>
                <w:sz w:val="18"/>
                <w:szCs w:val="18"/>
              </w:rPr>
            </w:pPr>
            <w:r w:rsidRPr="00632D9F">
              <w:rPr>
                <w:sz w:val="18"/>
                <w:szCs w:val="18"/>
              </w:rPr>
              <w:t>r.4.3.4.e</w:t>
            </w:r>
          </w:p>
        </w:tc>
        <w:tc>
          <w:tcPr>
            <w:tcW w:w="766" w:type="pct"/>
            <w:shd w:val="clear" w:color="auto" w:fill="auto"/>
          </w:tcPr>
          <w:p w14:paraId="311B6D6F" w14:textId="77777777" w:rsidR="003155B0" w:rsidRPr="00C54AC3" w:rsidRDefault="003155B0" w:rsidP="003155B0">
            <w:pPr>
              <w:pStyle w:val="Text1"/>
              <w:spacing w:before="0" w:after="0"/>
              <w:ind w:left="0"/>
              <w:rPr>
                <w:sz w:val="18"/>
                <w:szCs w:val="18"/>
              </w:rPr>
            </w:pPr>
            <w:r w:rsidRPr="005D1743">
              <w:rPr>
                <w:sz w:val="18"/>
                <w:szCs w:val="18"/>
              </w:rPr>
              <w:t>Ģimenes, kurām veicināta darba un ģimenes dzīves saskaņošana (vidēji gadā)</w:t>
            </w:r>
          </w:p>
        </w:tc>
        <w:tc>
          <w:tcPr>
            <w:tcW w:w="446" w:type="pct"/>
          </w:tcPr>
          <w:p w14:paraId="0441F6BF" w14:textId="77777777" w:rsidR="003155B0" w:rsidRPr="00942E28" w:rsidRDefault="003155B0" w:rsidP="003155B0">
            <w:pPr>
              <w:pStyle w:val="Text1"/>
              <w:spacing w:before="0" w:after="0"/>
              <w:ind w:left="0"/>
              <w:rPr>
                <w:noProof/>
                <w:sz w:val="18"/>
                <w:szCs w:val="18"/>
              </w:rPr>
            </w:pPr>
            <w:r w:rsidRPr="0036205C">
              <w:rPr>
                <w:noProof/>
                <w:sz w:val="18"/>
                <w:szCs w:val="18"/>
              </w:rPr>
              <w:t>Ģimeņu skaits (vidēji gadā)</w:t>
            </w:r>
          </w:p>
        </w:tc>
        <w:tc>
          <w:tcPr>
            <w:tcW w:w="360" w:type="pct"/>
          </w:tcPr>
          <w:p w14:paraId="71A3B26F" w14:textId="77777777" w:rsidR="003155B0" w:rsidRDefault="003155B0" w:rsidP="003155B0">
            <w:pPr>
              <w:spacing w:before="0" w:after="0"/>
              <w:jc w:val="center"/>
              <w:rPr>
                <w:noProof/>
                <w:sz w:val="18"/>
                <w:szCs w:val="18"/>
              </w:rPr>
            </w:pPr>
            <w:r>
              <w:rPr>
                <w:noProof/>
                <w:sz w:val="18"/>
                <w:szCs w:val="18"/>
              </w:rPr>
              <w:t>0</w:t>
            </w:r>
          </w:p>
        </w:tc>
        <w:tc>
          <w:tcPr>
            <w:tcW w:w="421" w:type="pct"/>
          </w:tcPr>
          <w:p w14:paraId="30013D3E" w14:textId="77777777" w:rsidR="003155B0" w:rsidRDefault="003155B0" w:rsidP="003155B0">
            <w:pPr>
              <w:spacing w:before="0" w:after="0"/>
              <w:jc w:val="center"/>
              <w:rPr>
                <w:noProof/>
                <w:sz w:val="18"/>
                <w:szCs w:val="18"/>
              </w:rPr>
            </w:pPr>
            <w:r>
              <w:rPr>
                <w:noProof/>
                <w:sz w:val="18"/>
                <w:szCs w:val="18"/>
              </w:rPr>
              <w:t>2021</w:t>
            </w:r>
          </w:p>
        </w:tc>
        <w:tc>
          <w:tcPr>
            <w:tcW w:w="478" w:type="pct"/>
            <w:shd w:val="clear" w:color="auto" w:fill="auto"/>
          </w:tcPr>
          <w:p w14:paraId="3A97432C" w14:textId="77777777" w:rsidR="003155B0" w:rsidRPr="00942E28" w:rsidRDefault="003155B0" w:rsidP="003155B0">
            <w:pPr>
              <w:pStyle w:val="Text1"/>
              <w:spacing w:before="0" w:after="0"/>
              <w:ind w:left="0"/>
              <w:jc w:val="center"/>
              <w:rPr>
                <w:noProof/>
                <w:sz w:val="18"/>
                <w:szCs w:val="18"/>
              </w:rPr>
            </w:pPr>
            <w:r w:rsidRPr="0036205C">
              <w:rPr>
                <w:noProof/>
                <w:sz w:val="18"/>
                <w:szCs w:val="18"/>
              </w:rPr>
              <w:t>921</w:t>
            </w:r>
          </w:p>
        </w:tc>
        <w:tc>
          <w:tcPr>
            <w:tcW w:w="469" w:type="pct"/>
            <w:shd w:val="clear" w:color="auto" w:fill="auto"/>
          </w:tcPr>
          <w:p w14:paraId="57F8CC0B" w14:textId="77777777" w:rsidR="003155B0" w:rsidRPr="00BF555E" w:rsidRDefault="003155B0" w:rsidP="003155B0">
            <w:pPr>
              <w:pStyle w:val="Text1"/>
              <w:spacing w:before="0" w:after="0"/>
              <w:ind w:left="0"/>
              <w:jc w:val="center"/>
              <w:rPr>
                <w:noProof/>
                <w:sz w:val="18"/>
                <w:szCs w:val="18"/>
              </w:rPr>
            </w:pPr>
            <w:r w:rsidRPr="00BF555E">
              <w:rPr>
                <w:noProof/>
                <w:sz w:val="18"/>
                <w:szCs w:val="18"/>
              </w:rPr>
              <w:t>Projekta dati</w:t>
            </w:r>
          </w:p>
        </w:tc>
        <w:tc>
          <w:tcPr>
            <w:tcW w:w="588" w:type="pct"/>
          </w:tcPr>
          <w:p w14:paraId="7EB8B2C2" w14:textId="77777777" w:rsidR="003155B0" w:rsidRPr="00BF555E" w:rsidRDefault="003155B0" w:rsidP="003155B0">
            <w:pPr>
              <w:spacing w:before="0" w:after="0"/>
              <w:rPr>
                <w:noProof/>
                <w:sz w:val="18"/>
                <w:szCs w:val="18"/>
              </w:rPr>
            </w:pPr>
          </w:p>
        </w:tc>
      </w:tr>
      <w:tr w:rsidR="003155B0" w:rsidRPr="00BF555E" w14:paraId="1F7BE8B4" w14:textId="77777777" w:rsidTr="003155B0">
        <w:trPr>
          <w:trHeight w:val="286"/>
        </w:trPr>
        <w:tc>
          <w:tcPr>
            <w:tcW w:w="440" w:type="pct"/>
          </w:tcPr>
          <w:p w14:paraId="62A87870" w14:textId="7FE8E798" w:rsidR="003155B0" w:rsidRPr="00BF555E" w:rsidRDefault="003155B0" w:rsidP="003155B0">
            <w:pPr>
              <w:pStyle w:val="Text1"/>
              <w:spacing w:before="0" w:after="0"/>
              <w:ind w:left="0"/>
              <w:rPr>
                <w:noProof/>
                <w:sz w:val="18"/>
                <w:szCs w:val="18"/>
              </w:rPr>
            </w:pPr>
            <w:r w:rsidRPr="00BF555E">
              <w:rPr>
                <w:noProof/>
                <w:sz w:val="18"/>
                <w:szCs w:val="18"/>
              </w:rPr>
              <w:t>4.</w:t>
            </w:r>
            <w:r w:rsidR="00794A02">
              <w:rPr>
                <w:noProof/>
                <w:sz w:val="18"/>
                <w:szCs w:val="18"/>
              </w:rPr>
              <w:t>4</w:t>
            </w:r>
            <w:r w:rsidRPr="00BF555E">
              <w:rPr>
                <w:noProof/>
                <w:sz w:val="18"/>
                <w:szCs w:val="18"/>
              </w:rPr>
              <w:t>.prioritāte</w:t>
            </w:r>
          </w:p>
          <w:p w14:paraId="742154D3" w14:textId="77777777" w:rsidR="003155B0" w:rsidRPr="00BF555E" w:rsidRDefault="003155B0" w:rsidP="003155B0">
            <w:pPr>
              <w:pStyle w:val="Text1"/>
              <w:spacing w:before="0" w:after="0"/>
              <w:ind w:left="0"/>
              <w:rPr>
                <w:noProof/>
                <w:sz w:val="18"/>
                <w:szCs w:val="18"/>
              </w:rPr>
            </w:pPr>
          </w:p>
        </w:tc>
        <w:tc>
          <w:tcPr>
            <w:tcW w:w="398" w:type="pct"/>
          </w:tcPr>
          <w:p w14:paraId="2FADB1E1" w14:textId="2509B439" w:rsidR="00794A02" w:rsidRDefault="00794A02" w:rsidP="003155B0">
            <w:pPr>
              <w:pStyle w:val="Text1"/>
              <w:spacing w:before="0" w:after="0"/>
              <w:ind w:left="0"/>
              <w:rPr>
                <w:noProof/>
                <w:sz w:val="18"/>
                <w:szCs w:val="18"/>
              </w:rPr>
            </w:pPr>
          </w:p>
          <w:p w14:paraId="3DC01152" w14:textId="5E745354" w:rsidR="003155B0" w:rsidRPr="00BF555E" w:rsidRDefault="00794A02" w:rsidP="003155B0">
            <w:pPr>
              <w:pStyle w:val="Text1"/>
              <w:spacing w:before="0" w:after="0"/>
              <w:ind w:left="0"/>
              <w:rPr>
                <w:noProof/>
                <w:sz w:val="18"/>
                <w:szCs w:val="18"/>
              </w:rPr>
            </w:pPr>
            <w:r>
              <w:rPr>
                <w:noProof/>
                <w:sz w:val="18"/>
                <w:szCs w:val="18"/>
              </w:rPr>
              <w:t>4.4.1.</w:t>
            </w:r>
            <w:r w:rsidR="003155B0">
              <w:rPr>
                <w:noProof/>
                <w:sz w:val="18"/>
                <w:szCs w:val="18"/>
              </w:rPr>
              <w:t>SAM</w:t>
            </w:r>
          </w:p>
        </w:tc>
        <w:tc>
          <w:tcPr>
            <w:tcW w:w="289" w:type="pct"/>
          </w:tcPr>
          <w:p w14:paraId="0C655B92" w14:textId="77777777" w:rsidR="003155B0" w:rsidRPr="00BF555E" w:rsidRDefault="003155B0" w:rsidP="003155B0">
            <w:pPr>
              <w:pStyle w:val="Text1"/>
              <w:spacing w:before="0" w:after="0"/>
              <w:ind w:left="0"/>
              <w:rPr>
                <w:noProof/>
                <w:sz w:val="18"/>
                <w:szCs w:val="18"/>
              </w:rPr>
            </w:pPr>
            <w:r>
              <w:rPr>
                <w:noProof/>
                <w:sz w:val="18"/>
                <w:szCs w:val="18"/>
              </w:rPr>
              <w:t>ESF</w:t>
            </w:r>
          </w:p>
        </w:tc>
        <w:tc>
          <w:tcPr>
            <w:tcW w:w="345" w:type="pct"/>
          </w:tcPr>
          <w:p w14:paraId="5FCBA6FC" w14:textId="77777777" w:rsidR="00794A02" w:rsidRDefault="00794A02" w:rsidP="00794A02">
            <w:pPr>
              <w:pStyle w:val="Text1"/>
              <w:spacing w:before="0" w:after="0"/>
              <w:ind w:left="0"/>
              <w:rPr>
                <w:sz w:val="18"/>
                <w:szCs w:val="18"/>
              </w:rPr>
            </w:pPr>
            <w:r>
              <w:rPr>
                <w:sz w:val="18"/>
                <w:szCs w:val="18"/>
              </w:rPr>
              <w:t>r.4.4.1.a</w:t>
            </w:r>
          </w:p>
          <w:p w14:paraId="2776AF48" w14:textId="0053A7E2" w:rsidR="003155B0" w:rsidRPr="00BF555E" w:rsidRDefault="003155B0" w:rsidP="00794A02">
            <w:pPr>
              <w:pStyle w:val="Text1"/>
              <w:spacing w:before="0" w:after="0"/>
              <w:ind w:left="0"/>
              <w:rPr>
                <w:sz w:val="18"/>
                <w:szCs w:val="18"/>
              </w:rPr>
            </w:pPr>
          </w:p>
        </w:tc>
        <w:tc>
          <w:tcPr>
            <w:tcW w:w="766" w:type="pct"/>
            <w:shd w:val="clear" w:color="auto" w:fill="auto"/>
          </w:tcPr>
          <w:p w14:paraId="0F2F1C53" w14:textId="77777777" w:rsidR="003155B0" w:rsidRPr="00BF555E" w:rsidRDefault="003155B0" w:rsidP="003155B0">
            <w:pPr>
              <w:pStyle w:val="Text1"/>
              <w:spacing w:before="0" w:after="0"/>
              <w:ind w:left="0"/>
              <w:jc w:val="left"/>
              <w:rPr>
                <w:sz w:val="18"/>
                <w:szCs w:val="18"/>
              </w:rPr>
            </w:pPr>
            <w:r w:rsidRPr="00B77696">
              <w:rPr>
                <w:sz w:val="18"/>
                <w:szCs w:val="18"/>
              </w:rPr>
              <w:t>Sabiedrībā balstītu sociālo pakalpojumu skaita pieaugums</w:t>
            </w:r>
          </w:p>
        </w:tc>
        <w:tc>
          <w:tcPr>
            <w:tcW w:w="446" w:type="pct"/>
          </w:tcPr>
          <w:p w14:paraId="1D5E545A" w14:textId="77777777" w:rsidR="003155B0" w:rsidRPr="00BF555E" w:rsidRDefault="003155B0" w:rsidP="003155B0">
            <w:pPr>
              <w:pStyle w:val="Text1"/>
              <w:spacing w:before="0" w:after="0"/>
              <w:ind w:left="0"/>
              <w:rPr>
                <w:noProof/>
                <w:sz w:val="18"/>
                <w:szCs w:val="18"/>
              </w:rPr>
            </w:pPr>
            <w:r w:rsidRPr="00B77696">
              <w:rPr>
                <w:noProof/>
                <w:sz w:val="18"/>
                <w:szCs w:val="18"/>
              </w:rPr>
              <w:t>Pakalpojumu skaits</w:t>
            </w:r>
          </w:p>
        </w:tc>
        <w:tc>
          <w:tcPr>
            <w:tcW w:w="360" w:type="pct"/>
          </w:tcPr>
          <w:p w14:paraId="46D6BD03" w14:textId="77777777" w:rsidR="003155B0" w:rsidRPr="00BF555E" w:rsidRDefault="003155B0" w:rsidP="003155B0">
            <w:pPr>
              <w:pStyle w:val="Text1"/>
              <w:spacing w:before="0" w:after="0"/>
              <w:ind w:left="0"/>
              <w:rPr>
                <w:noProof/>
                <w:sz w:val="18"/>
                <w:szCs w:val="18"/>
              </w:rPr>
            </w:pPr>
            <w:r>
              <w:rPr>
                <w:noProof/>
                <w:sz w:val="18"/>
                <w:szCs w:val="18"/>
              </w:rPr>
              <w:t>899</w:t>
            </w:r>
          </w:p>
        </w:tc>
        <w:tc>
          <w:tcPr>
            <w:tcW w:w="421" w:type="pct"/>
          </w:tcPr>
          <w:p w14:paraId="371DFE66" w14:textId="77777777" w:rsidR="003155B0" w:rsidRDefault="003155B0" w:rsidP="003155B0">
            <w:pPr>
              <w:pStyle w:val="Text1"/>
              <w:spacing w:before="0" w:after="0"/>
              <w:ind w:left="0"/>
              <w:rPr>
                <w:noProof/>
                <w:sz w:val="18"/>
                <w:szCs w:val="18"/>
              </w:rPr>
            </w:pPr>
            <w:r>
              <w:rPr>
                <w:noProof/>
                <w:sz w:val="18"/>
                <w:szCs w:val="18"/>
              </w:rPr>
              <w:t>2021</w:t>
            </w:r>
          </w:p>
        </w:tc>
        <w:tc>
          <w:tcPr>
            <w:tcW w:w="478" w:type="pct"/>
            <w:shd w:val="clear" w:color="auto" w:fill="auto"/>
          </w:tcPr>
          <w:p w14:paraId="14B54E86" w14:textId="245C2CEB" w:rsidR="003155B0" w:rsidRDefault="00794A02" w:rsidP="003155B0">
            <w:pPr>
              <w:pStyle w:val="Text1"/>
              <w:spacing w:before="0" w:after="0"/>
              <w:ind w:left="0"/>
              <w:jc w:val="center"/>
              <w:rPr>
                <w:noProof/>
                <w:sz w:val="18"/>
                <w:szCs w:val="18"/>
              </w:rPr>
            </w:pPr>
            <w:r>
              <w:rPr>
                <w:noProof/>
                <w:sz w:val="18"/>
                <w:szCs w:val="18"/>
              </w:rPr>
              <w:t>49</w:t>
            </w:r>
          </w:p>
        </w:tc>
        <w:tc>
          <w:tcPr>
            <w:tcW w:w="469" w:type="pct"/>
            <w:shd w:val="clear" w:color="auto" w:fill="auto"/>
          </w:tcPr>
          <w:p w14:paraId="0A921864" w14:textId="77777777" w:rsidR="003155B0" w:rsidRPr="00BF555E" w:rsidRDefault="003155B0" w:rsidP="003155B0">
            <w:pPr>
              <w:pStyle w:val="Text1"/>
              <w:spacing w:before="0" w:after="0"/>
              <w:ind w:left="0"/>
              <w:rPr>
                <w:noProof/>
                <w:sz w:val="18"/>
                <w:szCs w:val="18"/>
              </w:rPr>
            </w:pPr>
            <w:r w:rsidRPr="00BF555E">
              <w:rPr>
                <w:noProof/>
                <w:sz w:val="18"/>
                <w:szCs w:val="18"/>
              </w:rPr>
              <w:t>Projekta dati</w:t>
            </w:r>
          </w:p>
        </w:tc>
        <w:tc>
          <w:tcPr>
            <w:tcW w:w="588" w:type="pct"/>
          </w:tcPr>
          <w:p w14:paraId="21BE602A" w14:textId="77777777" w:rsidR="003155B0" w:rsidRPr="00BF555E" w:rsidRDefault="003155B0" w:rsidP="003155B0">
            <w:pPr>
              <w:spacing w:before="0" w:after="0"/>
              <w:rPr>
                <w:noProof/>
                <w:sz w:val="18"/>
                <w:szCs w:val="18"/>
              </w:rPr>
            </w:pPr>
          </w:p>
        </w:tc>
      </w:tr>
      <w:tr w:rsidR="003155B0" w:rsidRPr="00BF555E" w14:paraId="3F9C2CDA" w14:textId="77777777" w:rsidTr="003155B0">
        <w:trPr>
          <w:trHeight w:val="286"/>
        </w:trPr>
        <w:tc>
          <w:tcPr>
            <w:tcW w:w="440" w:type="pct"/>
          </w:tcPr>
          <w:p w14:paraId="6F9AF2C4" w14:textId="77777777" w:rsidR="003155B0" w:rsidRPr="00BF555E" w:rsidRDefault="003155B0" w:rsidP="003155B0">
            <w:pPr>
              <w:pStyle w:val="Text1"/>
              <w:spacing w:before="0" w:after="0"/>
              <w:ind w:left="0"/>
              <w:rPr>
                <w:noProof/>
                <w:sz w:val="18"/>
                <w:szCs w:val="18"/>
              </w:rPr>
            </w:pPr>
            <w:r w:rsidRPr="00BF555E">
              <w:rPr>
                <w:noProof/>
                <w:sz w:val="18"/>
                <w:szCs w:val="18"/>
              </w:rPr>
              <w:t>4.3.prioritāte</w:t>
            </w:r>
          </w:p>
          <w:p w14:paraId="26603DF1" w14:textId="77777777" w:rsidR="003155B0" w:rsidRPr="00BF555E" w:rsidRDefault="003155B0" w:rsidP="003155B0">
            <w:pPr>
              <w:pStyle w:val="Text1"/>
              <w:spacing w:before="0" w:after="0"/>
              <w:ind w:left="0"/>
              <w:rPr>
                <w:noProof/>
                <w:sz w:val="18"/>
                <w:szCs w:val="18"/>
              </w:rPr>
            </w:pPr>
          </w:p>
        </w:tc>
        <w:tc>
          <w:tcPr>
            <w:tcW w:w="398" w:type="pct"/>
          </w:tcPr>
          <w:p w14:paraId="55352064" w14:textId="77777777" w:rsidR="003155B0" w:rsidRPr="00BF555E" w:rsidRDefault="003155B0" w:rsidP="003155B0">
            <w:pPr>
              <w:pStyle w:val="Text1"/>
              <w:spacing w:before="0" w:after="0"/>
              <w:ind w:left="0"/>
              <w:rPr>
                <w:noProof/>
                <w:sz w:val="18"/>
                <w:szCs w:val="18"/>
              </w:rPr>
            </w:pPr>
            <w:r>
              <w:rPr>
                <w:noProof/>
                <w:sz w:val="18"/>
                <w:szCs w:val="18"/>
              </w:rPr>
              <w:t>4.3.6.SAM</w:t>
            </w:r>
          </w:p>
        </w:tc>
        <w:tc>
          <w:tcPr>
            <w:tcW w:w="289" w:type="pct"/>
          </w:tcPr>
          <w:p w14:paraId="72286DFF" w14:textId="77777777" w:rsidR="003155B0" w:rsidRPr="00BF555E" w:rsidRDefault="003155B0" w:rsidP="003155B0">
            <w:pPr>
              <w:pStyle w:val="Text1"/>
              <w:spacing w:before="0" w:after="0"/>
              <w:ind w:left="0"/>
              <w:rPr>
                <w:noProof/>
                <w:sz w:val="18"/>
                <w:szCs w:val="18"/>
              </w:rPr>
            </w:pPr>
            <w:r>
              <w:rPr>
                <w:noProof/>
                <w:sz w:val="18"/>
                <w:szCs w:val="18"/>
              </w:rPr>
              <w:t>ESF</w:t>
            </w:r>
          </w:p>
        </w:tc>
        <w:tc>
          <w:tcPr>
            <w:tcW w:w="345" w:type="pct"/>
          </w:tcPr>
          <w:p w14:paraId="1410CF64" w14:textId="77777777" w:rsidR="003155B0" w:rsidRPr="00BF555E" w:rsidRDefault="003155B0" w:rsidP="003155B0">
            <w:pPr>
              <w:pStyle w:val="Text1"/>
              <w:spacing w:before="0" w:after="0"/>
              <w:ind w:left="0"/>
              <w:rPr>
                <w:sz w:val="18"/>
                <w:szCs w:val="18"/>
              </w:rPr>
            </w:pPr>
            <w:r>
              <w:rPr>
                <w:sz w:val="18"/>
                <w:szCs w:val="18"/>
              </w:rPr>
              <w:t>r.4.3.6</w:t>
            </w:r>
            <w:r w:rsidRPr="00B77696">
              <w:rPr>
                <w:sz w:val="18"/>
                <w:szCs w:val="18"/>
              </w:rPr>
              <w:t>.a</w:t>
            </w:r>
          </w:p>
        </w:tc>
        <w:tc>
          <w:tcPr>
            <w:tcW w:w="766" w:type="pct"/>
            <w:shd w:val="clear" w:color="auto" w:fill="auto"/>
          </w:tcPr>
          <w:p w14:paraId="63F0FDA0" w14:textId="77777777" w:rsidR="003155B0" w:rsidRPr="00BF555E" w:rsidRDefault="003155B0" w:rsidP="003155B0">
            <w:pPr>
              <w:pStyle w:val="Text1"/>
              <w:spacing w:before="0" w:after="0"/>
              <w:ind w:left="0"/>
              <w:rPr>
                <w:sz w:val="18"/>
                <w:szCs w:val="18"/>
              </w:rPr>
            </w:pPr>
            <w:r w:rsidRPr="0001299A">
              <w:rPr>
                <w:sz w:val="18"/>
                <w:szCs w:val="18"/>
              </w:rPr>
              <w:t>Invaliditātes ekspertīzei patērētā laika samazinājums</w:t>
            </w:r>
          </w:p>
        </w:tc>
        <w:tc>
          <w:tcPr>
            <w:tcW w:w="446" w:type="pct"/>
          </w:tcPr>
          <w:p w14:paraId="2F3EDC36" w14:textId="77777777" w:rsidR="003155B0" w:rsidRPr="00BF555E" w:rsidRDefault="003155B0" w:rsidP="003155B0">
            <w:pPr>
              <w:pStyle w:val="Text1"/>
              <w:spacing w:before="0" w:after="0"/>
              <w:ind w:left="0"/>
              <w:rPr>
                <w:noProof/>
                <w:sz w:val="18"/>
                <w:szCs w:val="18"/>
              </w:rPr>
            </w:pPr>
            <w:r w:rsidRPr="0001299A">
              <w:rPr>
                <w:noProof/>
                <w:sz w:val="18"/>
                <w:szCs w:val="18"/>
              </w:rPr>
              <w:t>Dienu skaits</w:t>
            </w:r>
          </w:p>
        </w:tc>
        <w:tc>
          <w:tcPr>
            <w:tcW w:w="360" w:type="pct"/>
          </w:tcPr>
          <w:p w14:paraId="1992CB7A" w14:textId="77777777" w:rsidR="003155B0" w:rsidRPr="00BF555E" w:rsidRDefault="003155B0" w:rsidP="003155B0">
            <w:pPr>
              <w:pStyle w:val="Text1"/>
              <w:spacing w:before="0" w:after="0"/>
              <w:ind w:left="0"/>
              <w:rPr>
                <w:noProof/>
                <w:sz w:val="18"/>
                <w:szCs w:val="18"/>
              </w:rPr>
            </w:pPr>
            <w:r>
              <w:rPr>
                <w:noProof/>
                <w:sz w:val="18"/>
                <w:szCs w:val="18"/>
              </w:rPr>
              <w:t>0</w:t>
            </w:r>
          </w:p>
        </w:tc>
        <w:tc>
          <w:tcPr>
            <w:tcW w:w="421" w:type="pct"/>
          </w:tcPr>
          <w:p w14:paraId="2F94C237" w14:textId="77777777" w:rsidR="003155B0" w:rsidRDefault="003155B0" w:rsidP="003155B0">
            <w:pPr>
              <w:pStyle w:val="Text1"/>
              <w:spacing w:before="0" w:after="0"/>
              <w:ind w:left="0"/>
              <w:rPr>
                <w:noProof/>
                <w:sz w:val="18"/>
                <w:szCs w:val="18"/>
              </w:rPr>
            </w:pPr>
            <w:r>
              <w:rPr>
                <w:noProof/>
                <w:sz w:val="18"/>
                <w:szCs w:val="18"/>
              </w:rPr>
              <w:t>2021</w:t>
            </w:r>
          </w:p>
        </w:tc>
        <w:tc>
          <w:tcPr>
            <w:tcW w:w="478" w:type="pct"/>
            <w:shd w:val="clear" w:color="auto" w:fill="auto"/>
          </w:tcPr>
          <w:p w14:paraId="78EB88FA" w14:textId="77777777" w:rsidR="003155B0" w:rsidRDefault="003155B0" w:rsidP="003155B0">
            <w:pPr>
              <w:pStyle w:val="Text1"/>
              <w:spacing w:before="0" w:after="0"/>
              <w:ind w:left="0"/>
              <w:jc w:val="center"/>
              <w:rPr>
                <w:noProof/>
                <w:sz w:val="18"/>
                <w:szCs w:val="18"/>
              </w:rPr>
            </w:pPr>
            <w:r>
              <w:rPr>
                <w:noProof/>
                <w:sz w:val="18"/>
                <w:szCs w:val="18"/>
              </w:rPr>
              <w:t>4</w:t>
            </w:r>
          </w:p>
        </w:tc>
        <w:tc>
          <w:tcPr>
            <w:tcW w:w="469" w:type="pct"/>
            <w:shd w:val="clear" w:color="auto" w:fill="auto"/>
          </w:tcPr>
          <w:p w14:paraId="7EF2C638" w14:textId="77777777" w:rsidR="003155B0" w:rsidRPr="00BF555E" w:rsidRDefault="003155B0" w:rsidP="003155B0">
            <w:pPr>
              <w:pStyle w:val="Text1"/>
              <w:spacing w:before="0" w:after="0"/>
              <w:ind w:left="0"/>
              <w:rPr>
                <w:noProof/>
                <w:sz w:val="18"/>
                <w:szCs w:val="18"/>
              </w:rPr>
            </w:pPr>
            <w:r w:rsidRPr="00BF555E">
              <w:rPr>
                <w:noProof/>
                <w:sz w:val="18"/>
                <w:szCs w:val="18"/>
              </w:rPr>
              <w:t>Projekta dati</w:t>
            </w:r>
          </w:p>
        </w:tc>
        <w:tc>
          <w:tcPr>
            <w:tcW w:w="588" w:type="pct"/>
          </w:tcPr>
          <w:p w14:paraId="42AB45A9" w14:textId="77777777" w:rsidR="003155B0" w:rsidRPr="00BF555E" w:rsidRDefault="003155B0" w:rsidP="003155B0">
            <w:pPr>
              <w:spacing w:before="0" w:after="0"/>
              <w:rPr>
                <w:noProof/>
                <w:sz w:val="18"/>
                <w:szCs w:val="18"/>
              </w:rPr>
            </w:pPr>
          </w:p>
        </w:tc>
      </w:tr>
      <w:tr w:rsidR="003155B0" w:rsidRPr="00BF555E" w14:paraId="2F51C6B9" w14:textId="77777777" w:rsidTr="003155B0">
        <w:trPr>
          <w:trHeight w:val="286"/>
        </w:trPr>
        <w:tc>
          <w:tcPr>
            <w:tcW w:w="440" w:type="pct"/>
          </w:tcPr>
          <w:p w14:paraId="65717378" w14:textId="77777777" w:rsidR="003155B0" w:rsidRPr="00BF555E" w:rsidRDefault="003155B0" w:rsidP="003155B0">
            <w:pPr>
              <w:pStyle w:val="Text1"/>
              <w:spacing w:before="0" w:after="0"/>
              <w:ind w:left="0"/>
              <w:rPr>
                <w:noProof/>
                <w:sz w:val="18"/>
                <w:szCs w:val="18"/>
              </w:rPr>
            </w:pPr>
            <w:r w:rsidRPr="00BF555E">
              <w:rPr>
                <w:noProof/>
                <w:sz w:val="18"/>
                <w:szCs w:val="18"/>
              </w:rPr>
              <w:t>4.3.prioritāte</w:t>
            </w:r>
          </w:p>
          <w:p w14:paraId="4C67BF59" w14:textId="77777777" w:rsidR="003155B0" w:rsidRPr="00BF555E" w:rsidRDefault="003155B0" w:rsidP="003155B0">
            <w:pPr>
              <w:pStyle w:val="Text1"/>
              <w:spacing w:before="0" w:after="0"/>
              <w:ind w:left="0"/>
              <w:rPr>
                <w:noProof/>
                <w:sz w:val="18"/>
                <w:szCs w:val="18"/>
              </w:rPr>
            </w:pPr>
          </w:p>
        </w:tc>
        <w:tc>
          <w:tcPr>
            <w:tcW w:w="398" w:type="pct"/>
          </w:tcPr>
          <w:p w14:paraId="4324A3BB" w14:textId="77777777" w:rsidR="003155B0" w:rsidRPr="00BF555E" w:rsidRDefault="003155B0" w:rsidP="003155B0">
            <w:pPr>
              <w:pStyle w:val="Text1"/>
              <w:spacing w:before="0" w:after="0"/>
              <w:ind w:left="0"/>
              <w:rPr>
                <w:noProof/>
                <w:sz w:val="18"/>
                <w:szCs w:val="18"/>
              </w:rPr>
            </w:pPr>
            <w:r>
              <w:rPr>
                <w:noProof/>
                <w:sz w:val="18"/>
                <w:szCs w:val="18"/>
              </w:rPr>
              <w:t>4.3.6.SAM</w:t>
            </w:r>
          </w:p>
        </w:tc>
        <w:tc>
          <w:tcPr>
            <w:tcW w:w="289" w:type="pct"/>
          </w:tcPr>
          <w:p w14:paraId="6FAA1413" w14:textId="77777777" w:rsidR="003155B0" w:rsidRPr="00BF555E" w:rsidRDefault="003155B0" w:rsidP="003155B0">
            <w:pPr>
              <w:pStyle w:val="Text1"/>
              <w:spacing w:before="0" w:after="0"/>
              <w:ind w:left="0"/>
              <w:rPr>
                <w:noProof/>
                <w:sz w:val="18"/>
                <w:szCs w:val="18"/>
              </w:rPr>
            </w:pPr>
            <w:r>
              <w:rPr>
                <w:noProof/>
                <w:sz w:val="18"/>
                <w:szCs w:val="18"/>
              </w:rPr>
              <w:t>ESF</w:t>
            </w:r>
          </w:p>
        </w:tc>
        <w:tc>
          <w:tcPr>
            <w:tcW w:w="345" w:type="pct"/>
          </w:tcPr>
          <w:p w14:paraId="6AD10041" w14:textId="77777777" w:rsidR="003155B0" w:rsidRPr="00BF555E" w:rsidRDefault="003155B0" w:rsidP="003155B0">
            <w:pPr>
              <w:pStyle w:val="Text1"/>
              <w:spacing w:before="0" w:after="0"/>
              <w:ind w:left="0"/>
              <w:rPr>
                <w:sz w:val="18"/>
                <w:szCs w:val="18"/>
              </w:rPr>
            </w:pPr>
            <w:r>
              <w:rPr>
                <w:sz w:val="18"/>
                <w:szCs w:val="18"/>
              </w:rPr>
              <w:t>r.4.3.6.b</w:t>
            </w:r>
          </w:p>
        </w:tc>
        <w:tc>
          <w:tcPr>
            <w:tcW w:w="766" w:type="pct"/>
            <w:shd w:val="clear" w:color="auto" w:fill="auto"/>
          </w:tcPr>
          <w:p w14:paraId="6F03B86B" w14:textId="77777777" w:rsidR="003155B0" w:rsidRPr="00BF555E" w:rsidRDefault="003155B0" w:rsidP="003155B0">
            <w:pPr>
              <w:pStyle w:val="Text1"/>
              <w:spacing w:before="0" w:after="0"/>
              <w:ind w:left="0"/>
              <w:rPr>
                <w:sz w:val="18"/>
                <w:szCs w:val="18"/>
              </w:rPr>
            </w:pPr>
            <w:r w:rsidRPr="008B0949">
              <w:rPr>
                <w:sz w:val="18"/>
                <w:szCs w:val="18"/>
              </w:rPr>
              <w:t>Bērnu ar smagu invaliditāti skaits, kuri saņem psihoemocionālu atbalstu diagnozes noteikšanai, gadā</w:t>
            </w:r>
          </w:p>
        </w:tc>
        <w:tc>
          <w:tcPr>
            <w:tcW w:w="446" w:type="pct"/>
          </w:tcPr>
          <w:p w14:paraId="7CC6D5FB" w14:textId="77777777" w:rsidR="003155B0" w:rsidRPr="00BF555E" w:rsidRDefault="003155B0" w:rsidP="003155B0">
            <w:pPr>
              <w:pStyle w:val="Text1"/>
              <w:spacing w:before="0" w:after="0"/>
              <w:ind w:left="0"/>
              <w:rPr>
                <w:noProof/>
                <w:sz w:val="18"/>
                <w:szCs w:val="18"/>
              </w:rPr>
            </w:pPr>
            <w:r w:rsidRPr="008B0949">
              <w:rPr>
                <w:noProof/>
                <w:sz w:val="18"/>
                <w:szCs w:val="18"/>
              </w:rPr>
              <w:t>Personu skaits/gadā</w:t>
            </w:r>
          </w:p>
        </w:tc>
        <w:tc>
          <w:tcPr>
            <w:tcW w:w="360" w:type="pct"/>
          </w:tcPr>
          <w:p w14:paraId="730BFAC9" w14:textId="77777777" w:rsidR="003155B0" w:rsidRPr="00BF555E" w:rsidRDefault="003155B0" w:rsidP="003155B0">
            <w:pPr>
              <w:pStyle w:val="Text1"/>
              <w:spacing w:before="0" w:after="0"/>
              <w:ind w:left="0"/>
              <w:rPr>
                <w:noProof/>
                <w:sz w:val="18"/>
                <w:szCs w:val="18"/>
              </w:rPr>
            </w:pPr>
            <w:r>
              <w:rPr>
                <w:noProof/>
                <w:sz w:val="18"/>
                <w:szCs w:val="18"/>
              </w:rPr>
              <w:t>0</w:t>
            </w:r>
          </w:p>
        </w:tc>
        <w:tc>
          <w:tcPr>
            <w:tcW w:w="421" w:type="pct"/>
          </w:tcPr>
          <w:p w14:paraId="2DA0F3EC" w14:textId="77777777" w:rsidR="003155B0" w:rsidRDefault="003155B0" w:rsidP="003155B0">
            <w:pPr>
              <w:pStyle w:val="Text1"/>
              <w:spacing w:before="0" w:after="0"/>
              <w:ind w:left="0"/>
              <w:rPr>
                <w:noProof/>
                <w:sz w:val="18"/>
                <w:szCs w:val="18"/>
              </w:rPr>
            </w:pPr>
            <w:r>
              <w:rPr>
                <w:noProof/>
                <w:sz w:val="18"/>
                <w:szCs w:val="18"/>
              </w:rPr>
              <w:t>2021</w:t>
            </w:r>
          </w:p>
        </w:tc>
        <w:tc>
          <w:tcPr>
            <w:tcW w:w="478" w:type="pct"/>
            <w:shd w:val="clear" w:color="auto" w:fill="auto"/>
          </w:tcPr>
          <w:p w14:paraId="12BA64CD" w14:textId="77777777" w:rsidR="003155B0" w:rsidRDefault="003155B0" w:rsidP="003155B0">
            <w:pPr>
              <w:pStyle w:val="Text1"/>
              <w:spacing w:before="0" w:after="0"/>
              <w:ind w:left="0"/>
              <w:jc w:val="center"/>
              <w:rPr>
                <w:noProof/>
                <w:sz w:val="18"/>
                <w:szCs w:val="18"/>
              </w:rPr>
            </w:pPr>
            <w:r>
              <w:rPr>
                <w:noProof/>
                <w:sz w:val="18"/>
                <w:szCs w:val="18"/>
              </w:rPr>
              <w:t>1 000</w:t>
            </w:r>
          </w:p>
        </w:tc>
        <w:tc>
          <w:tcPr>
            <w:tcW w:w="469" w:type="pct"/>
            <w:shd w:val="clear" w:color="auto" w:fill="auto"/>
          </w:tcPr>
          <w:p w14:paraId="13B9CB91" w14:textId="77777777" w:rsidR="003155B0" w:rsidRPr="00BF555E" w:rsidRDefault="003155B0" w:rsidP="003155B0">
            <w:pPr>
              <w:pStyle w:val="Text1"/>
              <w:spacing w:before="0" w:after="0"/>
              <w:ind w:left="0"/>
              <w:rPr>
                <w:noProof/>
                <w:sz w:val="18"/>
                <w:szCs w:val="18"/>
              </w:rPr>
            </w:pPr>
            <w:r w:rsidRPr="00BF555E">
              <w:rPr>
                <w:noProof/>
                <w:sz w:val="18"/>
                <w:szCs w:val="18"/>
              </w:rPr>
              <w:t>Projekta dati</w:t>
            </w:r>
          </w:p>
        </w:tc>
        <w:tc>
          <w:tcPr>
            <w:tcW w:w="588" w:type="pct"/>
          </w:tcPr>
          <w:p w14:paraId="59C32AE7" w14:textId="77777777" w:rsidR="003155B0" w:rsidRPr="00BF555E" w:rsidRDefault="003155B0" w:rsidP="003155B0">
            <w:pPr>
              <w:spacing w:before="0" w:after="0"/>
              <w:rPr>
                <w:noProof/>
                <w:sz w:val="18"/>
                <w:szCs w:val="18"/>
              </w:rPr>
            </w:pPr>
          </w:p>
        </w:tc>
      </w:tr>
      <w:tr w:rsidR="003155B0" w:rsidRPr="00BF555E" w14:paraId="72DB7923" w14:textId="77777777" w:rsidTr="003155B0">
        <w:trPr>
          <w:trHeight w:val="747"/>
        </w:trPr>
        <w:tc>
          <w:tcPr>
            <w:tcW w:w="440" w:type="pct"/>
          </w:tcPr>
          <w:p w14:paraId="6F4162C6" w14:textId="77777777" w:rsidR="003155B0" w:rsidRPr="00BF555E" w:rsidRDefault="003155B0" w:rsidP="003155B0">
            <w:pPr>
              <w:pStyle w:val="Text1"/>
              <w:spacing w:before="0" w:after="0"/>
              <w:ind w:left="0"/>
              <w:rPr>
                <w:noProof/>
                <w:sz w:val="18"/>
                <w:szCs w:val="18"/>
              </w:rPr>
            </w:pPr>
            <w:r w:rsidRPr="00BF555E">
              <w:rPr>
                <w:noProof/>
                <w:sz w:val="18"/>
                <w:szCs w:val="18"/>
              </w:rPr>
              <w:t>4.3.prioritāte</w:t>
            </w:r>
          </w:p>
          <w:p w14:paraId="3A772F48" w14:textId="77777777" w:rsidR="003155B0" w:rsidRPr="00BF555E" w:rsidRDefault="003155B0" w:rsidP="003155B0">
            <w:pPr>
              <w:pStyle w:val="Text1"/>
              <w:spacing w:before="0" w:after="0"/>
              <w:ind w:left="0"/>
              <w:rPr>
                <w:noProof/>
                <w:sz w:val="18"/>
                <w:szCs w:val="18"/>
              </w:rPr>
            </w:pPr>
          </w:p>
        </w:tc>
        <w:tc>
          <w:tcPr>
            <w:tcW w:w="398" w:type="pct"/>
          </w:tcPr>
          <w:p w14:paraId="095D9F9F" w14:textId="77777777" w:rsidR="003155B0" w:rsidRPr="00BF555E" w:rsidRDefault="003155B0" w:rsidP="003155B0">
            <w:pPr>
              <w:pStyle w:val="Text1"/>
              <w:spacing w:before="0" w:after="0"/>
              <w:ind w:left="0"/>
              <w:rPr>
                <w:noProof/>
                <w:sz w:val="18"/>
                <w:szCs w:val="18"/>
              </w:rPr>
            </w:pPr>
            <w:r w:rsidRPr="00BF555E">
              <w:rPr>
                <w:noProof/>
                <w:sz w:val="18"/>
                <w:szCs w:val="18"/>
              </w:rPr>
              <w:t>4.3.2.SAM</w:t>
            </w:r>
          </w:p>
          <w:p w14:paraId="67C14EA8" w14:textId="77777777" w:rsidR="003155B0" w:rsidRPr="00BF555E" w:rsidRDefault="003155B0" w:rsidP="003155B0">
            <w:pPr>
              <w:pStyle w:val="Text1"/>
              <w:spacing w:before="0" w:after="0"/>
              <w:ind w:left="0"/>
              <w:rPr>
                <w:noProof/>
                <w:sz w:val="18"/>
                <w:szCs w:val="18"/>
              </w:rPr>
            </w:pPr>
          </w:p>
        </w:tc>
        <w:tc>
          <w:tcPr>
            <w:tcW w:w="289" w:type="pct"/>
          </w:tcPr>
          <w:p w14:paraId="7DF37033" w14:textId="77777777" w:rsidR="003155B0" w:rsidRPr="00BF555E" w:rsidRDefault="003155B0" w:rsidP="003155B0">
            <w:pPr>
              <w:pStyle w:val="Text1"/>
              <w:spacing w:before="0" w:after="0"/>
              <w:ind w:left="0"/>
              <w:rPr>
                <w:noProof/>
                <w:sz w:val="18"/>
                <w:szCs w:val="18"/>
              </w:rPr>
            </w:pPr>
            <w:r w:rsidRPr="00BF555E">
              <w:rPr>
                <w:noProof/>
                <w:sz w:val="18"/>
                <w:szCs w:val="18"/>
              </w:rPr>
              <w:t>ERAF</w:t>
            </w:r>
          </w:p>
        </w:tc>
        <w:tc>
          <w:tcPr>
            <w:tcW w:w="345" w:type="pct"/>
          </w:tcPr>
          <w:p w14:paraId="7F244750" w14:textId="77777777" w:rsidR="003155B0" w:rsidRPr="00BF555E" w:rsidRDefault="003155B0" w:rsidP="003155B0">
            <w:pPr>
              <w:pStyle w:val="Text1"/>
              <w:spacing w:before="0" w:after="0"/>
              <w:ind w:left="0"/>
              <w:rPr>
                <w:sz w:val="18"/>
                <w:szCs w:val="18"/>
              </w:rPr>
            </w:pPr>
            <w:r w:rsidRPr="00BF555E">
              <w:rPr>
                <w:sz w:val="18"/>
                <w:szCs w:val="18"/>
              </w:rPr>
              <w:t>RCR 77</w:t>
            </w:r>
          </w:p>
        </w:tc>
        <w:tc>
          <w:tcPr>
            <w:tcW w:w="766" w:type="pct"/>
            <w:shd w:val="clear" w:color="auto" w:fill="auto"/>
          </w:tcPr>
          <w:p w14:paraId="2DD0D2C2" w14:textId="77777777" w:rsidR="003155B0" w:rsidRPr="00BF555E" w:rsidRDefault="003155B0" w:rsidP="003155B0">
            <w:pPr>
              <w:pStyle w:val="Text1"/>
              <w:spacing w:before="0" w:after="0"/>
              <w:ind w:left="0"/>
              <w:rPr>
                <w:sz w:val="18"/>
                <w:szCs w:val="18"/>
              </w:rPr>
            </w:pPr>
            <w:r w:rsidRPr="00BF555E">
              <w:rPr>
                <w:sz w:val="18"/>
                <w:szCs w:val="18"/>
              </w:rPr>
              <w:t>Atbalstīto kultūras un tūrisma vietu apmeklētāju skaits</w:t>
            </w:r>
          </w:p>
        </w:tc>
        <w:tc>
          <w:tcPr>
            <w:tcW w:w="446" w:type="pct"/>
          </w:tcPr>
          <w:p w14:paraId="3F321858" w14:textId="77777777" w:rsidR="003155B0" w:rsidRPr="00BF555E" w:rsidRDefault="003155B0" w:rsidP="003155B0">
            <w:pPr>
              <w:pStyle w:val="Text1"/>
              <w:spacing w:before="0" w:after="0"/>
              <w:ind w:left="0"/>
              <w:rPr>
                <w:noProof/>
                <w:sz w:val="18"/>
                <w:szCs w:val="18"/>
              </w:rPr>
            </w:pPr>
            <w:r w:rsidRPr="00BF555E">
              <w:rPr>
                <w:noProof/>
                <w:sz w:val="18"/>
                <w:szCs w:val="18"/>
              </w:rPr>
              <w:t>Apmeklētāji/ gadā</w:t>
            </w:r>
          </w:p>
        </w:tc>
        <w:tc>
          <w:tcPr>
            <w:tcW w:w="360" w:type="pct"/>
          </w:tcPr>
          <w:p w14:paraId="7FDCC6D3" w14:textId="77777777" w:rsidR="003155B0" w:rsidRPr="00BF555E" w:rsidRDefault="003155B0" w:rsidP="003155B0">
            <w:pPr>
              <w:pStyle w:val="Text1"/>
              <w:spacing w:before="0" w:after="0"/>
              <w:ind w:left="0"/>
              <w:rPr>
                <w:noProof/>
                <w:sz w:val="18"/>
                <w:szCs w:val="18"/>
              </w:rPr>
            </w:pPr>
            <w:r w:rsidRPr="00BF555E">
              <w:rPr>
                <w:noProof/>
                <w:sz w:val="18"/>
                <w:szCs w:val="18"/>
              </w:rPr>
              <w:t>507 000</w:t>
            </w:r>
          </w:p>
          <w:p w14:paraId="53C48B35" w14:textId="77777777" w:rsidR="003155B0" w:rsidRPr="00BF555E" w:rsidRDefault="003155B0" w:rsidP="003155B0">
            <w:pPr>
              <w:pStyle w:val="Text1"/>
              <w:spacing w:before="0" w:after="0"/>
              <w:ind w:left="0"/>
              <w:rPr>
                <w:noProof/>
                <w:sz w:val="18"/>
                <w:szCs w:val="18"/>
              </w:rPr>
            </w:pPr>
          </w:p>
        </w:tc>
        <w:tc>
          <w:tcPr>
            <w:tcW w:w="421" w:type="pct"/>
          </w:tcPr>
          <w:p w14:paraId="361D4227" w14:textId="77777777" w:rsidR="003155B0" w:rsidRPr="00BF555E" w:rsidRDefault="003155B0" w:rsidP="003155B0">
            <w:pPr>
              <w:pStyle w:val="Text1"/>
              <w:spacing w:before="0" w:after="0"/>
              <w:ind w:left="0"/>
              <w:rPr>
                <w:noProof/>
                <w:sz w:val="18"/>
                <w:szCs w:val="18"/>
              </w:rPr>
            </w:pPr>
            <w:r w:rsidRPr="00BF555E">
              <w:rPr>
                <w:noProof/>
                <w:sz w:val="18"/>
                <w:szCs w:val="18"/>
              </w:rPr>
              <w:t>2020</w:t>
            </w:r>
          </w:p>
          <w:p w14:paraId="1B7F9A1A" w14:textId="77777777" w:rsidR="003155B0" w:rsidRPr="00BF555E" w:rsidRDefault="003155B0" w:rsidP="003155B0">
            <w:pPr>
              <w:pStyle w:val="Text1"/>
              <w:spacing w:before="0" w:after="0"/>
              <w:ind w:left="0"/>
              <w:rPr>
                <w:noProof/>
                <w:sz w:val="18"/>
                <w:szCs w:val="18"/>
              </w:rPr>
            </w:pPr>
          </w:p>
        </w:tc>
        <w:tc>
          <w:tcPr>
            <w:tcW w:w="478" w:type="pct"/>
            <w:shd w:val="clear" w:color="auto" w:fill="auto"/>
          </w:tcPr>
          <w:p w14:paraId="09479950" w14:textId="77777777" w:rsidR="003155B0" w:rsidRPr="00BF555E" w:rsidRDefault="003155B0" w:rsidP="003155B0">
            <w:pPr>
              <w:pStyle w:val="Text1"/>
              <w:spacing w:before="0" w:after="0"/>
              <w:ind w:left="0"/>
              <w:rPr>
                <w:noProof/>
                <w:sz w:val="18"/>
                <w:szCs w:val="18"/>
              </w:rPr>
            </w:pPr>
            <w:r w:rsidRPr="00BF555E">
              <w:rPr>
                <w:noProof/>
                <w:sz w:val="18"/>
                <w:szCs w:val="18"/>
              </w:rPr>
              <w:t>418 600</w:t>
            </w:r>
          </w:p>
        </w:tc>
        <w:tc>
          <w:tcPr>
            <w:tcW w:w="469" w:type="pct"/>
            <w:shd w:val="clear" w:color="auto" w:fill="auto"/>
          </w:tcPr>
          <w:p w14:paraId="1AD13894" w14:textId="77777777" w:rsidR="003155B0" w:rsidRPr="00BF555E" w:rsidRDefault="003155B0" w:rsidP="003155B0">
            <w:pPr>
              <w:pStyle w:val="Text1"/>
              <w:spacing w:before="0" w:after="0"/>
              <w:ind w:left="0"/>
              <w:rPr>
                <w:noProof/>
                <w:sz w:val="18"/>
                <w:szCs w:val="18"/>
              </w:rPr>
            </w:pPr>
            <w:r w:rsidRPr="00BF555E">
              <w:rPr>
                <w:noProof/>
                <w:sz w:val="18"/>
                <w:szCs w:val="18"/>
              </w:rPr>
              <w:t>Projektu dati</w:t>
            </w:r>
          </w:p>
        </w:tc>
        <w:tc>
          <w:tcPr>
            <w:tcW w:w="588" w:type="pct"/>
          </w:tcPr>
          <w:p w14:paraId="6774472D" w14:textId="77777777" w:rsidR="003155B0" w:rsidRPr="00BF555E" w:rsidRDefault="003155B0" w:rsidP="003155B0">
            <w:pPr>
              <w:spacing w:before="0" w:after="0"/>
              <w:rPr>
                <w:noProof/>
                <w:sz w:val="18"/>
                <w:szCs w:val="18"/>
              </w:rPr>
            </w:pPr>
          </w:p>
        </w:tc>
      </w:tr>
    </w:tbl>
    <w:p w14:paraId="68C33437" w14:textId="77777777" w:rsidR="003155B0" w:rsidRPr="00930237" w:rsidRDefault="003155B0" w:rsidP="003155B0">
      <w:pPr>
        <w:spacing w:before="0" w:after="0"/>
        <w:rPr>
          <w:b/>
          <w:noProof/>
          <w:sz w:val="20"/>
        </w:rPr>
      </w:pPr>
    </w:p>
    <w:p w14:paraId="23B70F9A" w14:textId="77777777" w:rsidR="003155B0" w:rsidRPr="00930237" w:rsidRDefault="003155B0" w:rsidP="003155B0">
      <w:pPr>
        <w:spacing w:before="0" w:after="0"/>
        <w:rPr>
          <w:rFonts w:eastAsia="Times New Roman"/>
          <w:iCs/>
          <w:noProof/>
          <w:sz w:val="20"/>
        </w:rPr>
      </w:pPr>
      <w:r w:rsidRPr="00930237">
        <w:rPr>
          <w:rFonts w:eastAsia="Times New Roman"/>
          <w:iCs/>
          <w:noProof/>
          <w:sz w:val="20"/>
        </w:rPr>
        <w:t>* Rādītāju sasniedzamās vērtības tiks definētas, kad būs pieejami veikto izvērtējumu rezultāti, kā arī attiecīgo nozaru plānošanas dokumentu izstrādes un saskaņošanas ietvaros.</w:t>
      </w:r>
    </w:p>
    <w:p w14:paraId="40DE56D2" w14:textId="77777777" w:rsidR="003155B0" w:rsidRPr="00930237" w:rsidRDefault="003155B0" w:rsidP="003155B0">
      <w:pPr>
        <w:rPr>
          <w:sz w:val="20"/>
        </w:rPr>
      </w:pPr>
    </w:p>
    <w:p w14:paraId="0BDA618A" w14:textId="77777777" w:rsidR="00B471B0" w:rsidRDefault="00B471B0" w:rsidP="003155B0">
      <w:pPr>
        <w:rPr>
          <w:sz w:val="20"/>
        </w:rPr>
        <w:sectPr w:rsidR="00B471B0" w:rsidSect="00B471B0">
          <w:pgSz w:w="16838" w:h="11906" w:orient="landscape" w:code="9"/>
          <w:pgMar w:top="1418" w:right="1418" w:bottom="1418" w:left="1418" w:header="567" w:footer="510" w:gutter="0"/>
          <w:cols w:space="708"/>
          <w:titlePg/>
          <w:docGrid w:linePitch="360"/>
        </w:sectPr>
      </w:pPr>
    </w:p>
    <w:p w14:paraId="2D807CA9" w14:textId="49998A9C" w:rsidR="00AC212B" w:rsidRPr="00930237" w:rsidRDefault="00AC212B" w:rsidP="00AC212B">
      <w:pPr>
        <w:pStyle w:val="Heading3"/>
        <w:numPr>
          <w:ilvl w:val="0"/>
          <w:numId w:val="0"/>
        </w:numPr>
        <w:shd w:val="clear" w:color="auto" w:fill="FFF2CC" w:themeFill="accent4" w:themeFillTint="33"/>
        <w:spacing w:after="0"/>
        <w:rPr>
          <w:b/>
          <w:i w:val="0"/>
          <w:noProof/>
        </w:rPr>
      </w:pPr>
      <w:bookmarkStart w:id="45" w:name="_Toc69125420"/>
      <w:r w:rsidRPr="00930237">
        <w:rPr>
          <w:b/>
          <w:i w:val="0"/>
          <w:noProof/>
        </w:rPr>
        <w:t>5.politikas mērķis “</w:t>
      </w:r>
      <w:r w:rsidR="00C20D9D" w:rsidRPr="00C20D9D">
        <w:rPr>
          <w:b/>
          <w:i w:val="0"/>
          <w:noProof/>
        </w:rPr>
        <w:t>Pilsoņiem tuvāka Eiropa, veicinot ilgtspējīgu un integrētu visu teritoriju attīstību un vietējās iniciatīvas</w:t>
      </w:r>
      <w:r w:rsidRPr="00930237">
        <w:rPr>
          <w:b/>
          <w:i w:val="0"/>
          <w:noProof/>
        </w:rPr>
        <w:t>”</w:t>
      </w:r>
      <w:bookmarkEnd w:id="45"/>
    </w:p>
    <w:p w14:paraId="353B28AD" w14:textId="77777777" w:rsidR="00AC212B" w:rsidRPr="00930237" w:rsidRDefault="00AC212B" w:rsidP="00AC212B">
      <w:pPr>
        <w:spacing w:before="0" w:after="0"/>
      </w:pPr>
    </w:p>
    <w:p w14:paraId="3994410D" w14:textId="77777777" w:rsidR="00AC212B" w:rsidRPr="00930237" w:rsidRDefault="00AC212B" w:rsidP="00AC212B">
      <w:pPr>
        <w:pStyle w:val="Heading4"/>
        <w:numPr>
          <w:ilvl w:val="0"/>
          <w:numId w:val="0"/>
        </w:numPr>
        <w:shd w:val="clear" w:color="auto" w:fill="F7CAAC" w:themeFill="accent2" w:themeFillTint="66"/>
        <w:spacing w:after="0"/>
        <w:rPr>
          <w:b/>
        </w:rPr>
      </w:pPr>
      <w:r w:rsidRPr="00930237">
        <w:rPr>
          <w:b/>
        </w:rPr>
        <w:t>5.1.Prioritāte “Reģionu līdzsvarota attīstība ”</w:t>
      </w:r>
    </w:p>
    <w:p w14:paraId="07905F27" w14:textId="494495E0" w:rsidR="00AC212B" w:rsidRPr="00930237" w:rsidRDefault="00AC212B" w:rsidP="00DD46F7">
      <w:pPr>
        <w:pStyle w:val="Heading4"/>
        <w:numPr>
          <w:ilvl w:val="0"/>
          <w:numId w:val="0"/>
        </w:numPr>
        <w:shd w:val="clear" w:color="auto" w:fill="FBE4D5" w:themeFill="accent2" w:themeFillTint="33"/>
        <w:spacing w:after="0"/>
        <w:rPr>
          <w:b/>
          <w:szCs w:val="24"/>
        </w:rPr>
      </w:pPr>
      <w:r w:rsidRPr="00930237">
        <w:rPr>
          <w:b/>
          <w:szCs w:val="24"/>
        </w:rPr>
        <w:t>5.1.1. SAM “Vietējās teritorijas integrētās sociālās, ekonomiskās un vides attīstības un kultūras mantojuma, tūrisma un drošības veicināšana pilsētu funkcionālajās teritorijās”</w:t>
      </w:r>
    </w:p>
    <w:p w14:paraId="489EFCF6" w14:textId="2B4E625F"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noProof/>
          <w:sz w:val="24"/>
          <w:szCs w:val="24"/>
        </w:rPr>
        <w:t xml:space="preserve">Atbalstāmās darbības: </w:t>
      </w:r>
      <w:r w:rsidR="00C56E02" w:rsidRPr="7AB41870">
        <w:rPr>
          <w:rFonts w:ascii="Times New Roman" w:hAnsi="Times New Roman" w:cs="Times New Roman"/>
          <w:sz w:val="24"/>
          <w:szCs w:val="24"/>
        </w:rPr>
        <w:t xml:space="preserve">Lai veicinātu ilgtspējīgu teritoriālo attīstību un virzītos uz reģionālo atšķirību mazināšanu, t.sk. ņemot vērā demogrāfiskos izaicinājumus,  plānots integrēts, komplekss atbalsts, </w:t>
      </w:r>
      <w:r w:rsidRPr="00930237">
        <w:rPr>
          <w:rFonts w:ascii="Times New Roman" w:hAnsi="Times New Roman" w:cs="Times New Roman"/>
          <w:sz w:val="24"/>
          <w:szCs w:val="24"/>
        </w:rPr>
        <w:t>paredzot tādas komponentes kā uzņēmējdarbības veicināšana, infrastruktūras</w:t>
      </w:r>
      <w:r w:rsidR="0049286D">
        <w:rPr>
          <w:rFonts w:ascii="Times New Roman" w:hAnsi="Times New Roman" w:cs="Times New Roman"/>
          <w:sz w:val="24"/>
          <w:szCs w:val="24"/>
        </w:rPr>
        <w:t xml:space="preserve"> un publiskās </w:t>
      </w:r>
      <w:r w:rsidRPr="00930237">
        <w:rPr>
          <w:rFonts w:ascii="Times New Roman" w:hAnsi="Times New Roman" w:cs="Times New Roman"/>
          <w:sz w:val="24"/>
          <w:szCs w:val="24"/>
        </w:rPr>
        <w:t>ārtelpas risinājumu attīstība, pašvaldīb</w:t>
      </w:r>
      <w:r w:rsidR="0049286D">
        <w:rPr>
          <w:rFonts w:ascii="Times New Roman" w:hAnsi="Times New Roman" w:cs="Times New Roman"/>
          <w:sz w:val="24"/>
          <w:szCs w:val="24"/>
        </w:rPr>
        <w:t>u</w:t>
      </w:r>
      <w:r w:rsidRPr="00930237">
        <w:rPr>
          <w:rFonts w:ascii="Times New Roman" w:hAnsi="Times New Roman" w:cs="Times New Roman"/>
          <w:sz w:val="24"/>
          <w:szCs w:val="24"/>
        </w:rPr>
        <w:t xml:space="preserve"> kapacitātes veicināšana</w:t>
      </w:r>
      <w:r w:rsidR="0049286D">
        <w:rPr>
          <w:rFonts w:ascii="Times New Roman" w:hAnsi="Times New Roman" w:cs="Times New Roman"/>
          <w:sz w:val="24"/>
          <w:szCs w:val="24"/>
        </w:rPr>
        <w:t xml:space="preserve"> un </w:t>
      </w:r>
      <w:r w:rsidRPr="00930237">
        <w:rPr>
          <w:rFonts w:ascii="Times New Roman" w:hAnsi="Times New Roman" w:cs="Times New Roman"/>
          <w:sz w:val="24"/>
          <w:szCs w:val="24"/>
        </w:rPr>
        <w:t>viedi</w:t>
      </w:r>
      <w:r w:rsidR="0049286D">
        <w:rPr>
          <w:rFonts w:ascii="Times New Roman" w:hAnsi="Times New Roman" w:cs="Times New Roman"/>
          <w:sz w:val="24"/>
          <w:szCs w:val="24"/>
        </w:rPr>
        <w:t>e</w:t>
      </w:r>
      <w:r w:rsidRPr="00930237">
        <w:rPr>
          <w:rFonts w:ascii="Times New Roman" w:hAnsi="Times New Roman" w:cs="Times New Roman"/>
          <w:sz w:val="24"/>
          <w:szCs w:val="24"/>
        </w:rPr>
        <w:t xml:space="preserve"> risinājumi.</w:t>
      </w:r>
    </w:p>
    <w:p w14:paraId="165B4023" w14:textId="08B6923A" w:rsidR="00AC212B"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Atbalstāmas investīcijas uzņēmējdarbības attīstībai reģionos – ieguldījumi publiskajā infrastruktūrā saskaņā ar komersantu pieprasījumu un balstoties uz teritoriju attīstības plānošanas dokumentos noteikt</w:t>
      </w:r>
      <w:r w:rsidR="0049286D">
        <w:rPr>
          <w:rFonts w:ascii="Times New Roman" w:hAnsi="Times New Roman" w:cs="Times New Roman"/>
          <w:sz w:val="24"/>
          <w:szCs w:val="24"/>
        </w:rPr>
        <w:t>ajām prioritātēm</w:t>
      </w:r>
      <w:r w:rsidRPr="00930237">
        <w:rPr>
          <w:rFonts w:ascii="Times New Roman" w:hAnsi="Times New Roman" w:cs="Times New Roman"/>
          <w:sz w:val="24"/>
          <w:szCs w:val="24"/>
        </w:rPr>
        <w:t>. Pašvaldību infrastruktūra ir attīstāma integrēti ar komersantu plānotajiem ieguldījumiem, tāpēc atbalsts pašvaldību infrastruktūras attīstībai tiks plānots sadarbībā ar komersantiem un to plānotajām investīcijām pamatlīdzekļos esošo vai jaunu produktu un pakalpojumu attīstībai, kā arī komersantu un publiskā sektora investīcijām augsti kvalificēta darbaspēka piesaist</w:t>
      </w:r>
      <w:r w:rsidR="0049286D">
        <w:rPr>
          <w:rFonts w:ascii="Times New Roman" w:hAnsi="Times New Roman" w:cs="Times New Roman"/>
          <w:sz w:val="24"/>
          <w:szCs w:val="24"/>
        </w:rPr>
        <w:t>e</w:t>
      </w:r>
      <w:r w:rsidRPr="00930237">
        <w:rPr>
          <w:rFonts w:ascii="Times New Roman" w:hAnsi="Times New Roman" w:cs="Times New Roman"/>
          <w:sz w:val="24"/>
          <w:szCs w:val="24"/>
        </w:rPr>
        <w:t xml:space="preserve">i reģionos. Ir atbalstāma arī investīciju piesaistei nepieciešamā industriālo teritoriju sakārtošana, t.sk. </w:t>
      </w:r>
      <w:r w:rsidR="0049286D">
        <w:rPr>
          <w:rFonts w:ascii="Times New Roman" w:hAnsi="Times New Roman" w:cs="Times New Roman"/>
          <w:sz w:val="24"/>
          <w:szCs w:val="24"/>
        </w:rPr>
        <w:t>ceļu</w:t>
      </w:r>
      <w:r w:rsidR="0049286D" w:rsidRPr="00930237">
        <w:rPr>
          <w:rFonts w:ascii="Times New Roman" w:hAnsi="Times New Roman" w:cs="Times New Roman"/>
          <w:sz w:val="24"/>
          <w:szCs w:val="24"/>
        </w:rPr>
        <w:t xml:space="preserve"> </w:t>
      </w:r>
      <w:r w:rsidRPr="00930237">
        <w:rPr>
          <w:rFonts w:ascii="Times New Roman" w:hAnsi="Times New Roman" w:cs="Times New Roman"/>
          <w:sz w:val="24"/>
          <w:szCs w:val="24"/>
        </w:rPr>
        <w:t>infrastruktūra.</w:t>
      </w:r>
    </w:p>
    <w:p w14:paraId="18DE8EAD" w14:textId="7920AEED" w:rsidR="00747B19" w:rsidRPr="00747B19" w:rsidRDefault="00C56E02"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w:t>
      </w:r>
      <w:r w:rsidR="00747B19" w:rsidRPr="001A6E01">
        <w:rPr>
          <w:rFonts w:ascii="Times New Roman" w:hAnsi="Times New Roman" w:cs="Times New Roman"/>
          <w:sz w:val="24"/>
          <w:szCs w:val="24"/>
        </w:rPr>
        <w:t>tbalstāmas investīcijas kultūras infrastruktūrā, īpašu uzmanību pievēršot kultūras objektu darbības uzlabošanas un darbības efektivitātes palielināšanas pasākumiem, radot plašāku ekonomisko, sociālo un teritoriālo ietekmi un attīstāmo teritoriju. Atbalstāmi ieguldījumi unikālos valsts, reģionālas un lokālas nozīmes aizsargājamos kultūras pieminekļos, to saistītajā infrastruktūrā un jaunas kultūras infrastruktūras būvniecībā ar mērķi uzlabot publiskas vides kvalitāti, nodrošināt arhitektonisko un kultūras vērtību saglabāšanu un nodrošināt kultūras objektu turpmāku izmantošanu kultūras pakalpojumu sniegšanā, veicinot esošo pakalpojumu pilnveidi un jaunu pakalpojumu izveidi, tādejādi paplašinot kultūras un dabas mantojuma saturisko piedāvājumu un veicinot kultūras mantojuma kā ilgtspējīga resursa inovatīvu izmantošanu cilvēka dzīves kvalitātes uzlabošanā. Investīciju projekti iespēju robežās (cik to atļauj kultūrvēsturisko objektu specifika) īstenojami, izmantojot klimatneitrālas būvniecības metodes, uzlabojot kultūras objektus pieejamību cilvēkiem ar īpašām vajadzībām, kā arī integrējot projektos inovatīvus digitālos risinājumus, kas ļauj attīstīt kultūras satura digitālo piedāvājumu. Īstenojot investīciju projektus tiks nodrošināta efektīvāka kultūras mantojuma potenciāla izmantošana ekonomikas attīstībā un sociālo jautājumu risināšanā, stiprinot vietējo iedzīvotāju kopienas, radot jaunu sociālo dinamiku, nodrošinot pievilcīgu vidi vietējiem iedzīvotājiem, kā arī attīstot autentisku tūrisma galamērķa piedāvājumu tūristiem, tādējādi nodrošinot reģiona atpazīstamību, vietējās uzņēmējdarbības attīstību un veicinot pašvaldību ieņēmumu pieaugumu.</w:t>
      </w:r>
      <w:r w:rsidR="00783108" w:rsidRPr="00783108">
        <w:rPr>
          <w:rFonts w:ascii="Times New Roman" w:hAnsi="Times New Roman" w:cs="Times New Roman"/>
          <w:sz w:val="24"/>
          <w:szCs w:val="24"/>
        </w:rPr>
        <w:t xml:space="preserve"> 5.1.1.</w:t>
      </w:r>
      <w:r w:rsidR="00747B19" w:rsidRPr="001A6E01">
        <w:rPr>
          <w:rFonts w:ascii="Times New Roman" w:hAnsi="Times New Roman" w:cs="Times New Roman"/>
          <w:sz w:val="24"/>
          <w:szCs w:val="24"/>
        </w:rPr>
        <w:t>SAM ietvaros īstenotās investīcijas var kalpot kā stimuls turpmākām investīc</w:t>
      </w:r>
      <w:r w:rsidR="00783108" w:rsidRPr="00783108">
        <w:rPr>
          <w:rFonts w:ascii="Times New Roman" w:hAnsi="Times New Roman" w:cs="Times New Roman"/>
          <w:sz w:val="24"/>
          <w:szCs w:val="24"/>
        </w:rPr>
        <w:t>ijām, kas tiek īstenotas 4.3.2.SAM ietvaros, 5.1.1.</w:t>
      </w:r>
      <w:r w:rsidR="00747B19" w:rsidRPr="001A6E01">
        <w:rPr>
          <w:rFonts w:ascii="Times New Roman" w:hAnsi="Times New Roman" w:cs="Times New Roman"/>
          <w:sz w:val="24"/>
          <w:szCs w:val="24"/>
        </w:rPr>
        <w:t>SAM projektu ietvaros izveidotajā infrastruktūrā attīstot inovatīvus, sociāli iekļaujošus un uz vietējo kopienu attīstību vērstus kultūras pakalpojumus. Ieguldījumi veicami teritorijās, kur jau pastāv veiksmīgas tūrisma stratēģijas (pašvaldības vai plānošanas reģiona attīstības programmas sastāvdaļa), kā arī sekmīgi sadarbības tīkli.</w:t>
      </w:r>
    </w:p>
    <w:p w14:paraId="485E7CF8" w14:textId="06CA040A" w:rsidR="00AC212B" w:rsidRPr="00930237" w:rsidRDefault="00124C3D"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Atbalstāmi </w:t>
      </w:r>
      <w:r w:rsidR="00C56E02">
        <w:rPr>
          <w:rFonts w:ascii="Times New Roman" w:hAnsi="Times New Roman" w:cs="Times New Roman"/>
          <w:sz w:val="24"/>
          <w:szCs w:val="24"/>
        </w:rPr>
        <w:t xml:space="preserve"> integrēti</w:t>
      </w:r>
      <w:r>
        <w:rPr>
          <w:rFonts w:ascii="Times New Roman" w:hAnsi="Times New Roman" w:cs="Times New Roman"/>
          <w:sz w:val="24"/>
          <w:szCs w:val="24"/>
        </w:rPr>
        <w:t xml:space="preserve"> </w:t>
      </w:r>
      <w:r w:rsidRPr="00124C3D">
        <w:rPr>
          <w:rFonts w:ascii="Times New Roman" w:hAnsi="Times New Roman" w:cs="Times New Roman"/>
          <w:sz w:val="24"/>
          <w:szCs w:val="24"/>
        </w:rPr>
        <w:t>ieguldījumi publiskajā ārtelpā, identificējot primāri svarīgās vietas, kur ieguldījumi</w:t>
      </w:r>
      <w:r w:rsidR="00AC212B" w:rsidRPr="00930237">
        <w:rPr>
          <w:rFonts w:ascii="Times New Roman" w:hAnsi="Times New Roman" w:cs="Times New Roman"/>
          <w:sz w:val="24"/>
          <w:szCs w:val="24"/>
        </w:rPr>
        <w:t xml:space="preserve"> var sniegt vislielāko atdevi</w:t>
      </w:r>
      <w:r>
        <w:rPr>
          <w:rFonts w:ascii="Times New Roman" w:hAnsi="Times New Roman" w:cs="Times New Roman"/>
          <w:sz w:val="24"/>
          <w:szCs w:val="24"/>
        </w:rPr>
        <w:t xml:space="preserve">, </w:t>
      </w:r>
      <w:r w:rsidRPr="00124C3D">
        <w:rPr>
          <w:rFonts w:ascii="Times New Roman" w:hAnsi="Times New Roman" w:cs="Times New Roman"/>
          <w:sz w:val="24"/>
          <w:szCs w:val="24"/>
        </w:rPr>
        <w:t xml:space="preserve">palielināt sabiedrības drošību </w:t>
      </w:r>
      <w:r w:rsidRPr="00C33D80">
        <w:rPr>
          <w:rFonts w:ascii="Times New Roman" w:hAnsi="Times New Roman" w:cs="Times New Roman"/>
          <w:sz w:val="24"/>
          <w:szCs w:val="24"/>
        </w:rPr>
        <w:t>vai veicināt multifunkcionālu infrastruktūras risinājumu izveidi dzīves vides kvalitātes uzlabošanai, kas var ietvert arī zaļās un zilās infrastruktūras risinājumus</w:t>
      </w:r>
      <w:r w:rsidR="00231E56">
        <w:rPr>
          <w:rStyle w:val="FootnoteReference"/>
          <w:rFonts w:ascii="Times New Roman" w:hAnsi="Times New Roman" w:cs="Times New Roman"/>
          <w:sz w:val="24"/>
          <w:szCs w:val="24"/>
        </w:rPr>
        <w:footnoteReference w:id="125"/>
      </w:r>
      <w:r>
        <w:rPr>
          <w:rFonts w:ascii="Times New Roman" w:hAnsi="Times New Roman" w:cs="Times New Roman"/>
          <w:sz w:val="24"/>
          <w:szCs w:val="24"/>
        </w:rPr>
        <w:t>, t</w:t>
      </w:r>
      <w:r w:rsidR="000B2CBB">
        <w:rPr>
          <w:rFonts w:ascii="Times New Roman" w:hAnsi="Times New Roman" w:cs="Times New Roman"/>
          <w:sz w:val="24"/>
          <w:szCs w:val="24"/>
        </w:rPr>
        <w:t>s.sk.,</w:t>
      </w:r>
      <w:r>
        <w:rPr>
          <w:rFonts w:ascii="Times New Roman" w:hAnsi="Times New Roman" w:cs="Times New Roman"/>
          <w:sz w:val="24"/>
          <w:szCs w:val="24"/>
        </w:rPr>
        <w:t xml:space="preserve"> Baltijas jūras piekrastē.</w:t>
      </w:r>
      <w:r w:rsidR="000D62FE">
        <w:rPr>
          <w:rFonts w:ascii="Times New Roman" w:hAnsi="Times New Roman" w:cs="Times New Roman"/>
          <w:sz w:val="24"/>
          <w:szCs w:val="24"/>
        </w:rPr>
        <w:t xml:space="preserve"> </w:t>
      </w:r>
      <w:r>
        <w:rPr>
          <w:rFonts w:ascii="Times New Roman" w:hAnsi="Times New Roman" w:cs="Times New Roman"/>
          <w:sz w:val="24"/>
          <w:szCs w:val="24"/>
        </w:rPr>
        <w:t>Publiskās ārtelpas attīstība ietver arī teritorijas funkcionalitātes uzlabošanu, veicinot pie atjaunotās publiskās ārtelpas esošo privātā sektora piedāvāto pakalpojumu attīstīšanu vai jaunu pakalpojumu sniedzēju saimnieciskās darbības uzsākšanu.</w:t>
      </w:r>
    </w:p>
    <w:p w14:paraId="6BED1B52" w14:textId="474585E6"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Lai pielāgotos izmaiņām pēc ATR īstenošanas,</w:t>
      </w:r>
      <w:r w:rsidR="00C56E02">
        <w:rPr>
          <w:rFonts w:ascii="Times New Roman" w:hAnsi="Times New Roman" w:cs="Times New Roman"/>
          <w:sz w:val="24"/>
          <w:szCs w:val="24"/>
        </w:rPr>
        <w:t xml:space="preserve"> </w:t>
      </w:r>
      <w:r w:rsidR="00C56E02" w:rsidRPr="7AB41870">
        <w:rPr>
          <w:rFonts w:ascii="Times New Roman" w:hAnsi="Times New Roman" w:cs="Times New Roman"/>
          <w:sz w:val="24"/>
          <w:szCs w:val="24"/>
        </w:rPr>
        <w:t xml:space="preserve">un </w:t>
      </w:r>
      <w:r w:rsidR="00C56E02" w:rsidRPr="00E1357A">
        <w:rPr>
          <w:rFonts w:ascii="Times New Roman" w:eastAsia="Times New Roman" w:hAnsi="Times New Roman" w:cs="Times New Roman"/>
          <w:sz w:val="24"/>
          <w:szCs w:val="24"/>
        </w:rPr>
        <w:t>samazinātu pašvaldības pakalpojumu izmaksas uz vienu klientu</w:t>
      </w:r>
      <w:r w:rsidRPr="00E1357A">
        <w:rPr>
          <w:rFonts w:ascii="Times New Roman" w:hAnsi="Times New Roman" w:cs="Times New Roman"/>
          <w:sz w:val="24"/>
          <w:szCs w:val="24"/>
        </w:rPr>
        <w:t xml:space="preserve"> </w:t>
      </w:r>
      <w:r w:rsidRPr="00930237">
        <w:rPr>
          <w:rFonts w:ascii="Times New Roman" w:hAnsi="Times New Roman" w:cs="Times New Roman"/>
          <w:sz w:val="24"/>
          <w:szCs w:val="24"/>
        </w:rPr>
        <w:t xml:space="preserve">atbalstāmi ieguldījumi </w:t>
      </w:r>
      <w:r w:rsidR="00124C3D">
        <w:rPr>
          <w:rFonts w:ascii="Times New Roman" w:hAnsi="Times New Roman" w:cs="Times New Roman"/>
          <w:sz w:val="24"/>
          <w:szCs w:val="24"/>
        </w:rPr>
        <w:t xml:space="preserve">plānošanas reģionu un </w:t>
      </w:r>
      <w:r w:rsidRPr="00930237">
        <w:rPr>
          <w:rFonts w:ascii="Times New Roman" w:hAnsi="Times New Roman" w:cs="Times New Roman"/>
          <w:sz w:val="24"/>
          <w:szCs w:val="24"/>
        </w:rPr>
        <w:t xml:space="preserve">pašvaldību darbības efektivitātei, </w:t>
      </w:r>
      <w:r w:rsidR="00124C3D">
        <w:rPr>
          <w:rFonts w:ascii="Times New Roman" w:hAnsi="Times New Roman" w:cs="Times New Roman"/>
          <w:sz w:val="24"/>
          <w:szCs w:val="24"/>
        </w:rPr>
        <w:t xml:space="preserve">t.sk. </w:t>
      </w:r>
      <w:r w:rsidRPr="00930237">
        <w:rPr>
          <w:rFonts w:ascii="Times New Roman" w:hAnsi="Times New Roman" w:cs="Times New Roman"/>
          <w:sz w:val="24"/>
          <w:szCs w:val="24"/>
        </w:rPr>
        <w:t xml:space="preserve">jaunu un inovatīvu risinājumu attīstīšanai, administratīvo pakalpojumu, sabiedriskā transporta, sabiedriskās drošības, izglītības, komunālo u.c. pakalpojumu nodrošināšanai, kombinējot ieguldījumus infrastruktūrā ar IKT risinājumiem. Viedie risinājumi uzlabotu iedzīvotāju labklājību, drošību un sabiedrisko kārtību, rastu iespēju savlaicīgi paredzēt iespējamos izaicinājumus un tos novērst, samazināt vai novērst ietekmi uz vidi, pilnvērtīgāk izmantot iespējas, ko nodrošina mūsdienu tehnoloģijas, balstīties uz viedo attīstības plānošanu. </w:t>
      </w:r>
      <w:r w:rsidR="00124C3D" w:rsidRPr="00124C3D">
        <w:rPr>
          <w:rFonts w:ascii="Times New Roman" w:hAnsi="Times New Roman" w:cs="Times New Roman"/>
          <w:sz w:val="24"/>
          <w:szCs w:val="24"/>
        </w:rPr>
        <w:t>Lai veidotu risinājumus ar reģionālā mēroga ietekmi, iecerēts, ka katrā plānošanas reģionā pilotveidā tiks ieviesti jauni  un inovatīvi risinājumi pašvaldību darbības jomās.</w:t>
      </w:r>
    </w:p>
    <w:p w14:paraId="1FD9620F" w14:textId="07CAAF54" w:rsidR="00AC212B" w:rsidRPr="00930237" w:rsidRDefault="00D052DA"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Lai uzlabotu p</w:t>
      </w:r>
      <w:r w:rsidR="00AC212B" w:rsidRPr="00930237">
        <w:rPr>
          <w:rFonts w:ascii="Times New Roman" w:hAnsi="Times New Roman" w:cs="Times New Roman"/>
          <w:sz w:val="24"/>
          <w:szCs w:val="24"/>
        </w:rPr>
        <w:t>ašvaldību un plānošanas reģionu darba efektivitāt</w:t>
      </w:r>
      <w:r>
        <w:rPr>
          <w:rFonts w:ascii="Times New Roman" w:hAnsi="Times New Roman" w:cs="Times New Roman"/>
          <w:sz w:val="24"/>
          <w:szCs w:val="24"/>
        </w:rPr>
        <w:t>i</w:t>
      </w:r>
      <w:r w:rsidR="00AC212B" w:rsidRPr="00930237">
        <w:rPr>
          <w:rFonts w:ascii="Times New Roman" w:hAnsi="Times New Roman" w:cs="Times New Roman"/>
          <w:sz w:val="24"/>
          <w:szCs w:val="24"/>
        </w:rPr>
        <w:t xml:space="preserve"> paredzēts</w:t>
      </w:r>
      <w:r w:rsidR="00AC212B" w:rsidRPr="00930237">
        <w:rPr>
          <w:rFonts w:ascii="Times New Roman" w:hAnsi="Times New Roman" w:cs="Times New Roman"/>
          <w:bCs/>
          <w:sz w:val="24"/>
          <w:szCs w:val="24"/>
        </w:rPr>
        <w:t xml:space="preserve"> </w:t>
      </w:r>
      <w:r w:rsidR="00AC212B" w:rsidRPr="00930237">
        <w:rPr>
          <w:rFonts w:ascii="Times New Roman" w:hAnsi="Times New Roman" w:cs="Times New Roman"/>
          <w:sz w:val="24"/>
          <w:szCs w:val="24"/>
        </w:rPr>
        <w:t xml:space="preserve">celt </w:t>
      </w:r>
      <w:r w:rsidR="00124C3D">
        <w:rPr>
          <w:rFonts w:ascii="Times New Roman" w:hAnsi="Times New Roman" w:cs="Times New Roman"/>
          <w:sz w:val="24"/>
          <w:szCs w:val="24"/>
        </w:rPr>
        <w:t xml:space="preserve">plānošanas reģionu un </w:t>
      </w:r>
      <w:r w:rsidR="00AC212B" w:rsidRPr="00930237">
        <w:rPr>
          <w:rFonts w:ascii="Times New Roman" w:hAnsi="Times New Roman" w:cs="Times New Roman"/>
          <w:sz w:val="24"/>
          <w:szCs w:val="24"/>
        </w:rPr>
        <w:t xml:space="preserve">pašvaldību speciālistu </w:t>
      </w:r>
      <w:r w:rsidR="00AC212B" w:rsidRPr="00930237">
        <w:rPr>
          <w:rFonts w:ascii="Times New Roman" w:hAnsi="Times New Roman" w:cs="Times New Roman"/>
          <w:bCs/>
          <w:sz w:val="24"/>
          <w:szCs w:val="24"/>
        </w:rPr>
        <w:t>kapacitāti</w:t>
      </w:r>
      <w:r w:rsidR="00AC212B" w:rsidRPr="00930237">
        <w:rPr>
          <w:rFonts w:ascii="Times New Roman" w:hAnsi="Times New Roman" w:cs="Times New Roman"/>
          <w:sz w:val="24"/>
          <w:szCs w:val="24"/>
        </w:rPr>
        <w:t xml:space="preserve">. </w:t>
      </w:r>
      <w:r w:rsidR="00B965B2">
        <w:rPr>
          <w:rFonts w:ascii="Times New Roman" w:hAnsi="Times New Roman" w:cs="Times New Roman"/>
          <w:sz w:val="24"/>
          <w:szCs w:val="24"/>
        </w:rPr>
        <w:t xml:space="preserve">Prioritārās </w:t>
      </w:r>
      <w:r w:rsidR="00AC212B" w:rsidRPr="00930237">
        <w:rPr>
          <w:rFonts w:ascii="Times New Roman" w:hAnsi="Times New Roman" w:cs="Times New Roman"/>
          <w:sz w:val="24"/>
          <w:szCs w:val="24"/>
        </w:rPr>
        <w:t>kapacitātes paaugstināšanas jomas: (1) uzņēmējdarbības veicināšana un inovācijas attīstība</w:t>
      </w:r>
      <w:r w:rsidR="00124C3D" w:rsidRPr="00124C3D">
        <w:t xml:space="preserve"> </w:t>
      </w:r>
      <w:r w:rsidR="00124C3D" w:rsidRPr="00124C3D">
        <w:rPr>
          <w:rFonts w:ascii="Times New Roman" w:hAnsi="Times New Roman" w:cs="Times New Roman"/>
          <w:sz w:val="24"/>
          <w:szCs w:val="24"/>
        </w:rPr>
        <w:t>t.sk. starpinstitucionālā un starpsektoru sadarbība RIS3 viedās specializācijas jomu attīstīšanai reģionos inovāciju ekosistēmu ietvaros</w:t>
      </w:r>
      <w:r w:rsidR="00AC212B" w:rsidRPr="00930237">
        <w:rPr>
          <w:rFonts w:ascii="Times New Roman" w:hAnsi="Times New Roman" w:cs="Times New Roman"/>
          <w:sz w:val="24"/>
          <w:szCs w:val="24"/>
        </w:rPr>
        <w:t xml:space="preserve">; (2) viedi risinājumi </w:t>
      </w:r>
      <w:r w:rsidR="00124C3D">
        <w:rPr>
          <w:rFonts w:ascii="Times New Roman" w:hAnsi="Times New Roman" w:cs="Times New Roman"/>
          <w:sz w:val="24"/>
          <w:szCs w:val="24"/>
        </w:rPr>
        <w:t xml:space="preserve">plānošanas reģionu un </w:t>
      </w:r>
      <w:r w:rsidR="00AC212B" w:rsidRPr="00930237">
        <w:rPr>
          <w:rFonts w:ascii="Times New Roman" w:hAnsi="Times New Roman" w:cs="Times New Roman"/>
          <w:sz w:val="24"/>
          <w:szCs w:val="24"/>
        </w:rPr>
        <w:t xml:space="preserve">pašvaldību administrācijas darba un pakalpojumu efektivitātes uzlabošanā; (3) integrēta (dažādu budžeta avotu) teritorijas attīstības plānošana un īstenošana, piemērojoties </w:t>
      </w:r>
      <w:r w:rsidR="00124C3D">
        <w:rPr>
          <w:rFonts w:ascii="Times New Roman" w:hAnsi="Times New Roman" w:cs="Times New Roman"/>
          <w:sz w:val="24"/>
          <w:szCs w:val="24"/>
        </w:rPr>
        <w:t>sociāli ekonomiskajām</w:t>
      </w:r>
      <w:r w:rsidR="00124C3D" w:rsidRPr="00930237">
        <w:rPr>
          <w:rFonts w:ascii="Times New Roman" w:hAnsi="Times New Roman" w:cs="Times New Roman"/>
          <w:sz w:val="24"/>
          <w:szCs w:val="24"/>
        </w:rPr>
        <w:t xml:space="preserve"> </w:t>
      </w:r>
      <w:r w:rsidR="00AC212B" w:rsidRPr="00930237">
        <w:rPr>
          <w:rFonts w:ascii="Times New Roman" w:hAnsi="Times New Roman" w:cs="Times New Roman"/>
          <w:sz w:val="24"/>
          <w:szCs w:val="24"/>
        </w:rPr>
        <w:t>pārmaiņām; (4) budžeta plānošana, jauno reģionālās attīstības finanšu instrumentu izmantošana, (5) sabiedrības iesaiste attīstības plānošanā un īstenošanā, t</w:t>
      </w:r>
      <w:r w:rsidR="000B2CBB">
        <w:rPr>
          <w:rFonts w:ascii="Times New Roman" w:hAnsi="Times New Roman" w:cs="Times New Roman"/>
          <w:sz w:val="24"/>
          <w:szCs w:val="24"/>
        </w:rPr>
        <w:t>.</w:t>
      </w:r>
      <w:r w:rsidR="00AC212B" w:rsidRPr="00930237">
        <w:rPr>
          <w:rFonts w:ascii="Times New Roman" w:hAnsi="Times New Roman" w:cs="Times New Roman"/>
          <w:sz w:val="24"/>
          <w:szCs w:val="24"/>
        </w:rPr>
        <w:t>sk</w:t>
      </w:r>
      <w:r w:rsidR="000B2CBB">
        <w:rPr>
          <w:rFonts w:ascii="Times New Roman" w:hAnsi="Times New Roman" w:cs="Times New Roman"/>
          <w:sz w:val="24"/>
          <w:szCs w:val="24"/>
        </w:rPr>
        <w:t>.,</w:t>
      </w:r>
      <w:r w:rsidR="00AC212B" w:rsidRPr="00930237">
        <w:rPr>
          <w:rFonts w:ascii="Times New Roman" w:hAnsi="Times New Roman" w:cs="Times New Roman"/>
          <w:sz w:val="24"/>
          <w:szCs w:val="24"/>
        </w:rPr>
        <w:t xml:space="preserve"> pamazināšanas par pilsonisko sabiedrību kā resursu un tās ieguldījumu teritorijas attīstībā. Šādas investīcijas sniegs ieguldījumu labas pārvaldības principu piemērošanā, lai nodrošinātu </w:t>
      </w:r>
      <w:r w:rsidR="00124C3D">
        <w:rPr>
          <w:rFonts w:ascii="Times New Roman" w:hAnsi="Times New Roman" w:cs="Times New Roman"/>
          <w:sz w:val="24"/>
          <w:szCs w:val="24"/>
        </w:rPr>
        <w:t xml:space="preserve">plānošanas reģionu un </w:t>
      </w:r>
      <w:r w:rsidR="00AC212B" w:rsidRPr="00930237">
        <w:rPr>
          <w:rFonts w:ascii="Times New Roman" w:hAnsi="Times New Roman" w:cs="Times New Roman"/>
          <w:sz w:val="24"/>
          <w:szCs w:val="24"/>
        </w:rPr>
        <w:t xml:space="preserve">vietējo pašvaldību pārredzamu, līdzdalību veicinošu, veiksmīgu un efektīvu darbību, sniedzot publiskos pakalpojumus iedzīvotājiem un uzņēmumiem to teritorijā. </w:t>
      </w:r>
    </w:p>
    <w:p w14:paraId="47B444B1" w14:textId="66A49577"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b/>
          <w:noProof/>
          <w:sz w:val="24"/>
          <w:szCs w:val="24"/>
        </w:rPr>
      </w:pPr>
      <w:r w:rsidRPr="00930237">
        <w:rPr>
          <w:rFonts w:ascii="Times New Roman" w:hAnsi="Times New Roman" w:cs="Times New Roman"/>
          <w:b/>
          <w:noProof/>
          <w:sz w:val="24"/>
          <w:szCs w:val="24"/>
        </w:rPr>
        <w:t xml:space="preserve">Galvenās mērķgrupas: </w:t>
      </w:r>
      <w:r w:rsidRPr="00930237">
        <w:rPr>
          <w:rFonts w:ascii="Times New Roman" w:hAnsi="Times New Roman" w:cs="Times New Roman"/>
          <w:sz w:val="24"/>
          <w:szCs w:val="24"/>
        </w:rPr>
        <w:t>nacionālas un reģionāl</w:t>
      </w:r>
      <w:r w:rsidR="00124C3D">
        <w:rPr>
          <w:rFonts w:ascii="Times New Roman" w:hAnsi="Times New Roman" w:cs="Times New Roman"/>
          <w:sz w:val="24"/>
          <w:szCs w:val="24"/>
        </w:rPr>
        <w:t>a</w:t>
      </w:r>
      <w:r w:rsidRPr="00930237">
        <w:rPr>
          <w:rFonts w:ascii="Times New Roman" w:hAnsi="Times New Roman" w:cs="Times New Roman"/>
          <w:sz w:val="24"/>
          <w:szCs w:val="24"/>
        </w:rPr>
        <w:t>s nozīmes attīstības centr</w:t>
      </w:r>
      <w:r w:rsidR="00124C3D">
        <w:rPr>
          <w:rFonts w:ascii="Times New Roman" w:hAnsi="Times New Roman" w:cs="Times New Roman"/>
          <w:sz w:val="24"/>
          <w:szCs w:val="24"/>
        </w:rPr>
        <w:t>u pašvaldības</w:t>
      </w:r>
      <w:r w:rsidRPr="00930237">
        <w:rPr>
          <w:rFonts w:ascii="Times New Roman" w:hAnsi="Times New Roman" w:cs="Times New Roman"/>
          <w:sz w:val="24"/>
          <w:szCs w:val="24"/>
        </w:rPr>
        <w:t xml:space="preserve">  un to funkcionālo teritoriju pašvaldības, </w:t>
      </w:r>
      <w:r w:rsidR="00124C3D">
        <w:rPr>
          <w:rFonts w:ascii="Times New Roman" w:hAnsi="Times New Roman" w:cs="Times New Roman"/>
          <w:sz w:val="24"/>
          <w:szCs w:val="24"/>
        </w:rPr>
        <w:t xml:space="preserve">plānošanas reģioni, </w:t>
      </w:r>
      <w:r w:rsidRPr="00930237">
        <w:rPr>
          <w:rFonts w:ascii="Times New Roman" w:hAnsi="Times New Roman" w:cs="Times New Roman"/>
          <w:sz w:val="24"/>
          <w:szCs w:val="24"/>
        </w:rPr>
        <w:t>saimnieciskās darbības veicēji un iedzīvotāji</w:t>
      </w:r>
      <w:r w:rsidRPr="00930237">
        <w:rPr>
          <w:rFonts w:ascii="Times New Roman" w:hAnsi="Times New Roman" w:cs="Times New Roman"/>
          <w:sz w:val="24"/>
          <w:szCs w:val="24"/>
          <w:lang w:bidi="ar-SA"/>
        </w:rPr>
        <w:t>.</w:t>
      </w:r>
    </w:p>
    <w:p w14:paraId="69BC0BBF" w14:textId="05B4E4F0"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Darbības, kas nodrošina vienlīdzību, iekļaušanu un nediskrimināciju:</w:t>
      </w:r>
      <w:r w:rsidRPr="00930237">
        <w:rPr>
          <w:rFonts w:ascii="Times New Roman" w:hAnsi="Times New Roman" w:cs="Times New Roman"/>
          <w:sz w:val="24"/>
          <w:szCs w:val="24"/>
        </w:rPr>
        <w:t xml:space="preserve"> Projektu un pasākumu īstenošanā un vadībā tiks nodrošināta informācijas un vides pieejamības, nediskriminācijas pēc vecuma, dzimuma, etniskās piederības u.c. pazīmes un vienlīdzīgu iespēju principu ievērošana. Veicot ieguldījumus publiskajā infrastruktūrā uzņēmējdarbības vides uzlabošanai, tiks sekmēta nepieciešamo apstākļu nodrošināšana un vienlīdzīgas iespējas uzņēmējdarbības uzsākšanai un attīstībai visiem iedzīvotājiem, t</w:t>
      </w:r>
      <w:r w:rsidR="000B2CBB">
        <w:rPr>
          <w:rFonts w:ascii="Times New Roman" w:hAnsi="Times New Roman" w:cs="Times New Roman"/>
          <w:sz w:val="24"/>
          <w:szCs w:val="24"/>
        </w:rPr>
        <w:t>.sk.,</w:t>
      </w:r>
      <w:r w:rsidRPr="00930237">
        <w:rPr>
          <w:rFonts w:ascii="Times New Roman" w:hAnsi="Times New Roman" w:cs="Times New Roman"/>
          <w:sz w:val="24"/>
          <w:szCs w:val="24"/>
        </w:rPr>
        <w:t xml:space="preserve"> nelabvēlīgākā situācijā esošām iedzīvotāju grupām. Publiskās infrastruktūras attīstīšanas projektos tiks īstenotas specifiskas vides un informācijas pieejamības nodrošināšanas darbības personām ar redzes, dzirdes, kustību un garīga rakstura traucējumiem, vecāka gadagājuma cilvēkiem un vecākiem ar bērniem, pielietojot labās prakses vai inovatīvus risinājumus būvniecībā, nodrošinot nepieciešamo aprīkojumu iekļūšanai telpās</w:t>
      </w:r>
      <w:r w:rsidR="00124C3D" w:rsidRPr="5EF95975">
        <w:rPr>
          <w:rFonts w:ascii="Times New Roman" w:hAnsi="Times New Roman" w:cs="Times New Roman"/>
          <w:sz w:val="24"/>
          <w:szCs w:val="24"/>
        </w:rPr>
        <w:t xml:space="preserve">, kā arī </w:t>
      </w:r>
      <w:r w:rsidR="00124C3D" w:rsidRPr="18DBA5DE">
        <w:rPr>
          <w:rFonts w:ascii="Times New Roman" w:hAnsi="Times New Roman" w:cs="Times New Roman"/>
          <w:sz w:val="24"/>
          <w:szCs w:val="24"/>
        </w:rPr>
        <w:t>piekļuvei dažādiem objektiem un pakalpojumiem, kas atrodas ārpus telpām.</w:t>
      </w:r>
      <w:r w:rsidR="00124C3D">
        <w:rPr>
          <w:rFonts w:ascii="Times New Roman" w:hAnsi="Times New Roman" w:cs="Times New Roman"/>
          <w:sz w:val="24"/>
          <w:szCs w:val="24"/>
        </w:rPr>
        <w:t xml:space="preserve"> </w:t>
      </w:r>
    </w:p>
    <w:p w14:paraId="6E1B893B" w14:textId="07BF803E"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 xml:space="preserve">Attīstot pašvaldību viedo risinājumu izveidi un </w:t>
      </w:r>
      <w:r w:rsidR="00124C3D" w:rsidRPr="00930237">
        <w:rPr>
          <w:rFonts w:ascii="Times New Roman" w:hAnsi="Times New Roman" w:cs="Times New Roman"/>
          <w:sz w:val="24"/>
          <w:szCs w:val="24"/>
        </w:rPr>
        <w:t>īstenošanu</w:t>
      </w:r>
      <w:r w:rsidRPr="00930237">
        <w:rPr>
          <w:rFonts w:ascii="Times New Roman" w:hAnsi="Times New Roman" w:cs="Times New Roman"/>
          <w:sz w:val="24"/>
          <w:szCs w:val="24"/>
        </w:rPr>
        <w:t xml:space="preserve">, tiks pievērsta uzmanība tam, lai radītie gala produkti, pakalpojumi un rezultāti būtu </w:t>
      </w:r>
      <w:r w:rsidR="00601AA2">
        <w:rPr>
          <w:rFonts w:ascii="Times New Roman" w:hAnsi="Times New Roman" w:cs="Times New Roman"/>
          <w:sz w:val="24"/>
          <w:szCs w:val="24"/>
        </w:rPr>
        <w:t>piekļūstami</w:t>
      </w:r>
      <w:r w:rsidR="00601AA2" w:rsidRPr="00930237">
        <w:rPr>
          <w:rFonts w:ascii="Times New Roman" w:hAnsi="Times New Roman" w:cs="Times New Roman"/>
          <w:sz w:val="24"/>
          <w:szCs w:val="24"/>
        </w:rPr>
        <w:t xml:space="preserve"> </w:t>
      </w:r>
      <w:r w:rsidRPr="00930237">
        <w:rPr>
          <w:rFonts w:ascii="Times New Roman" w:hAnsi="Times New Roman" w:cs="Times New Roman"/>
          <w:sz w:val="24"/>
          <w:szCs w:val="24"/>
        </w:rPr>
        <w:t xml:space="preserve">personām ar </w:t>
      </w:r>
      <w:r w:rsidR="000D62FE" w:rsidRPr="00930237">
        <w:rPr>
          <w:rFonts w:ascii="Times New Roman" w:hAnsi="Times New Roman" w:cs="Times New Roman"/>
          <w:sz w:val="24"/>
          <w:szCs w:val="24"/>
        </w:rPr>
        <w:t>funkcionēšanas</w:t>
      </w:r>
      <w:r w:rsidRPr="00930237">
        <w:rPr>
          <w:rFonts w:ascii="Times New Roman" w:hAnsi="Times New Roman" w:cs="Times New Roman"/>
          <w:sz w:val="24"/>
          <w:szCs w:val="24"/>
        </w:rPr>
        <w:t xml:space="preserve"> ierobežojumiem , kā arī to izstrādes gaitā tiktu nodrošināta vienlīdzības, iekļaušanas un nediskriminācijas principu ievērošana. Pašvaldību speciālistu kapacitātes celšanas pasākumos tiks nodrošināta apmācību iespēja personām ar funkcionēšanas ierobežojumiem, t.sk. personām ar invaliditāti. Pasākuma ietvaros apmācību procesā tiks sniegts individuāls atbalsts – īpaši vecāka gadagājuma personām.                                                                                         </w:t>
      </w:r>
    </w:p>
    <w:p w14:paraId="316C9D63" w14:textId="58A76EB6"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Īstenojot pasākumus tiks sekmēta vienlīdzīga pieeja kultūras infrastruktūrai un kvalitatīviem kultūras pakalpojumiem vienlīdzīgi visām sabiedrības grupām, veicinot līdztiesīgumu kultūras norišu pieejamībā neatkarīgi no dzīvesvietas, īpašām vajadzībām un sociālā atstumtības riska. Tiks palielināt</w:t>
      </w:r>
      <w:r w:rsidR="00601AA2">
        <w:rPr>
          <w:rFonts w:ascii="Times New Roman" w:hAnsi="Times New Roman" w:cs="Times New Roman"/>
          <w:sz w:val="24"/>
          <w:szCs w:val="24"/>
        </w:rPr>
        <w:t>a</w:t>
      </w:r>
      <w:r w:rsidRPr="00930237">
        <w:rPr>
          <w:rFonts w:ascii="Times New Roman" w:hAnsi="Times New Roman" w:cs="Times New Roman"/>
          <w:sz w:val="24"/>
          <w:szCs w:val="24"/>
        </w:rPr>
        <w:t xml:space="preserve"> kultūras pasākumu pieejamīb</w:t>
      </w:r>
      <w:r w:rsidR="00601AA2">
        <w:rPr>
          <w:rFonts w:ascii="Times New Roman" w:hAnsi="Times New Roman" w:cs="Times New Roman"/>
          <w:sz w:val="24"/>
          <w:szCs w:val="24"/>
        </w:rPr>
        <w:t>a</w:t>
      </w:r>
      <w:r w:rsidRPr="00930237">
        <w:rPr>
          <w:rFonts w:ascii="Times New Roman" w:hAnsi="Times New Roman" w:cs="Times New Roman"/>
          <w:sz w:val="24"/>
          <w:szCs w:val="24"/>
        </w:rPr>
        <w:t xml:space="preserve"> cilvēkiem ar invaliditāti.  Ņemot vērā to, ka liels attālums no cilvēka dzīvesvietas līdz pasākuma norises vietai var kļūt par būtisku šķērsli kultūras pasākuma apmeklēšanai, nodrošinot pakalpojumu tuvāk dzīvesvietai, tiks veicināta pakalpojumu pieejamība neatkarīgi no dzīvesvietas.</w:t>
      </w:r>
    </w:p>
    <w:p w14:paraId="2EDEA9AB" w14:textId="5F3CE50F"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bCs/>
          <w:sz w:val="24"/>
          <w:szCs w:val="24"/>
        </w:rPr>
        <w:t xml:space="preserve">Mērķteritorijas, t. sk. plānotais teritoriālo rīku izmantojums: </w:t>
      </w:r>
      <w:r w:rsidRPr="00930237">
        <w:rPr>
          <w:rFonts w:ascii="Times New Roman" w:hAnsi="Times New Roman" w:cs="Times New Roman"/>
          <w:sz w:val="24"/>
          <w:szCs w:val="24"/>
        </w:rPr>
        <w:t>SAM plānots īstenot piemērojot ilgtspējīgas pilsētvides ieviešanas mehānismu “Funkcionālās pilsētu teritorijas”</w:t>
      </w:r>
      <w:r w:rsidR="004661FA" w:rsidRPr="004661FA">
        <w:rPr>
          <w:rFonts w:ascii="Times New Roman" w:hAnsi="Times New Roman" w:cs="Times New Roman"/>
          <w:sz w:val="24"/>
          <w:szCs w:val="24"/>
        </w:rPr>
        <w:t xml:space="preserve"> </w:t>
      </w:r>
      <w:r w:rsidR="004661FA">
        <w:rPr>
          <w:rFonts w:ascii="Times New Roman" w:hAnsi="Times New Roman" w:cs="Times New Roman"/>
          <w:sz w:val="24"/>
          <w:szCs w:val="24"/>
        </w:rPr>
        <w:t>(</w:t>
      </w:r>
      <w:r w:rsidR="004661FA" w:rsidRPr="00DD46F7">
        <w:rPr>
          <w:rFonts w:ascii="Times New Roman" w:hAnsi="Times New Roman" w:cs="Times New Roman"/>
          <w:i/>
          <w:iCs/>
          <w:sz w:val="24"/>
          <w:szCs w:val="24"/>
        </w:rPr>
        <w:t>Functional urban area</w:t>
      </w:r>
      <w:r w:rsidR="004661FA">
        <w:rPr>
          <w:rFonts w:ascii="Times New Roman" w:hAnsi="Times New Roman" w:cs="Times New Roman"/>
          <w:sz w:val="24"/>
          <w:szCs w:val="24"/>
        </w:rPr>
        <w:t>)</w:t>
      </w:r>
      <w:r w:rsidRPr="00930237">
        <w:rPr>
          <w:rFonts w:ascii="Times New Roman" w:hAnsi="Times New Roman" w:cs="Times New Roman"/>
          <w:sz w:val="24"/>
          <w:szCs w:val="24"/>
        </w:rPr>
        <w:t>.</w:t>
      </w:r>
      <w:r w:rsidRPr="00930237">
        <w:rPr>
          <w:rFonts w:ascii="Times New Roman" w:hAnsi="Times New Roman" w:cs="Times New Roman"/>
          <w:sz w:val="24"/>
          <w:szCs w:val="24"/>
          <w:lang w:eastAsia="en-US" w:bidi="ar-SA"/>
        </w:rPr>
        <w:t xml:space="preserve"> </w:t>
      </w:r>
      <w:r w:rsidRPr="00930237">
        <w:rPr>
          <w:rFonts w:ascii="Times New Roman" w:hAnsi="Times New Roman" w:cs="Times New Roman"/>
          <w:sz w:val="24"/>
          <w:szCs w:val="24"/>
        </w:rPr>
        <w:t>Funkcionālā pilsētas teritorija ir nacionālas un reģionālas nozīmes attīstības centri atbilstoši Stratēģijā “Latvija 2030”</w:t>
      </w:r>
      <w:r w:rsidR="004D4FC9">
        <w:rPr>
          <w:rStyle w:val="FootnoteReference"/>
          <w:rFonts w:ascii="Times New Roman" w:hAnsi="Times New Roman" w:cs="Times New Roman"/>
          <w:sz w:val="24"/>
          <w:szCs w:val="24"/>
        </w:rPr>
        <w:footnoteReference w:id="126"/>
      </w:r>
      <w:r w:rsidRPr="00930237">
        <w:rPr>
          <w:rFonts w:ascii="Times New Roman" w:hAnsi="Times New Roman" w:cs="Times New Roman"/>
          <w:sz w:val="24"/>
          <w:szCs w:val="24"/>
        </w:rPr>
        <w:t xml:space="preserve"> noteiktajam un to apkārtējās teritorijas (var būt arī vienas vai vairāku pašvaldību</w:t>
      </w:r>
      <w:r w:rsidR="00AA3016">
        <w:rPr>
          <w:rFonts w:ascii="Times New Roman" w:hAnsi="Times New Roman" w:cs="Times New Roman"/>
          <w:sz w:val="24"/>
          <w:szCs w:val="24"/>
        </w:rPr>
        <w:t xml:space="preserve"> </w:t>
      </w:r>
      <w:r w:rsidR="00AA3016" w:rsidRPr="7AB41870">
        <w:rPr>
          <w:rFonts w:ascii="Times New Roman" w:hAnsi="Times New Roman" w:cs="Times New Roman"/>
          <w:sz w:val="24"/>
          <w:szCs w:val="24"/>
        </w:rPr>
        <w:t>vai to teritoriālo vienību</w:t>
      </w:r>
      <w:r w:rsidRPr="00930237">
        <w:rPr>
          <w:rFonts w:ascii="Times New Roman" w:hAnsi="Times New Roman" w:cs="Times New Roman"/>
          <w:sz w:val="24"/>
          <w:szCs w:val="24"/>
        </w:rPr>
        <w:t xml:space="preserve"> ietvaros), starp kurām ir ikdienas darba spēka migrācija vai  kopīgs pakalpojumu tīkls. Lai nodrošinātu teritoriālo pieeju plānošanā, balstoties uz vienotu definīciju</w:t>
      </w:r>
      <w:r w:rsidR="004661FA" w:rsidRPr="00930237">
        <w:rPr>
          <w:rStyle w:val="FootnoteReference"/>
          <w:rFonts w:ascii="Times New Roman" w:hAnsi="Times New Roman" w:cs="Times New Roman"/>
          <w:sz w:val="24"/>
          <w:szCs w:val="24"/>
        </w:rPr>
        <w:footnoteReference w:id="127"/>
      </w:r>
      <w:r w:rsidRPr="00930237">
        <w:rPr>
          <w:rFonts w:ascii="Times New Roman" w:hAnsi="Times New Roman" w:cs="Times New Roman"/>
          <w:sz w:val="24"/>
          <w:szCs w:val="24"/>
        </w:rPr>
        <w:t xml:space="preserve"> funkcionālās pilsētu  (</w:t>
      </w:r>
      <w:r w:rsidRPr="00DD46F7">
        <w:rPr>
          <w:rFonts w:ascii="Times New Roman" w:hAnsi="Times New Roman" w:cs="Times New Roman"/>
          <w:i/>
          <w:iCs/>
          <w:sz w:val="24"/>
          <w:szCs w:val="24"/>
        </w:rPr>
        <w:t>urban</w:t>
      </w:r>
      <w:r w:rsidRPr="00930237">
        <w:rPr>
          <w:rFonts w:ascii="Times New Roman" w:hAnsi="Times New Roman" w:cs="Times New Roman"/>
          <w:sz w:val="24"/>
          <w:szCs w:val="24"/>
        </w:rPr>
        <w:t>) teritorijas</w:t>
      </w:r>
      <w:r w:rsidR="00AA3016">
        <w:rPr>
          <w:rFonts w:ascii="Times New Roman" w:hAnsi="Times New Roman" w:cs="Times New Roman"/>
          <w:sz w:val="24"/>
          <w:szCs w:val="24"/>
        </w:rPr>
        <w:t xml:space="preserve"> tiks</w:t>
      </w:r>
      <w:r w:rsidRPr="00930237">
        <w:rPr>
          <w:rFonts w:ascii="Times New Roman" w:hAnsi="Times New Roman" w:cs="Times New Roman"/>
          <w:sz w:val="24"/>
          <w:szCs w:val="24"/>
        </w:rPr>
        <w:t xml:space="preserve"> noteik</w:t>
      </w:r>
      <w:r w:rsidR="00AA3016">
        <w:rPr>
          <w:rFonts w:ascii="Times New Roman" w:hAnsi="Times New Roman" w:cs="Times New Roman"/>
          <w:sz w:val="24"/>
          <w:szCs w:val="24"/>
        </w:rPr>
        <w:t>tas</w:t>
      </w:r>
      <w:r w:rsidRPr="00930237">
        <w:rPr>
          <w:rFonts w:ascii="Times New Roman" w:hAnsi="Times New Roman" w:cs="Times New Roman"/>
          <w:sz w:val="24"/>
          <w:szCs w:val="24"/>
        </w:rPr>
        <w:t xml:space="preserve"> teritoriju attīstības stratēģijās (plānošanas reģionu attīstības programmās), kuru izstrādē ir iesaistītas pašvaldības un kuras apstiprina reģiona  attīstības padome</w:t>
      </w:r>
      <w:r w:rsidR="00AA3016">
        <w:rPr>
          <w:rFonts w:ascii="Times New Roman" w:hAnsi="Times New Roman" w:cs="Times New Roman"/>
          <w:sz w:val="24"/>
          <w:szCs w:val="24"/>
        </w:rPr>
        <w:t xml:space="preserve">, </w:t>
      </w:r>
      <w:r w:rsidR="00AA3016" w:rsidRPr="7AB41870">
        <w:rPr>
          <w:rFonts w:ascii="Times New Roman" w:hAnsi="Times New Roman" w:cs="Times New Roman"/>
          <w:sz w:val="24"/>
          <w:szCs w:val="24"/>
        </w:rPr>
        <w:t>ko ATR rezultātā galvenokārt veidos nacionālas un reģionālas nozīmes attīstības centru pašvaldības, jo novadi tiks veidoti ap šiem centriem</w:t>
      </w:r>
      <w:r w:rsidR="00AA3016">
        <w:rPr>
          <w:rFonts w:ascii="Times New Roman" w:hAnsi="Times New Roman" w:cs="Times New Roman"/>
          <w:sz w:val="24"/>
          <w:szCs w:val="24"/>
        </w:rPr>
        <w:t>.</w:t>
      </w:r>
      <w:r w:rsidRPr="00930237">
        <w:rPr>
          <w:rFonts w:ascii="Times New Roman" w:hAnsi="Times New Roman" w:cs="Times New Roman"/>
          <w:sz w:val="24"/>
          <w:szCs w:val="24"/>
        </w:rPr>
        <w:t xml:space="preserve"> Šajās teritoriju attīstības stratēģijās tiks noteikts ģeogrāfiskais tvērums, ko stratēģija aptver, teritorijas izaicinājumu un attīstības potenciāla analīze, ietverot ekonomikas, sociālos un vides aspektus, integrētā pieeja izaicinājumu pārvarēšanai un attiecīgās teritorijas attīstīšanai, kā arī pašvaldību un citu iesaistīto pušu iesaiste stratēģijas izstrādē un ieviešanā. Integrētās teritoriju attīstības stratēģijas aptver analīzi par konkrētajai teritorijai raksturīgajiem izaicinājumiem un iespējām uzņēmējdarbības attīstības jomā, aptver sociālos, izglītības, kultūras, transporta un citus jautājumus un iekļauj teritorijas izaicinājumiem specifiskus risinājumus, kas tiek finansēti no dažādiem avotiem, t.sk. no ES fondiem, pašvaldību un valsts budžeta līdzekļiem u</w:t>
      </w:r>
      <w:r w:rsidR="007903C4">
        <w:rPr>
          <w:rFonts w:ascii="Times New Roman" w:hAnsi="Times New Roman" w:cs="Times New Roman"/>
          <w:sz w:val="24"/>
          <w:szCs w:val="24"/>
        </w:rPr>
        <w:t>.c.</w:t>
      </w:r>
      <w:r w:rsidRPr="00930237">
        <w:rPr>
          <w:rFonts w:ascii="Times New Roman" w:hAnsi="Times New Roman" w:cs="Times New Roman"/>
          <w:sz w:val="24"/>
          <w:szCs w:val="24"/>
        </w:rPr>
        <w:t xml:space="preserve"> finanšu instrumentiem. </w:t>
      </w:r>
      <w:r w:rsidR="007933E6" w:rsidRPr="7AB41870">
        <w:rPr>
          <w:rFonts w:ascii="Times New Roman" w:hAnsi="Times New Roman" w:cs="Times New Roman"/>
          <w:sz w:val="24"/>
          <w:szCs w:val="24"/>
        </w:rPr>
        <w:t>Lielākais uzsvars tiks likts uz attīstības centru izaugsmi, sadarbību starp tiem un apkārtējām teritorijām, veicinot daudzlīmeņu policentrisku attīstību.</w:t>
      </w:r>
      <w:r w:rsidR="007933E6">
        <w:rPr>
          <w:rFonts w:ascii="Times New Roman" w:hAnsi="Times New Roman" w:cs="Times New Roman"/>
          <w:sz w:val="24"/>
          <w:szCs w:val="24"/>
        </w:rPr>
        <w:t xml:space="preserve"> </w:t>
      </w:r>
      <w:r w:rsidRPr="00930237">
        <w:rPr>
          <w:rFonts w:ascii="Times New Roman" w:hAnsi="Times New Roman" w:cs="Times New Roman"/>
          <w:sz w:val="24"/>
          <w:szCs w:val="24"/>
        </w:rPr>
        <w:t>Vienlaikus 5.1.1.SAM ietvaros investīcijas plānots prioritizēt</w:t>
      </w:r>
      <w:r w:rsidR="007933E6">
        <w:rPr>
          <w:rFonts w:ascii="Times New Roman" w:hAnsi="Times New Roman" w:cs="Times New Roman"/>
          <w:sz w:val="24"/>
          <w:szCs w:val="24"/>
        </w:rPr>
        <w:t xml:space="preserve"> </w:t>
      </w:r>
      <w:r w:rsidR="007933E6" w:rsidRPr="7AB41870">
        <w:rPr>
          <w:rFonts w:ascii="Times New Roman" w:hAnsi="Times New Roman" w:cs="Times New Roman"/>
          <w:sz w:val="24"/>
          <w:szCs w:val="24"/>
        </w:rPr>
        <w:t>atbilstoši teritoriju attīstības plānošanas dokumentos noteiktajiem sociāli ekonomiskajiem izaicinājumiem, tādējādi</w:t>
      </w:r>
      <w:r w:rsidRPr="00930237">
        <w:rPr>
          <w:rFonts w:ascii="Times New Roman" w:hAnsi="Times New Roman" w:cs="Times New Roman"/>
          <w:sz w:val="24"/>
          <w:szCs w:val="24"/>
        </w:rPr>
        <w:t xml:space="preserve"> atbalstot uzņēmējdarbības publisko infrastruktūru, viedos risinājumus pakalpojumu sniegšanā, publisk</w:t>
      </w:r>
      <w:r w:rsidR="004661FA">
        <w:rPr>
          <w:rFonts w:ascii="Times New Roman" w:hAnsi="Times New Roman" w:cs="Times New Roman"/>
          <w:sz w:val="24"/>
          <w:szCs w:val="24"/>
        </w:rPr>
        <w:t>ās</w:t>
      </w:r>
      <w:r w:rsidRPr="00930237">
        <w:rPr>
          <w:rFonts w:ascii="Times New Roman" w:hAnsi="Times New Roman" w:cs="Times New Roman"/>
          <w:sz w:val="24"/>
          <w:szCs w:val="24"/>
        </w:rPr>
        <w:t xml:space="preserve"> ārtelp</w:t>
      </w:r>
      <w:r w:rsidR="004661FA">
        <w:rPr>
          <w:rFonts w:ascii="Times New Roman" w:hAnsi="Times New Roman" w:cs="Times New Roman"/>
          <w:sz w:val="24"/>
          <w:szCs w:val="24"/>
        </w:rPr>
        <w:t>as</w:t>
      </w:r>
      <w:r w:rsidRPr="00930237">
        <w:rPr>
          <w:rFonts w:ascii="Times New Roman" w:hAnsi="Times New Roman" w:cs="Times New Roman"/>
          <w:sz w:val="24"/>
          <w:szCs w:val="24"/>
        </w:rPr>
        <w:t xml:space="preserve"> attīstību un kapacitātes paaugstināšanu pašvaldībās un plānošanas reģionos, kas īpaši nepieciešama saistībā ar ATR. </w:t>
      </w:r>
      <w:r w:rsidRPr="00930237">
        <w:rPr>
          <w:rFonts w:ascii="Times New Roman" w:hAnsi="Times New Roman" w:cs="Times New Roman"/>
          <w:sz w:val="24"/>
          <w:szCs w:val="24"/>
          <w:lang w:eastAsia="en-US" w:bidi="ar-SA"/>
        </w:rPr>
        <w:t xml:space="preserve">Lai nodrošinātu virzību uz reģionālās attīstības atšķirību mazināšanu, finansējums starp plānošanas reģioniem tiks plānots pēc IKP uz vienu iedzīvotāju apgrieztās proporcijas (atbilstoši RPP noteiktajam), </w:t>
      </w:r>
      <w:r w:rsidR="00586173" w:rsidRPr="7AB41870">
        <w:rPr>
          <w:rFonts w:ascii="Times New Roman" w:hAnsi="Times New Roman" w:cs="Times New Roman"/>
          <w:sz w:val="24"/>
          <w:szCs w:val="24"/>
          <w:lang w:eastAsia="en-US" w:bidi="ar-SA"/>
        </w:rPr>
        <w:t>attiecīgi lielāku finansējumu paredzot reģioniem ar zemākiem sociāli ekonomiskās attīstības rādītājiem</w:t>
      </w:r>
      <w:r w:rsidR="00586173">
        <w:rPr>
          <w:rFonts w:ascii="Times New Roman" w:hAnsi="Times New Roman" w:cs="Times New Roman"/>
          <w:sz w:val="24"/>
          <w:szCs w:val="24"/>
          <w:lang w:eastAsia="en-US" w:bidi="ar-SA"/>
        </w:rPr>
        <w:t xml:space="preserve">, </w:t>
      </w:r>
      <w:r w:rsidRPr="00930237">
        <w:rPr>
          <w:rFonts w:ascii="Times New Roman" w:hAnsi="Times New Roman" w:cs="Times New Roman"/>
          <w:sz w:val="24"/>
          <w:szCs w:val="24"/>
          <w:lang w:eastAsia="en-US" w:bidi="ar-SA"/>
        </w:rPr>
        <w:t xml:space="preserve">izņemot SAM atbalstāmās darbības viedajām pašvaldībām un kapacitātes paaugstināšanai. Apgrieztās proporcijas pieeja plānota arī atsevišķiem SAM ārpus </w:t>
      </w:r>
      <w:r w:rsidR="004661FA">
        <w:rPr>
          <w:rFonts w:ascii="Times New Roman" w:hAnsi="Times New Roman" w:cs="Times New Roman"/>
          <w:sz w:val="24"/>
          <w:szCs w:val="24"/>
          <w:lang w:eastAsia="en-US" w:bidi="ar-SA"/>
        </w:rPr>
        <w:t>5.</w:t>
      </w:r>
      <w:r w:rsidR="00586173">
        <w:rPr>
          <w:rFonts w:ascii="Times New Roman" w:hAnsi="Times New Roman" w:cs="Times New Roman"/>
          <w:sz w:val="24"/>
          <w:szCs w:val="24"/>
          <w:lang w:eastAsia="en-US" w:bidi="ar-SA"/>
        </w:rPr>
        <w:t>politi</w:t>
      </w:r>
      <w:r w:rsidR="004A58D0">
        <w:rPr>
          <w:rFonts w:ascii="Times New Roman" w:hAnsi="Times New Roman" w:cs="Times New Roman"/>
          <w:sz w:val="24"/>
          <w:szCs w:val="24"/>
          <w:lang w:eastAsia="en-US" w:bidi="ar-SA"/>
        </w:rPr>
        <w:t>kas</w:t>
      </w:r>
      <w:r w:rsidR="00586173">
        <w:rPr>
          <w:rFonts w:ascii="Times New Roman" w:hAnsi="Times New Roman" w:cs="Times New Roman"/>
          <w:sz w:val="24"/>
          <w:szCs w:val="24"/>
          <w:lang w:eastAsia="en-US" w:bidi="ar-SA"/>
        </w:rPr>
        <w:t xml:space="preserve"> mērķa </w:t>
      </w:r>
      <w:r w:rsidRPr="00930237">
        <w:rPr>
          <w:rFonts w:ascii="Times New Roman" w:hAnsi="Times New Roman" w:cs="Times New Roman"/>
          <w:sz w:val="24"/>
          <w:szCs w:val="24"/>
          <w:lang w:eastAsia="en-US" w:bidi="ar-SA"/>
        </w:rPr>
        <w:t>tvēruma, kas nodrošina ieguldījumu sinerģiju atbilstoši plānošanas reģionu attīstības programmās noteiktajam.</w:t>
      </w:r>
      <w:r w:rsidR="004661FA" w:rsidRPr="004661FA">
        <w:rPr>
          <w:rFonts w:ascii="Times New Roman" w:hAnsi="Times New Roman" w:cs="Times New Roman"/>
          <w:sz w:val="24"/>
          <w:szCs w:val="24"/>
          <w:lang w:eastAsia="en-US" w:bidi="ar-SA"/>
        </w:rPr>
        <w:t xml:space="preserve"> </w:t>
      </w:r>
      <w:r w:rsidR="004661FA" w:rsidRPr="00A17769">
        <w:rPr>
          <w:rFonts w:ascii="Times New Roman" w:hAnsi="Times New Roman" w:cs="Times New Roman"/>
          <w:sz w:val="24"/>
          <w:szCs w:val="24"/>
          <w:lang w:eastAsia="en-US" w:bidi="ar-SA"/>
        </w:rPr>
        <w:t>Jautājumos, kas skar vairākas pašvaldības, reģiona kopējo sociāli ekonomisko attīstību, reģiona uzņēmējdarbības un inovāciju vides attīstību, atbalstāmi reģionāla mēroga risinājumi</w:t>
      </w:r>
      <w:r w:rsidR="004661FA">
        <w:rPr>
          <w:rFonts w:ascii="Times New Roman" w:hAnsi="Times New Roman" w:cs="Times New Roman"/>
          <w:sz w:val="24"/>
          <w:szCs w:val="24"/>
          <w:lang w:eastAsia="en-US" w:bidi="ar-SA"/>
        </w:rPr>
        <w:t>.</w:t>
      </w:r>
    </w:p>
    <w:p w14:paraId="2F1FE2A2" w14:textId="0265DB7E" w:rsidR="00AC212B" w:rsidRPr="00930237" w:rsidRDefault="00F44CD8" w:rsidP="007545BD">
      <w:pPr>
        <w:pStyle w:val="ListParagraph"/>
        <w:numPr>
          <w:ilvl w:val="0"/>
          <w:numId w:val="60"/>
        </w:numPr>
        <w:spacing w:after="0" w:line="240" w:lineRule="auto"/>
        <w:ind w:left="567" w:hanging="567"/>
        <w:contextualSpacing w:val="0"/>
        <w:jc w:val="both"/>
        <w:rPr>
          <w:rFonts w:ascii="Times New Roman" w:hAnsi="Times New Roman" w:cs="Times New Roman"/>
          <w:sz w:val="24"/>
          <w:szCs w:val="24"/>
        </w:rPr>
      </w:pPr>
      <w:r w:rsidRPr="00F44CD8">
        <w:rPr>
          <w:rFonts w:ascii="Times New Roman" w:hAnsi="Times New Roman" w:cs="Times New Roman"/>
          <w:sz w:val="24"/>
          <w:szCs w:val="24"/>
        </w:rPr>
        <w:t>Lai nodrošinātu integrēt</w:t>
      </w:r>
      <w:r w:rsidR="004661FA">
        <w:rPr>
          <w:rFonts w:ascii="Times New Roman" w:hAnsi="Times New Roman" w:cs="Times New Roman"/>
          <w:sz w:val="24"/>
          <w:szCs w:val="24"/>
        </w:rPr>
        <w:t>o</w:t>
      </w:r>
      <w:r w:rsidRPr="00F44CD8">
        <w:rPr>
          <w:rFonts w:ascii="Times New Roman" w:hAnsi="Times New Roman" w:cs="Times New Roman"/>
          <w:sz w:val="24"/>
          <w:szCs w:val="24"/>
        </w:rPr>
        <w:t xml:space="preserve"> </w:t>
      </w:r>
      <w:r w:rsidR="004661FA">
        <w:rPr>
          <w:rFonts w:ascii="Times New Roman" w:hAnsi="Times New Roman" w:cs="Times New Roman"/>
          <w:sz w:val="24"/>
          <w:szCs w:val="24"/>
        </w:rPr>
        <w:t xml:space="preserve">teritoriju attīstības </w:t>
      </w:r>
      <w:r w:rsidRPr="00F44CD8">
        <w:rPr>
          <w:rFonts w:ascii="Times New Roman" w:hAnsi="Times New Roman" w:cs="Times New Roman"/>
          <w:sz w:val="24"/>
          <w:szCs w:val="24"/>
        </w:rPr>
        <w:t>stratēģij</w:t>
      </w:r>
      <w:r w:rsidR="004661FA">
        <w:rPr>
          <w:rFonts w:ascii="Times New Roman" w:hAnsi="Times New Roman" w:cs="Times New Roman"/>
          <w:sz w:val="24"/>
          <w:szCs w:val="24"/>
        </w:rPr>
        <w:t>u</w:t>
      </w:r>
      <w:r w:rsidRPr="00F44CD8">
        <w:rPr>
          <w:rFonts w:ascii="Times New Roman" w:hAnsi="Times New Roman" w:cs="Times New Roman"/>
          <w:sz w:val="24"/>
          <w:szCs w:val="24"/>
        </w:rPr>
        <w:t xml:space="preserve"> (</w:t>
      </w:r>
      <w:r w:rsidR="004661FA">
        <w:rPr>
          <w:rFonts w:ascii="Times New Roman" w:hAnsi="Times New Roman" w:cs="Times New Roman"/>
          <w:sz w:val="24"/>
          <w:szCs w:val="24"/>
        </w:rPr>
        <w:t xml:space="preserve">reģionu </w:t>
      </w:r>
      <w:r w:rsidRPr="00F44CD8">
        <w:rPr>
          <w:rFonts w:ascii="Times New Roman" w:hAnsi="Times New Roman" w:cs="Times New Roman"/>
          <w:sz w:val="24"/>
          <w:szCs w:val="24"/>
        </w:rPr>
        <w:t>attīstības programm</w:t>
      </w:r>
      <w:r w:rsidR="004661FA">
        <w:rPr>
          <w:rFonts w:ascii="Times New Roman" w:hAnsi="Times New Roman" w:cs="Times New Roman"/>
          <w:sz w:val="24"/>
          <w:szCs w:val="24"/>
        </w:rPr>
        <w:t>u</w:t>
      </w:r>
      <w:r w:rsidRPr="00F44CD8">
        <w:rPr>
          <w:rFonts w:ascii="Times New Roman" w:hAnsi="Times New Roman" w:cs="Times New Roman"/>
          <w:sz w:val="24"/>
          <w:szCs w:val="24"/>
        </w:rPr>
        <w:t>) izstrādātāju iesaisti projektu atlasē, paredzēts, ka katra plānošanas reģiona pārstāvji piedalīsies sadarbības iestādes izveidotajā pašvaldību projektu iesniegumu vērtēšanas komisijā. Pašvaldības var vienoties par prioritāro projektu sarakstu arī teritoriju attīstības stratēģiju izstrādes laikā un pievienot to stratēģijai (</w:t>
      </w:r>
      <w:r w:rsidR="004661FA">
        <w:rPr>
          <w:rFonts w:ascii="Times New Roman" w:hAnsi="Times New Roman" w:cs="Times New Roman"/>
          <w:sz w:val="24"/>
          <w:szCs w:val="24"/>
        </w:rPr>
        <w:t xml:space="preserve">reģiona </w:t>
      </w:r>
      <w:r w:rsidRPr="00F44CD8">
        <w:rPr>
          <w:rFonts w:ascii="Times New Roman" w:hAnsi="Times New Roman" w:cs="Times New Roman"/>
          <w:sz w:val="24"/>
          <w:szCs w:val="24"/>
        </w:rPr>
        <w:t>attīstības programmai), vienlaikus nodrošinot atbilstību arī pašvaldību attīstības programmām</w:t>
      </w:r>
      <w:r w:rsidR="00AC212B" w:rsidRPr="00930237">
        <w:rPr>
          <w:rFonts w:ascii="Times New Roman" w:hAnsi="Times New Roman" w:cs="Times New Roman"/>
          <w:sz w:val="24"/>
          <w:szCs w:val="24"/>
        </w:rPr>
        <w:t>.</w:t>
      </w:r>
    </w:p>
    <w:p w14:paraId="75462EB3" w14:textId="2F855D0A" w:rsidR="00AC212B" w:rsidRPr="00930237" w:rsidRDefault="00AC212B" w:rsidP="007545BD">
      <w:pPr>
        <w:pStyle w:val="ListParagraph"/>
        <w:numPr>
          <w:ilvl w:val="0"/>
          <w:numId w:val="60"/>
        </w:numPr>
        <w:spacing w:after="0" w:line="240" w:lineRule="auto"/>
        <w:ind w:left="567" w:hanging="567"/>
        <w:contextualSpacing w:val="0"/>
        <w:jc w:val="both"/>
        <w:rPr>
          <w:rFonts w:ascii="Times New Roman" w:hAnsi="Times New Roman" w:cs="Times New Roman"/>
          <w:sz w:val="24"/>
          <w:szCs w:val="24"/>
        </w:rPr>
      </w:pPr>
      <w:r w:rsidRPr="00930237">
        <w:rPr>
          <w:rFonts w:ascii="Times New Roman" w:hAnsi="Times New Roman" w:cs="Times New Roman"/>
          <w:sz w:val="24"/>
          <w:szCs w:val="24"/>
        </w:rPr>
        <w:t>Integrētas teritoriālas attīstības veicināšanai izvēlēts nacionālais risinājums</w:t>
      </w:r>
      <w:r w:rsidR="004661FA">
        <w:rPr>
          <w:rFonts w:ascii="Times New Roman" w:hAnsi="Times New Roman" w:cs="Times New Roman"/>
          <w:sz w:val="24"/>
          <w:szCs w:val="24"/>
        </w:rPr>
        <w:t xml:space="preserve">, </w:t>
      </w:r>
      <w:r w:rsidR="004661FA" w:rsidRPr="004661FA">
        <w:rPr>
          <w:rFonts w:ascii="Times New Roman" w:hAnsi="Times New Roman" w:cs="Times New Roman"/>
          <w:sz w:val="24"/>
          <w:szCs w:val="24"/>
        </w:rPr>
        <w:t xml:space="preserve"> kas paredz turpināt pašvaldībām</w:t>
      </w:r>
      <w:r w:rsidR="0075735F">
        <w:rPr>
          <w:rFonts w:ascii="Times New Roman" w:hAnsi="Times New Roman" w:cs="Times New Roman"/>
          <w:sz w:val="24"/>
          <w:szCs w:val="24"/>
        </w:rPr>
        <w:t xml:space="preserve"> </w:t>
      </w:r>
      <w:r w:rsidR="0075735F" w:rsidRPr="7AB41870">
        <w:rPr>
          <w:rFonts w:ascii="Times New Roman" w:hAnsi="Times New Roman" w:cs="Times New Roman"/>
          <w:sz w:val="24"/>
          <w:szCs w:val="24"/>
        </w:rPr>
        <w:t>to attīstības programmās noteikto</w:t>
      </w:r>
      <w:r w:rsidR="004661FA" w:rsidRPr="004661FA">
        <w:rPr>
          <w:rFonts w:ascii="Times New Roman" w:hAnsi="Times New Roman" w:cs="Times New Roman"/>
          <w:sz w:val="24"/>
          <w:szCs w:val="24"/>
        </w:rPr>
        <w:t xml:space="preserve"> nozīmīgu projektu īstenošanu caur atbalstu funkcionālajām pilsētu teritorijām, kas tiks definētas integrēto teritoriālo stratēģiju (reģionu attīstības programmu) ietvaros, nodrošinot konkurences elementu un efektīvāko projektu īstenošanu</w:t>
      </w:r>
      <w:r w:rsidRPr="00930237">
        <w:rPr>
          <w:rFonts w:ascii="Times New Roman" w:hAnsi="Times New Roman" w:cs="Times New Roman"/>
          <w:sz w:val="24"/>
          <w:szCs w:val="24"/>
        </w:rPr>
        <w:t xml:space="preserve">. </w:t>
      </w:r>
      <w:r w:rsidR="004661FA" w:rsidRPr="004661FA">
        <w:rPr>
          <w:rFonts w:ascii="Times New Roman" w:hAnsi="Times New Roman" w:cs="Times New Roman"/>
          <w:sz w:val="24"/>
          <w:szCs w:val="24"/>
        </w:rPr>
        <w:t>Lai gan pēc būtības tiks turpināta teritoriālā pieeja virzībā uz RPP noteiktā līdzsvarotas reģionālās attīstības mērķa sasniegšanu</w:t>
      </w:r>
      <w:r w:rsidR="004661FA">
        <w:rPr>
          <w:rFonts w:ascii="Times New Roman" w:hAnsi="Times New Roman" w:cs="Times New Roman"/>
          <w:sz w:val="24"/>
          <w:szCs w:val="24"/>
        </w:rPr>
        <w:t xml:space="preserve">, </w:t>
      </w:r>
      <w:r w:rsidRPr="00930237">
        <w:rPr>
          <w:rFonts w:ascii="Times New Roman" w:hAnsi="Times New Roman" w:cs="Times New Roman"/>
          <w:sz w:val="24"/>
          <w:szCs w:val="24"/>
        </w:rPr>
        <w:t>Latvija nav izvēlējusies piemērot ITI mehānismu, ņemot vērā</w:t>
      </w:r>
      <w:r w:rsidR="0075735F">
        <w:rPr>
          <w:rFonts w:ascii="Times New Roman" w:hAnsi="Times New Roman" w:cs="Times New Roman"/>
          <w:sz w:val="24"/>
          <w:szCs w:val="24"/>
        </w:rPr>
        <w:t xml:space="preserve"> </w:t>
      </w:r>
      <w:r w:rsidR="0075735F" w:rsidRPr="7AB41870">
        <w:rPr>
          <w:rFonts w:ascii="Times New Roman" w:hAnsi="Times New Roman" w:cs="Times New Roman"/>
          <w:sz w:val="24"/>
          <w:szCs w:val="24"/>
        </w:rPr>
        <w:t>nepieciešamību koncentrēt atbalstu funkcionālām pilsētu teritorijām, kā arī mazināt</w:t>
      </w:r>
      <w:r w:rsidRPr="00930237">
        <w:rPr>
          <w:rFonts w:ascii="Times New Roman" w:hAnsi="Times New Roman" w:cs="Times New Roman"/>
          <w:sz w:val="24"/>
          <w:szCs w:val="24"/>
        </w:rPr>
        <w:t xml:space="preserve"> administratīvo slogu pašvaldībām</w:t>
      </w:r>
      <w:r w:rsidR="0075735F">
        <w:rPr>
          <w:rFonts w:ascii="Times New Roman" w:hAnsi="Times New Roman" w:cs="Times New Roman"/>
          <w:sz w:val="24"/>
          <w:szCs w:val="24"/>
        </w:rPr>
        <w:t xml:space="preserve">. </w:t>
      </w:r>
      <w:r w:rsidRPr="00930237">
        <w:rPr>
          <w:rFonts w:ascii="Times New Roman" w:hAnsi="Times New Roman" w:cs="Times New Roman"/>
          <w:sz w:val="24"/>
          <w:szCs w:val="24"/>
        </w:rPr>
        <w:t>. Šādu izvēli pamato veiktais iepriekšējo plānošanas periodu ieguldījumu izvērtējums</w:t>
      </w:r>
      <w:r w:rsidRPr="00930237">
        <w:rPr>
          <w:rStyle w:val="FootnoteReference"/>
          <w:rFonts w:ascii="Times New Roman" w:hAnsi="Times New Roman" w:cs="Times New Roman"/>
          <w:sz w:val="24"/>
          <w:szCs w:val="24"/>
        </w:rPr>
        <w:footnoteReference w:id="128"/>
      </w:r>
      <w:r w:rsidRPr="00930237">
        <w:rPr>
          <w:rFonts w:ascii="Times New Roman" w:hAnsi="Times New Roman" w:cs="Times New Roman"/>
          <w:sz w:val="24"/>
          <w:szCs w:val="24"/>
        </w:rPr>
        <w:t>.</w:t>
      </w:r>
    </w:p>
    <w:p w14:paraId="207A7EAB" w14:textId="2390D039"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Starpreģionālās, pārrobežu un transnacionālās darbības</w:t>
      </w:r>
      <w:r w:rsidRPr="00930237">
        <w:rPr>
          <w:rFonts w:ascii="Times New Roman" w:hAnsi="Times New Roman" w:cs="Times New Roman"/>
          <w:b/>
          <w:bCs/>
          <w:sz w:val="24"/>
          <w:szCs w:val="24"/>
        </w:rPr>
        <w:t xml:space="preserve">: </w:t>
      </w:r>
      <w:r w:rsidRPr="00930237">
        <w:rPr>
          <w:rFonts w:ascii="Times New Roman" w:hAnsi="Times New Roman" w:cs="Times New Roman"/>
          <w:sz w:val="24"/>
          <w:szCs w:val="24"/>
        </w:rPr>
        <w:t xml:space="preserve">Lai nodrošinātu teritoriālo pieeju plānošanā un starp-pašvaldību integrēto pieeju, </w:t>
      </w:r>
      <w:r w:rsidRPr="00930237">
        <w:rPr>
          <w:rStyle w:val="FootnoteReference"/>
          <w:rFonts w:ascii="Times New Roman" w:hAnsi="Times New Roman" w:cs="Times New Roman"/>
          <w:sz w:val="24"/>
          <w:szCs w:val="24"/>
        </w:rPr>
        <w:t xml:space="preserve"> </w:t>
      </w:r>
      <w:r w:rsidRPr="00930237">
        <w:rPr>
          <w:rFonts w:ascii="Times New Roman" w:hAnsi="Times New Roman" w:cs="Times New Roman"/>
          <w:sz w:val="24"/>
          <w:szCs w:val="24"/>
        </w:rPr>
        <w:t xml:space="preserve">funkcionālās pilsētu teritorijas tiks noteiktas </w:t>
      </w:r>
      <w:r w:rsidR="004661FA" w:rsidRPr="004661FA">
        <w:rPr>
          <w:rFonts w:ascii="Times New Roman" w:hAnsi="Times New Roman" w:cs="Times New Roman"/>
          <w:sz w:val="24"/>
          <w:szCs w:val="24"/>
        </w:rPr>
        <w:t>integrētajās teritoriju attīstības stratēģijās</w:t>
      </w:r>
      <w:r w:rsidR="004A58D0">
        <w:rPr>
          <w:rFonts w:ascii="Times New Roman" w:hAnsi="Times New Roman" w:cs="Times New Roman"/>
          <w:sz w:val="24"/>
          <w:szCs w:val="24"/>
        </w:rPr>
        <w:t>,</w:t>
      </w:r>
      <w:r w:rsidR="004661FA">
        <w:rPr>
          <w:rFonts w:ascii="Times New Roman" w:hAnsi="Times New Roman" w:cs="Times New Roman"/>
          <w:sz w:val="24"/>
          <w:szCs w:val="24"/>
        </w:rPr>
        <w:t xml:space="preserve"> </w:t>
      </w:r>
      <w:r w:rsidRPr="00930237">
        <w:rPr>
          <w:rFonts w:ascii="Times New Roman" w:hAnsi="Times New Roman" w:cs="Times New Roman"/>
          <w:sz w:val="24"/>
          <w:szCs w:val="24"/>
        </w:rPr>
        <w:t>balstoties uz vienotu definīciju.</w:t>
      </w:r>
      <w:r w:rsidR="0075735F">
        <w:rPr>
          <w:rFonts w:ascii="Times New Roman" w:hAnsi="Times New Roman" w:cs="Times New Roman"/>
          <w:sz w:val="24"/>
          <w:szCs w:val="24"/>
        </w:rPr>
        <w:t xml:space="preserve"> </w:t>
      </w:r>
      <w:r w:rsidR="0075735F" w:rsidRPr="7AB41870">
        <w:rPr>
          <w:rFonts w:ascii="Times New Roman" w:hAnsi="Times New Roman" w:cs="Times New Roman"/>
          <w:sz w:val="24"/>
          <w:szCs w:val="24"/>
        </w:rPr>
        <w:t>Atbilstoši reģionālā līmeņa teritorijas attīstības stratēģijā (reģiona attīstības programmā) noteiktajām funkcionālajām pilsētu teritorijām</w:t>
      </w:r>
      <w:r w:rsidRPr="00930237">
        <w:rPr>
          <w:rFonts w:ascii="Times New Roman" w:hAnsi="Times New Roman" w:cs="Times New Roman"/>
          <w:sz w:val="24"/>
          <w:szCs w:val="24"/>
        </w:rPr>
        <w:t xml:space="preserve"> pašvaldības</w:t>
      </w:r>
      <w:r w:rsidR="0075735F">
        <w:rPr>
          <w:rFonts w:ascii="Times New Roman" w:hAnsi="Times New Roman" w:cs="Times New Roman"/>
          <w:sz w:val="24"/>
          <w:szCs w:val="24"/>
        </w:rPr>
        <w:t xml:space="preserve"> </w:t>
      </w:r>
      <w:r w:rsidR="0075735F" w:rsidRPr="7AB41870">
        <w:rPr>
          <w:rFonts w:ascii="Times New Roman" w:hAnsi="Times New Roman" w:cs="Times New Roman"/>
          <w:sz w:val="24"/>
          <w:szCs w:val="24"/>
        </w:rPr>
        <w:t>savu attīstības plānošanas dokumentu ietvaros</w:t>
      </w:r>
      <w:r w:rsidRPr="00930237">
        <w:rPr>
          <w:rFonts w:ascii="Times New Roman" w:hAnsi="Times New Roman" w:cs="Times New Roman"/>
          <w:sz w:val="24"/>
          <w:szCs w:val="24"/>
        </w:rPr>
        <w:t xml:space="preserve"> </w:t>
      </w:r>
      <w:r w:rsidR="0075735F">
        <w:rPr>
          <w:rFonts w:ascii="Times New Roman" w:hAnsi="Times New Roman" w:cs="Times New Roman"/>
          <w:sz w:val="24"/>
          <w:szCs w:val="24"/>
        </w:rPr>
        <w:t xml:space="preserve">iekļaus </w:t>
      </w:r>
      <w:r w:rsidRPr="00930237">
        <w:rPr>
          <w:rFonts w:ascii="Times New Roman" w:hAnsi="Times New Roman" w:cs="Times New Roman"/>
          <w:sz w:val="24"/>
          <w:szCs w:val="24"/>
        </w:rPr>
        <w:t>funkcionālās pilsētu teritorijas,</w:t>
      </w:r>
      <w:r w:rsidR="00844734">
        <w:rPr>
          <w:rFonts w:ascii="Times New Roman" w:hAnsi="Times New Roman" w:cs="Times New Roman"/>
          <w:sz w:val="24"/>
          <w:szCs w:val="24"/>
        </w:rPr>
        <w:t xml:space="preserve"> </w:t>
      </w:r>
      <w:r w:rsidR="0075735F">
        <w:rPr>
          <w:rFonts w:ascii="Times New Roman" w:hAnsi="Times New Roman" w:cs="Times New Roman"/>
          <w:sz w:val="24"/>
          <w:szCs w:val="24"/>
        </w:rPr>
        <w:t>n</w:t>
      </w:r>
      <w:r w:rsidR="0075735F" w:rsidRPr="7AB41870">
        <w:rPr>
          <w:rFonts w:ascii="Times New Roman" w:hAnsi="Times New Roman" w:cs="Times New Roman"/>
          <w:sz w:val="24"/>
          <w:szCs w:val="24"/>
        </w:rPr>
        <w:t xml:space="preserve">odrošinot atbilstību hierarhiski augstākiem attīstības plānošanas dokumentiem. </w:t>
      </w:r>
    </w:p>
    <w:p w14:paraId="165A207E" w14:textId="4D01CE49" w:rsidR="00AC212B"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Nacionālas un reģionālas nozīmes attīstības centri un lauku attīstības telpa</w:t>
      </w:r>
      <w:r w:rsidRPr="00930237">
        <w:rPr>
          <w:rStyle w:val="FootnoteReference"/>
          <w:rFonts w:ascii="Times New Roman" w:hAnsi="Times New Roman" w:cs="Times New Roman"/>
          <w:sz w:val="24"/>
          <w:szCs w:val="24"/>
        </w:rPr>
        <w:footnoteReference w:id="129"/>
      </w:r>
      <w:r w:rsidRPr="00930237">
        <w:rPr>
          <w:rFonts w:ascii="Times New Roman" w:hAnsi="Times New Roman" w:cs="Times New Roman"/>
          <w:sz w:val="24"/>
          <w:szCs w:val="24"/>
        </w:rPr>
        <w:t xml:space="preserve"> aptver visu Latviju, bet pārējās Stratēģijā “Latvija 2030” noteiktās mērķteritorijas tikai daļu no valsts teritorijas, apvienojot pašvaldības, kurām to ģeogrāfiskā novietojuma un ar to saistītu iezīmju dēļ ir raksturīgi specifiski izaicinājumi un attīstības iespējas, kas iet pāri vienas pašvaldības robežām un kuru izmantošanai</w:t>
      </w:r>
      <w:r w:rsidR="004A58D0">
        <w:rPr>
          <w:rFonts w:ascii="Times New Roman" w:hAnsi="Times New Roman" w:cs="Times New Roman"/>
          <w:sz w:val="24"/>
          <w:szCs w:val="24"/>
        </w:rPr>
        <w:t>,</w:t>
      </w:r>
      <w:r w:rsidRPr="00930237">
        <w:rPr>
          <w:rFonts w:ascii="Times New Roman" w:hAnsi="Times New Roman" w:cs="Times New Roman"/>
          <w:sz w:val="24"/>
          <w:szCs w:val="24"/>
        </w:rPr>
        <w:t xml:space="preserve"> līdz ar to nepieciešami koordinēti risinājumi.</w:t>
      </w:r>
      <w:r w:rsidR="00B97E48">
        <w:rPr>
          <w:rFonts w:ascii="Times New Roman" w:hAnsi="Times New Roman" w:cs="Times New Roman"/>
          <w:sz w:val="24"/>
          <w:szCs w:val="24"/>
        </w:rPr>
        <w:t xml:space="preserve"> </w:t>
      </w:r>
      <w:r w:rsidR="00B97E48" w:rsidRPr="7AB41870">
        <w:rPr>
          <w:rFonts w:ascii="Times New Roman" w:hAnsi="Times New Roman" w:cs="Times New Roman"/>
          <w:sz w:val="24"/>
          <w:szCs w:val="24"/>
        </w:rPr>
        <w:t xml:space="preserve">Tāpat dažādu prioritāšu un aspektu saskaņošanu stratēģiskā līmenī paredz plānošanas reģiona attīstības programma, kurā pēc integrētas pieejas ir izvērtētas un saskaņotas ekonomiskās, kultūras, sociālās un vides aspektu komponentes. Šāda pieeja paredz nozaru interešu saskaņošanu, teritorijas attīstības prioritāšu saskaņošanu vairākos plānošanas līmeņos, kā arī tiek novērtēta plānoto risinājumu ietekme uz apkārtējām teritorijām. Tādējādi plānošanas reģiona attīstības programma ietver ieguldījumus dažādās nozarēs (mobilitāte, klimata pārmaiņas, vides jautājumi utt.) ārpus 5.politikas mērķa un attiecīgo SAM  aprakstos norādīts, ka investīcijas tiks pamatotas ar  reģionālajām attīstības programmām (integrētajām teritoriālajām stratēģijām). </w:t>
      </w:r>
      <w:r w:rsidR="004661FA" w:rsidRPr="004661FA">
        <w:rPr>
          <w:rFonts w:ascii="Times New Roman" w:hAnsi="Times New Roman" w:cs="Times New Roman"/>
          <w:sz w:val="24"/>
          <w:szCs w:val="24"/>
        </w:rPr>
        <w:t xml:space="preserve"> </w:t>
      </w:r>
      <w:r w:rsidR="004661FA">
        <w:rPr>
          <w:rFonts w:ascii="Times New Roman" w:hAnsi="Times New Roman" w:cs="Times New Roman"/>
          <w:sz w:val="24"/>
          <w:szCs w:val="24"/>
        </w:rPr>
        <w:t>5.1.1.SAM uzņēmējdarbības publiskās infrastruktūras investīcijām plānota sinerģija ar tiešajām investīcijām MVU atbalstam, kas plānotas 1.</w:t>
      </w:r>
      <w:r w:rsidR="00B97E48">
        <w:rPr>
          <w:rFonts w:ascii="Times New Roman" w:hAnsi="Times New Roman" w:cs="Times New Roman"/>
          <w:sz w:val="24"/>
          <w:szCs w:val="24"/>
        </w:rPr>
        <w:t>politikas mērķī</w:t>
      </w:r>
      <w:r w:rsidR="004661FA" w:rsidRPr="5079C5C7">
        <w:rPr>
          <w:rFonts w:ascii="Times New Roman" w:hAnsi="Times New Roman" w:cs="Times New Roman"/>
          <w:sz w:val="24"/>
          <w:szCs w:val="24"/>
        </w:rPr>
        <w:t xml:space="preserve">, t.sk. </w:t>
      </w:r>
      <w:r w:rsidR="004661FA">
        <w:rPr>
          <w:rFonts w:ascii="Times New Roman" w:hAnsi="Times New Roman" w:cs="Times New Roman"/>
          <w:sz w:val="24"/>
          <w:szCs w:val="24"/>
        </w:rPr>
        <w:t xml:space="preserve">ar </w:t>
      </w:r>
      <w:r w:rsidR="004661FA" w:rsidRPr="5079C5C7">
        <w:rPr>
          <w:rFonts w:ascii="Times New Roman" w:hAnsi="Times New Roman" w:cs="Times New Roman"/>
          <w:sz w:val="24"/>
          <w:szCs w:val="24"/>
        </w:rPr>
        <w:t>1.2.</w:t>
      </w:r>
      <w:r w:rsidR="004661FA">
        <w:rPr>
          <w:rFonts w:ascii="Times New Roman" w:hAnsi="Times New Roman" w:cs="Times New Roman"/>
          <w:sz w:val="24"/>
          <w:szCs w:val="24"/>
        </w:rPr>
        <w:t>3.</w:t>
      </w:r>
      <w:r w:rsidR="00DD46F7">
        <w:rPr>
          <w:rFonts w:ascii="Times New Roman" w:hAnsi="Times New Roman" w:cs="Times New Roman"/>
          <w:sz w:val="24"/>
          <w:szCs w:val="24"/>
        </w:rPr>
        <w:t>SAM</w:t>
      </w:r>
      <w:r w:rsidR="004661FA" w:rsidRPr="611EA85C">
        <w:rPr>
          <w:rFonts w:ascii="Times New Roman" w:hAnsi="Times New Roman" w:cs="Times New Roman"/>
          <w:sz w:val="24"/>
          <w:szCs w:val="24"/>
        </w:rPr>
        <w:t xml:space="preserve"> </w:t>
      </w:r>
      <w:r w:rsidR="004661FA" w:rsidRPr="5079C5C7">
        <w:rPr>
          <w:rFonts w:ascii="Times New Roman" w:hAnsi="Times New Roman" w:cs="Times New Roman"/>
          <w:sz w:val="24"/>
          <w:szCs w:val="24"/>
        </w:rPr>
        <w:t>ietvaros</w:t>
      </w:r>
      <w:r w:rsidR="004661FA" w:rsidRPr="5D3EAA72">
        <w:rPr>
          <w:rFonts w:ascii="Times New Roman" w:hAnsi="Times New Roman" w:cs="Times New Roman"/>
          <w:sz w:val="24"/>
          <w:szCs w:val="24"/>
        </w:rPr>
        <w:t xml:space="preserve"> </w:t>
      </w:r>
      <w:r w:rsidR="004661FA">
        <w:rPr>
          <w:rFonts w:ascii="Times New Roman" w:hAnsi="Times New Roman" w:cs="Times New Roman"/>
          <w:sz w:val="24"/>
          <w:szCs w:val="24"/>
        </w:rPr>
        <w:t xml:space="preserve">plānoto </w:t>
      </w:r>
      <w:r w:rsidR="004661FA" w:rsidRPr="5D3EAA72">
        <w:rPr>
          <w:rFonts w:ascii="Times New Roman" w:hAnsi="Times New Roman" w:cs="Times New Roman"/>
          <w:sz w:val="24"/>
          <w:szCs w:val="24"/>
        </w:rPr>
        <w:t xml:space="preserve">tiešo atbalstu komersantiem, </w:t>
      </w:r>
      <w:r w:rsidR="004661FA">
        <w:rPr>
          <w:rFonts w:ascii="Times New Roman" w:hAnsi="Times New Roman" w:cs="Times New Roman"/>
          <w:sz w:val="24"/>
          <w:szCs w:val="24"/>
        </w:rPr>
        <w:t>atbalstu 1.1.1</w:t>
      </w:r>
      <w:r w:rsidR="00DD46F7">
        <w:rPr>
          <w:rFonts w:ascii="Times New Roman" w:hAnsi="Times New Roman" w:cs="Times New Roman"/>
          <w:sz w:val="24"/>
          <w:szCs w:val="24"/>
        </w:rPr>
        <w:t>.SAM</w:t>
      </w:r>
      <w:r w:rsidR="004661FA">
        <w:rPr>
          <w:rFonts w:ascii="Times New Roman" w:hAnsi="Times New Roman" w:cs="Times New Roman"/>
          <w:sz w:val="24"/>
          <w:szCs w:val="24"/>
        </w:rPr>
        <w:t xml:space="preserve"> un 1.1.2.</w:t>
      </w:r>
      <w:r w:rsidR="00DD46F7">
        <w:rPr>
          <w:rFonts w:ascii="Times New Roman" w:hAnsi="Times New Roman" w:cs="Times New Roman"/>
          <w:sz w:val="24"/>
          <w:szCs w:val="24"/>
        </w:rPr>
        <w:t>SAM</w:t>
      </w:r>
      <w:r w:rsidR="004661FA">
        <w:rPr>
          <w:rFonts w:ascii="Times New Roman" w:hAnsi="Times New Roman" w:cs="Times New Roman"/>
          <w:sz w:val="24"/>
          <w:szCs w:val="24"/>
        </w:rPr>
        <w:t xml:space="preserve"> ietvaros pētniecības un inovācijas kapacitātes attīstībai reģionālo inovāciju sistēmas iedzīvināšanai, </w:t>
      </w:r>
      <w:r w:rsidR="004661FA" w:rsidRPr="21919455">
        <w:rPr>
          <w:rFonts w:ascii="Times New Roman" w:hAnsi="Times New Roman" w:cs="Times New Roman"/>
          <w:sz w:val="24"/>
          <w:szCs w:val="24"/>
        </w:rPr>
        <w:t xml:space="preserve">atbalstu </w:t>
      </w:r>
      <w:r w:rsidR="004661FA" w:rsidRPr="31E9BF97">
        <w:rPr>
          <w:rFonts w:ascii="Times New Roman" w:hAnsi="Times New Roman" w:cs="Times New Roman"/>
          <w:sz w:val="24"/>
          <w:szCs w:val="24"/>
        </w:rPr>
        <w:t>darbaspēka</w:t>
      </w:r>
      <w:r w:rsidR="004661FA" w:rsidRPr="21919455">
        <w:rPr>
          <w:rFonts w:ascii="Times New Roman" w:hAnsi="Times New Roman" w:cs="Times New Roman"/>
          <w:sz w:val="24"/>
          <w:szCs w:val="24"/>
        </w:rPr>
        <w:t xml:space="preserve"> prasmēm </w:t>
      </w:r>
      <w:r w:rsidR="004661FA" w:rsidRPr="5079C5C7">
        <w:rPr>
          <w:rFonts w:ascii="Times New Roman" w:hAnsi="Times New Roman" w:cs="Times New Roman"/>
          <w:sz w:val="24"/>
          <w:szCs w:val="24"/>
        </w:rPr>
        <w:t>4.</w:t>
      </w:r>
      <w:r w:rsidR="004661FA" w:rsidRPr="21919455">
        <w:rPr>
          <w:rFonts w:ascii="Times New Roman" w:hAnsi="Times New Roman" w:cs="Times New Roman"/>
          <w:sz w:val="24"/>
          <w:szCs w:val="24"/>
        </w:rPr>
        <w:t>2.2.</w:t>
      </w:r>
      <w:r w:rsidR="00DD46F7">
        <w:rPr>
          <w:rFonts w:ascii="Times New Roman" w:hAnsi="Times New Roman" w:cs="Times New Roman"/>
          <w:sz w:val="24"/>
          <w:szCs w:val="24"/>
        </w:rPr>
        <w:t>SAM</w:t>
      </w:r>
      <w:r w:rsidR="004661FA">
        <w:rPr>
          <w:rFonts w:ascii="Times New Roman" w:hAnsi="Times New Roman" w:cs="Times New Roman"/>
          <w:sz w:val="24"/>
          <w:szCs w:val="24"/>
        </w:rPr>
        <w:t>, 4.2.3.</w:t>
      </w:r>
      <w:r w:rsidR="00DD46F7">
        <w:rPr>
          <w:rFonts w:ascii="Times New Roman" w:hAnsi="Times New Roman" w:cs="Times New Roman"/>
          <w:sz w:val="24"/>
          <w:szCs w:val="24"/>
        </w:rPr>
        <w:t>SAM</w:t>
      </w:r>
      <w:r w:rsidR="004661FA" w:rsidRPr="21919455">
        <w:rPr>
          <w:rFonts w:ascii="Times New Roman" w:hAnsi="Times New Roman" w:cs="Times New Roman"/>
          <w:sz w:val="24"/>
          <w:szCs w:val="24"/>
        </w:rPr>
        <w:t xml:space="preserve"> un</w:t>
      </w:r>
      <w:r w:rsidR="004661FA" w:rsidRPr="21919455" w:rsidDel="00E17BBF">
        <w:rPr>
          <w:rFonts w:ascii="Times New Roman" w:hAnsi="Times New Roman" w:cs="Times New Roman"/>
          <w:sz w:val="24"/>
          <w:szCs w:val="24"/>
        </w:rPr>
        <w:t xml:space="preserve"> </w:t>
      </w:r>
      <w:r w:rsidR="004661FA" w:rsidRPr="167502ED">
        <w:rPr>
          <w:rFonts w:ascii="Times New Roman" w:hAnsi="Times New Roman" w:cs="Times New Roman"/>
          <w:sz w:val="24"/>
          <w:szCs w:val="24"/>
        </w:rPr>
        <w:t>4.2.4.</w:t>
      </w:r>
      <w:r w:rsidR="00DD46F7">
        <w:rPr>
          <w:rFonts w:ascii="Times New Roman" w:hAnsi="Times New Roman" w:cs="Times New Roman"/>
          <w:sz w:val="24"/>
          <w:szCs w:val="24"/>
        </w:rPr>
        <w:t>SAM</w:t>
      </w:r>
      <w:r w:rsidR="004661FA" w:rsidRPr="167502ED">
        <w:rPr>
          <w:rFonts w:ascii="Times New Roman" w:hAnsi="Times New Roman" w:cs="Times New Roman"/>
          <w:sz w:val="24"/>
          <w:szCs w:val="24"/>
        </w:rPr>
        <w:t>,</w:t>
      </w:r>
      <w:r w:rsidR="004661FA" w:rsidRPr="21919455">
        <w:rPr>
          <w:rFonts w:ascii="Times New Roman" w:hAnsi="Times New Roman" w:cs="Times New Roman"/>
          <w:sz w:val="24"/>
          <w:szCs w:val="24"/>
        </w:rPr>
        <w:t xml:space="preserve"> kā arī sinerģija ar 4.3.4.</w:t>
      </w:r>
      <w:r w:rsidR="00DD46F7">
        <w:rPr>
          <w:rFonts w:ascii="Times New Roman" w:hAnsi="Times New Roman" w:cs="Times New Roman"/>
          <w:sz w:val="24"/>
          <w:szCs w:val="24"/>
        </w:rPr>
        <w:t>SAM</w:t>
      </w:r>
      <w:r w:rsidR="004661FA">
        <w:rPr>
          <w:rFonts w:ascii="Times New Roman" w:hAnsi="Times New Roman" w:cs="Times New Roman"/>
          <w:sz w:val="24"/>
          <w:szCs w:val="24"/>
        </w:rPr>
        <w:t xml:space="preserve"> un 4.3.6.SAM pirmsskolas </w:t>
      </w:r>
      <w:r w:rsidR="00B97E48" w:rsidRPr="7AB41870">
        <w:rPr>
          <w:rFonts w:ascii="Times New Roman" w:hAnsi="Times New Roman" w:cs="Times New Roman"/>
          <w:sz w:val="24"/>
          <w:szCs w:val="24"/>
        </w:rPr>
        <w:t xml:space="preserve">izglītības pieejamību veicinošiem </w:t>
      </w:r>
      <w:r w:rsidR="004661FA">
        <w:rPr>
          <w:rFonts w:ascii="Times New Roman" w:hAnsi="Times New Roman" w:cs="Times New Roman"/>
          <w:sz w:val="24"/>
          <w:szCs w:val="24"/>
        </w:rPr>
        <w:t>pasākumiem, lai to vecāki varētu pilnvērtīgi iekļauties darba tirgū, kā arī ar 3.</w:t>
      </w:r>
      <w:r w:rsidR="00DA560F">
        <w:rPr>
          <w:rFonts w:ascii="Times New Roman" w:hAnsi="Times New Roman" w:cs="Times New Roman"/>
          <w:sz w:val="24"/>
          <w:szCs w:val="24"/>
        </w:rPr>
        <w:t>1</w:t>
      </w:r>
      <w:r w:rsidR="004661FA">
        <w:rPr>
          <w:rFonts w:ascii="Times New Roman" w:hAnsi="Times New Roman" w:cs="Times New Roman"/>
          <w:sz w:val="24"/>
          <w:szCs w:val="24"/>
        </w:rPr>
        <w:t>.1.SAM un 3.</w:t>
      </w:r>
      <w:r w:rsidR="00DA560F">
        <w:rPr>
          <w:rFonts w:ascii="Times New Roman" w:hAnsi="Times New Roman" w:cs="Times New Roman"/>
          <w:sz w:val="24"/>
          <w:szCs w:val="24"/>
        </w:rPr>
        <w:t>1</w:t>
      </w:r>
      <w:r w:rsidR="004661FA">
        <w:rPr>
          <w:rFonts w:ascii="Times New Roman" w:hAnsi="Times New Roman" w:cs="Times New Roman"/>
          <w:sz w:val="24"/>
          <w:szCs w:val="24"/>
        </w:rPr>
        <w:t xml:space="preserve">.2.SAM plānotajām investīcijām, kas palielinās reģionu sasniedzamību arī uzņēmējiem. 5.1.1.SAM publiskās ārtelpas attīstībai plānota </w:t>
      </w:r>
      <w:r w:rsidR="004661FA" w:rsidRPr="31E9BF97">
        <w:rPr>
          <w:rFonts w:ascii="Times New Roman" w:hAnsi="Times New Roman" w:cs="Times New Roman"/>
          <w:sz w:val="24"/>
          <w:szCs w:val="24"/>
        </w:rPr>
        <w:t>papildinātība</w:t>
      </w:r>
      <w:r w:rsidR="004661FA">
        <w:rPr>
          <w:rFonts w:ascii="Times New Roman" w:hAnsi="Times New Roman" w:cs="Times New Roman"/>
          <w:sz w:val="24"/>
          <w:szCs w:val="24"/>
        </w:rPr>
        <w:t xml:space="preserve"> ar 2.1.3.SAM paredzētajām pašvaldību investīcijām klimata pielāgošanās pasākumu īstenošanai un 4.3.2.SAM,</w:t>
      </w:r>
      <w:r w:rsidR="00844734">
        <w:rPr>
          <w:rFonts w:ascii="Times New Roman" w:hAnsi="Times New Roman" w:cs="Times New Roman"/>
          <w:sz w:val="24"/>
          <w:szCs w:val="24"/>
        </w:rPr>
        <w:t xml:space="preserve"> </w:t>
      </w:r>
      <w:r w:rsidR="0034046F" w:rsidRPr="001A6E01">
        <w:rPr>
          <w:rFonts w:ascii="Times New Roman" w:hAnsi="Times New Roman" w:cs="Times New Roman"/>
          <w:sz w:val="24"/>
          <w:szCs w:val="24"/>
        </w:rPr>
        <w:t>kas paredz atbalstu kultūras nozares noturībai un pakalpojumu attīstībai pilsētās un reģionos.</w:t>
      </w:r>
      <w:r w:rsidR="0034046F">
        <w:rPr>
          <w:rFonts w:ascii="Times New Roman" w:hAnsi="Times New Roman" w:cs="Times New Roman"/>
          <w:sz w:val="24"/>
          <w:szCs w:val="24"/>
        </w:rPr>
        <w:t xml:space="preserve"> </w:t>
      </w:r>
      <w:r w:rsidR="004661FA">
        <w:rPr>
          <w:rFonts w:ascii="Times New Roman" w:hAnsi="Times New Roman" w:cs="Times New Roman"/>
          <w:sz w:val="24"/>
          <w:szCs w:val="24"/>
        </w:rPr>
        <w:t xml:space="preserve">Savukārt viedo pašvaldību risinājumiem un kapacitātes paaugstināšanai plānota sinerģija ar 2.1.1.SAM pašvaldību ēku energoefektivitātes paaugstināšanas investīcijām, kuru rezultātā samazināsies izmaksas, atbrīvojot pašvaldību </w:t>
      </w:r>
      <w:r w:rsidR="004661FA" w:rsidRPr="31E9BF97">
        <w:rPr>
          <w:rFonts w:ascii="Times New Roman" w:hAnsi="Times New Roman" w:cs="Times New Roman"/>
          <w:sz w:val="24"/>
          <w:szCs w:val="24"/>
        </w:rPr>
        <w:t>budžeta</w:t>
      </w:r>
      <w:r w:rsidR="004661FA">
        <w:rPr>
          <w:rFonts w:ascii="Times New Roman" w:hAnsi="Times New Roman" w:cs="Times New Roman"/>
          <w:sz w:val="24"/>
          <w:szCs w:val="24"/>
        </w:rPr>
        <w:t xml:space="preserve"> līdzekļus citu būtisku funkciju veikšanai.</w:t>
      </w:r>
      <w:r w:rsidR="00B97E48">
        <w:rPr>
          <w:rFonts w:ascii="Times New Roman" w:hAnsi="Times New Roman" w:cs="Times New Roman"/>
          <w:sz w:val="24"/>
          <w:szCs w:val="24"/>
        </w:rPr>
        <w:t xml:space="preserve"> </w:t>
      </w:r>
      <w:r w:rsidR="00B97E48" w:rsidRPr="7AB41870">
        <w:rPr>
          <w:rFonts w:ascii="Times New Roman" w:hAnsi="Times New Roman" w:cs="Times New Roman"/>
          <w:sz w:val="24"/>
          <w:szCs w:val="24"/>
        </w:rPr>
        <w:t xml:space="preserve">Tāpat viedo risinājumu ieguldījumi plānoti sinerģijā ar atbalstu zinātniskajām institūcijām un komersantiem viedo produktu attīstībai 1.1.1. un 1.2.3.SAM ietvaros. </w:t>
      </w:r>
      <w:r w:rsidR="00B97E48" w:rsidRPr="7AB41870">
        <w:rPr>
          <w:rFonts w:ascii="Times New Roman" w:eastAsia="Times New Roman" w:hAnsi="Times New Roman" w:cs="Times New Roman"/>
          <w:color w:val="000000" w:themeColor="text1"/>
          <w:sz w:val="24"/>
          <w:szCs w:val="24"/>
        </w:rPr>
        <w:t>5.1.1.</w:t>
      </w:r>
      <w:r w:rsidR="00DA560F">
        <w:rPr>
          <w:rFonts w:ascii="Times New Roman" w:eastAsia="Times New Roman" w:hAnsi="Times New Roman" w:cs="Times New Roman"/>
          <w:color w:val="000000" w:themeColor="text1"/>
          <w:sz w:val="24"/>
          <w:szCs w:val="24"/>
        </w:rPr>
        <w:t>SAM</w:t>
      </w:r>
      <w:r w:rsidR="00B97E48" w:rsidRPr="7AB41870">
        <w:rPr>
          <w:rFonts w:ascii="Times New Roman" w:eastAsia="Times New Roman" w:hAnsi="Times New Roman" w:cs="Times New Roman"/>
          <w:color w:val="000000" w:themeColor="text1"/>
          <w:sz w:val="24"/>
          <w:szCs w:val="24"/>
        </w:rPr>
        <w:t xml:space="preserve"> ievaros paredzētie</w:t>
      </w:r>
      <w:r w:rsidR="00B97E48" w:rsidRPr="7AB41870">
        <w:rPr>
          <w:rFonts w:ascii="Calibri" w:eastAsia="Calibri" w:hAnsi="Calibri" w:cs="Calibri"/>
          <w:color w:val="000000" w:themeColor="text1"/>
        </w:rPr>
        <w:t xml:space="preserve"> </w:t>
      </w:r>
      <w:r w:rsidR="00B97E48" w:rsidRPr="7AB41870">
        <w:rPr>
          <w:rFonts w:ascii="Times New Roman" w:eastAsia="Times New Roman" w:hAnsi="Times New Roman" w:cs="Times New Roman"/>
          <w:color w:val="000000" w:themeColor="text1"/>
          <w:sz w:val="24"/>
          <w:szCs w:val="24"/>
        </w:rPr>
        <w:t xml:space="preserve">integrētie ieguldījumi uzņēmējdarbības veicināšanai un pašvaldību kapacitātes  paaugstināšanai ir papildinoši 6.1.1.SAM ietvaros plānotajiem ieguldījumiem. </w:t>
      </w:r>
      <w:r w:rsidR="00B97E48" w:rsidRPr="7AB41870">
        <w:rPr>
          <w:rFonts w:ascii="Times New Roman" w:hAnsi="Times New Roman" w:cs="Times New Roman"/>
          <w:sz w:val="24"/>
          <w:szCs w:val="24"/>
        </w:rPr>
        <w:t>Sinerģija starp ieguldījumiem dažādu SAM ietvaros tiks nodrošināta reģionu attīstības plānošanas dokumentu līmenī, definējot teritoriāli specifiskus izaicinājumus un tematiski un teritoriāli papildinošus risinājumus</w:t>
      </w:r>
      <w:r w:rsidR="00323A8A">
        <w:rPr>
          <w:rFonts w:ascii="Times New Roman" w:hAnsi="Times New Roman" w:cs="Times New Roman"/>
          <w:sz w:val="24"/>
          <w:szCs w:val="24"/>
        </w:rPr>
        <w:t>.</w:t>
      </w:r>
      <w:r w:rsidR="004661FA" w:rsidRPr="611EA85C">
        <w:rPr>
          <w:rFonts w:ascii="Times New Roman" w:hAnsi="Times New Roman" w:cs="Times New Roman"/>
          <w:sz w:val="24"/>
          <w:szCs w:val="24"/>
        </w:rPr>
        <w:t xml:space="preserve"> </w:t>
      </w:r>
      <w:r w:rsidR="004661FA" w:rsidRPr="1F04E8DA">
        <w:rPr>
          <w:rFonts w:ascii="Times New Roman" w:hAnsi="Times New Roman" w:cs="Times New Roman"/>
          <w:sz w:val="24"/>
          <w:szCs w:val="24"/>
        </w:rPr>
        <w:t xml:space="preserve">Tāpat </w:t>
      </w:r>
      <w:r w:rsidR="004661FA">
        <w:rPr>
          <w:rFonts w:ascii="Times New Roman" w:hAnsi="Times New Roman" w:cs="Times New Roman"/>
          <w:sz w:val="24"/>
          <w:szCs w:val="24"/>
        </w:rPr>
        <w:t xml:space="preserve">ieguldījumi </w:t>
      </w:r>
      <w:r w:rsidR="004661FA" w:rsidRPr="1F04E8DA">
        <w:rPr>
          <w:rFonts w:ascii="Times New Roman" w:hAnsi="Times New Roman" w:cs="Times New Roman"/>
          <w:sz w:val="24"/>
          <w:szCs w:val="24"/>
        </w:rPr>
        <w:t>uzņēmējdarbības atbalst</w:t>
      </w:r>
      <w:r w:rsidR="004661FA">
        <w:rPr>
          <w:rFonts w:ascii="Times New Roman" w:hAnsi="Times New Roman" w:cs="Times New Roman"/>
          <w:sz w:val="24"/>
          <w:szCs w:val="24"/>
        </w:rPr>
        <w:t>a</w:t>
      </w:r>
      <w:r w:rsidR="004661FA" w:rsidRPr="1F04E8DA">
        <w:rPr>
          <w:rFonts w:ascii="Times New Roman" w:hAnsi="Times New Roman" w:cs="Times New Roman"/>
          <w:sz w:val="24"/>
          <w:szCs w:val="24"/>
        </w:rPr>
        <w:t xml:space="preserve">m un </w:t>
      </w:r>
      <w:r w:rsidR="004661FA" w:rsidRPr="31E9BF97">
        <w:rPr>
          <w:rFonts w:ascii="Times New Roman" w:hAnsi="Times New Roman" w:cs="Times New Roman"/>
          <w:sz w:val="24"/>
          <w:szCs w:val="24"/>
        </w:rPr>
        <w:t xml:space="preserve">pašvaldību </w:t>
      </w:r>
      <w:r w:rsidR="004661FA" w:rsidRPr="1F04E8DA">
        <w:rPr>
          <w:rFonts w:ascii="Times New Roman" w:hAnsi="Times New Roman" w:cs="Times New Roman"/>
          <w:sz w:val="24"/>
          <w:szCs w:val="24"/>
        </w:rPr>
        <w:t xml:space="preserve">pakalpojumu </w:t>
      </w:r>
      <w:r w:rsidR="004661FA" w:rsidRPr="31E9BF97">
        <w:rPr>
          <w:rFonts w:ascii="Times New Roman" w:hAnsi="Times New Roman" w:cs="Times New Roman"/>
          <w:sz w:val="24"/>
          <w:szCs w:val="24"/>
        </w:rPr>
        <w:t>infrastruktūrai</w:t>
      </w:r>
      <w:r w:rsidR="004661FA" w:rsidRPr="1F04E8DA">
        <w:rPr>
          <w:rFonts w:ascii="Times New Roman" w:hAnsi="Times New Roman" w:cs="Times New Roman"/>
          <w:sz w:val="24"/>
          <w:szCs w:val="24"/>
        </w:rPr>
        <w:t xml:space="preserve"> reģionālā mērogā plānojami sinerģijā ar valsts un pašvaldību budžeta plānotajiem </w:t>
      </w:r>
      <w:r w:rsidR="004661FA" w:rsidRPr="31E9BF97">
        <w:rPr>
          <w:rFonts w:ascii="Times New Roman" w:hAnsi="Times New Roman" w:cs="Times New Roman"/>
          <w:sz w:val="24"/>
          <w:szCs w:val="24"/>
        </w:rPr>
        <w:t>ieguldījumiem</w:t>
      </w:r>
      <w:r w:rsidR="004661FA" w:rsidRPr="79C4F8E1">
        <w:rPr>
          <w:rFonts w:ascii="Times New Roman" w:hAnsi="Times New Roman" w:cs="Times New Roman"/>
          <w:sz w:val="24"/>
          <w:szCs w:val="24"/>
        </w:rPr>
        <w:t>.</w:t>
      </w:r>
    </w:p>
    <w:p w14:paraId="4B78774E" w14:textId="4244C584" w:rsidR="004909C3" w:rsidRPr="00AC3754" w:rsidRDefault="004909C3"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DD46F7">
        <w:rPr>
          <w:rFonts w:ascii="Times New Roman" w:hAnsi="Times New Roman" w:cs="Times New Roman"/>
          <w:sz w:val="24"/>
          <w:szCs w:val="24"/>
          <w:lang w:eastAsia="en-US" w:bidi="ar-SA"/>
        </w:rPr>
        <w:t>Sinerģij</w:t>
      </w:r>
      <w:r w:rsidR="00323A8A">
        <w:rPr>
          <w:rFonts w:ascii="Times New Roman" w:hAnsi="Times New Roman" w:cs="Times New Roman"/>
          <w:sz w:val="24"/>
          <w:szCs w:val="24"/>
          <w:lang w:eastAsia="en-US" w:bidi="ar-SA"/>
        </w:rPr>
        <w:t>ā</w:t>
      </w:r>
      <w:r w:rsidRPr="00DD46F7">
        <w:rPr>
          <w:rFonts w:ascii="Times New Roman" w:hAnsi="Times New Roman" w:cs="Times New Roman"/>
          <w:sz w:val="24"/>
          <w:szCs w:val="24"/>
          <w:lang w:eastAsia="en-US" w:bidi="ar-SA"/>
        </w:rPr>
        <w:t xml:space="preserve"> ar ES</w:t>
      </w:r>
      <w:r w:rsidRPr="00DD46F7">
        <w:rPr>
          <w:rFonts w:ascii="Times New Roman" w:hAnsi="Times New Roman" w:cs="Times New Roman"/>
          <w:bCs/>
          <w:sz w:val="24"/>
          <w:szCs w:val="24"/>
          <w:lang w:eastAsia="en-US" w:bidi="ar-SA"/>
        </w:rPr>
        <w:t xml:space="preserve"> Stratēģijas </w:t>
      </w:r>
      <w:r w:rsidRPr="00DD46F7">
        <w:rPr>
          <w:rFonts w:ascii="Times New Roman" w:hAnsi="Times New Roman" w:cs="Times New Roman"/>
          <w:sz w:val="24"/>
          <w:szCs w:val="24"/>
          <w:lang w:eastAsia="en-US" w:bidi="ar-SA"/>
        </w:rPr>
        <w:t xml:space="preserve">Baltijas jūras reģionam politikas jomas </w:t>
      </w:r>
      <w:r w:rsidR="00BF127A" w:rsidRPr="00DD46F7">
        <w:rPr>
          <w:rFonts w:ascii="Times New Roman" w:hAnsi="Times New Roman" w:cs="Times New Roman"/>
          <w:sz w:val="24"/>
          <w:szCs w:val="24"/>
          <w:lang w:eastAsia="en-US" w:bidi="ar-SA"/>
        </w:rPr>
        <w:t>“</w:t>
      </w:r>
      <w:r w:rsidRPr="00DD46F7">
        <w:rPr>
          <w:rFonts w:ascii="Times New Roman" w:hAnsi="Times New Roman" w:cs="Times New Roman"/>
          <w:sz w:val="24"/>
          <w:szCs w:val="24"/>
          <w:lang w:eastAsia="en-US" w:bidi="ar-SA"/>
        </w:rPr>
        <w:t xml:space="preserve">kultūra” ietvaros paredzēto aktivitāti Nr.2 </w:t>
      </w:r>
      <w:r w:rsidR="00BF127A" w:rsidRPr="00DD46F7">
        <w:rPr>
          <w:rFonts w:ascii="Times New Roman" w:hAnsi="Times New Roman" w:cs="Times New Roman"/>
          <w:sz w:val="24"/>
          <w:szCs w:val="24"/>
          <w:lang w:eastAsia="en-US" w:bidi="ar-SA"/>
        </w:rPr>
        <w:t>“ESSBJR</w:t>
      </w:r>
      <w:r w:rsidRPr="00DD46F7">
        <w:rPr>
          <w:rFonts w:ascii="Times New Roman" w:hAnsi="Times New Roman" w:cs="Times New Roman"/>
          <w:sz w:val="24"/>
          <w:szCs w:val="24"/>
          <w:lang w:eastAsia="en-US" w:bidi="ar-SA"/>
        </w:rPr>
        <w:t xml:space="preserve"> kultūras un Eiropas vērtību popularizēšana, izmantojot kultūru ilgtspējīgai attīstībai” un aktivitāti Nr.3 </w:t>
      </w:r>
      <w:r w:rsidR="00BF127A" w:rsidRPr="00DD46F7">
        <w:rPr>
          <w:rFonts w:ascii="Times New Roman" w:hAnsi="Times New Roman" w:cs="Times New Roman"/>
          <w:sz w:val="24"/>
          <w:szCs w:val="24"/>
          <w:lang w:eastAsia="en-US" w:bidi="ar-SA"/>
        </w:rPr>
        <w:t>ESSBJR</w:t>
      </w:r>
      <w:r w:rsidRPr="00DD46F7">
        <w:rPr>
          <w:rFonts w:ascii="Times New Roman" w:hAnsi="Times New Roman" w:cs="Times New Roman"/>
          <w:sz w:val="24"/>
          <w:szCs w:val="24"/>
          <w:lang w:eastAsia="en-US" w:bidi="ar-SA"/>
        </w:rPr>
        <w:t xml:space="preserve"> kultūras mantojuma saglabāšana reģionālās identitātes stiprināšanai”, kā arī programm</w:t>
      </w:r>
      <w:r w:rsidR="0034046F">
        <w:rPr>
          <w:rFonts w:ascii="Times New Roman" w:hAnsi="Times New Roman" w:cs="Times New Roman"/>
          <w:sz w:val="24"/>
          <w:szCs w:val="24"/>
          <w:lang w:eastAsia="en-US" w:bidi="ar-SA"/>
        </w:rPr>
        <w:t>ā</w:t>
      </w:r>
      <w:r w:rsidRPr="00DD46F7">
        <w:rPr>
          <w:rFonts w:ascii="Times New Roman" w:hAnsi="Times New Roman" w:cs="Times New Roman"/>
          <w:sz w:val="24"/>
          <w:szCs w:val="24"/>
          <w:lang w:eastAsia="en-US" w:bidi="ar-SA"/>
        </w:rPr>
        <w:t xml:space="preserve"> </w:t>
      </w:r>
      <w:r w:rsidR="00BF127A" w:rsidRPr="00DD46F7">
        <w:rPr>
          <w:rFonts w:ascii="Times New Roman" w:hAnsi="Times New Roman" w:cs="Times New Roman"/>
          <w:sz w:val="24"/>
          <w:szCs w:val="24"/>
          <w:lang w:eastAsia="en-US" w:bidi="ar-SA"/>
        </w:rPr>
        <w:t>“</w:t>
      </w:r>
      <w:r w:rsidRPr="00DD46F7">
        <w:rPr>
          <w:rFonts w:ascii="Times New Roman" w:hAnsi="Times New Roman" w:cs="Times New Roman"/>
          <w:sz w:val="24"/>
          <w:szCs w:val="24"/>
          <w:lang w:eastAsia="en-US" w:bidi="ar-SA"/>
        </w:rPr>
        <w:t>Radošā Eiropa</w:t>
      </w:r>
      <w:r w:rsidR="00BF127A" w:rsidRPr="00DD46F7">
        <w:rPr>
          <w:rFonts w:ascii="Times New Roman" w:hAnsi="Times New Roman" w:cs="Times New Roman"/>
          <w:sz w:val="24"/>
          <w:szCs w:val="24"/>
          <w:lang w:eastAsia="en-US" w:bidi="ar-SA"/>
        </w:rPr>
        <w:t>”</w:t>
      </w:r>
      <w:r w:rsidRPr="00DD46F7">
        <w:rPr>
          <w:rFonts w:ascii="Times New Roman" w:hAnsi="Times New Roman" w:cs="Times New Roman"/>
          <w:sz w:val="24"/>
          <w:szCs w:val="24"/>
          <w:lang w:eastAsia="en-US" w:bidi="ar-SA"/>
        </w:rPr>
        <w:t>, pare</w:t>
      </w:r>
      <w:r w:rsidR="0034046F">
        <w:rPr>
          <w:rFonts w:ascii="Times New Roman" w:hAnsi="Times New Roman" w:cs="Times New Roman"/>
          <w:sz w:val="24"/>
          <w:szCs w:val="24"/>
          <w:lang w:eastAsia="en-US" w:bidi="ar-SA"/>
        </w:rPr>
        <w:t>dzēt</w:t>
      </w:r>
      <w:r w:rsidR="00323A8A">
        <w:rPr>
          <w:rFonts w:ascii="Times New Roman" w:hAnsi="Times New Roman" w:cs="Times New Roman"/>
          <w:sz w:val="24"/>
          <w:szCs w:val="24"/>
          <w:lang w:eastAsia="en-US" w:bidi="ar-SA"/>
        </w:rPr>
        <w:t>s</w:t>
      </w:r>
      <w:r w:rsidR="0034046F">
        <w:rPr>
          <w:rFonts w:ascii="Times New Roman" w:hAnsi="Times New Roman" w:cs="Times New Roman"/>
          <w:sz w:val="24"/>
          <w:szCs w:val="24"/>
          <w:lang w:eastAsia="en-US" w:bidi="ar-SA"/>
        </w:rPr>
        <w:t xml:space="preserve"> </w:t>
      </w:r>
      <w:r w:rsidRPr="00DD46F7">
        <w:rPr>
          <w:rFonts w:ascii="Times New Roman" w:hAnsi="Times New Roman" w:cs="Times New Roman"/>
          <w:sz w:val="24"/>
          <w:szCs w:val="24"/>
          <w:lang w:eastAsia="en-US" w:bidi="ar-SA"/>
        </w:rPr>
        <w:t>sniegt</w:t>
      </w:r>
      <w:r w:rsidRPr="00DD46F7">
        <w:rPr>
          <w:rFonts w:ascii="Times New Roman" w:hAnsi="Times New Roman" w:cs="Times New Roman"/>
          <w:sz w:val="24"/>
          <w:szCs w:val="24"/>
        </w:rPr>
        <w:t xml:space="preserve"> </w:t>
      </w:r>
      <w:r w:rsidRPr="00DD46F7">
        <w:rPr>
          <w:rFonts w:ascii="Times New Roman" w:hAnsi="Times New Roman" w:cs="Times New Roman"/>
          <w:sz w:val="24"/>
          <w:szCs w:val="24"/>
          <w:lang w:eastAsia="en-US" w:bidi="ar-SA"/>
        </w:rPr>
        <w:t>atbalstu arhitektūras un kultūras mantojuma nozarēm</w:t>
      </w:r>
      <w:r>
        <w:rPr>
          <w:rFonts w:ascii="Times New Roman" w:hAnsi="Times New Roman" w:cs="Times New Roman"/>
          <w:lang w:eastAsia="en-US" w:bidi="ar-SA"/>
        </w:rPr>
        <w:t>.</w:t>
      </w:r>
      <w:r w:rsidR="00323A8A">
        <w:rPr>
          <w:rFonts w:ascii="Times New Roman" w:hAnsi="Times New Roman" w:cs="Times New Roman"/>
          <w:lang w:eastAsia="en-US" w:bidi="ar-SA"/>
        </w:rPr>
        <w:t xml:space="preserve"> </w:t>
      </w:r>
      <w:r w:rsidR="00323A8A" w:rsidRPr="00AC3754">
        <w:rPr>
          <w:rFonts w:ascii="Times New Roman" w:hAnsi="Times New Roman" w:cs="Times New Roman"/>
          <w:sz w:val="24"/>
          <w:szCs w:val="24"/>
          <w:lang w:eastAsia="en-US" w:bidi="ar-SA"/>
        </w:rPr>
        <w:t>Viedo pašvaldību un kapacitātes paaugstināšanas pasākumi papildinās ES Stratēģijas Baltijas jūras reģionam politikas jomas “Inovācija” ietvaros paredzētās aktivitātes Nr.1 “Uz problēmām balstīta inovācija” un aktivitātes Nr.2 “Digitālā inovācija un pārveide” ietvaros plānotos pasākumus.</w:t>
      </w:r>
    </w:p>
    <w:p w14:paraId="1A9D485C" w14:textId="249819EC" w:rsidR="00AC212B" w:rsidRPr="00930237" w:rsidRDefault="0002461B" w:rsidP="007545BD">
      <w:pPr>
        <w:pStyle w:val="ListParagraph"/>
        <w:numPr>
          <w:ilvl w:val="0"/>
          <w:numId w:val="60"/>
        </w:numPr>
        <w:spacing w:after="0" w:line="240" w:lineRule="auto"/>
        <w:ind w:left="567" w:hanging="567"/>
        <w:jc w:val="both"/>
        <w:rPr>
          <w:rFonts w:ascii="Times New Roman" w:eastAsia="Times New Roman" w:hAnsi="Times New Roman" w:cs="Times New Roman"/>
          <w:sz w:val="24"/>
          <w:szCs w:val="24"/>
        </w:rPr>
      </w:pPr>
      <w:r>
        <w:rPr>
          <w:rFonts w:ascii="Times New Roman" w:hAnsi="Times New Roman" w:cs="Times New Roman"/>
          <w:b/>
          <w:sz w:val="24"/>
          <w:szCs w:val="24"/>
        </w:rPr>
        <w:t>F</w:t>
      </w:r>
      <w:r w:rsidR="00AC212B" w:rsidRPr="00930237">
        <w:rPr>
          <w:rFonts w:ascii="Times New Roman" w:hAnsi="Times New Roman" w:cs="Times New Roman"/>
          <w:b/>
          <w:sz w:val="24"/>
          <w:szCs w:val="24"/>
        </w:rPr>
        <w:t>inanšu instrumenti:</w:t>
      </w:r>
      <w:r w:rsidR="00AC212B" w:rsidRPr="00930237">
        <w:rPr>
          <w:rFonts w:ascii="Times New Roman" w:hAnsi="Times New Roman" w:cs="Times New Roman"/>
          <w:sz w:val="24"/>
          <w:szCs w:val="24"/>
        </w:rPr>
        <w:t xml:space="preserve"> N/A.</w:t>
      </w:r>
    </w:p>
    <w:p w14:paraId="1EEDA8F2" w14:textId="72F8F92E" w:rsidR="00AC212B" w:rsidRDefault="00AC212B" w:rsidP="00AC212B"/>
    <w:p w14:paraId="58405E88" w14:textId="77777777" w:rsidR="00B471B0" w:rsidRDefault="00B471B0" w:rsidP="00B471B0">
      <w:pPr>
        <w:pStyle w:val="Heading3"/>
        <w:numPr>
          <w:ilvl w:val="0"/>
          <w:numId w:val="0"/>
        </w:numPr>
        <w:spacing w:after="0"/>
        <w:rPr>
          <w:b/>
          <w:i w:val="0"/>
          <w:noProof/>
        </w:rPr>
        <w:sectPr w:rsidR="00B471B0" w:rsidSect="00B8254F">
          <w:pgSz w:w="11906" w:h="16838" w:code="9"/>
          <w:pgMar w:top="1417" w:right="1417" w:bottom="1417" w:left="1417" w:header="567" w:footer="510" w:gutter="0"/>
          <w:cols w:space="708"/>
          <w:titlePg/>
          <w:docGrid w:linePitch="360"/>
        </w:sectPr>
      </w:pPr>
    </w:p>
    <w:p w14:paraId="5AFC5371" w14:textId="17EAEFE5" w:rsidR="00B471B0" w:rsidRPr="00930237" w:rsidRDefault="00B471B0" w:rsidP="00B471B0">
      <w:pPr>
        <w:pStyle w:val="Heading3"/>
        <w:numPr>
          <w:ilvl w:val="0"/>
          <w:numId w:val="0"/>
        </w:numPr>
        <w:spacing w:after="0"/>
        <w:rPr>
          <w:b/>
          <w:i w:val="0"/>
          <w:noProof/>
        </w:rPr>
      </w:pPr>
      <w:bookmarkStart w:id="46" w:name="_Toc69125421"/>
      <w:r>
        <w:rPr>
          <w:b/>
          <w:i w:val="0"/>
          <w:noProof/>
        </w:rPr>
        <w:t>10.tabula</w:t>
      </w:r>
      <w:r w:rsidR="005156FC">
        <w:rPr>
          <w:b/>
          <w:i w:val="0"/>
          <w:noProof/>
        </w:rPr>
        <w:t xml:space="preserve"> (2)</w:t>
      </w:r>
      <w:r>
        <w:rPr>
          <w:b/>
          <w:i w:val="0"/>
          <w:noProof/>
        </w:rPr>
        <w:t xml:space="preserve"> 5.Politiskā mērķa i</w:t>
      </w:r>
      <w:r w:rsidRPr="00930237">
        <w:rPr>
          <w:b/>
          <w:i w:val="0"/>
          <w:noProof/>
        </w:rPr>
        <w:t>znākuma rādītāji</w:t>
      </w:r>
      <w:r>
        <w:rPr>
          <w:rStyle w:val="FootnoteReference"/>
          <w:b/>
          <w:i w:val="0"/>
          <w:noProof/>
        </w:rPr>
        <w:footnoteReference w:id="130"/>
      </w:r>
      <w:bookmarkEnd w:id="46"/>
    </w:p>
    <w:p w14:paraId="1D19EE2B" w14:textId="77777777" w:rsidR="00B471B0" w:rsidRPr="00930237" w:rsidRDefault="00B471B0" w:rsidP="00B471B0">
      <w:pPr>
        <w:spacing w:before="0" w:after="0"/>
        <w:ind w:left="1080"/>
        <w:rPr>
          <w:rFonts w:eastAsia="Times New Roman"/>
          <w:i/>
          <w:noProof/>
          <w:sz w:val="20"/>
        </w:rPr>
      </w:pPr>
    </w:p>
    <w:tbl>
      <w:tblPr>
        <w:tblW w:w="45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1788"/>
        <w:gridCol w:w="907"/>
        <w:gridCol w:w="1251"/>
        <w:gridCol w:w="3348"/>
        <w:gridCol w:w="1380"/>
        <w:gridCol w:w="1318"/>
        <w:gridCol w:w="1632"/>
      </w:tblGrid>
      <w:tr w:rsidR="00B471B0" w:rsidRPr="00930237" w14:paraId="50BF1C49" w14:textId="77777777" w:rsidTr="009617F7">
        <w:trPr>
          <w:trHeight w:val="756"/>
          <w:tblHeader/>
        </w:trPr>
        <w:tc>
          <w:tcPr>
            <w:tcW w:w="476" w:type="pct"/>
            <w:shd w:val="clear" w:color="auto" w:fill="D9D9D9" w:themeFill="background1" w:themeFillShade="D9"/>
            <w:vAlign w:val="center"/>
          </w:tcPr>
          <w:p w14:paraId="06D2B27A" w14:textId="77777777" w:rsidR="00B471B0" w:rsidRPr="00930237" w:rsidRDefault="00B471B0" w:rsidP="009617F7">
            <w:pPr>
              <w:pStyle w:val="Text1"/>
              <w:spacing w:before="0" w:after="0"/>
              <w:ind w:left="0"/>
              <w:jc w:val="center"/>
              <w:rPr>
                <w:rFonts w:cs="Times New Roman"/>
                <w:b/>
                <w:noProof/>
                <w:sz w:val="18"/>
                <w:szCs w:val="18"/>
              </w:rPr>
            </w:pPr>
            <w:r w:rsidRPr="00930237">
              <w:rPr>
                <w:rFonts w:cs="Times New Roman"/>
                <w:b/>
                <w:noProof/>
                <w:sz w:val="18"/>
                <w:szCs w:val="18"/>
              </w:rPr>
              <w:t>Prioritāte</w:t>
            </w:r>
          </w:p>
        </w:tc>
        <w:tc>
          <w:tcPr>
            <w:tcW w:w="696" w:type="pct"/>
            <w:shd w:val="clear" w:color="auto" w:fill="D9D9D9" w:themeFill="background1" w:themeFillShade="D9"/>
            <w:vAlign w:val="center"/>
          </w:tcPr>
          <w:p w14:paraId="5C15B767" w14:textId="77777777" w:rsidR="00B471B0" w:rsidRPr="00930237" w:rsidRDefault="00B471B0" w:rsidP="009617F7">
            <w:pPr>
              <w:pStyle w:val="Text1"/>
              <w:spacing w:before="0" w:after="0"/>
              <w:ind w:left="0"/>
              <w:jc w:val="center"/>
              <w:rPr>
                <w:rFonts w:cs="Times New Roman"/>
                <w:b/>
                <w:noProof/>
                <w:sz w:val="18"/>
                <w:szCs w:val="18"/>
              </w:rPr>
            </w:pPr>
            <w:r w:rsidRPr="00930237">
              <w:rPr>
                <w:rFonts w:cs="Times New Roman"/>
                <w:b/>
                <w:noProof/>
                <w:sz w:val="18"/>
                <w:szCs w:val="18"/>
              </w:rPr>
              <w:t>SAM</w:t>
            </w:r>
          </w:p>
        </w:tc>
        <w:tc>
          <w:tcPr>
            <w:tcW w:w="353" w:type="pct"/>
            <w:shd w:val="clear" w:color="auto" w:fill="D9D9D9" w:themeFill="background1" w:themeFillShade="D9"/>
            <w:vAlign w:val="center"/>
          </w:tcPr>
          <w:p w14:paraId="4829D664" w14:textId="77777777" w:rsidR="00B471B0" w:rsidRPr="00930237" w:rsidRDefault="00B471B0" w:rsidP="009617F7">
            <w:pPr>
              <w:pStyle w:val="Text1"/>
              <w:spacing w:before="0" w:after="0"/>
              <w:ind w:left="0"/>
              <w:jc w:val="center"/>
              <w:rPr>
                <w:rFonts w:cs="Times New Roman"/>
                <w:b/>
                <w:noProof/>
                <w:sz w:val="18"/>
                <w:szCs w:val="18"/>
              </w:rPr>
            </w:pPr>
            <w:r w:rsidRPr="00930237">
              <w:rPr>
                <w:rFonts w:cs="Times New Roman"/>
                <w:b/>
                <w:noProof/>
                <w:sz w:val="18"/>
                <w:szCs w:val="18"/>
              </w:rPr>
              <w:t>Fonds</w:t>
            </w:r>
          </w:p>
        </w:tc>
        <w:tc>
          <w:tcPr>
            <w:tcW w:w="487" w:type="pct"/>
            <w:shd w:val="clear" w:color="auto" w:fill="D9D9D9" w:themeFill="background1" w:themeFillShade="D9"/>
            <w:vAlign w:val="center"/>
          </w:tcPr>
          <w:p w14:paraId="08128A5B" w14:textId="77777777" w:rsidR="00B471B0" w:rsidRPr="00930237" w:rsidRDefault="00B471B0" w:rsidP="009617F7">
            <w:pPr>
              <w:pStyle w:val="Text1"/>
              <w:spacing w:before="0" w:after="0"/>
              <w:ind w:left="0"/>
              <w:jc w:val="center"/>
              <w:rPr>
                <w:rFonts w:cs="Times New Roman"/>
                <w:b/>
                <w:noProof/>
                <w:sz w:val="18"/>
                <w:szCs w:val="18"/>
              </w:rPr>
            </w:pPr>
            <w:r w:rsidRPr="00930237">
              <w:rPr>
                <w:rFonts w:cs="Times New Roman"/>
                <w:b/>
                <w:noProof/>
                <w:sz w:val="18"/>
                <w:szCs w:val="18"/>
              </w:rPr>
              <w:t xml:space="preserve">ID </w:t>
            </w:r>
          </w:p>
        </w:tc>
        <w:tc>
          <w:tcPr>
            <w:tcW w:w="1303" w:type="pct"/>
            <w:shd w:val="clear" w:color="auto" w:fill="D9D9D9" w:themeFill="background1" w:themeFillShade="D9"/>
            <w:vAlign w:val="center"/>
          </w:tcPr>
          <w:p w14:paraId="4A52783C" w14:textId="77777777" w:rsidR="00B471B0" w:rsidRPr="00930237" w:rsidRDefault="00B471B0" w:rsidP="009617F7">
            <w:pPr>
              <w:pStyle w:val="Text1"/>
              <w:spacing w:before="0" w:after="0"/>
              <w:ind w:left="0"/>
              <w:jc w:val="center"/>
              <w:rPr>
                <w:rFonts w:cs="Times New Roman"/>
                <w:b/>
                <w:noProof/>
                <w:sz w:val="18"/>
                <w:szCs w:val="18"/>
              </w:rPr>
            </w:pPr>
            <w:r w:rsidRPr="00930237">
              <w:rPr>
                <w:rFonts w:cs="Times New Roman"/>
                <w:b/>
                <w:noProof/>
                <w:sz w:val="18"/>
                <w:szCs w:val="18"/>
              </w:rPr>
              <w:t>Rādītājs</w:t>
            </w:r>
          </w:p>
        </w:tc>
        <w:tc>
          <w:tcPr>
            <w:tcW w:w="537" w:type="pct"/>
            <w:shd w:val="clear" w:color="auto" w:fill="D9D9D9" w:themeFill="background1" w:themeFillShade="D9"/>
            <w:vAlign w:val="center"/>
          </w:tcPr>
          <w:p w14:paraId="58DB71F5" w14:textId="77777777" w:rsidR="00B471B0" w:rsidRPr="00930237" w:rsidRDefault="00B471B0" w:rsidP="009617F7">
            <w:pPr>
              <w:pStyle w:val="Text1"/>
              <w:spacing w:before="0" w:after="0"/>
              <w:ind w:left="0"/>
              <w:jc w:val="center"/>
              <w:rPr>
                <w:rFonts w:cs="Times New Roman"/>
                <w:b/>
                <w:noProof/>
                <w:sz w:val="18"/>
                <w:szCs w:val="18"/>
              </w:rPr>
            </w:pPr>
            <w:r w:rsidRPr="00930237">
              <w:rPr>
                <w:rFonts w:cs="Times New Roman"/>
                <w:b/>
                <w:noProof/>
                <w:sz w:val="18"/>
                <w:szCs w:val="18"/>
              </w:rPr>
              <w:t>Mērvienība</w:t>
            </w:r>
          </w:p>
        </w:tc>
        <w:tc>
          <w:tcPr>
            <w:tcW w:w="513" w:type="pct"/>
            <w:shd w:val="clear" w:color="auto" w:fill="D9D9D9" w:themeFill="background1" w:themeFillShade="D9"/>
            <w:vAlign w:val="center"/>
          </w:tcPr>
          <w:p w14:paraId="75AFADE0" w14:textId="77777777" w:rsidR="00B471B0" w:rsidRPr="00930237" w:rsidRDefault="00B471B0" w:rsidP="009617F7">
            <w:pPr>
              <w:pStyle w:val="Text1"/>
              <w:spacing w:before="0" w:after="0"/>
              <w:ind w:left="0"/>
              <w:jc w:val="center"/>
              <w:rPr>
                <w:rFonts w:cs="Times New Roman"/>
                <w:b/>
                <w:noProof/>
                <w:sz w:val="18"/>
                <w:szCs w:val="18"/>
              </w:rPr>
            </w:pPr>
            <w:r w:rsidRPr="00930237">
              <w:rPr>
                <w:rFonts w:cs="Times New Roman"/>
                <w:b/>
                <w:noProof/>
                <w:sz w:val="18"/>
                <w:szCs w:val="18"/>
              </w:rPr>
              <w:t>Starpposma vērtība (2024)</w:t>
            </w:r>
          </w:p>
        </w:tc>
        <w:tc>
          <w:tcPr>
            <w:tcW w:w="635" w:type="pct"/>
            <w:shd w:val="clear" w:color="auto" w:fill="D9D9D9" w:themeFill="background1" w:themeFillShade="D9"/>
            <w:vAlign w:val="center"/>
          </w:tcPr>
          <w:p w14:paraId="6FAE5D76" w14:textId="77777777" w:rsidR="00B471B0" w:rsidRPr="00930237" w:rsidRDefault="00B471B0" w:rsidP="009617F7">
            <w:pPr>
              <w:pStyle w:val="Text1"/>
              <w:spacing w:before="0" w:after="0"/>
              <w:ind w:left="0"/>
              <w:jc w:val="center"/>
              <w:rPr>
                <w:rFonts w:cs="Times New Roman"/>
                <w:b/>
                <w:noProof/>
                <w:sz w:val="18"/>
                <w:szCs w:val="18"/>
              </w:rPr>
            </w:pPr>
            <w:r w:rsidRPr="00930237">
              <w:rPr>
                <w:rFonts w:cs="Times New Roman"/>
                <w:b/>
                <w:noProof/>
                <w:sz w:val="18"/>
                <w:szCs w:val="18"/>
              </w:rPr>
              <w:t>Plānotā vērtība</w:t>
            </w:r>
          </w:p>
          <w:p w14:paraId="0F447813" w14:textId="77777777" w:rsidR="00B471B0" w:rsidRPr="00930237" w:rsidRDefault="00B471B0" w:rsidP="009617F7">
            <w:pPr>
              <w:pStyle w:val="Text1"/>
              <w:spacing w:before="0" w:after="0"/>
              <w:ind w:left="0"/>
              <w:jc w:val="center"/>
              <w:rPr>
                <w:rFonts w:cs="Times New Roman"/>
                <w:b/>
                <w:noProof/>
                <w:sz w:val="18"/>
                <w:szCs w:val="18"/>
              </w:rPr>
            </w:pPr>
            <w:r w:rsidRPr="00930237">
              <w:rPr>
                <w:rFonts w:cs="Times New Roman"/>
                <w:b/>
                <w:noProof/>
                <w:sz w:val="18"/>
                <w:szCs w:val="18"/>
              </w:rPr>
              <w:t>(2029)</w:t>
            </w:r>
          </w:p>
        </w:tc>
      </w:tr>
      <w:tr w:rsidR="00B471B0" w:rsidRPr="00930237" w14:paraId="70D60D19" w14:textId="77777777" w:rsidTr="009617F7">
        <w:trPr>
          <w:trHeight w:val="332"/>
        </w:trPr>
        <w:tc>
          <w:tcPr>
            <w:tcW w:w="476" w:type="pct"/>
          </w:tcPr>
          <w:p w14:paraId="4EACFCE0" w14:textId="77777777" w:rsidR="00B471B0" w:rsidRPr="00930237" w:rsidRDefault="00B471B0" w:rsidP="009617F7">
            <w:pPr>
              <w:pStyle w:val="Text1"/>
              <w:spacing w:before="0" w:after="0"/>
              <w:ind w:left="0"/>
              <w:rPr>
                <w:rFonts w:cs="Times New Roman"/>
                <w:noProof/>
                <w:sz w:val="18"/>
                <w:szCs w:val="18"/>
              </w:rPr>
            </w:pPr>
            <w:r w:rsidRPr="00930237">
              <w:rPr>
                <w:rFonts w:cs="Times New Roman"/>
                <w:noProof/>
                <w:sz w:val="18"/>
                <w:szCs w:val="18"/>
              </w:rPr>
              <w:t>5.1.prioritāte</w:t>
            </w:r>
          </w:p>
        </w:tc>
        <w:tc>
          <w:tcPr>
            <w:tcW w:w="696" w:type="pct"/>
          </w:tcPr>
          <w:p w14:paraId="5D6E0DD7" w14:textId="77777777" w:rsidR="00B471B0" w:rsidRPr="00930237" w:rsidRDefault="00B471B0" w:rsidP="009617F7">
            <w:pPr>
              <w:pStyle w:val="Text1"/>
              <w:spacing w:before="0" w:after="0"/>
              <w:ind w:left="0"/>
              <w:rPr>
                <w:rFonts w:cs="Times New Roman"/>
                <w:noProof/>
                <w:sz w:val="18"/>
                <w:szCs w:val="18"/>
              </w:rPr>
            </w:pPr>
            <w:r w:rsidRPr="00930237">
              <w:rPr>
                <w:rFonts w:cs="Times New Roman"/>
                <w:noProof/>
                <w:sz w:val="18"/>
                <w:szCs w:val="18"/>
              </w:rPr>
              <w:t>5.1.1.SAM</w:t>
            </w:r>
          </w:p>
        </w:tc>
        <w:tc>
          <w:tcPr>
            <w:tcW w:w="353" w:type="pct"/>
          </w:tcPr>
          <w:p w14:paraId="6215E398" w14:textId="77777777" w:rsidR="00B471B0" w:rsidRPr="00930237" w:rsidRDefault="00B471B0" w:rsidP="009617F7">
            <w:pPr>
              <w:pStyle w:val="Text1"/>
              <w:spacing w:before="0" w:after="0"/>
              <w:ind w:left="0"/>
              <w:rPr>
                <w:rFonts w:cs="Times New Roman"/>
                <w:noProof/>
                <w:sz w:val="18"/>
                <w:szCs w:val="18"/>
              </w:rPr>
            </w:pPr>
            <w:r w:rsidRPr="00930237">
              <w:rPr>
                <w:rFonts w:cs="Times New Roman"/>
                <w:noProof/>
                <w:sz w:val="18"/>
                <w:szCs w:val="18"/>
              </w:rPr>
              <w:t>ERAF</w:t>
            </w:r>
          </w:p>
        </w:tc>
        <w:tc>
          <w:tcPr>
            <w:tcW w:w="487" w:type="pct"/>
          </w:tcPr>
          <w:p w14:paraId="7CC92D09" w14:textId="77777777" w:rsidR="00B471B0" w:rsidRPr="00930237" w:rsidRDefault="00B471B0" w:rsidP="009617F7">
            <w:pPr>
              <w:pStyle w:val="Text1"/>
              <w:spacing w:before="0" w:after="0"/>
              <w:ind w:left="0"/>
              <w:rPr>
                <w:rFonts w:cs="Times New Roman"/>
                <w:sz w:val="18"/>
                <w:szCs w:val="18"/>
              </w:rPr>
            </w:pPr>
            <w:r w:rsidRPr="00930237">
              <w:rPr>
                <w:rFonts w:cs="Times New Roman"/>
                <w:sz w:val="18"/>
                <w:szCs w:val="18"/>
              </w:rPr>
              <w:t>RCO 75</w:t>
            </w:r>
          </w:p>
        </w:tc>
        <w:tc>
          <w:tcPr>
            <w:tcW w:w="1303" w:type="pct"/>
            <w:shd w:val="clear" w:color="auto" w:fill="auto"/>
          </w:tcPr>
          <w:p w14:paraId="4CD1A4E9" w14:textId="77777777" w:rsidR="00B471B0" w:rsidRPr="00930237" w:rsidRDefault="00B471B0" w:rsidP="009617F7">
            <w:pPr>
              <w:pStyle w:val="Default"/>
              <w:spacing w:after="0" w:line="240" w:lineRule="auto"/>
              <w:jc w:val="both"/>
              <w:rPr>
                <w:color w:val="auto"/>
                <w:sz w:val="18"/>
                <w:szCs w:val="18"/>
              </w:rPr>
            </w:pPr>
            <w:r w:rsidRPr="00930237">
              <w:rPr>
                <w:color w:val="auto"/>
                <w:sz w:val="18"/>
                <w:szCs w:val="18"/>
              </w:rPr>
              <w:t>Atbalstītas integrētas teritoriālās attīstības stratēģijas</w:t>
            </w:r>
          </w:p>
        </w:tc>
        <w:tc>
          <w:tcPr>
            <w:tcW w:w="537" w:type="pct"/>
          </w:tcPr>
          <w:p w14:paraId="21B05530" w14:textId="77777777" w:rsidR="00B471B0" w:rsidRPr="00930237" w:rsidRDefault="00B471B0" w:rsidP="009617F7">
            <w:pPr>
              <w:pStyle w:val="Text1"/>
              <w:spacing w:before="0" w:after="0"/>
              <w:ind w:left="0"/>
              <w:rPr>
                <w:rFonts w:cs="Times New Roman"/>
                <w:noProof/>
                <w:sz w:val="18"/>
                <w:szCs w:val="18"/>
              </w:rPr>
            </w:pPr>
            <w:r w:rsidRPr="00930237">
              <w:rPr>
                <w:rFonts w:cs="Times New Roman"/>
                <w:noProof/>
                <w:sz w:val="18"/>
                <w:szCs w:val="18"/>
              </w:rPr>
              <w:t>Skaits</w:t>
            </w:r>
          </w:p>
        </w:tc>
        <w:tc>
          <w:tcPr>
            <w:tcW w:w="513" w:type="pct"/>
            <w:shd w:val="clear" w:color="auto" w:fill="auto"/>
          </w:tcPr>
          <w:p w14:paraId="04C0E46A" w14:textId="77777777" w:rsidR="00B471B0" w:rsidRPr="00930237" w:rsidRDefault="00B471B0" w:rsidP="009617F7">
            <w:pPr>
              <w:pStyle w:val="Text1"/>
              <w:spacing w:before="0" w:after="0"/>
              <w:ind w:left="0"/>
              <w:rPr>
                <w:rFonts w:cs="Times New Roman"/>
                <w:noProof/>
                <w:sz w:val="18"/>
                <w:szCs w:val="18"/>
              </w:rPr>
            </w:pPr>
            <w:r w:rsidRPr="00930237">
              <w:rPr>
                <w:rFonts w:cs="Times New Roman"/>
                <w:noProof/>
                <w:sz w:val="18"/>
                <w:szCs w:val="18"/>
              </w:rPr>
              <w:t xml:space="preserve"> 0</w:t>
            </w:r>
          </w:p>
        </w:tc>
        <w:tc>
          <w:tcPr>
            <w:tcW w:w="635" w:type="pct"/>
            <w:shd w:val="clear" w:color="auto" w:fill="auto"/>
          </w:tcPr>
          <w:p w14:paraId="77075F0A" w14:textId="77777777" w:rsidR="00B471B0" w:rsidRPr="00930237" w:rsidRDefault="00B471B0" w:rsidP="009617F7">
            <w:pPr>
              <w:pStyle w:val="Text1"/>
              <w:spacing w:before="0" w:after="0"/>
              <w:ind w:left="0"/>
              <w:rPr>
                <w:rFonts w:cs="Times New Roman"/>
                <w:noProof/>
                <w:sz w:val="18"/>
                <w:szCs w:val="18"/>
              </w:rPr>
            </w:pPr>
            <w:r w:rsidRPr="00930237">
              <w:rPr>
                <w:rFonts w:cs="Times New Roman"/>
                <w:noProof/>
                <w:sz w:val="18"/>
                <w:szCs w:val="18"/>
              </w:rPr>
              <w:t>5</w:t>
            </w:r>
          </w:p>
        </w:tc>
      </w:tr>
      <w:tr w:rsidR="00B471B0" w:rsidRPr="00930237" w14:paraId="31BA8493" w14:textId="77777777" w:rsidTr="009617F7">
        <w:trPr>
          <w:trHeight w:val="332"/>
        </w:trPr>
        <w:tc>
          <w:tcPr>
            <w:tcW w:w="476" w:type="pct"/>
          </w:tcPr>
          <w:p w14:paraId="5EC16BB2" w14:textId="77777777" w:rsidR="00B471B0" w:rsidRPr="00930237" w:rsidRDefault="00B471B0" w:rsidP="009617F7">
            <w:pPr>
              <w:pStyle w:val="Text1"/>
              <w:spacing w:before="0" w:after="0"/>
              <w:ind w:left="0"/>
              <w:rPr>
                <w:rFonts w:cs="Times New Roman"/>
                <w:noProof/>
                <w:sz w:val="18"/>
                <w:szCs w:val="18"/>
              </w:rPr>
            </w:pPr>
            <w:r w:rsidRPr="00930237">
              <w:rPr>
                <w:rFonts w:cs="Times New Roman"/>
                <w:noProof/>
                <w:sz w:val="18"/>
                <w:szCs w:val="18"/>
              </w:rPr>
              <w:t>5.1.prioritāte</w:t>
            </w:r>
          </w:p>
        </w:tc>
        <w:tc>
          <w:tcPr>
            <w:tcW w:w="696" w:type="pct"/>
          </w:tcPr>
          <w:p w14:paraId="3D4D6FFE" w14:textId="77777777" w:rsidR="00B471B0" w:rsidRPr="00930237" w:rsidRDefault="00B471B0" w:rsidP="009617F7">
            <w:pPr>
              <w:pStyle w:val="Text1"/>
              <w:spacing w:before="0" w:after="0"/>
              <w:ind w:left="0"/>
              <w:rPr>
                <w:rFonts w:cs="Times New Roman"/>
                <w:noProof/>
                <w:sz w:val="18"/>
                <w:szCs w:val="18"/>
              </w:rPr>
            </w:pPr>
            <w:r>
              <w:rPr>
                <w:rFonts w:cs="Times New Roman"/>
                <w:noProof/>
                <w:sz w:val="18"/>
                <w:szCs w:val="18"/>
              </w:rPr>
              <w:t xml:space="preserve">KM: </w:t>
            </w:r>
            <w:r w:rsidRPr="00930237">
              <w:rPr>
                <w:rFonts w:cs="Times New Roman"/>
                <w:noProof/>
                <w:sz w:val="18"/>
                <w:szCs w:val="18"/>
              </w:rPr>
              <w:t>5.1.1.SAM</w:t>
            </w:r>
            <w:r>
              <w:rPr>
                <w:rFonts w:cs="Times New Roman"/>
                <w:noProof/>
                <w:sz w:val="18"/>
                <w:szCs w:val="18"/>
              </w:rPr>
              <w:t xml:space="preserve"> </w:t>
            </w:r>
          </w:p>
        </w:tc>
        <w:tc>
          <w:tcPr>
            <w:tcW w:w="353" w:type="pct"/>
          </w:tcPr>
          <w:p w14:paraId="5ECE456E" w14:textId="77777777" w:rsidR="00B471B0" w:rsidRPr="00930237" w:rsidRDefault="00B471B0" w:rsidP="009617F7">
            <w:pPr>
              <w:pStyle w:val="Text1"/>
              <w:spacing w:before="0" w:after="0"/>
              <w:ind w:left="0"/>
              <w:rPr>
                <w:rFonts w:cs="Times New Roman"/>
                <w:noProof/>
                <w:sz w:val="18"/>
                <w:szCs w:val="18"/>
              </w:rPr>
            </w:pPr>
            <w:r w:rsidRPr="00634D26">
              <w:rPr>
                <w:rFonts w:cs="Times New Roman"/>
                <w:noProof/>
                <w:sz w:val="18"/>
                <w:szCs w:val="18"/>
              </w:rPr>
              <w:t>ERAF</w:t>
            </w:r>
          </w:p>
        </w:tc>
        <w:tc>
          <w:tcPr>
            <w:tcW w:w="487" w:type="pct"/>
          </w:tcPr>
          <w:p w14:paraId="2A4A64DA" w14:textId="77777777" w:rsidR="00B471B0" w:rsidRPr="00930237" w:rsidRDefault="00B471B0" w:rsidP="009617F7">
            <w:pPr>
              <w:pStyle w:val="Text1"/>
              <w:spacing w:before="0" w:after="0"/>
              <w:ind w:left="0"/>
              <w:rPr>
                <w:rFonts w:cs="Times New Roman"/>
                <w:sz w:val="18"/>
                <w:szCs w:val="18"/>
              </w:rPr>
            </w:pPr>
            <w:r w:rsidRPr="00634D26">
              <w:rPr>
                <w:rFonts w:cs="Times New Roman"/>
                <w:sz w:val="18"/>
                <w:szCs w:val="18"/>
              </w:rPr>
              <w:t>RCO 77</w:t>
            </w:r>
          </w:p>
        </w:tc>
        <w:tc>
          <w:tcPr>
            <w:tcW w:w="1303" w:type="pct"/>
            <w:shd w:val="clear" w:color="auto" w:fill="auto"/>
          </w:tcPr>
          <w:p w14:paraId="030BDB83" w14:textId="77777777" w:rsidR="00B471B0" w:rsidRPr="00930237" w:rsidRDefault="00B471B0" w:rsidP="009617F7">
            <w:pPr>
              <w:pStyle w:val="Default"/>
              <w:spacing w:after="0" w:line="240" w:lineRule="auto"/>
              <w:jc w:val="both"/>
              <w:rPr>
                <w:color w:val="auto"/>
                <w:sz w:val="18"/>
                <w:szCs w:val="18"/>
              </w:rPr>
            </w:pPr>
            <w:r w:rsidRPr="00634D26">
              <w:rPr>
                <w:color w:val="auto"/>
                <w:sz w:val="18"/>
                <w:szCs w:val="18"/>
              </w:rPr>
              <w:t>Atbalstīto kultūras un tūrisma vietu skaits</w:t>
            </w:r>
          </w:p>
        </w:tc>
        <w:tc>
          <w:tcPr>
            <w:tcW w:w="537" w:type="pct"/>
          </w:tcPr>
          <w:p w14:paraId="78F0DBAC" w14:textId="77777777" w:rsidR="00B471B0" w:rsidRPr="00930237" w:rsidRDefault="00B471B0" w:rsidP="009617F7">
            <w:pPr>
              <w:pStyle w:val="Text1"/>
              <w:spacing w:before="0" w:after="0"/>
              <w:ind w:left="0"/>
              <w:rPr>
                <w:rFonts w:cs="Times New Roman"/>
                <w:noProof/>
                <w:sz w:val="18"/>
                <w:szCs w:val="18"/>
              </w:rPr>
            </w:pPr>
            <w:r w:rsidRPr="00634D26">
              <w:rPr>
                <w:rFonts w:cs="Times New Roman"/>
                <w:noProof/>
                <w:sz w:val="18"/>
                <w:szCs w:val="18"/>
              </w:rPr>
              <w:t>Skaits</w:t>
            </w:r>
          </w:p>
        </w:tc>
        <w:tc>
          <w:tcPr>
            <w:tcW w:w="513" w:type="pct"/>
            <w:shd w:val="clear" w:color="auto" w:fill="auto"/>
          </w:tcPr>
          <w:p w14:paraId="4B284056" w14:textId="77777777" w:rsidR="00B471B0" w:rsidRPr="00930237" w:rsidRDefault="00B471B0" w:rsidP="009617F7">
            <w:pPr>
              <w:pStyle w:val="Text1"/>
              <w:spacing w:before="0" w:after="0"/>
              <w:ind w:left="0"/>
              <w:rPr>
                <w:rFonts w:cs="Times New Roman"/>
                <w:noProof/>
                <w:sz w:val="18"/>
                <w:szCs w:val="18"/>
              </w:rPr>
            </w:pPr>
            <w:r w:rsidRPr="00930237">
              <w:rPr>
                <w:rFonts w:cs="Times New Roman"/>
                <w:noProof/>
                <w:sz w:val="18"/>
                <w:szCs w:val="18"/>
              </w:rPr>
              <w:t xml:space="preserve"> 0</w:t>
            </w:r>
          </w:p>
          <w:p w14:paraId="6238EE8B" w14:textId="77777777" w:rsidR="00B471B0" w:rsidRPr="00930237" w:rsidRDefault="00B471B0" w:rsidP="009617F7">
            <w:pPr>
              <w:pStyle w:val="Text1"/>
              <w:spacing w:before="0" w:after="0"/>
              <w:ind w:left="0"/>
              <w:rPr>
                <w:rFonts w:cs="Times New Roman"/>
                <w:noProof/>
                <w:sz w:val="18"/>
                <w:szCs w:val="18"/>
              </w:rPr>
            </w:pPr>
          </w:p>
        </w:tc>
        <w:tc>
          <w:tcPr>
            <w:tcW w:w="635" w:type="pct"/>
            <w:shd w:val="clear" w:color="auto" w:fill="auto"/>
          </w:tcPr>
          <w:p w14:paraId="3D243964" w14:textId="77777777" w:rsidR="00B471B0" w:rsidRPr="00930237" w:rsidRDefault="00B471B0" w:rsidP="009617F7">
            <w:pPr>
              <w:pStyle w:val="Text1"/>
              <w:spacing w:before="0" w:after="0"/>
              <w:ind w:left="0"/>
              <w:rPr>
                <w:rFonts w:cs="Times New Roman"/>
                <w:noProof/>
                <w:sz w:val="18"/>
                <w:szCs w:val="18"/>
              </w:rPr>
            </w:pPr>
            <w:r>
              <w:rPr>
                <w:rFonts w:cs="Times New Roman"/>
                <w:noProof/>
                <w:sz w:val="18"/>
                <w:szCs w:val="18"/>
              </w:rPr>
              <w:t>27</w:t>
            </w:r>
          </w:p>
        </w:tc>
      </w:tr>
    </w:tbl>
    <w:p w14:paraId="5B7CCDAC" w14:textId="77777777" w:rsidR="00B471B0" w:rsidRPr="00930237" w:rsidRDefault="00B471B0" w:rsidP="00B471B0">
      <w:pPr>
        <w:spacing w:before="0" w:after="0"/>
        <w:rPr>
          <w:rFonts w:eastAsia="Times New Roman"/>
          <w:b/>
          <w:iCs/>
          <w:noProof/>
          <w:sz w:val="20"/>
        </w:rPr>
      </w:pPr>
    </w:p>
    <w:p w14:paraId="5DEB2A41" w14:textId="77777777" w:rsidR="00B471B0" w:rsidRPr="00930237" w:rsidRDefault="00B471B0" w:rsidP="00B471B0">
      <w:pPr>
        <w:spacing w:before="0" w:after="0"/>
        <w:rPr>
          <w:rFonts w:eastAsia="Times New Roman"/>
          <w:iCs/>
          <w:noProof/>
          <w:sz w:val="20"/>
        </w:rPr>
      </w:pPr>
      <w:r w:rsidRPr="00930237">
        <w:rPr>
          <w:rFonts w:eastAsia="Times New Roman"/>
          <w:iCs/>
          <w:noProof/>
          <w:sz w:val="20"/>
        </w:rPr>
        <w:t>* Rādītāju sasniedzamās vērtības tiks definētas, kad būs pieejami veikto izvērtējumu rezultāti, kā arī attiecīgo nozaru plānošanas dokumentu izstrādes un saskaņošanas ietvaros.</w:t>
      </w:r>
    </w:p>
    <w:p w14:paraId="21C0F999" w14:textId="77777777" w:rsidR="00B471B0" w:rsidRPr="00930237" w:rsidRDefault="00B471B0" w:rsidP="00B471B0">
      <w:pPr>
        <w:spacing w:before="0" w:after="0"/>
        <w:rPr>
          <w:rFonts w:eastAsia="Times New Roman"/>
          <w:b/>
          <w:iCs/>
          <w:noProof/>
          <w:sz w:val="20"/>
        </w:rPr>
      </w:pPr>
    </w:p>
    <w:p w14:paraId="0455600D" w14:textId="1C60BC1D" w:rsidR="00B471B0" w:rsidRPr="00930237" w:rsidRDefault="00B471B0" w:rsidP="00B471B0">
      <w:pPr>
        <w:pStyle w:val="Heading3"/>
        <w:numPr>
          <w:ilvl w:val="0"/>
          <w:numId w:val="0"/>
        </w:numPr>
        <w:rPr>
          <w:b/>
          <w:iCs/>
          <w:noProof/>
          <w:sz w:val="20"/>
        </w:rPr>
      </w:pPr>
      <w:bookmarkStart w:id="47" w:name="_Toc69125422"/>
      <w:r>
        <w:rPr>
          <w:b/>
          <w:i w:val="0"/>
          <w:noProof/>
        </w:rPr>
        <w:t>11.tabula</w:t>
      </w:r>
      <w:r w:rsidR="005156FC">
        <w:rPr>
          <w:b/>
          <w:i w:val="0"/>
          <w:noProof/>
        </w:rPr>
        <w:t xml:space="preserve"> (3)</w:t>
      </w:r>
      <w:r>
        <w:rPr>
          <w:b/>
          <w:i w:val="0"/>
          <w:noProof/>
        </w:rPr>
        <w:t xml:space="preserve"> 5.Politiskā mērķa r</w:t>
      </w:r>
      <w:r w:rsidRPr="00930237">
        <w:rPr>
          <w:b/>
          <w:i w:val="0"/>
          <w:noProof/>
        </w:rPr>
        <w:t>ezultātu rādītāji</w:t>
      </w:r>
      <w:r w:rsidRPr="00930237">
        <w:rPr>
          <w:rStyle w:val="FootnoteReference"/>
          <w:b/>
          <w:i w:val="0"/>
          <w:noProof/>
        </w:rPr>
        <w:footnoteReference w:id="131"/>
      </w:r>
      <w:bookmarkEnd w:id="47"/>
    </w:p>
    <w:tbl>
      <w:tblPr>
        <w:tblW w:w="47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8"/>
        <w:gridCol w:w="1012"/>
        <w:gridCol w:w="688"/>
        <w:gridCol w:w="817"/>
        <w:gridCol w:w="1779"/>
        <w:gridCol w:w="1157"/>
        <w:gridCol w:w="987"/>
        <w:gridCol w:w="1057"/>
        <w:gridCol w:w="1078"/>
        <w:gridCol w:w="1381"/>
        <w:gridCol w:w="2074"/>
      </w:tblGrid>
      <w:tr w:rsidR="005156FC" w:rsidRPr="00BF555E" w14:paraId="5A4FC0BA" w14:textId="77777777" w:rsidTr="005156FC">
        <w:trPr>
          <w:trHeight w:val="282"/>
          <w:tblHeader/>
        </w:trPr>
        <w:tc>
          <w:tcPr>
            <w:tcW w:w="436" w:type="pct"/>
            <w:shd w:val="clear" w:color="auto" w:fill="D9D9D9" w:themeFill="background1" w:themeFillShade="D9"/>
            <w:vAlign w:val="center"/>
          </w:tcPr>
          <w:p w14:paraId="5A5281DB" w14:textId="77777777" w:rsidR="005156FC" w:rsidRPr="00BF555E" w:rsidRDefault="005156FC" w:rsidP="009617F7">
            <w:pPr>
              <w:pStyle w:val="Text1"/>
              <w:spacing w:before="0" w:after="0"/>
              <w:ind w:left="0"/>
              <w:jc w:val="center"/>
              <w:rPr>
                <w:rFonts w:cs="Times New Roman"/>
                <w:b/>
                <w:noProof/>
                <w:sz w:val="18"/>
                <w:szCs w:val="18"/>
              </w:rPr>
            </w:pPr>
            <w:r w:rsidRPr="00BF555E">
              <w:rPr>
                <w:rFonts w:cs="Times New Roman"/>
                <w:b/>
                <w:noProof/>
                <w:sz w:val="18"/>
                <w:szCs w:val="18"/>
              </w:rPr>
              <w:t>Prioritāte</w:t>
            </w:r>
          </w:p>
        </w:tc>
        <w:tc>
          <w:tcPr>
            <w:tcW w:w="384" w:type="pct"/>
            <w:shd w:val="clear" w:color="auto" w:fill="D9D9D9" w:themeFill="background1" w:themeFillShade="D9"/>
            <w:vAlign w:val="center"/>
          </w:tcPr>
          <w:p w14:paraId="2A4C82B2" w14:textId="77777777" w:rsidR="005156FC" w:rsidRPr="00BF555E" w:rsidRDefault="005156FC" w:rsidP="009617F7">
            <w:pPr>
              <w:pStyle w:val="Text1"/>
              <w:spacing w:before="0" w:after="0"/>
              <w:ind w:left="0"/>
              <w:jc w:val="center"/>
              <w:rPr>
                <w:rFonts w:cs="Times New Roman"/>
                <w:b/>
                <w:noProof/>
                <w:sz w:val="18"/>
                <w:szCs w:val="18"/>
              </w:rPr>
            </w:pPr>
            <w:r w:rsidRPr="00BF555E">
              <w:rPr>
                <w:rFonts w:cs="Times New Roman"/>
                <w:b/>
                <w:noProof/>
                <w:sz w:val="18"/>
                <w:szCs w:val="18"/>
              </w:rPr>
              <w:t>SAM</w:t>
            </w:r>
          </w:p>
        </w:tc>
        <w:tc>
          <w:tcPr>
            <w:tcW w:w="261" w:type="pct"/>
            <w:shd w:val="clear" w:color="auto" w:fill="D9D9D9" w:themeFill="background1" w:themeFillShade="D9"/>
            <w:vAlign w:val="center"/>
          </w:tcPr>
          <w:p w14:paraId="543EB08B" w14:textId="77777777" w:rsidR="005156FC" w:rsidRPr="00BF555E" w:rsidRDefault="005156FC" w:rsidP="009617F7">
            <w:pPr>
              <w:pStyle w:val="Text1"/>
              <w:spacing w:before="0" w:after="0"/>
              <w:ind w:left="0"/>
              <w:jc w:val="center"/>
              <w:rPr>
                <w:rFonts w:cs="Times New Roman"/>
                <w:b/>
                <w:noProof/>
                <w:sz w:val="18"/>
                <w:szCs w:val="18"/>
              </w:rPr>
            </w:pPr>
            <w:r w:rsidRPr="00BF555E">
              <w:rPr>
                <w:rFonts w:cs="Times New Roman"/>
                <w:b/>
                <w:noProof/>
                <w:sz w:val="18"/>
                <w:szCs w:val="18"/>
              </w:rPr>
              <w:t>Fonds</w:t>
            </w:r>
          </w:p>
        </w:tc>
        <w:tc>
          <w:tcPr>
            <w:tcW w:w="310" w:type="pct"/>
            <w:shd w:val="clear" w:color="auto" w:fill="D9D9D9" w:themeFill="background1" w:themeFillShade="D9"/>
            <w:vAlign w:val="center"/>
          </w:tcPr>
          <w:p w14:paraId="0407A216" w14:textId="77777777" w:rsidR="005156FC" w:rsidRPr="00BF555E" w:rsidRDefault="005156FC" w:rsidP="009617F7">
            <w:pPr>
              <w:pStyle w:val="Text1"/>
              <w:spacing w:before="0" w:after="0"/>
              <w:ind w:left="0"/>
              <w:jc w:val="center"/>
              <w:rPr>
                <w:rFonts w:cs="Times New Roman"/>
                <w:b/>
                <w:noProof/>
                <w:sz w:val="18"/>
                <w:szCs w:val="18"/>
              </w:rPr>
            </w:pPr>
            <w:r w:rsidRPr="00BF555E">
              <w:rPr>
                <w:rFonts w:cs="Times New Roman"/>
                <w:b/>
                <w:noProof/>
                <w:sz w:val="18"/>
                <w:szCs w:val="18"/>
              </w:rPr>
              <w:t xml:space="preserve">ID </w:t>
            </w:r>
          </w:p>
        </w:tc>
        <w:tc>
          <w:tcPr>
            <w:tcW w:w="675" w:type="pct"/>
            <w:shd w:val="clear" w:color="auto" w:fill="D9D9D9" w:themeFill="background1" w:themeFillShade="D9"/>
            <w:vAlign w:val="center"/>
          </w:tcPr>
          <w:p w14:paraId="33E1D473" w14:textId="079BF7F0" w:rsidR="005156FC" w:rsidRPr="00BF555E" w:rsidRDefault="005156FC" w:rsidP="009617F7">
            <w:pPr>
              <w:pStyle w:val="Text1"/>
              <w:spacing w:before="0" w:after="0"/>
              <w:ind w:left="0"/>
              <w:jc w:val="center"/>
              <w:rPr>
                <w:rFonts w:cs="Times New Roman"/>
                <w:b/>
                <w:noProof/>
                <w:sz w:val="18"/>
                <w:szCs w:val="18"/>
              </w:rPr>
            </w:pPr>
            <w:r w:rsidRPr="00BF555E">
              <w:rPr>
                <w:rFonts w:cs="Times New Roman"/>
                <w:b/>
                <w:noProof/>
                <w:sz w:val="18"/>
                <w:szCs w:val="18"/>
              </w:rPr>
              <w:t xml:space="preserve">Rādītājs </w:t>
            </w:r>
          </w:p>
        </w:tc>
        <w:tc>
          <w:tcPr>
            <w:tcW w:w="439" w:type="pct"/>
            <w:shd w:val="clear" w:color="auto" w:fill="D9D9D9" w:themeFill="background1" w:themeFillShade="D9"/>
            <w:vAlign w:val="center"/>
          </w:tcPr>
          <w:p w14:paraId="79A00AED" w14:textId="77777777" w:rsidR="005156FC" w:rsidRPr="00BF555E" w:rsidRDefault="005156FC" w:rsidP="009617F7">
            <w:pPr>
              <w:pStyle w:val="Text1"/>
              <w:spacing w:before="0" w:after="0"/>
              <w:ind w:left="0"/>
              <w:jc w:val="center"/>
              <w:rPr>
                <w:rFonts w:cs="Times New Roman"/>
                <w:b/>
                <w:noProof/>
                <w:sz w:val="18"/>
                <w:szCs w:val="18"/>
              </w:rPr>
            </w:pPr>
            <w:r w:rsidRPr="00BF555E">
              <w:rPr>
                <w:rFonts w:cs="Times New Roman"/>
                <w:b/>
                <w:noProof/>
                <w:sz w:val="18"/>
                <w:szCs w:val="18"/>
              </w:rPr>
              <w:t>Mērvienība</w:t>
            </w:r>
          </w:p>
        </w:tc>
        <w:tc>
          <w:tcPr>
            <w:tcW w:w="374" w:type="pct"/>
            <w:shd w:val="clear" w:color="auto" w:fill="D9D9D9" w:themeFill="background1" w:themeFillShade="D9"/>
            <w:vAlign w:val="center"/>
          </w:tcPr>
          <w:p w14:paraId="0BD02D6C" w14:textId="77777777" w:rsidR="005156FC" w:rsidRPr="00BF555E" w:rsidRDefault="005156FC" w:rsidP="009617F7">
            <w:pPr>
              <w:pStyle w:val="Text1"/>
              <w:spacing w:before="0" w:after="0"/>
              <w:ind w:left="0"/>
              <w:jc w:val="center"/>
              <w:rPr>
                <w:rFonts w:cs="Times New Roman"/>
                <w:b/>
                <w:noProof/>
                <w:sz w:val="18"/>
                <w:szCs w:val="18"/>
              </w:rPr>
            </w:pPr>
            <w:r w:rsidRPr="00BF555E">
              <w:rPr>
                <w:rFonts w:cs="Times New Roman"/>
                <w:b/>
                <w:noProof/>
                <w:sz w:val="18"/>
                <w:szCs w:val="18"/>
              </w:rPr>
              <w:t>Sākotnējā vērtība</w:t>
            </w:r>
          </w:p>
        </w:tc>
        <w:tc>
          <w:tcPr>
            <w:tcW w:w="401" w:type="pct"/>
            <w:shd w:val="clear" w:color="auto" w:fill="D9D9D9" w:themeFill="background1" w:themeFillShade="D9"/>
            <w:vAlign w:val="center"/>
          </w:tcPr>
          <w:p w14:paraId="4C6B3D82" w14:textId="77777777" w:rsidR="005156FC" w:rsidRPr="00BF555E" w:rsidRDefault="005156FC" w:rsidP="009617F7">
            <w:pPr>
              <w:pStyle w:val="Text1"/>
              <w:spacing w:before="0" w:after="0"/>
              <w:ind w:left="0"/>
              <w:jc w:val="center"/>
              <w:rPr>
                <w:rFonts w:cs="Times New Roman"/>
                <w:b/>
                <w:noProof/>
                <w:sz w:val="18"/>
                <w:szCs w:val="18"/>
              </w:rPr>
            </w:pPr>
            <w:r w:rsidRPr="00BF555E">
              <w:rPr>
                <w:rFonts w:cs="Times New Roman"/>
                <w:b/>
                <w:noProof/>
                <w:sz w:val="18"/>
                <w:szCs w:val="18"/>
              </w:rPr>
              <w:t>Sākotnējās vērtības gads</w:t>
            </w:r>
          </w:p>
        </w:tc>
        <w:tc>
          <w:tcPr>
            <w:tcW w:w="409" w:type="pct"/>
            <w:shd w:val="clear" w:color="auto" w:fill="D9D9D9" w:themeFill="background1" w:themeFillShade="D9"/>
            <w:vAlign w:val="center"/>
          </w:tcPr>
          <w:p w14:paraId="492383AF" w14:textId="77777777" w:rsidR="005156FC" w:rsidRPr="00BF555E" w:rsidRDefault="005156FC" w:rsidP="009617F7">
            <w:pPr>
              <w:pStyle w:val="Text1"/>
              <w:spacing w:before="0" w:after="0"/>
              <w:ind w:left="0"/>
              <w:jc w:val="center"/>
              <w:rPr>
                <w:rFonts w:cs="Times New Roman"/>
                <w:b/>
                <w:noProof/>
                <w:sz w:val="18"/>
                <w:szCs w:val="18"/>
              </w:rPr>
            </w:pPr>
            <w:r w:rsidRPr="00BF555E">
              <w:rPr>
                <w:rFonts w:cs="Times New Roman"/>
                <w:b/>
                <w:noProof/>
                <w:sz w:val="18"/>
                <w:szCs w:val="18"/>
              </w:rPr>
              <w:t>Plānotā vērtība (2029)</w:t>
            </w:r>
          </w:p>
          <w:p w14:paraId="727FBA25" w14:textId="77777777" w:rsidR="005156FC" w:rsidRPr="00BF555E" w:rsidRDefault="005156FC" w:rsidP="009617F7">
            <w:pPr>
              <w:pStyle w:val="Text1"/>
              <w:spacing w:before="0" w:after="0"/>
              <w:ind w:left="0"/>
              <w:jc w:val="center"/>
              <w:rPr>
                <w:rFonts w:cs="Times New Roman"/>
                <w:b/>
                <w:noProof/>
                <w:sz w:val="18"/>
                <w:szCs w:val="18"/>
              </w:rPr>
            </w:pPr>
          </w:p>
        </w:tc>
        <w:tc>
          <w:tcPr>
            <w:tcW w:w="524" w:type="pct"/>
            <w:shd w:val="clear" w:color="auto" w:fill="D9D9D9" w:themeFill="background1" w:themeFillShade="D9"/>
            <w:vAlign w:val="center"/>
          </w:tcPr>
          <w:p w14:paraId="29151B06" w14:textId="77777777" w:rsidR="005156FC" w:rsidRPr="00BF555E" w:rsidRDefault="005156FC" w:rsidP="009617F7">
            <w:pPr>
              <w:pStyle w:val="Text1"/>
              <w:spacing w:before="0" w:after="0"/>
              <w:ind w:left="0"/>
              <w:jc w:val="center"/>
              <w:rPr>
                <w:rFonts w:cs="Times New Roman"/>
                <w:b/>
                <w:noProof/>
                <w:sz w:val="18"/>
                <w:szCs w:val="18"/>
              </w:rPr>
            </w:pPr>
            <w:r w:rsidRPr="00BF555E">
              <w:rPr>
                <w:rFonts w:cs="Times New Roman"/>
                <w:b/>
                <w:noProof/>
                <w:sz w:val="18"/>
                <w:szCs w:val="18"/>
              </w:rPr>
              <w:t>Datu avots [200]</w:t>
            </w:r>
          </w:p>
        </w:tc>
        <w:tc>
          <w:tcPr>
            <w:tcW w:w="787" w:type="pct"/>
            <w:shd w:val="clear" w:color="auto" w:fill="D9D9D9" w:themeFill="background1" w:themeFillShade="D9"/>
            <w:vAlign w:val="center"/>
          </w:tcPr>
          <w:p w14:paraId="29BA7924" w14:textId="77777777" w:rsidR="005156FC" w:rsidRPr="00BF555E" w:rsidRDefault="005156FC" w:rsidP="009617F7">
            <w:pPr>
              <w:pStyle w:val="Text1"/>
              <w:spacing w:before="0" w:after="0"/>
              <w:ind w:left="0"/>
              <w:jc w:val="center"/>
              <w:rPr>
                <w:rFonts w:cs="Times New Roman"/>
                <w:b/>
                <w:noProof/>
                <w:sz w:val="18"/>
                <w:szCs w:val="18"/>
              </w:rPr>
            </w:pPr>
            <w:r w:rsidRPr="00BF555E">
              <w:rPr>
                <w:rFonts w:cs="Times New Roman"/>
                <w:b/>
                <w:noProof/>
                <w:sz w:val="18"/>
                <w:szCs w:val="18"/>
              </w:rPr>
              <w:t xml:space="preserve">Komentāri </w:t>
            </w:r>
          </w:p>
          <w:p w14:paraId="71C62A40" w14:textId="77777777" w:rsidR="005156FC" w:rsidRPr="00BF555E" w:rsidRDefault="005156FC" w:rsidP="009617F7">
            <w:pPr>
              <w:pStyle w:val="Text1"/>
              <w:spacing w:before="0" w:after="0"/>
              <w:ind w:left="0"/>
              <w:jc w:val="center"/>
              <w:rPr>
                <w:rFonts w:cs="Times New Roman"/>
                <w:b/>
                <w:noProof/>
                <w:sz w:val="18"/>
                <w:szCs w:val="18"/>
              </w:rPr>
            </w:pPr>
            <w:r w:rsidRPr="00BF555E">
              <w:rPr>
                <w:rFonts w:cs="Times New Roman"/>
                <w:b/>
                <w:noProof/>
                <w:sz w:val="18"/>
                <w:szCs w:val="18"/>
              </w:rPr>
              <w:t>[200]</w:t>
            </w:r>
          </w:p>
        </w:tc>
      </w:tr>
      <w:tr w:rsidR="005156FC" w:rsidRPr="00BF555E" w14:paraId="3755F430" w14:textId="77777777" w:rsidTr="005156FC">
        <w:trPr>
          <w:trHeight w:val="286"/>
        </w:trPr>
        <w:tc>
          <w:tcPr>
            <w:tcW w:w="436" w:type="pct"/>
            <w:tcBorders>
              <w:top w:val="single" w:sz="4" w:space="0" w:color="auto"/>
              <w:left w:val="single" w:sz="4" w:space="0" w:color="auto"/>
              <w:bottom w:val="single" w:sz="4" w:space="0" w:color="auto"/>
              <w:right w:val="single" w:sz="4" w:space="0" w:color="auto"/>
            </w:tcBorders>
          </w:tcPr>
          <w:p w14:paraId="40A17391" w14:textId="77777777" w:rsidR="005156FC" w:rsidRPr="00BF555E" w:rsidRDefault="005156FC" w:rsidP="009617F7">
            <w:pPr>
              <w:pStyle w:val="Text1"/>
              <w:spacing w:before="0" w:after="0"/>
              <w:ind w:left="0"/>
              <w:rPr>
                <w:rFonts w:cs="Times New Roman"/>
                <w:noProof/>
                <w:sz w:val="18"/>
                <w:szCs w:val="18"/>
              </w:rPr>
            </w:pPr>
            <w:r w:rsidRPr="00BF555E">
              <w:rPr>
                <w:rFonts w:cs="Times New Roman"/>
                <w:noProof/>
                <w:sz w:val="18"/>
                <w:szCs w:val="18"/>
              </w:rPr>
              <w:t>5.1.prioritāte</w:t>
            </w:r>
          </w:p>
        </w:tc>
        <w:tc>
          <w:tcPr>
            <w:tcW w:w="384" w:type="pct"/>
            <w:tcBorders>
              <w:top w:val="single" w:sz="4" w:space="0" w:color="auto"/>
              <w:left w:val="single" w:sz="4" w:space="0" w:color="auto"/>
              <w:bottom w:val="single" w:sz="4" w:space="0" w:color="auto"/>
              <w:right w:val="single" w:sz="4" w:space="0" w:color="auto"/>
            </w:tcBorders>
          </w:tcPr>
          <w:p w14:paraId="0CDB4CE8" w14:textId="77777777" w:rsidR="005156FC" w:rsidRPr="00BF555E" w:rsidRDefault="005156FC" w:rsidP="009617F7">
            <w:pPr>
              <w:pStyle w:val="Text1"/>
              <w:spacing w:before="0" w:after="0"/>
              <w:ind w:left="0"/>
              <w:rPr>
                <w:rFonts w:eastAsia="Times New Roman" w:cs="Times New Roman"/>
                <w:sz w:val="18"/>
                <w:szCs w:val="18"/>
              </w:rPr>
            </w:pPr>
            <w:r w:rsidRPr="00BF555E">
              <w:rPr>
                <w:rFonts w:eastAsia="Times New Roman" w:cs="Times New Roman"/>
                <w:sz w:val="18"/>
                <w:szCs w:val="18"/>
              </w:rPr>
              <w:t>VARAM: 5.1.1.SAM</w:t>
            </w:r>
          </w:p>
        </w:tc>
        <w:tc>
          <w:tcPr>
            <w:tcW w:w="261" w:type="pct"/>
            <w:tcBorders>
              <w:top w:val="single" w:sz="4" w:space="0" w:color="auto"/>
              <w:left w:val="single" w:sz="4" w:space="0" w:color="auto"/>
              <w:bottom w:val="single" w:sz="4" w:space="0" w:color="auto"/>
              <w:right w:val="single" w:sz="4" w:space="0" w:color="auto"/>
            </w:tcBorders>
          </w:tcPr>
          <w:p w14:paraId="542221D8" w14:textId="77777777" w:rsidR="005156FC" w:rsidRPr="00BF555E" w:rsidRDefault="005156FC" w:rsidP="009617F7">
            <w:pPr>
              <w:pStyle w:val="Text1"/>
              <w:spacing w:before="0" w:after="0"/>
              <w:ind w:left="0"/>
              <w:rPr>
                <w:rFonts w:cs="Times New Roman"/>
                <w:noProof/>
                <w:sz w:val="18"/>
                <w:szCs w:val="18"/>
              </w:rPr>
            </w:pPr>
            <w:r w:rsidRPr="00BF555E">
              <w:rPr>
                <w:rFonts w:cs="Times New Roman"/>
                <w:noProof/>
                <w:sz w:val="18"/>
                <w:szCs w:val="18"/>
              </w:rPr>
              <w:t>ERAF</w:t>
            </w:r>
          </w:p>
        </w:tc>
        <w:tc>
          <w:tcPr>
            <w:tcW w:w="310" w:type="pct"/>
            <w:tcBorders>
              <w:top w:val="single" w:sz="4" w:space="0" w:color="auto"/>
              <w:left w:val="single" w:sz="4" w:space="0" w:color="auto"/>
              <w:bottom w:val="single" w:sz="4" w:space="0" w:color="auto"/>
              <w:right w:val="single" w:sz="4" w:space="0" w:color="auto"/>
            </w:tcBorders>
          </w:tcPr>
          <w:p w14:paraId="3C7932D6" w14:textId="77777777" w:rsidR="005156FC" w:rsidRPr="00BF555E" w:rsidRDefault="005156FC" w:rsidP="009617F7">
            <w:pPr>
              <w:pStyle w:val="Text1"/>
              <w:spacing w:before="0" w:after="0"/>
              <w:ind w:left="0"/>
              <w:rPr>
                <w:rFonts w:cs="Times New Roman"/>
                <w:sz w:val="18"/>
                <w:szCs w:val="18"/>
              </w:rPr>
            </w:pPr>
            <w:r w:rsidRPr="00BF555E">
              <w:rPr>
                <w:rFonts w:cs="Times New Roman"/>
                <w:sz w:val="18"/>
                <w:szCs w:val="18"/>
              </w:rPr>
              <w:t>r.5.1.1.</w:t>
            </w:r>
            <w:r>
              <w:rPr>
                <w:rFonts w:cs="Times New Roman"/>
                <w:sz w:val="18"/>
                <w:szCs w:val="18"/>
              </w:rPr>
              <w:t>b</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10A00DA4" w14:textId="1BA6AA87" w:rsidR="005156FC" w:rsidRPr="00BF555E" w:rsidRDefault="005156FC" w:rsidP="009617F7">
            <w:pPr>
              <w:pStyle w:val="Text1"/>
              <w:spacing w:before="0" w:after="0"/>
              <w:ind w:left="0"/>
              <w:rPr>
                <w:rFonts w:cs="Times New Roman"/>
                <w:sz w:val="18"/>
                <w:szCs w:val="18"/>
              </w:rPr>
            </w:pPr>
            <w:r w:rsidRPr="00BF555E">
              <w:rPr>
                <w:rFonts w:cs="Times New Roman"/>
                <w:sz w:val="18"/>
                <w:szCs w:val="18"/>
              </w:rPr>
              <w:t>Atbalstītajās vienībās radītais darba algu fonda pieaugums</w:t>
            </w:r>
          </w:p>
        </w:tc>
        <w:tc>
          <w:tcPr>
            <w:tcW w:w="439" w:type="pct"/>
            <w:tcBorders>
              <w:top w:val="single" w:sz="4" w:space="0" w:color="auto"/>
              <w:left w:val="single" w:sz="4" w:space="0" w:color="auto"/>
              <w:bottom w:val="single" w:sz="4" w:space="0" w:color="auto"/>
              <w:right w:val="single" w:sz="4" w:space="0" w:color="auto"/>
            </w:tcBorders>
          </w:tcPr>
          <w:p w14:paraId="67381482" w14:textId="77777777" w:rsidR="005156FC" w:rsidRPr="00BF555E" w:rsidRDefault="005156FC" w:rsidP="009617F7">
            <w:pPr>
              <w:pStyle w:val="Text1"/>
              <w:spacing w:before="0" w:after="0"/>
              <w:ind w:left="0"/>
              <w:rPr>
                <w:rFonts w:cs="Times New Roman"/>
                <w:noProof/>
                <w:sz w:val="18"/>
                <w:szCs w:val="18"/>
              </w:rPr>
            </w:pPr>
            <w:r w:rsidRPr="00BF555E">
              <w:rPr>
                <w:sz w:val="18"/>
                <w:szCs w:val="18"/>
              </w:rPr>
              <w:t xml:space="preserve">Bruto algu fonda pieaugums privātajos uzņēmumos, </w:t>
            </w:r>
            <w:r w:rsidRPr="00035913">
              <w:rPr>
                <w:rFonts w:cs="Times New Roman"/>
                <w:i/>
                <w:iCs/>
                <w:noProof/>
                <w:sz w:val="18"/>
                <w:szCs w:val="18"/>
              </w:rPr>
              <w:t>euro</w:t>
            </w:r>
            <w:r w:rsidRPr="00BF555E">
              <w:rPr>
                <w:sz w:val="18"/>
                <w:szCs w:val="18"/>
              </w:rPr>
              <w:t xml:space="preserve"> </w:t>
            </w:r>
          </w:p>
        </w:tc>
        <w:tc>
          <w:tcPr>
            <w:tcW w:w="374" w:type="pct"/>
            <w:tcBorders>
              <w:top w:val="single" w:sz="4" w:space="0" w:color="auto"/>
              <w:left w:val="single" w:sz="4" w:space="0" w:color="auto"/>
              <w:bottom w:val="single" w:sz="4" w:space="0" w:color="auto"/>
              <w:right w:val="single" w:sz="4" w:space="0" w:color="auto"/>
            </w:tcBorders>
          </w:tcPr>
          <w:p w14:paraId="6D77A773" w14:textId="77777777" w:rsidR="005156FC" w:rsidRPr="00BF555E" w:rsidRDefault="005156FC" w:rsidP="009617F7">
            <w:pPr>
              <w:pStyle w:val="Text1"/>
              <w:spacing w:before="0" w:after="0"/>
              <w:ind w:left="0"/>
              <w:jc w:val="left"/>
              <w:rPr>
                <w:rFonts w:cs="Times New Roman"/>
                <w:noProof/>
                <w:sz w:val="18"/>
                <w:szCs w:val="18"/>
              </w:rPr>
            </w:pPr>
            <w:r w:rsidRPr="00BF555E">
              <w:rPr>
                <w:rFonts w:cs="Times New Roman"/>
                <w:noProof/>
                <w:sz w:val="18"/>
                <w:szCs w:val="18"/>
              </w:rPr>
              <w:t>VARAM: 0</w:t>
            </w:r>
          </w:p>
        </w:tc>
        <w:tc>
          <w:tcPr>
            <w:tcW w:w="401" w:type="pct"/>
            <w:tcBorders>
              <w:top w:val="single" w:sz="4" w:space="0" w:color="auto"/>
              <w:left w:val="single" w:sz="4" w:space="0" w:color="auto"/>
              <w:bottom w:val="single" w:sz="4" w:space="0" w:color="auto"/>
              <w:right w:val="single" w:sz="4" w:space="0" w:color="auto"/>
            </w:tcBorders>
          </w:tcPr>
          <w:p w14:paraId="225FDA05" w14:textId="77777777" w:rsidR="005156FC" w:rsidRPr="00BF555E" w:rsidRDefault="005156FC" w:rsidP="009617F7">
            <w:pPr>
              <w:pStyle w:val="Text1"/>
              <w:spacing w:before="0" w:after="0"/>
              <w:ind w:left="0"/>
              <w:jc w:val="left"/>
              <w:rPr>
                <w:rFonts w:cs="Times New Roman"/>
                <w:noProof/>
                <w:sz w:val="18"/>
                <w:szCs w:val="18"/>
              </w:rPr>
            </w:pPr>
            <w:r w:rsidRPr="00BF555E">
              <w:rPr>
                <w:rFonts w:cs="Times New Roman"/>
                <w:noProof/>
                <w:sz w:val="18"/>
                <w:szCs w:val="18"/>
              </w:rPr>
              <w:t>VARAM: 2020</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523BB361" w14:textId="77777777" w:rsidR="005156FC" w:rsidRPr="00BF555E" w:rsidRDefault="005156FC" w:rsidP="009617F7">
            <w:pPr>
              <w:pStyle w:val="Text1"/>
              <w:spacing w:before="0" w:after="0"/>
              <w:ind w:left="0"/>
              <w:jc w:val="left"/>
              <w:rPr>
                <w:rFonts w:cs="Times New Roman"/>
                <w:bCs/>
                <w:sz w:val="18"/>
                <w:szCs w:val="18"/>
              </w:rPr>
            </w:pPr>
            <w:r w:rsidRPr="00BF555E">
              <w:rPr>
                <w:rFonts w:cs="Times New Roman"/>
                <w:bCs/>
                <w:sz w:val="18"/>
                <w:szCs w:val="18"/>
              </w:rPr>
              <w:t xml:space="preserve">VARAM: </w:t>
            </w:r>
            <w:r>
              <w:rPr>
                <w:rFonts w:cs="Times New Roman"/>
                <w:bCs/>
                <w:sz w:val="18"/>
                <w:szCs w:val="18"/>
              </w:rPr>
              <w:t>53 235 000</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575D679B" w14:textId="77777777" w:rsidR="005156FC" w:rsidRPr="00BF555E" w:rsidRDefault="005156FC" w:rsidP="009617F7">
            <w:pPr>
              <w:pStyle w:val="Text1"/>
              <w:spacing w:before="0" w:after="0"/>
              <w:ind w:left="0"/>
              <w:jc w:val="left"/>
              <w:rPr>
                <w:rFonts w:cs="Times New Roman"/>
                <w:noProof/>
                <w:sz w:val="18"/>
                <w:szCs w:val="18"/>
              </w:rPr>
            </w:pPr>
            <w:r w:rsidRPr="00BF555E">
              <w:rPr>
                <w:rFonts w:cs="Times New Roman"/>
                <w:noProof/>
                <w:sz w:val="18"/>
                <w:szCs w:val="18"/>
              </w:rPr>
              <w:t>VARAM: Projektu dokumentācija</w:t>
            </w:r>
          </w:p>
        </w:tc>
        <w:tc>
          <w:tcPr>
            <w:tcW w:w="787" w:type="pct"/>
            <w:tcBorders>
              <w:top w:val="single" w:sz="4" w:space="0" w:color="auto"/>
              <w:left w:val="single" w:sz="4" w:space="0" w:color="auto"/>
              <w:bottom w:val="single" w:sz="4" w:space="0" w:color="auto"/>
              <w:right w:val="single" w:sz="4" w:space="0" w:color="auto"/>
            </w:tcBorders>
          </w:tcPr>
          <w:p w14:paraId="355C7735" w14:textId="77777777" w:rsidR="005156FC" w:rsidRPr="00BF555E" w:rsidRDefault="005156FC" w:rsidP="009617F7">
            <w:pPr>
              <w:spacing w:before="0" w:after="0"/>
              <w:jc w:val="left"/>
              <w:rPr>
                <w:noProof/>
                <w:sz w:val="18"/>
                <w:szCs w:val="18"/>
              </w:rPr>
            </w:pPr>
            <w:r w:rsidRPr="00BF555E">
              <w:rPr>
                <w:sz w:val="18"/>
                <w:szCs w:val="18"/>
              </w:rPr>
              <w:t xml:space="preserve">Programmas specifiskais rādītājs </w:t>
            </w:r>
          </w:p>
        </w:tc>
      </w:tr>
      <w:tr w:rsidR="005156FC" w:rsidRPr="00BF555E" w14:paraId="32FAF11D" w14:textId="77777777" w:rsidTr="005156FC">
        <w:trPr>
          <w:trHeight w:val="286"/>
        </w:trPr>
        <w:tc>
          <w:tcPr>
            <w:tcW w:w="436" w:type="pct"/>
          </w:tcPr>
          <w:p w14:paraId="7785974C" w14:textId="77777777" w:rsidR="005156FC" w:rsidRPr="00BF555E" w:rsidRDefault="005156FC" w:rsidP="009617F7">
            <w:pPr>
              <w:pStyle w:val="Text1"/>
              <w:spacing w:before="0" w:after="0"/>
              <w:ind w:left="0"/>
              <w:rPr>
                <w:rFonts w:cs="Times New Roman"/>
                <w:noProof/>
                <w:sz w:val="18"/>
                <w:szCs w:val="18"/>
              </w:rPr>
            </w:pPr>
            <w:r w:rsidRPr="00BF555E">
              <w:rPr>
                <w:rFonts w:cs="Times New Roman"/>
                <w:noProof/>
                <w:sz w:val="18"/>
                <w:szCs w:val="18"/>
              </w:rPr>
              <w:t>5.1. prioritāte</w:t>
            </w:r>
          </w:p>
        </w:tc>
        <w:tc>
          <w:tcPr>
            <w:tcW w:w="384" w:type="pct"/>
          </w:tcPr>
          <w:p w14:paraId="5B0A31D9" w14:textId="77777777" w:rsidR="005156FC" w:rsidRPr="00BF555E" w:rsidRDefault="005156FC" w:rsidP="009617F7">
            <w:pPr>
              <w:pStyle w:val="Text1"/>
              <w:spacing w:before="0" w:after="0"/>
              <w:ind w:left="0"/>
              <w:rPr>
                <w:rFonts w:eastAsia="Times New Roman" w:cs="Times New Roman"/>
                <w:sz w:val="18"/>
                <w:szCs w:val="18"/>
              </w:rPr>
            </w:pPr>
            <w:r w:rsidRPr="00BF555E">
              <w:rPr>
                <w:rFonts w:eastAsia="Times New Roman" w:cs="Times New Roman"/>
                <w:sz w:val="18"/>
                <w:szCs w:val="18"/>
              </w:rPr>
              <w:t>5.1.1.SAM</w:t>
            </w:r>
          </w:p>
        </w:tc>
        <w:tc>
          <w:tcPr>
            <w:tcW w:w="261" w:type="pct"/>
          </w:tcPr>
          <w:p w14:paraId="312739C2" w14:textId="77777777" w:rsidR="005156FC" w:rsidRPr="00BF555E" w:rsidRDefault="005156FC" w:rsidP="009617F7">
            <w:pPr>
              <w:pStyle w:val="Text1"/>
              <w:spacing w:before="0" w:after="0"/>
              <w:ind w:left="0"/>
              <w:rPr>
                <w:rFonts w:cs="Times New Roman"/>
                <w:noProof/>
                <w:sz w:val="18"/>
                <w:szCs w:val="18"/>
              </w:rPr>
            </w:pPr>
            <w:r w:rsidRPr="00BF555E">
              <w:rPr>
                <w:rFonts w:cs="Times New Roman"/>
                <w:noProof/>
                <w:sz w:val="18"/>
                <w:szCs w:val="18"/>
              </w:rPr>
              <w:t>ERAF</w:t>
            </w:r>
          </w:p>
        </w:tc>
        <w:tc>
          <w:tcPr>
            <w:tcW w:w="310" w:type="pct"/>
          </w:tcPr>
          <w:p w14:paraId="48DF9ED8" w14:textId="77777777" w:rsidR="005156FC" w:rsidRPr="00BF555E" w:rsidRDefault="005156FC" w:rsidP="009617F7">
            <w:pPr>
              <w:pStyle w:val="Text1"/>
              <w:spacing w:before="0" w:after="0"/>
              <w:ind w:left="0"/>
              <w:rPr>
                <w:rFonts w:cs="Times New Roman"/>
                <w:sz w:val="18"/>
                <w:szCs w:val="18"/>
              </w:rPr>
            </w:pPr>
            <w:r w:rsidRPr="00BF555E">
              <w:rPr>
                <w:rFonts w:cs="Times New Roman"/>
                <w:sz w:val="18"/>
                <w:szCs w:val="18"/>
              </w:rPr>
              <w:t>RCR 02</w:t>
            </w:r>
          </w:p>
        </w:tc>
        <w:tc>
          <w:tcPr>
            <w:tcW w:w="675" w:type="pct"/>
            <w:shd w:val="clear" w:color="auto" w:fill="auto"/>
          </w:tcPr>
          <w:p w14:paraId="45DD965E" w14:textId="74CAE1D1" w:rsidR="005156FC" w:rsidRPr="00BF555E" w:rsidRDefault="005156FC" w:rsidP="009617F7">
            <w:pPr>
              <w:pStyle w:val="Text1"/>
              <w:spacing w:before="0" w:after="0"/>
              <w:ind w:left="0"/>
              <w:rPr>
                <w:rFonts w:cs="Times New Roman"/>
                <w:sz w:val="18"/>
                <w:szCs w:val="18"/>
              </w:rPr>
            </w:pPr>
            <w:r w:rsidRPr="00BF555E">
              <w:rPr>
                <w:rFonts w:cs="Times New Roman"/>
                <w:sz w:val="18"/>
                <w:szCs w:val="18"/>
              </w:rPr>
              <w:t>Privātās investīcijas, kas piesaistītas  publiskajam atbalstam (tostarp granti un finanšu instrumenti)</w:t>
            </w:r>
          </w:p>
        </w:tc>
        <w:tc>
          <w:tcPr>
            <w:tcW w:w="439" w:type="pct"/>
          </w:tcPr>
          <w:p w14:paraId="60DE5C14" w14:textId="77777777" w:rsidR="005156FC" w:rsidRPr="00BF555E" w:rsidRDefault="005156FC" w:rsidP="009617F7">
            <w:pPr>
              <w:pStyle w:val="Text1"/>
              <w:spacing w:before="0" w:after="0"/>
              <w:ind w:left="0"/>
              <w:rPr>
                <w:rFonts w:cs="Times New Roman"/>
                <w:noProof/>
                <w:sz w:val="18"/>
                <w:szCs w:val="18"/>
              </w:rPr>
            </w:pPr>
            <w:r w:rsidRPr="005C6273">
              <w:rPr>
                <w:rFonts w:cs="Times New Roman"/>
                <w:i/>
                <w:iCs/>
                <w:noProof/>
                <w:sz w:val="18"/>
                <w:szCs w:val="18"/>
              </w:rPr>
              <w:t>euro</w:t>
            </w:r>
          </w:p>
        </w:tc>
        <w:tc>
          <w:tcPr>
            <w:tcW w:w="374" w:type="pct"/>
          </w:tcPr>
          <w:p w14:paraId="4D7F537E" w14:textId="77777777" w:rsidR="005156FC" w:rsidRPr="00BF555E" w:rsidRDefault="005156FC" w:rsidP="009617F7">
            <w:pPr>
              <w:pStyle w:val="Text1"/>
              <w:spacing w:before="0" w:after="0"/>
              <w:ind w:left="0"/>
              <w:jc w:val="left"/>
              <w:rPr>
                <w:rFonts w:cs="Times New Roman"/>
                <w:noProof/>
                <w:sz w:val="18"/>
                <w:szCs w:val="18"/>
              </w:rPr>
            </w:pPr>
            <w:r w:rsidRPr="00BF555E">
              <w:rPr>
                <w:rFonts w:cs="Times New Roman"/>
                <w:noProof/>
                <w:sz w:val="18"/>
                <w:szCs w:val="18"/>
              </w:rPr>
              <w:t>0</w:t>
            </w:r>
          </w:p>
        </w:tc>
        <w:tc>
          <w:tcPr>
            <w:tcW w:w="401" w:type="pct"/>
          </w:tcPr>
          <w:p w14:paraId="28B2D5A7" w14:textId="77777777" w:rsidR="005156FC" w:rsidRPr="00BF555E" w:rsidRDefault="005156FC" w:rsidP="009617F7">
            <w:pPr>
              <w:pStyle w:val="Text1"/>
              <w:spacing w:before="0" w:after="0"/>
              <w:ind w:left="0"/>
              <w:jc w:val="left"/>
              <w:rPr>
                <w:rFonts w:cs="Times New Roman"/>
                <w:noProof/>
                <w:sz w:val="18"/>
                <w:szCs w:val="18"/>
              </w:rPr>
            </w:pPr>
            <w:r w:rsidRPr="00BF555E">
              <w:rPr>
                <w:rFonts w:cs="Times New Roman"/>
                <w:noProof/>
                <w:sz w:val="18"/>
                <w:szCs w:val="18"/>
              </w:rPr>
              <w:t>2020</w:t>
            </w:r>
          </w:p>
        </w:tc>
        <w:tc>
          <w:tcPr>
            <w:tcW w:w="409" w:type="pct"/>
            <w:shd w:val="clear" w:color="auto" w:fill="auto"/>
          </w:tcPr>
          <w:p w14:paraId="6FBB2914" w14:textId="77777777" w:rsidR="005156FC" w:rsidRPr="00BF555E" w:rsidRDefault="005156FC" w:rsidP="009617F7">
            <w:pPr>
              <w:pStyle w:val="Text1"/>
              <w:spacing w:before="0" w:after="0"/>
              <w:ind w:left="0"/>
              <w:jc w:val="left"/>
              <w:rPr>
                <w:rFonts w:cs="Times New Roman"/>
                <w:noProof/>
                <w:sz w:val="18"/>
                <w:szCs w:val="18"/>
              </w:rPr>
            </w:pPr>
            <w:r>
              <w:rPr>
                <w:rFonts w:cs="Times New Roman"/>
                <w:noProof/>
                <w:sz w:val="18"/>
                <w:szCs w:val="18"/>
              </w:rPr>
              <w:t>74 985 300</w:t>
            </w:r>
          </w:p>
        </w:tc>
        <w:tc>
          <w:tcPr>
            <w:tcW w:w="524" w:type="pct"/>
            <w:shd w:val="clear" w:color="auto" w:fill="auto"/>
          </w:tcPr>
          <w:p w14:paraId="7A23D40E" w14:textId="77777777" w:rsidR="005156FC" w:rsidRPr="00BF555E" w:rsidRDefault="005156FC" w:rsidP="009617F7">
            <w:pPr>
              <w:pStyle w:val="Text1"/>
              <w:spacing w:before="0" w:after="0"/>
              <w:ind w:left="0"/>
              <w:jc w:val="left"/>
              <w:rPr>
                <w:rFonts w:cs="Times New Roman"/>
                <w:noProof/>
                <w:sz w:val="18"/>
                <w:szCs w:val="18"/>
              </w:rPr>
            </w:pPr>
            <w:r w:rsidRPr="00BF555E">
              <w:rPr>
                <w:rFonts w:cs="Times New Roman"/>
                <w:noProof/>
                <w:sz w:val="18"/>
                <w:szCs w:val="18"/>
              </w:rPr>
              <w:t>Projektu dokumentācija</w:t>
            </w:r>
          </w:p>
        </w:tc>
        <w:tc>
          <w:tcPr>
            <w:tcW w:w="787" w:type="pct"/>
          </w:tcPr>
          <w:p w14:paraId="4B8B1D96" w14:textId="77777777" w:rsidR="005156FC" w:rsidRPr="00BF555E" w:rsidRDefault="005156FC" w:rsidP="009617F7">
            <w:pPr>
              <w:spacing w:before="0" w:after="0"/>
              <w:jc w:val="left"/>
              <w:rPr>
                <w:noProof/>
                <w:sz w:val="18"/>
                <w:szCs w:val="18"/>
              </w:rPr>
            </w:pPr>
          </w:p>
        </w:tc>
      </w:tr>
      <w:tr w:rsidR="005156FC" w:rsidRPr="00BF555E" w14:paraId="58732F1C" w14:textId="77777777" w:rsidTr="005156FC">
        <w:trPr>
          <w:trHeight w:val="286"/>
        </w:trPr>
        <w:tc>
          <w:tcPr>
            <w:tcW w:w="436" w:type="pct"/>
          </w:tcPr>
          <w:p w14:paraId="6000B568" w14:textId="77777777" w:rsidR="005156FC" w:rsidRPr="00BF555E" w:rsidRDefault="005156FC" w:rsidP="009617F7">
            <w:pPr>
              <w:pStyle w:val="Text1"/>
              <w:spacing w:before="0" w:after="0"/>
              <w:ind w:left="0"/>
              <w:rPr>
                <w:rFonts w:cs="Times New Roman"/>
                <w:noProof/>
                <w:sz w:val="18"/>
                <w:szCs w:val="18"/>
              </w:rPr>
            </w:pPr>
            <w:r w:rsidRPr="00BF555E">
              <w:rPr>
                <w:rFonts w:cs="Times New Roman"/>
                <w:noProof/>
                <w:sz w:val="18"/>
                <w:szCs w:val="18"/>
              </w:rPr>
              <w:t>5.1.prioritāte</w:t>
            </w:r>
          </w:p>
        </w:tc>
        <w:tc>
          <w:tcPr>
            <w:tcW w:w="384" w:type="pct"/>
          </w:tcPr>
          <w:p w14:paraId="163C48C0" w14:textId="77777777" w:rsidR="005156FC" w:rsidRPr="00BF555E" w:rsidRDefault="005156FC" w:rsidP="009617F7">
            <w:pPr>
              <w:pStyle w:val="Text1"/>
              <w:spacing w:before="0" w:after="0"/>
              <w:ind w:left="0"/>
              <w:rPr>
                <w:rFonts w:cs="Times New Roman"/>
                <w:noProof/>
                <w:sz w:val="18"/>
                <w:szCs w:val="18"/>
              </w:rPr>
            </w:pPr>
            <w:r>
              <w:rPr>
                <w:rFonts w:cs="Times New Roman"/>
                <w:noProof/>
                <w:sz w:val="18"/>
                <w:szCs w:val="18"/>
              </w:rPr>
              <w:t xml:space="preserve">KM </w:t>
            </w:r>
            <w:r w:rsidRPr="00BF555E">
              <w:rPr>
                <w:rFonts w:cs="Times New Roman"/>
                <w:noProof/>
                <w:sz w:val="18"/>
                <w:szCs w:val="18"/>
              </w:rPr>
              <w:t>5.1.1.SAM</w:t>
            </w:r>
          </w:p>
          <w:p w14:paraId="21BFABCB" w14:textId="77777777" w:rsidR="005156FC" w:rsidRPr="00BF555E" w:rsidRDefault="005156FC" w:rsidP="009617F7">
            <w:pPr>
              <w:pStyle w:val="Text1"/>
              <w:spacing w:before="0" w:after="0"/>
              <w:ind w:left="0"/>
              <w:rPr>
                <w:rFonts w:cs="Times New Roman"/>
                <w:noProof/>
                <w:sz w:val="18"/>
                <w:szCs w:val="18"/>
              </w:rPr>
            </w:pPr>
          </w:p>
        </w:tc>
        <w:tc>
          <w:tcPr>
            <w:tcW w:w="261" w:type="pct"/>
          </w:tcPr>
          <w:p w14:paraId="512E4D82" w14:textId="77777777" w:rsidR="005156FC" w:rsidRPr="00BF555E" w:rsidRDefault="005156FC" w:rsidP="009617F7">
            <w:pPr>
              <w:pStyle w:val="Text1"/>
              <w:spacing w:before="0" w:after="0"/>
              <w:ind w:left="0"/>
              <w:rPr>
                <w:rFonts w:cs="Times New Roman"/>
                <w:noProof/>
                <w:sz w:val="18"/>
                <w:szCs w:val="18"/>
              </w:rPr>
            </w:pPr>
            <w:r w:rsidRPr="00BF555E">
              <w:rPr>
                <w:rFonts w:cs="Times New Roman"/>
                <w:noProof/>
                <w:sz w:val="18"/>
                <w:szCs w:val="18"/>
              </w:rPr>
              <w:t>ERAF</w:t>
            </w:r>
          </w:p>
        </w:tc>
        <w:tc>
          <w:tcPr>
            <w:tcW w:w="310" w:type="pct"/>
          </w:tcPr>
          <w:p w14:paraId="786047FE" w14:textId="77777777" w:rsidR="005156FC" w:rsidRPr="00BF555E" w:rsidRDefault="005156FC" w:rsidP="009617F7">
            <w:pPr>
              <w:pStyle w:val="Text1"/>
              <w:spacing w:before="0" w:after="0"/>
              <w:ind w:left="0"/>
              <w:rPr>
                <w:rFonts w:cs="Times New Roman"/>
                <w:sz w:val="18"/>
                <w:szCs w:val="18"/>
              </w:rPr>
            </w:pPr>
            <w:r w:rsidRPr="00BF555E">
              <w:rPr>
                <w:rFonts w:cs="Times New Roman"/>
                <w:sz w:val="18"/>
                <w:szCs w:val="18"/>
              </w:rPr>
              <w:t>RCR 77</w:t>
            </w:r>
          </w:p>
        </w:tc>
        <w:tc>
          <w:tcPr>
            <w:tcW w:w="675" w:type="pct"/>
            <w:shd w:val="clear" w:color="auto" w:fill="auto"/>
          </w:tcPr>
          <w:p w14:paraId="20B6DE53" w14:textId="66AB6EBC" w:rsidR="005156FC" w:rsidRPr="00BF555E" w:rsidRDefault="005156FC" w:rsidP="009617F7">
            <w:pPr>
              <w:pStyle w:val="Text1"/>
              <w:spacing w:before="0" w:after="0"/>
              <w:ind w:left="0"/>
              <w:rPr>
                <w:rFonts w:cs="Times New Roman"/>
                <w:sz w:val="18"/>
                <w:szCs w:val="18"/>
              </w:rPr>
            </w:pPr>
            <w:r w:rsidRPr="00BF555E">
              <w:rPr>
                <w:rFonts w:cs="Times New Roman"/>
                <w:sz w:val="18"/>
                <w:szCs w:val="18"/>
              </w:rPr>
              <w:t>Atbalstīto kultūras un tūrisma vietu apmeklētāju skaits</w:t>
            </w:r>
          </w:p>
        </w:tc>
        <w:tc>
          <w:tcPr>
            <w:tcW w:w="439" w:type="pct"/>
          </w:tcPr>
          <w:p w14:paraId="227BE428" w14:textId="77777777" w:rsidR="005156FC" w:rsidRPr="00BF555E" w:rsidRDefault="005156FC" w:rsidP="009617F7">
            <w:pPr>
              <w:pStyle w:val="Text1"/>
              <w:spacing w:before="0" w:after="0"/>
              <w:ind w:left="0"/>
              <w:rPr>
                <w:rFonts w:cs="Times New Roman"/>
                <w:noProof/>
                <w:sz w:val="18"/>
                <w:szCs w:val="18"/>
              </w:rPr>
            </w:pPr>
            <w:r w:rsidRPr="00BF555E">
              <w:rPr>
                <w:rFonts w:cs="Times New Roman"/>
                <w:noProof/>
                <w:sz w:val="18"/>
                <w:szCs w:val="18"/>
              </w:rPr>
              <w:t>Apmeklētāji/ gadā</w:t>
            </w:r>
          </w:p>
        </w:tc>
        <w:tc>
          <w:tcPr>
            <w:tcW w:w="374" w:type="pct"/>
          </w:tcPr>
          <w:p w14:paraId="05EC8962" w14:textId="77777777" w:rsidR="005156FC" w:rsidRPr="00BF555E" w:rsidRDefault="005156FC" w:rsidP="009617F7">
            <w:pPr>
              <w:pStyle w:val="Text1"/>
              <w:spacing w:before="0" w:after="0"/>
              <w:ind w:left="0"/>
              <w:rPr>
                <w:rFonts w:cs="Times New Roman"/>
                <w:noProof/>
                <w:sz w:val="18"/>
                <w:szCs w:val="18"/>
              </w:rPr>
            </w:pPr>
            <w:r>
              <w:rPr>
                <w:rFonts w:cs="Times New Roman"/>
                <w:noProof/>
                <w:sz w:val="18"/>
                <w:szCs w:val="18"/>
              </w:rPr>
              <w:t>1 053 000</w:t>
            </w:r>
          </w:p>
          <w:p w14:paraId="5E5F2694" w14:textId="77777777" w:rsidR="005156FC" w:rsidRPr="00BF555E" w:rsidRDefault="005156FC" w:rsidP="009617F7">
            <w:pPr>
              <w:pStyle w:val="Text1"/>
              <w:spacing w:before="0" w:after="0"/>
              <w:ind w:left="0"/>
              <w:rPr>
                <w:rFonts w:cs="Times New Roman"/>
                <w:noProof/>
                <w:sz w:val="18"/>
                <w:szCs w:val="18"/>
              </w:rPr>
            </w:pPr>
          </w:p>
        </w:tc>
        <w:tc>
          <w:tcPr>
            <w:tcW w:w="401" w:type="pct"/>
          </w:tcPr>
          <w:p w14:paraId="0357DB87" w14:textId="77777777" w:rsidR="005156FC" w:rsidRPr="00BF555E" w:rsidRDefault="005156FC" w:rsidP="009617F7">
            <w:pPr>
              <w:pStyle w:val="Text1"/>
              <w:spacing w:before="0" w:after="0"/>
              <w:ind w:left="0"/>
              <w:rPr>
                <w:rFonts w:cs="Times New Roman"/>
                <w:noProof/>
                <w:sz w:val="18"/>
                <w:szCs w:val="18"/>
              </w:rPr>
            </w:pPr>
            <w:r w:rsidRPr="00BF555E">
              <w:rPr>
                <w:rFonts w:cs="Times New Roman"/>
                <w:noProof/>
                <w:sz w:val="18"/>
                <w:szCs w:val="18"/>
              </w:rPr>
              <w:t>2021</w:t>
            </w:r>
          </w:p>
        </w:tc>
        <w:tc>
          <w:tcPr>
            <w:tcW w:w="409" w:type="pct"/>
            <w:shd w:val="clear" w:color="auto" w:fill="auto"/>
          </w:tcPr>
          <w:p w14:paraId="5C8D82C3" w14:textId="77777777" w:rsidR="005156FC" w:rsidRPr="00BF555E" w:rsidRDefault="005156FC" w:rsidP="009617F7">
            <w:pPr>
              <w:pStyle w:val="Text1"/>
              <w:spacing w:before="0" w:after="0"/>
              <w:ind w:left="0"/>
              <w:rPr>
                <w:rFonts w:cs="Times New Roman"/>
                <w:noProof/>
                <w:sz w:val="18"/>
                <w:szCs w:val="18"/>
              </w:rPr>
            </w:pPr>
            <w:r>
              <w:rPr>
                <w:rFonts w:cs="Times New Roman"/>
                <w:noProof/>
                <w:sz w:val="18"/>
                <w:szCs w:val="18"/>
              </w:rPr>
              <w:t>1 242 000</w:t>
            </w:r>
          </w:p>
          <w:p w14:paraId="3BDE5FF0" w14:textId="77777777" w:rsidR="005156FC" w:rsidRPr="00BF555E" w:rsidRDefault="005156FC" w:rsidP="009617F7">
            <w:pPr>
              <w:pStyle w:val="Text1"/>
              <w:spacing w:before="0" w:after="0"/>
              <w:ind w:left="0"/>
              <w:rPr>
                <w:rFonts w:cs="Times New Roman"/>
                <w:noProof/>
                <w:sz w:val="18"/>
                <w:szCs w:val="18"/>
              </w:rPr>
            </w:pPr>
          </w:p>
        </w:tc>
        <w:tc>
          <w:tcPr>
            <w:tcW w:w="524" w:type="pct"/>
            <w:shd w:val="clear" w:color="auto" w:fill="auto"/>
          </w:tcPr>
          <w:p w14:paraId="5D133FA5" w14:textId="77777777" w:rsidR="005156FC" w:rsidRPr="00BF555E" w:rsidRDefault="005156FC" w:rsidP="009617F7">
            <w:pPr>
              <w:pStyle w:val="Text1"/>
              <w:spacing w:before="0" w:after="0"/>
              <w:ind w:left="0"/>
              <w:rPr>
                <w:rFonts w:cs="Times New Roman"/>
                <w:noProof/>
                <w:sz w:val="18"/>
                <w:szCs w:val="18"/>
              </w:rPr>
            </w:pPr>
            <w:r w:rsidRPr="00BF555E">
              <w:rPr>
                <w:rFonts w:cs="Times New Roman"/>
                <w:noProof/>
                <w:sz w:val="18"/>
                <w:szCs w:val="18"/>
              </w:rPr>
              <w:t>Projektu dati</w:t>
            </w:r>
          </w:p>
        </w:tc>
        <w:tc>
          <w:tcPr>
            <w:tcW w:w="787" w:type="pct"/>
          </w:tcPr>
          <w:p w14:paraId="467D8564" w14:textId="77777777" w:rsidR="005156FC" w:rsidRPr="00BF555E" w:rsidRDefault="005156FC" w:rsidP="009617F7">
            <w:pPr>
              <w:spacing w:before="0" w:after="0"/>
              <w:rPr>
                <w:noProof/>
                <w:sz w:val="18"/>
                <w:szCs w:val="18"/>
              </w:rPr>
            </w:pPr>
          </w:p>
        </w:tc>
      </w:tr>
      <w:tr w:rsidR="005156FC" w:rsidRPr="00BF555E" w14:paraId="79C0CC88" w14:textId="77777777" w:rsidTr="005156FC">
        <w:trPr>
          <w:trHeight w:val="286"/>
        </w:trPr>
        <w:tc>
          <w:tcPr>
            <w:tcW w:w="436" w:type="pct"/>
          </w:tcPr>
          <w:p w14:paraId="55E32095" w14:textId="77777777" w:rsidR="005156FC" w:rsidRPr="00BF555E" w:rsidRDefault="005156FC" w:rsidP="009617F7">
            <w:pPr>
              <w:pStyle w:val="Text1"/>
              <w:spacing w:before="0" w:after="0"/>
              <w:ind w:left="0"/>
              <w:rPr>
                <w:rFonts w:cs="Times New Roman"/>
                <w:noProof/>
                <w:sz w:val="18"/>
                <w:szCs w:val="18"/>
              </w:rPr>
            </w:pPr>
            <w:r w:rsidRPr="00BF555E">
              <w:rPr>
                <w:rFonts w:cs="Times New Roman"/>
                <w:noProof/>
                <w:sz w:val="18"/>
                <w:szCs w:val="18"/>
              </w:rPr>
              <w:t>5.1.prioritāte</w:t>
            </w:r>
          </w:p>
        </w:tc>
        <w:tc>
          <w:tcPr>
            <w:tcW w:w="384" w:type="pct"/>
          </w:tcPr>
          <w:p w14:paraId="0565E50D" w14:textId="77777777" w:rsidR="005156FC" w:rsidRPr="00BF555E" w:rsidRDefault="005156FC" w:rsidP="009617F7">
            <w:pPr>
              <w:pStyle w:val="Text1"/>
              <w:spacing w:before="0" w:after="0"/>
              <w:ind w:left="0"/>
              <w:rPr>
                <w:rFonts w:cs="Times New Roman"/>
                <w:noProof/>
                <w:sz w:val="18"/>
                <w:szCs w:val="18"/>
              </w:rPr>
            </w:pPr>
            <w:r w:rsidRPr="00BF555E">
              <w:rPr>
                <w:rFonts w:cs="Times New Roman"/>
                <w:noProof/>
                <w:sz w:val="18"/>
                <w:szCs w:val="18"/>
              </w:rPr>
              <w:t>VARAM: 5.1.1.SAM</w:t>
            </w:r>
          </w:p>
          <w:p w14:paraId="3110CCEF" w14:textId="77777777" w:rsidR="005156FC" w:rsidRPr="00BF555E" w:rsidRDefault="005156FC" w:rsidP="009617F7">
            <w:pPr>
              <w:pStyle w:val="Text1"/>
              <w:spacing w:before="0" w:after="0"/>
              <w:ind w:left="0"/>
              <w:rPr>
                <w:rFonts w:cs="Times New Roman"/>
                <w:noProof/>
                <w:sz w:val="18"/>
                <w:szCs w:val="18"/>
              </w:rPr>
            </w:pPr>
          </w:p>
        </w:tc>
        <w:tc>
          <w:tcPr>
            <w:tcW w:w="261" w:type="pct"/>
          </w:tcPr>
          <w:p w14:paraId="6C92C2EA" w14:textId="77777777" w:rsidR="005156FC" w:rsidRPr="00BF555E" w:rsidRDefault="005156FC" w:rsidP="009617F7">
            <w:pPr>
              <w:pStyle w:val="Text1"/>
              <w:spacing w:before="0" w:after="0"/>
              <w:ind w:left="0"/>
              <w:rPr>
                <w:rFonts w:cs="Times New Roman"/>
                <w:noProof/>
                <w:sz w:val="18"/>
                <w:szCs w:val="18"/>
              </w:rPr>
            </w:pPr>
            <w:r w:rsidRPr="00BF555E">
              <w:rPr>
                <w:rFonts w:cs="Times New Roman"/>
                <w:noProof/>
                <w:sz w:val="18"/>
                <w:szCs w:val="18"/>
              </w:rPr>
              <w:t>ERAF</w:t>
            </w:r>
          </w:p>
        </w:tc>
        <w:tc>
          <w:tcPr>
            <w:tcW w:w="310" w:type="pct"/>
          </w:tcPr>
          <w:p w14:paraId="554C7FE5" w14:textId="77777777" w:rsidR="005156FC" w:rsidRPr="00BF555E" w:rsidRDefault="005156FC" w:rsidP="009617F7">
            <w:pPr>
              <w:pStyle w:val="Text1"/>
              <w:spacing w:before="0" w:after="0"/>
              <w:ind w:left="0"/>
              <w:rPr>
                <w:rFonts w:cs="Times New Roman"/>
                <w:sz w:val="18"/>
                <w:szCs w:val="18"/>
              </w:rPr>
            </w:pPr>
            <w:r w:rsidRPr="00BF555E">
              <w:rPr>
                <w:rFonts w:cs="Times New Roman"/>
                <w:sz w:val="18"/>
                <w:szCs w:val="18"/>
              </w:rPr>
              <w:t xml:space="preserve"> r.5.1.1.a</w:t>
            </w:r>
          </w:p>
        </w:tc>
        <w:tc>
          <w:tcPr>
            <w:tcW w:w="675" w:type="pct"/>
            <w:shd w:val="clear" w:color="auto" w:fill="auto"/>
          </w:tcPr>
          <w:p w14:paraId="72D35BD1" w14:textId="4FF72D83" w:rsidR="005156FC" w:rsidRPr="00BF555E" w:rsidRDefault="005156FC" w:rsidP="009617F7">
            <w:pPr>
              <w:pStyle w:val="Text1"/>
              <w:spacing w:before="0" w:after="0"/>
              <w:ind w:left="0"/>
              <w:rPr>
                <w:rFonts w:cs="Times New Roman"/>
                <w:sz w:val="18"/>
                <w:szCs w:val="18"/>
              </w:rPr>
            </w:pPr>
            <w:r w:rsidRPr="00BF555E">
              <w:rPr>
                <w:rFonts w:cs="Times New Roman"/>
                <w:sz w:val="18"/>
                <w:szCs w:val="18"/>
              </w:rPr>
              <w:t xml:space="preserve">Iedzīvotāji, kuriem ir pieejama jauna vai uzlabota droša publiskā ārtelpa </w:t>
            </w:r>
          </w:p>
          <w:p w14:paraId="317642C9" w14:textId="77777777" w:rsidR="005156FC" w:rsidRPr="00BF555E" w:rsidRDefault="005156FC" w:rsidP="009617F7">
            <w:pPr>
              <w:pStyle w:val="Text1"/>
              <w:spacing w:before="0" w:after="0"/>
              <w:ind w:left="0"/>
              <w:rPr>
                <w:rFonts w:cs="Times New Roman"/>
                <w:sz w:val="18"/>
                <w:szCs w:val="18"/>
              </w:rPr>
            </w:pPr>
          </w:p>
        </w:tc>
        <w:tc>
          <w:tcPr>
            <w:tcW w:w="439" w:type="pct"/>
          </w:tcPr>
          <w:p w14:paraId="20ECD530" w14:textId="77777777" w:rsidR="005156FC" w:rsidRPr="00BF555E" w:rsidRDefault="005156FC" w:rsidP="009617F7">
            <w:pPr>
              <w:pStyle w:val="Text1"/>
              <w:spacing w:before="0" w:after="0"/>
              <w:ind w:left="0"/>
              <w:rPr>
                <w:rFonts w:cs="Times New Roman"/>
                <w:noProof/>
                <w:sz w:val="18"/>
                <w:szCs w:val="18"/>
              </w:rPr>
            </w:pPr>
            <w:r w:rsidRPr="00BF555E">
              <w:rPr>
                <w:rFonts w:cs="Times New Roman"/>
                <w:sz w:val="18"/>
                <w:szCs w:val="18"/>
              </w:rPr>
              <w:t>Iedzīvotāju skaits (2 km rādiusā)</w:t>
            </w:r>
          </w:p>
        </w:tc>
        <w:tc>
          <w:tcPr>
            <w:tcW w:w="374" w:type="pct"/>
          </w:tcPr>
          <w:p w14:paraId="38BB66CF" w14:textId="77777777" w:rsidR="005156FC" w:rsidRPr="00BF555E" w:rsidRDefault="005156FC" w:rsidP="009617F7">
            <w:pPr>
              <w:pStyle w:val="Text1"/>
              <w:spacing w:before="0" w:after="0"/>
              <w:ind w:left="0"/>
              <w:rPr>
                <w:rFonts w:cs="Times New Roman"/>
                <w:sz w:val="18"/>
                <w:szCs w:val="18"/>
              </w:rPr>
            </w:pPr>
            <w:r w:rsidRPr="00BF555E">
              <w:rPr>
                <w:rFonts w:cs="Times New Roman"/>
                <w:sz w:val="18"/>
                <w:szCs w:val="18"/>
              </w:rPr>
              <w:t>VARAM: 0</w:t>
            </w:r>
          </w:p>
          <w:p w14:paraId="0863DAE9" w14:textId="77777777" w:rsidR="005156FC" w:rsidRPr="00BF555E" w:rsidRDefault="005156FC" w:rsidP="009617F7">
            <w:pPr>
              <w:pStyle w:val="Text1"/>
              <w:spacing w:before="0" w:after="0"/>
              <w:ind w:left="0"/>
              <w:rPr>
                <w:rFonts w:cs="Times New Roman"/>
                <w:noProof/>
                <w:sz w:val="18"/>
                <w:szCs w:val="18"/>
              </w:rPr>
            </w:pPr>
          </w:p>
        </w:tc>
        <w:tc>
          <w:tcPr>
            <w:tcW w:w="401" w:type="pct"/>
          </w:tcPr>
          <w:p w14:paraId="79D1C999" w14:textId="77777777" w:rsidR="005156FC" w:rsidRPr="00BF555E" w:rsidRDefault="005156FC" w:rsidP="009617F7">
            <w:pPr>
              <w:pStyle w:val="Text1"/>
              <w:spacing w:before="0" w:after="0"/>
              <w:ind w:left="0"/>
              <w:rPr>
                <w:rFonts w:cs="Times New Roman"/>
                <w:sz w:val="18"/>
                <w:szCs w:val="18"/>
              </w:rPr>
            </w:pPr>
            <w:r w:rsidRPr="00BF555E">
              <w:rPr>
                <w:rFonts w:cs="Times New Roman"/>
                <w:sz w:val="18"/>
                <w:szCs w:val="18"/>
              </w:rPr>
              <w:t>VARAM:</w:t>
            </w:r>
          </w:p>
          <w:p w14:paraId="002FF230" w14:textId="77777777" w:rsidR="005156FC" w:rsidRPr="00BF555E" w:rsidRDefault="005156FC" w:rsidP="009617F7">
            <w:pPr>
              <w:pStyle w:val="Text1"/>
              <w:spacing w:before="0" w:after="0"/>
              <w:ind w:left="0"/>
              <w:rPr>
                <w:rFonts w:cs="Times New Roman"/>
                <w:sz w:val="18"/>
                <w:szCs w:val="18"/>
              </w:rPr>
            </w:pPr>
            <w:r w:rsidRPr="00BF555E">
              <w:rPr>
                <w:rFonts w:cs="Times New Roman"/>
                <w:sz w:val="18"/>
                <w:szCs w:val="18"/>
              </w:rPr>
              <w:t>2020</w:t>
            </w:r>
          </w:p>
          <w:p w14:paraId="4A6ADBCD" w14:textId="77777777" w:rsidR="005156FC" w:rsidRPr="00BF555E" w:rsidRDefault="005156FC" w:rsidP="009617F7">
            <w:pPr>
              <w:pStyle w:val="Text1"/>
              <w:spacing w:before="0" w:after="0"/>
              <w:ind w:left="0"/>
              <w:rPr>
                <w:rFonts w:cs="Times New Roman"/>
                <w:noProof/>
                <w:sz w:val="18"/>
                <w:szCs w:val="18"/>
              </w:rPr>
            </w:pPr>
          </w:p>
        </w:tc>
        <w:tc>
          <w:tcPr>
            <w:tcW w:w="409" w:type="pct"/>
            <w:shd w:val="clear" w:color="auto" w:fill="auto"/>
          </w:tcPr>
          <w:p w14:paraId="007F2271" w14:textId="77777777" w:rsidR="005156FC" w:rsidRPr="00BF555E" w:rsidRDefault="005156FC" w:rsidP="009617F7">
            <w:pPr>
              <w:pStyle w:val="Text1"/>
              <w:spacing w:before="0" w:after="0"/>
              <w:ind w:left="0"/>
              <w:rPr>
                <w:rFonts w:cs="Times New Roman"/>
                <w:sz w:val="18"/>
                <w:szCs w:val="18"/>
              </w:rPr>
            </w:pPr>
            <w:r w:rsidRPr="00BF555E">
              <w:rPr>
                <w:rFonts w:cs="Times New Roman"/>
                <w:sz w:val="18"/>
                <w:szCs w:val="18"/>
              </w:rPr>
              <w:t>VARAM:</w:t>
            </w:r>
          </w:p>
          <w:p w14:paraId="2858F82F" w14:textId="77777777" w:rsidR="005156FC" w:rsidRPr="00BF555E" w:rsidRDefault="005156FC" w:rsidP="009617F7">
            <w:pPr>
              <w:pStyle w:val="Text1"/>
              <w:spacing w:before="0" w:after="0"/>
              <w:ind w:left="0"/>
              <w:rPr>
                <w:rFonts w:cs="Times New Roman"/>
                <w:noProof/>
                <w:sz w:val="18"/>
                <w:szCs w:val="18"/>
              </w:rPr>
            </w:pPr>
            <w:r>
              <w:rPr>
                <w:rFonts w:cs="Times New Roman"/>
                <w:sz w:val="18"/>
                <w:szCs w:val="18"/>
              </w:rPr>
              <w:t>40 950</w:t>
            </w:r>
          </w:p>
        </w:tc>
        <w:tc>
          <w:tcPr>
            <w:tcW w:w="524" w:type="pct"/>
            <w:shd w:val="clear" w:color="auto" w:fill="auto"/>
          </w:tcPr>
          <w:p w14:paraId="7835E037" w14:textId="77777777" w:rsidR="005156FC" w:rsidRPr="00BF555E" w:rsidRDefault="005156FC" w:rsidP="009617F7">
            <w:pPr>
              <w:pStyle w:val="Text1"/>
              <w:spacing w:before="0" w:after="0"/>
              <w:ind w:left="0"/>
              <w:rPr>
                <w:rFonts w:cs="Times New Roman"/>
                <w:noProof/>
                <w:sz w:val="18"/>
                <w:szCs w:val="18"/>
              </w:rPr>
            </w:pPr>
            <w:r w:rsidRPr="00BF555E">
              <w:rPr>
                <w:rFonts w:cs="Times New Roman"/>
                <w:noProof/>
                <w:sz w:val="18"/>
                <w:szCs w:val="18"/>
              </w:rPr>
              <w:t>Projektu dati</w:t>
            </w:r>
          </w:p>
          <w:p w14:paraId="45E78BB7" w14:textId="77777777" w:rsidR="005156FC" w:rsidRPr="00BF555E" w:rsidRDefault="005156FC" w:rsidP="009617F7">
            <w:pPr>
              <w:pStyle w:val="Text1"/>
              <w:spacing w:before="0" w:after="0"/>
              <w:ind w:left="0"/>
              <w:rPr>
                <w:rFonts w:cs="Times New Roman"/>
                <w:noProof/>
                <w:sz w:val="18"/>
                <w:szCs w:val="18"/>
              </w:rPr>
            </w:pPr>
          </w:p>
        </w:tc>
        <w:tc>
          <w:tcPr>
            <w:tcW w:w="787" w:type="pct"/>
          </w:tcPr>
          <w:p w14:paraId="5EE7B2BC" w14:textId="77777777" w:rsidR="005156FC" w:rsidRPr="00BF555E" w:rsidRDefault="005156FC" w:rsidP="009617F7">
            <w:pPr>
              <w:spacing w:before="0" w:after="0"/>
              <w:rPr>
                <w:noProof/>
                <w:sz w:val="18"/>
                <w:szCs w:val="18"/>
              </w:rPr>
            </w:pPr>
            <w:r w:rsidRPr="00BF555E">
              <w:rPr>
                <w:sz w:val="18"/>
                <w:szCs w:val="18"/>
              </w:rPr>
              <w:t xml:space="preserve">Programmas specifiskais rādītājs </w:t>
            </w:r>
          </w:p>
        </w:tc>
      </w:tr>
    </w:tbl>
    <w:p w14:paraId="74736F5F" w14:textId="77777777" w:rsidR="00B471B0" w:rsidRPr="00930237" w:rsidRDefault="00B471B0" w:rsidP="00B471B0">
      <w:pPr>
        <w:spacing w:before="0" w:after="0"/>
        <w:rPr>
          <w:b/>
          <w:noProof/>
          <w:sz w:val="20"/>
        </w:rPr>
      </w:pPr>
    </w:p>
    <w:p w14:paraId="0B8473FE" w14:textId="77777777" w:rsidR="00B471B0" w:rsidRPr="00930237" w:rsidRDefault="00B471B0" w:rsidP="00B471B0">
      <w:pPr>
        <w:spacing w:before="0" w:after="0"/>
        <w:rPr>
          <w:rFonts w:eastAsia="Times New Roman"/>
          <w:iCs/>
          <w:noProof/>
          <w:sz w:val="20"/>
        </w:rPr>
      </w:pPr>
      <w:r w:rsidRPr="00930237">
        <w:rPr>
          <w:rFonts w:eastAsia="Times New Roman"/>
          <w:iCs/>
          <w:noProof/>
          <w:sz w:val="20"/>
        </w:rPr>
        <w:t>* Rādītāju sasniedzamās vērtības tiks definētas, kad būs pieejami veikto izvērtējumu rezultāti, kā arī attiecīgo nozaru plānošanas dokumentu izstrādes un saskaņošanas ietvaros.</w:t>
      </w:r>
    </w:p>
    <w:p w14:paraId="7362A113" w14:textId="77777777" w:rsidR="00B471B0" w:rsidRPr="00930237" w:rsidRDefault="00B471B0" w:rsidP="00B471B0">
      <w:pPr>
        <w:rPr>
          <w:sz w:val="20"/>
        </w:rPr>
      </w:pPr>
    </w:p>
    <w:p w14:paraId="29CA52E2" w14:textId="77777777" w:rsidR="00B471B0" w:rsidRPr="00930237" w:rsidRDefault="00B471B0" w:rsidP="00B471B0">
      <w:pPr>
        <w:rPr>
          <w:sz w:val="20"/>
        </w:rPr>
      </w:pPr>
    </w:p>
    <w:p w14:paraId="51DA810A" w14:textId="77777777" w:rsidR="00B471B0" w:rsidRPr="00357401" w:rsidRDefault="00B471B0" w:rsidP="00B471B0"/>
    <w:p w14:paraId="547C4A2D" w14:textId="77777777" w:rsidR="00B471B0" w:rsidRPr="00930237" w:rsidRDefault="00B471B0" w:rsidP="00AC212B"/>
    <w:p w14:paraId="577B7851" w14:textId="77777777" w:rsidR="00B471B0" w:rsidRDefault="00B471B0" w:rsidP="00AC212B">
      <w:pPr>
        <w:spacing w:after="0"/>
        <w:rPr>
          <w:rFonts w:eastAsia="Times New Roman"/>
          <w:szCs w:val="24"/>
        </w:rPr>
        <w:sectPr w:rsidR="00B471B0" w:rsidSect="00B471B0">
          <w:pgSz w:w="16838" w:h="11906" w:orient="landscape" w:code="9"/>
          <w:pgMar w:top="1418" w:right="1418" w:bottom="1418" w:left="1418" w:header="567" w:footer="510" w:gutter="0"/>
          <w:cols w:space="708"/>
          <w:titlePg/>
          <w:docGrid w:linePitch="360"/>
        </w:sectPr>
      </w:pPr>
    </w:p>
    <w:p w14:paraId="1E77163F" w14:textId="38776571" w:rsidR="00AC212B" w:rsidRPr="00930237" w:rsidRDefault="00AC212B" w:rsidP="00AC212B">
      <w:pPr>
        <w:spacing w:after="0"/>
        <w:rPr>
          <w:rFonts w:eastAsia="Times New Roman"/>
          <w:szCs w:val="24"/>
        </w:rPr>
      </w:pPr>
    </w:p>
    <w:p w14:paraId="599D298E" w14:textId="2C18ACCC" w:rsidR="00AC212B" w:rsidRPr="00930237" w:rsidRDefault="00CD4464" w:rsidP="00AC212B">
      <w:pPr>
        <w:pStyle w:val="Heading3"/>
        <w:numPr>
          <w:ilvl w:val="0"/>
          <w:numId w:val="0"/>
        </w:numPr>
        <w:shd w:val="clear" w:color="auto" w:fill="FFF2CC" w:themeFill="accent4" w:themeFillTint="33"/>
        <w:spacing w:after="0"/>
        <w:ind w:firstLine="65"/>
        <w:rPr>
          <w:b/>
          <w:i w:val="0"/>
        </w:rPr>
      </w:pPr>
      <w:bookmarkStart w:id="48" w:name="_Toc69125423"/>
      <w:r>
        <w:rPr>
          <w:b/>
          <w:i w:val="0"/>
          <w:noProof/>
        </w:rPr>
        <w:t>6</w:t>
      </w:r>
      <w:r w:rsidRPr="00930237">
        <w:rPr>
          <w:b/>
          <w:i w:val="0"/>
          <w:noProof/>
        </w:rPr>
        <w:t xml:space="preserve">.politikas mērķis </w:t>
      </w:r>
      <w:r>
        <w:rPr>
          <w:b/>
          <w:i w:val="0"/>
          <w:noProof/>
        </w:rPr>
        <w:t>“</w:t>
      </w:r>
      <w:r w:rsidR="00AC212B" w:rsidRPr="00930237">
        <w:rPr>
          <w:b/>
          <w:i w:val="0"/>
        </w:rPr>
        <w:t>Taisnīgās pārkārtošanās fonda investīcijas</w:t>
      </w:r>
      <w:r>
        <w:rPr>
          <w:b/>
          <w:i w:val="0"/>
        </w:rPr>
        <w:t>”</w:t>
      </w:r>
      <w:bookmarkEnd w:id="48"/>
    </w:p>
    <w:p w14:paraId="7D500F0A" w14:textId="77777777" w:rsidR="00AC212B" w:rsidRPr="00930237" w:rsidRDefault="00AC212B" w:rsidP="00AC212B">
      <w:pPr>
        <w:spacing w:before="0" w:after="0"/>
      </w:pPr>
    </w:p>
    <w:p w14:paraId="035DE667" w14:textId="77777777" w:rsidR="00AC212B" w:rsidRPr="00930237" w:rsidRDefault="00AC212B" w:rsidP="00AC212B">
      <w:pPr>
        <w:pStyle w:val="Heading4"/>
        <w:numPr>
          <w:ilvl w:val="0"/>
          <w:numId w:val="0"/>
        </w:numPr>
        <w:shd w:val="clear" w:color="auto" w:fill="F7CAAC" w:themeFill="accent2" w:themeFillTint="66"/>
        <w:spacing w:after="0"/>
        <w:rPr>
          <w:b/>
        </w:rPr>
      </w:pPr>
      <w:r w:rsidRPr="00930237">
        <w:rPr>
          <w:b/>
        </w:rPr>
        <w:t>6.1.prioritāte “Pāreja uz klimatneitralitāti”</w:t>
      </w:r>
    </w:p>
    <w:p w14:paraId="445CA2F5" w14:textId="63764A17" w:rsidR="00AC212B" w:rsidRPr="00930237" w:rsidRDefault="00AC212B" w:rsidP="00AC212B">
      <w:pPr>
        <w:pStyle w:val="Heading4"/>
        <w:numPr>
          <w:ilvl w:val="0"/>
          <w:numId w:val="0"/>
        </w:numPr>
        <w:shd w:val="clear" w:color="auto" w:fill="FBE4D5" w:themeFill="accent2" w:themeFillTint="33"/>
        <w:spacing w:after="0"/>
        <w:rPr>
          <w:b/>
        </w:rPr>
      </w:pPr>
      <w:r w:rsidRPr="00930237">
        <w:rPr>
          <w:b/>
        </w:rPr>
        <w:t>6.1.1.SAM “</w:t>
      </w:r>
      <w:r w:rsidR="00893AEB">
        <w:rPr>
          <w:b/>
        </w:rPr>
        <w:t xml:space="preserve">Pārejas </w:t>
      </w:r>
      <w:r w:rsidRPr="00930237">
        <w:rPr>
          <w:b/>
        </w:rPr>
        <w:t>uz klimatneitr</w:t>
      </w:r>
      <w:r w:rsidR="00323A8A">
        <w:rPr>
          <w:b/>
        </w:rPr>
        <w:t>a</w:t>
      </w:r>
      <w:r w:rsidRPr="00930237">
        <w:rPr>
          <w:b/>
        </w:rPr>
        <w:t>litāti</w:t>
      </w:r>
      <w:r w:rsidR="00893AEB">
        <w:rPr>
          <w:b/>
        </w:rPr>
        <w:t xml:space="preserve"> </w:t>
      </w:r>
      <w:r w:rsidR="00893AEB" w:rsidRPr="00893AEB">
        <w:rPr>
          <w:b/>
        </w:rPr>
        <w:t>radīto ekonomisko, sociālo un vides</w:t>
      </w:r>
      <w:r w:rsidR="00893AEB" w:rsidRPr="00893AEB">
        <w:t xml:space="preserve"> </w:t>
      </w:r>
      <w:r w:rsidR="00893AEB" w:rsidRPr="00893AEB">
        <w:rPr>
          <w:b/>
        </w:rPr>
        <w:t>seku mazināšana visvairāk skartajos reģionos</w:t>
      </w:r>
      <w:r w:rsidRPr="00930237">
        <w:rPr>
          <w:b/>
        </w:rPr>
        <w:t>”</w:t>
      </w:r>
    </w:p>
    <w:p w14:paraId="323CEDEA" w14:textId="4C0536BC" w:rsidR="004A58D0"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noProof/>
          <w:sz w:val="24"/>
          <w:szCs w:val="24"/>
        </w:rPr>
        <w:t xml:space="preserve">Atbalstāmās darbības: </w:t>
      </w:r>
      <w:r w:rsidR="004A58D0" w:rsidRPr="00382AE9">
        <w:rPr>
          <w:rFonts w:ascii="Times New Roman" w:hAnsi="Times New Roman" w:cs="Times New Roman"/>
          <w:noProof/>
          <w:sz w:val="24"/>
          <w:szCs w:val="24"/>
        </w:rPr>
        <w:t>Atbilstoši TPF mērķim, atbalstāmas darbības, kas dodu reģioniem un cilvēkiem iespēju risināt sociālās, ekonomiskās un vidiskās sekas, ko rada pāreja uz klimatneitrālu ekonomiku pārkārtošanās vissmagāk skartajos reģionos Latvijā</w:t>
      </w:r>
      <w:r w:rsidR="004A58D0">
        <w:rPr>
          <w:rStyle w:val="FootnoteReference"/>
          <w:rFonts w:ascii="Times New Roman" w:hAnsi="Times New Roman" w:cs="Times New Roman"/>
          <w:noProof/>
          <w:sz w:val="24"/>
          <w:szCs w:val="24"/>
        </w:rPr>
        <w:footnoteReference w:id="132"/>
      </w:r>
      <w:r w:rsidR="004A58D0" w:rsidRPr="00382AE9">
        <w:rPr>
          <w:rFonts w:ascii="Times New Roman" w:hAnsi="Times New Roman" w:cs="Times New Roman"/>
          <w:noProof/>
          <w:sz w:val="24"/>
          <w:szCs w:val="24"/>
        </w:rPr>
        <w:t>. Atbalstāmo  pasākumu plānošanā tiks ņemti vērā sektori, kurus potenciāli visvairāk skars pāreja uz klimatneitrālu ekonomiku, vērtējot to attīstības vajadzības, lai varētu risināt pārkārtošanās grūtības, un nosakot potenciālos izaicinājumus virzībā uz klimatneitralitāti. Konkrēti plānotie atbalsta pasākumi tiks noteikti TPTP, ievērojot tajā paredzētos transformācijas virzienus, kas definēti saskaņā ar plānošanas dokumentiem klimatneitralitātes jomā – NEKP, Latvijas stratēģiju klimatneitralitātes sasniegšanai līdz 2050.gadam, Latvijas pielāgošanās klimata pārmaiņām plānam līdz 2030.gadam, un  ievērojot EK 2020. gada ziņojuma par Latviju D pielikumā ieteiktos TPF atbalstāmo darbību ieteikumus Latvijai, sniedzot kompleksu un savstarpēji papildinošu ieguldījumu stratēģisko mērķu un NEKP uzdevumu īstenošanā, jo pārejas uz klimatneitralitāti potenciālie ieguvumi saistāmi ar vides, sociālajām un ekonomikas dimensijām.</w:t>
      </w:r>
    </w:p>
    <w:p w14:paraId="6E09F7CF" w14:textId="77777777" w:rsidR="004A58D0" w:rsidRDefault="004A58D0"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4A58D0">
        <w:rPr>
          <w:rFonts w:ascii="Times New Roman" w:hAnsi="Times New Roman" w:cs="Times New Roman"/>
          <w:noProof/>
          <w:sz w:val="24"/>
          <w:szCs w:val="24"/>
        </w:rPr>
        <w:t>TPTP ietvaros Latvija plāno vairākus transformācijas virzienus, kas ir savstarpēji papildinoši: kūdras nozares virzību uz klimatneitralitāti; uzņēmējdarbībai nepieciešamās publiskās infrastruktūras attīstību, veicinot pāreju uz klimatneitrālu ekonomiku industriālajās zonās ar augstu energoietilpību; energoefektīvas uzņēmējdarbības infrastruktūras un tehnoloģiju (tostarp AER) attīstību; bezizmešu mobilitātes veicināšanu pašvaldībās; iedzīvotāju prasmju attīstības, pilnveides un pārkvalifikācijas piedāvājuma attīstību pārejai uz klimatneitralitāti, lai atbalstītu teritorijas, kuras vissmagāk skar pāreja uz klimatneitralitāti un novērstu reģionālo atšķirību palielināšanos.</w:t>
      </w:r>
    </w:p>
    <w:p w14:paraId="745F91B4" w14:textId="4FE0A685" w:rsidR="004A58D0" w:rsidRPr="004A58D0" w:rsidRDefault="004A58D0" w:rsidP="007545BD">
      <w:pPr>
        <w:pStyle w:val="ListParagraph"/>
        <w:numPr>
          <w:ilvl w:val="0"/>
          <w:numId w:val="60"/>
        </w:numPr>
        <w:spacing w:line="240" w:lineRule="auto"/>
        <w:ind w:left="567" w:hanging="567"/>
        <w:jc w:val="both"/>
        <w:rPr>
          <w:rFonts w:ascii="Times New Roman" w:hAnsi="Times New Roman" w:cs="Times New Roman"/>
          <w:noProof/>
          <w:sz w:val="24"/>
          <w:szCs w:val="24"/>
        </w:rPr>
      </w:pPr>
      <w:r w:rsidRPr="004A58D0">
        <w:rPr>
          <w:rFonts w:ascii="Times New Roman" w:hAnsi="Times New Roman" w:cs="Times New Roman"/>
          <w:noProof/>
          <w:sz w:val="24"/>
          <w:szCs w:val="24"/>
        </w:rPr>
        <w:t>Kūdras nozares pielāgošanai klimatam draudzīgai un oglekļa neitrālai ekonomikai atbalstāmas ir investīcijas pētniecības un inovāciju aktivitātēs kūdras resursu ilgtspējīgai izmantošanai, kūdras ieguves un pārstrādes tehnoloģiju un tehnoloģisko procesu modernizācijai, inovatīvu kūdras produktu attīstīšanai ar augstāku pievienoto vērtību (nepalielinot kūdras ieguves apjomu), un degradēto purvu (</w:t>
      </w:r>
      <w:r w:rsidR="00323A8A">
        <w:rPr>
          <w:rFonts w:ascii="Times New Roman" w:hAnsi="Times New Roman" w:cs="Times New Roman"/>
          <w:noProof/>
          <w:sz w:val="24"/>
          <w:szCs w:val="24"/>
        </w:rPr>
        <w:t xml:space="preserve">t.sk. </w:t>
      </w:r>
      <w:r w:rsidRPr="004A58D0">
        <w:rPr>
          <w:rFonts w:ascii="Times New Roman" w:hAnsi="Times New Roman" w:cs="Times New Roman"/>
          <w:noProof/>
          <w:sz w:val="24"/>
          <w:szCs w:val="24"/>
        </w:rPr>
        <w:t xml:space="preserve">nerekultivēto vēsturisko kūdras ieguves vietu un to ietekmētajās teritorijās) rekultivācija, lai samazinātu SEG emisijas un pārorientētos uz SEG emisiju mazāk ietilpīgiem risinājumiem, </w:t>
      </w:r>
      <w:r w:rsidR="00323A8A">
        <w:rPr>
          <w:rFonts w:ascii="Times New Roman" w:hAnsi="Times New Roman" w:cs="Times New Roman"/>
          <w:noProof/>
          <w:sz w:val="24"/>
          <w:szCs w:val="24"/>
        </w:rPr>
        <w:t>palielinātu CO</w:t>
      </w:r>
      <w:r w:rsidR="00323A8A" w:rsidRPr="007323C7">
        <w:rPr>
          <w:rFonts w:ascii="Times New Roman" w:hAnsi="Times New Roman" w:cs="Times New Roman"/>
          <w:noProof/>
          <w:sz w:val="24"/>
          <w:szCs w:val="24"/>
          <w:vertAlign w:val="subscript"/>
        </w:rPr>
        <w:t>2</w:t>
      </w:r>
      <w:r w:rsidR="00323A8A">
        <w:rPr>
          <w:rFonts w:ascii="Times New Roman" w:hAnsi="Times New Roman" w:cs="Times New Roman"/>
          <w:noProof/>
          <w:sz w:val="24"/>
          <w:szCs w:val="24"/>
        </w:rPr>
        <w:t xml:space="preserve"> piesaisti, </w:t>
      </w:r>
      <w:r w:rsidRPr="004A58D0">
        <w:rPr>
          <w:rFonts w:ascii="Times New Roman" w:hAnsi="Times New Roman" w:cs="Times New Roman"/>
          <w:noProof/>
          <w:sz w:val="24"/>
          <w:szCs w:val="24"/>
        </w:rPr>
        <w:t>un</w:t>
      </w:r>
      <w:r w:rsidR="00323A8A">
        <w:rPr>
          <w:rFonts w:ascii="Times New Roman" w:hAnsi="Times New Roman" w:cs="Times New Roman"/>
          <w:noProof/>
          <w:sz w:val="24"/>
          <w:szCs w:val="24"/>
        </w:rPr>
        <w:t xml:space="preserve"> modernizētu kūdras nozari </w:t>
      </w:r>
      <w:r w:rsidRPr="004A58D0">
        <w:rPr>
          <w:rFonts w:ascii="Times New Roman" w:hAnsi="Times New Roman" w:cs="Times New Roman"/>
          <w:noProof/>
          <w:sz w:val="24"/>
          <w:szCs w:val="24"/>
        </w:rPr>
        <w:t>, kas ir nozīmīgi faktori, lai pārkārtotos uz daudzveidīgāku, konkurētspējīgāku un “zaļāku” ekonomiku. Purvu rekultivācijas aktivitātes tiks īstenotas saskaņā ar dažādos Eiropas LIFE projektos aprobētiem rezultātiem un piemēriem, sekmējot gan dabas, gan klimata mērķu sasniegšanu, un sniedzot ieguldījumu vietējo ekonomiku un kopienu attīstībā.</w:t>
      </w:r>
    </w:p>
    <w:p w14:paraId="11A2ECF1" w14:textId="77777777" w:rsidR="0026773B" w:rsidRPr="0026773B" w:rsidRDefault="0026773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26773B">
        <w:rPr>
          <w:rFonts w:ascii="Times New Roman" w:hAnsi="Times New Roman" w:cs="Times New Roman"/>
          <w:sz w:val="24"/>
          <w:szCs w:val="24"/>
        </w:rPr>
        <w:t>Atbalstāmas investīcijas uzņēmējiem pārejai uz energoefektīviem un videi draudzīgākiem risinājumiem (t.sk. AER tehnoloģijām), kas veicinās uzņēmējdarbības virzību uz klimata neitralitāti, rezultātā potenciāli mainot ekonomisko aktivitāšu veidu uzņēmējiem un tiešā veidā ietekmējot ekonomikas diversifikāciju un pārkārtošanos.</w:t>
      </w:r>
    </w:p>
    <w:p w14:paraId="4B75BEF3" w14:textId="569B3E81" w:rsidR="0026773B" w:rsidRPr="0026773B" w:rsidRDefault="0026773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26773B">
        <w:rPr>
          <w:rFonts w:ascii="Times New Roman" w:hAnsi="Times New Roman" w:cs="Times New Roman"/>
          <w:sz w:val="24"/>
          <w:szCs w:val="24"/>
        </w:rPr>
        <w:t>Atbalstāmi ieguldījumi uzņēmējdarbības attīstībai nepieciešamajā publiskajā infrastruktūrā, kas ir priekšnosacījums ražošanai un pakalpojumu sniegšanai, lai kāpinātu produktivitāti, pielietojot klimatneitrālus enerģijas avotus un atslogojot komersantu finanšu resursus, ļaujot tiem ieguldīt viedākās, energoefektīvākās un “zaļākās” tehnoloģijās.</w:t>
      </w:r>
    </w:p>
    <w:p w14:paraId="2708457B" w14:textId="77777777" w:rsidR="0026773B" w:rsidRPr="0026773B" w:rsidRDefault="0026773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26773B">
        <w:rPr>
          <w:rFonts w:ascii="Times New Roman" w:hAnsi="Times New Roman" w:cs="Times New Roman"/>
          <w:sz w:val="24"/>
          <w:szCs w:val="24"/>
        </w:rPr>
        <w:t xml:space="preserve">Transporta nozarē bezizmešu mobilitātes veicināšanai pašvaldībās ir nepieciešama pāreja uz integrētu pieeju, atbalstot ieguldījumus tādā pašvaldību transportā, kas samazina emisiju apjomu uz vienu pārvadājumu vienību. </w:t>
      </w:r>
    </w:p>
    <w:p w14:paraId="143FC439" w14:textId="36D351B2" w:rsidR="00D233A2" w:rsidRDefault="00D233A2"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D233A2">
        <w:rPr>
          <w:rFonts w:ascii="Times New Roman" w:hAnsi="Times New Roman" w:cs="Times New Roman"/>
          <w:sz w:val="24"/>
          <w:szCs w:val="24"/>
        </w:rPr>
        <w:t xml:space="preserve">Pārkārtošanās uz klimatneitrālu ekonomiku rezultātā nākotnē prognozējamas strukturālās izmaiņas darba tirgū, kā arī nepieciešamas jaunas zināšanas un prasmes plānošanas reģionu un pašvaldību speciālistiem, tādejādi atbalstāmi ieguldījumi darba tirgus vajadzībām un aktuālajiem sociāli ekonomiskajiem izaicinājumiem atbilstoša prasmju pilnveides un jaunu kvalifikāciju piedāvājuma nodrošināšanai. </w:t>
      </w:r>
    </w:p>
    <w:p w14:paraId="33383A52" w14:textId="43F593DD" w:rsidR="00AC212B" w:rsidRPr="00DD46F7" w:rsidRDefault="00D233A2"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D233A2">
        <w:rPr>
          <w:rFonts w:ascii="Times New Roman" w:hAnsi="Times New Roman" w:cs="Times New Roman"/>
          <w:sz w:val="24"/>
          <w:szCs w:val="24"/>
        </w:rPr>
        <w:t xml:space="preserve">Šīs iepriekšminētās un citas </w:t>
      </w:r>
      <w:r w:rsidR="004A58D0">
        <w:rPr>
          <w:rFonts w:ascii="Times New Roman" w:hAnsi="Times New Roman" w:cs="Times New Roman"/>
          <w:sz w:val="24"/>
          <w:szCs w:val="24"/>
        </w:rPr>
        <w:t>TPTP</w:t>
      </w:r>
      <w:r w:rsidRPr="00D233A2">
        <w:rPr>
          <w:rFonts w:ascii="Times New Roman" w:hAnsi="Times New Roman" w:cs="Times New Roman"/>
          <w:sz w:val="24"/>
          <w:szCs w:val="24"/>
        </w:rPr>
        <w:t xml:space="preserve"> paredzētās atbalstāmās darbības </w:t>
      </w:r>
      <w:r w:rsidR="004A58D0">
        <w:rPr>
          <w:rFonts w:ascii="Times New Roman" w:hAnsi="Times New Roman" w:cs="Times New Roman"/>
          <w:sz w:val="24"/>
          <w:szCs w:val="24"/>
        </w:rPr>
        <w:t>plānotas</w:t>
      </w:r>
      <w:r w:rsidRPr="00D233A2">
        <w:rPr>
          <w:rFonts w:ascii="Times New Roman" w:hAnsi="Times New Roman" w:cs="Times New Roman"/>
          <w:sz w:val="24"/>
          <w:szCs w:val="24"/>
        </w:rPr>
        <w:t>,  ievērojot ES prioritātes klimata un vides jomā un ņemot vērā Eiropas Zaļā kursa mērķus, kuru īstenošana veicinās virzību uz klimatneitralitāti, kā arī atbalstīs vietējo ekonomiku un ilgtspēju ilgtermiņā.</w:t>
      </w:r>
    </w:p>
    <w:p w14:paraId="0F22273F" w14:textId="2483B389"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noProof/>
          <w:sz w:val="24"/>
          <w:szCs w:val="24"/>
        </w:rPr>
        <w:t xml:space="preserve">Galvenās mērķgrupas: </w:t>
      </w:r>
      <w:r w:rsidR="00D233A2" w:rsidRPr="00D233A2">
        <w:rPr>
          <w:rFonts w:ascii="Times New Roman" w:hAnsi="Times New Roman" w:cs="Times New Roman"/>
          <w:sz w:val="24"/>
          <w:szCs w:val="24"/>
        </w:rPr>
        <w:t>pārejas uz klimatneitrālu ekonomiku visvairāk skarto reģionu saimnieciskās darbības veicēji, plānošanas reģioni, pašvaldības, iedzīvotāji</w:t>
      </w:r>
      <w:r w:rsidRPr="00930237">
        <w:rPr>
          <w:rFonts w:ascii="Times New Roman" w:hAnsi="Times New Roman" w:cs="Times New Roman"/>
          <w:sz w:val="24"/>
          <w:szCs w:val="24"/>
        </w:rPr>
        <w:t>.</w:t>
      </w:r>
    </w:p>
    <w:p w14:paraId="2C484BFE" w14:textId="6B8B4C49" w:rsidR="00AC212B" w:rsidRPr="00DD46F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DD46F7">
        <w:rPr>
          <w:rFonts w:ascii="Times New Roman" w:hAnsi="Times New Roman" w:cs="Times New Roman"/>
          <w:b/>
          <w:sz w:val="24"/>
          <w:szCs w:val="24"/>
        </w:rPr>
        <w:t>Darbības, kas nodrošina vienlīdzību, iekļaušanu un nediskrimināciju:</w:t>
      </w:r>
      <w:r w:rsidRPr="00DD46F7">
        <w:rPr>
          <w:rFonts w:ascii="Times New Roman" w:hAnsi="Times New Roman" w:cs="Times New Roman"/>
          <w:sz w:val="24"/>
          <w:szCs w:val="24"/>
        </w:rPr>
        <w:t xml:space="preserve">  </w:t>
      </w:r>
      <w:r w:rsidR="00D233A2" w:rsidRPr="00DD46F7">
        <w:rPr>
          <w:rFonts w:ascii="Times New Roman" w:hAnsi="Times New Roman" w:cs="Times New Roman"/>
          <w:sz w:val="24"/>
          <w:szCs w:val="24"/>
        </w:rPr>
        <w:t>Projektu</w:t>
      </w:r>
      <w:r w:rsidRPr="00DD46F7">
        <w:rPr>
          <w:rFonts w:ascii="Times New Roman" w:hAnsi="Times New Roman" w:cs="Times New Roman"/>
          <w:sz w:val="24"/>
          <w:szCs w:val="24"/>
        </w:rPr>
        <w:t>īstenošanā tiks nodrošināta informācijas un vides pieejamība</w:t>
      </w:r>
      <w:r w:rsidR="00D233A2" w:rsidRPr="00DD46F7">
        <w:rPr>
          <w:rFonts w:ascii="Times New Roman" w:hAnsi="Times New Roman" w:cs="Times New Roman"/>
          <w:sz w:val="24"/>
          <w:szCs w:val="24"/>
        </w:rPr>
        <w:t xml:space="preserve"> visiem iedzīvotājiem, t.sk.</w:t>
      </w:r>
      <w:r w:rsidRPr="00DD46F7">
        <w:rPr>
          <w:rFonts w:ascii="Times New Roman" w:hAnsi="Times New Roman" w:cs="Times New Roman"/>
          <w:sz w:val="24"/>
          <w:szCs w:val="24"/>
        </w:rPr>
        <w:t>, nediskriminācija pēc vecuma, dzimuma, etniskās piederības u.c. pazīmēm,  vienlīdzīgu iespēju principu ievērošana u.c.</w:t>
      </w:r>
      <w:r w:rsidR="00D233A2" w:rsidRPr="00DD46F7">
        <w:rPr>
          <w:rFonts w:ascii="Times New Roman" w:hAnsi="Times New Roman" w:cs="Times New Roman"/>
          <w:sz w:val="24"/>
          <w:szCs w:val="24"/>
        </w:rPr>
        <w:t xml:space="preserve"> </w:t>
      </w:r>
      <w:r w:rsidR="00D233A2" w:rsidRPr="00D233A2">
        <w:rPr>
          <w:rFonts w:ascii="Times New Roman" w:eastAsia="Arial" w:hAnsi="Times New Roman" w:cs="Times New Roman"/>
          <w:sz w:val="24"/>
          <w:szCs w:val="24"/>
          <w:lang w:eastAsia="en-US" w:bidi="ar-SA"/>
        </w:rPr>
        <w:t>Veicot ieguldījumus ar būvniecību saistītajās darbībās tiks nodrošināta vides un informācijas pieejamība personām ar funkcionāliem traucējumiem, ievērojot būvnormatīvos noteiktās prasības. Infrastruktūras attīstīšanas projektos tiks īstenotas specifiskas vides un informācijas pieejamības nodrošināšanas darbības personām ar redzes, dzirdes, kustību un garīga rakstura traucējumiem, vecāka gadagājuma cilvēkiem un vecākiem ar bērniem, pielietojot labās prakses vai inovatīvus risinājumus būvniecībā, nodrošinot nepieciešamo aprīkojumu iekļūšanai telpās, kā arī piekļuvei dažādiem objektiem un pakalpojumiem, kas atrodas ārpus telpām. Attīstot sabiedriskā transporta infrastruktūru, tiks nodrošināta vides un informācijas pieejamība personām ar invaliditāti, vecāka gadagājuma cilvēkiem un vecākiem ar bērniem, piemēram, autobusos vizuāli informācijas tablo, audio paziņojumi par pieturvietām, maršrutu u.t.t., marķējumi un piktogrammas, atbilstošas sēdvietas u.c. Prasmju attīstības pasākumu ietvaros tiks nodrošināta dalība un informācijas pieejamība visiem ekonomiski aktīvajiem iedzīvotājiem, neatkarīgi no dzimuma, rases, etniskās izcelsmes, invaliditātes, u.c. aspektiem, tādejādi veicinot iedzīvotāju dzīves līmeņa nepasliktināšanos, ko var ietekmēt darba tirgus transformācijas procesi.</w:t>
      </w:r>
    </w:p>
    <w:p w14:paraId="6C981A46" w14:textId="78610CF0"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Mērķteritorijas, t.sk. plānotais teritoriālo rīku izmantojums</w:t>
      </w:r>
      <w:r w:rsidRPr="00930237">
        <w:rPr>
          <w:rFonts w:ascii="Times New Roman" w:hAnsi="Times New Roman" w:cs="Times New Roman"/>
          <w:sz w:val="24"/>
          <w:szCs w:val="24"/>
        </w:rPr>
        <w:t xml:space="preserve">: </w:t>
      </w:r>
      <w:r w:rsidR="00D233A2" w:rsidRPr="00D233A2">
        <w:rPr>
          <w:rFonts w:ascii="Times New Roman" w:hAnsi="Times New Roman" w:cs="Times New Roman"/>
          <w:sz w:val="24"/>
          <w:szCs w:val="24"/>
        </w:rPr>
        <w:t xml:space="preserve">ekonomikas pārkārtošanās uz klimatneitralitāti rezultātā vissmagāk skartie reģioni tiks noteikti saskaņā ar </w:t>
      </w:r>
      <w:r w:rsidR="004A58D0">
        <w:rPr>
          <w:rFonts w:ascii="Times New Roman" w:hAnsi="Times New Roman" w:cs="Times New Roman"/>
          <w:sz w:val="24"/>
          <w:szCs w:val="24"/>
        </w:rPr>
        <w:t>TPTP noteiktajiem kritērijiem</w:t>
      </w:r>
      <w:r w:rsidR="00D233A2" w:rsidRPr="00D233A2">
        <w:rPr>
          <w:rFonts w:ascii="Times New Roman" w:hAnsi="Times New Roman" w:cs="Times New Roman"/>
          <w:sz w:val="24"/>
          <w:szCs w:val="24"/>
        </w:rPr>
        <w:t>, ņemot vērā tādus faktorus kā  kūdras ieguves apjomi un degradēto purvu (nerekultivēto vēsturisko kūdras ieguves vietu), kur kūdras ieguve vairs nenotiek, izplatība, IKP rādītāji, elektroenerģijas un siltumenerģijas patēriņš IKP (uz vienu iedzīvotāju) vienības radīšanai, uzņēmējdarbības energoietilpība un iespējas pārkārtot uzņēmumu saimniecisko darbību ekonomikas transformācijai uz klimatneitralitāti, nodarbinātības un bezdarba līmeņa rādītāji</w:t>
      </w:r>
      <w:r w:rsidR="00323A8A">
        <w:rPr>
          <w:rFonts w:ascii="Times New Roman" w:hAnsi="Times New Roman" w:cs="Times New Roman"/>
          <w:sz w:val="24"/>
          <w:szCs w:val="24"/>
        </w:rPr>
        <w:t>, kā arī demogrāfijas tendenču rādītāji</w:t>
      </w:r>
      <w:r w:rsidR="00D233A2" w:rsidRPr="00D233A2">
        <w:rPr>
          <w:rFonts w:ascii="Times New Roman" w:hAnsi="Times New Roman" w:cs="Times New Roman"/>
          <w:sz w:val="24"/>
          <w:szCs w:val="24"/>
        </w:rPr>
        <w:t xml:space="preserve">. Plānotajiem ieguldījumiem jāatbilst plānošanas reģionu attīstības plānošanas dokumentiem, </w:t>
      </w:r>
      <w:r w:rsidR="00323A8A" w:rsidRPr="00323A8A">
        <w:rPr>
          <w:rFonts w:ascii="Times New Roman" w:hAnsi="Times New Roman" w:cs="Times New Roman"/>
          <w:sz w:val="24"/>
          <w:szCs w:val="24"/>
        </w:rPr>
        <w:t xml:space="preserve">izņemot degradēto purvu rekultivācijas un kūdras nozares pētniecības aktivitātes, kur investīcijas tiks plānotas nacionālā līmenī, </w:t>
      </w:r>
      <w:r w:rsidR="00D233A2" w:rsidRPr="00D233A2">
        <w:rPr>
          <w:rFonts w:ascii="Times New Roman" w:hAnsi="Times New Roman" w:cs="Times New Roman"/>
          <w:sz w:val="24"/>
          <w:szCs w:val="24"/>
        </w:rPr>
        <w:t>sniedzot pamatojumu ieguldījumiem un konkretizējot ieguldījumus atbilstoši teritorijas sociāli ekonomiskajai situācijai.</w:t>
      </w:r>
    </w:p>
    <w:p w14:paraId="2234E8D1" w14:textId="31C60C03"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Starpreģionālās, pārrobežu un transnacionālās darbības:</w:t>
      </w:r>
      <w:r w:rsidRPr="00930237">
        <w:rPr>
          <w:rFonts w:ascii="Times New Roman" w:hAnsi="Times New Roman" w:cs="Times New Roman"/>
          <w:sz w:val="24"/>
          <w:szCs w:val="24"/>
        </w:rPr>
        <w:t xml:space="preserve"> </w:t>
      </w:r>
      <w:r w:rsidR="004A58D0" w:rsidRPr="004A58D0">
        <w:rPr>
          <w:rFonts w:ascii="Times New Roman" w:hAnsi="Times New Roman" w:cs="Times New Roman"/>
          <w:sz w:val="24"/>
          <w:szCs w:val="24"/>
        </w:rPr>
        <w:t>TPF plānotie darbības virzieni nodrošinās saskaņotību ar citiem publiskā finansējuma avotiem, tādejādi nodrošinot sinerģiju un papildinātību virzībā uz taisnīgu pārkārtošanos un klimatneitralitātes mērķu sasniegšanu. TPTP paredzētās investīcijas papildinās DP ietvertos pasākumus (pārkārtošanās procesa atbalstam): 1.1.1.SAM ietvaros plānotos pētījumus sabiedrības un ekonomikas transformācijai; 1.2.1</w:t>
      </w:r>
      <w:r w:rsidR="004A58D0">
        <w:rPr>
          <w:rFonts w:ascii="Times New Roman" w:hAnsi="Times New Roman" w:cs="Times New Roman"/>
          <w:sz w:val="24"/>
          <w:szCs w:val="24"/>
        </w:rPr>
        <w:t>.</w:t>
      </w:r>
      <w:r w:rsidR="004A58D0" w:rsidRPr="004A58D0">
        <w:rPr>
          <w:rFonts w:ascii="Times New Roman" w:hAnsi="Times New Roman" w:cs="Times New Roman"/>
          <w:sz w:val="24"/>
          <w:szCs w:val="24"/>
        </w:rPr>
        <w:t>SAM paredzēto atbalstu uzņēmumu pētniecības un inovāciju aktivitātēm; 1.2.3.SAM paredzēto jaunu produktu, tehnoloģiju vai pakalpojumu attīstīšanu un komercializāciju; 2.1.1.SAM plānoto atbalstu energoefektivitātes paaugstināšanai publiskajās ēkās, t.sk. pašvaldību, un energoefektīvākas ražošanas nodrošināšanai; 2.1.3.SAM pašvaldību klimata pielāgošanās stratēģijās paredzēto pasākumu īstenošana, kā arī dabā bāzētu risinājumu izmantošana aizsardzībai pret plūdiem; 2.2.2.SAM plānoto atbalstu aprites ekonomikas principu ieviešanai ražošanā un pakalpojumos; 2.2.3.SAM ietvaros plānotos ekosistēmu atjaunošanas  un sanācijas pasākumi; 2.3.1.SAM aktivitātes multimodālo transporta tīklu  attīstībā tiks papildinās ar videi draudzīgu transportlīdzekļu nodrošināšanu; 4.2.4</w:t>
      </w:r>
      <w:r w:rsidR="004A58D0">
        <w:rPr>
          <w:rFonts w:ascii="Times New Roman" w:hAnsi="Times New Roman" w:cs="Times New Roman"/>
          <w:sz w:val="24"/>
          <w:szCs w:val="24"/>
        </w:rPr>
        <w:t>.</w:t>
      </w:r>
      <w:r w:rsidR="004A58D0" w:rsidRPr="004A58D0">
        <w:rPr>
          <w:rFonts w:ascii="Times New Roman" w:hAnsi="Times New Roman" w:cs="Times New Roman"/>
          <w:sz w:val="24"/>
          <w:szCs w:val="24"/>
        </w:rPr>
        <w:t>SAM</w:t>
      </w:r>
      <w:r w:rsidR="004A58D0">
        <w:rPr>
          <w:rFonts w:ascii="Times New Roman" w:hAnsi="Times New Roman" w:cs="Times New Roman"/>
          <w:sz w:val="24"/>
          <w:szCs w:val="24"/>
        </w:rPr>
        <w:t xml:space="preserve"> </w:t>
      </w:r>
      <w:r w:rsidR="004A58D0" w:rsidRPr="004A58D0">
        <w:rPr>
          <w:rFonts w:ascii="Times New Roman" w:hAnsi="Times New Roman" w:cs="Times New Roman"/>
          <w:sz w:val="24"/>
          <w:szCs w:val="24"/>
        </w:rPr>
        <w:t>paredzētais atbalsts pieaugušajiem tautsaimniecības attīstībai nepieciešamo zināšanu un prasmju apguvei; 4.3.3.SAM paredzēto atbalstu bezdarbnieku, darba meklētāju un bezdarba riskam pakļautu personu nodarbinātību, to prasmju un kvalifikācijas atbilstību darba tirgum; 5.1.1.SAM ievaros paredzētos integrētos un kompleksos ieguldījumus reģionālai attīstībai ar uzņēmējdarbības veicināšanu, infrastruktūras un publiskās ārtelpas risinājumu attīstību, pašvaldību kapacitātes paaugstināšanu</w:t>
      </w:r>
      <w:r w:rsidR="004A58D0">
        <w:rPr>
          <w:rFonts w:ascii="Times New Roman" w:hAnsi="Times New Roman" w:cs="Times New Roman"/>
          <w:sz w:val="24"/>
          <w:szCs w:val="24"/>
        </w:rPr>
        <w:t>.</w:t>
      </w:r>
    </w:p>
    <w:p w14:paraId="62D4574A" w14:textId="19BD4CFD" w:rsidR="00AC212B" w:rsidRPr="00930237" w:rsidRDefault="0002461B" w:rsidP="007545BD">
      <w:pPr>
        <w:pStyle w:val="Normal1"/>
        <w:numPr>
          <w:ilvl w:val="0"/>
          <w:numId w:val="60"/>
        </w:numPr>
        <w:spacing w:line="240" w:lineRule="auto"/>
        <w:ind w:left="567" w:hanging="567"/>
        <w:jc w:val="both"/>
        <w:rPr>
          <w:rFonts w:ascii="Times New Roman" w:hAnsi="Times New Roman" w:cs="Times New Roman"/>
          <w:sz w:val="24"/>
          <w:szCs w:val="24"/>
        </w:rPr>
      </w:pPr>
      <w:r>
        <w:rPr>
          <w:rFonts w:ascii="Times New Roman" w:hAnsi="Times New Roman" w:cs="Times New Roman"/>
          <w:b/>
          <w:sz w:val="24"/>
          <w:szCs w:val="24"/>
        </w:rPr>
        <w:t>F</w:t>
      </w:r>
      <w:r w:rsidR="00AC212B" w:rsidRPr="00930237">
        <w:rPr>
          <w:rFonts w:ascii="Times New Roman" w:hAnsi="Times New Roman" w:cs="Times New Roman"/>
          <w:b/>
          <w:sz w:val="24"/>
          <w:szCs w:val="24"/>
        </w:rPr>
        <w:t>inanšu instrumenti:</w:t>
      </w:r>
      <w:r w:rsidR="00AC212B" w:rsidRPr="00930237">
        <w:rPr>
          <w:rFonts w:ascii="Times New Roman" w:hAnsi="Times New Roman" w:cs="Times New Roman"/>
          <w:sz w:val="24"/>
          <w:szCs w:val="24"/>
        </w:rPr>
        <w:t xml:space="preserve"> </w:t>
      </w:r>
      <w:r w:rsidR="00D233A2" w:rsidRPr="00D233A2">
        <w:rPr>
          <w:rFonts w:ascii="Times New Roman" w:hAnsi="Times New Roman" w:cs="Times New Roman"/>
          <w:sz w:val="24"/>
          <w:szCs w:val="24"/>
        </w:rPr>
        <w:t>Tiks izskatītas iespējas atsevišķu darbību (investīcijas uzņēmējiem pārejai uz energoefektīviem un videi draudzīgākiem risinājumiem) īstenošanai potenciāli izmantot finanšu instrumentu, kombinējot to ar granta elementu.</w:t>
      </w:r>
    </w:p>
    <w:p w14:paraId="74099160" w14:textId="303D7938" w:rsidR="00AC212B" w:rsidRDefault="00AC212B" w:rsidP="00AC212B"/>
    <w:p w14:paraId="6D89EEC2" w14:textId="77777777" w:rsidR="00B471B0" w:rsidRDefault="00B471B0" w:rsidP="00B471B0">
      <w:pPr>
        <w:pStyle w:val="Heading3"/>
        <w:numPr>
          <w:ilvl w:val="0"/>
          <w:numId w:val="0"/>
        </w:numPr>
        <w:spacing w:after="0"/>
        <w:rPr>
          <w:b/>
          <w:i w:val="0"/>
          <w:noProof/>
        </w:rPr>
        <w:sectPr w:rsidR="00B471B0" w:rsidSect="00B8254F">
          <w:pgSz w:w="11906" w:h="16838" w:code="9"/>
          <w:pgMar w:top="1417" w:right="1417" w:bottom="1417" w:left="1417" w:header="567" w:footer="510" w:gutter="0"/>
          <w:cols w:space="708"/>
          <w:titlePg/>
          <w:docGrid w:linePitch="360"/>
        </w:sectPr>
      </w:pPr>
    </w:p>
    <w:p w14:paraId="2F3E5024" w14:textId="0B8E49B3" w:rsidR="00B471B0" w:rsidRPr="00930237" w:rsidRDefault="00B471B0" w:rsidP="00B471B0">
      <w:pPr>
        <w:pStyle w:val="Heading3"/>
        <w:numPr>
          <w:ilvl w:val="0"/>
          <w:numId w:val="0"/>
        </w:numPr>
        <w:spacing w:after="0"/>
        <w:rPr>
          <w:b/>
          <w:i w:val="0"/>
          <w:noProof/>
        </w:rPr>
      </w:pPr>
      <w:bookmarkStart w:id="49" w:name="_Toc69125424"/>
      <w:r>
        <w:rPr>
          <w:b/>
          <w:i w:val="0"/>
          <w:noProof/>
        </w:rPr>
        <w:t>12</w:t>
      </w:r>
      <w:r w:rsidR="005156FC">
        <w:rPr>
          <w:b/>
          <w:i w:val="0"/>
          <w:noProof/>
        </w:rPr>
        <w:t>.tabula (2)</w:t>
      </w:r>
      <w:r w:rsidRPr="00930237">
        <w:rPr>
          <w:b/>
          <w:i w:val="0"/>
          <w:noProof/>
        </w:rPr>
        <w:t xml:space="preserve"> </w:t>
      </w:r>
      <w:r>
        <w:rPr>
          <w:b/>
          <w:i w:val="0"/>
          <w:noProof/>
        </w:rPr>
        <w:t>6.Politiskā mērķa i</w:t>
      </w:r>
      <w:r w:rsidRPr="00930237">
        <w:rPr>
          <w:b/>
          <w:i w:val="0"/>
          <w:noProof/>
        </w:rPr>
        <w:t>znākuma rādītāji</w:t>
      </w:r>
      <w:r>
        <w:rPr>
          <w:rStyle w:val="FootnoteReference"/>
          <w:b/>
          <w:i w:val="0"/>
          <w:noProof/>
        </w:rPr>
        <w:footnoteReference w:id="133"/>
      </w:r>
      <w:bookmarkEnd w:id="49"/>
    </w:p>
    <w:p w14:paraId="04954B06" w14:textId="77777777" w:rsidR="00B471B0" w:rsidRPr="00930237" w:rsidRDefault="00B471B0" w:rsidP="00B471B0">
      <w:pPr>
        <w:spacing w:before="0" w:after="0"/>
        <w:ind w:left="1080"/>
        <w:rPr>
          <w:rFonts w:eastAsia="Times New Roman"/>
          <w:i/>
          <w:noProof/>
          <w:sz w:val="20"/>
        </w:rPr>
      </w:pPr>
    </w:p>
    <w:tbl>
      <w:tblPr>
        <w:tblW w:w="45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1788"/>
        <w:gridCol w:w="907"/>
        <w:gridCol w:w="1251"/>
        <w:gridCol w:w="3348"/>
        <w:gridCol w:w="1380"/>
        <w:gridCol w:w="1318"/>
        <w:gridCol w:w="1632"/>
      </w:tblGrid>
      <w:tr w:rsidR="00B471B0" w:rsidRPr="00930237" w14:paraId="2B942A33" w14:textId="77777777" w:rsidTr="009617F7">
        <w:trPr>
          <w:trHeight w:val="756"/>
          <w:tblHeader/>
        </w:trPr>
        <w:tc>
          <w:tcPr>
            <w:tcW w:w="476" w:type="pct"/>
            <w:shd w:val="clear" w:color="auto" w:fill="D9D9D9" w:themeFill="background1" w:themeFillShade="D9"/>
            <w:vAlign w:val="center"/>
          </w:tcPr>
          <w:p w14:paraId="6E6BE5C4" w14:textId="77777777" w:rsidR="00B471B0" w:rsidRPr="00930237" w:rsidRDefault="00B471B0" w:rsidP="009617F7">
            <w:pPr>
              <w:pStyle w:val="Text1"/>
              <w:spacing w:before="0" w:after="0"/>
              <w:ind w:left="0"/>
              <w:jc w:val="center"/>
              <w:rPr>
                <w:rFonts w:cs="Times New Roman"/>
                <w:b/>
                <w:noProof/>
                <w:sz w:val="18"/>
                <w:szCs w:val="18"/>
              </w:rPr>
            </w:pPr>
            <w:r w:rsidRPr="00930237">
              <w:rPr>
                <w:rFonts w:cs="Times New Roman"/>
                <w:b/>
                <w:noProof/>
                <w:sz w:val="18"/>
                <w:szCs w:val="18"/>
              </w:rPr>
              <w:t>Prioritāte</w:t>
            </w:r>
          </w:p>
        </w:tc>
        <w:tc>
          <w:tcPr>
            <w:tcW w:w="696" w:type="pct"/>
            <w:shd w:val="clear" w:color="auto" w:fill="D9D9D9" w:themeFill="background1" w:themeFillShade="D9"/>
            <w:vAlign w:val="center"/>
          </w:tcPr>
          <w:p w14:paraId="3C5A8012" w14:textId="77777777" w:rsidR="00B471B0" w:rsidRPr="00930237" w:rsidRDefault="00B471B0" w:rsidP="009617F7">
            <w:pPr>
              <w:pStyle w:val="Text1"/>
              <w:spacing w:before="0" w:after="0"/>
              <w:ind w:left="0"/>
              <w:jc w:val="center"/>
              <w:rPr>
                <w:rFonts w:cs="Times New Roman"/>
                <w:b/>
                <w:noProof/>
                <w:sz w:val="18"/>
                <w:szCs w:val="18"/>
              </w:rPr>
            </w:pPr>
            <w:r w:rsidRPr="00930237">
              <w:rPr>
                <w:rFonts w:cs="Times New Roman"/>
                <w:b/>
                <w:noProof/>
                <w:sz w:val="18"/>
                <w:szCs w:val="18"/>
              </w:rPr>
              <w:t>SAM</w:t>
            </w:r>
          </w:p>
        </w:tc>
        <w:tc>
          <w:tcPr>
            <w:tcW w:w="353" w:type="pct"/>
            <w:shd w:val="clear" w:color="auto" w:fill="D9D9D9" w:themeFill="background1" w:themeFillShade="D9"/>
            <w:vAlign w:val="center"/>
          </w:tcPr>
          <w:p w14:paraId="76F013B8" w14:textId="77777777" w:rsidR="00B471B0" w:rsidRPr="00930237" w:rsidRDefault="00B471B0" w:rsidP="009617F7">
            <w:pPr>
              <w:pStyle w:val="Text1"/>
              <w:spacing w:before="0" w:after="0"/>
              <w:ind w:left="0"/>
              <w:jc w:val="center"/>
              <w:rPr>
                <w:rFonts w:cs="Times New Roman"/>
                <w:b/>
                <w:noProof/>
                <w:sz w:val="18"/>
                <w:szCs w:val="18"/>
              </w:rPr>
            </w:pPr>
            <w:r w:rsidRPr="00930237">
              <w:rPr>
                <w:rFonts w:cs="Times New Roman"/>
                <w:b/>
                <w:noProof/>
                <w:sz w:val="18"/>
                <w:szCs w:val="18"/>
              </w:rPr>
              <w:t>Fonds</w:t>
            </w:r>
          </w:p>
        </w:tc>
        <w:tc>
          <w:tcPr>
            <w:tcW w:w="487" w:type="pct"/>
            <w:shd w:val="clear" w:color="auto" w:fill="D9D9D9" w:themeFill="background1" w:themeFillShade="D9"/>
            <w:vAlign w:val="center"/>
          </w:tcPr>
          <w:p w14:paraId="73316A3C" w14:textId="77777777" w:rsidR="00B471B0" w:rsidRPr="00930237" w:rsidRDefault="00B471B0" w:rsidP="009617F7">
            <w:pPr>
              <w:pStyle w:val="Text1"/>
              <w:spacing w:before="0" w:after="0"/>
              <w:ind w:left="0"/>
              <w:jc w:val="center"/>
              <w:rPr>
                <w:rFonts w:cs="Times New Roman"/>
                <w:b/>
                <w:noProof/>
                <w:sz w:val="18"/>
                <w:szCs w:val="18"/>
              </w:rPr>
            </w:pPr>
            <w:r w:rsidRPr="00930237">
              <w:rPr>
                <w:rFonts w:cs="Times New Roman"/>
                <w:b/>
                <w:noProof/>
                <w:sz w:val="18"/>
                <w:szCs w:val="18"/>
              </w:rPr>
              <w:t xml:space="preserve">ID </w:t>
            </w:r>
          </w:p>
        </w:tc>
        <w:tc>
          <w:tcPr>
            <w:tcW w:w="1303" w:type="pct"/>
            <w:shd w:val="clear" w:color="auto" w:fill="D9D9D9" w:themeFill="background1" w:themeFillShade="D9"/>
            <w:vAlign w:val="center"/>
          </w:tcPr>
          <w:p w14:paraId="49C56B52" w14:textId="77777777" w:rsidR="00B471B0" w:rsidRPr="00930237" w:rsidRDefault="00B471B0" w:rsidP="009617F7">
            <w:pPr>
              <w:pStyle w:val="Text1"/>
              <w:spacing w:before="0" w:after="0"/>
              <w:ind w:left="0"/>
              <w:jc w:val="center"/>
              <w:rPr>
                <w:rFonts w:cs="Times New Roman"/>
                <w:b/>
                <w:noProof/>
                <w:sz w:val="18"/>
                <w:szCs w:val="18"/>
              </w:rPr>
            </w:pPr>
            <w:r w:rsidRPr="00930237">
              <w:rPr>
                <w:rFonts w:cs="Times New Roman"/>
                <w:b/>
                <w:noProof/>
                <w:sz w:val="18"/>
                <w:szCs w:val="18"/>
              </w:rPr>
              <w:t>Rādītājs</w:t>
            </w:r>
          </w:p>
        </w:tc>
        <w:tc>
          <w:tcPr>
            <w:tcW w:w="537" w:type="pct"/>
            <w:shd w:val="clear" w:color="auto" w:fill="D9D9D9" w:themeFill="background1" w:themeFillShade="D9"/>
            <w:vAlign w:val="center"/>
          </w:tcPr>
          <w:p w14:paraId="35B2F571" w14:textId="77777777" w:rsidR="00B471B0" w:rsidRPr="00930237" w:rsidRDefault="00B471B0" w:rsidP="009617F7">
            <w:pPr>
              <w:pStyle w:val="Text1"/>
              <w:spacing w:before="0" w:after="0"/>
              <w:ind w:left="0"/>
              <w:jc w:val="center"/>
              <w:rPr>
                <w:rFonts w:cs="Times New Roman"/>
                <w:b/>
                <w:noProof/>
                <w:sz w:val="18"/>
                <w:szCs w:val="18"/>
              </w:rPr>
            </w:pPr>
            <w:r w:rsidRPr="00930237">
              <w:rPr>
                <w:rFonts w:cs="Times New Roman"/>
                <w:b/>
                <w:noProof/>
                <w:sz w:val="18"/>
                <w:szCs w:val="18"/>
              </w:rPr>
              <w:t>Mērvienība</w:t>
            </w:r>
          </w:p>
        </w:tc>
        <w:tc>
          <w:tcPr>
            <w:tcW w:w="513" w:type="pct"/>
            <w:shd w:val="clear" w:color="auto" w:fill="D9D9D9" w:themeFill="background1" w:themeFillShade="D9"/>
            <w:vAlign w:val="center"/>
          </w:tcPr>
          <w:p w14:paraId="2D7EC2EC" w14:textId="77777777" w:rsidR="00B471B0" w:rsidRPr="00930237" w:rsidRDefault="00B471B0" w:rsidP="009617F7">
            <w:pPr>
              <w:pStyle w:val="Text1"/>
              <w:spacing w:before="0" w:after="0"/>
              <w:ind w:left="0"/>
              <w:jc w:val="center"/>
              <w:rPr>
                <w:rFonts w:cs="Times New Roman"/>
                <w:b/>
                <w:noProof/>
                <w:sz w:val="18"/>
                <w:szCs w:val="18"/>
              </w:rPr>
            </w:pPr>
            <w:r w:rsidRPr="00930237">
              <w:rPr>
                <w:rFonts w:cs="Times New Roman"/>
                <w:b/>
                <w:noProof/>
                <w:sz w:val="18"/>
                <w:szCs w:val="18"/>
              </w:rPr>
              <w:t>Starpposma vērtība (2024)</w:t>
            </w:r>
          </w:p>
        </w:tc>
        <w:tc>
          <w:tcPr>
            <w:tcW w:w="635" w:type="pct"/>
            <w:shd w:val="clear" w:color="auto" w:fill="D9D9D9" w:themeFill="background1" w:themeFillShade="D9"/>
            <w:vAlign w:val="center"/>
          </w:tcPr>
          <w:p w14:paraId="7308AD86" w14:textId="77777777" w:rsidR="00B471B0" w:rsidRPr="00930237" w:rsidRDefault="00B471B0" w:rsidP="009617F7">
            <w:pPr>
              <w:pStyle w:val="Text1"/>
              <w:spacing w:before="0" w:after="0"/>
              <w:ind w:left="0"/>
              <w:jc w:val="center"/>
              <w:rPr>
                <w:rFonts w:cs="Times New Roman"/>
                <w:b/>
                <w:noProof/>
                <w:sz w:val="18"/>
                <w:szCs w:val="18"/>
              </w:rPr>
            </w:pPr>
            <w:r w:rsidRPr="00930237">
              <w:rPr>
                <w:rFonts w:cs="Times New Roman"/>
                <w:b/>
                <w:noProof/>
                <w:sz w:val="18"/>
                <w:szCs w:val="18"/>
              </w:rPr>
              <w:t>Plānotā vērtība</w:t>
            </w:r>
          </w:p>
          <w:p w14:paraId="2EF5ED0F" w14:textId="77777777" w:rsidR="00B471B0" w:rsidRPr="00930237" w:rsidRDefault="00B471B0" w:rsidP="009617F7">
            <w:pPr>
              <w:pStyle w:val="Text1"/>
              <w:spacing w:before="0" w:after="0"/>
              <w:ind w:left="0"/>
              <w:jc w:val="center"/>
              <w:rPr>
                <w:rFonts w:cs="Times New Roman"/>
                <w:b/>
                <w:noProof/>
                <w:sz w:val="18"/>
                <w:szCs w:val="18"/>
              </w:rPr>
            </w:pPr>
            <w:r w:rsidRPr="00930237">
              <w:rPr>
                <w:rFonts w:cs="Times New Roman"/>
                <w:b/>
                <w:noProof/>
                <w:sz w:val="18"/>
                <w:szCs w:val="18"/>
              </w:rPr>
              <w:t>(2029)</w:t>
            </w:r>
          </w:p>
        </w:tc>
      </w:tr>
      <w:tr w:rsidR="00B471B0" w:rsidRPr="00930237" w14:paraId="285F4F9F" w14:textId="77777777" w:rsidTr="009617F7">
        <w:trPr>
          <w:trHeight w:val="332"/>
        </w:trPr>
        <w:tc>
          <w:tcPr>
            <w:tcW w:w="476" w:type="pct"/>
          </w:tcPr>
          <w:p w14:paraId="6E23A085" w14:textId="77777777" w:rsidR="00B471B0" w:rsidRPr="00930237" w:rsidRDefault="00B471B0" w:rsidP="009617F7">
            <w:pPr>
              <w:pStyle w:val="Text1"/>
              <w:spacing w:before="0" w:after="0"/>
              <w:ind w:left="0"/>
              <w:rPr>
                <w:rFonts w:cs="Times New Roman"/>
                <w:noProof/>
                <w:sz w:val="18"/>
                <w:szCs w:val="18"/>
              </w:rPr>
            </w:pPr>
            <w:r>
              <w:rPr>
                <w:rFonts w:cs="Times New Roman"/>
                <w:noProof/>
                <w:sz w:val="18"/>
                <w:szCs w:val="18"/>
              </w:rPr>
              <w:t>6.1.prioritāte</w:t>
            </w:r>
          </w:p>
        </w:tc>
        <w:tc>
          <w:tcPr>
            <w:tcW w:w="696" w:type="pct"/>
          </w:tcPr>
          <w:p w14:paraId="67D1FEC8" w14:textId="77777777" w:rsidR="00B471B0" w:rsidRPr="00930237" w:rsidRDefault="00B471B0" w:rsidP="009617F7">
            <w:pPr>
              <w:pStyle w:val="Text1"/>
              <w:spacing w:before="0" w:after="0"/>
              <w:ind w:left="0"/>
              <w:rPr>
                <w:rFonts w:cs="Times New Roman"/>
                <w:noProof/>
                <w:sz w:val="18"/>
                <w:szCs w:val="18"/>
              </w:rPr>
            </w:pPr>
            <w:r w:rsidRPr="002B6EA1">
              <w:rPr>
                <w:rFonts w:cs="Times New Roman"/>
                <w:noProof/>
                <w:sz w:val="18"/>
                <w:szCs w:val="18"/>
              </w:rPr>
              <w:t>6.1.1.SAM</w:t>
            </w:r>
          </w:p>
        </w:tc>
        <w:tc>
          <w:tcPr>
            <w:tcW w:w="353" w:type="pct"/>
          </w:tcPr>
          <w:p w14:paraId="7E283138" w14:textId="77777777" w:rsidR="00B471B0" w:rsidRPr="00930237" w:rsidRDefault="00B471B0" w:rsidP="009617F7">
            <w:pPr>
              <w:pStyle w:val="Text1"/>
              <w:spacing w:before="0" w:after="0"/>
              <w:ind w:left="0"/>
              <w:rPr>
                <w:rFonts w:cs="Times New Roman"/>
                <w:noProof/>
                <w:sz w:val="18"/>
                <w:szCs w:val="18"/>
              </w:rPr>
            </w:pPr>
            <w:r>
              <w:rPr>
                <w:rFonts w:cs="Times New Roman"/>
                <w:noProof/>
                <w:sz w:val="18"/>
                <w:szCs w:val="18"/>
              </w:rPr>
              <w:t>TPF</w:t>
            </w:r>
          </w:p>
        </w:tc>
        <w:tc>
          <w:tcPr>
            <w:tcW w:w="487" w:type="pct"/>
          </w:tcPr>
          <w:p w14:paraId="66F52721" w14:textId="77777777" w:rsidR="00B471B0" w:rsidRPr="00930237" w:rsidRDefault="00B471B0" w:rsidP="009617F7">
            <w:pPr>
              <w:pStyle w:val="Text1"/>
              <w:spacing w:before="0" w:after="0"/>
              <w:ind w:left="0"/>
              <w:rPr>
                <w:rFonts w:cs="Times New Roman"/>
                <w:sz w:val="18"/>
                <w:szCs w:val="18"/>
              </w:rPr>
            </w:pPr>
            <w:r w:rsidRPr="00333D39">
              <w:rPr>
                <w:rFonts w:cs="Times New Roman"/>
                <w:sz w:val="18"/>
                <w:szCs w:val="18"/>
              </w:rPr>
              <w:t>RCO 03</w:t>
            </w:r>
          </w:p>
        </w:tc>
        <w:tc>
          <w:tcPr>
            <w:tcW w:w="1303" w:type="pct"/>
            <w:shd w:val="clear" w:color="auto" w:fill="auto"/>
          </w:tcPr>
          <w:p w14:paraId="65EB0B81" w14:textId="77777777" w:rsidR="00B471B0" w:rsidRPr="00930237" w:rsidRDefault="00B471B0" w:rsidP="009617F7">
            <w:pPr>
              <w:pStyle w:val="Default"/>
              <w:spacing w:after="0" w:line="240" w:lineRule="auto"/>
              <w:jc w:val="both"/>
              <w:rPr>
                <w:color w:val="auto"/>
                <w:sz w:val="18"/>
                <w:szCs w:val="18"/>
              </w:rPr>
            </w:pPr>
            <w:r w:rsidRPr="00930237">
              <w:rPr>
                <w:color w:val="auto"/>
                <w:sz w:val="18"/>
                <w:szCs w:val="18"/>
              </w:rPr>
              <w:t>Uzņēmumu skaits, kuri saņem atbalstu finanšu instrumentu veidā</w:t>
            </w:r>
          </w:p>
        </w:tc>
        <w:tc>
          <w:tcPr>
            <w:tcW w:w="537" w:type="pct"/>
          </w:tcPr>
          <w:p w14:paraId="052550FF" w14:textId="77777777" w:rsidR="00B471B0" w:rsidRPr="00930237" w:rsidRDefault="00B471B0" w:rsidP="009617F7">
            <w:pPr>
              <w:pStyle w:val="Text1"/>
              <w:spacing w:before="0" w:after="0"/>
              <w:ind w:left="0"/>
              <w:rPr>
                <w:rFonts w:cs="Times New Roman"/>
                <w:noProof/>
                <w:sz w:val="18"/>
                <w:szCs w:val="18"/>
              </w:rPr>
            </w:pPr>
            <w:r w:rsidRPr="00930237">
              <w:rPr>
                <w:rFonts w:cs="Times New Roman"/>
                <w:noProof/>
                <w:sz w:val="18"/>
                <w:szCs w:val="18"/>
              </w:rPr>
              <w:t>Komersantu skaits</w:t>
            </w:r>
          </w:p>
        </w:tc>
        <w:tc>
          <w:tcPr>
            <w:tcW w:w="513" w:type="pct"/>
            <w:shd w:val="clear" w:color="auto" w:fill="auto"/>
          </w:tcPr>
          <w:p w14:paraId="03A10727" w14:textId="77777777" w:rsidR="00B471B0" w:rsidRPr="00930237" w:rsidRDefault="00B471B0" w:rsidP="009617F7">
            <w:pPr>
              <w:pStyle w:val="Text1"/>
              <w:spacing w:before="0" w:after="0"/>
              <w:ind w:left="0"/>
              <w:jc w:val="left"/>
              <w:rPr>
                <w:rFonts w:cs="Times New Roman"/>
                <w:noProof/>
                <w:sz w:val="18"/>
                <w:szCs w:val="18"/>
              </w:rPr>
            </w:pPr>
            <w:r>
              <w:rPr>
                <w:rFonts w:cs="Times New Roman"/>
                <w:noProof/>
                <w:sz w:val="18"/>
                <w:szCs w:val="18"/>
              </w:rPr>
              <w:t>0</w:t>
            </w:r>
          </w:p>
        </w:tc>
        <w:tc>
          <w:tcPr>
            <w:tcW w:w="635" w:type="pct"/>
            <w:shd w:val="clear" w:color="auto" w:fill="auto"/>
          </w:tcPr>
          <w:p w14:paraId="539C25B4" w14:textId="77777777" w:rsidR="00B471B0" w:rsidRPr="00930237" w:rsidRDefault="00B471B0" w:rsidP="009617F7">
            <w:pPr>
              <w:pStyle w:val="Text1"/>
              <w:spacing w:before="0" w:after="0"/>
              <w:ind w:left="0"/>
              <w:jc w:val="left"/>
              <w:rPr>
                <w:rFonts w:cs="Times New Roman"/>
                <w:noProof/>
                <w:sz w:val="18"/>
                <w:szCs w:val="18"/>
              </w:rPr>
            </w:pPr>
            <w:r>
              <w:rPr>
                <w:rFonts w:cs="Times New Roman"/>
                <w:noProof/>
                <w:sz w:val="18"/>
                <w:szCs w:val="18"/>
              </w:rPr>
              <w:t>140</w:t>
            </w:r>
          </w:p>
        </w:tc>
      </w:tr>
      <w:tr w:rsidR="00B471B0" w:rsidRPr="00930237" w14:paraId="618B7C4E" w14:textId="77777777" w:rsidTr="009617F7">
        <w:trPr>
          <w:trHeight w:val="332"/>
        </w:trPr>
        <w:tc>
          <w:tcPr>
            <w:tcW w:w="476" w:type="pct"/>
            <w:shd w:val="clear" w:color="auto" w:fill="auto"/>
          </w:tcPr>
          <w:p w14:paraId="6B7E4972" w14:textId="77777777" w:rsidR="00B471B0" w:rsidRPr="00930237" w:rsidRDefault="00B471B0" w:rsidP="009617F7">
            <w:pPr>
              <w:pStyle w:val="Text1"/>
              <w:spacing w:before="0" w:after="0"/>
              <w:ind w:left="0"/>
              <w:rPr>
                <w:rFonts w:cs="Times New Roman"/>
                <w:noProof/>
                <w:sz w:val="18"/>
                <w:szCs w:val="18"/>
              </w:rPr>
            </w:pPr>
            <w:r>
              <w:rPr>
                <w:rFonts w:cs="Times New Roman"/>
                <w:noProof/>
                <w:sz w:val="18"/>
                <w:szCs w:val="18"/>
              </w:rPr>
              <w:t>6.1.prioritāte</w:t>
            </w:r>
          </w:p>
        </w:tc>
        <w:tc>
          <w:tcPr>
            <w:tcW w:w="696" w:type="pct"/>
            <w:shd w:val="clear" w:color="auto" w:fill="auto"/>
          </w:tcPr>
          <w:p w14:paraId="66D48D94" w14:textId="77777777" w:rsidR="00B471B0" w:rsidRPr="00930237" w:rsidRDefault="00B471B0" w:rsidP="009617F7">
            <w:pPr>
              <w:pStyle w:val="Text1"/>
              <w:spacing w:before="0" w:after="0"/>
              <w:ind w:left="0"/>
              <w:rPr>
                <w:rFonts w:cs="Times New Roman"/>
                <w:noProof/>
                <w:sz w:val="18"/>
                <w:szCs w:val="18"/>
              </w:rPr>
            </w:pPr>
            <w:r w:rsidRPr="002B6EA1">
              <w:rPr>
                <w:rFonts w:cs="Times New Roman"/>
                <w:noProof/>
                <w:sz w:val="18"/>
                <w:szCs w:val="18"/>
              </w:rPr>
              <w:t>6.1.1.SAM</w:t>
            </w:r>
          </w:p>
        </w:tc>
        <w:tc>
          <w:tcPr>
            <w:tcW w:w="353" w:type="pct"/>
            <w:shd w:val="clear" w:color="auto" w:fill="auto"/>
          </w:tcPr>
          <w:p w14:paraId="034847A7" w14:textId="77777777" w:rsidR="00B471B0" w:rsidRPr="00930237" w:rsidRDefault="00B471B0" w:rsidP="009617F7">
            <w:pPr>
              <w:pStyle w:val="Text1"/>
              <w:spacing w:before="0" w:after="0"/>
              <w:ind w:left="0"/>
              <w:rPr>
                <w:rFonts w:cs="Times New Roman"/>
                <w:noProof/>
                <w:sz w:val="18"/>
                <w:szCs w:val="18"/>
              </w:rPr>
            </w:pPr>
            <w:r>
              <w:rPr>
                <w:rFonts w:cs="Times New Roman"/>
                <w:noProof/>
                <w:sz w:val="18"/>
                <w:szCs w:val="18"/>
              </w:rPr>
              <w:t>TPF</w:t>
            </w:r>
          </w:p>
        </w:tc>
        <w:tc>
          <w:tcPr>
            <w:tcW w:w="487" w:type="pct"/>
            <w:shd w:val="clear" w:color="auto" w:fill="auto"/>
          </w:tcPr>
          <w:p w14:paraId="06F17FD4" w14:textId="77777777" w:rsidR="00B471B0" w:rsidRPr="00930237" w:rsidRDefault="00B471B0" w:rsidP="009617F7">
            <w:pPr>
              <w:pStyle w:val="Text1"/>
              <w:spacing w:before="0" w:after="0"/>
              <w:ind w:left="0"/>
              <w:rPr>
                <w:rFonts w:cs="Times New Roman"/>
                <w:sz w:val="18"/>
                <w:szCs w:val="18"/>
              </w:rPr>
            </w:pPr>
            <w:r w:rsidRPr="00FA15E6">
              <w:rPr>
                <w:rFonts w:cs="Times New Roman"/>
                <w:sz w:val="18"/>
                <w:szCs w:val="18"/>
              </w:rPr>
              <w:t>RCO 04</w:t>
            </w:r>
          </w:p>
        </w:tc>
        <w:tc>
          <w:tcPr>
            <w:tcW w:w="1303" w:type="pct"/>
            <w:shd w:val="clear" w:color="auto" w:fill="auto"/>
          </w:tcPr>
          <w:p w14:paraId="79C1974B" w14:textId="77777777" w:rsidR="00B471B0" w:rsidRPr="00930237" w:rsidRDefault="00B471B0" w:rsidP="009617F7">
            <w:pPr>
              <w:pStyle w:val="Default"/>
              <w:spacing w:after="0" w:line="240" w:lineRule="auto"/>
              <w:jc w:val="both"/>
              <w:rPr>
                <w:color w:val="auto"/>
                <w:sz w:val="18"/>
                <w:szCs w:val="18"/>
              </w:rPr>
            </w:pPr>
            <w:r w:rsidRPr="00930237">
              <w:rPr>
                <w:color w:val="auto"/>
                <w:sz w:val="18"/>
                <w:szCs w:val="18"/>
              </w:rPr>
              <w:t>Uzņēmumu skaits, kuri saņem nefinansiālu atbalstu.</w:t>
            </w:r>
          </w:p>
        </w:tc>
        <w:tc>
          <w:tcPr>
            <w:tcW w:w="537" w:type="pct"/>
            <w:shd w:val="clear" w:color="auto" w:fill="auto"/>
          </w:tcPr>
          <w:p w14:paraId="12D620AF" w14:textId="77777777" w:rsidR="00B471B0" w:rsidRPr="00930237" w:rsidRDefault="00B471B0" w:rsidP="009617F7">
            <w:pPr>
              <w:pStyle w:val="Text1"/>
              <w:spacing w:before="0" w:after="0"/>
              <w:ind w:left="0"/>
              <w:rPr>
                <w:rFonts w:cs="Times New Roman"/>
                <w:noProof/>
                <w:sz w:val="18"/>
                <w:szCs w:val="18"/>
              </w:rPr>
            </w:pPr>
            <w:r w:rsidRPr="00930237">
              <w:rPr>
                <w:rFonts w:cs="Times New Roman"/>
                <w:noProof/>
                <w:sz w:val="18"/>
                <w:szCs w:val="18"/>
              </w:rPr>
              <w:t>Komersantu skaits</w:t>
            </w:r>
          </w:p>
        </w:tc>
        <w:tc>
          <w:tcPr>
            <w:tcW w:w="513" w:type="pct"/>
            <w:shd w:val="clear" w:color="auto" w:fill="auto"/>
          </w:tcPr>
          <w:p w14:paraId="3BB09B49" w14:textId="77777777" w:rsidR="00B471B0" w:rsidRPr="00930237" w:rsidRDefault="00B471B0" w:rsidP="009617F7">
            <w:pPr>
              <w:pStyle w:val="Text1"/>
              <w:spacing w:before="0" w:after="0"/>
              <w:ind w:left="0"/>
              <w:jc w:val="left"/>
              <w:rPr>
                <w:rFonts w:cs="Times New Roman"/>
                <w:noProof/>
                <w:sz w:val="18"/>
                <w:szCs w:val="18"/>
              </w:rPr>
            </w:pPr>
            <w:r>
              <w:rPr>
                <w:rFonts w:cs="Times New Roman"/>
                <w:noProof/>
                <w:sz w:val="18"/>
                <w:szCs w:val="18"/>
              </w:rPr>
              <w:t>0</w:t>
            </w:r>
          </w:p>
        </w:tc>
        <w:tc>
          <w:tcPr>
            <w:tcW w:w="635" w:type="pct"/>
            <w:shd w:val="clear" w:color="auto" w:fill="auto"/>
          </w:tcPr>
          <w:p w14:paraId="014224D4" w14:textId="77777777" w:rsidR="00B471B0" w:rsidRPr="00930237" w:rsidRDefault="00B471B0" w:rsidP="009617F7">
            <w:pPr>
              <w:pStyle w:val="Text1"/>
              <w:spacing w:before="0" w:after="0"/>
              <w:ind w:left="0"/>
              <w:jc w:val="left"/>
              <w:rPr>
                <w:rFonts w:cs="Times New Roman"/>
                <w:noProof/>
                <w:sz w:val="18"/>
                <w:szCs w:val="18"/>
              </w:rPr>
            </w:pPr>
            <w:r>
              <w:rPr>
                <w:rFonts w:cs="Times New Roman"/>
                <w:noProof/>
                <w:sz w:val="18"/>
                <w:szCs w:val="18"/>
              </w:rPr>
              <w:t>8</w:t>
            </w:r>
          </w:p>
        </w:tc>
      </w:tr>
      <w:tr w:rsidR="00B471B0" w:rsidRPr="00930237" w14:paraId="3B8090BF" w14:textId="77777777" w:rsidTr="009617F7">
        <w:trPr>
          <w:trHeight w:val="332"/>
        </w:trPr>
        <w:tc>
          <w:tcPr>
            <w:tcW w:w="476" w:type="pct"/>
          </w:tcPr>
          <w:p w14:paraId="3F2CAB62" w14:textId="77777777" w:rsidR="00B471B0" w:rsidRPr="00930237" w:rsidRDefault="00B471B0" w:rsidP="009617F7">
            <w:pPr>
              <w:pStyle w:val="Text1"/>
              <w:spacing w:before="0" w:after="0"/>
              <w:ind w:left="0"/>
              <w:rPr>
                <w:rFonts w:cs="Times New Roman"/>
                <w:noProof/>
                <w:sz w:val="18"/>
                <w:szCs w:val="18"/>
              </w:rPr>
            </w:pPr>
            <w:r>
              <w:rPr>
                <w:rFonts w:cs="Times New Roman"/>
                <w:noProof/>
                <w:sz w:val="18"/>
                <w:szCs w:val="18"/>
              </w:rPr>
              <w:t>6.1.prioritāte</w:t>
            </w:r>
          </w:p>
        </w:tc>
        <w:tc>
          <w:tcPr>
            <w:tcW w:w="696" w:type="pct"/>
          </w:tcPr>
          <w:p w14:paraId="2FB794E3" w14:textId="77777777" w:rsidR="00B471B0" w:rsidRPr="00930237" w:rsidRDefault="00B471B0" w:rsidP="009617F7">
            <w:pPr>
              <w:pStyle w:val="Text1"/>
              <w:spacing w:before="0" w:after="0"/>
              <w:ind w:left="0"/>
              <w:rPr>
                <w:rFonts w:eastAsia="Times New Roman" w:cs="Times New Roman"/>
                <w:sz w:val="18"/>
                <w:szCs w:val="18"/>
              </w:rPr>
            </w:pPr>
            <w:r>
              <w:rPr>
                <w:rFonts w:eastAsia="Times New Roman" w:cs="Times New Roman"/>
                <w:sz w:val="18"/>
                <w:szCs w:val="18"/>
              </w:rPr>
              <w:t>6.1.1.SAM</w:t>
            </w:r>
          </w:p>
        </w:tc>
        <w:tc>
          <w:tcPr>
            <w:tcW w:w="353" w:type="pct"/>
          </w:tcPr>
          <w:p w14:paraId="30D78A7A" w14:textId="77777777" w:rsidR="00B471B0" w:rsidRPr="00930237" w:rsidRDefault="00B471B0" w:rsidP="009617F7">
            <w:pPr>
              <w:pStyle w:val="Text1"/>
              <w:spacing w:before="0" w:after="0"/>
              <w:ind w:left="0"/>
              <w:rPr>
                <w:rFonts w:cs="Times New Roman"/>
                <w:noProof/>
                <w:sz w:val="18"/>
                <w:szCs w:val="18"/>
              </w:rPr>
            </w:pPr>
            <w:r>
              <w:rPr>
                <w:rFonts w:cs="Times New Roman"/>
                <w:noProof/>
                <w:sz w:val="18"/>
                <w:szCs w:val="18"/>
              </w:rPr>
              <w:t>TPF</w:t>
            </w:r>
          </w:p>
        </w:tc>
        <w:tc>
          <w:tcPr>
            <w:tcW w:w="487" w:type="pct"/>
          </w:tcPr>
          <w:p w14:paraId="57E84522" w14:textId="77777777" w:rsidR="00B471B0" w:rsidRPr="00930237" w:rsidRDefault="00B471B0" w:rsidP="009617F7">
            <w:pPr>
              <w:pStyle w:val="Text1"/>
              <w:spacing w:before="0" w:after="0"/>
              <w:ind w:left="0"/>
              <w:rPr>
                <w:rFonts w:cs="Times New Roman"/>
                <w:sz w:val="18"/>
                <w:szCs w:val="18"/>
              </w:rPr>
            </w:pPr>
            <w:r>
              <w:rPr>
                <w:rFonts w:cs="Times New Roman"/>
                <w:sz w:val="18"/>
                <w:szCs w:val="18"/>
              </w:rPr>
              <w:t>RCO 10</w:t>
            </w:r>
          </w:p>
        </w:tc>
        <w:tc>
          <w:tcPr>
            <w:tcW w:w="1303" w:type="pct"/>
            <w:shd w:val="clear" w:color="auto" w:fill="auto"/>
          </w:tcPr>
          <w:p w14:paraId="04B108E4" w14:textId="77777777" w:rsidR="00B471B0" w:rsidRPr="00930237" w:rsidRDefault="00B471B0" w:rsidP="009617F7">
            <w:pPr>
              <w:pStyle w:val="Default"/>
              <w:spacing w:after="0" w:line="240" w:lineRule="auto"/>
              <w:jc w:val="both"/>
              <w:rPr>
                <w:color w:val="auto"/>
                <w:sz w:val="18"/>
                <w:szCs w:val="18"/>
              </w:rPr>
            </w:pPr>
            <w:r w:rsidRPr="004A2693">
              <w:rPr>
                <w:color w:val="auto"/>
                <w:sz w:val="18"/>
                <w:szCs w:val="18"/>
              </w:rPr>
              <w:t>Uzņēmumu skaits, kuri sadarbojas ar pētniecības institūcijām</w:t>
            </w:r>
          </w:p>
        </w:tc>
        <w:tc>
          <w:tcPr>
            <w:tcW w:w="537" w:type="pct"/>
          </w:tcPr>
          <w:p w14:paraId="16AEB6A6" w14:textId="77777777" w:rsidR="00B471B0" w:rsidRPr="00930237" w:rsidRDefault="00B471B0" w:rsidP="009617F7">
            <w:pPr>
              <w:pStyle w:val="Text1"/>
              <w:spacing w:before="0" w:after="0"/>
              <w:ind w:left="0"/>
              <w:rPr>
                <w:rFonts w:cs="Times New Roman"/>
                <w:noProof/>
                <w:sz w:val="18"/>
                <w:szCs w:val="18"/>
              </w:rPr>
            </w:pPr>
            <w:r w:rsidRPr="004A2693">
              <w:rPr>
                <w:rFonts w:cs="Times New Roman"/>
                <w:noProof/>
                <w:sz w:val="18"/>
                <w:szCs w:val="18"/>
              </w:rPr>
              <w:t>Komersantu skaits</w:t>
            </w:r>
          </w:p>
        </w:tc>
        <w:tc>
          <w:tcPr>
            <w:tcW w:w="513" w:type="pct"/>
            <w:shd w:val="clear" w:color="auto" w:fill="auto"/>
          </w:tcPr>
          <w:p w14:paraId="47A1AB09" w14:textId="77777777" w:rsidR="00B471B0" w:rsidRDefault="00B471B0" w:rsidP="009617F7">
            <w:pPr>
              <w:pStyle w:val="Text1"/>
              <w:spacing w:before="0" w:after="0"/>
              <w:ind w:left="0"/>
              <w:jc w:val="left"/>
              <w:rPr>
                <w:rFonts w:cs="Times New Roman"/>
                <w:noProof/>
                <w:sz w:val="18"/>
                <w:szCs w:val="18"/>
              </w:rPr>
            </w:pPr>
            <w:r>
              <w:rPr>
                <w:rFonts w:cs="Times New Roman"/>
                <w:noProof/>
                <w:sz w:val="18"/>
                <w:szCs w:val="18"/>
              </w:rPr>
              <w:t>0</w:t>
            </w:r>
          </w:p>
        </w:tc>
        <w:tc>
          <w:tcPr>
            <w:tcW w:w="635" w:type="pct"/>
            <w:shd w:val="clear" w:color="auto" w:fill="auto"/>
          </w:tcPr>
          <w:p w14:paraId="202B62F8" w14:textId="77777777" w:rsidR="00B471B0" w:rsidRPr="00930237" w:rsidRDefault="00B471B0" w:rsidP="009617F7">
            <w:pPr>
              <w:pStyle w:val="Text1"/>
              <w:spacing w:before="0" w:after="0"/>
              <w:ind w:left="0"/>
              <w:jc w:val="left"/>
              <w:rPr>
                <w:rFonts w:cs="Times New Roman"/>
                <w:noProof/>
                <w:sz w:val="18"/>
                <w:szCs w:val="18"/>
              </w:rPr>
            </w:pPr>
            <w:r>
              <w:rPr>
                <w:rFonts w:cs="Times New Roman"/>
                <w:noProof/>
                <w:sz w:val="18"/>
                <w:szCs w:val="18"/>
              </w:rPr>
              <w:t>7</w:t>
            </w:r>
          </w:p>
        </w:tc>
      </w:tr>
      <w:tr w:rsidR="00B471B0" w:rsidRPr="00930237" w14:paraId="7A6CEC1B" w14:textId="77777777" w:rsidTr="009617F7">
        <w:trPr>
          <w:trHeight w:val="332"/>
        </w:trPr>
        <w:tc>
          <w:tcPr>
            <w:tcW w:w="476" w:type="pct"/>
          </w:tcPr>
          <w:p w14:paraId="4E3DC242" w14:textId="77777777" w:rsidR="00B471B0" w:rsidRDefault="00B471B0" w:rsidP="009617F7">
            <w:pPr>
              <w:pStyle w:val="Text1"/>
              <w:spacing w:before="0" w:after="0"/>
              <w:ind w:left="0"/>
              <w:rPr>
                <w:rFonts w:cs="Times New Roman"/>
                <w:noProof/>
                <w:sz w:val="18"/>
                <w:szCs w:val="18"/>
              </w:rPr>
            </w:pPr>
            <w:r w:rsidRPr="002B6EA1">
              <w:rPr>
                <w:rFonts w:cs="Times New Roman"/>
                <w:noProof/>
                <w:sz w:val="18"/>
                <w:szCs w:val="18"/>
              </w:rPr>
              <w:t>6.1.prioritāte</w:t>
            </w:r>
          </w:p>
          <w:p w14:paraId="325233C5" w14:textId="77777777" w:rsidR="00B471B0" w:rsidRPr="00930237" w:rsidRDefault="00B471B0" w:rsidP="009617F7">
            <w:pPr>
              <w:pStyle w:val="Text1"/>
              <w:spacing w:before="0" w:after="0"/>
              <w:ind w:left="0"/>
              <w:rPr>
                <w:rFonts w:cs="Times New Roman"/>
                <w:noProof/>
                <w:sz w:val="18"/>
                <w:szCs w:val="18"/>
              </w:rPr>
            </w:pPr>
          </w:p>
        </w:tc>
        <w:tc>
          <w:tcPr>
            <w:tcW w:w="696" w:type="pct"/>
          </w:tcPr>
          <w:p w14:paraId="1698E596" w14:textId="77777777" w:rsidR="00B471B0" w:rsidRPr="00930237" w:rsidRDefault="00B471B0" w:rsidP="009617F7">
            <w:pPr>
              <w:pStyle w:val="Text1"/>
              <w:spacing w:before="0" w:after="0"/>
              <w:ind w:left="0"/>
              <w:rPr>
                <w:rFonts w:cs="Times New Roman"/>
                <w:noProof/>
                <w:sz w:val="18"/>
                <w:szCs w:val="18"/>
              </w:rPr>
            </w:pPr>
            <w:r>
              <w:rPr>
                <w:rFonts w:cs="Times New Roman"/>
                <w:noProof/>
                <w:sz w:val="18"/>
                <w:szCs w:val="18"/>
              </w:rPr>
              <w:t>6.1.1.SAM</w:t>
            </w:r>
          </w:p>
        </w:tc>
        <w:tc>
          <w:tcPr>
            <w:tcW w:w="353" w:type="pct"/>
          </w:tcPr>
          <w:p w14:paraId="02AC56E1" w14:textId="77777777" w:rsidR="00B471B0" w:rsidRPr="00930237" w:rsidRDefault="00B471B0" w:rsidP="009617F7">
            <w:pPr>
              <w:pStyle w:val="Text1"/>
              <w:spacing w:before="0" w:after="0"/>
              <w:ind w:left="0"/>
              <w:rPr>
                <w:rFonts w:cs="Times New Roman"/>
                <w:noProof/>
                <w:sz w:val="18"/>
                <w:szCs w:val="18"/>
              </w:rPr>
            </w:pPr>
            <w:r>
              <w:rPr>
                <w:rFonts w:cs="Times New Roman"/>
                <w:noProof/>
                <w:sz w:val="18"/>
                <w:szCs w:val="18"/>
              </w:rPr>
              <w:t>TPF</w:t>
            </w:r>
          </w:p>
        </w:tc>
        <w:tc>
          <w:tcPr>
            <w:tcW w:w="487" w:type="pct"/>
          </w:tcPr>
          <w:p w14:paraId="288DAFBC" w14:textId="77777777" w:rsidR="00B471B0" w:rsidRPr="00930237" w:rsidRDefault="00B471B0" w:rsidP="009617F7">
            <w:pPr>
              <w:pStyle w:val="Text1"/>
              <w:spacing w:before="0" w:after="0"/>
              <w:ind w:left="0"/>
              <w:rPr>
                <w:rFonts w:cs="Times New Roman"/>
                <w:sz w:val="18"/>
                <w:szCs w:val="18"/>
              </w:rPr>
            </w:pPr>
            <w:r w:rsidRPr="00930237">
              <w:rPr>
                <w:rFonts w:cs="Times New Roman"/>
                <w:sz w:val="18"/>
                <w:szCs w:val="18"/>
              </w:rPr>
              <w:t>RCO 38</w:t>
            </w:r>
          </w:p>
        </w:tc>
        <w:tc>
          <w:tcPr>
            <w:tcW w:w="1303" w:type="pct"/>
            <w:shd w:val="clear" w:color="auto" w:fill="auto"/>
          </w:tcPr>
          <w:p w14:paraId="5E9B8967" w14:textId="77777777" w:rsidR="00B471B0" w:rsidRPr="00930237" w:rsidRDefault="00B471B0" w:rsidP="009617F7">
            <w:pPr>
              <w:pStyle w:val="Default"/>
              <w:spacing w:after="0" w:line="240" w:lineRule="auto"/>
              <w:jc w:val="both"/>
              <w:rPr>
                <w:color w:val="auto"/>
                <w:sz w:val="18"/>
                <w:szCs w:val="18"/>
              </w:rPr>
            </w:pPr>
            <w:r w:rsidRPr="00930237">
              <w:rPr>
                <w:color w:val="auto"/>
                <w:sz w:val="18"/>
                <w:szCs w:val="18"/>
              </w:rPr>
              <w:t>Atbalstītās rehabilitētās zemes platība</w:t>
            </w:r>
          </w:p>
        </w:tc>
        <w:tc>
          <w:tcPr>
            <w:tcW w:w="537" w:type="pct"/>
          </w:tcPr>
          <w:p w14:paraId="0FF3178D" w14:textId="77777777" w:rsidR="00B471B0" w:rsidRPr="00930237" w:rsidRDefault="00B471B0" w:rsidP="009617F7">
            <w:pPr>
              <w:pStyle w:val="Text1"/>
              <w:spacing w:before="0" w:after="0"/>
              <w:ind w:left="0"/>
              <w:rPr>
                <w:rFonts w:cs="Times New Roman"/>
                <w:noProof/>
                <w:sz w:val="18"/>
                <w:szCs w:val="18"/>
              </w:rPr>
            </w:pPr>
            <w:r w:rsidRPr="00E742B8">
              <w:rPr>
                <w:rFonts w:cs="Times New Roman"/>
                <w:noProof/>
                <w:sz w:val="18"/>
                <w:szCs w:val="18"/>
              </w:rPr>
              <w:t>ha</w:t>
            </w:r>
          </w:p>
        </w:tc>
        <w:tc>
          <w:tcPr>
            <w:tcW w:w="513" w:type="pct"/>
            <w:shd w:val="clear" w:color="auto" w:fill="auto"/>
          </w:tcPr>
          <w:p w14:paraId="7BDB3B9C" w14:textId="77777777" w:rsidR="00B471B0" w:rsidRPr="00930237" w:rsidRDefault="00B471B0" w:rsidP="009617F7">
            <w:pPr>
              <w:pStyle w:val="Text1"/>
              <w:spacing w:before="0" w:after="0"/>
              <w:ind w:left="0"/>
              <w:rPr>
                <w:rFonts w:cs="Times New Roman"/>
                <w:noProof/>
                <w:sz w:val="18"/>
                <w:szCs w:val="18"/>
              </w:rPr>
            </w:pPr>
            <w:r>
              <w:rPr>
                <w:rFonts w:cs="Times New Roman"/>
                <w:noProof/>
                <w:sz w:val="18"/>
                <w:szCs w:val="18"/>
              </w:rPr>
              <w:t>1298</w:t>
            </w:r>
          </w:p>
        </w:tc>
        <w:tc>
          <w:tcPr>
            <w:tcW w:w="635" w:type="pct"/>
            <w:shd w:val="clear" w:color="auto" w:fill="auto"/>
          </w:tcPr>
          <w:p w14:paraId="248AC323" w14:textId="77777777" w:rsidR="00B471B0" w:rsidRPr="00930237" w:rsidRDefault="00B471B0" w:rsidP="009617F7">
            <w:pPr>
              <w:pStyle w:val="Text1"/>
              <w:spacing w:before="0" w:after="0"/>
              <w:ind w:left="0"/>
              <w:rPr>
                <w:rFonts w:cs="Times New Roman"/>
                <w:noProof/>
                <w:sz w:val="18"/>
                <w:szCs w:val="18"/>
              </w:rPr>
            </w:pPr>
            <w:r>
              <w:rPr>
                <w:rFonts w:cs="Times New Roman"/>
                <w:noProof/>
                <w:sz w:val="18"/>
                <w:szCs w:val="18"/>
              </w:rPr>
              <w:t>8654</w:t>
            </w:r>
          </w:p>
        </w:tc>
      </w:tr>
      <w:tr w:rsidR="00B471B0" w:rsidRPr="00930237" w14:paraId="45A6DF25" w14:textId="77777777" w:rsidTr="009617F7">
        <w:trPr>
          <w:trHeight w:val="505"/>
        </w:trPr>
        <w:tc>
          <w:tcPr>
            <w:tcW w:w="476" w:type="pct"/>
          </w:tcPr>
          <w:p w14:paraId="3FAAB235" w14:textId="77777777" w:rsidR="00B471B0" w:rsidRDefault="00B471B0" w:rsidP="009617F7">
            <w:pPr>
              <w:pStyle w:val="Text1"/>
              <w:spacing w:before="0" w:after="0"/>
              <w:ind w:left="0"/>
              <w:rPr>
                <w:rFonts w:cs="Times New Roman"/>
                <w:noProof/>
                <w:sz w:val="18"/>
                <w:szCs w:val="18"/>
              </w:rPr>
            </w:pPr>
            <w:r>
              <w:rPr>
                <w:rFonts w:cs="Times New Roman"/>
                <w:noProof/>
                <w:sz w:val="18"/>
                <w:szCs w:val="18"/>
              </w:rPr>
              <w:t>6.1.prioritāte</w:t>
            </w:r>
          </w:p>
        </w:tc>
        <w:tc>
          <w:tcPr>
            <w:tcW w:w="696" w:type="pct"/>
          </w:tcPr>
          <w:p w14:paraId="12837266" w14:textId="77777777" w:rsidR="00B471B0" w:rsidRDefault="00B471B0" w:rsidP="009617F7">
            <w:pPr>
              <w:pStyle w:val="Text1"/>
              <w:spacing w:before="0" w:after="0"/>
              <w:ind w:left="0"/>
              <w:rPr>
                <w:rFonts w:cs="Times New Roman"/>
                <w:noProof/>
                <w:sz w:val="18"/>
                <w:szCs w:val="18"/>
              </w:rPr>
            </w:pPr>
            <w:r>
              <w:rPr>
                <w:rFonts w:cs="Times New Roman"/>
                <w:noProof/>
                <w:sz w:val="18"/>
                <w:szCs w:val="18"/>
              </w:rPr>
              <w:t>6.1.1.SAM</w:t>
            </w:r>
          </w:p>
        </w:tc>
        <w:tc>
          <w:tcPr>
            <w:tcW w:w="353" w:type="pct"/>
          </w:tcPr>
          <w:p w14:paraId="57C8700C" w14:textId="77777777" w:rsidR="00B471B0" w:rsidRDefault="00B471B0" w:rsidP="009617F7">
            <w:pPr>
              <w:pStyle w:val="Text1"/>
              <w:spacing w:before="0" w:after="0"/>
              <w:ind w:left="0"/>
              <w:rPr>
                <w:rFonts w:cs="Times New Roman"/>
                <w:noProof/>
                <w:sz w:val="18"/>
                <w:szCs w:val="18"/>
              </w:rPr>
            </w:pPr>
            <w:r>
              <w:rPr>
                <w:rFonts w:cs="Times New Roman"/>
                <w:noProof/>
                <w:sz w:val="18"/>
                <w:szCs w:val="18"/>
              </w:rPr>
              <w:t>TPF</w:t>
            </w:r>
          </w:p>
        </w:tc>
        <w:tc>
          <w:tcPr>
            <w:tcW w:w="487" w:type="pct"/>
          </w:tcPr>
          <w:p w14:paraId="3F7F50A7" w14:textId="77777777" w:rsidR="00B471B0" w:rsidRPr="00930237" w:rsidRDefault="00B471B0" w:rsidP="009617F7">
            <w:pPr>
              <w:pStyle w:val="Text1"/>
              <w:spacing w:before="0" w:after="0"/>
              <w:ind w:left="0"/>
              <w:rPr>
                <w:rFonts w:cs="Times New Roman"/>
                <w:sz w:val="18"/>
                <w:szCs w:val="18"/>
              </w:rPr>
            </w:pPr>
            <w:r>
              <w:rPr>
                <w:rFonts w:cs="Times New Roman"/>
                <w:sz w:val="18"/>
                <w:szCs w:val="18"/>
              </w:rPr>
              <w:t>RCO 60</w:t>
            </w:r>
          </w:p>
        </w:tc>
        <w:tc>
          <w:tcPr>
            <w:tcW w:w="1303" w:type="pct"/>
            <w:shd w:val="clear" w:color="auto" w:fill="auto"/>
          </w:tcPr>
          <w:p w14:paraId="1245FDC6" w14:textId="77777777" w:rsidR="00B471B0" w:rsidRPr="00930237" w:rsidRDefault="00B471B0" w:rsidP="009617F7">
            <w:pPr>
              <w:pStyle w:val="Default"/>
              <w:spacing w:after="0" w:line="240" w:lineRule="auto"/>
              <w:jc w:val="both"/>
              <w:rPr>
                <w:color w:val="auto"/>
                <w:sz w:val="18"/>
                <w:szCs w:val="18"/>
              </w:rPr>
            </w:pPr>
            <w:r w:rsidRPr="00146A12">
              <w:rPr>
                <w:color w:val="auto"/>
                <w:sz w:val="18"/>
                <w:szCs w:val="18"/>
              </w:rPr>
              <w:t>Pilsētas ar jaunām vai modernizētām digitalizētām pilsētas transporta sistēmām</w:t>
            </w:r>
          </w:p>
        </w:tc>
        <w:tc>
          <w:tcPr>
            <w:tcW w:w="537" w:type="pct"/>
          </w:tcPr>
          <w:p w14:paraId="22254603" w14:textId="77777777" w:rsidR="00B471B0" w:rsidRPr="00930237" w:rsidRDefault="00B471B0" w:rsidP="009617F7">
            <w:pPr>
              <w:pStyle w:val="Text1"/>
              <w:spacing w:before="0" w:after="0"/>
              <w:ind w:left="0"/>
              <w:rPr>
                <w:rFonts w:cs="Times New Roman"/>
                <w:noProof/>
                <w:sz w:val="18"/>
                <w:szCs w:val="18"/>
              </w:rPr>
            </w:pPr>
            <w:r w:rsidRPr="00146A12">
              <w:rPr>
                <w:rFonts w:cs="Times New Roman"/>
                <w:noProof/>
                <w:sz w:val="18"/>
                <w:szCs w:val="18"/>
              </w:rPr>
              <w:t>Pilsētu skaits</w:t>
            </w:r>
          </w:p>
        </w:tc>
        <w:tc>
          <w:tcPr>
            <w:tcW w:w="513" w:type="pct"/>
            <w:shd w:val="clear" w:color="auto" w:fill="auto"/>
          </w:tcPr>
          <w:p w14:paraId="0AFB9398" w14:textId="77777777" w:rsidR="00B471B0" w:rsidRPr="00972A52" w:rsidRDefault="00B471B0" w:rsidP="009617F7">
            <w:pPr>
              <w:pStyle w:val="Text1"/>
              <w:spacing w:before="0" w:after="0"/>
              <w:ind w:left="0"/>
              <w:rPr>
                <w:rFonts w:cs="Times New Roman"/>
                <w:noProof/>
                <w:sz w:val="18"/>
                <w:szCs w:val="18"/>
              </w:rPr>
            </w:pPr>
            <w:r>
              <w:rPr>
                <w:rFonts w:cs="Times New Roman"/>
                <w:noProof/>
                <w:sz w:val="18"/>
                <w:szCs w:val="18"/>
              </w:rPr>
              <w:t>0</w:t>
            </w:r>
          </w:p>
        </w:tc>
        <w:tc>
          <w:tcPr>
            <w:tcW w:w="635" w:type="pct"/>
            <w:shd w:val="clear" w:color="auto" w:fill="auto"/>
          </w:tcPr>
          <w:p w14:paraId="7059F207" w14:textId="77777777" w:rsidR="00B471B0" w:rsidRDefault="00B471B0" w:rsidP="009617F7">
            <w:pPr>
              <w:pStyle w:val="Text1"/>
              <w:spacing w:before="0" w:after="0"/>
              <w:ind w:left="0"/>
              <w:rPr>
                <w:rFonts w:cs="Times New Roman"/>
                <w:noProof/>
                <w:sz w:val="18"/>
                <w:szCs w:val="18"/>
              </w:rPr>
            </w:pPr>
            <w:r>
              <w:rPr>
                <w:rFonts w:cs="Times New Roman"/>
                <w:noProof/>
                <w:sz w:val="18"/>
                <w:szCs w:val="18"/>
              </w:rPr>
              <w:t>8</w:t>
            </w:r>
          </w:p>
        </w:tc>
      </w:tr>
      <w:tr w:rsidR="00B471B0" w:rsidRPr="00930237" w14:paraId="2C8CF818" w14:textId="77777777" w:rsidTr="009617F7">
        <w:trPr>
          <w:trHeight w:val="332"/>
        </w:trPr>
        <w:tc>
          <w:tcPr>
            <w:tcW w:w="476" w:type="pct"/>
          </w:tcPr>
          <w:p w14:paraId="2DCB57CC" w14:textId="77777777" w:rsidR="00B471B0" w:rsidRPr="00930237" w:rsidRDefault="00B471B0" w:rsidP="009617F7">
            <w:pPr>
              <w:pStyle w:val="Text1"/>
              <w:spacing w:before="0" w:after="0"/>
              <w:ind w:left="0"/>
              <w:rPr>
                <w:rFonts w:cs="Times New Roman"/>
                <w:noProof/>
                <w:sz w:val="18"/>
                <w:szCs w:val="18"/>
              </w:rPr>
            </w:pPr>
            <w:r>
              <w:rPr>
                <w:rFonts w:cs="Times New Roman"/>
                <w:noProof/>
                <w:sz w:val="18"/>
                <w:szCs w:val="18"/>
              </w:rPr>
              <w:t>6.1.prioritāte</w:t>
            </w:r>
          </w:p>
        </w:tc>
        <w:tc>
          <w:tcPr>
            <w:tcW w:w="696" w:type="pct"/>
          </w:tcPr>
          <w:p w14:paraId="6CF40047" w14:textId="77777777" w:rsidR="00B471B0" w:rsidRPr="00930237" w:rsidRDefault="00B471B0" w:rsidP="009617F7">
            <w:pPr>
              <w:spacing w:before="0" w:after="0"/>
              <w:rPr>
                <w:noProof/>
                <w:sz w:val="18"/>
                <w:szCs w:val="18"/>
              </w:rPr>
            </w:pPr>
            <w:r w:rsidRPr="006A4536">
              <w:rPr>
                <w:noProof/>
                <w:sz w:val="18"/>
                <w:szCs w:val="18"/>
              </w:rPr>
              <w:t>6.1.1.SAM</w:t>
            </w:r>
          </w:p>
        </w:tc>
        <w:tc>
          <w:tcPr>
            <w:tcW w:w="353" w:type="pct"/>
          </w:tcPr>
          <w:p w14:paraId="67BB9575" w14:textId="77777777" w:rsidR="00B471B0" w:rsidRPr="00930237" w:rsidRDefault="00B471B0" w:rsidP="009617F7">
            <w:pPr>
              <w:pStyle w:val="Text1"/>
              <w:spacing w:before="0" w:after="0"/>
              <w:ind w:left="0"/>
              <w:rPr>
                <w:rFonts w:cs="Times New Roman"/>
                <w:noProof/>
                <w:sz w:val="18"/>
                <w:szCs w:val="18"/>
              </w:rPr>
            </w:pPr>
            <w:r w:rsidRPr="006A4536">
              <w:rPr>
                <w:rFonts w:cs="Times New Roman"/>
                <w:noProof/>
                <w:sz w:val="18"/>
                <w:szCs w:val="18"/>
              </w:rPr>
              <w:t>TPF</w:t>
            </w:r>
          </w:p>
        </w:tc>
        <w:tc>
          <w:tcPr>
            <w:tcW w:w="487" w:type="pct"/>
          </w:tcPr>
          <w:p w14:paraId="2261987A" w14:textId="77777777" w:rsidR="00B471B0" w:rsidRPr="00930237" w:rsidRDefault="00B471B0" w:rsidP="009617F7">
            <w:pPr>
              <w:pStyle w:val="Text1"/>
              <w:spacing w:before="0" w:after="0"/>
              <w:ind w:left="0"/>
              <w:rPr>
                <w:rFonts w:cs="Times New Roman"/>
                <w:sz w:val="18"/>
                <w:szCs w:val="18"/>
              </w:rPr>
            </w:pPr>
            <w:r>
              <w:rPr>
                <w:rFonts w:cs="Times New Roman"/>
                <w:sz w:val="18"/>
                <w:szCs w:val="18"/>
              </w:rPr>
              <w:t>TPF RCO 203</w:t>
            </w:r>
          </w:p>
        </w:tc>
        <w:tc>
          <w:tcPr>
            <w:tcW w:w="1303" w:type="pct"/>
            <w:shd w:val="clear" w:color="auto" w:fill="auto"/>
          </w:tcPr>
          <w:p w14:paraId="1523342C" w14:textId="77777777" w:rsidR="00B471B0" w:rsidRPr="00930237" w:rsidRDefault="00B471B0" w:rsidP="009617F7">
            <w:pPr>
              <w:pStyle w:val="Default"/>
              <w:spacing w:after="0" w:line="240" w:lineRule="auto"/>
              <w:jc w:val="both"/>
              <w:rPr>
                <w:sz w:val="18"/>
                <w:szCs w:val="18"/>
                <w:lang w:eastAsia="en-GB"/>
              </w:rPr>
            </w:pPr>
            <w:r w:rsidRPr="006A4536">
              <w:rPr>
                <w:sz w:val="18"/>
                <w:szCs w:val="18"/>
                <w:lang w:eastAsia="en-GB"/>
              </w:rPr>
              <w:t>Nodarbinātie, tostarp pašnodarbinātie</w:t>
            </w:r>
          </w:p>
        </w:tc>
        <w:tc>
          <w:tcPr>
            <w:tcW w:w="537" w:type="pct"/>
          </w:tcPr>
          <w:p w14:paraId="02954A23" w14:textId="77777777" w:rsidR="00B471B0" w:rsidRPr="00930237" w:rsidRDefault="00B471B0" w:rsidP="009617F7">
            <w:pPr>
              <w:pStyle w:val="Text1"/>
              <w:spacing w:before="0" w:after="0"/>
              <w:ind w:left="0"/>
              <w:rPr>
                <w:rFonts w:cs="Times New Roman"/>
                <w:noProof/>
                <w:sz w:val="18"/>
                <w:szCs w:val="18"/>
              </w:rPr>
            </w:pPr>
            <w:r w:rsidRPr="006A4536">
              <w:rPr>
                <w:rFonts w:cs="Times New Roman"/>
                <w:noProof/>
                <w:sz w:val="18"/>
                <w:szCs w:val="18"/>
              </w:rPr>
              <w:t>Personu skaits</w:t>
            </w:r>
          </w:p>
        </w:tc>
        <w:tc>
          <w:tcPr>
            <w:tcW w:w="513" w:type="pct"/>
            <w:shd w:val="clear" w:color="auto" w:fill="auto"/>
          </w:tcPr>
          <w:p w14:paraId="3449E580" w14:textId="77777777" w:rsidR="00B471B0" w:rsidRPr="00930237" w:rsidRDefault="00B471B0" w:rsidP="009617F7">
            <w:pPr>
              <w:spacing w:before="0" w:after="0"/>
              <w:rPr>
                <w:noProof/>
                <w:sz w:val="18"/>
                <w:szCs w:val="18"/>
              </w:rPr>
            </w:pPr>
            <w:r>
              <w:rPr>
                <w:noProof/>
                <w:sz w:val="18"/>
                <w:szCs w:val="18"/>
              </w:rPr>
              <w:t>0</w:t>
            </w:r>
          </w:p>
        </w:tc>
        <w:tc>
          <w:tcPr>
            <w:tcW w:w="635" w:type="pct"/>
            <w:shd w:val="clear" w:color="auto" w:fill="auto"/>
          </w:tcPr>
          <w:p w14:paraId="11F62F9B" w14:textId="77777777" w:rsidR="00B471B0" w:rsidRPr="00930237" w:rsidRDefault="00B471B0" w:rsidP="009617F7">
            <w:pPr>
              <w:spacing w:before="0" w:after="0"/>
              <w:rPr>
                <w:noProof/>
                <w:sz w:val="18"/>
                <w:szCs w:val="18"/>
              </w:rPr>
            </w:pPr>
            <w:r>
              <w:rPr>
                <w:noProof/>
                <w:sz w:val="18"/>
                <w:szCs w:val="18"/>
              </w:rPr>
              <w:t>8913</w:t>
            </w:r>
          </w:p>
        </w:tc>
      </w:tr>
    </w:tbl>
    <w:p w14:paraId="37167FB2" w14:textId="77777777" w:rsidR="00B471B0" w:rsidRPr="00930237" w:rsidRDefault="00B471B0" w:rsidP="00B471B0">
      <w:pPr>
        <w:spacing w:before="0" w:after="0"/>
        <w:rPr>
          <w:rFonts w:eastAsia="Times New Roman"/>
          <w:b/>
          <w:iCs/>
          <w:noProof/>
          <w:sz w:val="20"/>
        </w:rPr>
      </w:pPr>
    </w:p>
    <w:p w14:paraId="752D945F" w14:textId="77777777" w:rsidR="00B471B0" w:rsidRPr="00930237" w:rsidRDefault="00B471B0" w:rsidP="00B471B0">
      <w:pPr>
        <w:spacing w:before="0" w:after="0"/>
        <w:rPr>
          <w:rFonts w:eastAsia="Times New Roman"/>
          <w:iCs/>
          <w:noProof/>
          <w:sz w:val="20"/>
        </w:rPr>
      </w:pPr>
      <w:r w:rsidRPr="00930237">
        <w:rPr>
          <w:rFonts w:eastAsia="Times New Roman"/>
          <w:iCs/>
          <w:noProof/>
          <w:sz w:val="20"/>
        </w:rPr>
        <w:t>* Rādītāju sasniedzamās vērtības tiks definētas, kad būs pieejami veikto izvērtējumu rezultāti, kā arī attiecīgo nozaru plānošanas dokumentu izstrādes un saskaņošanas ietvaros.</w:t>
      </w:r>
    </w:p>
    <w:p w14:paraId="70A1F001" w14:textId="29D758B9" w:rsidR="00B471B0" w:rsidRPr="00E261E7" w:rsidRDefault="00B471B0" w:rsidP="00E261E7"/>
    <w:p w14:paraId="0F813AFF" w14:textId="3F5DB171" w:rsidR="00B471B0" w:rsidRPr="00930237" w:rsidRDefault="00B471B0" w:rsidP="00E261E7">
      <w:pPr>
        <w:pStyle w:val="Heading3"/>
        <w:numPr>
          <w:ilvl w:val="0"/>
          <w:numId w:val="0"/>
        </w:numPr>
        <w:spacing w:after="0"/>
        <w:rPr>
          <w:b/>
          <w:i w:val="0"/>
          <w:noProof/>
        </w:rPr>
      </w:pPr>
      <w:bookmarkStart w:id="50" w:name="_Toc69125425"/>
      <w:r>
        <w:rPr>
          <w:b/>
          <w:i w:val="0"/>
          <w:noProof/>
        </w:rPr>
        <w:t>13</w:t>
      </w:r>
      <w:r w:rsidRPr="00930237">
        <w:rPr>
          <w:b/>
          <w:i w:val="0"/>
          <w:noProof/>
        </w:rPr>
        <w:t>.tabula</w:t>
      </w:r>
      <w:r w:rsidR="005156FC">
        <w:rPr>
          <w:b/>
          <w:i w:val="0"/>
          <w:noProof/>
        </w:rPr>
        <w:t xml:space="preserve"> (3)</w:t>
      </w:r>
      <w:r w:rsidRPr="00930237">
        <w:rPr>
          <w:b/>
          <w:i w:val="0"/>
          <w:noProof/>
        </w:rPr>
        <w:t xml:space="preserve"> </w:t>
      </w:r>
      <w:r>
        <w:rPr>
          <w:b/>
          <w:i w:val="0"/>
          <w:noProof/>
        </w:rPr>
        <w:t>6.Politiskā mērķa r</w:t>
      </w:r>
      <w:r w:rsidRPr="00930237">
        <w:rPr>
          <w:b/>
          <w:i w:val="0"/>
          <w:noProof/>
        </w:rPr>
        <w:t>ezultātu rādītāji</w:t>
      </w:r>
      <w:r w:rsidRPr="00930237">
        <w:rPr>
          <w:rStyle w:val="FootnoteReference"/>
          <w:b/>
          <w:i w:val="0"/>
          <w:noProof/>
        </w:rPr>
        <w:footnoteReference w:id="134"/>
      </w:r>
      <w:bookmarkEnd w:id="50"/>
    </w:p>
    <w:p w14:paraId="6BC0FA03" w14:textId="77777777" w:rsidR="00B471B0" w:rsidRPr="00930237" w:rsidRDefault="00B471B0" w:rsidP="00E261E7">
      <w:pPr>
        <w:spacing w:before="0" w:after="0"/>
        <w:rPr>
          <w:rFonts w:eastAsia="Times New Roman"/>
          <w:b/>
          <w:iCs/>
          <w:noProof/>
          <w:sz w:val="20"/>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3"/>
        <w:gridCol w:w="1150"/>
        <w:gridCol w:w="836"/>
        <w:gridCol w:w="997"/>
        <w:gridCol w:w="2213"/>
        <w:gridCol w:w="1289"/>
        <w:gridCol w:w="1041"/>
        <w:gridCol w:w="1216"/>
        <w:gridCol w:w="1383"/>
        <w:gridCol w:w="1355"/>
        <w:gridCol w:w="1133"/>
      </w:tblGrid>
      <w:tr w:rsidR="00B471B0" w:rsidRPr="00BF555E" w14:paraId="517B59CD" w14:textId="77777777" w:rsidTr="00E25CE3">
        <w:trPr>
          <w:trHeight w:val="282"/>
          <w:tblHeader/>
        </w:trPr>
        <w:tc>
          <w:tcPr>
            <w:tcW w:w="458" w:type="pct"/>
            <w:shd w:val="clear" w:color="auto" w:fill="D9D9D9" w:themeFill="background1" w:themeFillShade="D9"/>
            <w:vAlign w:val="center"/>
          </w:tcPr>
          <w:p w14:paraId="654439D4" w14:textId="77777777" w:rsidR="00B471B0" w:rsidRPr="00BF555E" w:rsidRDefault="00B471B0" w:rsidP="009617F7">
            <w:pPr>
              <w:pStyle w:val="Text1"/>
              <w:spacing w:before="0" w:after="0"/>
              <w:ind w:left="0"/>
              <w:jc w:val="center"/>
              <w:rPr>
                <w:rFonts w:cs="Times New Roman"/>
                <w:b/>
                <w:noProof/>
                <w:sz w:val="18"/>
                <w:szCs w:val="18"/>
              </w:rPr>
            </w:pPr>
            <w:r w:rsidRPr="00BF555E">
              <w:rPr>
                <w:rFonts w:cs="Times New Roman"/>
                <w:b/>
                <w:noProof/>
                <w:sz w:val="18"/>
                <w:szCs w:val="18"/>
              </w:rPr>
              <w:t>Prioritāte</w:t>
            </w:r>
          </w:p>
        </w:tc>
        <w:tc>
          <w:tcPr>
            <w:tcW w:w="414" w:type="pct"/>
            <w:shd w:val="clear" w:color="auto" w:fill="D9D9D9" w:themeFill="background1" w:themeFillShade="D9"/>
            <w:vAlign w:val="center"/>
          </w:tcPr>
          <w:p w14:paraId="056B53DC" w14:textId="77777777" w:rsidR="00B471B0" w:rsidRPr="00BF555E" w:rsidRDefault="00B471B0" w:rsidP="009617F7">
            <w:pPr>
              <w:pStyle w:val="Text1"/>
              <w:spacing w:before="0" w:after="0"/>
              <w:ind w:left="0"/>
              <w:jc w:val="center"/>
              <w:rPr>
                <w:rFonts w:cs="Times New Roman"/>
                <w:b/>
                <w:noProof/>
                <w:sz w:val="18"/>
                <w:szCs w:val="18"/>
              </w:rPr>
            </w:pPr>
            <w:r w:rsidRPr="00BF555E">
              <w:rPr>
                <w:rFonts w:cs="Times New Roman"/>
                <w:b/>
                <w:noProof/>
                <w:sz w:val="18"/>
                <w:szCs w:val="18"/>
              </w:rPr>
              <w:t>SAM</w:t>
            </w:r>
          </w:p>
        </w:tc>
        <w:tc>
          <w:tcPr>
            <w:tcW w:w="301" w:type="pct"/>
            <w:shd w:val="clear" w:color="auto" w:fill="D9D9D9" w:themeFill="background1" w:themeFillShade="D9"/>
            <w:vAlign w:val="center"/>
          </w:tcPr>
          <w:p w14:paraId="017CCA3C" w14:textId="77777777" w:rsidR="00B471B0" w:rsidRPr="00BF555E" w:rsidRDefault="00B471B0" w:rsidP="009617F7">
            <w:pPr>
              <w:pStyle w:val="Text1"/>
              <w:spacing w:before="0" w:after="0"/>
              <w:ind w:left="0"/>
              <w:jc w:val="center"/>
              <w:rPr>
                <w:rFonts w:cs="Times New Roman"/>
                <w:b/>
                <w:noProof/>
                <w:sz w:val="18"/>
                <w:szCs w:val="18"/>
              </w:rPr>
            </w:pPr>
            <w:r w:rsidRPr="00BF555E">
              <w:rPr>
                <w:rFonts w:cs="Times New Roman"/>
                <w:b/>
                <w:noProof/>
                <w:sz w:val="18"/>
                <w:szCs w:val="18"/>
              </w:rPr>
              <w:t>Fonds</w:t>
            </w:r>
          </w:p>
        </w:tc>
        <w:tc>
          <w:tcPr>
            <w:tcW w:w="359" w:type="pct"/>
            <w:shd w:val="clear" w:color="auto" w:fill="D9D9D9" w:themeFill="background1" w:themeFillShade="D9"/>
            <w:vAlign w:val="center"/>
          </w:tcPr>
          <w:p w14:paraId="2B6712D3" w14:textId="77777777" w:rsidR="00B471B0" w:rsidRPr="00BF555E" w:rsidRDefault="00B471B0" w:rsidP="009617F7">
            <w:pPr>
              <w:pStyle w:val="Text1"/>
              <w:spacing w:before="0" w:after="0"/>
              <w:ind w:left="0"/>
              <w:jc w:val="center"/>
              <w:rPr>
                <w:rFonts w:cs="Times New Roman"/>
                <w:b/>
                <w:noProof/>
                <w:sz w:val="18"/>
                <w:szCs w:val="18"/>
              </w:rPr>
            </w:pPr>
            <w:r w:rsidRPr="00BF555E">
              <w:rPr>
                <w:rFonts w:cs="Times New Roman"/>
                <w:b/>
                <w:noProof/>
                <w:sz w:val="18"/>
                <w:szCs w:val="18"/>
              </w:rPr>
              <w:t xml:space="preserve">ID </w:t>
            </w:r>
          </w:p>
        </w:tc>
        <w:tc>
          <w:tcPr>
            <w:tcW w:w="797" w:type="pct"/>
            <w:shd w:val="clear" w:color="auto" w:fill="D9D9D9" w:themeFill="background1" w:themeFillShade="D9"/>
            <w:vAlign w:val="center"/>
          </w:tcPr>
          <w:p w14:paraId="2C49F6E1" w14:textId="77777777" w:rsidR="00B471B0" w:rsidRPr="00BF555E" w:rsidRDefault="00B471B0" w:rsidP="009617F7">
            <w:pPr>
              <w:pStyle w:val="Text1"/>
              <w:spacing w:before="0" w:after="0"/>
              <w:ind w:left="0"/>
              <w:jc w:val="center"/>
              <w:rPr>
                <w:rFonts w:cs="Times New Roman"/>
                <w:b/>
                <w:noProof/>
                <w:sz w:val="18"/>
                <w:szCs w:val="18"/>
              </w:rPr>
            </w:pPr>
            <w:r w:rsidRPr="00BF555E">
              <w:rPr>
                <w:rFonts w:cs="Times New Roman"/>
                <w:b/>
                <w:noProof/>
                <w:sz w:val="18"/>
                <w:szCs w:val="18"/>
              </w:rPr>
              <w:t xml:space="preserve">Rādītājs </w:t>
            </w:r>
          </w:p>
        </w:tc>
        <w:tc>
          <w:tcPr>
            <w:tcW w:w="464" w:type="pct"/>
            <w:shd w:val="clear" w:color="auto" w:fill="D9D9D9" w:themeFill="background1" w:themeFillShade="D9"/>
            <w:vAlign w:val="center"/>
          </w:tcPr>
          <w:p w14:paraId="2C90ECFE" w14:textId="77777777" w:rsidR="00B471B0" w:rsidRPr="00BF555E" w:rsidRDefault="00B471B0" w:rsidP="009617F7">
            <w:pPr>
              <w:pStyle w:val="Text1"/>
              <w:spacing w:before="0" w:after="0"/>
              <w:ind w:left="0"/>
              <w:jc w:val="center"/>
              <w:rPr>
                <w:rFonts w:cs="Times New Roman"/>
                <w:b/>
                <w:noProof/>
                <w:sz w:val="18"/>
                <w:szCs w:val="18"/>
              </w:rPr>
            </w:pPr>
            <w:r w:rsidRPr="00BF555E">
              <w:rPr>
                <w:rFonts w:cs="Times New Roman"/>
                <w:b/>
                <w:noProof/>
                <w:sz w:val="18"/>
                <w:szCs w:val="18"/>
              </w:rPr>
              <w:t>Mērvienība</w:t>
            </w:r>
          </w:p>
        </w:tc>
        <w:tc>
          <w:tcPr>
            <w:tcW w:w="375" w:type="pct"/>
            <w:shd w:val="clear" w:color="auto" w:fill="D9D9D9" w:themeFill="background1" w:themeFillShade="D9"/>
            <w:vAlign w:val="center"/>
          </w:tcPr>
          <w:p w14:paraId="4EE0A6E6" w14:textId="77777777" w:rsidR="00B471B0" w:rsidRPr="00BF555E" w:rsidRDefault="00B471B0" w:rsidP="009617F7">
            <w:pPr>
              <w:pStyle w:val="Text1"/>
              <w:spacing w:before="0" w:after="0"/>
              <w:ind w:left="0"/>
              <w:jc w:val="center"/>
              <w:rPr>
                <w:rFonts w:cs="Times New Roman"/>
                <w:b/>
                <w:noProof/>
                <w:sz w:val="18"/>
                <w:szCs w:val="18"/>
              </w:rPr>
            </w:pPr>
            <w:r w:rsidRPr="00BF555E">
              <w:rPr>
                <w:rFonts w:cs="Times New Roman"/>
                <w:b/>
                <w:noProof/>
                <w:sz w:val="18"/>
                <w:szCs w:val="18"/>
              </w:rPr>
              <w:t>Sākotnējā vērtība</w:t>
            </w:r>
          </w:p>
        </w:tc>
        <w:tc>
          <w:tcPr>
            <w:tcW w:w="438" w:type="pct"/>
            <w:shd w:val="clear" w:color="auto" w:fill="D9D9D9" w:themeFill="background1" w:themeFillShade="D9"/>
            <w:vAlign w:val="center"/>
          </w:tcPr>
          <w:p w14:paraId="1B6FA6DA" w14:textId="77777777" w:rsidR="00B471B0" w:rsidRPr="00BF555E" w:rsidRDefault="00B471B0" w:rsidP="009617F7">
            <w:pPr>
              <w:pStyle w:val="Text1"/>
              <w:spacing w:before="0" w:after="0"/>
              <w:ind w:left="0"/>
              <w:jc w:val="center"/>
              <w:rPr>
                <w:rFonts w:cs="Times New Roman"/>
                <w:b/>
                <w:noProof/>
                <w:sz w:val="18"/>
                <w:szCs w:val="18"/>
              </w:rPr>
            </w:pPr>
            <w:r w:rsidRPr="00BF555E">
              <w:rPr>
                <w:rFonts w:cs="Times New Roman"/>
                <w:b/>
                <w:noProof/>
                <w:sz w:val="18"/>
                <w:szCs w:val="18"/>
              </w:rPr>
              <w:t>Sākotnējās vērtības gads</w:t>
            </w:r>
          </w:p>
        </w:tc>
        <w:tc>
          <w:tcPr>
            <w:tcW w:w="498" w:type="pct"/>
            <w:shd w:val="clear" w:color="auto" w:fill="D9D9D9" w:themeFill="background1" w:themeFillShade="D9"/>
            <w:vAlign w:val="center"/>
          </w:tcPr>
          <w:p w14:paraId="2560BA89" w14:textId="77777777" w:rsidR="00B471B0" w:rsidRPr="00BF555E" w:rsidRDefault="00B471B0" w:rsidP="009617F7">
            <w:pPr>
              <w:pStyle w:val="Text1"/>
              <w:spacing w:before="0" w:after="0"/>
              <w:ind w:left="0"/>
              <w:jc w:val="center"/>
              <w:rPr>
                <w:rFonts w:cs="Times New Roman"/>
                <w:b/>
                <w:noProof/>
                <w:sz w:val="18"/>
                <w:szCs w:val="18"/>
              </w:rPr>
            </w:pPr>
            <w:r w:rsidRPr="00BF555E">
              <w:rPr>
                <w:rFonts w:cs="Times New Roman"/>
                <w:b/>
                <w:noProof/>
                <w:sz w:val="18"/>
                <w:szCs w:val="18"/>
              </w:rPr>
              <w:t>Plānotā vērtība (2029)</w:t>
            </w:r>
          </w:p>
          <w:p w14:paraId="0AE0DC3C" w14:textId="77777777" w:rsidR="00B471B0" w:rsidRPr="00BF555E" w:rsidRDefault="00B471B0" w:rsidP="009617F7">
            <w:pPr>
              <w:pStyle w:val="Text1"/>
              <w:spacing w:before="0" w:after="0"/>
              <w:ind w:left="0"/>
              <w:jc w:val="center"/>
              <w:rPr>
                <w:rFonts w:cs="Times New Roman"/>
                <w:b/>
                <w:noProof/>
                <w:sz w:val="18"/>
                <w:szCs w:val="18"/>
              </w:rPr>
            </w:pPr>
          </w:p>
        </w:tc>
        <w:tc>
          <w:tcPr>
            <w:tcW w:w="488" w:type="pct"/>
            <w:shd w:val="clear" w:color="auto" w:fill="D9D9D9" w:themeFill="background1" w:themeFillShade="D9"/>
            <w:vAlign w:val="center"/>
          </w:tcPr>
          <w:p w14:paraId="6F6DA1B1" w14:textId="77777777" w:rsidR="00B471B0" w:rsidRPr="00BF555E" w:rsidRDefault="00B471B0" w:rsidP="009617F7">
            <w:pPr>
              <w:pStyle w:val="Text1"/>
              <w:spacing w:before="0" w:after="0"/>
              <w:ind w:left="0"/>
              <w:jc w:val="center"/>
              <w:rPr>
                <w:rFonts w:cs="Times New Roman"/>
                <w:b/>
                <w:noProof/>
                <w:sz w:val="18"/>
                <w:szCs w:val="18"/>
              </w:rPr>
            </w:pPr>
            <w:r w:rsidRPr="00BF555E">
              <w:rPr>
                <w:rFonts w:cs="Times New Roman"/>
                <w:b/>
                <w:noProof/>
                <w:sz w:val="18"/>
                <w:szCs w:val="18"/>
              </w:rPr>
              <w:t>Datu avots [200]</w:t>
            </w:r>
          </w:p>
        </w:tc>
        <w:tc>
          <w:tcPr>
            <w:tcW w:w="408" w:type="pct"/>
            <w:shd w:val="clear" w:color="auto" w:fill="D9D9D9" w:themeFill="background1" w:themeFillShade="D9"/>
            <w:vAlign w:val="center"/>
          </w:tcPr>
          <w:p w14:paraId="5BE0F078" w14:textId="77777777" w:rsidR="00B471B0" w:rsidRPr="00BF555E" w:rsidRDefault="00B471B0" w:rsidP="009617F7">
            <w:pPr>
              <w:pStyle w:val="Text1"/>
              <w:spacing w:before="0" w:after="0"/>
              <w:ind w:left="0"/>
              <w:jc w:val="center"/>
              <w:rPr>
                <w:rFonts w:cs="Times New Roman"/>
                <w:b/>
                <w:noProof/>
                <w:sz w:val="18"/>
                <w:szCs w:val="18"/>
              </w:rPr>
            </w:pPr>
            <w:r w:rsidRPr="00BF555E">
              <w:rPr>
                <w:rFonts w:cs="Times New Roman"/>
                <w:b/>
                <w:noProof/>
                <w:sz w:val="18"/>
                <w:szCs w:val="18"/>
              </w:rPr>
              <w:t xml:space="preserve">Komentāri </w:t>
            </w:r>
          </w:p>
          <w:p w14:paraId="5F761E75" w14:textId="77777777" w:rsidR="00B471B0" w:rsidRPr="00BF555E" w:rsidRDefault="00B471B0" w:rsidP="009617F7">
            <w:pPr>
              <w:pStyle w:val="Text1"/>
              <w:spacing w:before="0" w:after="0"/>
              <w:ind w:left="0"/>
              <w:jc w:val="center"/>
              <w:rPr>
                <w:rFonts w:cs="Times New Roman"/>
                <w:b/>
                <w:noProof/>
                <w:sz w:val="18"/>
                <w:szCs w:val="18"/>
              </w:rPr>
            </w:pPr>
            <w:r w:rsidRPr="00BF555E">
              <w:rPr>
                <w:rFonts w:cs="Times New Roman"/>
                <w:b/>
                <w:noProof/>
                <w:sz w:val="18"/>
                <w:szCs w:val="18"/>
              </w:rPr>
              <w:t>[200]</w:t>
            </w:r>
          </w:p>
        </w:tc>
      </w:tr>
      <w:tr w:rsidR="00B471B0" w:rsidRPr="00BF555E" w14:paraId="3359FBAE" w14:textId="77777777" w:rsidTr="00E25CE3">
        <w:trPr>
          <w:trHeight w:val="286"/>
        </w:trPr>
        <w:tc>
          <w:tcPr>
            <w:tcW w:w="458" w:type="pct"/>
            <w:tcBorders>
              <w:top w:val="single" w:sz="4" w:space="0" w:color="auto"/>
              <w:left w:val="single" w:sz="4" w:space="0" w:color="auto"/>
              <w:bottom w:val="single" w:sz="4" w:space="0" w:color="auto"/>
              <w:right w:val="single" w:sz="4" w:space="0" w:color="auto"/>
            </w:tcBorders>
          </w:tcPr>
          <w:p w14:paraId="0430EB83"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6.1. prioritāte</w:t>
            </w:r>
          </w:p>
        </w:tc>
        <w:tc>
          <w:tcPr>
            <w:tcW w:w="414" w:type="pct"/>
            <w:tcBorders>
              <w:top w:val="single" w:sz="4" w:space="0" w:color="auto"/>
              <w:left w:val="single" w:sz="4" w:space="0" w:color="auto"/>
              <w:bottom w:val="single" w:sz="4" w:space="0" w:color="auto"/>
              <w:right w:val="single" w:sz="4" w:space="0" w:color="auto"/>
            </w:tcBorders>
          </w:tcPr>
          <w:p w14:paraId="63C7B27D" w14:textId="77777777" w:rsidR="00B471B0" w:rsidRPr="00BF555E" w:rsidRDefault="00B471B0" w:rsidP="009617F7">
            <w:pPr>
              <w:pStyle w:val="Text1"/>
              <w:spacing w:before="0" w:after="0"/>
              <w:ind w:left="0"/>
              <w:rPr>
                <w:rFonts w:eastAsia="Times New Roman" w:cs="Times New Roman"/>
                <w:sz w:val="18"/>
                <w:szCs w:val="18"/>
              </w:rPr>
            </w:pPr>
            <w:r w:rsidRPr="00BF555E">
              <w:rPr>
                <w:rFonts w:eastAsia="Times New Roman" w:cs="Times New Roman"/>
                <w:sz w:val="18"/>
                <w:szCs w:val="18"/>
              </w:rPr>
              <w:t>6.1.1.SAM</w:t>
            </w:r>
          </w:p>
        </w:tc>
        <w:tc>
          <w:tcPr>
            <w:tcW w:w="301" w:type="pct"/>
            <w:tcBorders>
              <w:top w:val="single" w:sz="4" w:space="0" w:color="auto"/>
              <w:left w:val="single" w:sz="4" w:space="0" w:color="auto"/>
              <w:bottom w:val="single" w:sz="4" w:space="0" w:color="auto"/>
              <w:right w:val="single" w:sz="4" w:space="0" w:color="auto"/>
            </w:tcBorders>
          </w:tcPr>
          <w:p w14:paraId="7F17648F"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TPF</w:t>
            </w:r>
          </w:p>
        </w:tc>
        <w:tc>
          <w:tcPr>
            <w:tcW w:w="359" w:type="pct"/>
            <w:tcBorders>
              <w:top w:val="single" w:sz="4" w:space="0" w:color="auto"/>
              <w:left w:val="single" w:sz="4" w:space="0" w:color="auto"/>
              <w:bottom w:val="single" w:sz="4" w:space="0" w:color="auto"/>
              <w:right w:val="single" w:sz="4" w:space="0" w:color="auto"/>
            </w:tcBorders>
          </w:tcPr>
          <w:p w14:paraId="3F79CB85" w14:textId="77777777" w:rsidR="00B471B0" w:rsidRPr="00BF555E" w:rsidRDefault="00B471B0" w:rsidP="009617F7">
            <w:pPr>
              <w:pStyle w:val="Text1"/>
              <w:spacing w:before="0" w:after="0"/>
              <w:ind w:left="0"/>
              <w:rPr>
                <w:rFonts w:cs="Times New Roman"/>
                <w:sz w:val="18"/>
                <w:szCs w:val="18"/>
              </w:rPr>
            </w:pPr>
            <w:r w:rsidRPr="00BF555E">
              <w:rPr>
                <w:rFonts w:cs="Times New Roman"/>
                <w:sz w:val="18"/>
                <w:szCs w:val="18"/>
              </w:rPr>
              <w:t>RCR 01</w:t>
            </w:r>
          </w:p>
        </w:tc>
        <w:tc>
          <w:tcPr>
            <w:tcW w:w="797" w:type="pct"/>
            <w:tcBorders>
              <w:top w:val="single" w:sz="4" w:space="0" w:color="auto"/>
              <w:left w:val="single" w:sz="4" w:space="0" w:color="auto"/>
              <w:bottom w:val="single" w:sz="4" w:space="0" w:color="auto"/>
              <w:right w:val="single" w:sz="4" w:space="0" w:color="auto"/>
            </w:tcBorders>
            <w:shd w:val="clear" w:color="auto" w:fill="auto"/>
          </w:tcPr>
          <w:p w14:paraId="3E8173AD" w14:textId="77777777" w:rsidR="00B471B0" w:rsidRPr="00BF555E" w:rsidRDefault="00B471B0" w:rsidP="009617F7">
            <w:pPr>
              <w:pStyle w:val="Text1"/>
              <w:spacing w:before="0" w:after="0"/>
              <w:ind w:left="0"/>
              <w:rPr>
                <w:rFonts w:cs="Times New Roman"/>
                <w:sz w:val="18"/>
                <w:szCs w:val="18"/>
              </w:rPr>
            </w:pPr>
            <w:r w:rsidRPr="00BF555E">
              <w:rPr>
                <w:rFonts w:cs="Times New Roman"/>
                <w:sz w:val="18"/>
                <w:szCs w:val="18"/>
              </w:rPr>
              <w:t xml:space="preserve">Atbalstītajās vienībās izveidotās darbavietas </w:t>
            </w:r>
          </w:p>
        </w:tc>
        <w:tc>
          <w:tcPr>
            <w:tcW w:w="464" w:type="pct"/>
            <w:tcBorders>
              <w:top w:val="single" w:sz="4" w:space="0" w:color="auto"/>
              <w:left w:val="single" w:sz="4" w:space="0" w:color="auto"/>
              <w:bottom w:val="single" w:sz="4" w:space="0" w:color="auto"/>
              <w:right w:val="single" w:sz="4" w:space="0" w:color="auto"/>
            </w:tcBorders>
          </w:tcPr>
          <w:p w14:paraId="073F7CD5"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Nodarbināto skaita pieaugums uzņēmumos, kas guvuši labumu no investīcijām publiskajā infrastruktūrā</w:t>
            </w:r>
          </w:p>
        </w:tc>
        <w:tc>
          <w:tcPr>
            <w:tcW w:w="375" w:type="pct"/>
            <w:tcBorders>
              <w:top w:val="single" w:sz="4" w:space="0" w:color="auto"/>
              <w:left w:val="single" w:sz="4" w:space="0" w:color="auto"/>
              <w:bottom w:val="single" w:sz="4" w:space="0" w:color="auto"/>
              <w:right w:val="single" w:sz="4" w:space="0" w:color="auto"/>
            </w:tcBorders>
          </w:tcPr>
          <w:p w14:paraId="29A4A7B6" w14:textId="77777777" w:rsidR="00B471B0" w:rsidRPr="00BF555E" w:rsidRDefault="00B471B0" w:rsidP="009617F7">
            <w:pPr>
              <w:pStyle w:val="Text1"/>
              <w:spacing w:before="0" w:after="0"/>
              <w:ind w:left="0"/>
              <w:jc w:val="left"/>
              <w:rPr>
                <w:rFonts w:cs="Times New Roman"/>
                <w:noProof/>
                <w:sz w:val="18"/>
                <w:szCs w:val="18"/>
              </w:rPr>
            </w:pPr>
            <w:r w:rsidRPr="00BF555E">
              <w:rPr>
                <w:rFonts w:cs="Times New Roman"/>
                <w:noProof/>
                <w:sz w:val="18"/>
                <w:szCs w:val="18"/>
              </w:rPr>
              <w:t>0</w:t>
            </w:r>
          </w:p>
        </w:tc>
        <w:tc>
          <w:tcPr>
            <w:tcW w:w="438" w:type="pct"/>
            <w:tcBorders>
              <w:top w:val="single" w:sz="4" w:space="0" w:color="auto"/>
              <w:left w:val="single" w:sz="4" w:space="0" w:color="auto"/>
              <w:bottom w:val="single" w:sz="4" w:space="0" w:color="auto"/>
              <w:right w:val="single" w:sz="4" w:space="0" w:color="auto"/>
            </w:tcBorders>
          </w:tcPr>
          <w:p w14:paraId="2CC2AAAA" w14:textId="77777777" w:rsidR="00B471B0" w:rsidRPr="00BF555E" w:rsidRDefault="00B471B0" w:rsidP="009617F7">
            <w:pPr>
              <w:pStyle w:val="Text1"/>
              <w:spacing w:before="0" w:after="0"/>
              <w:ind w:left="0"/>
              <w:jc w:val="left"/>
              <w:rPr>
                <w:rFonts w:cs="Times New Roman"/>
                <w:noProof/>
                <w:sz w:val="18"/>
                <w:szCs w:val="18"/>
              </w:rPr>
            </w:pPr>
            <w:r w:rsidRPr="00BF555E">
              <w:rPr>
                <w:rFonts w:cs="Times New Roman"/>
                <w:noProof/>
                <w:sz w:val="18"/>
                <w:szCs w:val="18"/>
              </w:rPr>
              <w:t>2020</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431A026A" w14:textId="77777777" w:rsidR="00B471B0" w:rsidRPr="00BF555E" w:rsidDel="00101CB8" w:rsidRDefault="00B471B0" w:rsidP="009617F7">
            <w:pPr>
              <w:pStyle w:val="Text1"/>
              <w:spacing w:before="0" w:after="0"/>
              <w:ind w:left="0"/>
              <w:jc w:val="left"/>
              <w:rPr>
                <w:rFonts w:cs="Times New Roman"/>
                <w:bCs/>
                <w:sz w:val="18"/>
                <w:szCs w:val="18"/>
              </w:rPr>
            </w:pPr>
            <w:r>
              <w:rPr>
                <w:rFonts w:cs="Times New Roman"/>
                <w:bCs/>
                <w:sz w:val="18"/>
                <w:szCs w:val="18"/>
              </w:rPr>
              <w:t>501</w:t>
            </w:r>
          </w:p>
        </w:tc>
        <w:tc>
          <w:tcPr>
            <w:tcW w:w="488" w:type="pct"/>
            <w:tcBorders>
              <w:top w:val="single" w:sz="4" w:space="0" w:color="auto"/>
              <w:left w:val="single" w:sz="4" w:space="0" w:color="auto"/>
              <w:bottom w:val="single" w:sz="4" w:space="0" w:color="auto"/>
              <w:right w:val="single" w:sz="4" w:space="0" w:color="auto"/>
            </w:tcBorders>
            <w:shd w:val="clear" w:color="auto" w:fill="auto"/>
          </w:tcPr>
          <w:p w14:paraId="57DB815C" w14:textId="77777777" w:rsidR="00B471B0" w:rsidRPr="00BF555E" w:rsidRDefault="00B471B0" w:rsidP="009617F7">
            <w:pPr>
              <w:pStyle w:val="Text1"/>
              <w:spacing w:before="0" w:after="0"/>
              <w:ind w:left="0"/>
              <w:jc w:val="left"/>
              <w:rPr>
                <w:rFonts w:cs="Times New Roman"/>
                <w:noProof/>
                <w:sz w:val="18"/>
                <w:szCs w:val="18"/>
              </w:rPr>
            </w:pPr>
            <w:r w:rsidRPr="00BF555E">
              <w:rPr>
                <w:rFonts w:cs="Times New Roman"/>
                <w:noProof/>
                <w:sz w:val="18"/>
                <w:szCs w:val="18"/>
              </w:rPr>
              <w:t>Projektu dokumentācija</w:t>
            </w:r>
          </w:p>
        </w:tc>
        <w:tc>
          <w:tcPr>
            <w:tcW w:w="408" w:type="pct"/>
            <w:tcBorders>
              <w:top w:val="single" w:sz="4" w:space="0" w:color="auto"/>
              <w:left w:val="single" w:sz="4" w:space="0" w:color="auto"/>
              <w:bottom w:val="single" w:sz="4" w:space="0" w:color="auto"/>
              <w:right w:val="single" w:sz="4" w:space="0" w:color="auto"/>
            </w:tcBorders>
          </w:tcPr>
          <w:p w14:paraId="1AFE92FF" w14:textId="77777777" w:rsidR="00B471B0" w:rsidRPr="00BF555E" w:rsidRDefault="00B471B0" w:rsidP="009617F7">
            <w:pPr>
              <w:spacing w:before="0" w:after="0"/>
              <w:jc w:val="left"/>
              <w:rPr>
                <w:noProof/>
                <w:sz w:val="18"/>
                <w:szCs w:val="18"/>
              </w:rPr>
            </w:pPr>
          </w:p>
        </w:tc>
      </w:tr>
      <w:tr w:rsidR="00B471B0" w:rsidRPr="00BF555E" w14:paraId="7E54A1E0" w14:textId="77777777" w:rsidTr="00E25CE3">
        <w:trPr>
          <w:trHeight w:val="824"/>
        </w:trPr>
        <w:tc>
          <w:tcPr>
            <w:tcW w:w="458" w:type="pct"/>
          </w:tcPr>
          <w:p w14:paraId="1E192126"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6.1.prioritāte</w:t>
            </w:r>
          </w:p>
        </w:tc>
        <w:tc>
          <w:tcPr>
            <w:tcW w:w="414" w:type="pct"/>
          </w:tcPr>
          <w:p w14:paraId="4519679A" w14:textId="77777777" w:rsidR="00B471B0" w:rsidRPr="00BF555E" w:rsidRDefault="00B471B0" w:rsidP="009617F7">
            <w:pPr>
              <w:pStyle w:val="Text1"/>
              <w:spacing w:before="0" w:after="0"/>
              <w:ind w:left="0"/>
              <w:rPr>
                <w:rFonts w:eastAsia="Times New Roman" w:cs="Times New Roman"/>
                <w:sz w:val="18"/>
                <w:szCs w:val="18"/>
              </w:rPr>
            </w:pPr>
            <w:r w:rsidRPr="00BF555E">
              <w:rPr>
                <w:rFonts w:eastAsia="Times New Roman" w:cs="Times New Roman"/>
                <w:sz w:val="18"/>
                <w:szCs w:val="18"/>
              </w:rPr>
              <w:t>6.1.1.SAM</w:t>
            </w:r>
          </w:p>
        </w:tc>
        <w:tc>
          <w:tcPr>
            <w:tcW w:w="301" w:type="pct"/>
          </w:tcPr>
          <w:p w14:paraId="7AA84CA5"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ERAF</w:t>
            </w:r>
          </w:p>
        </w:tc>
        <w:tc>
          <w:tcPr>
            <w:tcW w:w="359" w:type="pct"/>
          </w:tcPr>
          <w:p w14:paraId="25913DA5" w14:textId="77777777" w:rsidR="00B471B0" w:rsidRPr="00BF555E" w:rsidRDefault="00B471B0" w:rsidP="009617F7">
            <w:pPr>
              <w:pStyle w:val="Text1"/>
              <w:spacing w:before="0" w:after="0"/>
              <w:ind w:left="0"/>
              <w:rPr>
                <w:rFonts w:cs="Times New Roman"/>
                <w:sz w:val="18"/>
                <w:szCs w:val="18"/>
              </w:rPr>
            </w:pPr>
            <w:r w:rsidRPr="00BF555E">
              <w:rPr>
                <w:rFonts w:cs="Times New Roman"/>
                <w:sz w:val="18"/>
                <w:szCs w:val="18"/>
              </w:rPr>
              <w:t>RCR 02</w:t>
            </w:r>
          </w:p>
        </w:tc>
        <w:tc>
          <w:tcPr>
            <w:tcW w:w="797" w:type="pct"/>
            <w:shd w:val="clear" w:color="auto" w:fill="auto"/>
          </w:tcPr>
          <w:p w14:paraId="4FF6A567" w14:textId="77777777" w:rsidR="00B471B0" w:rsidRPr="00BF555E" w:rsidRDefault="00B471B0" w:rsidP="009617F7">
            <w:pPr>
              <w:pStyle w:val="Text1"/>
              <w:spacing w:before="0" w:after="0"/>
              <w:ind w:left="0"/>
              <w:rPr>
                <w:rFonts w:cs="Times New Roman"/>
                <w:sz w:val="18"/>
                <w:szCs w:val="18"/>
              </w:rPr>
            </w:pPr>
            <w:r w:rsidRPr="00BF555E">
              <w:rPr>
                <w:rFonts w:cs="Times New Roman"/>
                <w:sz w:val="18"/>
                <w:szCs w:val="18"/>
              </w:rPr>
              <w:t>Privātās investīcijas, kas piesaistītas  publiskajam atbalstam (tostarp granti un finanšu instrumenti)</w:t>
            </w:r>
          </w:p>
        </w:tc>
        <w:tc>
          <w:tcPr>
            <w:tcW w:w="464" w:type="pct"/>
          </w:tcPr>
          <w:p w14:paraId="44343EAE" w14:textId="77777777" w:rsidR="00B471B0" w:rsidRPr="00BF555E" w:rsidRDefault="00B471B0" w:rsidP="009617F7">
            <w:pPr>
              <w:pStyle w:val="Text1"/>
              <w:spacing w:before="0" w:after="0"/>
              <w:ind w:left="0"/>
              <w:rPr>
                <w:rFonts w:cs="Times New Roman"/>
                <w:noProof/>
                <w:sz w:val="18"/>
                <w:szCs w:val="18"/>
              </w:rPr>
            </w:pPr>
            <w:r w:rsidRPr="005C6273">
              <w:rPr>
                <w:rFonts w:cs="Times New Roman"/>
                <w:i/>
                <w:iCs/>
                <w:noProof/>
                <w:sz w:val="18"/>
                <w:szCs w:val="18"/>
              </w:rPr>
              <w:t>euro</w:t>
            </w:r>
          </w:p>
        </w:tc>
        <w:tc>
          <w:tcPr>
            <w:tcW w:w="375" w:type="pct"/>
          </w:tcPr>
          <w:p w14:paraId="23556005" w14:textId="77777777" w:rsidR="00B471B0" w:rsidRPr="00BF555E" w:rsidRDefault="00B471B0" w:rsidP="009617F7">
            <w:pPr>
              <w:pStyle w:val="Text1"/>
              <w:spacing w:before="0" w:after="0"/>
              <w:ind w:left="0"/>
              <w:jc w:val="left"/>
              <w:rPr>
                <w:rFonts w:cs="Times New Roman"/>
                <w:noProof/>
                <w:sz w:val="18"/>
                <w:szCs w:val="18"/>
              </w:rPr>
            </w:pPr>
            <w:r w:rsidRPr="00BF555E">
              <w:rPr>
                <w:rFonts w:cs="Times New Roman"/>
                <w:noProof/>
                <w:sz w:val="18"/>
                <w:szCs w:val="18"/>
              </w:rPr>
              <w:t>0</w:t>
            </w:r>
          </w:p>
        </w:tc>
        <w:tc>
          <w:tcPr>
            <w:tcW w:w="438" w:type="pct"/>
          </w:tcPr>
          <w:p w14:paraId="1D516C3F" w14:textId="77777777" w:rsidR="00B471B0" w:rsidRPr="00BF555E" w:rsidRDefault="00B471B0" w:rsidP="009617F7">
            <w:pPr>
              <w:pStyle w:val="Text1"/>
              <w:spacing w:before="0" w:after="0"/>
              <w:ind w:left="0"/>
              <w:jc w:val="left"/>
              <w:rPr>
                <w:rFonts w:cs="Times New Roman"/>
                <w:noProof/>
                <w:sz w:val="18"/>
                <w:szCs w:val="18"/>
              </w:rPr>
            </w:pPr>
            <w:r w:rsidRPr="00BF555E">
              <w:rPr>
                <w:rFonts w:cs="Times New Roman"/>
                <w:noProof/>
                <w:sz w:val="18"/>
                <w:szCs w:val="18"/>
              </w:rPr>
              <w:t>2020</w:t>
            </w:r>
          </w:p>
        </w:tc>
        <w:tc>
          <w:tcPr>
            <w:tcW w:w="498" w:type="pct"/>
            <w:shd w:val="clear" w:color="auto" w:fill="auto"/>
          </w:tcPr>
          <w:p w14:paraId="57B26ADA" w14:textId="77777777" w:rsidR="00B471B0" w:rsidRPr="00BF555E" w:rsidRDefault="00B471B0" w:rsidP="009617F7">
            <w:pPr>
              <w:pStyle w:val="Text1"/>
              <w:spacing w:before="0" w:after="0"/>
              <w:ind w:left="0"/>
              <w:jc w:val="left"/>
              <w:rPr>
                <w:rFonts w:cs="Times New Roman"/>
                <w:noProof/>
                <w:sz w:val="18"/>
                <w:szCs w:val="18"/>
              </w:rPr>
            </w:pPr>
            <w:r>
              <w:rPr>
                <w:rFonts w:cs="Times New Roman"/>
                <w:noProof/>
                <w:sz w:val="18"/>
                <w:szCs w:val="18"/>
              </w:rPr>
              <w:t>40 288 444</w:t>
            </w:r>
          </w:p>
        </w:tc>
        <w:tc>
          <w:tcPr>
            <w:tcW w:w="488" w:type="pct"/>
            <w:shd w:val="clear" w:color="auto" w:fill="auto"/>
          </w:tcPr>
          <w:p w14:paraId="72BA0F59" w14:textId="77777777" w:rsidR="00B471B0" w:rsidRPr="00BF555E" w:rsidRDefault="00B471B0" w:rsidP="009617F7">
            <w:pPr>
              <w:pStyle w:val="Text1"/>
              <w:spacing w:before="0" w:after="0"/>
              <w:ind w:left="0"/>
              <w:jc w:val="left"/>
              <w:rPr>
                <w:rFonts w:cs="Times New Roman"/>
                <w:noProof/>
                <w:sz w:val="18"/>
                <w:szCs w:val="18"/>
              </w:rPr>
            </w:pPr>
            <w:r w:rsidRPr="00BF555E">
              <w:rPr>
                <w:rFonts w:cs="Times New Roman"/>
                <w:noProof/>
                <w:sz w:val="18"/>
                <w:szCs w:val="18"/>
              </w:rPr>
              <w:t>Projektu dokumentācija</w:t>
            </w:r>
          </w:p>
        </w:tc>
        <w:tc>
          <w:tcPr>
            <w:tcW w:w="408" w:type="pct"/>
          </w:tcPr>
          <w:p w14:paraId="66EBC796" w14:textId="77777777" w:rsidR="00B471B0" w:rsidRPr="00BF555E" w:rsidRDefault="00B471B0" w:rsidP="009617F7">
            <w:pPr>
              <w:spacing w:before="0" w:after="0"/>
              <w:jc w:val="left"/>
              <w:rPr>
                <w:noProof/>
                <w:sz w:val="18"/>
                <w:szCs w:val="18"/>
              </w:rPr>
            </w:pPr>
          </w:p>
        </w:tc>
      </w:tr>
      <w:tr w:rsidR="00B471B0" w:rsidRPr="00BF555E" w14:paraId="16A3A991" w14:textId="77777777" w:rsidTr="00E25CE3">
        <w:trPr>
          <w:trHeight w:val="286"/>
        </w:trPr>
        <w:tc>
          <w:tcPr>
            <w:tcW w:w="458" w:type="pct"/>
          </w:tcPr>
          <w:p w14:paraId="0FD30D28"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6.1.prioritāte</w:t>
            </w:r>
          </w:p>
        </w:tc>
        <w:tc>
          <w:tcPr>
            <w:tcW w:w="414" w:type="pct"/>
          </w:tcPr>
          <w:p w14:paraId="2EAC77E5"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6.1.1.SAM</w:t>
            </w:r>
          </w:p>
        </w:tc>
        <w:tc>
          <w:tcPr>
            <w:tcW w:w="301" w:type="pct"/>
          </w:tcPr>
          <w:p w14:paraId="29806728"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TPF</w:t>
            </w:r>
          </w:p>
        </w:tc>
        <w:tc>
          <w:tcPr>
            <w:tcW w:w="359" w:type="pct"/>
          </w:tcPr>
          <w:p w14:paraId="3E0230A3" w14:textId="77777777" w:rsidR="00B471B0" w:rsidRPr="00BF555E" w:rsidRDefault="00B471B0" w:rsidP="009617F7">
            <w:pPr>
              <w:pStyle w:val="Text1"/>
              <w:spacing w:before="0" w:after="0"/>
              <w:ind w:left="0"/>
              <w:rPr>
                <w:rFonts w:cs="Times New Roman"/>
                <w:sz w:val="18"/>
                <w:szCs w:val="18"/>
              </w:rPr>
            </w:pPr>
            <w:r w:rsidRPr="00BF555E">
              <w:rPr>
                <w:rFonts w:cs="Times New Roman"/>
                <w:sz w:val="18"/>
                <w:szCs w:val="18"/>
              </w:rPr>
              <w:t>RCR 29</w:t>
            </w:r>
          </w:p>
        </w:tc>
        <w:tc>
          <w:tcPr>
            <w:tcW w:w="797" w:type="pct"/>
            <w:shd w:val="clear" w:color="auto" w:fill="auto"/>
          </w:tcPr>
          <w:p w14:paraId="7510C583" w14:textId="77777777" w:rsidR="00B471B0" w:rsidRPr="00BF555E" w:rsidRDefault="00B471B0" w:rsidP="009617F7">
            <w:pPr>
              <w:pStyle w:val="Default"/>
              <w:spacing w:after="0" w:line="240" w:lineRule="auto"/>
              <w:jc w:val="both"/>
              <w:rPr>
                <w:color w:val="auto"/>
                <w:sz w:val="18"/>
                <w:szCs w:val="18"/>
              </w:rPr>
            </w:pPr>
            <w:r w:rsidRPr="00BF555E">
              <w:rPr>
                <w:color w:val="auto"/>
                <w:sz w:val="18"/>
                <w:szCs w:val="18"/>
              </w:rPr>
              <w:t xml:space="preserve">Aplēstās siltumnīcefekta gāzu emisijas </w:t>
            </w:r>
          </w:p>
        </w:tc>
        <w:tc>
          <w:tcPr>
            <w:tcW w:w="464" w:type="pct"/>
          </w:tcPr>
          <w:p w14:paraId="1F762CCD"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CO</w:t>
            </w:r>
            <w:r w:rsidRPr="00BF555E">
              <w:rPr>
                <w:rFonts w:cs="Times New Roman"/>
                <w:noProof/>
                <w:sz w:val="18"/>
                <w:szCs w:val="18"/>
                <w:vertAlign w:val="subscript"/>
              </w:rPr>
              <w:t>2</w:t>
            </w:r>
            <w:r w:rsidRPr="00BF555E">
              <w:rPr>
                <w:rFonts w:cs="Times New Roman"/>
                <w:noProof/>
                <w:sz w:val="18"/>
                <w:szCs w:val="18"/>
              </w:rPr>
              <w:t xml:space="preserve"> emisijas ekvivalenta tonnas gadā</w:t>
            </w:r>
          </w:p>
        </w:tc>
        <w:tc>
          <w:tcPr>
            <w:tcW w:w="375" w:type="pct"/>
          </w:tcPr>
          <w:p w14:paraId="13A171D8"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0</w:t>
            </w:r>
          </w:p>
        </w:tc>
        <w:tc>
          <w:tcPr>
            <w:tcW w:w="438" w:type="pct"/>
          </w:tcPr>
          <w:p w14:paraId="339915E1"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TPF 2020</w:t>
            </w:r>
          </w:p>
        </w:tc>
        <w:tc>
          <w:tcPr>
            <w:tcW w:w="498" w:type="pct"/>
            <w:shd w:val="clear" w:color="auto" w:fill="auto"/>
          </w:tcPr>
          <w:p w14:paraId="12E92B3D" w14:textId="77777777" w:rsidR="00B471B0" w:rsidRPr="00BF555E" w:rsidRDefault="00B471B0" w:rsidP="009617F7">
            <w:pPr>
              <w:pStyle w:val="Text1"/>
              <w:spacing w:before="0" w:after="0"/>
              <w:ind w:left="0"/>
              <w:rPr>
                <w:rFonts w:cs="Times New Roman"/>
                <w:noProof/>
                <w:sz w:val="18"/>
                <w:szCs w:val="18"/>
              </w:rPr>
            </w:pPr>
            <w:r>
              <w:rPr>
                <w:rFonts w:cs="Times New Roman"/>
                <w:noProof/>
                <w:sz w:val="18"/>
                <w:szCs w:val="18"/>
              </w:rPr>
              <w:t>26 306</w:t>
            </w:r>
            <w:r w:rsidRPr="00BF555E">
              <w:rPr>
                <w:rFonts w:cs="Times New Roman"/>
                <w:noProof/>
                <w:sz w:val="18"/>
                <w:szCs w:val="18"/>
              </w:rPr>
              <w:t xml:space="preserve"> t CO</w:t>
            </w:r>
            <w:r w:rsidRPr="00BF555E">
              <w:rPr>
                <w:rFonts w:cs="Times New Roman"/>
                <w:noProof/>
                <w:sz w:val="18"/>
                <w:szCs w:val="18"/>
                <w:vertAlign w:val="subscript"/>
              </w:rPr>
              <w:t>2</w:t>
            </w:r>
            <w:r w:rsidRPr="00BF555E">
              <w:rPr>
                <w:rFonts w:cs="Times New Roman"/>
                <w:noProof/>
                <w:sz w:val="18"/>
                <w:szCs w:val="18"/>
              </w:rPr>
              <w:t xml:space="preserve"> emisijas ekvivalenta*</w:t>
            </w:r>
          </w:p>
        </w:tc>
        <w:tc>
          <w:tcPr>
            <w:tcW w:w="488" w:type="pct"/>
            <w:shd w:val="clear" w:color="auto" w:fill="auto"/>
          </w:tcPr>
          <w:p w14:paraId="162C761D"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Projektu dati</w:t>
            </w:r>
          </w:p>
          <w:p w14:paraId="42BBFDCB" w14:textId="77777777" w:rsidR="00B471B0" w:rsidRPr="00BF555E" w:rsidRDefault="00B471B0" w:rsidP="009617F7">
            <w:pPr>
              <w:pStyle w:val="Text1"/>
              <w:spacing w:before="0" w:after="0"/>
              <w:ind w:left="0"/>
              <w:rPr>
                <w:rFonts w:cs="Times New Roman"/>
                <w:noProof/>
                <w:sz w:val="18"/>
                <w:szCs w:val="18"/>
              </w:rPr>
            </w:pPr>
          </w:p>
        </w:tc>
        <w:tc>
          <w:tcPr>
            <w:tcW w:w="408" w:type="pct"/>
          </w:tcPr>
          <w:p w14:paraId="4104249F" w14:textId="77777777" w:rsidR="00B471B0" w:rsidRPr="00BF555E" w:rsidRDefault="00B471B0" w:rsidP="009617F7">
            <w:pPr>
              <w:spacing w:after="0"/>
              <w:rPr>
                <w:noProof/>
                <w:sz w:val="18"/>
                <w:szCs w:val="18"/>
              </w:rPr>
            </w:pPr>
            <w:r w:rsidRPr="00BF555E">
              <w:rPr>
                <w:noProof/>
                <w:sz w:val="18"/>
                <w:szCs w:val="18"/>
              </w:rPr>
              <w:t xml:space="preserve">TPF (EM) </w:t>
            </w:r>
            <w:r>
              <w:rPr>
                <w:noProof/>
                <w:sz w:val="18"/>
                <w:szCs w:val="18"/>
              </w:rPr>
              <w:t>7 714</w:t>
            </w:r>
            <w:r w:rsidRPr="00BF555E">
              <w:rPr>
                <w:noProof/>
                <w:sz w:val="18"/>
                <w:szCs w:val="18"/>
              </w:rPr>
              <w:t xml:space="preserve"> t CO</w:t>
            </w:r>
            <w:r w:rsidRPr="00BF555E">
              <w:rPr>
                <w:noProof/>
                <w:sz w:val="18"/>
                <w:szCs w:val="18"/>
                <w:vertAlign w:val="subscript"/>
              </w:rPr>
              <w:t>2</w:t>
            </w:r>
            <w:r w:rsidRPr="00BF555E">
              <w:rPr>
                <w:noProof/>
                <w:sz w:val="18"/>
                <w:szCs w:val="18"/>
              </w:rPr>
              <w:t xml:space="preserve"> emisijas ekvivalenta</w:t>
            </w:r>
          </w:p>
          <w:p w14:paraId="56FDB35D" w14:textId="77777777" w:rsidR="00B471B0" w:rsidRPr="00BF555E" w:rsidRDefault="00B471B0" w:rsidP="009617F7">
            <w:pPr>
              <w:spacing w:after="0"/>
              <w:rPr>
                <w:noProof/>
                <w:sz w:val="18"/>
                <w:szCs w:val="18"/>
              </w:rPr>
            </w:pPr>
            <w:r w:rsidRPr="00BF555E">
              <w:rPr>
                <w:noProof/>
                <w:sz w:val="18"/>
                <w:szCs w:val="18"/>
              </w:rPr>
              <w:t xml:space="preserve">TPF (VARAM) </w:t>
            </w:r>
            <w:r>
              <w:rPr>
                <w:noProof/>
                <w:sz w:val="18"/>
                <w:szCs w:val="18"/>
              </w:rPr>
              <w:t>18 592</w:t>
            </w:r>
            <w:r w:rsidRPr="00BF555E">
              <w:rPr>
                <w:noProof/>
                <w:sz w:val="18"/>
                <w:szCs w:val="18"/>
              </w:rPr>
              <w:t xml:space="preserve"> t CO</w:t>
            </w:r>
            <w:r w:rsidRPr="00BF555E">
              <w:rPr>
                <w:noProof/>
                <w:sz w:val="18"/>
                <w:szCs w:val="18"/>
                <w:vertAlign w:val="subscript"/>
              </w:rPr>
              <w:t xml:space="preserve">2 </w:t>
            </w:r>
            <w:r w:rsidRPr="00BF555E">
              <w:rPr>
                <w:noProof/>
                <w:sz w:val="18"/>
                <w:szCs w:val="18"/>
              </w:rPr>
              <w:t>emisijas ekvivalenta*</w:t>
            </w:r>
          </w:p>
          <w:p w14:paraId="5DD6DB30" w14:textId="77777777" w:rsidR="00B471B0" w:rsidRPr="00BF555E" w:rsidRDefault="00B471B0" w:rsidP="009617F7">
            <w:pPr>
              <w:spacing w:after="0"/>
              <w:rPr>
                <w:noProof/>
                <w:sz w:val="18"/>
                <w:szCs w:val="18"/>
              </w:rPr>
            </w:pPr>
          </w:p>
        </w:tc>
      </w:tr>
      <w:tr w:rsidR="00B471B0" w:rsidRPr="00BF555E" w14:paraId="621D36C0" w14:textId="77777777" w:rsidTr="00E25CE3">
        <w:trPr>
          <w:trHeight w:val="286"/>
        </w:trPr>
        <w:tc>
          <w:tcPr>
            <w:tcW w:w="458" w:type="pct"/>
            <w:tcBorders>
              <w:top w:val="single" w:sz="4" w:space="0" w:color="auto"/>
              <w:left w:val="single" w:sz="4" w:space="0" w:color="auto"/>
              <w:bottom w:val="single" w:sz="4" w:space="0" w:color="auto"/>
              <w:right w:val="single" w:sz="4" w:space="0" w:color="auto"/>
            </w:tcBorders>
          </w:tcPr>
          <w:p w14:paraId="1FACCD16"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6.1.prioritāte</w:t>
            </w:r>
          </w:p>
        </w:tc>
        <w:tc>
          <w:tcPr>
            <w:tcW w:w="414" w:type="pct"/>
            <w:tcBorders>
              <w:top w:val="single" w:sz="4" w:space="0" w:color="auto"/>
              <w:left w:val="single" w:sz="4" w:space="0" w:color="auto"/>
              <w:bottom w:val="single" w:sz="4" w:space="0" w:color="auto"/>
              <w:right w:val="single" w:sz="4" w:space="0" w:color="auto"/>
            </w:tcBorders>
          </w:tcPr>
          <w:p w14:paraId="43447B51"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6.1.1.SAM</w:t>
            </w:r>
          </w:p>
        </w:tc>
        <w:tc>
          <w:tcPr>
            <w:tcW w:w="301" w:type="pct"/>
            <w:tcBorders>
              <w:top w:val="single" w:sz="4" w:space="0" w:color="auto"/>
              <w:left w:val="single" w:sz="4" w:space="0" w:color="auto"/>
              <w:bottom w:val="single" w:sz="4" w:space="0" w:color="auto"/>
              <w:right w:val="single" w:sz="4" w:space="0" w:color="auto"/>
            </w:tcBorders>
          </w:tcPr>
          <w:p w14:paraId="353BA05A"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TPF</w:t>
            </w:r>
          </w:p>
        </w:tc>
        <w:tc>
          <w:tcPr>
            <w:tcW w:w="359" w:type="pct"/>
            <w:tcBorders>
              <w:top w:val="single" w:sz="4" w:space="0" w:color="auto"/>
              <w:left w:val="single" w:sz="4" w:space="0" w:color="auto"/>
              <w:bottom w:val="single" w:sz="4" w:space="0" w:color="auto"/>
              <w:right w:val="single" w:sz="4" w:space="0" w:color="auto"/>
            </w:tcBorders>
          </w:tcPr>
          <w:p w14:paraId="4B8372F0" w14:textId="77777777" w:rsidR="00B471B0" w:rsidRPr="00BF555E" w:rsidRDefault="00B471B0" w:rsidP="009617F7">
            <w:pPr>
              <w:pStyle w:val="Text1"/>
              <w:spacing w:before="0" w:after="0"/>
              <w:ind w:left="0"/>
              <w:rPr>
                <w:rFonts w:cs="Times New Roman"/>
                <w:sz w:val="18"/>
                <w:szCs w:val="18"/>
              </w:rPr>
            </w:pPr>
            <w:r w:rsidRPr="00BF555E">
              <w:rPr>
                <w:rFonts w:cs="Times New Roman"/>
                <w:sz w:val="18"/>
                <w:szCs w:val="18"/>
              </w:rPr>
              <w:t>RCR 31</w:t>
            </w:r>
          </w:p>
        </w:tc>
        <w:tc>
          <w:tcPr>
            <w:tcW w:w="797" w:type="pct"/>
            <w:tcBorders>
              <w:top w:val="single" w:sz="4" w:space="0" w:color="auto"/>
              <w:left w:val="single" w:sz="4" w:space="0" w:color="auto"/>
              <w:bottom w:val="single" w:sz="4" w:space="0" w:color="auto"/>
              <w:right w:val="single" w:sz="4" w:space="0" w:color="auto"/>
            </w:tcBorders>
            <w:shd w:val="clear" w:color="auto" w:fill="auto"/>
          </w:tcPr>
          <w:p w14:paraId="0CDD3DA7" w14:textId="77777777" w:rsidR="00B471B0" w:rsidRPr="00BF555E" w:rsidRDefault="00B471B0" w:rsidP="009617F7">
            <w:pPr>
              <w:pStyle w:val="Default"/>
              <w:spacing w:after="0" w:line="240" w:lineRule="auto"/>
              <w:jc w:val="both"/>
              <w:rPr>
                <w:color w:val="auto"/>
                <w:sz w:val="18"/>
                <w:szCs w:val="18"/>
              </w:rPr>
            </w:pPr>
            <w:r w:rsidRPr="00BF555E">
              <w:rPr>
                <w:color w:val="auto"/>
                <w:sz w:val="18"/>
                <w:szCs w:val="18"/>
              </w:rPr>
              <w:t>Kopējā saražotā atjaunojamā enerģija (t.sk. elektroenerģija, siltumenerģijas)</w:t>
            </w:r>
          </w:p>
        </w:tc>
        <w:tc>
          <w:tcPr>
            <w:tcW w:w="464" w:type="pct"/>
            <w:tcBorders>
              <w:top w:val="single" w:sz="4" w:space="0" w:color="auto"/>
              <w:left w:val="single" w:sz="4" w:space="0" w:color="auto"/>
              <w:bottom w:val="single" w:sz="4" w:space="0" w:color="auto"/>
              <w:right w:val="single" w:sz="4" w:space="0" w:color="auto"/>
            </w:tcBorders>
          </w:tcPr>
          <w:p w14:paraId="1E92E8B1"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MWh/gadā</w:t>
            </w:r>
          </w:p>
        </w:tc>
        <w:tc>
          <w:tcPr>
            <w:tcW w:w="375" w:type="pct"/>
            <w:tcBorders>
              <w:top w:val="single" w:sz="4" w:space="0" w:color="auto"/>
              <w:left w:val="single" w:sz="4" w:space="0" w:color="auto"/>
              <w:bottom w:val="single" w:sz="4" w:space="0" w:color="auto"/>
              <w:right w:val="single" w:sz="4" w:space="0" w:color="auto"/>
            </w:tcBorders>
          </w:tcPr>
          <w:p w14:paraId="04F58A8C"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0</w:t>
            </w:r>
          </w:p>
        </w:tc>
        <w:tc>
          <w:tcPr>
            <w:tcW w:w="438" w:type="pct"/>
            <w:tcBorders>
              <w:top w:val="single" w:sz="4" w:space="0" w:color="auto"/>
              <w:left w:val="single" w:sz="4" w:space="0" w:color="auto"/>
              <w:bottom w:val="single" w:sz="4" w:space="0" w:color="auto"/>
              <w:right w:val="single" w:sz="4" w:space="0" w:color="auto"/>
            </w:tcBorders>
          </w:tcPr>
          <w:p w14:paraId="5AD0D1D5"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2020</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180EC255" w14:textId="77777777" w:rsidR="00B471B0" w:rsidRPr="00BF555E" w:rsidRDefault="00B471B0" w:rsidP="009617F7">
            <w:pPr>
              <w:pStyle w:val="Text1"/>
              <w:spacing w:before="0" w:after="0"/>
              <w:ind w:left="0"/>
              <w:rPr>
                <w:rFonts w:cs="Times New Roman"/>
                <w:noProof/>
                <w:sz w:val="18"/>
                <w:szCs w:val="18"/>
              </w:rPr>
            </w:pPr>
            <w:r>
              <w:rPr>
                <w:rFonts w:cs="Times New Roman"/>
                <w:noProof/>
                <w:sz w:val="18"/>
                <w:szCs w:val="18"/>
              </w:rPr>
              <w:t>20 708</w:t>
            </w:r>
          </w:p>
        </w:tc>
        <w:tc>
          <w:tcPr>
            <w:tcW w:w="488" w:type="pct"/>
            <w:tcBorders>
              <w:top w:val="single" w:sz="4" w:space="0" w:color="auto"/>
              <w:left w:val="single" w:sz="4" w:space="0" w:color="auto"/>
              <w:bottom w:val="single" w:sz="4" w:space="0" w:color="auto"/>
              <w:right w:val="single" w:sz="4" w:space="0" w:color="auto"/>
            </w:tcBorders>
            <w:shd w:val="clear" w:color="auto" w:fill="auto"/>
          </w:tcPr>
          <w:p w14:paraId="0941E437"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Projektu dati</w:t>
            </w:r>
          </w:p>
          <w:p w14:paraId="3FDCC156" w14:textId="77777777" w:rsidR="00B471B0" w:rsidRPr="00BF555E" w:rsidRDefault="00B471B0" w:rsidP="009617F7">
            <w:pPr>
              <w:pStyle w:val="Text1"/>
              <w:spacing w:before="0" w:after="0"/>
              <w:ind w:left="0"/>
              <w:rPr>
                <w:rFonts w:cs="Times New Roman"/>
                <w:noProof/>
                <w:sz w:val="18"/>
                <w:szCs w:val="18"/>
              </w:rPr>
            </w:pPr>
          </w:p>
        </w:tc>
        <w:tc>
          <w:tcPr>
            <w:tcW w:w="408" w:type="pct"/>
            <w:tcBorders>
              <w:top w:val="single" w:sz="4" w:space="0" w:color="auto"/>
              <w:left w:val="single" w:sz="4" w:space="0" w:color="auto"/>
              <w:bottom w:val="single" w:sz="4" w:space="0" w:color="auto"/>
              <w:right w:val="single" w:sz="4" w:space="0" w:color="auto"/>
            </w:tcBorders>
          </w:tcPr>
          <w:p w14:paraId="12F1D24B" w14:textId="77777777" w:rsidR="00B471B0" w:rsidRPr="00BF555E" w:rsidRDefault="00B471B0" w:rsidP="009617F7">
            <w:pPr>
              <w:spacing w:before="0" w:after="0"/>
              <w:rPr>
                <w:noProof/>
                <w:sz w:val="18"/>
                <w:szCs w:val="18"/>
              </w:rPr>
            </w:pPr>
          </w:p>
        </w:tc>
      </w:tr>
      <w:tr w:rsidR="00B471B0" w:rsidRPr="00BF555E" w14:paraId="5D253C68" w14:textId="77777777" w:rsidTr="00E25CE3">
        <w:trPr>
          <w:trHeight w:val="286"/>
        </w:trPr>
        <w:tc>
          <w:tcPr>
            <w:tcW w:w="458" w:type="pct"/>
          </w:tcPr>
          <w:p w14:paraId="15CA43BC"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6.1.prioritāte</w:t>
            </w:r>
          </w:p>
        </w:tc>
        <w:tc>
          <w:tcPr>
            <w:tcW w:w="414" w:type="pct"/>
          </w:tcPr>
          <w:p w14:paraId="0B9550ED"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6.1.1.SAM</w:t>
            </w:r>
          </w:p>
        </w:tc>
        <w:tc>
          <w:tcPr>
            <w:tcW w:w="301" w:type="pct"/>
          </w:tcPr>
          <w:p w14:paraId="7A4E4E77"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TPF</w:t>
            </w:r>
          </w:p>
        </w:tc>
        <w:tc>
          <w:tcPr>
            <w:tcW w:w="359" w:type="pct"/>
          </w:tcPr>
          <w:p w14:paraId="2925182E" w14:textId="77777777" w:rsidR="00B471B0" w:rsidRPr="00BF555E" w:rsidRDefault="00B471B0" w:rsidP="009617F7">
            <w:pPr>
              <w:pStyle w:val="Text1"/>
              <w:spacing w:before="0" w:after="0"/>
              <w:ind w:left="0"/>
              <w:rPr>
                <w:rFonts w:cs="Times New Roman"/>
                <w:sz w:val="18"/>
                <w:szCs w:val="18"/>
              </w:rPr>
            </w:pPr>
            <w:r w:rsidRPr="00BF555E">
              <w:rPr>
                <w:rFonts w:cs="Times New Roman"/>
                <w:sz w:val="18"/>
                <w:szCs w:val="18"/>
              </w:rPr>
              <w:t>RCR 52</w:t>
            </w:r>
          </w:p>
        </w:tc>
        <w:tc>
          <w:tcPr>
            <w:tcW w:w="797" w:type="pct"/>
            <w:shd w:val="clear" w:color="auto" w:fill="auto"/>
          </w:tcPr>
          <w:p w14:paraId="0F1D5463" w14:textId="77777777" w:rsidR="00B471B0" w:rsidRPr="00BF555E" w:rsidRDefault="00B471B0" w:rsidP="009617F7">
            <w:pPr>
              <w:pStyle w:val="Text1"/>
              <w:spacing w:before="0" w:after="0"/>
              <w:ind w:left="0"/>
              <w:rPr>
                <w:rFonts w:cs="Times New Roman"/>
                <w:sz w:val="18"/>
                <w:szCs w:val="18"/>
              </w:rPr>
            </w:pPr>
            <w:r w:rsidRPr="00BF555E">
              <w:rPr>
                <w:rFonts w:cs="Times New Roman"/>
                <w:sz w:val="18"/>
                <w:szCs w:val="18"/>
              </w:rPr>
              <w:t>Atjaunota zeme, ko izmanto zaļajām zonām, sociālajiem mājokļiem, saimnieciskām vai citām vajadzībām</w:t>
            </w:r>
          </w:p>
        </w:tc>
        <w:tc>
          <w:tcPr>
            <w:tcW w:w="464" w:type="pct"/>
          </w:tcPr>
          <w:p w14:paraId="733B0BDD"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ha</w:t>
            </w:r>
          </w:p>
        </w:tc>
        <w:tc>
          <w:tcPr>
            <w:tcW w:w="375" w:type="pct"/>
          </w:tcPr>
          <w:p w14:paraId="3B431C70"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0</w:t>
            </w:r>
          </w:p>
        </w:tc>
        <w:tc>
          <w:tcPr>
            <w:tcW w:w="438" w:type="pct"/>
          </w:tcPr>
          <w:p w14:paraId="18A6D7F8"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2020</w:t>
            </w:r>
          </w:p>
        </w:tc>
        <w:tc>
          <w:tcPr>
            <w:tcW w:w="498" w:type="pct"/>
            <w:shd w:val="clear" w:color="auto" w:fill="auto"/>
          </w:tcPr>
          <w:p w14:paraId="53B8126B" w14:textId="77777777" w:rsidR="00B471B0" w:rsidRPr="00BF555E" w:rsidRDefault="00B471B0" w:rsidP="009617F7">
            <w:pPr>
              <w:pStyle w:val="Text1"/>
              <w:spacing w:before="0" w:after="0"/>
              <w:ind w:left="0"/>
              <w:jc w:val="center"/>
              <w:rPr>
                <w:rFonts w:cs="Times New Roman"/>
                <w:noProof/>
                <w:sz w:val="18"/>
                <w:szCs w:val="18"/>
              </w:rPr>
            </w:pPr>
            <w:r>
              <w:rPr>
                <w:rFonts w:cs="Times New Roman"/>
                <w:noProof/>
                <w:sz w:val="18"/>
                <w:szCs w:val="18"/>
              </w:rPr>
              <w:t>9724</w:t>
            </w:r>
          </w:p>
        </w:tc>
        <w:tc>
          <w:tcPr>
            <w:tcW w:w="488" w:type="pct"/>
            <w:shd w:val="clear" w:color="auto" w:fill="auto"/>
          </w:tcPr>
          <w:p w14:paraId="57A77E18"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Projekti</w:t>
            </w:r>
          </w:p>
        </w:tc>
        <w:tc>
          <w:tcPr>
            <w:tcW w:w="408" w:type="pct"/>
          </w:tcPr>
          <w:p w14:paraId="4F9D35C9" w14:textId="77777777" w:rsidR="00B471B0" w:rsidRPr="00BF555E" w:rsidRDefault="00B471B0" w:rsidP="009617F7">
            <w:pPr>
              <w:spacing w:before="0" w:after="0"/>
              <w:rPr>
                <w:noProof/>
                <w:sz w:val="18"/>
                <w:szCs w:val="18"/>
              </w:rPr>
            </w:pPr>
            <w:r w:rsidRPr="00BF555E">
              <w:rPr>
                <w:noProof/>
                <w:sz w:val="18"/>
                <w:szCs w:val="18"/>
              </w:rPr>
              <w:t>TPF: Tiek skaitīta rekultivtētā purvu platība. Vērtība tiks aktualizēta pēc TPF plāna izstrādes</w:t>
            </w:r>
          </w:p>
        </w:tc>
      </w:tr>
      <w:tr w:rsidR="00B471B0" w:rsidRPr="00BF555E" w14:paraId="1B4551C8" w14:textId="77777777" w:rsidTr="00E25CE3">
        <w:trPr>
          <w:trHeight w:val="286"/>
        </w:trPr>
        <w:tc>
          <w:tcPr>
            <w:tcW w:w="458" w:type="pct"/>
            <w:tcBorders>
              <w:top w:val="single" w:sz="4" w:space="0" w:color="auto"/>
              <w:left w:val="single" w:sz="4" w:space="0" w:color="auto"/>
              <w:bottom w:val="single" w:sz="4" w:space="0" w:color="auto"/>
              <w:right w:val="single" w:sz="4" w:space="0" w:color="auto"/>
            </w:tcBorders>
          </w:tcPr>
          <w:p w14:paraId="788B3A32"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6.1.prioritāte</w:t>
            </w:r>
          </w:p>
        </w:tc>
        <w:tc>
          <w:tcPr>
            <w:tcW w:w="414" w:type="pct"/>
            <w:tcBorders>
              <w:top w:val="single" w:sz="4" w:space="0" w:color="auto"/>
              <w:left w:val="single" w:sz="4" w:space="0" w:color="auto"/>
              <w:bottom w:val="single" w:sz="4" w:space="0" w:color="auto"/>
              <w:right w:val="single" w:sz="4" w:space="0" w:color="auto"/>
            </w:tcBorders>
          </w:tcPr>
          <w:p w14:paraId="104476E5"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6.1.1.SAM</w:t>
            </w:r>
          </w:p>
        </w:tc>
        <w:tc>
          <w:tcPr>
            <w:tcW w:w="301" w:type="pct"/>
            <w:tcBorders>
              <w:top w:val="single" w:sz="4" w:space="0" w:color="auto"/>
              <w:left w:val="single" w:sz="4" w:space="0" w:color="auto"/>
              <w:bottom w:val="single" w:sz="4" w:space="0" w:color="auto"/>
              <w:right w:val="single" w:sz="4" w:space="0" w:color="auto"/>
            </w:tcBorders>
          </w:tcPr>
          <w:p w14:paraId="2D91E3DE"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TPF</w:t>
            </w:r>
          </w:p>
        </w:tc>
        <w:tc>
          <w:tcPr>
            <w:tcW w:w="359" w:type="pct"/>
            <w:tcBorders>
              <w:top w:val="single" w:sz="4" w:space="0" w:color="auto"/>
              <w:left w:val="single" w:sz="4" w:space="0" w:color="auto"/>
              <w:bottom w:val="single" w:sz="4" w:space="0" w:color="auto"/>
              <w:right w:val="single" w:sz="4" w:space="0" w:color="auto"/>
            </w:tcBorders>
          </w:tcPr>
          <w:p w14:paraId="50DF89B9" w14:textId="77777777" w:rsidR="00B471B0" w:rsidRPr="00BF555E" w:rsidRDefault="00B471B0" w:rsidP="009617F7">
            <w:pPr>
              <w:pStyle w:val="Text1"/>
              <w:spacing w:before="0" w:after="0"/>
              <w:ind w:left="0"/>
              <w:rPr>
                <w:rFonts w:cs="Times New Roman"/>
                <w:sz w:val="18"/>
                <w:szCs w:val="18"/>
              </w:rPr>
            </w:pPr>
            <w:r w:rsidRPr="00BF555E">
              <w:rPr>
                <w:rFonts w:cs="Times New Roman"/>
                <w:sz w:val="18"/>
                <w:szCs w:val="18"/>
              </w:rPr>
              <w:t>RCR 62</w:t>
            </w:r>
          </w:p>
        </w:tc>
        <w:tc>
          <w:tcPr>
            <w:tcW w:w="797" w:type="pct"/>
            <w:tcBorders>
              <w:top w:val="single" w:sz="4" w:space="0" w:color="auto"/>
              <w:left w:val="single" w:sz="4" w:space="0" w:color="auto"/>
              <w:bottom w:val="single" w:sz="4" w:space="0" w:color="auto"/>
              <w:right w:val="single" w:sz="4" w:space="0" w:color="auto"/>
            </w:tcBorders>
            <w:shd w:val="clear" w:color="auto" w:fill="auto"/>
          </w:tcPr>
          <w:p w14:paraId="2AB36263" w14:textId="77777777" w:rsidR="00B471B0" w:rsidRPr="00BF555E" w:rsidRDefault="00B471B0" w:rsidP="009617F7">
            <w:pPr>
              <w:pStyle w:val="Default"/>
              <w:spacing w:after="0" w:line="240" w:lineRule="auto"/>
              <w:jc w:val="both"/>
              <w:rPr>
                <w:color w:val="auto"/>
                <w:sz w:val="18"/>
                <w:szCs w:val="18"/>
              </w:rPr>
            </w:pPr>
            <w:r w:rsidRPr="00BF555E">
              <w:rPr>
                <w:color w:val="auto"/>
                <w:sz w:val="18"/>
                <w:szCs w:val="18"/>
              </w:rPr>
              <w:t>Ar jaunu vai modernizētu sabiedrisko transportu pārvadāto pasažieru skaits, gadā</w:t>
            </w:r>
          </w:p>
        </w:tc>
        <w:tc>
          <w:tcPr>
            <w:tcW w:w="464" w:type="pct"/>
            <w:tcBorders>
              <w:top w:val="single" w:sz="4" w:space="0" w:color="auto"/>
              <w:left w:val="single" w:sz="4" w:space="0" w:color="auto"/>
              <w:bottom w:val="single" w:sz="4" w:space="0" w:color="auto"/>
              <w:right w:val="single" w:sz="4" w:space="0" w:color="auto"/>
            </w:tcBorders>
          </w:tcPr>
          <w:p w14:paraId="3ED2442F"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Lietotāji/ gadā</w:t>
            </w:r>
          </w:p>
        </w:tc>
        <w:tc>
          <w:tcPr>
            <w:tcW w:w="375" w:type="pct"/>
            <w:tcBorders>
              <w:top w:val="single" w:sz="4" w:space="0" w:color="auto"/>
              <w:left w:val="single" w:sz="4" w:space="0" w:color="auto"/>
              <w:bottom w:val="single" w:sz="4" w:space="0" w:color="auto"/>
              <w:right w:val="single" w:sz="4" w:space="0" w:color="auto"/>
            </w:tcBorders>
          </w:tcPr>
          <w:p w14:paraId="238E9F36"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0</w:t>
            </w:r>
          </w:p>
        </w:tc>
        <w:tc>
          <w:tcPr>
            <w:tcW w:w="438" w:type="pct"/>
            <w:tcBorders>
              <w:top w:val="single" w:sz="4" w:space="0" w:color="auto"/>
              <w:left w:val="single" w:sz="4" w:space="0" w:color="auto"/>
              <w:bottom w:val="single" w:sz="4" w:space="0" w:color="auto"/>
              <w:right w:val="single" w:sz="4" w:space="0" w:color="auto"/>
            </w:tcBorders>
          </w:tcPr>
          <w:p w14:paraId="317E8FD1"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2020</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5F601D6A" w14:textId="77777777" w:rsidR="00B471B0" w:rsidRPr="00BF555E" w:rsidRDefault="00B471B0" w:rsidP="009617F7">
            <w:pPr>
              <w:spacing w:before="0" w:after="0"/>
              <w:jc w:val="center"/>
              <w:rPr>
                <w:noProof/>
                <w:sz w:val="18"/>
                <w:szCs w:val="18"/>
              </w:rPr>
            </w:pPr>
            <w:r>
              <w:rPr>
                <w:noProof/>
                <w:sz w:val="18"/>
                <w:szCs w:val="18"/>
              </w:rPr>
              <w:t>1 722 331</w:t>
            </w:r>
          </w:p>
        </w:tc>
        <w:tc>
          <w:tcPr>
            <w:tcW w:w="488" w:type="pct"/>
            <w:tcBorders>
              <w:top w:val="single" w:sz="4" w:space="0" w:color="auto"/>
              <w:left w:val="single" w:sz="4" w:space="0" w:color="auto"/>
              <w:bottom w:val="single" w:sz="4" w:space="0" w:color="auto"/>
              <w:right w:val="single" w:sz="4" w:space="0" w:color="auto"/>
            </w:tcBorders>
            <w:shd w:val="clear" w:color="auto" w:fill="auto"/>
          </w:tcPr>
          <w:p w14:paraId="05555935" w14:textId="77777777" w:rsidR="00B471B0" w:rsidRPr="00BF555E" w:rsidRDefault="00B471B0" w:rsidP="009617F7">
            <w:pPr>
              <w:pStyle w:val="Text1"/>
              <w:spacing w:before="0" w:after="0"/>
              <w:ind w:left="0"/>
              <w:rPr>
                <w:rFonts w:cs="Times New Roman"/>
                <w:sz w:val="18"/>
                <w:szCs w:val="18"/>
              </w:rPr>
            </w:pPr>
            <w:r w:rsidRPr="00BF555E">
              <w:rPr>
                <w:rFonts w:cs="Times New Roman"/>
                <w:sz w:val="18"/>
                <w:szCs w:val="18"/>
              </w:rPr>
              <w:t>Projektu dati</w:t>
            </w:r>
          </w:p>
        </w:tc>
        <w:tc>
          <w:tcPr>
            <w:tcW w:w="408" w:type="pct"/>
            <w:tcBorders>
              <w:top w:val="single" w:sz="4" w:space="0" w:color="auto"/>
              <w:left w:val="single" w:sz="4" w:space="0" w:color="auto"/>
              <w:bottom w:val="single" w:sz="4" w:space="0" w:color="auto"/>
              <w:right w:val="single" w:sz="4" w:space="0" w:color="auto"/>
            </w:tcBorders>
          </w:tcPr>
          <w:p w14:paraId="364BF6BC" w14:textId="77777777" w:rsidR="00B471B0" w:rsidRPr="00BF555E" w:rsidRDefault="00B471B0" w:rsidP="009617F7">
            <w:pPr>
              <w:spacing w:before="0" w:after="0"/>
              <w:rPr>
                <w:noProof/>
                <w:sz w:val="18"/>
                <w:szCs w:val="18"/>
              </w:rPr>
            </w:pPr>
            <w:r w:rsidRPr="00BF555E">
              <w:rPr>
                <w:noProof/>
                <w:sz w:val="18"/>
                <w:szCs w:val="18"/>
              </w:rPr>
              <w:t>Pārvadāto pasažieru skaits ar modernizēto bezizmešu sabiedrisko transportu</w:t>
            </w:r>
          </w:p>
        </w:tc>
      </w:tr>
      <w:tr w:rsidR="00B471B0" w:rsidRPr="00BF555E" w14:paraId="1D75E58E" w14:textId="77777777" w:rsidTr="00E25CE3">
        <w:trPr>
          <w:trHeight w:val="286"/>
        </w:trPr>
        <w:tc>
          <w:tcPr>
            <w:tcW w:w="458" w:type="pct"/>
          </w:tcPr>
          <w:p w14:paraId="4D5F2412" w14:textId="77777777" w:rsidR="00B471B0" w:rsidRPr="00BF555E" w:rsidRDefault="00B471B0" w:rsidP="009617F7">
            <w:pPr>
              <w:spacing w:before="0" w:after="0"/>
              <w:rPr>
                <w:noProof/>
                <w:sz w:val="18"/>
                <w:szCs w:val="18"/>
              </w:rPr>
            </w:pPr>
            <w:r w:rsidRPr="00BF555E">
              <w:rPr>
                <w:noProof/>
                <w:sz w:val="18"/>
                <w:szCs w:val="18"/>
              </w:rPr>
              <w:t>6.1.prioritāte</w:t>
            </w:r>
          </w:p>
        </w:tc>
        <w:tc>
          <w:tcPr>
            <w:tcW w:w="414" w:type="pct"/>
          </w:tcPr>
          <w:p w14:paraId="55F7AC24" w14:textId="77777777" w:rsidR="00B471B0" w:rsidRPr="00BF555E" w:rsidRDefault="00B471B0" w:rsidP="009617F7">
            <w:pPr>
              <w:spacing w:before="0" w:after="0"/>
              <w:rPr>
                <w:noProof/>
                <w:sz w:val="18"/>
                <w:szCs w:val="18"/>
              </w:rPr>
            </w:pPr>
            <w:r w:rsidRPr="00BF555E">
              <w:rPr>
                <w:noProof/>
                <w:sz w:val="18"/>
                <w:szCs w:val="18"/>
              </w:rPr>
              <w:t>6.1.1.SAM</w:t>
            </w:r>
          </w:p>
        </w:tc>
        <w:tc>
          <w:tcPr>
            <w:tcW w:w="301" w:type="pct"/>
          </w:tcPr>
          <w:p w14:paraId="1993C69C"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TPF</w:t>
            </w:r>
          </w:p>
        </w:tc>
        <w:tc>
          <w:tcPr>
            <w:tcW w:w="359" w:type="pct"/>
          </w:tcPr>
          <w:p w14:paraId="553706DE" w14:textId="77777777" w:rsidR="00B471B0" w:rsidRPr="00BF555E" w:rsidRDefault="00B471B0" w:rsidP="009617F7">
            <w:pPr>
              <w:pStyle w:val="Text1"/>
              <w:spacing w:before="0" w:after="0"/>
              <w:ind w:left="0"/>
              <w:rPr>
                <w:rFonts w:cs="Times New Roman"/>
                <w:sz w:val="18"/>
                <w:szCs w:val="18"/>
              </w:rPr>
            </w:pPr>
            <w:r w:rsidRPr="00BF555E">
              <w:rPr>
                <w:rFonts w:cs="Times New Roman"/>
                <w:noProof/>
                <w:sz w:val="18"/>
                <w:szCs w:val="18"/>
              </w:rPr>
              <w:t>TPF RCR 20</w:t>
            </w:r>
          </w:p>
        </w:tc>
        <w:tc>
          <w:tcPr>
            <w:tcW w:w="797" w:type="pct"/>
            <w:shd w:val="clear" w:color="auto" w:fill="auto"/>
          </w:tcPr>
          <w:p w14:paraId="3B0F5554" w14:textId="77777777" w:rsidR="00B471B0" w:rsidRPr="00BF555E" w:rsidRDefault="00B471B0" w:rsidP="009617F7">
            <w:pPr>
              <w:pStyle w:val="Text1"/>
              <w:spacing w:before="0" w:after="0"/>
              <w:ind w:left="0"/>
              <w:rPr>
                <w:rFonts w:cs="Times New Roman"/>
                <w:sz w:val="18"/>
                <w:szCs w:val="18"/>
                <w:lang w:eastAsia="en-GB"/>
              </w:rPr>
            </w:pPr>
            <w:r w:rsidRPr="00BF555E">
              <w:rPr>
                <w:rFonts w:cs="Times New Roman"/>
                <w:sz w:val="18"/>
                <w:szCs w:val="18"/>
                <w:lang w:eastAsia="en-GB"/>
              </w:rPr>
              <w:t>Dalībnieki, kuri pabeidzot dalību, ir ieguvuši kvalifikāciju</w:t>
            </w:r>
          </w:p>
        </w:tc>
        <w:tc>
          <w:tcPr>
            <w:tcW w:w="464" w:type="pct"/>
          </w:tcPr>
          <w:p w14:paraId="564959D2" w14:textId="77777777" w:rsidR="00B471B0" w:rsidRPr="00BF555E" w:rsidRDefault="00B471B0" w:rsidP="009617F7">
            <w:pPr>
              <w:pStyle w:val="Text1"/>
              <w:spacing w:before="0" w:after="0"/>
              <w:ind w:left="0"/>
              <w:rPr>
                <w:rFonts w:cs="Times New Roman"/>
                <w:noProof/>
                <w:sz w:val="18"/>
                <w:szCs w:val="18"/>
              </w:rPr>
            </w:pPr>
          </w:p>
        </w:tc>
        <w:tc>
          <w:tcPr>
            <w:tcW w:w="375" w:type="pct"/>
          </w:tcPr>
          <w:p w14:paraId="5707B31E" w14:textId="77777777" w:rsidR="00B471B0" w:rsidRPr="00BF555E" w:rsidRDefault="00B471B0" w:rsidP="009617F7">
            <w:pPr>
              <w:spacing w:before="0" w:after="0"/>
              <w:jc w:val="center"/>
              <w:rPr>
                <w:noProof/>
                <w:sz w:val="18"/>
                <w:szCs w:val="18"/>
              </w:rPr>
            </w:pPr>
            <w:r w:rsidRPr="00BF555E">
              <w:rPr>
                <w:noProof/>
                <w:sz w:val="18"/>
                <w:szCs w:val="18"/>
              </w:rPr>
              <w:t>0</w:t>
            </w:r>
          </w:p>
        </w:tc>
        <w:tc>
          <w:tcPr>
            <w:tcW w:w="438" w:type="pct"/>
          </w:tcPr>
          <w:p w14:paraId="5D6F59F7" w14:textId="77777777" w:rsidR="00B471B0" w:rsidRPr="00BF555E" w:rsidRDefault="00B471B0" w:rsidP="009617F7">
            <w:pPr>
              <w:pStyle w:val="Text1"/>
              <w:spacing w:before="0" w:after="0"/>
              <w:ind w:left="0"/>
              <w:jc w:val="center"/>
              <w:rPr>
                <w:rFonts w:cs="Times New Roman"/>
                <w:noProof/>
                <w:sz w:val="18"/>
                <w:szCs w:val="18"/>
                <w:lang w:bidi="lv-LV"/>
              </w:rPr>
            </w:pPr>
            <w:r w:rsidRPr="00BF555E">
              <w:rPr>
                <w:rFonts w:cs="Times New Roman"/>
                <w:noProof/>
                <w:sz w:val="18"/>
                <w:szCs w:val="18"/>
                <w:lang w:bidi="lv-LV"/>
              </w:rPr>
              <w:t>2020</w:t>
            </w:r>
          </w:p>
        </w:tc>
        <w:tc>
          <w:tcPr>
            <w:tcW w:w="498" w:type="pct"/>
            <w:shd w:val="clear" w:color="auto" w:fill="auto"/>
          </w:tcPr>
          <w:p w14:paraId="13DB514B" w14:textId="77777777" w:rsidR="00B471B0" w:rsidRPr="00BF555E" w:rsidRDefault="00B471B0" w:rsidP="009617F7">
            <w:pPr>
              <w:spacing w:before="0" w:after="0"/>
              <w:jc w:val="center"/>
              <w:rPr>
                <w:noProof/>
                <w:sz w:val="18"/>
                <w:szCs w:val="18"/>
              </w:rPr>
            </w:pPr>
            <w:r>
              <w:rPr>
                <w:noProof/>
                <w:sz w:val="18"/>
                <w:szCs w:val="18"/>
              </w:rPr>
              <w:t>5093</w:t>
            </w:r>
          </w:p>
        </w:tc>
        <w:tc>
          <w:tcPr>
            <w:tcW w:w="488" w:type="pct"/>
            <w:shd w:val="clear" w:color="auto" w:fill="auto"/>
          </w:tcPr>
          <w:p w14:paraId="5FCA67B0"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TPF: Projektu dati</w:t>
            </w:r>
          </w:p>
          <w:p w14:paraId="72F8A2AD"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Valsts izglītības informatīvā sistēma</w:t>
            </w:r>
          </w:p>
          <w:p w14:paraId="4785BB96"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ESF projekta “Nodarbināto personu profesionālās kompetences pilnveide” (projekta Nr.8.4.1.0/16/I/001) izstrādātā informācijas sistēma</w:t>
            </w:r>
          </w:p>
        </w:tc>
        <w:tc>
          <w:tcPr>
            <w:tcW w:w="408" w:type="pct"/>
          </w:tcPr>
          <w:p w14:paraId="707A4354" w14:textId="77777777" w:rsidR="00B471B0" w:rsidRPr="00BF555E" w:rsidRDefault="00B471B0" w:rsidP="009617F7">
            <w:pPr>
              <w:spacing w:before="0" w:after="0"/>
              <w:rPr>
                <w:i/>
                <w:noProof/>
                <w:sz w:val="18"/>
                <w:szCs w:val="18"/>
              </w:rPr>
            </w:pPr>
          </w:p>
        </w:tc>
      </w:tr>
    </w:tbl>
    <w:p w14:paraId="4EF42BC3" w14:textId="77777777" w:rsidR="00B471B0" w:rsidRPr="00930237" w:rsidRDefault="00B471B0" w:rsidP="00B471B0">
      <w:pPr>
        <w:spacing w:before="0" w:after="0"/>
        <w:rPr>
          <w:b/>
          <w:noProof/>
          <w:sz w:val="20"/>
        </w:rPr>
      </w:pPr>
    </w:p>
    <w:p w14:paraId="083FB401" w14:textId="77777777" w:rsidR="00B471B0" w:rsidRPr="00930237" w:rsidRDefault="00B471B0" w:rsidP="00B471B0">
      <w:pPr>
        <w:spacing w:before="0" w:after="0"/>
        <w:rPr>
          <w:rFonts w:eastAsia="Times New Roman"/>
          <w:iCs/>
          <w:noProof/>
          <w:sz w:val="20"/>
        </w:rPr>
      </w:pPr>
      <w:r w:rsidRPr="00930237">
        <w:rPr>
          <w:rFonts w:eastAsia="Times New Roman"/>
          <w:iCs/>
          <w:noProof/>
          <w:sz w:val="20"/>
        </w:rPr>
        <w:t>* Rādītāju sasniedzamās vērtības tiks definētas, kad būs pieejami veikto izvērtējumu rezultāti, kā arī attiecīgo nozaru plānošanas dokumentu izstrādes un saskaņošanas ietvaros.</w:t>
      </w:r>
    </w:p>
    <w:p w14:paraId="0EE94DE1" w14:textId="77777777" w:rsidR="00B471B0" w:rsidRPr="00930237" w:rsidRDefault="00B471B0" w:rsidP="00B471B0">
      <w:pPr>
        <w:rPr>
          <w:sz w:val="20"/>
        </w:rPr>
      </w:pPr>
    </w:p>
    <w:p w14:paraId="51611A9C" w14:textId="77777777" w:rsidR="00AC212B" w:rsidRPr="00930237" w:rsidRDefault="00AC212B" w:rsidP="00AC212B">
      <w:pPr>
        <w:rPr>
          <w:sz w:val="20"/>
        </w:rPr>
        <w:sectPr w:rsidR="00AC212B" w:rsidRPr="00930237" w:rsidSect="000266D9">
          <w:type w:val="continuous"/>
          <w:pgSz w:w="16838" w:h="11906" w:orient="landscape" w:code="9"/>
          <w:pgMar w:top="1418" w:right="1418" w:bottom="1418" w:left="1418" w:header="567" w:footer="567" w:gutter="0"/>
          <w:cols w:space="708"/>
          <w:titlePg/>
          <w:docGrid w:linePitch="360"/>
        </w:sectPr>
      </w:pPr>
    </w:p>
    <w:p w14:paraId="1546A180" w14:textId="77777777" w:rsidR="00AC212B" w:rsidRPr="00930237" w:rsidRDefault="00AC212B" w:rsidP="00AC212B">
      <w:pPr>
        <w:pStyle w:val="Heading2"/>
        <w:numPr>
          <w:ilvl w:val="0"/>
          <w:numId w:val="0"/>
        </w:numPr>
        <w:spacing w:after="0"/>
        <w:rPr>
          <w:i/>
          <w:iCs/>
          <w:noProof/>
          <w:color w:val="FF0000"/>
          <w:szCs w:val="24"/>
        </w:rPr>
      </w:pPr>
      <w:bookmarkStart w:id="51" w:name="_Toc69125426"/>
      <w:r w:rsidRPr="00930237">
        <w:rPr>
          <w:rStyle w:val="Heading4Char"/>
          <w:rFonts w:eastAsia="Calibri"/>
          <w:szCs w:val="24"/>
        </w:rPr>
        <w:t>2.2. Informācija par dalījumu par intervences kategorijām prioritātes līmenī</w:t>
      </w:r>
      <w:bookmarkEnd w:id="51"/>
    </w:p>
    <w:p w14:paraId="51AE6246" w14:textId="77777777" w:rsidR="00AC212B" w:rsidRPr="00930237" w:rsidRDefault="00AC212B" w:rsidP="00AC212B">
      <w:pPr>
        <w:spacing w:before="0" w:after="0"/>
        <w:rPr>
          <w:rFonts w:eastAsia="Times New Roman"/>
          <w:b/>
          <w:i/>
          <w:iCs/>
          <w:noProof/>
          <w:color w:val="FF0000"/>
          <w:sz w:val="20"/>
        </w:rPr>
      </w:pPr>
    </w:p>
    <w:p w14:paraId="29FCE8CE" w14:textId="77777777" w:rsidR="00AC212B" w:rsidRPr="00930237" w:rsidRDefault="00AC212B" w:rsidP="00AC212B">
      <w:pPr>
        <w:spacing w:before="0" w:after="0"/>
        <w:ind w:left="-5" w:hanging="10"/>
        <w:rPr>
          <w:b/>
          <w:szCs w:val="24"/>
        </w:rPr>
      </w:pPr>
      <w:r w:rsidRPr="00930237">
        <w:rPr>
          <w:b/>
          <w:szCs w:val="24"/>
        </w:rPr>
        <w:t xml:space="preserve">2.1.bis Indikatīvais programmas resursu sadalījums pa intervences veidiem </w:t>
      </w:r>
    </w:p>
    <w:p w14:paraId="667BE45A" w14:textId="77777777" w:rsidR="00AC212B" w:rsidRPr="00930237" w:rsidRDefault="00AC212B" w:rsidP="00AC212B">
      <w:pPr>
        <w:spacing w:before="0" w:after="0"/>
        <w:ind w:left="-5" w:hanging="10"/>
        <w:rPr>
          <w:sz w:val="20"/>
        </w:rPr>
      </w:pPr>
    </w:p>
    <w:p w14:paraId="39F42F68" w14:textId="02F1ACD8" w:rsidR="00AC212B" w:rsidRPr="00930237" w:rsidRDefault="00F4152B" w:rsidP="00AC212B">
      <w:pPr>
        <w:spacing w:before="0" w:after="0"/>
        <w:ind w:left="-5" w:hanging="10"/>
        <w:rPr>
          <w:b/>
          <w:sz w:val="20"/>
        </w:rPr>
      </w:pPr>
      <w:r>
        <w:rPr>
          <w:b/>
          <w:sz w:val="20"/>
        </w:rPr>
        <w:t>1</w:t>
      </w:r>
      <w:r w:rsidR="00AC212B" w:rsidRPr="00930237">
        <w:rPr>
          <w:b/>
          <w:sz w:val="20"/>
        </w:rPr>
        <w:t xml:space="preserve">4.tabula </w:t>
      </w:r>
      <w:r w:rsidR="00D67F06">
        <w:rPr>
          <w:b/>
          <w:sz w:val="20"/>
        </w:rPr>
        <w:t xml:space="preserve">(4) </w:t>
      </w:r>
      <w:r w:rsidR="00AC212B" w:rsidRPr="00930237">
        <w:rPr>
          <w:b/>
          <w:sz w:val="20"/>
        </w:rPr>
        <w:t>Dimensija 1 – intervences laukums</w:t>
      </w:r>
      <w:r w:rsidR="001A7DB0">
        <w:rPr>
          <w:rStyle w:val="FootnoteReference"/>
          <w:b/>
          <w:sz w:val="20"/>
        </w:rPr>
        <w:footnoteReference w:id="135"/>
      </w:r>
    </w:p>
    <w:tbl>
      <w:tblPr>
        <w:tblW w:w="6460" w:type="dxa"/>
        <w:tblLook w:val="04A0" w:firstRow="1" w:lastRow="0" w:firstColumn="1" w:lastColumn="0" w:noHBand="0" w:noVBand="1"/>
      </w:tblPr>
      <w:tblGrid>
        <w:gridCol w:w="1320"/>
        <w:gridCol w:w="1340"/>
        <w:gridCol w:w="1420"/>
        <w:gridCol w:w="960"/>
        <w:gridCol w:w="1420"/>
      </w:tblGrid>
      <w:tr w:rsidR="009D3945" w:rsidRPr="009D3945" w14:paraId="7E9804E9" w14:textId="77777777" w:rsidTr="009D3945">
        <w:trPr>
          <w:trHeight w:val="765"/>
          <w:tblHeader/>
        </w:trPr>
        <w:tc>
          <w:tcPr>
            <w:tcW w:w="13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55672F" w14:textId="77777777" w:rsidR="009D3945" w:rsidRPr="009D3945" w:rsidRDefault="009D3945" w:rsidP="009D3945">
            <w:pPr>
              <w:spacing w:before="0" w:after="0"/>
              <w:jc w:val="center"/>
              <w:rPr>
                <w:rFonts w:eastAsia="Times New Roman"/>
                <w:b/>
                <w:bCs/>
                <w:color w:val="000000"/>
                <w:sz w:val="20"/>
                <w:lang w:val="en-GB" w:eastAsia="en-GB" w:bidi="ne-NP"/>
              </w:rPr>
            </w:pPr>
            <w:r w:rsidRPr="009D3945">
              <w:rPr>
                <w:rFonts w:eastAsia="Times New Roman"/>
                <w:b/>
                <w:bCs/>
                <w:color w:val="000000"/>
                <w:sz w:val="20"/>
                <w:lang w:val="en-GB" w:eastAsia="en-GB" w:bidi="ne-NP"/>
              </w:rPr>
              <w:t xml:space="preserve">Prioritātes Nr. </w:t>
            </w:r>
          </w:p>
        </w:tc>
        <w:tc>
          <w:tcPr>
            <w:tcW w:w="1340" w:type="dxa"/>
            <w:tcBorders>
              <w:top w:val="single" w:sz="4" w:space="0" w:color="auto"/>
              <w:left w:val="nil"/>
              <w:bottom w:val="single" w:sz="4" w:space="0" w:color="auto"/>
              <w:right w:val="single" w:sz="4" w:space="0" w:color="auto"/>
            </w:tcBorders>
            <w:shd w:val="clear" w:color="000000" w:fill="D9D9D9"/>
            <w:vAlign w:val="center"/>
            <w:hideMark/>
          </w:tcPr>
          <w:p w14:paraId="3C6466EB" w14:textId="77777777" w:rsidR="009D3945" w:rsidRPr="009D3945" w:rsidRDefault="009D3945" w:rsidP="009D3945">
            <w:pPr>
              <w:spacing w:before="0" w:after="0"/>
              <w:jc w:val="center"/>
              <w:rPr>
                <w:rFonts w:eastAsia="Times New Roman"/>
                <w:b/>
                <w:bCs/>
                <w:color w:val="000000"/>
                <w:sz w:val="20"/>
                <w:lang w:val="en-GB" w:eastAsia="en-GB" w:bidi="ne-NP"/>
              </w:rPr>
            </w:pPr>
            <w:r w:rsidRPr="009D3945">
              <w:rPr>
                <w:rFonts w:eastAsia="Times New Roman"/>
                <w:b/>
                <w:bCs/>
                <w:color w:val="000000"/>
                <w:sz w:val="20"/>
                <w:lang w:val="en-GB" w:eastAsia="en-GB" w:bidi="ne-NP"/>
              </w:rPr>
              <w:t>Fonds</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72CD0DF9" w14:textId="77777777" w:rsidR="009D3945" w:rsidRPr="009D3945" w:rsidRDefault="009D3945" w:rsidP="009D3945">
            <w:pPr>
              <w:spacing w:before="0" w:after="0"/>
              <w:jc w:val="center"/>
              <w:rPr>
                <w:rFonts w:eastAsia="Times New Roman"/>
                <w:b/>
                <w:bCs/>
                <w:color w:val="000000"/>
                <w:sz w:val="20"/>
                <w:lang w:val="en-GB" w:eastAsia="en-GB" w:bidi="ne-NP"/>
              </w:rPr>
            </w:pPr>
            <w:r w:rsidRPr="009D3945">
              <w:rPr>
                <w:rFonts w:eastAsia="Times New Roman"/>
                <w:b/>
                <w:bCs/>
                <w:color w:val="000000"/>
                <w:sz w:val="20"/>
                <w:lang w:val="en-GB" w:eastAsia="en-GB" w:bidi="ne-NP"/>
              </w:rPr>
              <w:t xml:space="preserve">Reģiona kategorija </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3F9E0A09" w14:textId="77777777" w:rsidR="009D3945" w:rsidRPr="009D3945" w:rsidRDefault="009D3945" w:rsidP="009D3945">
            <w:pPr>
              <w:spacing w:before="0" w:after="0"/>
              <w:jc w:val="center"/>
              <w:rPr>
                <w:rFonts w:eastAsia="Times New Roman"/>
                <w:b/>
                <w:bCs/>
                <w:color w:val="000000"/>
                <w:sz w:val="20"/>
                <w:lang w:val="en-GB" w:eastAsia="en-GB" w:bidi="ne-NP"/>
              </w:rPr>
            </w:pPr>
            <w:r w:rsidRPr="009D3945">
              <w:rPr>
                <w:rFonts w:eastAsia="Times New Roman"/>
                <w:b/>
                <w:bCs/>
                <w:color w:val="000000"/>
                <w:sz w:val="20"/>
                <w:lang w:val="en-GB" w:eastAsia="en-GB" w:bidi="ne-NP"/>
              </w:rPr>
              <w:t xml:space="preserve">Kods </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1F82F905" w14:textId="268C3E25" w:rsidR="009D3945" w:rsidRPr="009D3945" w:rsidRDefault="009D3945" w:rsidP="009D3945">
            <w:pPr>
              <w:spacing w:before="0" w:after="0"/>
              <w:jc w:val="center"/>
              <w:rPr>
                <w:rFonts w:eastAsia="Times New Roman"/>
                <w:b/>
                <w:bCs/>
                <w:color w:val="000000"/>
                <w:sz w:val="20"/>
                <w:lang w:val="en-GB" w:eastAsia="en-GB" w:bidi="ne-NP"/>
              </w:rPr>
            </w:pPr>
            <w:r w:rsidRPr="009D3945">
              <w:rPr>
                <w:rFonts w:eastAsia="Times New Roman"/>
                <w:b/>
                <w:bCs/>
                <w:color w:val="000000"/>
                <w:sz w:val="20"/>
                <w:lang w:val="en-GB" w:eastAsia="en-GB" w:bidi="ne-NP"/>
              </w:rPr>
              <w:t xml:space="preserve">Apjoms (EUR) </w:t>
            </w:r>
          </w:p>
        </w:tc>
      </w:tr>
      <w:tr w:rsidR="009D3945" w:rsidRPr="009D3945" w14:paraId="46F9692F"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9016584"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1.1.prioritāte</w:t>
            </w:r>
          </w:p>
        </w:tc>
        <w:tc>
          <w:tcPr>
            <w:tcW w:w="1340" w:type="dxa"/>
            <w:tcBorders>
              <w:top w:val="nil"/>
              <w:left w:val="nil"/>
              <w:bottom w:val="single" w:sz="4" w:space="0" w:color="auto"/>
              <w:right w:val="single" w:sz="4" w:space="0" w:color="auto"/>
            </w:tcBorders>
            <w:shd w:val="clear" w:color="auto" w:fill="auto"/>
            <w:vAlign w:val="center"/>
            <w:hideMark/>
          </w:tcPr>
          <w:p w14:paraId="35A050FF"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62500A85"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33B07FE3"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03</w:t>
            </w:r>
          </w:p>
        </w:tc>
        <w:tc>
          <w:tcPr>
            <w:tcW w:w="1420" w:type="dxa"/>
            <w:tcBorders>
              <w:top w:val="nil"/>
              <w:left w:val="nil"/>
              <w:bottom w:val="single" w:sz="4" w:space="0" w:color="auto"/>
              <w:right w:val="single" w:sz="4" w:space="0" w:color="auto"/>
            </w:tcBorders>
            <w:shd w:val="clear" w:color="auto" w:fill="auto"/>
            <w:vAlign w:val="center"/>
            <w:hideMark/>
          </w:tcPr>
          <w:p w14:paraId="11536293"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34 010 625</w:t>
            </w:r>
          </w:p>
        </w:tc>
      </w:tr>
      <w:tr w:rsidR="009D3945" w:rsidRPr="009D3945" w14:paraId="101FBD5A"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9450A5C"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1.1.prioritāte</w:t>
            </w:r>
          </w:p>
        </w:tc>
        <w:tc>
          <w:tcPr>
            <w:tcW w:w="1340" w:type="dxa"/>
            <w:tcBorders>
              <w:top w:val="nil"/>
              <w:left w:val="nil"/>
              <w:bottom w:val="single" w:sz="4" w:space="0" w:color="auto"/>
              <w:right w:val="single" w:sz="4" w:space="0" w:color="auto"/>
            </w:tcBorders>
            <w:shd w:val="clear" w:color="auto" w:fill="auto"/>
            <w:vAlign w:val="center"/>
            <w:hideMark/>
          </w:tcPr>
          <w:p w14:paraId="18AB66E8"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029792F3"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0BED1E64"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06</w:t>
            </w:r>
          </w:p>
        </w:tc>
        <w:tc>
          <w:tcPr>
            <w:tcW w:w="1420" w:type="dxa"/>
            <w:tcBorders>
              <w:top w:val="nil"/>
              <w:left w:val="nil"/>
              <w:bottom w:val="single" w:sz="4" w:space="0" w:color="auto"/>
              <w:right w:val="single" w:sz="4" w:space="0" w:color="auto"/>
            </w:tcBorders>
            <w:shd w:val="clear" w:color="auto" w:fill="auto"/>
            <w:vAlign w:val="center"/>
            <w:hideMark/>
          </w:tcPr>
          <w:p w14:paraId="5EFFA311"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34 010 625</w:t>
            </w:r>
          </w:p>
        </w:tc>
      </w:tr>
      <w:tr w:rsidR="009D3945" w:rsidRPr="009D3945" w14:paraId="0B548D4D"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CAFCC5C"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1.1.prioritāte</w:t>
            </w:r>
          </w:p>
        </w:tc>
        <w:tc>
          <w:tcPr>
            <w:tcW w:w="1340" w:type="dxa"/>
            <w:tcBorders>
              <w:top w:val="nil"/>
              <w:left w:val="nil"/>
              <w:bottom w:val="single" w:sz="4" w:space="0" w:color="auto"/>
              <w:right w:val="single" w:sz="4" w:space="0" w:color="auto"/>
            </w:tcBorders>
            <w:shd w:val="clear" w:color="auto" w:fill="auto"/>
            <w:vAlign w:val="center"/>
            <w:hideMark/>
          </w:tcPr>
          <w:p w14:paraId="6F3FB4C5"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7A06D11D"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729146EF"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07</w:t>
            </w:r>
          </w:p>
        </w:tc>
        <w:tc>
          <w:tcPr>
            <w:tcW w:w="1420" w:type="dxa"/>
            <w:tcBorders>
              <w:top w:val="nil"/>
              <w:left w:val="nil"/>
              <w:bottom w:val="single" w:sz="4" w:space="0" w:color="auto"/>
              <w:right w:val="single" w:sz="4" w:space="0" w:color="auto"/>
            </w:tcBorders>
            <w:shd w:val="clear" w:color="auto" w:fill="auto"/>
            <w:vAlign w:val="center"/>
            <w:hideMark/>
          </w:tcPr>
          <w:p w14:paraId="27CD5577"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25 882 500</w:t>
            </w:r>
          </w:p>
        </w:tc>
      </w:tr>
      <w:tr w:rsidR="009D3945" w:rsidRPr="009D3945" w14:paraId="72118EBA"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5BD78FF"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1.1.prioritāte</w:t>
            </w:r>
          </w:p>
        </w:tc>
        <w:tc>
          <w:tcPr>
            <w:tcW w:w="1340" w:type="dxa"/>
            <w:tcBorders>
              <w:top w:val="nil"/>
              <w:left w:val="nil"/>
              <w:bottom w:val="single" w:sz="4" w:space="0" w:color="auto"/>
              <w:right w:val="single" w:sz="4" w:space="0" w:color="auto"/>
            </w:tcBorders>
            <w:shd w:val="clear" w:color="auto" w:fill="auto"/>
            <w:vAlign w:val="center"/>
            <w:hideMark/>
          </w:tcPr>
          <w:p w14:paraId="10D7A70E"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3C308473"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2C560ABE"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08</w:t>
            </w:r>
          </w:p>
        </w:tc>
        <w:tc>
          <w:tcPr>
            <w:tcW w:w="1420" w:type="dxa"/>
            <w:tcBorders>
              <w:top w:val="nil"/>
              <w:left w:val="nil"/>
              <w:bottom w:val="single" w:sz="4" w:space="0" w:color="auto"/>
              <w:right w:val="single" w:sz="4" w:space="0" w:color="auto"/>
            </w:tcBorders>
            <w:shd w:val="clear" w:color="auto" w:fill="auto"/>
            <w:vAlign w:val="center"/>
            <w:hideMark/>
          </w:tcPr>
          <w:p w14:paraId="637DF449"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34 756 500</w:t>
            </w:r>
          </w:p>
        </w:tc>
      </w:tr>
      <w:tr w:rsidR="009D3945" w:rsidRPr="009D3945" w14:paraId="424593F4"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69D593A"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1.1.prioritāte</w:t>
            </w:r>
          </w:p>
        </w:tc>
        <w:tc>
          <w:tcPr>
            <w:tcW w:w="1340" w:type="dxa"/>
            <w:tcBorders>
              <w:top w:val="nil"/>
              <w:left w:val="nil"/>
              <w:bottom w:val="single" w:sz="4" w:space="0" w:color="auto"/>
              <w:right w:val="single" w:sz="4" w:space="0" w:color="auto"/>
            </w:tcBorders>
            <w:shd w:val="clear" w:color="auto" w:fill="auto"/>
            <w:vAlign w:val="center"/>
            <w:hideMark/>
          </w:tcPr>
          <w:p w14:paraId="7D74D005"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055D5ABD"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696EAF24"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8bis</w:t>
            </w:r>
          </w:p>
        </w:tc>
        <w:tc>
          <w:tcPr>
            <w:tcW w:w="1420" w:type="dxa"/>
            <w:tcBorders>
              <w:top w:val="nil"/>
              <w:left w:val="nil"/>
              <w:bottom w:val="single" w:sz="4" w:space="0" w:color="auto"/>
              <w:right w:val="single" w:sz="4" w:space="0" w:color="auto"/>
            </w:tcBorders>
            <w:shd w:val="clear" w:color="auto" w:fill="auto"/>
            <w:vAlign w:val="center"/>
            <w:hideMark/>
          </w:tcPr>
          <w:p w14:paraId="3BD0547A"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34 756 500</w:t>
            </w:r>
          </w:p>
        </w:tc>
      </w:tr>
      <w:tr w:rsidR="009D3945" w:rsidRPr="009D3945" w14:paraId="22107FB5"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249C3FF"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1.1.prioritāte</w:t>
            </w:r>
          </w:p>
        </w:tc>
        <w:tc>
          <w:tcPr>
            <w:tcW w:w="1340" w:type="dxa"/>
            <w:tcBorders>
              <w:top w:val="nil"/>
              <w:left w:val="nil"/>
              <w:bottom w:val="single" w:sz="4" w:space="0" w:color="auto"/>
              <w:right w:val="single" w:sz="4" w:space="0" w:color="auto"/>
            </w:tcBorders>
            <w:shd w:val="clear" w:color="auto" w:fill="auto"/>
            <w:vAlign w:val="center"/>
            <w:hideMark/>
          </w:tcPr>
          <w:p w14:paraId="62F0C4A2"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49B46121"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27FF1D82"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09</w:t>
            </w:r>
          </w:p>
        </w:tc>
        <w:tc>
          <w:tcPr>
            <w:tcW w:w="1420" w:type="dxa"/>
            <w:tcBorders>
              <w:top w:val="nil"/>
              <w:left w:val="nil"/>
              <w:bottom w:val="single" w:sz="4" w:space="0" w:color="auto"/>
              <w:right w:val="single" w:sz="4" w:space="0" w:color="auto"/>
            </w:tcBorders>
            <w:shd w:val="clear" w:color="auto" w:fill="auto"/>
            <w:vAlign w:val="center"/>
            <w:hideMark/>
          </w:tcPr>
          <w:p w14:paraId="24AD2927"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59 153 625</w:t>
            </w:r>
          </w:p>
        </w:tc>
      </w:tr>
      <w:tr w:rsidR="009D3945" w:rsidRPr="009D3945" w14:paraId="371CBEE1"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E000D1E"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1.1.prioritāte</w:t>
            </w:r>
          </w:p>
        </w:tc>
        <w:tc>
          <w:tcPr>
            <w:tcW w:w="1340" w:type="dxa"/>
            <w:tcBorders>
              <w:top w:val="nil"/>
              <w:left w:val="nil"/>
              <w:bottom w:val="single" w:sz="4" w:space="0" w:color="auto"/>
              <w:right w:val="single" w:sz="4" w:space="0" w:color="auto"/>
            </w:tcBorders>
            <w:shd w:val="clear" w:color="auto" w:fill="auto"/>
            <w:vAlign w:val="center"/>
            <w:hideMark/>
          </w:tcPr>
          <w:p w14:paraId="13042F99"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22A2CDD6"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5ABF48A2"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11</w:t>
            </w:r>
          </w:p>
        </w:tc>
        <w:tc>
          <w:tcPr>
            <w:tcW w:w="1420" w:type="dxa"/>
            <w:tcBorders>
              <w:top w:val="nil"/>
              <w:left w:val="nil"/>
              <w:bottom w:val="single" w:sz="4" w:space="0" w:color="auto"/>
              <w:right w:val="single" w:sz="4" w:space="0" w:color="auto"/>
            </w:tcBorders>
            <w:shd w:val="clear" w:color="auto" w:fill="auto"/>
            <w:vAlign w:val="center"/>
            <w:hideMark/>
          </w:tcPr>
          <w:p w14:paraId="2AEF3DA5"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2 530 384</w:t>
            </w:r>
          </w:p>
        </w:tc>
      </w:tr>
      <w:tr w:rsidR="009D3945" w:rsidRPr="009D3945" w14:paraId="5F444BA9"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4D392B4"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1.1.prioritāte</w:t>
            </w:r>
          </w:p>
        </w:tc>
        <w:tc>
          <w:tcPr>
            <w:tcW w:w="1340" w:type="dxa"/>
            <w:tcBorders>
              <w:top w:val="nil"/>
              <w:left w:val="nil"/>
              <w:bottom w:val="single" w:sz="4" w:space="0" w:color="auto"/>
              <w:right w:val="single" w:sz="4" w:space="0" w:color="auto"/>
            </w:tcBorders>
            <w:shd w:val="clear" w:color="auto" w:fill="auto"/>
            <w:vAlign w:val="center"/>
            <w:hideMark/>
          </w:tcPr>
          <w:p w14:paraId="23B002D8"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3269F12F"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25567450"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16</w:t>
            </w:r>
          </w:p>
        </w:tc>
        <w:tc>
          <w:tcPr>
            <w:tcW w:w="1420" w:type="dxa"/>
            <w:tcBorders>
              <w:top w:val="nil"/>
              <w:left w:val="nil"/>
              <w:bottom w:val="single" w:sz="4" w:space="0" w:color="auto"/>
              <w:right w:val="single" w:sz="4" w:space="0" w:color="auto"/>
            </w:tcBorders>
            <w:shd w:val="clear" w:color="auto" w:fill="auto"/>
            <w:vAlign w:val="center"/>
            <w:hideMark/>
          </w:tcPr>
          <w:p w14:paraId="5130FC1A"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24 715 384</w:t>
            </w:r>
          </w:p>
        </w:tc>
      </w:tr>
      <w:tr w:rsidR="009D3945" w:rsidRPr="009D3945" w14:paraId="08418389"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A176C02"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1.1.prioritāte</w:t>
            </w:r>
          </w:p>
        </w:tc>
        <w:tc>
          <w:tcPr>
            <w:tcW w:w="1340" w:type="dxa"/>
            <w:tcBorders>
              <w:top w:val="nil"/>
              <w:left w:val="nil"/>
              <w:bottom w:val="single" w:sz="4" w:space="0" w:color="auto"/>
              <w:right w:val="single" w:sz="4" w:space="0" w:color="auto"/>
            </w:tcBorders>
            <w:shd w:val="clear" w:color="auto" w:fill="auto"/>
            <w:vAlign w:val="center"/>
            <w:hideMark/>
          </w:tcPr>
          <w:p w14:paraId="4F976BDB"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7F11964F"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60C04829"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21</w:t>
            </w:r>
          </w:p>
        </w:tc>
        <w:tc>
          <w:tcPr>
            <w:tcW w:w="1420" w:type="dxa"/>
            <w:tcBorders>
              <w:top w:val="nil"/>
              <w:left w:val="nil"/>
              <w:bottom w:val="single" w:sz="4" w:space="0" w:color="auto"/>
              <w:right w:val="single" w:sz="4" w:space="0" w:color="auto"/>
            </w:tcBorders>
            <w:shd w:val="clear" w:color="auto" w:fill="auto"/>
            <w:vAlign w:val="center"/>
            <w:hideMark/>
          </w:tcPr>
          <w:p w14:paraId="6C1F4FB3"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19 532 509</w:t>
            </w:r>
          </w:p>
        </w:tc>
      </w:tr>
      <w:tr w:rsidR="009D3945" w:rsidRPr="009D3945" w14:paraId="4069245F"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45FDBD6"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1.1.prioritāte</w:t>
            </w:r>
          </w:p>
        </w:tc>
        <w:tc>
          <w:tcPr>
            <w:tcW w:w="1340" w:type="dxa"/>
            <w:tcBorders>
              <w:top w:val="nil"/>
              <w:left w:val="nil"/>
              <w:bottom w:val="single" w:sz="4" w:space="0" w:color="auto"/>
              <w:right w:val="single" w:sz="4" w:space="0" w:color="auto"/>
            </w:tcBorders>
            <w:shd w:val="clear" w:color="auto" w:fill="auto"/>
            <w:vAlign w:val="center"/>
            <w:hideMark/>
          </w:tcPr>
          <w:p w14:paraId="7C817C00"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0E7F1559"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3C62A8DC"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23</w:t>
            </w:r>
          </w:p>
        </w:tc>
        <w:tc>
          <w:tcPr>
            <w:tcW w:w="1420" w:type="dxa"/>
            <w:tcBorders>
              <w:top w:val="nil"/>
              <w:left w:val="nil"/>
              <w:bottom w:val="single" w:sz="4" w:space="0" w:color="auto"/>
              <w:right w:val="single" w:sz="4" w:space="0" w:color="auto"/>
            </w:tcBorders>
            <w:shd w:val="clear" w:color="auto" w:fill="auto"/>
            <w:vAlign w:val="center"/>
            <w:hideMark/>
          </w:tcPr>
          <w:p w14:paraId="5FB1BB3E"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2 530 384</w:t>
            </w:r>
          </w:p>
        </w:tc>
      </w:tr>
      <w:tr w:rsidR="009D3945" w:rsidRPr="009D3945" w14:paraId="0E7BA05D"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1CA52B1A"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1.2.prioritāte</w:t>
            </w:r>
          </w:p>
        </w:tc>
        <w:tc>
          <w:tcPr>
            <w:tcW w:w="1340" w:type="dxa"/>
            <w:tcBorders>
              <w:top w:val="nil"/>
              <w:left w:val="nil"/>
              <w:bottom w:val="single" w:sz="4" w:space="0" w:color="auto"/>
              <w:right w:val="single" w:sz="4" w:space="0" w:color="auto"/>
            </w:tcBorders>
            <w:shd w:val="clear" w:color="auto" w:fill="auto"/>
            <w:vAlign w:val="center"/>
            <w:hideMark/>
          </w:tcPr>
          <w:p w14:paraId="07734F14"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6DAD6271"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000000" w:fill="FFFFFF"/>
            <w:vAlign w:val="center"/>
            <w:hideMark/>
          </w:tcPr>
          <w:p w14:paraId="2FA68163"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07</w:t>
            </w:r>
          </w:p>
        </w:tc>
        <w:tc>
          <w:tcPr>
            <w:tcW w:w="1420" w:type="dxa"/>
            <w:tcBorders>
              <w:top w:val="nil"/>
              <w:left w:val="nil"/>
              <w:bottom w:val="single" w:sz="4" w:space="0" w:color="auto"/>
              <w:right w:val="single" w:sz="4" w:space="0" w:color="auto"/>
            </w:tcBorders>
            <w:shd w:val="clear" w:color="000000" w:fill="FFFFFF"/>
            <w:vAlign w:val="center"/>
            <w:hideMark/>
          </w:tcPr>
          <w:p w14:paraId="248E9F22"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3 666 333</w:t>
            </w:r>
          </w:p>
        </w:tc>
      </w:tr>
      <w:tr w:rsidR="009D3945" w:rsidRPr="009D3945" w14:paraId="2C130136"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37C3CE6D"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1.2.prioritāte</w:t>
            </w:r>
          </w:p>
        </w:tc>
        <w:tc>
          <w:tcPr>
            <w:tcW w:w="1340" w:type="dxa"/>
            <w:tcBorders>
              <w:top w:val="nil"/>
              <w:left w:val="nil"/>
              <w:bottom w:val="single" w:sz="4" w:space="0" w:color="auto"/>
              <w:right w:val="single" w:sz="4" w:space="0" w:color="auto"/>
            </w:tcBorders>
            <w:shd w:val="clear" w:color="auto" w:fill="auto"/>
            <w:vAlign w:val="center"/>
            <w:hideMark/>
          </w:tcPr>
          <w:p w14:paraId="6DD2FFBD"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52A9F530"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000000" w:fill="FFFFFF"/>
            <w:vAlign w:val="center"/>
            <w:hideMark/>
          </w:tcPr>
          <w:p w14:paraId="5D301245"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08</w:t>
            </w:r>
          </w:p>
        </w:tc>
        <w:tc>
          <w:tcPr>
            <w:tcW w:w="1420" w:type="dxa"/>
            <w:tcBorders>
              <w:top w:val="nil"/>
              <w:left w:val="nil"/>
              <w:bottom w:val="single" w:sz="4" w:space="0" w:color="auto"/>
              <w:right w:val="single" w:sz="4" w:space="0" w:color="auto"/>
            </w:tcBorders>
            <w:shd w:val="clear" w:color="000000" w:fill="FFFFFF"/>
            <w:vAlign w:val="center"/>
            <w:hideMark/>
          </w:tcPr>
          <w:p w14:paraId="7B98B2DF"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90 982 108</w:t>
            </w:r>
          </w:p>
        </w:tc>
      </w:tr>
      <w:tr w:rsidR="009D3945" w:rsidRPr="009D3945" w14:paraId="0CC18878"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7022332E"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1.2.prioritāte</w:t>
            </w:r>
          </w:p>
        </w:tc>
        <w:tc>
          <w:tcPr>
            <w:tcW w:w="1340" w:type="dxa"/>
            <w:tcBorders>
              <w:top w:val="nil"/>
              <w:left w:val="nil"/>
              <w:bottom w:val="single" w:sz="4" w:space="0" w:color="auto"/>
              <w:right w:val="single" w:sz="4" w:space="0" w:color="auto"/>
            </w:tcBorders>
            <w:shd w:val="clear" w:color="auto" w:fill="auto"/>
            <w:vAlign w:val="center"/>
            <w:hideMark/>
          </w:tcPr>
          <w:p w14:paraId="6B125F40"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3ADCF7B0"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000000" w:fill="FFFFFF"/>
            <w:vAlign w:val="center"/>
            <w:hideMark/>
          </w:tcPr>
          <w:p w14:paraId="4A16E1E5"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8bis</w:t>
            </w:r>
          </w:p>
        </w:tc>
        <w:tc>
          <w:tcPr>
            <w:tcW w:w="1420" w:type="dxa"/>
            <w:tcBorders>
              <w:top w:val="nil"/>
              <w:left w:val="nil"/>
              <w:bottom w:val="single" w:sz="4" w:space="0" w:color="auto"/>
              <w:right w:val="single" w:sz="4" w:space="0" w:color="auto"/>
            </w:tcBorders>
            <w:shd w:val="clear" w:color="000000" w:fill="FFFFFF"/>
            <w:vAlign w:val="center"/>
            <w:hideMark/>
          </w:tcPr>
          <w:p w14:paraId="6ABA6BAC"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15 581 917</w:t>
            </w:r>
          </w:p>
        </w:tc>
      </w:tr>
      <w:tr w:rsidR="009D3945" w:rsidRPr="009D3945" w14:paraId="5CB37C33"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779D150B"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1.2.prioritāte</w:t>
            </w:r>
          </w:p>
        </w:tc>
        <w:tc>
          <w:tcPr>
            <w:tcW w:w="1340" w:type="dxa"/>
            <w:tcBorders>
              <w:top w:val="nil"/>
              <w:left w:val="nil"/>
              <w:bottom w:val="single" w:sz="4" w:space="0" w:color="auto"/>
              <w:right w:val="single" w:sz="4" w:space="0" w:color="auto"/>
            </w:tcBorders>
            <w:shd w:val="clear" w:color="auto" w:fill="auto"/>
            <w:vAlign w:val="center"/>
            <w:hideMark/>
          </w:tcPr>
          <w:p w14:paraId="603D42B3"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2934C909"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000000" w:fill="FFFFFF"/>
            <w:vAlign w:val="center"/>
            <w:hideMark/>
          </w:tcPr>
          <w:p w14:paraId="69112958"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10</w:t>
            </w:r>
          </w:p>
        </w:tc>
        <w:tc>
          <w:tcPr>
            <w:tcW w:w="1420" w:type="dxa"/>
            <w:tcBorders>
              <w:top w:val="nil"/>
              <w:left w:val="nil"/>
              <w:bottom w:val="single" w:sz="4" w:space="0" w:color="auto"/>
              <w:right w:val="single" w:sz="4" w:space="0" w:color="auto"/>
            </w:tcBorders>
            <w:shd w:val="clear" w:color="000000" w:fill="FFFFFF"/>
            <w:vAlign w:val="center"/>
            <w:hideMark/>
          </w:tcPr>
          <w:p w14:paraId="177ACA66"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27 102 480</w:t>
            </w:r>
          </w:p>
        </w:tc>
      </w:tr>
      <w:tr w:rsidR="009D3945" w:rsidRPr="009D3945" w14:paraId="7DB33B7A"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CB0A5DD"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1.2.prioritāte</w:t>
            </w:r>
          </w:p>
        </w:tc>
        <w:tc>
          <w:tcPr>
            <w:tcW w:w="1340" w:type="dxa"/>
            <w:tcBorders>
              <w:top w:val="nil"/>
              <w:left w:val="nil"/>
              <w:bottom w:val="single" w:sz="4" w:space="0" w:color="auto"/>
              <w:right w:val="single" w:sz="4" w:space="0" w:color="auto"/>
            </w:tcBorders>
            <w:shd w:val="clear" w:color="auto" w:fill="auto"/>
            <w:vAlign w:val="center"/>
            <w:hideMark/>
          </w:tcPr>
          <w:p w14:paraId="4FD7FA5B"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2BAC64A1"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000000" w:fill="FFFFFF"/>
            <w:vAlign w:val="center"/>
            <w:hideMark/>
          </w:tcPr>
          <w:p w14:paraId="0F9D39BA"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10bis</w:t>
            </w:r>
          </w:p>
        </w:tc>
        <w:tc>
          <w:tcPr>
            <w:tcW w:w="1420" w:type="dxa"/>
            <w:tcBorders>
              <w:top w:val="nil"/>
              <w:left w:val="nil"/>
              <w:bottom w:val="single" w:sz="4" w:space="0" w:color="auto"/>
              <w:right w:val="single" w:sz="4" w:space="0" w:color="auto"/>
            </w:tcBorders>
            <w:shd w:val="clear" w:color="000000" w:fill="FFFFFF"/>
            <w:vAlign w:val="center"/>
            <w:hideMark/>
          </w:tcPr>
          <w:p w14:paraId="5A3350E5"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7 395 000</w:t>
            </w:r>
          </w:p>
        </w:tc>
      </w:tr>
      <w:tr w:rsidR="009D3945" w:rsidRPr="009D3945" w14:paraId="757FF47D"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FFDB2CD"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1.2.prioritāte</w:t>
            </w:r>
          </w:p>
        </w:tc>
        <w:tc>
          <w:tcPr>
            <w:tcW w:w="1340" w:type="dxa"/>
            <w:tcBorders>
              <w:top w:val="nil"/>
              <w:left w:val="nil"/>
              <w:bottom w:val="single" w:sz="4" w:space="0" w:color="auto"/>
              <w:right w:val="single" w:sz="4" w:space="0" w:color="auto"/>
            </w:tcBorders>
            <w:shd w:val="clear" w:color="auto" w:fill="auto"/>
            <w:vAlign w:val="center"/>
            <w:hideMark/>
          </w:tcPr>
          <w:p w14:paraId="22C14980"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6C2D83F8"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000000" w:fill="FFFFFF"/>
            <w:vAlign w:val="center"/>
            <w:hideMark/>
          </w:tcPr>
          <w:p w14:paraId="292CC472"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11</w:t>
            </w:r>
          </w:p>
        </w:tc>
        <w:tc>
          <w:tcPr>
            <w:tcW w:w="1420" w:type="dxa"/>
            <w:tcBorders>
              <w:top w:val="nil"/>
              <w:left w:val="nil"/>
              <w:bottom w:val="single" w:sz="4" w:space="0" w:color="auto"/>
              <w:right w:val="single" w:sz="4" w:space="0" w:color="auto"/>
            </w:tcBorders>
            <w:shd w:val="clear" w:color="000000" w:fill="FFFFFF"/>
            <w:vAlign w:val="center"/>
            <w:hideMark/>
          </w:tcPr>
          <w:p w14:paraId="7FF1ACD2"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1 848 750</w:t>
            </w:r>
          </w:p>
        </w:tc>
      </w:tr>
      <w:tr w:rsidR="009D3945" w:rsidRPr="009D3945" w14:paraId="1F3C2B1A"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8D35785"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1.2.prioritāte</w:t>
            </w:r>
          </w:p>
        </w:tc>
        <w:tc>
          <w:tcPr>
            <w:tcW w:w="1340" w:type="dxa"/>
            <w:tcBorders>
              <w:top w:val="nil"/>
              <w:left w:val="nil"/>
              <w:bottom w:val="single" w:sz="4" w:space="0" w:color="auto"/>
              <w:right w:val="single" w:sz="4" w:space="0" w:color="auto"/>
            </w:tcBorders>
            <w:shd w:val="clear" w:color="auto" w:fill="auto"/>
            <w:vAlign w:val="center"/>
            <w:hideMark/>
          </w:tcPr>
          <w:p w14:paraId="6ED169BF"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72D2BBD2"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000000" w:fill="FFFFFF"/>
            <w:vAlign w:val="center"/>
            <w:hideMark/>
          </w:tcPr>
          <w:p w14:paraId="197C55D0"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12</w:t>
            </w:r>
          </w:p>
        </w:tc>
        <w:tc>
          <w:tcPr>
            <w:tcW w:w="1420" w:type="dxa"/>
            <w:tcBorders>
              <w:top w:val="nil"/>
              <w:left w:val="nil"/>
              <w:bottom w:val="single" w:sz="4" w:space="0" w:color="auto"/>
              <w:right w:val="single" w:sz="4" w:space="0" w:color="auto"/>
            </w:tcBorders>
            <w:shd w:val="clear" w:color="000000" w:fill="FFFFFF"/>
            <w:vAlign w:val="center"/>
            <w:hideMark/>
          </w:tcPr>
          <w:p w14:paraId="3505167B"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11 092 500</w:t>
            </w:r>
          </w:p>
        </w:tc>
      </w:tr>
      <w:tr w:rsidR="009D3945" w:rsidRPr="009D3945" w14:paraId="72D4B705"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24E43AF"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1.2.prioritāte</w:t>
            </w:r>
          </w:p>
        </w:tc>
        <w:tc>
          <w:tcPr>
            <w:tcW w:w="1340" w:type="dxa"/>
            <w:tcBorders>
              <w:top w:val="nil"/>
              <w:left w:val="nil"/>
              <w:bottom w:val="single" w:sz="4" w:space="0" w:color="auto"/>
              <w:right w:val="single" w:sz="4" w:space="0" w:color="auto"/>
            </w:tcBorders>
            <w:shd w:val="clear" w:color="auto" w:fill="auto"/>
            <w:vAlign w:val="center"/>
            <w:hideMark/>
          </w:tcPr>
          <w:p w14:paraId="6F877619"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3ACAA201"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000000" w:fill="FFFFFF"/>
            <w:vAlign w:val="center"/>
            <w:hideMark/>
          </w:tcPr>
          <w:p w14:paraId="0AB5E333"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15</w:t>
            </w:r>
          </w:p>
        </w:tc>
        <w:tc>
          <w:tcPr>
            <w:tcW w:w="1420" w:type="dxa"/>
            <w:tcBorders>
              <w:top w:val="nil"/>
              <w:left w:val="nil"/>
              <w:bottom w:val="single" w:sz="4" w:space="0" w:color="auto"/>
              <w:right w:val="single" w:sz="4" w:space="0" w:color="auto"/>
            </w:tcBorders>
            <w:shd w:val="clear" w:color="000000" w:fill="FFFFFF"/>
            <w:vAlign w:val="center"/>
            <w:hideMark/>
          </w:tcPr>
          <w:p w14:paraId="0282E696"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161 060 269</w:t>
            </w:r>
          </w:p>
        </w:tc>
      </w:tr>
      <w:tr w:rsidR="009D3945" w:rsidRPr="009D3945" w14:paraId="4EA974E6"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57E334D"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1.2.prioritāte</w:t>
            </w:r>
          </w:p>
        </w:tc>
        <w:tc>
          <w:tcPr>
            <w:tcW w:w="1340" w:type="dxa"/>
            <w:tcBorders>
              <w:top w:val="nil"/>
              <w:left w:val="nil"/>
              <w:bottom w:val="single" w:sz="4" w:space="0" w:color="auto"/>
              <w:right w:val="single" w:sz="4" w:space="0" w:color="auto"/>
            </w:tcBorders>
            <w:shd w:val="clear" w:color="auto" w:fill="auto"/>
            <w:vAlign w:val="center"/>
            <w:hideMark/>
          </w:tcPr>
          <w:p w14:paraId="358304E3"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7E5F523A"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000000" w:fill="FFFFFF"/>
            <w:vAlign w:val="center"/>
            <w:hideMark/>
          </w:tcPr>
          <w:p w14:paraId="29E26C24"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16</w:t>
            </w:r>
          </w:p>
        </w:tc>
        <w:tc>
          <w:tcPr>
            <w:tcW w:w="1420" w:type="dxa"/>
            <w:tcBorders>
              <w:top w:val="nil"/>
              <w:left w:val="nil"/>
              <w:bottom w:val="single" w:sz="4" w:space="0" w:color="auto"/>
              <w:right w:val="single" w:sz="4" w:space="0" w:color="auto"/>
            </w:tcBorders>
            <w:shd w:val="clear" w:color="000000" w:fill="FFFFFF"/>
            <w:vAlign w:val="center"/>
            <w:hideMark/>
          </w:tcPr>
          <w:p w14:paraId="415756CB"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1 848 750</w:t>
            </w:r>
          </w:p>
        </w:tc>
      </w:tr>
      <w:tr w:rsidR="009D3945" w:rsidRPr="009D3945" w14:paraId="7672DDC7"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5F67C83"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1.2.prioritāte</w:t>
            </w:r>
          </w:p>
        </w:tc>
        <w:tc>
          <w:tcPr>
            <w:tcW w:w="1340" w:type="dxa"/>
            <w:tcBorders>
              <w:top w:val="nil"/>
              <w:left w:val="nil"/>
              <w:bottom w:val="single" w:sz="4" w:space="0" w:color="auto"/>
              <w:right w:val="single" w:sz="4" w:space="0" w:color="auto"/>
            </w:tcBorders>
            <w:shd w:val="clear" w:color="auto" w:fill="auto"/>
            <w:vAlign w:val="center"/>
            <w:hideMark/>
          </w:tcPr>
          <w:p w14:paraId="6C138913"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447E95CA"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000000" w:fill="FFFFFF"/>
            <w:vAlign w:val="center"/>
            <w:hideMark/>
          </w:tcPr>
          <w:p w14:paraId="474531D6"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17</w:t>
            </w:r>
          </w:p>
        </w:tc>
        <w:tc>
          <w:tcPr>
            <w:tcW w:w="1420" w:type="dxa"/>
            <w:tcBorders>
              <w:top w:val="nil"/>
              <w:left w:val="nil"/>
              <w:bottom w:val="single" w:sz="4" w:space="0" w:color="auto"/>
              <w:right w:val="single" w:sz="4" w:space="0" w:color="auto"/>
            </w:tcBorders>
            <w:shd w:val="clear" w:color="000000" w:fill="FFFFFF"/>
            <w:vAlign w:val="center"/>
            <w:hideMark/>
          </w:tcPr>
          <w:p w14:paraId="3E55A39F"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7 844 286</w:t>
            </w:r>
          </w:p>
        </w:tc>
      </w:tr>
      <w:tr w:rsidR="009D3945" w:rsidRPr="009D3945" w14:paraId="16BC3EF2"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FB32563"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1.2.prioritāte</w:t>
            </w:r>
          </w:p>
        </w:tc>
        <w:tc>
          <w:tcPr>
            <w:tcW w:w="1340" w:type="dxa"/>
            <w:tcBorders>
              <w:top w:val="nil"/>
              <w:left w:val="nil"/>
              <w:bottom w:val="single" w:sz="4" w:space="0" w:color="auto"/>
              <w:right w:val="single" w:sz="4" w:space="0" w:color="auto"/>
            </w:tcBorders>
            <w:shd w:val="clear" w:color="auto" w:fill="auto"/>
            <w:vAlign w:val="center"/>
            <w:hideMark/>
          </w:tcPr>
          <w:p w14:paraId="06AE17D1"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5FD46006"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000000" w:fill="FFFFFF"/>
            <w:vAlign w:val="center"/>
            <w:hideMark/>
          </w:tcPr>
          <w:p w14:paraId="7174C1BC"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18</w:t>
            </w:r>
          </w:p>
        </w:tc>
        <w:tc>
          <w:tcPr>
            <w:tcW w:w="1420" w:type="dxa"/>
            <w:tcBorders>
              <w:top w:val="nil"/>
              <w:left w:val="nil"/>
              <w:bottom w:val="single" w:sz="4" w:space="0" w:color="auto"/>
              <w:right w:val="single" w:sz="4" w:space="0" w:color="auto"/>
            </w:tcBorders>
            <w:shd w:val="clear" w:color="000000" w:fill="FFFFFF"/>
            <w:vAlign w:val="center"/>
            <w:hideMark/>
          </w:tcPr>
          <w:p w14:paraId="590B0499"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37 260 357</w:t>
            </w:r>
          </w:p>
        </w:tc>
      </w:tr>
      <w:tr w:rsidR="009D3945" w:rsidRPr="009D3945" w14:paraId="7424F46E"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EC789D4"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1.2.prioritāte</w:t>
            </w:r>
          </w:p>
        </w:tc>
        <w:tc>
          <w:tcPr>
            <w:tcW w:w="1340" w:type="dxa"/>
            <w:tcBorders>
              <w:top w:val="nil"/>
              <w:left w:val="nil"/>
              <w:bottom w:val="single" w:sz="4" w:space="0" w:color="auto"/>
              <w:right w:val="single" w:sz="4" w:space="0" w:color="auto"/>
            </w:tcBorders>
            <w:shd w:val="clear" w:color="auto" w:fill="auto"/>
            <w:vAlign w:val="center"/>
            <w:hideMark/>
          </w:tcPr>
          <w:p w14:paraId="57FF6188"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7B4D7E3C"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000000" w:fill="FFFFFF"/>
            <w:vAlign w:val="center"/>
            <w:hideMark/>
          </w:tcPr>
          <w:p w14:paraId="66F0D036"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108</w:t>
            </w:r>
          </w:p>
        </w:tc>
        <w:tc>
          <w:tcPr>
            <w:tcW w:w="1420" w:type="dxa"/>
            <w:tcBorders>
              <w:top w:val="nil"/>
              <w:left w:val="nil"/>
              <w:bottom w:val="single" w:sz="4" w:space="0" w:color="auto"/>
              <w:right w:val="single" w:sz="4" w:space="0" w:color="auto"/>
            </w:tcBorders>
            <w:shd w:val="clear" w:color="000000" w:fill="FFFFFF"/>
            <w:vAlign w:val="center"/>
            <w:hideMark/>
          </w:tcPr>
          <w:p w14:paraId="5C6D9CCB"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3 697 500</w:t>
            </w:r>
          </w:p>
        </w:tc>
      </w:tr>
      <w:tr w:rsidR="009D3945" w:rsidRPr="009D3945" w14:paraId="3CD8F3CA"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8C21440"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1.3.prioritāte</w:t>
            </w:r>
          </w:p>
        </w:tc>
        <w:tc>
          <w:tcPr>
            <w:tcW w:w="1340" w:type="dxa"/>
            <w:tcBorders>
              <w:top w:val="nil"/>
              <w:left w:val="nil"/>
              <w:bottom w:val="single" w:sz="4" w:space="0" w:color="auto"/>
              <w:right w:val="single" w:sz="4" w:space="0" w:color="auto"/>
            </w:tcBorders>
            <w:shd w:val="clear" w:color="auto" w:fill="auto"/>
            <w:vAlign w:val="center"/>
            <w:hideMark/>
          </w:tcPr>
          <w:p w14:paraId="588FB17E"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1B990B3D"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000000" w:fill="FFFFFF"/>
            <w:vAlign w:val="center"/>
            <w:hideMark/>
          </w:tcPr>
          <w:p w14:paraId="5950DC2E"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10</w:t>
            </w:r>
          </w:p>
        </w:tc>
        <w:tc>
          <w:tcPr>
            <w:tcW w:w="1420" w:type="dxa"/>
            <w:tcBorders>
              <w:top w:val="nil"/>
              <w:left w:val="nil"/>
              <w:bottom w:val="single" w:sz="4" w:space="0" w:color="auto"/>
              <w:right w:val="single" w:sz="4" w:space="0" w:color="auto"/>
            </w:tcBorders>
            <w:shd w:val="clear" w:color="000000" w:fill="FFFFFF"/>
            <w:vAlign w:val="center"/>
            <w:hideMark/>
          </w:tcPr>
          <w:p w14:paraId="57BB05C3"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845 143</w:t>
            </w:r>
          </w:p>
        </w:tc>
      </w:tr>
      <w:tr w:rsidR="009D3945" w:rsidRPr="009D3945" w14:paraId="0527C727"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A0D6013"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1.3.prioritāte</w:t>
            </w:r>
          </w:p>
        </w:tc>
        <w:tc>
          <w:tcPr>
            <w:tcW w:w="1340" w:type="dxa"/>
            <w:tcBorders>
              <w:top w:val="nil"/>
              <w:left w:val="nil"/>
              <w:bottom w:val="single" w:sz="4" w:space="0" w:color="auto"/>
              <w:right w:val="single" w:sz="4" w:space="0" w:color="auto"/>
            </w:tcBorders>
            <w:shd w:val="clear" w:color="auto" w:fill="auto"/>
            <w:vAlign w:val="center"/>
            <w:hideMark/>
          </w:tcPr>
          <w:p w14:paraId="1E2BB4FC"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0DCAF999"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000000" w:fill="FFFFFF"/>
            <w:vAlign w:val="center"/>
            <w:hideMark/>
          </w:tcPr>
          <w:p w14:paraId="3ED61216"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11</w:t>
            </w:r>
          </w:p>
        </w:tc>
        <w:tc>
          <w:tcPr>
            <w:tcW w:w="1420" w:type="dxa"/>
            <w:tcBorders>
              <w:top w:val="nil"/>
              <w:left w:val="nil"/>
              <w:bottom w:val="single" w:sz="4" w:space="0" w:color="auto"/>
              <w:right w:val="single" w:sz="4" w:space="0" w:color="auto"/>
            </w:tcBorders>
            <w:shd w:val="clear" w:color="000000" w:fill="FFFFFF"/>
            <w:vAlign w:val="center"/>
            <w:hideMark/>
          </w:tcPr>
          <w:p w14:paraId="25D20573"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143 928 135</w:t>
            </w:r>
          </w:p>
        </w:tc>
      </w:tr>
      <w:tr w:rsidR="009D3945" w:rsidRPr="009D3945" w14:paraId="0DAEE668"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20FC363"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1.3.prioritāte</w:t>
            </w:r>
          </w:p>
        </w:tc>
        <w:tc>
          <w:tcPr>
            <w:tcW w:w="1340" w:type="dxa"/>
            <w:tcBorders>
              <w:top w:val="nil"/>
              <w:left w:val="nil"/>
              <w:bottom w:val="single" w:sz="4" w:space="0" w:color="auto"/>
              <w:right w:val="single" w:sz="4" w:space="0" w:color="auto"/>
            </w:tcBorders>
            <w:shd w:val="clear" w:color="auto" w:fill="auto"/>
            <w:vAlign w:val="center"/>
            <w:hideMark/>
          </w:tcPr>
          <w:p w14:paraId="11C78ADA"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2F269787"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000000" w:fill="FFFFFF"/>
            <w:vAlign w:val="center"/>
            <w:hideMark/>
          </w:tcPr>
          <w:p w14:paraId="768FD0B5"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12</w:t>
            </w:r>
          </w:p>
        </w:tc>
        <w:tc>
          <w:tcPr>
            <w:tcW w:w="1420" w:type="dxa"/>
            <w:tcBorders>
              <w:top w:val="nil"/>
              <w:left w:val="nil"/>
              <w:bottom w:val="single" w:sz="4" w:space="0" w:color="auto"/>
              <w:right w:val="single" w:sz="4" w:space="0" w:color="auto"/>
            </w:tcBorders>
            <w:shd w:val="clear" w:color="000000" w:fill="FFFFFF"/>
            <w:vAlign w:val="center"/>
            <w:hideMark/>
          </w:tcPr>
          <w:p w14:paraId="6223ACF4"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7 249 213</w:t>
            </w:r>
          </w:p>
        </w:tc>
      </w:tr>
      <w:tr w:rsidR="009D3945" w:rsidRPr="009D3945" w14:paraId="7466315A"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9C9EE7D"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1.4.prioritāte</w:t>
            </w:r>
          </w:p>
        </w:tc>
        <w:tc>
          <w:tcPr>
            <w:tcW w:w="1340" w:type="dxa"/>
            <w:tcBorders>
              <w:top w:val="nil"/>
              <w:left w:val="nil"/>
              <w:bottom w:val="single" w:sz="4" w:space="0" w:color="auto"/>
              <w:right w:val="single" w:sz="4" w:space="0" w:color="auto"/>
            </w:tcBorders>
            <w:shd w:val="clear" w:color="auto" w:fill="auto"/>
            <w:vAlign w:val="center"/>
            <w:hideMark/>
          </w:tcPr>
          <w:p w14:paraId="22CEE88F"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76BC83CC"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000000" w:fill="FFFFFF"/>
            <w:vAlign w:val="center"/>
            <w:hideMark/>
          </w:tcPr>
          <w:p w14:paraId="39191EBF"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51</w:t>
            </w:r>
          </w:p>
        </w:tc>
        <w:tc>
          <w:tcPr>
            <w:tcW w:w="1420" w:type="dxa"/>
            <w:tcBorders>
              <w:top w:val="nil"/>
              <w:left w:val="nil"/>
              <w:bottom w:val="single" w:sz="4" w:space="0" w:color="auto"/>
              <w:right w:val="single" w:sz="4" w:space="0" w:color="auto"/>
            </w:tcBorders>
            <w:shd w:val="clear" w:color="000000" w:fill="FFFFFF"/>
            <w:vAlign w:val="center"/>
            <w:hideMark/>
          </w:tcPr>
          <w:p w14:paraId="640379D8"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29 210 250</w:t>
            </w:r>
          </w:p>
        </w:tc>
      </w:tr>
      <w:tr w:rsidR="009D3945" w:rsidRPr="009D3945" w14:paraId="121BBFBD"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F803A64"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1.4.prioritāte</w:t>
            </w:r>
          </w:p>
        </w:tc>
        <w:tc>
          <w:tcPr>
            <w:tcW w:w="1340" w:type="dxa"/>
            <w:tcBorders>
              <w:top w:val="nil"/>
              <w:left w:val="nil"/>
              <w:bottom w:val="single" w:sz="4" w:space="0" w:color="auto"/>
              <w:right w:val="single" w:sz="4" w:space="0" w:color="auto"/>
            </w:tcBorders>
            <w:shd w:val="clear" w:color="auto" w:fill="auto"/>
            <w:vAlign w:val="center"/>
            <w:hideMark/>
          </w:tcPr>
          <w:p w14:paraId="454CC8FF"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2DC7C118"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000000" w:fill="FFFFFF"/>
            <w:vAlign w:val="center"/>
            <w:hideMark/>
          </w:tcPr>
          <w:p w14:paraId="6347831E"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55</w:t>
            </w:r>
          </w:p>
        </w:tc>
        <w:tc>
          <w:tcPr>
            <w:tcW w:w="1420" w:type="dxa"/>
            <w:tcBorders>
              <w:top w:val="nil"/>
              <w:left w:val="nil"/>
              <w:bottom w:val="single" w:sz="4" w:space="0" w:color="auto"/>
              <w:right w:val="single" w:sz="4" w:space="0" w:color="auto"/>
            </w:tcBorders>
            <w:shd w:val="clear" w:color="000000" w:fill="FFFFFF"/>
            <w:vAlign w:val="center"/>
            <w:hideMark/>
          </w:tcPr>
          <w:p w14:paraId="03092D4E"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3 697 500</w:t>
            </w:r>
          </w:p>
        </w:tc>
      </w:tr>
      <w:tr w:rsidR="009D3945" w:rsidRPr="009D3945" w14:paraId="5F806EBF"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D976431"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43EB94ED"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3FBD1BDE"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54E2F055"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24</w:t>
            </w:r>
          </w:p>
        </w:tc>
        <w:tc>
          <w:tcPr>
            <w:tcW w:w="1420" w:type="dxa"/>
            <w:tcBorders>
              <w:top w:val="nil"/>
              <w:left w:val="nil"/>
              <w:bottom w:val="single" w:sz="4" w:space="0" w:color="auto"/>
              <w:right w:val="single" w:sz="4" w:space="0" w:color="auto"/>
            </w:tcBorders>
            <w:shd w:val="clear" w:color="auto" w:fill="auto"/>
            <w:vAlign w:val="center"/>
            <w:hideMark/>
          </w:tcPr>
          <w:p w14:paraId="050D04DE"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14 790 000</w:t>
            </w:r>
          </w:p>
        </w:tc>
      </w:tr>
      <w:tr w:rsidR="009D3945" w:rsidRPr="009D3945" w14:paraId="63357E7D"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D2574C5"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00FD8C2D"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19F74F53"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3FAAE6BD"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24bis</w:t>
            </w:r>
          </w:p>
        </w:tc>
        <w:tc>
          <w:tcPr>
            <w:tcW w:w="1420" w:type="dxa"/>
            <w:tcBorders>
              <w:top w:val="nil"/>
              <w:left w:val="nil"/>
              <w:bottom w:val="single" w:sz="4" w:space="0" w:color="auto"/>
              <w:right w:val="single" w:sz="4" w:space="0" w:color="auto"/>
            </w:tcBorders>
            <w:shd w:val="clear" w:color="auto" w:fill="auto"/>
            <w:vAlign w:val="center"/>
            <w:hideMark/>
          </w:tcPr>
          <w:p w14:paraId="596718F6"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14 790 000</w:t>
            </w:r>
          </w:p>
        </w:tc>
      </w:tr>
      <w:tr w:rsidR="009D3945" w:rsidRPr="009D3945" w14:paraId="62A17411"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16427B8C"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0F8A6030"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4A98B900"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5FFE0B3E"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25</w:t>
            </w:r>
          </w:p>
        </w:tc>
        <w:tc>
          <w:tcPr>
            <w:tcW w:w="1420" w:type="dxa"/>
            <w:tcBorders>
              <w:top w:val="nil"/>
              <w:left w:val="nil"/>
              <w:bottom w:val="single" w:sz="4" w:space="0" w:color="auto"/>
              <w:right w:val="single" w:sz="4" w:space="0" w:color="auto"/>
            </w:tcBorders>
            <w:shd w:val="clear" w:color="auto" w:fill="auto"/>
            <w:vAlign w:val="center"/>
            <w:hideMark/>
          </w:tcPr>
          <w:p w14:paraId="5D7813EE"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97 059 375</w:t>
            </w:r>
          </w:p>
        </w:tc>
      </w:tr>
      <w:tr w:rsidR="009D3945" w:rsidRPr="009D3945" w14:paraId="0AF4C5BB"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6EE8B83"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686B0A89"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6D8023D3"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67EB51BB"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26</w:t>
            </w:r>
          </w:p>
        </w:tc>
        <w:tc>
          <w:tcPr>
            <w:tcW w:w="1420" w:type="dxa"/>
            <w:tcBorders>
              <w:top w:val="nil"/>
              <w:left w:val="nil"/>
              <w:bottom w:val="single" w:sz="4" w:space="0" w:color="auto"/>
              <w:right w:val="single" w:sz="4" w:space="0" w:color="auto"/>
            </w:tcBorders>
            <w:shd w:val="clear" w:color="auto" w:fill="auto"/>
            <w:vAlign w:val="center"/>
            <w:hideMark/>
          </w:tcPr>
          <w:p w14:paraId="5041E4D6"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106 523 214</w:t>
            </w:r>
          </w:p>
        </w:tc>
      </w:tr>
      <w:tr w:rsidR="009D3945" w:rsidRPr="009D3945" w14:paraId="00491AB2"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B523E32"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4D28E4E5"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34E21237"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5FE18678"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32</w:t>
            </w:r>
          </w:p>
        </w:tc>
        <w:tc>
          <w:tcPr>
            <w:tcW w:w="1420" w:type="dxa"/>
            <w:tcBorders>
              <w:top w:val="nil"/>
              <w:left w:val="nil"/>
              <w:bottom w:val="single" w:sz="4" w:space="0" w:color="auto"/>
              <w:right w:val="single" w:sz="4" w:space="0" w:color="auto"/>
            </w:tcBorders>
            <w:shd w:val="clear" w:color="auto" w:fill="auto"/>
            <w:vAlign w:val="center"/>
            <w:hideMark/>
          </w:tcPr>
          <w:p w14:paraId="4DBDAAAA"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74 381 375</w:t>
            </w:r>
          </w:p>
        </w:tc>
      </w:tr>
      <w:tr w:rsidR="009D3945" w:rsidRPr="009D3945" w14:paraId="030F7DCA"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F91D777"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69039791"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49DA8BBE"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602FE3EB"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33</w:t>
            </w:r>
          </w:p>
        </w:tc>
        <w:tc>
          <w:tcPr>
            <w:tcW w:w="1420" w:type="dxa"/>
            <w:tcBorders>
              <w:top w:val="nil"/>
              <w:left w:val="nil"/>
              <w:bottom w:val="single" w:sz="4" w:space="0" w:color="auto"/>
              <w:right w:val="single" w:sz="4" w:space="0" w:color="auto"/>
            </w:tcBorders>
            <w:shd w:val="clear" w:color="auto" w:fill="auto"/>
            <w:vAlign w:val="center"/>
            <w:hideMark/>
          </w:tcPr>
          <w:p w14:paraId="5E7D2C0B"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32 784 500</w:t>
            </w:r>
          </w:p>
        </w:tc>
      </w:tr>
      <w:tr w:rsidR="009D3945" w:rsidRPr="009D3945" w14:paraId="446845BA"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4594F0E"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713A870E"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6D5C130B"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00537E5E"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34</w:t>
            </w:r>
          </w:p>
        </w:tc>
        <w:tc>
          <w:tcPr>
            <w:tcW w:w="1420" w:type="dxa"/>
            <w:tcBorders>
              <w:top w:val="nil"/>
              <w:left w:val="nil"/>
              <w:bottom w:val="single" w:sz="4" w:space="0" w:color="auto"/>
              <w:right w:val="single" w:sz="4" w:space="0" w:color="auto"/>
            </w:tcBorders>
            <w:shd w:val="clear" w:color="auto" w:fill="auto"/>
            <w:vAlign w:val="center"/>
            <w:hideMark/>
          </w:tcPr>
          <w:p w14:paraId="54470A70"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48 067 500</w:t>
            </w:r>
          </w:p>
        </w:tc>
      </w:tr>
      <w:tr w:rsidR="009D3945" w:rsidRPr="009D3945" w14:paraId="3DBF1B9F"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F47BEA5"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2E69A41F"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25CA0D8F"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5376E7B0"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35</w:t>
            </w:r>
          </w:p>
        </w:tc>
        <w:tc>
          <w:tcPr>
            <w:tcW w:w="1420" w:type="dxa"/>
            <w:tcBorders>
              <w:top w:val="nil"/>
              <w:left w:val="nil"/>
              <w:bottom w:val="single" w:sz="4" w:space="0" w:color="auto"/>
              <w:right w:val="single" w:sz="4" w:space="0" w:color="auto"/>
            </w:tcBorders>
            <w:shd w:val="clear" w:color="auto" w:fill="auto"/>
            <w:vAlign w:val="center"/>
            <w:hideMark/>
          </w:tcPr>
          <w:p w14:paraId="746ABC1A"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49 230 000</w:t>
            </w:r>
          </w:p>
        </w:tc>
      </w:tr>
      <w:tr w:rsidR="009D3945" w:rsidRPr="009D3945" w14:paraId="1B0882A9"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7936512"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1C995A3A"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4227321F"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74BA9AF0"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36</w:t>
            </w:r>
          </w:p>
        </w:tc>
        <w:tc>
          <w:tcPr>
            <w:tcW w:w="1420" w:type="dxa"/>
            <w:tcBorders>
              <w:top w:val="nil"/>
              <w:left w:val="nil"/>
              <w:bottom w:val="single" w:sz="4" w:space="0" w:color="auto"/>
              <w:right w:val="single" w:sz="4" w:space="0" w:color="auto"/>
            </w:tcBorders>
            <w:shd w:val="clear" w:color="auto" w:fill="auto"/>
            <w:vAlign w:val="center"/>
            <w:hideMark/>
          </w:tcPr>
          <w:p w14:paraId="0DA55708"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47 554 679</w:t>
            </w:r>
          </w:p>
        </w:tc>
      </w:tr>
      <w:tr w:rsidR="009D3945" w:rsidRPr="009D3945" w14:paraId="109A8424"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30893C13"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1BD284F7"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7643A5F5"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1C42AAFB"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37</w:t>
            </w:r>
          </w:p>
        </w:tc>
        <w:tc>
          <w:tcPr>
            <w:tcW w:w="1420" w:type="dxa"/>
            <w:tcBorders>
              <w:top w:val="nil"/>
              <w:left w:val="nil"/>
              <w:bottom w:val="single" w:sz="4" w:space="0" w:color="auto"/>
              <w:right w:val="single" w:sz="4" w:space="0" w:color="auto"/>
            </w:tcBorders>
            <w:shd w:val="clear" w:color="auto" w:fill="auto"/>
            <w:vAlign w:val="center"/>
            <w:hideMark/>
          </w:tcPr>
          <w:p w14:paraId="35120D71"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48 965 947</w:t>
            </w:r>
          </w:p>
        </w:tc>
      </w:tr>
      <w:tr w:rsidR="009D3945" w:rsidRPr="009D3945" w14:paraId="2841B0FD"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12CC15A0"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3A66459C"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00894B24"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2E1452E9"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38</w:t>
            </w:r>
          </w:p>
        </w:tc>
        <w:tc>
          <w:tcPr>
            <w:tcW w:w="1420" w:type="dxa"/>
            <w:tcBorders>
              <w:top w:val="nil"/>
              <w:left w:val="nil"/>
              <w:bottom w:val="single" w:sz="4" w:space="0" w:color="auto"/>
              <w:right w:val="single" w:sz="4" w:space="0" w:color="auto"/>
            </w:tcBorders>
            <w:shd w:val="clear" w:color="auto" w:fill="auto"/>
            <w:vAlign w:val="center"/>
            <w:hideMark/>
          </w:tcPr>
          <w:p w14:paraId="6C5587A5"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3 017 751</w:t>
            </w:r>
          </w:p>
        </w:tc>
      </w:tr>
      <w:tr w:rsidR="009D3945" w:rsidRPr="009D3945" w14:paraId="19EA8F61"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7B2FB10C"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6FA82313"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20568AB6"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331436DE"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47</w:t>
            </w:r>
          </w:p>
        </w:tc>
        <w:tc>
          <w:tcPr>
            <w:tcW w:w="1420" w:type="dxa"/>
            <w:tcBorders>
              <w:top w:val="nil"/>
              <w:left w:val="nil"/>
              <w:bottom w:val="single" w:sz="4" w:space="0" w:color="auto"/>
              <w:right w:val="single" w:sz="4" w:space="0" w:color="auto"/>
            </w:tcBorders>
            <w:shd w:val="clear" w:color="auto" w:fill="auto"/>
            <w:vAlign w:val="center"/>
            <w:hideMark/>
          </w:tcPr>
          <w:p w14:paraId="2383FF6C"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3 697 500</w:t>
            </w:r>
          </w:p>
        </w:tc>
      </w:tr>
      <w:tr w:rsidR="009D3945" w:rsidRPr="009D3945" w14:paraId="2D56726B"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68B381B"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35F442AB"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76AE724F"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1D6438E3"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47bis</w:t>
            </w:r>
          </w:p>
        </w:tc>
        <w:tc>
          <w:tcPr>
            <w:tcW w:w="1420" w:type="dxa"/>
            <w:tcBorders>
              <w:top w:val="nil"/>
              <w:left w:val="nil"/>
              <w:bottom w:val="single" w:sz="4" w:space="0" w:color="auto"/>
              <w:right w:val="single" w:sz="4" w:space="0" w:color="auto"/>
            </w:tcBorders>
            <w:shd w:val="clear" w:color="auto" w:fill="auto"/>
            <w:vAlign w:val="center"/>
            <w:hideMark/>
          </w:tcPr>
          <w:p w14:paraId="4560CAF2"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3 697 500</w:t>
            </w:r>
          </w:p>
        </w:tc>
      </w:tr>
      <w:tr w:rsidR="009D3945" w:rsidRPr="009D3945" w14:paraId="5C0EFAED"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87037CE"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3419B7DF"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KF</w:t>
            </w:r>
          </w:p>
        </w:tc>
        <w:tc>
          <w:tcPr>
            <w:tcW w:w="1420" w:type="dxa"/>
            <w:tcBorders>
              <w:top w:val="nil"/>
              <w:left w:val="nil"/>
              <w:bottom w:val="single" w:sz="4" w:space="0" w:color="auto"/>
              <w:right w:val="single" w:sz="4" w:space="0" w:color="auto"/>
            </w:tcBorders>
            <w:shd w:val="clear" w:color="auto" w:fill="auto"/>
            <w:vAlign w:val="center"/>
            <w:hideMark/>
          </w:tcPr>
          <w:p w14:paraId="59AFBE47"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N/A</w:t>
            </w:r>
          </w:p>
        </w:tc>
        <w:tc>
          <w:tcPr>
            <w:tcW w:w="960" w:type="dxa"/>
            <w:tcBorders>
              <w:top w:val="nil"/>
              <w:left w:val="nil"/>
              <w:bottom w:val="single" w:sz="4" w:space="0" w:color="auto"/>
              <w:right w:val="single" w:sz="4" w:space="0" w:color="auto"/>
            </w:tcBorders>
            <w:shd w:val="clear" w:color="auto" w:fill="auto"/>
            <w:vAlign w:val="center"/>
            <w:hideMark/>
          </w:tcPr>
          <w:p w14:paraId="46238295"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29</w:t>
            </w:r>
          </w:p>
        </w:tc>
        <w:tc>
          <w:tcPr>
            <w:tcW w:w="1420" w:type="dxa"/>
            <w:tcBorders>
              <w:top w:val="nil"/>
              <w:left w:val="nil"/>
              <w:bottom w:val="single" w:sz="4" w:space="0" w:color="auto"/>
              <w:right w:val="single" w:sz="4" w:space="0" w:color="auto"/>
            </w:tcBorders>
            <w:shd w:val="clear" w:color="auto" w:fill="auto"/>
            <w:vAlign w:val="center"/>
            <w:hideMark/>
          </w:tcPr>
          <w:p w14:paraId="77E9B699"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11 979 900</w:t>
            </w:r>
          </w:p>
        </w:tc>
      </w:tr>
      <w:tr w:rsidR="009D3945" w:rsidRPr="009D3945" w14:paraId="1EB1B082"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5BD2CF1"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0571E109"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KF</w:t>
            </w:r>
          </w:p>
        </w:tc>
        <w:tc>
          <w:tcPr>
            <w:tcW w:w="1420" w:type="dxa"/>
            <w:tcBorders>
              <w:top w:val="nil"/>
              <w:left w:val="nil"/>
              <w:bottom w:val="single" w:sz="4" w:space="0" w:color="auto"/>
              <w:right w:val="single" w:sz="4" w:space="0" w:color="auto"/>
            </w:tcBorders>
            <w:shd w:val="clear" w:color="auto" w:fill="auto"/>
            <w:vAlign w:val="center"/>
            <w:hideMark/>
          </w:tcPr>
          <w:p w14:paraId="7CD2D4AE"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N/A</w:t>
            </w:r>
          </w:p>
        </w:tc>
        <w:tc>
          <w:tcPr>
            <w:tcW w:w="960" w:type="dxa"/>
            <w:tcBorders>
              <w:top w:val="nil"/>
              <w:left w:val="nil"/>
              <w:bottom w:val="single" w:sz="4" w:space="0" w:color="auto"/>
              <w:right w:val="single" w:sz="4" w:space="0" w:color="auto"/>
            </w:tcBorders>
            <w:shd w:val="clear" w:color="auto" w:fill="auto"/>
            <w:vAlign w:val="center"/>
            <w:hideMark/>
          </w:tcPr>
          <w:p w14:paraId="3F36232D"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30</w:t>
            </w:r>
          </w:p>
        </w:tc>
        <w:tc>
          <w:tcPr>
            <w:tcW w:w="1420" w:type="dxa"/>
            <w:tcBorders>
              <w:top w:val="nil"/>
              <w:left w:val="nil"/>
              <w:bottom w:val="single" w:sz="4" w:space="0" w:color="auto"/>
              <w:right w:val="single" w:sz="4" w:space="0" w:color="auto"/>
            </w:tcBorders>
            <w:shd w:val="clear" w:color="auto" w:fill="auto"/>
            <w:vAlign w:val="center"/>
            <w:hideMark/>
          </w:tcPr>
          <w:p w14:paraId="11DB21F0"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18 487 500</w:t>
            </w:r>
          </w:p>
        </w:tc>
      </w:tr>
      <w:tr w:rsidR="009D3945" w:rsidRPr="009D3945" w14:paraId="597A1947"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1CD272C"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56648273"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KF</w:t>
            </w:r>
          </w:p>
        </w:tc>
        <w:tc>
          <w:tcPr>
            <w:tcW w:w="1420" w:type="dxa"/>
            <w:tcBorders>
              <w:top w:val="nil"/>
              <w:left w:val="nil"/>
              <w:bottom w:val="single" w:sz="4" w:space="0" w:color="auto"/>
              <w:right w:val="single" w:sz="4" w:space="0" w:color="auto"/>
            </w:tcBorders>
            <w:shd w:val="clear" w:color="auto" w:fill="auto"/>
            <w:vAlign w:val="center"/>
            <w:hideMark/>
          </w:tcPr>
          <w:p w14:paraId="68ED49D8"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N/A</w:t>
            </w:r>
          </w:p>
        </w:tc>
        <w:tc>
          <w:tcPr>
            <w:tcW w:w="960" w:type="dxa"/>
            <w:tcBorders>
              <w:top w:val="nil"/>
              <w:left w:val="nil"/>
              <w:bottom w:val="single" w:sz="4" w:space="0" w:color="auto"/>
              <w:right w:val="single" w:sz="4" w:space="0" w:color="auto"/>
            </w:tcBorders>
            <w:shd w:val="clear" w:color="auto" w:fill="auto"/>
            <w:vAlign w:val="center"/>
            <w:hideMark/>
          </w:tcPr>
          <w:p w14:paraId="7236DC07"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32</w:t>
            </w:r>
          </w:p>
        </w:tc>
        <w:tc>
          <w:tcPr>
            <w:tcW w:w="1420" w:type="dxa"/>
            <w:tcBorders>
              <w:top w:val="nil"/>
              <w:left w:val="nil"/>
              <w:bottom w:val="single" w:sz="4" w:space="0" w:color="auto"/>
              <w:right w:val="single" w:sz="4" w:space="0" w:color="auto"/>
            </w:tcBorders>
            <w:shd w:val="clear" w:color="auto" w:fill="auto"/>
            <w:vAlign w:val="center"/>
            <w:hideMark/>
          </w:tcPr>
          <w:p w14:paraId="52491A13"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3 993 300</w:t>
            </w:r>
          </w:p>
        </w:tc>
      </w:tr>
      <w:tr w:rsidR="009D3945" w:rsidRPr="009D3945" w14:paraId="5639C9F5"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3C28927C"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7B8862C7"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KF</w:t>
            </w:r>
          </w:p>
        </w:tc>
        <w:tc>
          <w:tcPr>
            <w:tcW w:w="1420" w:type="dxa"/>
            <w:tcBorders>
              <w:top w:val="nil"/>
              <w:left w:val="nil"/>
              <w:bottom w:val="single" w:sz="4" w:space="0" w:color="auto"/>
              <w:right w:val="single" w:sz="4" w:space="0" w:color="auto"/>
            </w:tcBorders>
            <w:shd w:val="clear" w:color="auto" w:fill="auto"/>
            <w:vAlign w:val="center"/>
            <w:hideMark/>
          </w:tcPr>
          <w:p w14:paraId="3A42744A"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N/A</w:t>
            </w:r>
          </w:p>
        </w:tc>
        <w:tc>
          <w:tcPr>
            <w:tcW w:w="960" w:type="dxa"/>
            <w:tcBorders>
              <w:top w:val="nil"/>
              <w:left w:val="nil"/>
              <w:bottom w:val="single" w:sz="4" w:space="0" w:color="auto"/>
              <w:right w:val="single" w:sz="4" w:space="0" w:color="auto"/>
            </w:tcBorders>
            <w:shd w:val="clear" w:color="auto" w:fill="auto"/>
            <w:vAlign w:val="center"/>
            <w:hideMark/>
          </w:tcPr>
          <w:p w14:paraId="22740870"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33</w:t>
            </w:r>
          </w:p>
        </w:tc>
        <w:tc>
          <w:tcPr>
            <w:tcW w:w="1420" w:type="dxa"/>
            <w:tcBorders>
              <w:top w:val="nil"/>
              <w:left w:val="nil"/>
              <w:bottom w:val="single" w:sz="4" w:space="0" w:color="auto"/>
              <w:right w:val="single" w:sz="4" w:space="0" w:color="auto"/>
            </w:tcBorders>
            <w:shd w:val="clear" w:color="auto" w:fill="auto"/>
            <w:vAlign w:val="center"/>
            <w:hideMark/>
          </w:tcPr>
          <w:p w14:paraId="04309110"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3 993 300</w:t>
            </w:r>
          </w:p>
        </w:tc>
      </w:tr>
      <w:tr w:rsidR="009D3945" w:rsidRPr="009D3945" w14:paraId="12628EF6"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205B039"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2.2.prioritāte</w:t>
            </w:r>
          </w:p>
        </w:tc>
        <w:tc>
          <w:tcPr>
            <w:tcW w:w="1340" w:type="dxa"/>
            <w:tcBorders>
              <w:top w:val="nil"/>
              <w:left w:val="nil"/>
              <w:bottom w:val="single" w:sz="4" w:space="0" w:color="auto"/>
              <w:right w:val="single" w:sz="4" w:space="0" w:color="auto"/>
            </w:tcBorders>
            <w:shd w:val="clear" w:color="auto" w:fill="auto"/>
            <w:vAlign w:val="center"/>
            <w:hideMark/>
          </w:tcPr>
          <w:p w14:paraId="2F46239F"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30D144FC"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67504732"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37</w:t>
            </w:r>
          </w:p>
        </w:tc>
        <w:tc>
          <w:tcPr>
            <w:tcW w:w="1420" w:type="dxa"/>
            <w:tcBorders>
              <w:top w:val="nil"/>
              <w:left w:val="nil"/>
              <w:bottom w:val="single" w:sz="4" w:space="0" w:color="auto"/>
              <w:right w:val="single" w:sz="4" w:space="0" w:color="auto"/>
            </w:tcBorders>
            <w:shd w:val="clear" w:color="auto" w:fill="auto"/>
            <w:vAlign w:val="center"/>
            <w:hideMark/>
          </w:tcPr>
          <w:p w14:paraId="526F4979"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5 617 688</w:t>
            </w:r>
          </w:p>
        </w:tc>
      </w:tr>
      <w:tr w:rsidR="009D3945" w:rsidRPr="009D3945" w14:paraId="41A2ACD0"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A132B56"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2.2.prioritāte</w:t>
            </w:r>
          </w:p>
        </w:tc>
        <w:tc>
          <w:tcPr>
            <w:tcW w:w="1340" w:type="dxa"/>
            <w:tcBorders>
              <w:top w:val="nil"/>
              <w:left w:val="nil"/>
              <w:bottom w:val="single" w:sz="4" w:space="0" w:color="auto"/>
              <w:right w:val="single" w:sz="4" w:space="0" w:color="auto"/>
            </w:tcBorders>
            <w:shd w:val="clear" w:color="auto" w:fill="auto"/>
            <w:vAlign w:val="center"/>
            <w:hideMark/>
          </w:tcPr>
          <w:p w14:paraId="7C727661"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4E3455E8"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48D08A0F"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38</w:t>
            </w:r>
          </w:p>
        </w:tc>
        <w:tc>
          <w:tcPr>
            <w:tcW w:w="1420" w:type="dxa"/>
            <w:tcBorders>
              <w:top w:val="nil"/>
              <w:left w:val="nil"/>
              <w:bottom w:val="single" w:sz="4" w:space="0" w:color="auto"/>
              <w:right w:val="single" w:sz="4" w:space="0" w:color="auto"/>
            </w:tcBorders>
            <w:shd w:val="clear" w:color="auto" w:fill="auto"/>
            <w:vAlign w:val="center"/>
            <w:hideMark/>
          </w:tcPr>
          <w:p w14:paraId="46ABA340"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2 302 661</w:t>
            </w:r>
          </w:p>
        </w:tc>
      </w:tr>
      <w:tr w:rsidR="009D3945" w:rsidRPr="009D3945" w14:paraId="42036E17"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18CC7AE3"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2.2.prioritāte</w:t>
            </w:r>
          </w:p>
        </w:tc>
        <w:tc>
          <w:tcPr>
            <w:tcW w:w="1340" w:type="dxa"/>
            <w:tcBorders>
              <w:top w:val="nil"/>
              <w:left w:val="nil"/>
              <w:bottom w:val="single" w:sz="4" w:space="0" w:color="auto"/>
              <w:right w:val="single" w:sz="4" w:space="0" w:color="auto"/>
            </w:tcBorders>
            <w:shd w:val="clear" w:color="auto" w:fill="auto"/>
            <w:vAlign w:val="center"/>
            <w:hideMark/>
          </w:tcPr>
          <w:p w14:paraId="77930957"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5EDA3541"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7439F91E"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40</w:t>
            </w:r>
          </w:p>
        </w:tc>
        <w:tc>
          <w:tcPr>
            <w:tcW w:w="1420" w:type="dxa"/>
            <w:tcBorders>
              <w:top w:val="nil"/>
              <w:left w:val="nil"/>
              <w:bottom w:val="single" w:sz="4" w:space="0" w:color="auto"/>
              <w:right w:val="single" w:sz="4" w:space="0" w:color="auto"/>
            </w:tcBorders>
            <w:shd w:val="clear" w:color="auto" w:fill="auto"/>
            <w:vAlign w:val="center"/>
            <w:hideMark/>
          </w:tcPr>
          <w:p w14:paraId="5E857C6E"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60 907 650</w:t>
            </w:r>
          </w:p>
        </w:tc>
      </w:tr>
      <w:tr w:rsidR="009D3945" w:rsidRPr="009D3945" w14:paraId="20F5FD5B"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18A331F0"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2.2.prioritāte</w:t>
            </w:r>
          </w:p>
        </w:tc>
        <w:tc>
          <w:tcPr>
            <w:tcW w:w="1340" w:type="dxa"/>
            <w:tcBorders>
              <w:top w:val="nil"/>
              <w:left w:val="nil"/>
              <w:bottom w:val="single" w:sz="4" w:space="0" w:color="auto"/>
              <w:right w:val="single" w:sz="4" w:space="0" w:color="auto"/>
            </w:tcBorders>
            <w:shd w:val="clear" w:color="auto" w:fill="auto"/>
            <w:vAlign w:val="center"/>
            <w:hideMark/>
          </w:tcPr>
          <w:p w14:paraId="47BF85E6"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1980ADDC"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789A9A93"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44</w:t>
            </w:r>
          </w:p>
        </w:tc>
        <w:tc>
          <w:tcPr>
            <w:tcW w:w="1420" w:type="dxa"/>
            <w:tcBorders>
              <w:top w:val="nil"/>
              <w:left w:val="nil"/>
              <w:bottom w:val="single" w:sz="4" w:space="0" w:color="auto"/>
              <w:right w:val="single" w:sz="4" w:space="0" w:color="auto"/>
            </w:tcBorders>
            <w:shd w:val="clear" w:color="auto" w:fill="auto"/>
            <w:vAlign w:val="center"/>
            <w:hideMark/>
          </w:tcPr>
          <w:p w14:paraId="626A3EBE"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13 252 350</w:t>
            </w:r>
          </w:p>
        </w:tc>
      </w:tr>
      <w:tr w:rsidR="009D3945" w:rsidRPr="009D3945" w14:paraId="66E5F3DE"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180548FA"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2.2.prioritāte</w:t>
            </w:r>
          </w:p>
        </w:tc>
        <w:tc>
          <w:tcPr>
            <w:tcW w:w="1340" w:type="dxa"/>
            <w:tcBorders>
              <w:top w:val="nil"/>
              <w:left w:val="nil"/>
              <w:bottom w:val="single" w:sz="4" w:space="0" w:color="auto"/>
              <w:right w:val="single" w:sz="4" w:space="0" w:color="auto"/>
            </w:tcBorders>
            <w:shd w:val="clear" w:color="auto" w:fill="auto"/>
            <w:vAlign w:val="center"/>
            <w:hideMark/>
          </w:tcPr>
          <w:p w14:paraId="1DCD6C26"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6CBAB2A9"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5164FAD3"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46</w:t>
            </w:r>
          </w:p>
        </w:tc>
        <w:tc>
          <w:tcPr>
            <w:tcW w:w="1420" w:type="dxa"/>
            <w:tcBorders>
              <w:top w:val="nil"/>
              <w:left w:val="nil"/>
              <w:bottom w:val="single" w:sz="4" w:space="0" w:color="auto"/>
              <w:right w:val="single" w:sz="4" w:space="0" w:color="auto"/>
            </w:tcBorders>
            <w:shd w:val="clear" w:color="auto" w:fill="auto"/>
            <w:vAlign w:val="center"/>
            <w:hideMark/>
          </w:tcPr>
          <w:p w14:paraId="0F5910CB"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9 243 750</w:t>
            </w:r>
          </w:p>
        </w:tc>
      </w:tr>
      <w:tr w:rsidR="009D3945" w:rsidRPr="009D3945" w14:paraId="2AEB4551"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1EC9675D"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2.2.prioritāte</w:t>
            </w:r>
          </w:p>
        </w:tc>
        <w:tc>
          <w:tcPr>
            <w:tcW w:w="1340" w:type="dxa"/>
            <w:tcBorders>
              <w:top w:val="nil"/>
              <w:left w:val="nil"/>
              <w:bottom w:val="single" w:sz="4" w:space="0" w:color="auto"/>
              <w:right w:val="single" w:sz="4" w:space="0" w:color="auto"/>
            </w:tcBorders>
            <w:shd w:val="clear" w:color="auto" w:fill="auto"/>
            <w:vAlign w:val="center"/>
            <w:hideMark/>
          </w:tcPr>
          <w:p w14:paraId="2F8F1ADA"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2005DC4A"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1BE0B41D"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48</w:t>
            </w:r>
          </w:p>
        </w:tc>
        <w:tc>
          <w:tcPr>
            <w:tcW w:w="1420" w:type="dxa"/>
            <w:tcBorders>
              <w:top w:val="nil"/>
              <w:left w:val="nil"/>
              <w:bottom w:val="single" w:sz="4" w:space="0" w:color="auto"/>
              <w:right w:val="single" w:sz="4" w:space="0" w:color="auto"/>
            </w:tcBorders>
            <w:shd w:val="clear" w:color="auto" w:fill="auto"/>
            <w:vAlign w:val="center"/>
            <w:hideMark/>
          </w:tcPr>
          <w:p w14:paraId="0E493E64"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23 109 375</w:t>
            </w:r>
          </w:p>
        </w:tc>
      </w:tr>
      <w:tr w:rsidR="009D3945" w:rsidRPr="009D3945" w14:paraId="0B82FC64"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1ECEF6BD"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2.2.prioritāte</w:t>
            </w:r>
          </w:p>
        </w:tc>
        <w:tc>
          <w:tcPr>
            <w:tcW w:w="1340" w:type="dxa"/>
            <w:tcBorders>
              <w:top w:val="nil"/>
              <w:left w:val="nil"/>
              <w:bottom w:val="single" w:sz="4" w:space="0" w:color="auto"/>
              <w:right w:val="single" w:sz="4" w:space="0" w:color="auto"/>
            </w:tcBorders>
            <w:shd w:val="clear" w:color="auto" w:fill="auto"/>
            <w:vAlign w:val="center"/>
            <w:hideMark/>
          </w:tcPr>
          <w:p w14:paraId="04DC80FD"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1A4D1299"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19CF4343"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49</w:t>
            </w:r>
          </w:p>
        </w:tc>
        <w:tc>
          <w:tcPr>
            <w:tcW w:w="1420" w:type="dxa"/>
            <w:tcBorders>
              <w:top w:val="nil"/>
              <w:left w:val="nil"/>
              <w:bottom w:val="single" w:sz="4" w:space="0" w:color="auto"/>
              <w:right w:val="single" w:sz="4" w:space="0" w:color="auto"/>
            </w:tcBorders>
            <w:shd w:val="clear" w:color="auto" w:fill="auto"/>
            <w:vAlign w:val="center"/>
            <w:hideMark/>
          </w:tcPr>
          <w:p w14:paraId="1A500957"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23 882 500</w:t>
            </w:r>
          </w:p>
        </w:tc>
      </w:tr>
      <w:tr w:rsidR="009D3945" w:rsidRPr="009D3945" w14:paraId="582C7E0C"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3B193B21"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2.2.prioritāte</w:t>
            </w:r>
          </w:p>
        </w:tc>
        <w:tc>
          <w:tcPr>
            <w:tcW w:w="1340" w:type="dxa"/>
            <w:tcBorders>
              <w:top w:val="nil"/>
              <w:left w:val="nil"/>
              <w:bottom w:val="single" w:sz="4" w:space="0" w:color="auto"/>
              <w:right w:val="single" w:sz="4" w:space="0" w:color="auto"/>
            </w:tcBorders>
            <w:shd w:val="clear" w:color="auto" w:fill="auto"/>
            <w:vAlign w:val="center"/>
            <w:hideMark/>
          </w:tcPr>
          <w:p w14:paraId="51FE40AC"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2203DE9A"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097F84CD"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50</w:t>
            </w:r>
          </w:p>
        </w:tc>
        <w:tc>
          <w:tcPr>
            <w:tcW w:w="1420" w:type="dxa"/>
            <w:tcBorders>
              <w:top w:val="nil"/>
              <w:left w:val="nil"/>
              <w:bottom w:val="single" w:sz="4" w:space="0" w:color="auto"/>
              <w:right w:val="single" w:sz="4" w:space="0" w:color="auto"/>
            </w:tcBorders>
            <w:shd w:val="clear" w:color="auto" w:fill="auto"/>
            <w:vAlign w:val="center"/>
            <w:hideMark/>
          </w:tcPr>
          <w:p w14:paraId="040F4090"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13 176 563</w:t>
            </w:r>
          </w:p>
        </w:tc>
      </w:tr>
      <w:tr w:rsidR="009D3945" w:rsidRPr="009D3945" w14:paraId="7488D6F8"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3DEC72DE"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2.2.prioritāte</w:t>
            </w:r>
          </w:p>
        </w:tc>
        <w:tc>
          <w:tcPr>
            <w:tcW w:w="1340" w:type="dxa"/>
            <w:tcBorders>
              <w:top w:val="nil"/>
              <w:left w:val="nil"/>
              <w:bottom w:val="single" w:sz="4" w:space="0" w:color="auto"/>
              <w:right w:val="single" w:sz="4" w:space="0" w:color="auto"/>
            </w:tcBorders>
            <w:shd w:val="clear" w:color="auto" w:fill="auto"/>
            <w:vAlign w:val="center"/>
            <w:hideMark/>
          </w:tcPr>
          <w:p w14:paraId="32FF86B1"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KF</w:t>
            </w:r>
          </w:p>
        </w:tc>
        <w:tc>
          <w:tcPr>
            <w:tcW w:w="1420" w:type="dxa"/>
            <w:tcBorders>
              <w:top w:val="nil"/>
              <w:left w:val="nil"/>
              <w:bottom w:val="single" w:sz="4" w:space="0" w:color="auto"/>
              <w:right w:val="single" w:sz="4" w:space="0" w:color="auto"/>
            </w:tcBorders>
            <w:shd w:val="clear" w:color="auto" w:fill="auto"/>
            <w:vAlign w:val="center"/>
            <w:hideMark/>
          </w:tcPr>
          <w:p w14:paraId="0FDEF830"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N/A</w:t>
            </w:r>
          </w:p>
        </w:tc>
        <w:tc>
          <w:tcPr>
            <w:tcW w:w="960" w:type="dxa"/>
            <w:tcBorders>
              <w:top w:val="nil"/>
              <w:left w:val="nil"/>
              <w:bottom w:val="single" w:sz="4" w:space="0" w:color="auto"/>
              <w:right w:val="single" w:sz="4" w:space="0" w:color="auto"/>
            </w:tcBorders>
            <w:shd w:val="clear" w:color="auto" w:fill="auto"/>
            <w:vAlign w:val="center"/>
            <w:hideMark/>
          </w:tcPr>
          <w:p w14:paraId="77E412A4"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42</w:t>
            </w:r>
          </w:p>
        </w:tc>
        <w:tc>
          <w:tcPr>
            <w:tcW w:w="1420" w:type="dxa"/>
            <w:tcBorders>
              <w:top w:val="nil"/>
              <w:left w:val="nil"/>
              <w:bottom w:val="single" w:sz="4" w:space="0" w:color="auto"/>
              <w:right w:val="single" w:sz="4" w:space="0" w:color="auto"/>
            </w:tcBorders>
            <w:shd w:val="clear" w:color="auto" w:fill="auto"/>
            <w:vAlign w:val="center"/>
            <w:hideMark/>
          </w:tcPr>
          <w:p w14:paraId="79E8D6E4"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54 483 430</w:t>
            </w:r>
          </w:p>
        </w:tc>
      </w:tr>
      <w:tr w:rsidR="009D3945" w:rsidRPr="009D3945" w14:paraId="09E2BBD0"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0ABE8E5"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2.2.prioritāte</w:t>
            </w:r>
          </w:p>
        </w:tc>
        <w:tc>
          <w:tcPr>
            <w:tcW w:w="1340" w:type="dxa"/>
            <w:tcBorders>
              <w:top w:val="nil"/>
              <w:left w:val="nil"/>
              <w:bottom w:val="single" w:sz="4" w:space="0" w:color="auto"/>
              <w:right w:val="single" w:sz="4" w:space="0" w:color="auto"/>
            </w:tcBorders>
            <w:shd w:val="clear" w:color="auto" w:fill="auto"/>
            <w:vAlign w:val="center"/>
            <w:hideMark/>
          </w:tcPr>
          <w:p w14:paraId="1E127C53"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KF</w:t>
            </w:r>
          </w:p>
        </w:tc>
        <w:tc>
          <w:tcPr>
            <w:tcW w:w="1420" w:type="dxa"/>
            <w:tcBorders>
              <w:top w:val="nil"/>
              <w:left w:val="nil"/>
              <w:bottom w:val="single" w:sz="4" w:space="0" w:color="auto"/>
              <w:right w:val="single" w:sz="4" w:space="0" w:color="auto"/>
            </w:tcBorders>
            <w:shd w:val="clear" w:color="auto" w:fill="auto"/>
            <w:vAlign w:val="center"/>
            <w:hideMark/>
          </w:tcPr>
          <w:p w14:paraId="46383B8B"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N/A</w:t>
            </w:r>
          </w:p>
        </w:tc>
        <w:tc>
          <w:tcPr>
            <w:tcW w:w="960" w:type="dxa"/>
            <w:tcBorders>
              <w:top w:val="nil"/>
              <w:left w:val="nil"/>
              <w:bottom w:val="single" w:sz="4" w:space="0" w:color="auto"/>
              <w:right w:val="single" w:sz="4" w:space="0" w:color="auto"/>
            </w:tcBorders>
            <w:shd w:val="clear" w:color="auto" w:fill="auto"/>
            <w:vAlign w:val="center"/>
            <w:hideMark/>
          </w:tcPr>
          <w:p w14:paraId="76511098"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44</w:t>
            </w:r>
          </w:p>
        </w:tc>
        <w:tc>
          <w:tcPr>
            <w:tcW w:w="1420" w:type="dxa"/>
            <w:tcBorders>
              <w:top w:val="nil"/>
              <w:left w:val="nil"/>
              <w:bottom w:val="single" w:sz="4" w:space="0" w:color="auto"/>
              <w:right w:val="single" w:sz="4" w:space="0" w:color="auto"/>
            </w:tcBorders>
            <w:shd w:val="clear" w:color="auto" w:fill="auto"/>
            <w:vAlign w:val="center"/>
            <w:hideMark/>
          </w:tcPr>
          <w:p w14:paraId="7494C1FB"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32 046 570</w:t>
            </w:r>
          </w:p>
        </w:tc>
      </w:tr>
      <w:tr w:rsidR="009D3945" w:rsidRPr="009D3945" w14:paraId="35E15A60"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A4BD754"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2.2.prioritāte</w:t>
            </w:r>
          </w:p>
        </w:tc>
        <w:tc>
          <w:tcPr>
            <w:tcW w:w="1340" w:type="dxa"/>
            <w:tcBorders>
              <w:top w:val="nil"/>
              <w:left w:val="nil"/>
              <w:bottom w:val="single" w:sz="4" w:space="0" w:color="auto"/>
              <w:right w:val="single" w:sz="4" w:space="0" w:color="auto"/>
            </w:tcBorders>
            <w:shd w:val="clear" w:color="auto" w:fill="auto"/>
            <w:vAlign w:val="center"/>
            <w:hideMark/>
          </w:tcPr>
          <w:p w14:paraId="2A909745"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KF</w:t>
            </w:r>
          </w:p>
        </w:tc>
        <w:tc>
          <w:tcPr>
            <w:tcW w:w="1420" w:type="dxa"/>
            <w:tcBorders>
              <w:top w:val="nil"/>
              <w:left w:val="nil"/>
              <w:bottom w:val="single" w:sz="4" w:space="0" w:color="auto"/>
              <w:right w:val="single" w:sz="4" w:space="0" w:color="auto"/>
            </w:tcBorders>
            <w:shd w:val="clear" w:color="auto" w:fill="auto"/>
            <w:vAlign w:val="center"/>
            <w:hideMark/>
          </w:tcPr>
          <w:p w14:paraId="0807FF2C"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N/A</w:t>
            </w:r>
          </w:p>
        </w:tc>
        <w:tc>
          <w:tcPr>
            <w:tcW w:w="960" w:type="dxa"/>
            <w:tcBorders>
              <w:top w:val="nil"/>
              <w:left w:val="nil"/>
              <w:bottom w:val="single" w:sz="4" w:space="0" w:color="auto"/>
              <w:right w:val="single" w:sz="4" w:space="0" w:color="auto"/>
            </w:tcBorders>
            <w:shd w:val="clear" w:color="auto" w:fill="auto"/>
            <w:vAlign w:val="center"/>
            <w:hideMark/>
          </w:tcPr>
          <w:p w14:paraId="35D4EAF0"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45bis</w:t>
            </w:r>
          </w:p>
        </w:tc>
        <w:tc>
          <w:tcPr>
            <w:tcW w:w="1420" w:type="dxa"/>
            <w:tcBorders>
              <w:top w:val="nil"/>
              <w:left w:val="nil"/>
              <w:bottom w:val="single" w:sz="4" w:space="0" w:color="auto"/>
              <w:right w:val="single" w:sz="4" w:space="0" w:color="auto"/>
            </w:tcBorders>
            <w:shd w:val="clear" w:color="auto" w:fill="auto"/>
            <w:vAlign w:val="center"/>
            <w:hideMark/>
          </w:tcPr>
          <w:p w14:paraId="472D74A9"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7 000 000</w:t>
            </w:r>
          </w:p>
        </w:tc>
      </w:tr>
      <w:tr w:rsidR="009D3945" w:rsidRPr="009D3945" w14:paraId="4CF5C3F2"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154ECB1"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2.2.prioritāte</w:t>
            </w:r>
          </w:p>
        </w:tc>
        <w:tc>
          <w:tcPr>
            <w:tcW w:w="1340" w:type="dxa"/>
            <w:tcBorders>
              <w:top w:val="nil"/>
              <w:left w:val="nil"/>
              <w:bottom w:val="single" w:sz="4" w:space="0" w:color="auto"/>
              <w:right w:val="single" w:sz="4" w:space="0" w:color="auto"/>
            </w:tcBorders>
            <w:shd w:val="clear" w:color="auto" w:fill="auto"/>
            <w:vAlign w:val="center"/>
            <w:hideMark/>
          </w:tcPr>
          <w:p w14:paraId="520917A5"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KF</w:t>
            </w:r>
          </w:p>
        </w:tc>
        <w:tc>
          <w:tcPr>
            <w:tcW w:w="1420" w:type="dxa"/>
            <w:tcBorders>
              <w:top w:val="nil"/>
              <w:left w:val="nil"/>
              <w:bottom w:val="single" w:sz="4" w:space="0" w:color="auto"/>
              <w:right w:val="single" w:sz="4" w:space="0" w:color="auto"/>
            </w:tcBorders>
            <w:shd w:val="clear" w:color="auto" w:fill="auto"/>
            <w:vAlign w:val="center"/>
            <w:hideMark/>
          </w:tcPr>
          <w:p w14:paraId="41DCEA82"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N/A</w:t>
            </w:r>
          </w:p>
        </w:tc>
        <w:tc>
          <w:tcPr>
            <w:tcW w:w="960" w:type="dxa"/>
            <w:tcBorders>
              <w:top w:val="nil"/>
              <w:left w:val="nil"/>
              <w:bottom w:val="single" w:sz="4" w:space="0" w:color="auto"/>
              <w:right w:val="single" w:sz="4" w:space="0" w:color="auto"/>
            </w:tcBorders>
            <w:shd w:val="clear" w:color="auto" w:fill="auto"/>
            <w:vAlign w:val="center"/>
            <w:hideMark/>
          </w:tcPr>
          <w:p w14:paraId="531D67B3"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47</w:t>
            </w:r>
          </w:p>
        </w:tc>
        <w:tc>
          <w:tcPr>
            <w:tcW w:w="1420" w:type="dxa"/>
            <w:tcBorders>
              <w:top w:val="nil"/>
              <w:left w:val="nil"/>
              <w:bottom w:val="single" w:sz="4" w:space="0" w:color="auto"/>
              <w:right w:val="single" w:sz="4" w:space="0" w:color="auto"/>
            </w:tcBorders>
            <w:shd w:val="clear" w:color="auto" w:fill="auto"/>
            <w:vAlign w:val="center"/>
            <w:hideMark/>
          </w:tcPr>
          <w:p w14:paraId="2CE449F3"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7 000 000</w:t>
            </w:r>
          </w:p>
        </w:tc>
      </w:tr>
      <w:tr w:rsidR="009D3945" w:rsidRPr="009D3945" w14:paraId="24F0532D"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B6AFE7F"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2.2.prioritāte</w:t>
            </w:r>
          </w:p>
        </w:tc>
        <w:tc>
          <w:tcPr>
            <w:tcW w:w="1340" w:type="dxa"/>
            <w:tcBorders>
              <w:top w:val="nil"/>
              <w:left w:val="nil"/>
              <w:bottom w:val="single" w:sz="4" w:space="0" w:color="auto"/>
              <w:right w:val="single" w:sz="4" w:space="0" w:color="auto"/>
            </w:tcBorders>
            <w:shd w:val="clear" w:color="auto" w:fill="auto"/>
            <w:vAlign w:val="center"/>
            <w:hideMark/>
          </w:tcPr>
          <w:p w14:paraId="22B210FA"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KF</w:t>
            </w:r>
          </w:p>
        </w:tc>
        <w:tc>
          <w:tcPr>
            <w:tcW w:w="1420" w:type="dxa"/>
            <w:tcBorders>
              <w:top w:val="nil"/>
              <w:left w:val="nil"/>
              <w:bottom w:val="single" w:sz="4" w:space="0" w:color="auto"/>
              <w:right w:val="single" w:sz="4" w:space="0" w:color="auto"/>
            </w:tcBorders>
            <w:shd w:val="clear" w:color="auto" w:fill="auto"/>
            <w:vAlign w:val="center"/>
            <w:hideMark/>
          </w:tcPr>
          <w:p w14:paraId="2441FB32"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N/A</w:t>
            </w:r>
          </w:p>
        </w:tc>
        <w:tc>
          <w:tcPr>
            <w:tcW w:w="960" w:type="dxa"/>
            <w:tcBorders>
              <w:top w:val="nil"/>
              <w:left w:val="nil"/>
              <w:bottom w:val="single" w:sz="4" w:space="0" w:color="auto"/>
              <w:right w:val="single" w:sz="4" w:space="0" w:color="auto"/>
            </w:tcBorders>
            <w:shd w:val="clear" w:color="auto" w:fill="auto"/>
            <w:vAlign w:val="center"/>
            <w:hideMark/>
          </w:tcPr>
          <w:p w14:paraId="124E85BB"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47bis</w:t>
            </w:r>
          </w:p>
        </w:tc>
        <w:tc>
          <w:tcPr>
            <w:tcW w:w="1420" w:type="dxa"/>
            <w:tcBorders>
              <w:top w:val="nil"/>
              <w:left w:val="nil"/>
              <w:bottom w:val="single" w:sz="4" w:space="0" w:color="auto"/>
              <w:right w:val="single" w:sz="4" w:space="0" w:color="auto"/>
            </w:tcBorders>
            <w:shd w:val="clear" w:color="auto" w:fill="auto"/>
            <w:vAlign w:val="center"/>
            <w:hideMark/>
          </w:tcPr>
          <w:p w14:paraId="1B3A4185"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3 000 000</w:t>
            </w:r>
          </w:p>
        </w:tc>
      </w:tr>
      <w:tr w:rsidR="009D3945" w:rsidRPr="009D3945" w14:paraId="2E2DB425"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32B3A03E"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2.3.prioritāte</w:t>
            </w:r>
          </w:p>
        </w:tc>
        <w:tc>
          <w:tcPr>
            <w:tcW w:w="1340" w:type="dxa"/>
            <w:tcBorders>
              <w:top w:val="nil"/>
              <w:left w:val="nil"/>
              <w:bottom w:val="single" w:sz="4" w:space="0" w:color="auto"/>
              <w:right w:val="single" w:sz="4" w:space="0" w:color="auto"/>
            </w:tcBorders>
            <w:shd w:val="clear" w:color="auto" w:fill="auto"/>
            <w:vAlign w:val="center"/>
            <w:hideMark/>
          </w:tcPr>
          <w:p w14:paraId="30173B86"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065344B9"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438013CC"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84</w:t>
            </w:r>
          </w:p>
        </w:tc>
        <w:tc>
          <w:tcPr>
            <w:tcW w:w="1420" w:type="dxa"/>
            <w:tcBorders>
              <w:top w:val="nil"/>
              <w:left w:val="nil"/>
              <w:bottom w:val="single" w:sz="4" w:space="0" w:color="auto"/>
              <w:right w:val="single" w:sz="4" w:space="0" w:color="auto"/>
            </w:tcBorders>
            <w:shd w:val="clear" w:color="auto" w:fill="auto"/>
            <w:vAlign w:val="center"/>
            <w:hideMark/>
          </w:tcPr>
          <w:p w14:paraId="23D14416"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3 697 500</w:t>
            </w:r>
          </w:p>
        </w:tc>
      </w:tr>
      <w:tr w:rsidR="009D3945" w:rsidRPr="009D3945" w14:paraId="58EB52C2"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A64B31A"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2.3.prioritāte</w:t>
            </w:r>
          </w:p>
        </w:tc>
        <w:tc>
          <w:tcPr>
            <w:tcW w:w="1340" w:type="dxa"/>
            <w:tcBorders>
              <w:top w:val="nil"/>
              <w:left w:val="nil"/>
              <w:bottom w:val="single" w:sz="4" w:space="0" w:color="auto"/>
              <w:right w:val="single" w:sz="4" w:space="0" w:color="auto"/>
            </w:tcBorders>
            <w:shd w:val="clear" w:color="auto" w:fill="auto"/>
            <w:vAlign w:val="center"/>
            <w:hideMark/>
          </w:tcPr>
          <w:p w14:paraId="7437C71B"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1ADE4EC5"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5D80AE10"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75</w:t>
            </w:r>
          </w:p>
        </w:tc>
        <w:tc>
          <w:tcPr>
            <w:tcW w:w="1420" w:type="dxa"/>
            <w:tcBorders>
              <w:top w:val="nil"/>
              <w:left w:val="nil"/>
              <w:bottom w:val="single" w:sz="4" w:space="0" w:color="auto"/>
              <w:right w:val="single" w:sz="4" w:space="0" w:color="auto"/>
            </w:tcBorders>
            <w:shd w:val="clear" w:color="auto" w:fill="auto"/>
            <w:vAlign w:val="center"/>
            <w:hideMark/>
          </w:tcPr>
          <w:p w14:paraId="6F743A3E"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17 207 554</w:t>
            </w:r>
          </w:p>
        </w:tc>
      </w:tr>
      <w:tr w:rsidR="009D3945" w:rsidRPr="009D3945" w14:paraId="682D2867"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6D2CE97"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2.3.prioritāte</w:t>
            </w:r>
          </w:p>
        </w:tc>
        <w:tc>
          <w:tcPr>
            <w:tcW w:w="1340" w:type="dxa"/>
            <w:tcBorders>
              <w:top w:val="nil"/>
              <w:left w:val="nil"/>
              <w:bottom w:val="single" w:sz="4" w:space="0" w:color="auto"/>
              <w:right w:val="single" w:sz="4" w:space="0" w:color="auto"/>
            </w:tcBorders>
            <w:shd w:val="clear" w:color="auto" w:fill="auto"/>
            <w:vAlign w:val="center"/>
            <w:hideMark/>
          </w:tcPr>
          <w:p w14:paraId="704C6932"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3E6C840C"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641294F4"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78</w:t>
            </w:r>
          </w:p>
        </w:tc>
        <w:tc>
          <w:tcPr>
            <w:tcW w:w="1420" w:type="dxa"/>
            <w:tcBorders>
              <w:top w:val="nil"/>
              <w:left w:val="nil"/>
              <w:bottom w:val="single" w:sz="4" w:space="0" w:color="auto"/>
              <w:right w:val="single" w:sz="4" w:space="0" w:color="auto"/>
            </w:tcBorders>
            <w:shd w:val="clear" w:color="auto" w:fill="auto"/>
            <w:vAlign w:val="center"/>
            <w:hideMark/>
          </w:tcPr>
          <w:p w14:paraId="08135193"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57 681 000</w:t>
            </w:r>
          </w:p>
        </w:tc>
      </w:tr>
      <w:tr w:rsidR="009D3945" w:rsidRPr="009D3945" w14:paraId="5BE09C53"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773D382"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3.1.prioritāte</w:t>
            </w:r>
          </w:p>
        </w:tc>
        <w:tc>
          <w:tcPr>
            <w:tcW w:w="1340" w:type="dxa"/>
            <w:tcBorders>
              <w:top w:val="nil"/>
              <w:left w:val="nil"/>
              <w:bottom w:val="single" w:sz="4" w:space="0" w:color="auto"/>
              <w:right w:val="single" w:sz="4" w:space="0" w:color="auto"/>
            </w:tcBorders>
            <w:shd w:val="clear" w:color="auto" w:fill="auto"/>
            <w:vAlign w:val="center"/>
            <w:hideMark/>
          </w:tcPr>
          <w:p w14:paraId="2185DEC5"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KF</w:t>
            </w:r>
          </w:p>
        </w:tc>
        <w:tc>
          <w:tcPr>
            <w:tcW w:w="1420" w:type="dxa"/>
            <w:tcBorders>
              <w:top w:val="nil"/>
              <w:left w:val="nil"/>
              <w:bottom w:val="single" w:sz="4" w:space="0" w:color="auto"/>
              <w:right w:val="single" w:sz="4" w:space="0" w:color="auto"/>
            </w:tcBorders>
            <w:shd w:val="clear" w:color="auto" w:fill="auto"/>
            <w:vAlign w:val="center"/>
            <w:hideMark/>
          </w:tcPr>
          <w:p w14:paraId="27BFFC6A"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N/A</w:t>
            </w:r>
          </w:p>
        </w:tc>
        <w:tc>
          <w:tcPr>
            <w:tcW w:w="960" w:type="dxa"/>
            <w:tcBorders>
              <w:top w:val="nil"/>
              <w:left w:val="nil"/>
              <w:bottom w:val="single" w:sz="4" w:space="0" w:color="auto"/>
              <w:right w:val="single" w:sz="4" w:space="0" w:color="auto"/>
            </w:tcBorders>
            <w:shd w:val="clear" w:color="auto" w:fill="auto"/>
            <w:vAlign w:val="center"/>
            <w:hideMark/>
          </w:tcPr>
          <w:p w14:paraId="0B4347FA"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55</w:t>
            </w:r>
          </w:p>
        </w:tc>
        <w:tc>
          <w:tcPr>
            <w:tcW w:w="1420" w:type="dxa"/>
            <w:tcBorders>
              <w:top w:val="nil"/>
              <w:left w:val="nil"/>
              <w:bottom w:val="single" w:sz="4" w:space="0" w:color="auto"/>
              <w:right w:val="single" w:sz="4" w:space="0" w:color="auto"/>
            </w:tcBorders>
            <w:shd w:val="clear" w:color="auto" w:fill="auto"/>
            <w:vAlign w:val="center"/>
            <w:hideMark/>
          </w:tcPr>
          <w:p w14:paraId="6A18FE4C"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18 487 500</w:t>
            </w:r>
          </w:p>
        </w:tc>
      </w:tr>
      <w:tr w:rsidR="009D3945" w:rsidRPr="009D3945" w14:paraId="28C5750E"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2D9F983"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3.1.prioritāte</w:t>
            </w:r>
          </w:p>
        </w:tc>
        <w:tc>
          <w:tcPr>
            <w:tcW w:w="1340" w:type="dxa"/>
            <w:tcBorders>
              <w:top w:val="nil"/>
              <w:left w:val="nil"/>
              <w:bottom w:val="single" w:sz="4" w:space="0" w:color="auto"/>
              <w:right w:val="single" w:sz="4" w:space="0" w:color="auto"/>
            </w:tcBorders>
            <w:shd w:val="clear" w:color="auto" w:fill="auto"/>
            <w:vAlign w:val="center"/>
            <w:hideMark/>
          </w:tcPr>
          <w:p w14:paraId="0F45FCDF"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KF</w:t>
            </w:r>
          </w:p>
        </w:tc>
        <w:tc>
          <w:tcPr>
            <w:tcW w:w="1420" w:type="dxa"/>
            <w:tcBorders>
              <w:top w:val="nil"/>
              <w:left w:val="nil"/>
              <w:bottom w:val="single" w:sz="4" w:space="0" w:color="auto"/>
              <w:right w:val="single" w:sz="4" w:space="0" w:color="auto"/>
            </w:tcBorders>
            <w:shd w:val="clear" w:color="auto" w:fill="auto"/>
            <w:vAlign w:val="center"/>
            <w:hideMark/>
          </w:tcPr>
          <w:p w14:paraId="0B02A82B"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N/A</w:t>
            </w:r>
          </w:p>
        </w:tc>
        <w:tc>
          <w:tcPr>
            <w:tcW w:w="960" w:type="dxa"/>
            <w:tcBorders>
              <w:top w:val="nil"/>
              <w:left w:val="nil"/>
              <w:bottom w:val="single" w:sz="4" w:space="0" w:color="auto"/>
              <w:right w:val="single" w:sz="4" w:space="0" w:color="auto"/>
            </w:tcBorders>
            <w:shd w:val="clear" w:color="auto" w:fill="auto"/>
            <w:vAlign w:val="center"/>
            <w:hideMark/>
          </w:tcPr>
          <w:p w14:paraId="7FFA3316"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56</w:t>
            </w:r>
          </w:p>
        </w:tc>
        <w:tc>
          <w:tcPr>
            <w:tcW w:w="1420" w:type="dxa"/>
            <w:tcBorders>
              <w:top w:val="nil"/>
              <w:left w:val="nil"/>
              <w:bottom w:val="single" w:sz="4" w:space="0" w:color="auto"/>
              <w:right w:val="single" w:sz="4" w:space="0" w:color="auto"/>
            </w:tcBorders>
            <w:shd w:val="clear" w:color="auto" w:fill="auto"/>
            <w:vAlign w:val="center"/>
            <w:hideMark/>
          </w:tcPr>
          <w:p w14:paraId="1D3581E8"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332 117 585</w:t>
            </w:r>
          </w:p>
        </w:tc>
      </w:tr>
      <w:tr w:rsidR="009D3945" w:rsidRPr="009D3945" w14:paraId="69AC212D"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3A285069"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3.1.prioritāte</w:t>
            </w:r>
          </w:p>
        </w:tc>
        <w:tc>
          <w:tcPr>
            <w:tcW w:w="1340" w:type="dxa"/>
            <w:tcBorders>
              <w:top w:val="nil"/>
              <w:left w:val="nil"/>
              <w:bottom w:val="single" w:sz="4" w:space="0" w:color="auto"/>
              <w:right w:val="single" w:sz="4" w:space="0" w:color="auto"/>
            </w:tcBorders>
            <w:shd w:val="clear" w:color="auto" w:fill="auto"/>
            <w:vAlign w:val="center"/>
            <w:hideMark/>
          </w:tcPr>
          <w:p w14:paraId="37A19A12"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KF</w:t>
            </w:r>
          </w:p>
        </w:tc>
        <w:tc>
          <w:tcPr>
            <w:tcW w:w="1420" w:type="dxa"/>
            <w:tcBorders>
              <w:top w:val="nil"/>
              <w:left w:val="nil"/>
              <w:bottom w:val="single" w:sz="4" w:space="0" w:color="auto"/>
              <w:right w:val="single" w:sz="4" w:space="0" w:color="auto"/>
            </w:tcBorders>
            <w:shd w:val="clear" w:color="auto" w:fill="auto"/>
            <w:vAlign w:val="center"/>
            <w:hideMark/>
          </w:tcPr>
          <w:p w14:paraId="4DA07AC8"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N/A</w:t>
            </w:r>
          </w:p>
        </w:tc>
        <w:tc>
          <w:tcPr>
            <w:tcW w:w="960" w:type="dxa"/>
            <w:tcBorders>
              <w:top w:val="nil"/>
              <w:left w:val="nil"/>
              <w:bottom w:val="single" w:sz="4" w:space="0" w:color="auto"/>
              <w:right w:val="single" w:sz="4" w:space="0" w:color="auto"/>
            </w:tcBorders>
            <w:shd w:val="clear" w:color="auto" w:fill="auto"/>
            <w:vAlign w:val="center"/>
            <w:hideMark/>
          </w:tcPr>
          <w:p w14:paraId="2093271F"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62</w:t>
            </w:r>
          </w:p>
        </w:tc>
        <w:tc>
          <w:tcPr>
            <w:tcW w:w="1420" w:type="dxa"/>
            <w:tcBorders>
              <w:top w:val="nil"/>
              <w:left w:val="nil"/>
              <w:bottom w:val="single" w:sz="4" w:space="0" w:color="auto"/>
              <w:right w:val="single" w:sz="4" w:space="0" w:color="auto"/>
            </w:tcBorders>
            <w:shd w:val="clear" w:color="auto" w:fill="auto"/>
            <w:vAlign w:val="center"/>
            <w:hideMark/>
          </w:tcPr>
          <w:p w14:paraId="54AF71C3"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187 119 768</w:t>
            </w:r>
          </w:p>
        </w:tc>
      </w:tr>
      <w:tr w:rsidR="009D3945" w:rsidRPr="009D3945" w14:paraId="350EFB38"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B81A54D"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3.1.prioritāte</w:t>
            </w:r>
          </w:p>
        </w:tc>
        <w:tc>
          <w:tcPr>
            <w:tcW w:w="1340" w:type="dxa"/>
            <w:tcBorders>
              <w:top w:val="nil"/>
              <w:left w:val="nil"/>
              <w:bottom w:val="single" w:sz="4" w:space="0" w:color="auto"/>
              <w:right w:val="single" w:sz="4" w:space="0" w:color="auto"/>
            </w:tcBorders>
            <w:shd w:val="clear" w:color="auto" w:fill="auto"/>
            <w:vAlign w:val="center"/>
            <w:hideMark/>
          </w:tcPr>
          <w:p w14:paraId="07AF284F"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KF</w:t>
            </w:r>
          </w:p>
        </w:tc>
        <w:tc>
          <w:tcPr>
            <w:tcW w:w="1420" w:type="dxa"/>
            <w:tcBorders>
              <w:top w:val="nil"/>
              <w:left w:val="nil"/>
              <w:bottom w:val="single" w:sz="4" w:space="0" w:color="auto"/>
              <w:right w:val="single" w:sz="4" w:space="0" w:color="auto"/>
            </w:tcBorders>
            <w:shd w:val="clear" w:color="auto" w:fill="auto"/>
            <w:vAlign w:val="center"/>
            <w:hideMark/>
          </w:tcPr>
          <w:p w14:paraId="65AA0E0D"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N/A</w:t>
            </w:r>
          </w:p>
        </w:tc>
        <w:tc>
          <w:tcPr>
            <w:tcW w:w="960" w:type="dxa"/>
            <w:tcBorders>
              <w:top w:val="nil"/>
              <w:left w:val="nil"/>
              <w:bottom w:val="single" w:sz="4" w:space="0" w:color="auto"/>
              <w:right w:val="single" w:sz="4" w:space="0" w:color="auto"/>
            </w:tcBorders>
            <w:shd w:val="clear" w:color="auto" w:fill="auto"/>
            <w:vAlign w:val="center"/>
            <w:hideMark/>
          </w:tcPr>
          <w:p w14:paraId="47EA0122"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67</w:t>
            </w:r>
          </w:p>
        </w:tc>
        <w:tc>
          <w:tcPr>
            <w:tcW w:w="1420" w:type="dxa"/>
            <w:tcBorders>
              <w:top w:val="nil"/>
              <w:left w:val="nil"/>
              <w:bottom w:val="single" w:sz="4" w:space="0" w:color="auto"/>
              <w:right w:val="single" w:sz="4" w:space="0" w:color="auto"/>
            </w:tcBorders>
            <w:shd w:val="clear" w:color="auto" w:fill="auto"/>
            <w:vAlign w:val="center"/>
            <w:hideMark/>
          </w:tcPr>
          <w:p w14:paraId="12648354"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307 354 688</w:t>
            </w:r>
          </w:p>
        </w:tc>
      </w:tr>
      <w:tr w:rsidR="009D3945" w:rsidRPr="009D3945" w14:paraId="18056F55"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1AC854AF"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3.1.prioritāte</w:t>
            </w:r>
          </w:p>
        </w:tc>
        <w:tc>
          <w:tcPr>
            <w:tcW w:w="1340" w:type="dxa"/>
            <w:tcBorders>
              <w:top w:val="nil"/>
              <w:left w:val="nil"/>
              <w:bottom w:val="single" w:sz="4" w:space="0" w:color="auto"/>
              <w:right w:val="single" w:sz="4" w:space="0" w:color="auto"/>
            </w:tcBorders>
            <w:shd w:val="clear" w:color="auto" w:fill="auto"/>
            <w:vAlign w:val="center"/>
            <w:hideMark/>
          </w:tcPr>
          <w:p w14:paraId="1265800A"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KF</w:t>
            </w:r>
          </w:p>
        </w:tc>
        <w:tc>
          <w:tcPr>
            <w:tcW w:w="1420" w:type="dxa"/>
            <w:tcBorders>
              <w:top w:val="nil"/>
              <w:left w:val="nil"/>
              <w:bottom w:val="single" w:sz="4" w:space="0" w:color="auto"/>
              <w:right w:val="single" w:sz="4" w:space="0" w:color="auto"/>
            </w:tcBorders>
            <w:shd w:val="clear" w:color="auto" w:fill="auto"/>
            <w:vAlign w:val="center"/>
            <w:hideMark/>
          </w:tcPr>
          <w:p w14:paraId="5AEDB787"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N/A</w:t>
            </w:r>
          </w:p>
        </w:tc>
        <w:tc>
          <w:tcPr>
            <w:tcW w:w="960" w:type="dxa"/>
            <w:tcBorders>
              <w:top w:val="nil"/>
              <w:left w:val="nil"/>
              <w:bottom w:val="single" w:sz="4" w:space="0" w:color="auto"/>
              <w:right w:val="single" w:sz="4" w:space="0" w:color="auto"/>
            </w:tcBorders>
            <w:shd w:val="clear" w:color="auto" w:fill="auto"/>
            <w:vAlign w:val="center"/>
            <w:hideMark/>
          </w:tcPr>
          <w:p w14:paraId="6CA6A336"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80</w:t>
            </w:r>
          </w:p>
        </w:tc>
        <w:tc>
          <w:tcPr>
            <w:tcW w:w="1420" w:type="dxa"/>
            <w:tcBorders>
              <w:top w:val="nil"/>
              <w:left w:val="nil"/>
              <w:bottom w:val="single" w:sz="4" w:space="0" w:color="auto"/>
              <w:right w:val="single" w:sz="4" w:space="0" w:color="auto"/>
            </w:tcBorders>
            <w:shd w:val="clear" w:color="auto" w:fill="auto"/>
            <w:vAlign w:val="center"/>
            <w:hideMark/>
          </w:tcPr>
          <w:p w14:paraId="036A171D"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14 790 000</w:t>
            </w:r>
          </w:p>
        </w:tc>
      </w:tr>
      <w:tr w:rsidR="009D3945" w:rsidRPr="009D3945" w14:paraId="07A24F29"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38CC169"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4.1.prioritāte</w:t>
            </w:r>
          </w:p>
        </w:tc>
        <w:tc>
          <w:tcPr>
            <w:tcW w:w="1340" w:type="dxa"/>
            <w:tcBorders>
              <w:top w:val="nil"/>
              <w:left w:val="nil"/>
              <w:bottom w:val="single" w:sz="4" w:space="0" w:color="auto"/>
              <w:right w:val="single" w:sz="4" w:space="0" w:color="auto"/>
            </w:tcBorders>
            <w:shd w:val="clear" w:color="auto" w:fill="auto"/>
            <w:vAlign w:val="center"/>
            <w:hideMark/>
          </w:tcPr>
          <w:p w14:paraId="69E48F17"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00525D2C"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72CCFF1A"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92</w:t>
            </w:r>
          </w:p>
        </w:tc>
        <w:tc>
          <w:tcPr>
            <w:tcW w:w="1420" w:type="dxa"/>
            <w:tcBorders>
              <w:top w:val="nil"/>
              <w:left w:val="nil"/>
              <w:bottom w:val="single" w:sz="4" w:space="0" w:color="auto"/>
              <w:right w:val="single" w:sz="4" w:space="0" w:color="auto"/>
            </w:tcBorders>
            <w:shd w:val="clear" w:color="auto" w:fill="auto"/>
            <w:vAlign w:val="center"/>
            <w:hideMark/>
          </w:tcPr>
          <w:p w14:paraId="2E9AE725"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240 707 250</w:t>
            </w:r>
          </w:p>
        </w:tc>
      </w:tr>
      <w:tr w:rsidR="009D3945" w:rsidRPr="009D3945" w14:paraId="0396066D"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78C38DC4"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4.1.prioritāte</w:t>
            </w:r>
          </w:p>
        </w:tc>
        <w:tc>
          <w:tcPr>
            <w:tcW w:w="1340" w:type="dxa"/>
            <w:tcBorders>
              <w:top w:val="nil"/>
              <w:left w:val="nil"/>
              <w:bottom w:val="single" w:sz="4" w:space="0" w:color="auto"/>
              <w:right w:val="single" w:sz="4" w:space="0" w:color="auto"/>
            </w:tcBorders>
            <w:shd w:val="clear" w:color="auto" w:fill="auto"/>
            <w:vAlign w:val="center"/>
            <w:hideMark/>
          </w:tcPr>
          <w:p w14:paraId="0122890D"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24F05A1E"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33BDF2B0"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93</w:t>
            </w:r>
          </w:p>
        </w:tc>
        <w:tc>
          <w:tcPr>
            <w:tcW w:w="1420" w:type="dxa"/>
            <w:tcBorders>
              <w:top w:val="nil"/>
              <w:left w:val="nil"/>
              <w:bottom w:val="single" w:sz="4" w:space="0" w:color="auto"/>
              <w:right w:val="single" w:sz="4" w:space="0" w:color="auto"/>
            </w:tcBorders>
            <w:shd w:val="clear" w:color="auto" w:fill="auto"/>
            <w:vAlign w:val="center"/>
            <w:hideMark/>
          </w:tcPr>
          <w:p w14:paraId="3369F984"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11 553 948</w:t>
            </w:r>
          </w:p>
        </w:tc>
      </w:tr>
      <w:tr w:rsidR="009D3945" w:rsidRPr="009D3945" w14:paraId="4C417142"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D8127AD"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4.1.prioritāte</w:t>
            </w:r>
          </w:p>
        </w:tc>
        <w:tc>
          <w:tcPr>
            <w:tcW w:w="1340" w:type="dxa"/>
            <w:tcBorders>
              <w:top w:val="nil"/>
              <w:left w:val="nil"/>
              <w:bottom w:val="single" w:sz="4" w:space="0" w:color="auto"/>
              <w:right w:val="single" w:sz="4" w:space="0" w:color="auto"/>
            </w:tcBorders>
            <w:shd w:val="clear" w:color="auto" w:fill="auto"/>
            <w:vAlign w:val="center"/>
            <w:hideMark/>
          </w:tcPr>
          <w:p w14:paraId="4EDBF026"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6698D142"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0FA0C545"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95</w:t>
            </w:r>
          </w:p>
        </w:tc>
        <w:tc>
          <w:tcPr>
            <w:tcW w:w="1420" w:type="dxa"/>
            <w:tcBorders>
              <w:top w:val="nil"/>
              <w:left w:val="nil"/>
              <w:bottom w:val="single" w:sz="4" w:space="0" w:color="auto"/>
              <w:right w:val="single" w:sz="4" w:space="0" w:color="auto"/>
            </w:tcBorders>
            <w:shd w:val="clear" w:color="auto" w:fill="auto"/>
            <w:vAlign w:val="center"/>
            <w:hideMark/>
          </w:tcPr>
          <w:p w14:paraId="4F1DFB60"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22 185 000</w:t>
            </w:r>
          </w:p>
        </w:tc>
      </w:tr>
      <w:tr w:rsidR="009D3945" w:rsidRPr="009D3945" w14:paraId="289378BB"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5A2D396"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4.1.prioritāte</w:t>
            </w:r>
          </w:p>
        </w:tc>
        <w:tc>
          <w:tcPr>
            <w:tcW w:w="1340" w:type="dxa"/>
            <w:tcBorders>
              <w:top w:val="nil"/>
              <w:left w:val="nil"/>
              <w:bottom w:val="single" w:sz="4" w:space="0" w:color="auto"/>
              <w:right w:val="single" w:sz="4" w:space="0" w:color="auto"/>
            </w:tcBorders>
            <w:shd w:val="clear" w:color="auto" w:fill="auto"/>
            <w:vAlign w:val="center"/>
            <w:hideMark/>
          </w:tcPr>
          <w:p w14:paraId="529BD677"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3F7F7D2E"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18F22169"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97</w:t>
            </w:r>
          </w:p>
        </w:tc>
        <w:tc>
          <w:tcPr>
            <w:tcW w:w="1420" w:type="dxa"/>
            <w:tcBorders>
              <w:top w:val="nil"/>
              <w:left w:val="nil"/>
              <w:bottom w:val="single" w:sz="4" w:space="0" w:color="auto"/>
              <w:right w:val="single" w:sz="4" w:space="0" w:color="auto"/>
            </w:tcBorders>
            <w:shd w:val="clear" w:color="auto" w:fill="auto"/>
            <w:vAlign w:val="center"/>
            <w:hideMark/>
          </w:tcPr>
          <w:p w14:paraId="23CDC88C"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443 700</w:t>
            </w:r>
          </w:p>
        </w:tc>
      </w:tr>
      <w:tr w:rsidR="009D3945" w:rsidRPr="009D3945" w14:paraId="2BC8B81D"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3C8B578E"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4.1.prioritāte</w:t>
            </w:r>
          </w:p>
        </w:tc>
        <w:tc>
          <w:tcPr>
            <w:tcW w:w="1340" w:type="dxa"/>
            <w:tcBorders>
              <w:top w:val="nil"/>
              <w:left w:val="nil"/>
              <w:bottom w:val="single" w:sz="4" w:space="0" w:color="auto"/>
              <w:right w:val="single" w:sz="4" w:space="0" w:color="auto"/>
            </w:tcBorders>
            <w:shd w:val="clear" w:color="auto" w:fill="auto"/>
            <w:vAlign w:val="center"/>
            <w:hideMark/>
          </w:tcPr>
          <w:p w14:paraId="48AAB036"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5736E859"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707C8B46"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123</w:t>
            </w:r>
          </w:p>
        </w:tc>
        <w:tc>
          <w:tcPr>
            <w:tcW w:w="1420" w:type="dxa"/>
            <w:tcBorders>
              <w:top w:val="nil"/>
              <w:left w:val="nil"/>
              <w:bottom w:val="single" w:sz="4" w:space="0" w:color="auto"/>
              <w:right w:val="single" w:sz="4" w:space="0" w:color="auto"/>
            </w:tcBorders>
            <w:shd w:val="clear" w:color="auto" w:fill="auto"/>
            <w:vAlign w:val="center"/>
            <w:hideMark/>
          </w:tcPr>
          <w:p w14:paraId="693EDD9D"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29 535 630</w:t>
            </w:r>
          </w:p>
        </w:tc>
      </w:tr>
      <w:tr w:rsidR="009D3945" w:rsidRPr="009D3945" w14:paraId="51BAFE0F"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E4BEF79"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4.1.prioritāte</w:t>
            </w:r>
          </w:p>
        </w:tc>
        <w:tc>
          <w:tcPr>
            <w:tcW w:w="1340" w:type="dxa"/>
            <w:tcBorders>
              <w:top w:val="nil"/>
              <w:left w:val="nil"/>
              <w:bottom w:val="single" w:sz="4" w:space="0" w:color="auto"/>
              <w:right w:val="single" w:sz="4" w:space="0" w:color="auto"/>
            </w:tcBorders>
            <w:shd w:val="clear" w:color="auto" w:fill="auto"/>
            <w:vAlign w:val="center"/>
            <w:hideMark/>
          </w:tcPr>
          <w:p w14:paraId="522EE4F9"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6C131380"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32DFF6AF"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110</w:t>
            </w:r>
          </w:p>
        </w:tc>
        <w:tc>
          <w:tcPr>
            <w:tcW w:w="1420" w:type="dxa"/>
            <w:tcBorders>
              <w:top w:val="nil"/>
              <w:left w:val="nil"/>
              <w:bottom w:val="single" w:sz="4" w:space="0" w:color="auto"/>
              <w:right w:val="single" w:sz="4" w:space="0" w:color="auto"/>
            </w:tcBorders>
            <w:shd w:val="clear" w:color="auto" w:fill="auto"/>
            <w:vAlign w:val="center"/>
            <w:hideMark/>
          </w:tcPr>
          <w:p w14:paraId="173B1C57"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20 824 320</w:t>
            </w:r>
          </w:p>
        </w:tc>
      </w:tr>
      <w:tr w:rsidR="009D3945" w:rsidRPr="009D3945" w14:paraId="3CDDA957"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DB17818"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6C58E0BF"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28B2E9C9"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72BF9B29"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3</w:t>
            </w:r>
          </w:p>
        </w:tc>
        <w:tc>
          <w:tcPr>
            <w:tcW w:w="1420" w:type="dxa"/>
            <w:tcBorders>
              <w:top w:val="nil"/>
              <w:left w:val="nil"/>
              <w:bottom w:val="single" w:sz="4" w:space="0" w:color="auto"/>
              <w:right w:val="single" w:sz="4" w:space="0" w:color="auto"/>
            </w:tcBorders>
            <w:shd w:val="clear" w:color="auto" w:fill="auto"/>
            <w:vAlign w:val="center"/>
            <w:hideMark/>
          </w:tcPr>
          <w:p w14:paraId="771006B1"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7 031 625</w:t>
            </w:r>
          </w:p>
        </w:tc>
      </w:tr>
      <w:tr w:rsidR="009D3945" w:rsidRPr="009D3945" w14:paraId="725DA5C0"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1EB63DF5"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5073A131"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7EFBAFAF"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188FD971"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6</w:t>
            </w:r>
          </w:p>
        </w:tc>
        <w:tc>
          <w:tcPr>
            <w:tcW w:w="1420" w:type="dxa"/>
            <w:tcBorders>
              <w:top w:val="nil"/>
              <w:left w:val="nil"/>
              <w:bottom w:val="single" w:sz="4" w:space="0" w:color="auto"/>
              <w:right w:val="single" w:sz="4" w:space="0" w:color="auto"/>
            </w:tcBorders>
            <w:shd w:val="clear" w:color="auto" w:fill="auto"/>
            <w:vAlign w:val="center"/>
            <w:hideMark/>
          </w:tcPr>
          <w:p w14:paraId="40E027A4"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7 031 625</w:t>
            </w:r>
          </w:p>
        </w:tc>
      </w:tr>
      <w:tr w:rsidR="009D3945" w:rsidRPr="009D3945" w14:paraId="270CEF7F"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DACBB87"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36A2D86D"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205591C9"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0DC68ABD"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9</w:t>
            </w:r>
          </w:p>
        </w:tc>
        <w:tc>
          <w:tcPr>
            <w:tcW w:w="1420" w:type="dxa"/>
            <w:tcBorders>
              <w:top w:val="nil"/>
              <w:left w:val="nil"/>
              <w:bottom w:val="single" w:sz="4" w:space="0" w:color="auto"/>
              <w:right w:val="single" w:sz="4" w:space="0" w:color="auto"/>
            </w:tcBorders>
            <w:shd w:val="clear" w:color="auto" w:fill="auto"/>
            <w:vAlign w:val="center"/>
            <w:hideMark/>
          </w:tcPr>
          <w:p w14:paraId="6AD27630"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7 031 625</w:t>
            </w:r>
          </w:p>
        </w:tc>
      </w:tr>
      <w:tr w:rsidR="009D3945" w:rsidRPr="009D3945" w14:paraId="58BACA28"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364CAFE2"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3704354A"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377D1699"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54D8C6B2"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21</w:t>
            </w:r>
          </w:p>
        </w:tc>
        <w:tc>
          <w:tcPr>
            <w:tcW w:w="1420" w:type="dxa"/>
            <w:tcBorders>
              <w:top w:val="nil"/>
              <w:left w:val="nil"/>
              <w:bottom w:val="single" w:sz="4" w:space="0" w:color="auto"/>
              <w:right w:val="single" w:sz="4" w:space="0" w:color="auto"/>
            </w:tcBorders>
            <w:shd w:val="clear" w:color="auto" w:fill="auto"/>
            <w:vAlign w:val="center"/>
            <w:hideMark/>
          </w:tcPr>
          <w:p w14:paraId="380952D0"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7 031 625</w:t>
            </w:r>
          </w:p>
        </w:tc>
      </w:tr>
      <w:tr w:rsidR="009D3945" w:rsidRPr="009D3945" w14:paraId="737AB13C"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10EA3D25"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05387B67"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62E2D26B"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32AF2EF6"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85</w:t>
            </w:r>
          </w:p>
        </w:tc>
        <w:tc>
          <w:tcPr>
            <w:tcW w:w="1420" w:type="dxa"/>
            <w:tcBorders>
              <w:top w:val="nil"/>
              <w:left w:val="nil"/>
              <w:bottom w:val="single" w:sz="4" w:space="0" w:color="auto"/>
              <w:right w:val="single" w:sz="4" w:space="0" w:color="auto"/>
            </w:tcBorders>
            <w:shd w:val="clear" w:color="auto" w:fill="auto"/>
            <w:vAlign w:val="center"/>
            <w:hideMark/>
          </w:tcPr>
          <w:p w14:paraId="4B6B6E7E"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26 975 819</w:t>
            </w:r>
          </w:p>
        </w:tc>
      </w:tr>
      <w:tr w:rsidR="009D3945" w:rsidRPr="009D3945" w14:paraId="74681493"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4EE465B"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040DD8C5"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2241AA87"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4C37AFEB"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86</w:t>
            </w:r>
          </w:p>
        </w:tc>
        <w:tc>
          <w:tcPr>
            <w:tcW w:w="1420" w:type="dxa"/>
            <w:tcBorders>
              <w:top w:val="nil"/>
              <w:left w:val="nil"/>
              <w:bottom w:val="single" w:sz="4" w:space="0" w:color="auto"/>
              <w:right w:val="single" w:sz="4" w:space="0" w:color="auto"/>
            </w:tcBorders>
            <w:shd w:val="clear" w:color="auto" w:fill="auto"/>
            <w:vAlign w:val="center"/>
            <w:hideMark/>
          </w:tcPr>
          <w:p w14:paraId="24E8072D"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38 423 492</w:t>
            </w:r>
          </w:p>
        </w:tc>
      </w:tr>
      <w:tr w:rsidR="009D3945" w:rsidRPr="009D3945" w14:paraId="6CCC6B3E"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7EA3354"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4EBFF4F5"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352533DF"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6F43B5D2"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87</w:t>
            </w:r>
          </w:p>
        </w:tc>
        <w:tc>
          <w:tcPr>
            <w:tcW w:w="1420" w:type="dxa"/>
            <w:tcBorders>
              <w:top w:val="nil"/>
              <w:left w:val="nil"/>
              <w:bottom w:val="single" w:sz="4" w:space="0" w:color="auto"/>
              <w:right w:val="single" w:sz="4" w:space="0" w:color="auto"/>
            </w:tcBorders>
            <w:shd w:val="clear" w:color="auto" w:fill="auto"/>
            <w:vAlign w:val="center"/>
            <w:hideMark/>
          </w:tcPr>
          <w:p w14:paraId="7457F12E"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40 067 875</w:t>
            </w:r>
          </w:p>
        </w:tc>
      </w:tr>
      <w:tr w:rsidR="009D3945" w:rsidRPr="009D3945" w14:paraId="7CEC47F8"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793B1B56"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6B94AF25"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421016DA"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7E497F22"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88</w:t>
            </w:r>
          </w:p>
        </w:tc>
        <w:tc>
          <w:tcPr>
            <w:tcW w:w="1420" w:type="dxa"/>
            <w:tcBorders>
              <w:top w:val="nil"/>
              <w:left w:val="nil"/>
              <w:bottom w:val="single" w:sz="4" w:space="0" w:color="auto"/>
              <w:right w:val="single" w:sz="4" w:space="0" w:color="auto"/>
            </w:tcBorders>
            <w:shd w:val="clear" w:color="auto" w:fill="auto"/>
            <w:vAlign w:val="center"/>
            <w:hideMark/>
          </w:tcPr>
          <w:p w14:paraId="4DB391C6"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43 156 292</w:t>
            </w:r>
          </w:p>
        </w:tc>
      </w:tr>
      <w:tr w:rsidR="009D3945" w:rsidRPr="009D3945" w14:paraId="2F358EB6"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F91FCA4"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6E95E9AE"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0832AAB5"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1ACB83D9"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106</w:t>
            </w:r>
          </w:p>
        </w:tc>
        <w:tc>
          <w:tcPr>
            <w:tcW w:w="1420" w:type="dxa"/>
            <w:tcBorders>
              <w:top w:val="nil"/>
              <w:left w:val="nil"/>
              <w:bottom w:val="single" w:sz="4" w:space="0" w:color="auto"/>
              <w:right w:val="single" w:sz="4" w:space="0" w:color="auto"/>
            </w:tcBorders>
            <w:shd w:val="clear" w:color="auto" w:fill="auto"/>
            <w:vAlign w:val="center"/>
            <w:hideMark/>
          </w:tcPr>
          <w:p w14:paraId="3B0E5091"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1 093 319</w:t>
            </w:r>
          </w:p>
        </w:tc>
      </w:tr>
      <w:tr w:rsidR="009D3945" w:rsidRPr="009D3945" w14:paraId="5D9627D0"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34B0B343"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79D9CE54"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33CD672D"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69FBEA29"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111</w:t>
            </w:r>
          </w:p>
        </w:tc>
        <w:tc>
          <w:tcPr>
            <w:tcW w:w="1420" w:type="dxa"/>
            <w:tcBorders>
              <w:top w:val="nil"/>
              <w:left w:val="nil"/>
              <w:bottom w:val="single" w:sz="4" w:space="0" w:color="auto"/>
              <w:right w:val="single" w:sz="4" w:space="0" w:color="auto"/>
            </w:tcBorders>
            <w:shd w:val="clear" w:color="auto" w:fill="auto"/>
            <w:vAlign w:val="center"/>
            <w:hideMark/>
          </w:tcPr>
          <w:p w14:paraId="0BFF5615"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2 325 819</w:t>
            </w:r>
          </w:p>
        </w:tc>
      </w:tr>
      <w:tr w:rsidR="009D3945" w:rsidRPr="009D3945" w14:paraId="23DC863A"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4824A04"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755E68D8"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41E92E2A"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299CD94D"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112</w:t>
            </w:r>
          </w:p>
        </w:tc>
        <w:tc>
          <w:tcPr>
            <w:tcW w:w="1420" w:type="dxa"/>
            <w:tcBorders>
              <w:top w:val="nil"/>
              <w:left w:val="nil"/>
              <w:bottom w:val="single" w:sz="4" w:space="0" w:color="auto"/>
              <w:right w:val="single" w:sz="4" w:space="0" w:color="auto"/>
            </w:tcBorders>
            <w:shd w:val="clear" w:color="auto" w:fill="auto"/>
            <w:vAlign w:val="center"/>
            <w:hideMark/>
          </w:tcPr>
          <w:p w14:paraId="6DCB1B20"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1 232 500</w:t>
            </w:r>
          </w:p>
        </w:tc>
      </w:tr>
      <w:tr w:rsidR="009D3945" w:rsidRPr="009D3945" w14:paraId="257522BB"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E1617CA"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109B8D7B"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3A8F6D25"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2B5AE688"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115</w:t>
            </w:r>
          </w:p>
        </w:tc>
        <w:tc>
          <w:tcPr>
            <w:tcW w:w="1420" w:type="dxa"/>
            <w:tcBorders>
              <w:top w:val="nil"/>
              <w:left w:val="nil"/>
              <w:bottom w:val="single" w:sz="4" w:space="0" w:color="auto"/>
              <w:right w:val="single" w:sz="4" w:space="0" w:color="auto"/>
            </w:tcBorders>
            <w:shd w:val="clear" w:color="auto" w:fill="auto"/>
            <w:vAlign w:val="center"/>
            <w:hideMark/>
          </w:tcPr>
          <w:p w14:paraId="20883C11"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1 232 500</w:t>
            </w:r>
          </w:p>
        </w:tc>
      </w:tr>
      <w:tr w:rsidR="009D3945" w:rsidRPr="009D3945" w14:paraId="6C7EB77E"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19C22F83"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49A56452"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69066C50"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367620B0"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3</w:t>
            </w:r>
          </w:p>
        </w:tc>
        <w:tc>
          <w:tcPr>
            <w:tcW w:w="1420" w:type="dxa"/>
            <w:tcBorders>
              <w:top w:val="nil"/>
              <w:left w:val="nil"/>
              <w:bottom w:val="single" w:sz="4" w:space="0" w:color="auto"/>
              <w:right w:val="single" w:sz="4" w:space="0" w:color="auto"/>
            </w:tcBorders>
            <w:shd w:val="clear" w:color="auto" w:fill="auto"/>
            <w:vAlign w:val="center"/>
            <w:hideMark/>
          </w:tcPr>
          <w:p w14:paraId="24730B21"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11 092 500</w:t>
            </w:r>
          </w:p>
        </w:tc>
      </w:tr>
      <w:tr w:rsidR="009D3945" w:rsidRPr="009D3945" w14:paraId="1FBA970B"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4525A0D"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76559988"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4CEFFD6D"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2DDA24BA"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6</w:t>
            </w:r>
          </w:p>
        </w:tc>
        <w:tc>
          <w:tcPr>
            <w:tcW w:w="1420" w:type="dxa"/>
            <w:tcBorders>
              <w:top w:val="nil"/>
              <w:left w:val="nil"/>
              <w:bottom w:val="single" w:sz="4" w:space="0" w:color="auto"/>
              <w:right w:val="single" w:sz="4" w:space="0" w:color="auto"/>
            </w:tcBorders>
            <w:shd w:val="clear" w:color="auto" w:fill="auto"/>
            <w:vAlign w:val="center"/>
            <w:hideMark/>
          </w:tcPr>
          <w:p w14:paraId="6AC842E1"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11 092 500</w:t>
            </w:r>
          </w:p>
        </w:tc>
      </w:tr>
      <w:tr w:rsidR="009D3945" w:rsidRPr="009D3945" w14:paraId="5FAEA5EE"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4414AA6"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67D9B159"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25758484"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286985FC"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9</w:t>
            </w:r>
          </w:p>
        </w:tc>
        <w:tc>
          <w:tcPr>
            <w:tcW w:w="1420" w:type="dxa"/>
            <w:tcBorders>
              <w:top w:val="nil"/>
              <w:left w:val="nil"/>
              <w:bottom w:val="single" w:sz="4" w:space="0" w:color="auto"/>
              <w:right w:val="single" w:sz="4" w:space="0" w:color="auto"/>
            </w:tcBorders>
            <w:shd w:val="clear" w:color="auto" w:fill="auto"/>
            <w:vAlign w:val="center"/>
            <w:hideMark/>
          </w:tcPr>
          <w:p w14:paraId="59BDC154"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12 016 875</w:t>
            </w:r>
          </w:p>
        </w:tc>
      </w:tr>
      <w:tr w:rsidR="009D3945" w:rsidRPr="009D3945" w14:paraId="7D7669A5"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A208350"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5C5A6476"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12CCD8E3"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57A94405"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106</w:t>
            </w:r>
          </w:p>
        </w:tc>
        <w:tc>
          <w:tcPr>
            <w:tcW w:w="1420" w:type="dxa"/>
            <w:tcBorders>
              <w:top w:val="nil"/>
              <w:left w:val="nil"/>
              <w:bottom w:val="single" w:sz="4" w:space="0" w:color="auto"/>
              <w:right w:val="single" w:sz="4" w:space="0" w:color="auto"/>
            </w:tcBorders>
            <w:shd w:val="clear" w:color="auto" w:fill="auto"/>
            <w:vAlign w:val="center"/>
            <w:hideMark/>
          </w:tcPr>
          <w:p w14:paraId="7D95F8CA"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6 532 250</w:t>
            </w:r>
          </w:p>
        </w:tc>
      </w:tr>
      <w:tr w:rsidR="009D3945" w:rsidRPr="009D3945" w14:paraId="7BF10F67"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2BFE058"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560E5E1E"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003D900D"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54CBEC75"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108</w:t>
            </w:r>
          </w:p>
        </w:tc>
        <w:tc>
          <w:tcPr>
            <w:tcW w:w="1420" w:type="dxa"/>
            <w:tcBorders>
              <w:top w:val="nil"/>
              <w:left w:val="nil"/>
              <w:bottom w:val="single" w:sz="4" w:space="0" w:color="auto"/>
              <w:right w:val="single" w:sz="4" w:space="0" w:color="auto"/>
            </w:tcBorders>
            <w:shd w:val="clear" w:color="auto" w:fill="auto"/>
            <w:vAlign w:val="center"/>
            <w:hideMark/>
          </w:tcPr>
          <w:p w14:paraId="2E07CA85"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3 948 930</w:t>
            </w:r>
          </w:p>
        </w:tc>
      </w:tr>
      <w:tr w:rsidR="009D3945" w:rsidRPr="009D3945" w14:paraId="0845180D"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9E8E05F"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25F48364"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306155DE"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2127E484"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111</w:t>
            </w:r>
          </w:p>
        </w:tc>
        <w:tc>
          <w:tcPr>
            <w:tcW w:w="1420" w:type="dxa"/>
            <w:tcBorders>
              <w:top w:val="nil"/>
              <w:left w:val="nil"/>
              <w:bottom w:val="single" w:sz="4" w:space="0" w:color="auto"/>
              <w:right w:val="single" w:sz="4" w:space="0" w:color="auto"/>
            </w:tcBorders>
            <w:shd w:val="clear" w:color="auto" w:fill="auto"/>
            <w:vAlign w:val="center"/>
            <w:hideMark/>
          </w:tcPr>
          <w:p w14:paraId="62198661"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12 329 454</w:t>
            </w:r>
          </w:p>
        </w:tc>
      </w:tr>
      <w:tr w:rsidR="009D3945" w:rsidRPr="009D3945" w14:paraId="19028E55"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DB851E9"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032B316A"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2B1353DA"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1F848959"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112</w:t>
            </w:r>
          </w:p>
        </w:tc>
        <w:tc>
          <w:tcPr>
            <w:tcW w:w="1420" w:type="dxa"/>
            <w:tcBorders>
              <w:top w:val="nil"/>
              <w:left w:val="nil"/>
              <w:bottom w:val="single" w:sz="4" w:space="0" w:color="auto"/>
              <w:right w:val="single" w:sz="4" w:space="0" w:color="auto"/>
            </w:tcBorders>
            <w:shd w:val="clear" w:color="auto" w:fill="auto"/>
            <w:vAlign w:val="center"/>
            <w:hideMark/>
          </w:tcPr>
          <w:p w14:paraId="21D239DD"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79 876 857</w:t>
            </w:r>
          </w:p>
        </w:tc>
      </w:tr>
      <w:tr w:rsidR="009D3945" w:rsidRPr="009D3945" w14:paraId="686AA1A2"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121B0B74"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329319F0"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5056D9E3"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2EF1C12B"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113</w:t>
            </w:r>
          </w:p>
        </w:tc>
        <w:tc>
          <w:tcPr>
            <w:tcW w:w="1420" w:type="dxa"/>
            <w:tcBorders>
              <w:top w:val="nil"/>
              <w:left w:val="nil"/>
              <w:bottom w:val="single" w:sz="4" w:space="0" w:color="auto"/>
              <w:right w:val="single" w:sz="4" w:space="0" w:color="auto"/>
            </w:tcBorders>
            <w:shd w:val="clear" w:color="auto" w:fill="auto"/>
            <w:vAlign w:val="center"/>
            <w:hideMark/>
          </w:tcPr>
          <w:p w14:paraId="210F70E4"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9 558 658</w:t>
            </w:r>
          </w:p>
        </w:tc>
      </w:tr>
      <w:tr w:rsidR="009D3945" w:rsidRPr="009D3945" w14:paraId="176431F8"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DC7B6A4"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51B695E8"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64A1C76F"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2D6CEB94"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114</w:t>
            </w:r>
          </w:p>
        </w:tc>
        <w:tc>
          <w:tcPr>
            <w:tcW w:w="1420" w:type="dxa"/>
            <w:tcBorders>
              <w:top w:val="nil"/>
              <w:left w:val="nil"/>
              <w:bottom w:val="single" w:sz="4" w:space="0" w:color="auto"/>
              <w:right w:val="single" w:sz="4" w:space="0" w:color="auto"/>
            </w:tcBorders>
            <w:shd w:val="clear" w:color="auto" w:fill="auto"/>
            <w:vAlign w:val="center"/>
            <w:hideMark/>
          </w:tcPr>
          <w:p w14:paraId="1349F5B7"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83 219 392</w:t>
            </w:r>
          </w:p>
        </w:tc>
      </w:tr>
      <w:tr w:rsidR="009D3945" w:rsidRPr="009D3945" w14:paraId="71BBB1EA"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79DDAB51"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4802336B"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177B666B"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7414C27A"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115</w:t>
            </w:r>
          </w:p>
        </w:tc>
        <w:tc>
          <w:tcPr>
            <w:tcW w:w="1420" w:type="dxa"/>
            <w:tcBorders>
              <w:top w:val="nil"/>
              <w:left w:val="nil"/>
              <w:bottom w:val="single" w:sz="4" w:space="0" w:color="auto"/>
              <w:right w:val="single" w:sz="4" w:space="0" w:color="auto"/>
            </w:tcBorders>
            <w:shd w:val="clear" w:color="auto" w:fill="auto"/>
            <w:vAlign w:val="center"/>
            <w:hideMark/>
          </w:tcPr>
          <w:p w14:paraId="4E10B34F"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13 779 466</w:t>
            </w:r>
          </w:p>
        </w:tc>
      </w:tr>
      <w:tr w:rsidR="009D3945" w:rsidRPr="009D3945" w14:paraId="340ED54B"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8A56481"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0C0D8481"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7DA101F5"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24D4FD94"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116</w:t>
            </w:r>
          </w:p>
        </w:tc>
        <w:tc>
          <w:tcPr>
            <w:tcW w:w="1420" w:type="dxa"/>
            <w:tcBorders>
              <w:top w:val="nil"/>
              <w:left w:val="nil"/>
              <w:bottom w:val="single" w:sz="4" w:space="0" w:color="auto"/>
              <w:right w:val="single" w:sz="4" w:space="0" w:color="auto"/>
            </w:tcBorders>
            <w:shd w:val="clear" w:color="auto" w:fill="auto"/>
            <w:vAlign w:val="center"/>
            <w:hideMark/>
          </w:tcPr>
          <w:p w14:paraId="16898061"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2 773 125</w:t>
            </w:r>
          </w:p>
        </w:tc>
      </w:tr>
      <w:tr w:rsidR="009D3945" w:rsidRPr="009D3945" w14:paraId="01F7B033"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38195FBC"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407A7FB2"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3681A5AF"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26BDF222"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122</w:t>
            </w:r>
          </w:p>
        </w:tc>
        <w:tc>
          <w:tcPr>
            <w:tcW w:w="1420" w:type="dxa"/>
            <w:tcBorders>
              <w:top w:val="nil"/>
              <w:left w:val="nil"/>
              <w:bottom w:val="single" w:sz="4" w:space="0" w:color="auto"/>
              <w:right w:val="single" w:sz="4" w:space="0" w:color="auto"/>
            </w:tcBorders>
            <w:shd w:val="clear" w:color="auto" w:fill="auto"/>
            <w:vAlign w:val="center"/>
            <w:hideMark/>
          </w:tcPr>
          <w:p w14:paraId="4C4158C7"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6 655 500</w:t>
            </w:r>
          </w:p>
        </w:tc>
      </w:tr>
      <w:tr w:rsidR="009D3945" w:rsidRPr="009D3945" w14:paraId="19A52919"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162F4934"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2F181DF8"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4B4287EA"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5264E729"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90</w:t>
            </w:r>
          </w:p>
        </w:tc>
        <w:tc>
          <w:tcPr>
            <w:tcW w:w="1420" w:type="dxa"/>
            <w:tcBorders>
              <w:top w:val="nil"/>
              <w:left w:val="nil"/>
              <w:bottom w:val="single" w:sz="4" w:space="0" w:color="auto"/>
              <w:right w:val="single" w:sz="4" w:space="0" w:color="auto"/>
            </w:tcBorders>
            <w:shd w:val="clear" w:color="auto" w:fill="auto"/>
            <w:vAlign w:val="center"/>
            <w:hideMark/>
          </w:tcPr>
          <w:p w14:paraId="4C98B6AF"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51 765 000</w:t>
            </w:r>
          </w:p>
        </w:tc>
      </w:tr>
      <w:tr w:rsidR="009D3945" w:rsidRPr="009D3945" w14:paraId="1F35853F"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70266F88"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0D91B13D"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29493C51"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799BAA04"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91</w:t>
            </w:r>
          </w:p>
        </w:tc>
        <w:tc>
          <w:tcPr>
            <w:tcW w:w="1420" w:type="dxa"/>
            <w:tcBorders>
              <w:top w:val="nil"/>
              <w:left w:val="nil"/>
              <w:bottom w:val="single" w:sz="4" w:space="0" w:color="auto"/>
              <w:right w:val="single" w:sz="4" w:space="0" w:color="auto"/>
            </w:tcBorders>
            <w:shd w:val="clear" w:color="auto" w:fill="auto"/>
            <w:vAlign w:val="center"/>
            <w:hideMark/>
          </w:tcPr>
          <w:p w14:paraId="31C64AEF"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41 116 200</w:t>
            </w:r>
          </w:p>
        </w:tc>
      </w:tr>
      <w:tr w:rsidR="009D3945" w:rsidRPr="009D3945" w14:paraId="7AF99E2A"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345943B"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7F548D2C"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69B8C6D8"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70B14207"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115</w:t>
            </w:r>
          </w:p>
        </w:tc>
        <w:tc>
          <w:tcPr>
            <w:tcW w:w="1420" w:type="dxa"/>
            <w:tcBorders>
              <w:top w:val="nil"/>
              <w:left w:val="nil"/>
              <w:bottom w:val="single" w:sz="4" w:space="0" w:color="auto"/>
              <w:right w:val="single" w:sz="4" w:space="0" w:color="auto"/>
            </w:tcBorders>
            <w:shd w:val="clear" w:color="auto" w:fill="auto"/>
            <w:vAlign w:val="center"/>
            <w:hideMark/>
          </w:tcPr>
          <w:p w14:paraId="1BE9FF73"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20 040 102</w:t>
            </w:r>
          </w:p>
        </w:tc>
      </w:tr>
      <w:tr w:rsidR="009D3945" w:rsidRPr="009D3945" w14:paraId="6533A528"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535A4B9"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05FD239A"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5B4B8EFB"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7CB90A52"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97</w:t>
            </w:r>
          </w:p>
        </w:tc>
        <w:tc>
          <w:tcPr>
            <w:tcW w:w="1420" w:type="dxa"/>
            <w:tcBorders>
              <w:top w:val="nil"/>
              <w:left w:val="nil"/>
              <w:bottom w:val="single" w:sz="4" w:space="0" w:color="auto"/>
              <w:right w:val="single" w:sz="4" w:space="0" w:color="auto"/>
            </w:tcBorders>
            <w:shd w:val="clear" w:color="auto" w:fill="auto"/>
            <w:vAlign w:val="center"/>
            <w:hideMark/>
          </w:tcPr>
          <w:p w14:paraId="355050AC"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89 991 674</w:t>
            </w:r>
          </w:p>
        </w:tc>
      </w:tr>
      <w:tr w:rsidR="009D3945" w:rsidRPr="009D3945" w14:paraId="508A55C4"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953E519"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7288A355"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7EEED701"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2BBB4D8E"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99</w:t>
            </w:r>
          </w:p>
        </w:tc>
        <w:tc>
          <w:tcPr>
            <w:tcW w:w="1420" w:type="dxa"/>
            <w:tcBorders>
              <w:top w:val="nil"/>
              <w:left w:val="nil"/>
              <w:bottom w:val="single" w:sz="4" w:space="0" w:color="auto"/>
              <w:right w:val="single" w:sz="4" w:space="0" w:color="auto"/>
            </w:tcBorders>
            <w:shd w:val="clear" w:color="auto" w:fill="auto"/>
            <w:vAlign w:val="center"/>
            <w:hideMark/>
          </w:tcPr>
          <w:p w14:paraId="1777231A"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13 511 351</w:t>
            </w:r>
          </w:p>
        </w:tc>
      </w:tr>
      <w:tr w:rsidR="009D3945" w:rsidRPr="009D3945" w14:paraId="44B93FC4"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6091851"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05F6CCA5"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68159B06"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1FE92127"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102</w:t>
            </w:r>
          </w:p>
        </w:tc>
        <w:tc>
          <w:tcPr>
            <w:tcW w:w="1420" w:type="dxa"/>
            <w:tcBorders>
              <w:top w:val="nil"/>
              <w:left w:val="nil"/>
              <w:bottom w:val="single" w:sz="4" w:space="0" w:color="auto"/>
              <w:right w:val="single" w:sz="4" w:space="0" w:color="auto"/>
            </w:tcBorders>
            <w:shd w:val="clear" w:color="auto" w:fill="auto"/>
            <w:vAlign w:val="center"/>
            <w:hideMark/>
          </w:tcPr>
          <w:p w14:paraId="00332258"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11 049 999</w:t>
            </w:r>
          </w:p>
        </w:tc>
      </w:tr>
      <w:tr w:rsidR="009D3945" w:rsidRPr="009D3945" w14:paraId="08FCD4B1"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11D02C15"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7A37D660"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4B281C48"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5CD1D64A"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106</w:t>
            </w:r>
          </w:p>
        </w:tc>
        <w:tc>
          <w:tcPr>
            <w:tcW w:w="1420" w:type="dxa"/>
            <w:tcBorders>
              <w:top w:val="nil"/>
              <w:left w:val="nil"/>
              <w:bottom w:val="single" w:sz="4" w:space="0" w:color="auto"/>
              <w:right w:val="single" w:sz="4" w:space="0" w:color="auto"/>
            </w:tcBorders>
            <w:shd w:val="clear" w:color="auto" w:fill="auto"/>
            <w:vAlign w:val="center"/>
            <w:hideMark/>
          </w:tcPr>
          <w:p w14:paraId="767BDDE7"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11 039 679</w:t>
            </w:r>
          </w:p>
        </w:tc>
      </w:tr>
      <w:tr w:rsidR="009D3945" w:rsidRPr="009D3945" w14:paraId="02864906"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67841D2"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2E8205FC"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4D2C4F37"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37E7D370"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111</w:t>
            </w:r>
          </w:p>
        </w:tc>
        <w:tc>
          <w:tcPr>
            <w:tcW w:w="1420" w:type="dxa"/>
            <w:tcBorders>
              <w:top w:val="nil"/>
              <w:left w:val="nil"/>
              <w:bottom w:val="single" w:sz="4" w:space="0" w:color="auto"/>
              <w:right w:val="single" w:sz="4" w:space="0" w:color="auto"/>
            </w:tcBorders>
            <w:shd w:val="clear" w:color="auto" w:fill="auto"/>
            <w:vAlign w:val="center"/>
            <w:hideMark/>
          </w:tcPr>
          <w:p w14:paraId="51DF672F"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16 091 600</w:t>
            </w:r>
          </w:p>
        </w:tc>
      </w:tr>
      <w:tr w:rsidR="009D3945" w:rsidRPr="009D3945" w14:paraId="466AE6BD"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74AC2193"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0A90FFAA"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77ACDF84"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3E07C516"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112</w:t>
            </w:r>
          </w:p>
        </w:tc>
        <w:tc>
          <w:tcPr>
            <w:tcW w:w="1420" w:type="dxa"/>
            <w:tcBorders>
              <w:top w:val="nil"/>
              <w:left w:val="nil"/>
              <w:bottom w:val="single" w:sz="4" w:space="0" w:color="auto"/>
              <w:right w:val="single" w:sz="4" w:space="0" w:color="auto"/>
            </w:tcBorders>
            <w:shd w:val="clear" w:color="auto" w:fill="auto"/>
            <w:vAlign w:val="center"/>
            <w:hideMark/>
          </w:tcPr>
          <w:p w14:paraId="4185D5E1"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11 813 065</w:t>
            </w:r>
          </w:p>
        </w:tc>
      </w:tr>
      <w:tr w:rsidR="009D3945" w:rsidRPr="009D3945" w14:paraId="4BE505B2"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E22BDE0"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65DAEC5A"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1AAA1875"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0A78F93A"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115</w:t>
            </w:r>
          </w:p>
        </w:tc>
        <w:tc>
          <w:tcPr>
            <w:tcW w:w="1420" w:type="dxa"/>
            <w:tcBorders>
              <w:top w:val="nil"/>
              <w:left w:val="nil"/>
              <w:bottom w:val="single" w:sz="4" w:space="0" w:color="auto"/>
              <w:right w:val="single" w:sz="4" w:space="0" w:color="auto"/>
            </w:tcBorders>
            <w:shd w:val="clear" w:color="auto" w:fill="auto"/>
            <w:vAlign w:val="center"/>
            <w:hideMark/>
          </w:tcPr>
          <w:p w14:paraId="7172604B"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36 386 747</w:t>
            </w:r>
          </w:p>
        </w:tc>
      </w:tr>
      <w:tr w:rsidR="009D3945" w:rsidRPr="009D3945" w14:paraId="701274AC"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C185F99"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3E183392"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417F2A5A"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46888F05"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120</w:t>
            </w:r>
          </w:p>
        </w:tc>
        <w:tc>
          <w:tcPr>
            <w:tcW w:w="1420" w:type="dxa"/>
            <w:tcBorders>
              <w:top w:val="nil"/>
              <w:left w:val="nil"/>
              <w:bottom w:val="single" w:sz="4" w:space="0" w:color="auto"/>
              <w:right w:val="single" w:sz="4" w:space="0" w:color="auto"/>
            </w:tcBorders>
            <w:shd w:val="clear" w:color="auto" w:fill="auto"/>
            <w:vAlign w:val="center"/>
            <w:hideMark/>
          </w:tcPr>
          <w:p w14:paraId="55F9ED53"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1 109 250</w:t>
            </w:r>
          </w:p>
        </w:tc>
      </w:tr>
      <w:tr w:rsidR="009D3945" w:rsidRPr="009D3945" w14:paraId="168507CD"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F12DD6D"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61C56AA6"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6D994A27"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2CBEB0EE"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121</w:t>
            </w:r>
          </w:p>
        </w:tc>
        <w:tc>
          <w:tcPr>
            <w:tcW w:w="1420" w:type="dxa"/>
            <w:tcBorders>
              <w:top w:val="nil"/>
              <w:left w:val="nil"/>
              <w:bottom w:val="single" w:sz="4" w:space="0" w:color="auto"/>
              <w:right w:val="single" w:sz="4" w:space="0" w:color="auto"/>
            </w:tcBorders>
            <w:shd w:val="clear" w:color="auto" w:fill="auto"/>
            <w:vAlign w:val="center"/>
            <w:hideMark/>
          </w:tcPr>
          <w:p w14:paraId="6868C61C"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43 914 981</w:t>
            </w:r>
          </w:p>
        </w:tc>
      </w:tr>
      <w:tr w:rsidR="009D3945" w:rsidRPr="009D3945" w14:paraId="2BC3E681"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888FEF8"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0AAA2C1D"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3D6B1AF8"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50F66C0B"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122</w:t>
            </w:r>
          </w:p>
        </w:tc>
        <w:tc>
          <w:tcPr>
            <w:tcW w:w="1420" w:type="dxa"/>
            <w:tcBorders>
              <w:top w:val="nil"/>
              <w:left w:val="nil"/>
              <w:bottom w:val="single" w:sz="4" w:space="0" w:color="auto"/>
              <w:right w:val="single" w:sz="4" w:space="0" w:color="auto"/>
            </w:tcBorders>
            <w:shd w:val="clear" w:color="auto" w:fill="auto"/>
            <w:vAlign w:val="center"/>
            <w:hideMark/>
          </w:tcPr>
          <w:p w14:paraId="286AFEF6"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69 523 355</w:t>
            </w:r>
          </w:p>
        </w:tc>
      </w:tr>
      <w:tr w:rsidR="009D3945" w:rsidRPr="009D3945" w14:paraId="2C19A20E"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156EB31D"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52DA279E"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162EA833"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16F7712A"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125</w:t>
            </w:r>
          </w:p>
        </w:tc>
        <w:tc>
          <w:tcPr>
            <w:tcW w:w="1420" w:type="dxa"/>
            <w:tcBorders>
              <w:top w:val="nil"/>
              <w:left w:val="nil"/>
              <w:bottom w:val="single" w:sz="4" w:space="0" w:color="auto"/>
              <w:right w:val="single" w:sz="4" w:space="0" w:color="auto"/>
            </w:tcBorders>
            <w:shd w:val="clear" w:color="auto" w:fill="auto"/>
            <w:vAlign w:val="center"/>
            <w:hideMark/>
          </w:tcPr>
          <w:p w14:paraId="4AAB639F"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7 025 250</w:t>
            </w:r>
          </w:p>
        </w:tc>
      </w:tr>
      <w:tr w:rsidR="009D3945" w:rsidRPr="009D3945" w14:paraId="67621405"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E6ABE03"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10086B82"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2E111BCA"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Masāk attīstīts</w:t>
            </w:r>
          </w:p>
        </w:tc>
        <w:tc>
          <w:tcPr>
            <w:tcW w:w="960" w:type="dxa"/>
            <w:tcBorders>
              <w:top w:val="nil"/>
              <w:left w:val="nil"/>
              <w:bottom w:val="single" w:sz="4" w:space="0" w:color="auto"/>
              <w:right w:val="single" w:sz="4" w:space="0" w:color="auto"/>
            </w:tcBorders>
            <w:shd w:val="clear" w:color="auto" w:fill="auto"/>
            <w:vAlign w:val="center"/>
            <w:hideMark/>
          </w:tcPr>
          <w:p w14:paraId="6163EBBF"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101</w:t>
            </w:r>
          </w:p>
        </w:tc>
        <w:tc>
          <w:tcPr>
            <w:tcW w:w="1420" w:type="dxa"/>
            <w:tcBorders>
              <w:top w:val="nil"/>
              <w:left w:val="nil"/>
              <w:bottom w:val="single" w:sz="4" w:space="0" w:color="auto"/>
              <w:right w:val="single" w:sz="4" w:space="0" w:color="auto"/>
            </w:tcBorders>
            <w:shd w:val="clear" w:color="auto" w:fill="auto"/>
            <w:vAlign w:val="center"/>
            <w:hideMark/>
          </w:tcPr>
          <w:p w14:paraId="369E063D"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10 200 000</w:t>
            </w:r>
          </w:p>
        </w:tc>
      </w:tr>
      <w:tr w:rsidR="009D3945" w:rsidRPr="009D3945" w14:paraId="4CF9A203"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38A6F70F"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7860BBDC"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3213D6B7"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Masāk attīstīts</w:t>
            </w:r>
          </w:p>
        </w:tc>
        <w:tc>
          <w:tcPr>
            <w:tcW w:w="960" w:type="dxa"/>
            <w:tcBorders>
              <w:top w:val="nil"/>
              <w:left w:val="nil"/>
              <w:bottom w:val="single" w:sz="4" w:space="0" w:color="auto"/>
              <w:right w:val="single" w:sz="4" w:space="0" w:color="auto"/>
            </w:tcBorders>
            <w:shd w:val="clear" w:color="auto" w:fill="auto"/>
            <w:vAlign w:val="center"/>
            <w:hideMark/>
          </w:tcPr>
          <w:p w14:paraId="3E21049F"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107</w:t>
            </w:r>
          </w:p>
        </w:tc>
        <w:tc>
          <w:tcPr>
            <w:tcW w:w="1420" w:type="dxa"/>
            <w:tcBorders>
              <w:top w:val="nil"/>
              <w:left w:val="nil"/>
              <w:bottom w:val="single" w:sz="4" w:space="0" w:color="auto"/>
              <w:right w:val="single" w:sz="4" w:space="0" w:color="auto"/>
            </w:tcBorders>
            <w:shd w:val="clear" w:color="auto" w:fill="auto"/>
            <w:vAlign w:val="center"/>
            <w:hideMark/>
          </w:tcPr>
          <w:p w14:paraId="0A3922D3"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11 647 125</w:t>
            </w:r>
          </w:p>
        </w:tc>
      </w:tr>
      <w:tr w:rsidR="009D3945" w:rsidRPr="009D3945" w14:paraId="7AC54A7E"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1FC9311F"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4.4.prioritāte</w:t>
            </w:r>
          </w:p>
        </w:tc>
        <w:tc>
          <w:tcPr>
            <w:tcW w:w="1340" w:type="dxa"/>
            <w:tcBorders>
              <w:top w:val="nil"/>
              <w:left w:val="nil"/>
              <w:bottom w:val="single" w:sz="4" w:space="0" w:color="auto"/>
              <w:right w:val="single" w:sz="4" w:space="0" w:color="auto"/>
            </w:tcBorders>
            <w:shd w:val="clear" w:color="auto" w:fill="auto"/>
            <w:vAlign w:val="center"/>
            <w:hideMark/>
          </w:tcPr>
          <w:p w14:paraId="046E388C"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137C14E0"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Masāk attīstīts</w:t>
            </w:r>
          </w:p>
        </w:tc>
        <w:tc>
          <w:tcPr>
            <w:tcW w:w="960" w:type="dxa"/>
            <w:tcBorders>
              <w:top w:val="nil"/>
              <w:left w:val="nil"/>
              <w:bottom w:val="single" w:sz="4" w:space="0" w:color="auto"/>
              <w:right w:val="single" w:sz="4" w:space="0" w:color="auto"/>
            </w:tcBorders>
            <w:shd w:val="clear" w:color="auto" w:fill="auto"/>
            <w:vAlign w:val="center"/>
            <w:hideMark/>
          </w:tcPr>
          <w:p w14:paraId="1A3989D4"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121</w:t>
            </w:r>
          </w:p>
        </w:tc>
        <w:tc>
          <w:tcPr>
            <w:tcW w:w="1420" w:type="dxa"/>
            <w:tcBorders>
              <w:top w:val="nil"/>
              <w:left w:val="nil"/>
              <w:bottom w:val="single" w:sz="4" w:space="0" w:color="auto"/>
              <w:right w:val="single" w:sz="4" w:space="0" w:color="auto"/>
            </w:tcBorders>
            <w:shd w:val="clear" w:color="auto" w:fill="auto"/>
            <w:vAlign w:val="center"/>
            <w:hideMark/>
          </w:tcPr>
          <w:p w14:paraId="5D43529D"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18 130 655</w:t>
            </w:r>
          </w:p>
        </w:tc>
      </w:tr>
      <w:tr w:rsidR="009D3945" w:rsidRPr="009D3945" w14:paraId="5A1C06E7"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7DC7AE78"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4.4.prioritāte</w:t>
            </w:r>
          </w:p>
        </w:tc>
        <w:tc>
          <w:tcPr>
            <w:tcW w:w="1340" w:type="dxa"/>
            <w:tcBorders>
              <w:top w:val="nil"/>
              <w:left w:val="nil"/>
              <w:bottom w:val="single" w:sz="4" w:space="0" w:color="auto"/>
              <w:right w:val="single" w:sz="4" w:space="0" w:color="auto"/>
            </w:tcBorders>
            <w:shd w:val="clear" w:color="auto" w:fill="auto"/>
            <w:vAlign w:val="center"/>
            <w:hideMark/>
          </w:tcPr>
          <w:p w14:paraId="707D249B"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0BF2479F"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Masāk attīstīts</w:t>
            </w:r>
          </w:p>
        </w:tc>
        <w:tc>
          <w:tcPr>
            <w:tcW w:w="960" w:type="dxa"/>
            <w:tcBorders>
              <w:top w:val="nil"/>
              <w:left w:val="nil"/>
              <w:bottom w:val="single" w:sz="4" w:space="0" w:color="auto"/>
              <w:right w:val="single" w:sz="4" w:space="0" w:color="auto"/>
            </w:tcBorders>
            <w:shd w:val="clear" w:color="auto" w:fill="auto"/>
            <w:vAlign w:val="center"/>
            <w:hideMark/>
          </w:tcPr>
          <w:p w14:paraId="68B2553C"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122</w:t>
            </w:r>
          </w:p>
        </w:tc>
        <w:tc>
          <w:tcPr>
            <w:tcW w:w="1420" w:type="dxa"/>
            <w:tcBorders>
              <w:top w:val="nil"/>
              <w:left w:val="nil"/>
              <w:bottom w:val="single" w:sz="4" w:space="0" w:color="auto"/>
              <w:right w:val="single" w:sz="4" w:space="0" w:color="auto"/>
            </w:tcBorders>
            <w:shd w:val="clear" w:color="auto" w:fill="auto"/>
            <w:vAlign w:val="center"/>
            <w:hideMark/>
          </w:tcPr>
          <w:p w14:paraId="7811B364"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3 119 345</w:t>
            </w:r>
          </w:p>
        </w:tc>
      </w:tr>
      <w:tr w:rsidR="009D3945" w:rsidRPr="009D3945" w14:paraId="1D9D4C3D"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041A443"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714757BB"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58FDA662"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Masāk attīstīts</w:t>
            </w:r>
          </w:p>
        </w:tc>
        <w:tc>
          <w:tcPr>
            <w:tcW w:w="960" w:type="dxa"/>
            <w:tcBorders>
              <w:top w:val="nil"/>
              <w:left w:val="nil"/>
              <w:bottom w:val="single" w:sz="4" w:space="0" w:color="auto"/>
              <w:right w:val="single" w:sz="4" w:space="0" w:color="auto"/>
            </w:tcBorders>
            <w:shd w:val="clear" w:color="auto" w:fill="auto"/>
            <w:vAlign w:val="center"/>
            <w:hideMark/>
          </w:tcPr>
          <w:p w14:paraId="15E4D2CC"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123</w:t>
            </w:r>
          </w:p>
        </w:tc>
        <w:tc>
          <w:tcPr>
            <w:tcW w:w="1420" w:type="dxa"/>
            <w:tcBorders>
              <w:top w:val="nil"/>
              <w:left w:val="nil"/>
              <w:bottom w:val="single" w:sz="4" w:space="0" w:color="auto"/>
              <w:right w:val="single" w:sz="4" w:space="0" w:color="auto"/>
            </w:tcBorders>
            <w:shd w:val="clear" w:color="auto" w:fill="auto"/>
            <w:vAlign w:val="center"/>
            <w:hideMark/>
          </w:tcPr>
          <w:p w14:paraId="36D17C60"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5 950 000</w:t>
            </w:r>
          </w:p>
        </w:tc>
      </w:tr>
      <w:tr w:rsidR="009D3945" w:rsidRPr="009D3945" w14:paraId="43A85CCE"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36828013"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5.1.prioritāte</w:t>
            </w:r>
          </w:p>
        </w:tc>
        <w:tc>
          <w:tcPr>
            <w:tcW w:w="1340" w:type="dxa"/>
            <w:tcBorders>
              <w:top w:val="nil"/>
              <w:left w:val="nil"/>
              <w:bottom w:val="single" w:sz="4" w:space="0" w:color="auto"/>
              <w:right w:val="single" w:sz="4" w:space="0" w:color="auto"/>
            </w:tcBorders>
            <w:shd w:val="clear" w:color="auto" w:fill="auto"/>
            <w:vAlign w:val="center"/>
            <w:hideMark/>
          </w:tcPr>
          <w:p w14:paraId="4778306B"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68E658B4"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67E5D771"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14</w:t>
            </w:r>
          </w:p>
        </w:tc>
        <w:tc>
          <w:tcPr>
            <w:tcW w:w="1420" w:type="dxa"/>
            <w:tcBorders>
              <w:top w:val="nil"/>
              <w:left w:val="nil"/>
              <w:bottom w:val="single" w:sz="4" w:space="0" w:color="auto"/>
              <w:right w:val="single" w:sz="4" w:space="0" w:color="auto"/>
            </w:tcBorders>
            <w:shd w:val="clear" w:color="auto" w:fill="auto"/>
            <w:vAlign w:val="center"/>
            <w:hideMark/>
          </w:tcPr>
          <w:p w14:paraId="0F261961"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133 110 000</w:t>
            </w:r>
          </w:p>
        </w:tc>
      </w:tr>
      <w:tr w:rsidR="009D3945" w:rsidRPr="009D3945" w14:paraId="55CCBD14"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CFD1803"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5.1.prioritāte</w:t>
            </w:r>
          </w:p>
        </w:tc>
        <w:tc>
          <w:tcPr>
            <w:tcW w:w="1340" w:type="dxa"/>
            <w:tcBorders>
              <w:top w:val="nil"/>
              <w:left w:val="nil"/>
              <w:bottom w:val="single" w:sz="4" w:space="0" w:color="auto"/>
              <w:right w:val="single" w:sz="4" w:space="0" w:color="auto"/>
            </w:tcBorders>
            <w:shd w:val="clear" w:color="auto" w:fill="auto"/>
            <w:vAlign w:val="center"/>
            <w:hideMark/>
          </w:tcPr>
          <w:p w14:paraId="048F0861"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7E412A2E"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24FC28B7"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131bis</w:t>
            </w:r>
          </w:p>
        </w:tc>
        <w:tc>
          <w:tcPr>
            <w:tcW w:w="1420" w:type="dxa"/>
            <w:tcBorders>
              <w:top w:val="nil"/>
              <w:left w:val="nil"/>
              <w:bottom w:val="single" w:sz="4" w:space="0" w:color="auto"/>
              <w:right w:val="single" w:sz="4" w:space="0" w:color="auto"/>
            </w:tcBorders>
            <w:shd w:val="clear" w:color="auto" w:fill="auto"/>
            <w:vAlign w:val="center"/>
            <w:hideMark/>
          </w:tcPr>
          <w:p w14:paraId="79BCA9D8"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377 296</w:t>
            </w:r>
          </w:p>
        </w:tc>
      </w:tr>
      <w:tr w:rsidR="009D3945" w:rsidRPr="009D3945" w14:paraId="23CF9D97"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A7E7A9D"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5.1.prioritāte</w:t>
            </w:r>
          </w:p>
        </w:tc>
        <w:tc>
          <w:tcPr>
            <w:tcW w:w="1340" w:type="dxa"/>
            <w:tcBorders>
              <w:top w:val="nil"/>
              <w:left w:val="nil"/>
              <w:bottom w:val="single" w:sz="4" w:space="0" w:color="auto"/>
              <w:right w:val="single" w:sz="4" w:space="0" w:color="auto"/>
            </w:tcBorders>
            <w:shd w:val="clear" w:color="auto" w:fill="auto"/>
            <w:vAlign w:val="center"/>
            <w:hideMark/>
          </w:tcPr>
          <w:p w14:paraId="5132A46A"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1EDA4602"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36BC89DA"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129</w:t>
            </w:r>
          </w:p>
        </w:tc>
        <w:tc>
          <w:tcPr>
            <w:tcW w:w="1420" w:type="dxa"/>
            <w:tcBorders>
              <w:top w:val="nil"/>
              <w:left w:val="nil"/>
              <w:bottom w:val="single" w:sz="4" w:space="0" w:color="auto"/>
              <w:right w:val="single" w:sz="4" w:space="0" w:color="auto"/>
            </w:tcBorders>
            <w:shd w:val="clear" w:color="auto" w:fill="auto"/>
            <w:vAlign w:val="center"/>
            <w:hideMark/>
          </w:tcPr>
          <w:p w14:paraId="1D6E195C"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50 840 625</w:t>
            </w:r>
          </w:p>
        </w:tc>
      </w:tr>
      <w:tr w:rsidR="009D3945" w:rsidRPr="009D3945" w14:paraId="652B56A5"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EDD620D"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5.1.prioritāte</w:t>
            </w:r>
          </w:p>
        </w:tc>
        <w:tc>
          <w:tcPr>
            <w:tcW w:w="1340" w:type="dxa"/>
            <w:tcBorders>
              <w:top w:val="nil"/>
              <w:left w:val="nil"/>
              <w:bottom w:val="single" w:sz="4" w:space="0" w:color="auto"/>
              <w:right w:val="single" w:sz="4" w:space="0" w:color="auto"/>
            </w:tcBorders>
            <w:shd w:val="clear" w:color="auto" w:fill="auto"/>
            <w:vAlign w:val="center"/>
            <w:hideMark/>
          </w:tcPr>
          <w:p w14:paraId="3E076F67"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3E49A4CD"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2A4412E8"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131</w:t>
            </w:r>
          </w:p>
        </w:tc>
        <w:tc>
          <w:tcPr>
            <w:tcW w:w="1420" w:type="dxa"/>
            <w:tcBorders>
              <w:top w:val="nil"/>
              <w:left w:val="nil"/>
              <w:bottom w:val="single" w:sz="4" w:space="0" w:color="auto"/>
              <w:right w:val="single" w:sz="4" w:space="0" w:color="auto"/>
            </w:tcBorders>
            <w:shd w:val="clear" w:color="auto" w:fill="auto"/>
            <w:vAlign w:val="center"/>
            <w:hideMark/>
          </w:tcPr>
          <w:p w14:paraId="6A129001"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39 193 500</w:t>
            </w:r>
          </w:p>
        </w:tc>
      </w:tr>
      <w:tr w:rsidR="009D3945" w:rsidRPr="009D3945" w14:paraId="2981E50F"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AA7E171"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6.1.prioritāte</w:t>
            </w:r>
          </w:p>
        </w:tc>
        <w:tc>
          <w:tcPr>
            <w:tcW w:w="1340" w:type="dxa"/>
            <w:tcBorders>
              <w:top w:val="nil"/>
              <w:left w:val="nil"/>
              <w:bottom w:val="single" w:sz="4" w:space="0" w:color="auto"/>
              <w:right w:val="single" w:sz="4" w:space="0" w:color="auto"/>
            </w:tcBorders>
            <w:shd w:val="clear" w:color="auto" w:fill="auto"/>
            <w:vAlign w:val="center"/>
            <w:hideMark/>
          </w:tcPr>
          <w:p w14:paraId="25807C4D"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TPF</w:t>
            </w:r>
          </w:p>
        </w:tc>
        <w:tc>
          <w:tcPr>
            <w:tcW w:w="1420" w:type="dxa"/>
            <w:tcBorders>
              <w:top w:val="nil"/>
              <w:left w:val="nil"/>
              <w:bottom w:val="single" w:sz="4" w:space="0" w:color="auto"/>
              <w:right w:val="single" w:sz="4" w:space="0" w:color="auto"/>
            </w:tcBorders>
            <w:shd w:val="clear" w:color="auto" w:fill="auto"/>
            <w:vAlign w:val="center"/>
            <w:hideMark/>
          </w:tcPr>
          <w:p w14:paraId="4D2D5E0E"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607E0EE2"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22</w:t>
            </w:r>
          </w:p>
        </w:tc>
        <w:tc>
          <w:tcPr>
            <w:tcW w:w="1420" w:type="dxa"/>
            <w:tcBorders>
              <w:top w:val="nil"/>
              <w:left w:val="nil"/>
              <w:bottom w:val="single" w:sz="4" w:space="0" w:color="auto"/>
              <w:right w:val="single" w:sz="4" w:space="0" w:color="auto"/>
            </w:tcBorders>
            <w:shd w:val="clear" w:color="auto" w:fill="auto"/>
            <w:noWrap/>
            <w:vAlign w:val="bottom"/>
            <w:hideMark/>
          </w:tcPr>
          <w:p w14:paraId="3234AA9C"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5 574 017</w:t>
            </w:r>
          </w:p>
        </w:tc>
      </w:tr>
      <w:tr w:rsidR="009D3945" w:rsidRPr="009D3945" w14:paraId="3168B801"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773D47BD"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6.1.prioritāte</w:t>
            </w:r>
          </w:p>
        </w:tc>
        <w:tc>
          <w:tcPr>
            <w:tcW w:w="1340" w:type="dxa"/>
            <w:tcBorders>
              <w:top w:val="nil"/>
              <w:left w:val="nil"/>
              <w:bottom w:val="single" w:sz="4" w:space="0" w:color="auto"/>
              <w:right w:val="single" w:sz="4" w:space="0" w:color="auto"/>
            </w:tcBorders>
            <w:shd w:val="clear" w:color="auto" w:fill="auto"/>
            <w:vAlign w:val="center"/>
            <w:hideMark/>
          </w:tcPr>
          <w:p w14:paraId="04F60EF5"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TPF</w:t>
            </w:r>
          </w:p>
        </w:tc>
        <w:tc>
          <w:tcPr>
            <w:tcW w:w="1420" w:type="dxa"/>
            <w:tcBorders>
              <w:top w:val="nil"/>
              <w:left w:val="nil"/>
              <w:bottom w:val="single" w:sz="4" w:space="0" w:color="auto"/>
              <w:right w:val="single" w:sz="4" w:space="0" w:color="auto"/>
            </w:tcBorders>
            <w:shd w:val="clear" w:color="auto" w:fill="auto"/>
            <w:vAlign w:val="center"/>
            <w:hideMark/>
          </w:tcPr>
          <w:p w14:paraId="6EA872B1"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4F44D827"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24</w:t>
            </w:r>
          </w:p>
        </w:tc>
        <w:tc>
          <w:tcPr>
            <w:tcW w:w="1420" w:type="dxa"/>
            <w:tcBorders>
              <w:top w:val="nil"/>
              <w:left w:val="nil"/>
              <w:bottom w:val="single" w:sz="4" w:space="0" w:color="auto"/>
              <w:right w:val="single" w:sz="4" w:space="0" w:color="auto"/>
            </w:tcBorders>
            <w:shd w:val="clear" w:color="auto" w:fill="auto"/>
            <w:noWrap/>
            <w:vAlign w:val="bottom"/>
            <w:hideMark/>
          </w:tcPr>
          <w:p w14:paraId="6E64F06F"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9 290 028</w:t>
            </w:r>
          </w:p>
        </w:tc>
      </w:tr>
      <w:tr w:rsidR="009D3945" w:rsidRPr="009D3945" w14:paraId="5268BCDB"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1967C493"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6.1.prioritāte</w:t>
            </w:r>
          </w:p>
        </w:tc>
        <w:tc>
          <w:tcPr>
            <w:tcW w:w="1340" w:type="dxa"/>
            <w:tcBorders>
              <w:top w:val="nil"/>
              <w:left w:val="nil"/>
              <w:bottom w:val="single" w:sz="4" w:space="0" w:color="auto"/>
              <w:right w:val="single" w:sz="4" w:space="0" w:color="auto"/>
            </w:tcBorders>
            <w:shd w:val="clear" w:color="auto" w:fill="auto"/>
            <w:vAlign w:val="center"/>
            <w:hideMark/>
          </w:tcPr>
          <w:p w14:paraId="3CECF672"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TPF</w:t>
            </w:r>
          </w:p>
        </w:tc>
        <w:tc>
          <w:tcPr>
            <w:tcW w:w="1420" w:type="dxa"/>
            <w:tcBorders>
              <w:top w:val="nil"/>
              <w:left w:val="nil"/>
              <w:bottom w:val="single" w:sz="4" w:space="0" w:color="auto"/>
              <w:right w:val="single" w:sz="4" w:space="0" w:color="auto"/>
            </w:tcBorders>
            <w:shd w:val="clear" w:color="auto" w:fill="auto"/>
            <w:vAlign w:val="center"/>
            <w:hideMark/>
          </w:tcPr>
          <w:p w14:paraId="69B75259"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38DEFF7E"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24bis</w:t>
            </w:r>
          </w:p>
        </w:tc>
        <w:tc>
          <w:tcPr>
            <w:tcW w:w="1420" w:type="dxa"/>
            <w:tcBorders>
              <w:top w:val="nil"/>
              <w:left w:val="nil"/>
              <w:bottom w:val="single" w:sz="4" w:space="0" w:color="auto"/>
              <w:right w:val="single" w:sz="4" w:space="0" w:color="auto"/>
            </w:tcBorders>
            <w:shd w:val="clear" w:color="auto" w:fill="auto"/>
            <w:noWrap/>
            <w:vAlign w:val="bottom"/>
            <w:hideMark/>
          </w:tcPr>
          <w:p w14:paraId="33F4D3A9"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9 290 028</w:t>
            </w:r>
          </w:p>
        </w:tc>
      </w:tr>
      <w:tr w:rsidR="009D3945" w:rsidRPr="009D3945" w14:paraId="34ED5A52"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1721FBD2"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6.1.prioritāte</w:t>
            </w:r>
          </w:p>
        </w:tc>
        <w:tc>
          <w:tcPr>
            <w:tcW w:w="1340" w:type="dxa"/>
            <w:tcBorders>
              <w:top w:val="nil"/>
              <w:left w:val="nil"/>
              <w:bottom w:val="single" w:sz="4" w:space="0" w:color="auto"/>
              <w:right w:val="single" w:sz="4" w:space="0" w:color="auto"/>
            </w:tcBorders>
            <w:shd w:val="clear" w:color="auto" w:fill="auto"/>
            <w:vAlign w:val="center"/>
            <w:hideMark/>
          </w:tcPr>
          <w:p w14:paraId="0DC66E1A"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TPF</w:t>
            </w:r>
          </w:p>
        </w:tc>
        <w:tc>
          <w:tcPr>
            <w:tcW w:w="1420" w:type="dxa"/>
            <w:tcBorders>
              <w:top w:val="nil"/>
              <w:left w:val="nil"/>
              <w:bottom w:val="single" w:sz="4" w:space="0" w:color="auto"/>
              <w:right w:val="single" w:sz="4" w:space="0" w:color="auto"/>
            </w:tcBorders>
            <w:shd w:val="clear" w:color="auto" w:fill="auto"/>
            <w:vAlign w:val="center"/>
            <w:hideMark/>
          </w:tcPr>
          <w:p w14:paraId="107A8183"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46C73C8E"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27</w:t>
            </w:r>
          </w:p>
        </w:tc>
        <w:tc>
          <w:tcPr>
            <w:tcW w:w="1420" w:type="dxa"/>
            <w:tcBorders>
              <w:top w:val="nil"/>
              <w:left w:val="nil"/>
              <w:bottom w:val="single" w:sz="4" w:space="0" w:color="auto"/>
              <w:right w:val="single" w:sz="4" w:space="0" w:color="auto"/>
            </w:tcBorders>
            <w:shd w:val="clear" w:color="auto" w:fill="auto"/>
            <w:noWrap/>
            <w:vAlign w:val="bottom"/>
            <w:hideMark/>
          </w:tcPr>
          <w:p w14:paraId="766251E9"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9 290 028</w:t>
            </w:r>
          </w:p>
        </w:tc>
      </w:tr>
      <w:tr w:rsidR="009D3945" w:rsidRPr="009D3945" w14:paraId="4A0C838A"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10AECD3D"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6.1.prioritāte</w:t>
            </w:r>
          </w:p>
        </w:tc>
        <w:tc>
          <w:tcPr>
            <w:tcW w:w="1340" w:type="dxa"/>
            <w:tcBorders>
              <w:top w:val="nil"/>
              <w:left w:val="nil"/>
              <w:bottom w:val="single" w:sz="4" w:space="0" w:color="auto"/>
              <w:right w:val="single" w:sz="4" w:space="0" w:color="auto"/>
            </w:tcBorders>
            <w:shd w:val="clear" w:color="auto" w:fill="auto"/>
            <w:vAlign w:val="center"/>
            <w:hideMark/>
          </w:tcPr>
          <w:p w14:paraId="1D0461A6"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TPF</w:t>
            </w:r>
          </w:p>
        </w:tc>
        <w:tc>
          <w:tcPr>
            <w:tcW w:w="1420" w:type="dxa"/>
            <w:tcBorders>
              <w:top w:val="nil"/>
              <w:left w:val="nil"/>
              <w:bottom w:val="single" w:sz="4" w:space="0" w:color="auto"/>
              <w:right w:val="single" w:sz="4" w:space="0" w:color="auto"/>
            </w:tcBorders>
            <w:shd w:val="clear" w:color="auto" w:fill="auto"/>
            <w:vAlign w:val="center"/>
            <w:hideMark/>
          </w:tcPr>
          <w:p w14:paraId="4C22D187"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6ECD1908"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47</w:t>
            </w:r>
          </w:p>
        </w:tc>
        <w:tc>
          <w:tcPr>
            <w:tcW w:w="1420" w:type="dxa"/>
            <w:tcBorders>
              <w:top w:val="nil"/>
              <w:left w:val="nil"/>
              <w:bottom w:val="single" w:sz="4" w:space="0" w:color="auto"/>
              <w:right w:val="single" w:sz="4" w:space="0" w:color="auto"/>
            </w:tcBorders>
            <w:shd w:val="clear" w:color="auto" w:fill="auto"/>
            <w:noWrap/>
            <w:vAlign w:val="bottom"/>
            <w:hideMark/>
          </w:tcPr>
          <w:p w14:paraId="1BCAB19D"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41 805 124</w:t>
            </w:r>
          </w:p>
        </w:tc>
      </w:tr>
      <w:tr w:rsidR="009D3945" w:rsidRPr="009D3945" w14:paraId="7D09EB39"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D1F251D"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6.1.prioritāte</w:t>
            </w:r>
          </w:p>
        </w:tc>
        <w:tc>
          <w:tcPr>
            <w:tcW w:w="1340" w:type="dxa"/>
            <w:tcBorders>
              <w:top w:val="nil"/>
              <w:left w:val="nil"/>
              <w:bottom w:val="single" w:sz="4" w:space="0" w:color="auto"/>
              <w:right w:val="single" w:sz="4" w:space="0" w:color="auto"/>
            </w:tcBorders>
            <w:shd w:val="clear" w:color="auto" w:fill="auto"/>
            <w:vAlign w:val="center"/>
            <w:hideMark/>
          </w:tcPr>
          <w:p w14:paraId="0EDFBD87"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TPF</w:t>
            </w:r>
          </w:p>
        </w:tc>
        <w:tc>
          <w:tcPr>
            <w:tcW w:w="1420" w:type="dxa"/>
            <w:tcBorders>
              <w:top w:val="nil"/>
              <w:left w:val="nil"/>
              <w:bottom w:val="single" w:sz="4" w:space="0" w:color="auto"/>
              <w:right w:val="single" w:sz="4" w:space="0" w:color="auto"/>
            </w:tcBorders>
            <w:shd w:val="clear" w:color="auto" w:fill="auto"/>
            <w:vAlign w:val="center"/>
            <w:hideMark/>
          </w:tcPr>
          <w:p w14:paraId="38769E6A"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39A80F17"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47bis</w:t>
            </w:r>
          </w:p>
        </w:tc>
        <w:tc>
          <w:tcPr>
            <w:tcW w:w="1420" w:type="dxa"/>
            <w:tcBorders>
              <w:top w:val="nil"/>
              <w:left w:val="nil"/>
              <w:bottom w:val="single" w:sz="4" w:space="0" w:color="auto"/>
              <w:right w:val="single" w:sz="4" w:space="0" w:color="auto"/>
            </w:tcBorders>
            <w:shd w:val="clear" w:color="auto" w:fill="auto"/>
            <w:noWrap/>
            <w:vAlign w:val="bottom"/>
            <w:hideMark/>
          </w:tcPr>
          <w:p w14:paraId="64E9EBDA"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41 805 124</w:t>
            </w:r>
          </w:p>
        </w:tc>
      </w:tr>
      <w:tr w:rsidR="009D3945" w:rsidRPr="009D3945" w14:paraId="513446CD"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091F288"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6.1.prioritāte</w:t>
            </w:r>
          </w:p>
        </w:tc>
        <w:tc>
          <w:tcPr>
            <w:tcW w:w="1340" w:type="dxa"/>
            <w:tcBorders>
              <w:top w:val="nil"/>
              <w:left w:val="nil"/>
              <w:bottom w:val="single" w:sz="4" w:space="0" w:color="auto"/>
              <w:right w:val="single" w:sz="4" w:space="0" w:color="auto"/>
            </w:tcBorders>
            <w:shd w:val="clear" w:color="auto" w:fill="auto"/>
            <w:vAlign w:val="center"/>
            <w:hideMark/>
          </w:tcPr>
          <w:p w14:paraId="7A11F297"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TPF</w:t>
            </w:r>
          </w:p>
        </w:tc>
        <w:tc>
          <w:tcPr>
            <w:tcW w:w="1420" w:type="dxa"/>
            <w:tcBorders>
              <w:top w:val="nil"/>
              <w:left w:val="nil"/>
              <w:bottom w:val="single" w:sz="4" w:space="0" w:color="auto"/>
              <w:right w:val="single" w:sz="4" w:space="0" w:color="auto"/>
            </w:tcBorders>
            <w:shd w:val="clear" w:color="auto" w:fill="auto"/>
            <w:vAlign w:val="center"/>
            <w:hideMark/>
          </w:tcPr>
          <w:p w14:paraId="1D948AFD"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66A4BBCA"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50</w:t>
            </w:r>
          </w:p>
        </w:tc>
        <w:tc>
          <w:tcPr>
            <w:tcW w:w="1420" w:type="dxa"/>
            <w:tcBorders>
              <w:top w:val="nil"/>
              <w:left w:val="nil"/>
              <w:bottom w:val="single" w:sz="4" w:space="0" w:color="auto"/>
              <w:right w:val="single" w:sz="4" w:space="0" w:color="auto"/>
            </w:tcBorders>
            <w:shd w:val="clear" w:color="auto" w:fill="auto"/>
            <w:noWrap/>
            <w:vAlign w:val="bottom"/>
            <w:hideMark/>
          </w:tcPr>
          <w:p w14:paraId="1B240DDB"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16 722 050</w:t>
            </w:r>
          </w:p>
        </w:tc>
      </w:tr>
      <w:tr w:rsidR="009D3945" w:rsidRPr="009D3945" w14:paraId="6608134C"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D8D01CF"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6.1.prioritāte</w:t>
            </w:r>
          </w:p>
        </w:tc>
        <w:tc>
          <w:tcPr>
            <w:tcW w:w="1340" w:type="dxa"/>
            <w:tcBorders>
              <w:top w:val="nil"/>
              <w:left w:val="nil"/>
              <w:bottom w:val="single" w:sz="4" w:space="0" w:color="auto"/>
              <w:right w:val="single" w:sz="4" w:space="0" w:color="auto"/>
            </w:tcBorders>
            <w:shd w:val="clear" w:color="auto" w:fill="auto"/>
            <w:vAlign w:val="center"/>
            <w:hideMark/>
          </w:tcPr>
          <w:p w14:paraId="058B4C27"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TPF</w:t>
            </w:r>
          </w:p>
        </w:tc>
        <w:tc>
          <w:tcPr>
            <w:tcW w:w="1420" w:type="dxa"/>
            <w:tcBorders>
              <w:top w:val="nil"/>
              <w:left w:val="nil"/>
              <w:bottom w:val="single" w:sz="4" w:space="0" w:color="auto"/>
              <w:right w:val="single" w:sz="4" w:space="0" w:color="auto"/>
            </w:tcBorders>
            <w:shd w:val="clear" w:color="auto" w:fill="auto"/>
            <w:vAlign w:val="center"/>
            <w:hideMark/>
          </w:tcPr>
          <w:p w14:paraId="4BF52180"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16130139"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74</w:t>
            </w:r>
          </w:p>
        </w:tc>
        <w:tc>
          <w:tcPr>
            <w:tcW w:w="1420" w:type="dxa"/>
            <w:tcBorders>
              <w:top w:val="nil"/>
              <w:left w:val="nil"/>
              <w:bottom w:val="single" w:sz="4" w:space="0" w:color="auto"/>
              <w:right w:val="single" w:sz="4" w:space="0" w:color="auto"/>
            </w:tcBorders>
            <w:shd w:val="clear" w:color="auto" w:fill="auto"/>
            <w:noWrap/>
            <w:vAlign w:val="bottom"/>
            <w:hideMark/>
          </w:tcPr>
          <w:p w14:paraId="337D3932"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27 870 083</w:t>
            </w:r>
          </w:p>
        </w:tc>
      </w:tr>
      <w:tr w:rsidR="009D3945" w:rsidRPr="009D3945" w14:paraId="6D87B4EB"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ED9262C"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6.1.prioritāte</w:t>
            </w:r>
          </w:p>
        </w:tc>
        <w:tc>
          <w:tcPr>
            <w:tcW w:w="1340" w:type="dxa"/>
            <w:tcBorders>
              <w:top w:val="nil"/>
              <w:left w:val="nil"/>
              <w:bottom w:val="single" w:sz="4" w:space="0" w:color="auto"/>
              <w:right w:val="single" w:sz="4" w:space="0" w:color="auto"/>
            </w:tcBorders>
            <w:shd w:val="clear" w:color="auto" w:fill="auto"/>
            <w:vAlign w:val="center"/>
            <w:hideMark/>
          </w:tcPr>
          <w:p w14:paraId="4B9A3E79"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TPF</w:t>
            </w:r>
          </w:p>
        </w:tc>
        <w:tc>
          <w:tcPr>
            <w:tcW w:w="1420" w:type="dxa"/>
            <w:tcBorders>
              <w:top w:val="nil"/>
              <w:left w:val="nil"/>
              <w:bottom w:val="single" w:sz="4" w:space="0" w:color="auto"/>
              <w:right w:val="single" w:sz="4" w:space="0" w:color="auto"/>
            </w:tcBorders>
            <w:shd w:val="clear" w:color="auto" w:fill="auto"/>
            <w:vAlign w:val="center"/>
            <w:hideMark/>
          </w:tcPr>
          <w:p w14:paraId="775B95A6"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0F88FE83"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114</w:t>
            </w:r>
          </w:p>
        </w:tc>
        <w:tc>
          <w:tcPr>
            <w:tcW w:w="1420" w:type="dxa"/>
            <w:tcBorders>
              <w:top w:val="nil"/>
              <w:left w:val="nil"/>
              <w:bottom w:val="single" w:sz="4" w:space="0" w:color="auto"/>
              <w:right w:val="single" w:sz="4" w:space="0" w:color="auto"/>
            </w:tcBorders>
            <w:shd w:val="clear" w:color="auto" w:fill="auto"/>
            <w:noWrap/>
            <w:vAlign w:val="bottom"/>
            <w:hideMark/>
          </w:tcPr>
          <w:p w14:paraId="1D840A31"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20 438 061</w:t>
            </w:r>
          </w:p>
        </w:tc>
      </w:tr>
      <w:tr w:rsidR="009D3945" w:rsidRPr="009D3945" w14:paraId="0D8F9D48"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A348147"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6.1.prioritāte</w:t>
            </w:r>
          </w:p>
        </w:tc>
        <w:tc>
          <w:tcPr>
            <w:tcW w:w="1340" w:type="dxa"/>
            <w:tcBorders>
              <w:top w:val="nil"/>
              <w:left w:val="nil"/>
              <w:bottom w:val="single" w:sz="4" w:space="0" w:color="auto"/>
              <w:right w:val="single" w:sz="4" w:space="0" w:color="auto"/>
            </w:tcBorders>
            <w:shd w:val="clear" w:color="auto" w:fill="auto"/>
            <w:vAlign w:val="center"/>
            <w:hideMark/>
          </w:tcPr>
          <w:p w14:paraId="1B503578" w14:textId="77777777" w:rsidR="009D3945" w:rsidRPr="009D3945" w:rsidRDefault="009D3945" w:rsidP="009D3945">
            <w:pPr>
              <w:spacing w:before="0" w:after="0"/>
              <w:jc w:val="left"/>
              <w:rPr>
                <w:rFonts w:eastAsia="Times New Roman"/>
                <w:color w:val="000000"/>
                <w:sz w:val="20"/>
                <w:lang w:val="en-GB" w:eastAsia="en-GB" w:bidi="ne-NP"/>
              </w:rPr>
            </w:pPr>
            <w:r w:rsidRPr="009D3945">
              <w:rPr>
                <w:rFonts w:eastAsia="Times New Roman"/>
                <w:color w:val="000000"/>
                <w:sz w:val="20"/>
                <w:lang w:val="en-GB" w:eastAsia="en-GB" w:bidi="ne-NP"/>
              </w:rPr>
              <w:t>TPF</w:t>
            </w:r>
          </w:p>
        </w:tc>
        <w:tc>
          <w:tcPr>
            <w:tcW w:w="1420" w:type="dxa"/>
            <w:tcBorders>
              <w:top w:val="nil"/>
              <w:left w:val="nil"/>
              <w:bottom w:val="single" w:sz="4" w:space="0" w:color="auto"/>
              <w:right w:val="single" w:sz="4" w:space="0" w:color="auto"/>
            </w:tcBorders>
            <w:shd w:val="clear" w:color="auto" w:fill="auto"/>
            <w:vAlign w:val="center"/>
            <w:hideMark/>
          </w:tcPr>
          <w:p w14:paraId="6F200AAB"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3B46264D"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131bis</w:t>
            </w:r>
          </w:p>
        </w:tc>
        <w:tc>
          <w:tcPr>
            <w:tcW w:w="1420" w:type="dxa"/>
            <w:tcBorders>
              <w:top w:val="nil"/>
              <w:left w:val="nil"/>
              <w:bottom w:val="single" w:sz="4" w:space="0" w:color="auto"/>
              <w:right w:val="single" w:sz="4" w:space="0" w:color="auto"/>
            </w:tcBorders>
            <w:shd w:val="clear" w:color="auto" w:fill="auto"/>
            <w:noWrap/>
            <w:vAlign w:val="bottom"/>
            <w:hideMark/>
          </w:tcPr>
          <w:p w14:paraId="3F0713CE"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1 858 006</w:t>
            </w:r>
          </w:p>
        </w:tc>
      </w:tr>
    </w:tbl>
    <w:p w14:paraId="67CB7308" w14:textId="77777777" w:rsidR="00AC212B" w:rsidRPr="00930237" w:rsidRDefault="00AC212B" w:rsidP="00AC212B">
      <w:pPr>
        <w:spacing w:before="0" w:after="0"/>
        <w:ind w:left="-5" w:hanging="10"/>
        <w:rPr>
          <w:b/>
          <w:sz w:val="20"/>
        </w:rPr>
      </w:pPr>
    </w:p>
    <w:p w14:paraId="14F8DF64" w14:textId="77777777" w:rsidR="00AC212B" w:rsidRPr="00930237" w:rsidRDefault="00AC212B" w:rsidP="00AC212B">
      <w:pPr>
        <w:spacing w:before="0" w:after="0"/>
        <w:rPr>
          <w:sz w:val="20"/>
        </w:rPr>
      </w:pPr>
    </w:p>
    <w:p w14:paraId="2A9EBCFF" w14:textId="77777777" w:rsidR="00AC212B" w:rsidRPr="00930237" w:rsidRDefault="00AC212B" w:rsidP="00AC212B">
      <w:pPr>
        <w:spacing w:before="0" w:after="0"/>
        <w:rPr>
          <w:sz w:val="20"/>
        </w:rPr>
      </w:pPr>
    </w:p>
    <w:p w14:paraId="26C548EC" w14:textId="2EAC277C" w:rsidR="00AC212B" w:rsidRDefault="00AC212B" w:rsidP="00AC212B">
      <w:pPr>
        <w:spacing w:before="0" w:after="0"/>
        <w:rPr>
          <w:b/>
          <w:sz w:val="20"/>
        </w:rPr>
      </w:pPr>
      <w:r w:rsidRPr="00930237">
        <w:rPr>
          <w:b/>
          <w:sz w:val="20"/>
        </w:rPr>
        <w:t xml:space="preserve"> </w:t>
      </w:r>
      <w:r w:rsidR="00F4152B">
        <w:rPr>
          <w:b/>
          <w:sz w:val="20"/>
        </w:rPr>
        <w:t>1</w:t>
      </w:r>
      <w:r w:rsidRPr="00930237">
        <w:rPr>
          <w:b/>
          <w:sz w:val="20"/>
        </w:rPr>
        <w:t xml:space="preserve">5.tabula </w:t>
      </w:r>
      <w:r w:rsidR="00D67F06">
        <w:rPr>
          <w:b/>
          <w:sz w:val="20"/>
        </w:rPr>
        <w:t xml:space="preserve">(5) </w:t>
      </w:r>
      <w:r w:rsidRPr="00930237">
        <w:rPr>
          <w:b/>
          <w:sz w:val="20"/>
        </w:rPr>
        <w:t>Dimensija 2 – Finansējuma veids</w:t>
      </w:r>
      <w:r w:rsidR="00905E88">
        <w:rPr>
          <w:rStyle w:val="FootnoteReference"/>
          <w:b/>
          <w:sz w:val="20"/>
        </w:rPr>
        <w:footnoteReference w:id="136"/>
      </w:r>
    </w:p>
    <w:tbl>
      <w:tblPr>
        <w:tblW w:w="6460" w:type="dxa"/>
        <w:tblLook w:val="04A0" w:firstRow="1" w:lastRow="0" w:firstColumn="1" w:lastColumn="0" w:noHBand="0" w:noVBand="1"/>
      </w:tblPr>
      <w:tblGrid>
        <w:gridCol w:w="1320"/>
        <w:gridCol w:w="1340"/>
        <w:gridCol w:w="1420"/>
        <w:gridCol w:w="960"/>
        <w:gridCol w:w="1420"/>
      </w:tblGrid>
      <w:tr w:rsidR="009D3945" w:rsidRPr="009D3945" w14:paraId="72BB8C74" w14:textId="77777777" w:rsidTr="009D3945">
        <w:trPr>
          <w:trHeight w:val="765"/>
          <w:tblHeader/>
        </w:trPr>
        <w:tc>
          <w:tcPr>
            <w:tcW w:w="13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D3AA9A" w14:textId="77777777" w:rsidR="009D3945" w:rsidRPr="009D3945" w:rsidRDefault="009D3945" w:rsidP="009D3945">
            <w:pPr>
              <w:spacing w:before="0" w:after="0"/>
              <w:jc w:val="center"/>
              <w:rPr>
                <w:rFonts w:eastAsia="Times New Roman"/>
                <w:b/>
                <w:bCs/>
                <w:color w:val="000000"/>
                <w:sz w:val="20"/>
                <w:lang w:val="en-GB" w:eastAsia="en-GB" w:bidi="ne-NP"/>
              </w:rPr>
            </w:pPr>
            <w:r w:rsidRPr="009D3945">
              <w:rPr>
                <w:rFonts w:eastAsia="Times New Roman"/>
                <w:b/>
                <w:bCs/>
                <w:color w:val="000000"/>
                <w:sz w:val="20"/>
                <w:lang w:val="en-GB" w:eastAsia="en-GB" w:bidi="ne-NP"/>
              </w:rPr>
              <w:t xml:space="preserve">Prioritātes Nr. </w:t>
            </w:r>
          </w:p>
        </w:tc>
        <w:tc>
          <w:tcPr>
            <w:tcW w:w="1340" w:type="dxa"/>
            <w:tcBorders>
              <w:top w:val="single" w:sz="4" w:space="0" w:color="auto"/>
              <w:left w:val="nil"/>
              <w:bottom w:val="single" w:sz="4" w:space="0" w:color="auto"/>
              <w:right w:val="single" w:sz="4" w:space="0" w:color="auto"/>
            </w:tcBorders>
            <w:shd w:val="clear" w:color="000000" w:fill="D9D9D9"/>
            <w:vAlign w:val="center"/>
            <w:hideMark/>
          </w:tcPr>
          <w:p w14:paraId="0E44E0A4" w14:textId="77777777" w:rsidR="009D3945" w:rsidRPr="009D3945" w:rsidRDefault="009D3945" w:rsidP="009D3945">
            <w:pPr>
              <w:spacing w:before="0" w:after="0"/>
              <w:jc w:val="center"/>
              <w:rPr>
                <w:rFonts w:eastAsia="Times New Roman"/>
                <w:b/>
                <w:bCs/>
                <w:color w:val="000000"/>
                <w:sz w:val="20"/>
                <w:lang w:val="en-GB" w:eastAsia="en-GB" w:bidi="ne-NP"/>
              </w:rPr>
            </w:pPr>
            <w:r w:rsidRPr="009D3945">
              <w:rPr>
                <w:rFonts w:eastAsia="Times New Roman"/>
                <w:b/>
                <w:bCs/>
                <w:color w:val="000000"/>
                <w:sz w:val="20"/>
                <w:lang w:val="en-GB" w:eastAsia="en-GB" w:bidi="ne-NP"/>
              </w:rPr>
              <w:t>Fonds</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036AAF73" w14:textId="77777777" w:rsidR="009D3945" w:rsidRPr="009D3945" w:rsidRDefault="009D3945" w:rsidP="009D3945">
            <w:pPr>
              <w:spacing w:before="0" w:after="0"/>
              <w:jc w:val="center"/>
              <w:rPr>
                <w:rFonts w:eastAsia="Times New Roman"/>
                <w:b/>
                <w:bCs/>
                <w:color w:val="000000"/>
                <w:sz w:val="20"/>
                <w:lang w:val="en-GB" w:eastAsia="en-GB" w:bidi="ne-NP"/>
              </w:rPr>
            </w:pPr>
            <w:r w:rsidRPr="009D3945">
              <w:rPr>
                <w:rFonts w:eastAsia="Times New Roman"/>
                <w:b/>
                <w:bCs/>
                <w:color w:val="000000"/>
                <w:sz w:val="20"/>
                <w:lang w:val="en-GB" w:eastAsia="en-GB" w:bidi="ne-NP"/>
              </w:rPr>
              <w:t>Reģiona kategorija</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2ED98746" w14:textId="77777777" w:rsidR="009D3945" w:rsidRPr="009D3945" w:rsidRDefault="009D3945" w:rsidP="009D3945">
            <w:pPr>
              <w:spacing w:before="0" w:after="0"/>
              <w:jc w:val="center"/>
              <w:rPr>
                <w:rFonts w:eastAsia="Times New Roman"/>
                <w:b/>
                <w:bCs/>
                <w:color w:val="000000"/>
                <w:sz w:val="20"/>
                <w:lang w:val="en-GB" w:eastAsia="en-GB" w:bidi="ne-NP"/>
              </w:rPr>
            </w:pPr>
            <w:r w:rsidRPr="009D3945">
              <w:rPr>
                <w:rFonts w:eastAsia="Times New Roman"/>
                <w:b/>
                <w:bCs/>
                <w:color w:val="000000"/>
                <w:sz w:val="20"/>
                <w:lang w:val="en-GB" w:eastAsia="en-GB" w:bidi="ne-NP"/>
              </w:rPr>
              <w:t xml:space="preserve">Kods </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03B28596" w14:textId="0E556CA9" w:rsidR="009D3945" w:rsidRPr="009D3945" w:rsidRDefault="009D3945" w:rsidP="009D3945">
            <w:pPr>
              <w:spacing w:before="0" w:after="0"/>
              <w:jc w:val="center"/>
              <w:rPr>
                <w:rFonts w:eastAsia="Times New Roman"/>
                <w:b/>
                <w:bCs/>
                <w:color w:val="000000"/>
                <w:sz w:val="20"/>
                <w:lang w:val="en-GB" w:eastAsia="en-GB" w:bidi="ne-NP"/>
              </w:rPr>
            </w:pPr>
            <w:r w:rsidRPr="009D3945">
              <w:rPr>
                <w:rFonts w:eastAsia="Times New Roman"/>
                <w:b/>
                <w:bCs/>
                <w:color w:val="000000"/>
                <w:sz w:val="20"/>
                <w:lang w:val="en-GB" w:eastAsia="en-GB" w:bidi="ne-NP"/>
              </w:rPr>
              <w:t xml:space="preserve">Apjoms (EUR) </w:t>
            </w:r>
          </w:p>
        </w:tc>
      </w:tr>
      <w:tr w:rsidR="009D3945" w:rsidRPr="009D3945" w14:paraId="31EADC34"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0082A7D"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1.1.prioritāte</w:t>
            </w:r>
          </w:p>
        </w:tc>
        <w:tc>
          <w:tcPr>
            <w:tcW w:w="1340" w:type="dxa"/>
            <w:tcBorders>
              <w:top w:val="nil"/>
              <w:left w:val="nil"/>
              <w:bottom w:val="single" w:sz="4" w:space="0" w:color="auto"/>
              <w:right w:val="single" w:sz="4" w:space="0" w:color="auto"/>
            </w:tcBorders>
            <w:shd w:val="clear" w:color="auto" w:fill="auto"/>
            <w:vAlign w:val="center"/>
            <w:hideMark/>
          </w:tcPr>
          <w:p w14:paraId="7452CA0F"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271E9AAF"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5C210184"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01</w:t>
            </w:r>
          </w:p>
        </w:tc>
        <w:tc>
          <w:tcPr>
            <w:tcW w:w="1420" w:type="dxa"/>
            <w:tcBorders>
              <w:top w:val="nil"/>
              <w:left w:val="nil"/>
              <w:bottom w:val="single" w:sz="4" w:space="0" w:color="auto"/>
              <w:right w:val="single" w:sz="4" w:space="0" w:color="auto"/>
            </w:tcBorders>
            <w:shd w:val="clear" w:color="auto" w:fill="auto"/>
            <w:vAlign w:val="center"/>
            <w:hideMark/>
          </w:tcPr>
          <w:p w14:paraId="42898CC9"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271 879 037</w:t>
            </w:r>
          </w:p>
        </w:tc>
      </w:tr>
      <w:tr w:rsidR="009D3945" w:rsidRPr="009D3945" w14:paraId="4FE3B9EB"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1A0E80EC"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1.2.prioritāte</w:t>
            </w:r>
          </w:p>
        </w:tc>
        <w:tc>
          <w:tcPr>
            <w:tcW w:w="1340" w:type="dxa"/>
            <w:tcBorders>
              <w:top w:val="nil"/>
              <w:left w:val="nil"/>
              <w:bottom w:val="single" w:sz="4" w:space="0" w:color="auto"/>
              <w:right w:val="single" w:sz="4" w:space="0" w:color="auto"/>
            </w:tcBorders>
            <w:shd w:val="clear" w:color="auto" w:fill="auto"/>
            <w:vAlign w:val="center"/>
            <w:hideMark/>
          </w:tcPr>
          <w:p w14:paraId="3974A2E5"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4A99F7C5"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0FC30C79"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01</w:t>
            </w:r>
          </w:p>
        </w:tc>
        <w:tc>
          <w:tcPr>
            <w:tcW w:w="1420" w:type="dxa"/>
            <w:tcBorders>
              <w:top w:val="nil"/>
              <w:left w:val="nil"/>
              <w:bottom w:val="single" w:sz="4" w:space="0" w:color="auto"/>
              <w:right w:val="single" w:sz="4" w:space="0" w:color="auto"/>
            </w:tcBorders>
            <w:shd w:val="clear" w:color="auto" w:fill="auto"/>
            <w:vAlign w:val="center"/>
            <w:hideMark/>
          </w:tcPr>
          <w:p w14:paraId="5CF220DE"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152 243 500</w:t>
            </w:r>
          </w:p>
        </w:tc>
      </w:tr>
      <w:tr w:rsidR="009D3945" w:rsidRPr="009D3945" w14:paraId="13777C8E"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E603AF8"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1.2.prioritāte</w:t>
            </w:r>
          </w:p>
        </w:tc>
        <w:tc>
          <w:tcPr>
            <w:tcW w:w="1340" w:type="dxa"/>
            <w:tcBorders>
              <w:top w:val="nil"/>
              <w:left w:val="nil"/>
              <w:bottom w:val="single" w:sz="4" w:space="0" w:color="auto"/>
              <w:right w:val="single" w:sz="4" w:space="0" w:color="auto"/>
            </w:tcBorders>
            <w:shd w:val="clear" w:color="auto" w:fill="auto"/>
            <w:vAlign w:val="center"/>
            <w:hideMark/>
          </w:tcPr>
          <w:p w14:paraId="7CC32AAF"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66497FAC"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2CB3CC51"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02</w:t>
            </w:r>
          </w:p>
        </w:tc>
        <w:tc>
          <w:tcPr>
            <w:tcW w:w="1420" w:type="dxa"/>
            <w:tcBorders>
              <w:top w:val="nil"/>
              <w:left w:val="nil"/>
              <w:bottom w:val="single" w:sz="4" w:space="0" w:color="auto"/>
              <w:right w:val="single" w:sz="4" w:space="0" w:color="auto"/>
            </w:tcBorders>
            <w:shd w:val="clear" w:color="auto" w:fill="auto"/>
            <w:vAlign w:val="center"/>
            <w:hideMark/>
          </w:tcPr>
          <w:p w14:paraId="311BD2EC"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69 268 700</w:t>
            </w:r>
          </w:p>
        </w:tc>
      </w:tr>
      <w:tr w:rsidR="009D3945" w:rsidRPr="009D3945" w14:paraId="031FE99F"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9F21EBD"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1.2.prioritāte</w:t>
            </w:r>
          </w:p>
        </w:tc>
        <w:tc>
          <w:tcPr>
            <w:tcW w:w="1340" w:type="dxa"/>
            <w:tcBorders>
              <w:top w:val="nil"/>
              <w:left w:val="nil"/>
              <w:bottom w:val="single" w:sz="4" w:space="0" w:color="auto"/>
              <w:right w:val="single" w:sz="4" w:space="0" w:color="auto"/>
            </w:tcBorders>
            <w:shd w:val="clear" w:color="auto" w:fill="auto"/>
            <w:vAlign w:val="center"/>
            <w:hideMark/>
          </w:tcPr>
          <w:p w14:paraId="0892199F"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67ED9DE2"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21CEDEFD"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03</w:t>
            </w:r>
          </w:p>
        </w:tc>
        <w:tc>
          <w:tcPr>
            <w:tcW w:w="1420" w:type="dxa"/>
            <w:tcBorders>
              <w:top w:val="nil"/>
              <w:left w:val="nil"/>
              <w:bottom w:val="single" w:sz="4" w:space="0" w:color="auto"/>
              <w:right w:val="single" w:sz="4" w:space="0" w:color="auto"/>
            </w:tcBorders>
            <w:shd w:val="clear" w:color="auto" w:fill="auto"/>
            <w:vAlign w:val="center"/>
            <w:hideMark/>
          </w:tcPr>
          <w:p w14:paraId="6AB6D540"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52 553 280</w:t>
            </w:r>
          </w:p>
        </w:tc>
      </w:tr>
      <w:tr w:rsidR="009D3945" w:rsidRPr="009D3945" w14:paraId="2BFDE26E"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7A52256A"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1.2.prioritāte</w:t>
            </w:r>
          </w:p>
        </w:tc>
        <w:tc>
          <w:tcPr>
            <w:tcW w:w="1340" w:type="dxa"/>
            <w:tcBorders>
              <w:top w:val="nil"/>
              <w:left w:val="nil"/>
              <w:bottom w:val="single" w:sz="4" w:space="0" w:color="auto"/>
              <w:right w:val="single" w:sz="4" w:space="0" w:color="auto"/>
            </w:tcBorders>
            <w:shd w:val="clear" w:color="auto" w:fill="auto"/>
            <w:vAlign w:val="center"/>
            <w:hideMark/>
          </w:tcPr>
          <w:p w14:paraId="3C725D9B"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0A7DC4B9"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15F0B6A4"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04</w:t>
            </w:r>
          </w:p>
        </w:tc>
        <w:tc>
          <w:tcPr>
            <w:tcW w:w="1420" w:type="dxa"/>
            <w:tcBorders>
              <w:top w:val="nil"/>
              <w:left w:val="nil"/>
              <w:bottom w:val="single" w:sz="4" w:space="0" w:color="auto"/>
              <w:right w:val="single" w:sz="4" w:space="0" w:color="auto"/>
            </w:tcBorders>
            <w:shd w:val="clear" w:color="auto" w:fill="auto"/>
            <w:vAlign w:val="center"/>
            <w:hideMark/>
          </w:tcPr>
          <w:p w14:paraId="3A8C1B3E"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49 114 800</w:t>
            </w:r>
          </w:p>
        </w:tc>
      </w:tr>
      <w:tr w:rsidR="009D3945" w:rsidRPr="009D3945" w14:paraId="23882E6A"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5E465AF"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1.2.prioritāte</w:t>
            </w:r>
          </w:p>
        </w:tc>
        <w:tc>
          <w:tcPr>
            <w:tcW w:w="1340" w:type="dxa"/>
            <w:tcBorders>
              <w:top w:val="nil"/>
              <w:left w:val="nil"/>
              <w:bottom w:val="single" w:sz="4" w:space="0" w:color="auto"/>
              <w:right w:val="single" w:sz="4" w:space="0" w:color="auto"/>
            </w:tcBorders>
            <w:shd w:val="clear" w:color="auto" w:fill="auto"/>
            <w:vAlign w:val="center"/>
            <w:hideMark/>
          </w:tcPr>
          <w:p w14:paraId="661DCE9A"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208BD698"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2FB4473B"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05</w:t>
            </w:r>
          </w:p>
        </w:tc>
        <w:tc>
          <w:tcPr>
            <w:tcW w:w="1420" w:type="dxa"/>
            <w:tcBorders>
              <w:top w:val="nil"/>
              <w:left w:val="nil"/>
              <w:bottom w:val="single" w:sz="4" w:space="0" w:color="auto"/>
              <w:right w:val="single" w:sz="4" w:space="0" w:color="auto"/>
            </w:tcBorders>
            <w:shd w:val="clear" w:color="auto" w:fill="auto"/>
            <w:vAlign w:val="center"/>
            <w:hideMark/>
          </w:tcPr>
          <w:p w14:paraId="305AB96C"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46 199 970</w:t>
            </w:r>
          </w:p>
        </w:tc>
      </w:tr>
      <w:tr w:rsidR="009D3945" w:rsidRPr="009D3945" w14:paraId="1F45453E"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3A696B9B"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1.3.prioritāte</w:t>
            </w:r>
          </w:p>
        </w:tc>
        <w:tc>
          <w:tcPr>
            <w:tcW w:w="1340" w:type="dxa"/>
            <w:tcBorders>
              <w:top w:val="nil"/>
              <w:left w:val="nil"/>
              <w:bottom w:val="single" w:sz="4" w:space="0" w:color="auto"/>
              <w:right w:val="single" w:sz="4" w:space="0" w:color="auto"/>
            </w:tcBorders>
            <w:shd w:val="clear" w:color="auto" w:fill="auto"/>
            <w:vAlign w:val="center"/>
            <w:hideMark/>
          </w:tcPr>
          <w:p w14:paraId="7951DDA4"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54B0CF98"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1E18CD2B"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01</w:t>
            </w:r>
          </w:p>
        </w:tc>
        <w:tc>
          <w:tcPr>
            <w:tcW w:w="1420" w:type="dxa"/>
            <w:tcBorders>
              <w:top w:val="nil"/>
              <w:left w:val="nil"/>
              <w:bottom w:val="single" w:sz="4" w:space="0" w:color="auto"/>
              <w:right w:val="single" w:sz="4" w:space="0" w:color="auto"/>
            </w:tcBorders>
            <w:shd w:val="clear" w:color="auto" w:fill="auto"/>
            <w:vAlign w:val="center"/>
            <w:hideMark/>
          </w:tcPr>
          <w:p w14:paraId="2CC511B6"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152 022 491</w:t>
            </w:r>
          </w:p>
        </w:tc>
      </w:tr>
      <w:tr w:rsidR="009D3945" w:rsidRPr="009D3945" w14:paraId="5193654B"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3F7E11FF"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1.4.prioritāte</w:t>
            </w:r>
          </w:p>
        </w:tc>
        <w:tc>
          <w:tcPr>
            <w:tcW w:w="1340" w:type="dxa"/>
            <w:tcBorders>
              <w:top w:val="nil"/>
              <w:left w:val="nil"/>
              <w:bottom w:val="single" w:sz="4" w:space="0" w:color="auto"/>
              <w:right w:val="single" w:sz="4" w:space="0" w:color="auto"/>
            </w:tcBorders>
            <w:shd w:val="clear" w:color="auto" w:fill="auto"/>
            <w:vAlign w:val="center"/>
            <w:hideMark/>
          </w:tcPr>
          <w:p w14:paraId="62853F7F" w14:textId="77777777" w:rsidR="009D3945" w:rsidRPr="009D3945" w:rsidRDefault="009D3945" w:rsidP="009D3945">
            <w:pPr>
              <w:spacing w:before="0" w:after="0"/>
              <w:jc w:val="left"/>
              <w:rPr>
                <w:rFonts w:eastAsia="Times New Roman"/>
                <w:sz w:val="20"/>
                <w:lang w:val="en-GB" w:eastAsia="en-GB" w:bidi="ne-NP"/>
              </w:rPr>
            </w:pPr>
            <w:r w:rsidRPr="009D3945">
              <w:rPr>
                <w:rFonts w:eastAsia="Times New Roman"/>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2CE1DF80"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70480EB5"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01</w:t>
            </w:r>
          </w:p>
        </w:tc>
        <w:tc>
          <w:tcPr>
            <w:tcW w:w="1420" w:type="dxa"/>
            <w:tcBorders>
              <w:top w:val="nil"/>
              <w:left w:val="nil"/>
              <w:bottom w:val="single" w:sz="4" w:space="0" w:color="auto"/>
              <w:right w:val="single" w:sz="4" w:space="0" w:color="auto"/>
            </w:tcBorders>
            <w:shd w:val="clear" w:color="auto" w:fill="auto"/>
            <w:vAlign w:val="center"/>
            <w:hideMark/>
          </w:tcPr>
          <w:p w14:paraId="3A0E4C56"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32 907 750</w:t>
            </w:r>
          </w:p>
        </w:tc>
      </w:tr>
      <w:tr w:rsidR="009D3945" w:rsidRPr="009D3945" w14:paraId="35FF1198"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1EA1D739"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41CA6B8A"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0D8C7211"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60009CFD"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01</w:t>
            </w:r>
          </w:p>
        </w:tc>
        <w:tc>
          <w:tcPr>
            <w:tcW w:w="1420" w:type="dxa"/>
            <w:tcBorders>
              <w:top w:val="nil"/>
              <w:left w:val="nil"/>
              <w:bottom w:val="single" w:sz="4" w:space="0" w:color="auto"/>
              <w:right w:val="single" w:sz="4" w:space="0" w:color="auto"/>
            </w:tcBorders>
            <w:shd w:val="clear" w:color="auto" w:fill="auto"/>
            <w:vAlign w:val="center"/>
            <w:hideMark/>
          </w:tcPr>
          <w:p w14:paraId="3DB72479"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405 903 092</w:t>
            </w:r>
          </w:p>
        </w:tc>
      </w:tr>
      <w:tr w:rsidR="009D3945" w:rsidRPr="009D3945" w14:paraId="193A631D"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1552D3AE"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258F7D6C"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KF</w:t>
            </w:r>
          </w:p>
        </w:tc>
        <w:tc>
          <w:tcPr>
            <w:tcW w:w="1420" w:type="dxa"/>
            <w:tcBorders>
              <w:top w:val="nil"/>
              <w:left w:val="nil"/>
              <w:bottom w:val="single" w:sz="4" w:space="0" w:color="auto"/>
              <w:right w:val="single" w:sz="4" w:space="0" w:color="auto"/>
            </w:tcBorders>
            <w:shd w:val="clear" w:color="auto" w:fill="auto"/>
            <w:vAlign w:val="center"/>
            <w:hideMark/>
          </w:tcPr>
          <w:p w14:paraId="0CCB6F74"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N/A</w:t>
            </w:r>
          </w:p>
        </w:tc>
        <w:tc>
          <w:tcPr>
            <w:tcW w:w="960" w:type="dxa"/>
            <w:tcBorders>
              <w:top w:val="nil"/>
              <w:left w:val="nil"/>
              <w:bottom w:val="single" w:sz="4" w:space="0" w:color="auto"/>
              <w:right w:val="single" w:sz="4" w:space="0" w:color="auto"/>
            </w:tcBorders>
            <w:shd w:val="clear" w:color="auto" w:fill="auto"/>
            <w:vAlign w:val="center"/>
            <w:hideMark/>
          </w:tcPr>
          <w:p w14:paraId="737F7919"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01</w:t>
            </w:r>
          </w:p>
        </w:tc>
        <w:tc>
          <w:tcPr>
            <w:tcW w:w="1420" w:type="dxa"/>
            <w:tcBorders>
              <w:top w:val="nil"/>
              <w:left w:val="nil"/>
              <w:bottom w:val="single" w:sz="4" w:space="0" w:color="auto"/>
              <w:right w:val="single" w:sz="4" w:space="0" w:color="auto"/>
            </w:tcBorders>
            <w:shd w:val="clear" w:color="auto" w:fill="auto"/>
            <w:vAlign w:val="center"/>
            <w:hideMark/>
          </w:tcPr>
          <w:p w14:paraId="7D7F5705"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38 454 000</w:t>
            </w:r>
          </w:p>
        </w:tc>
      </w:tr>
      <w:tr w:rsidR="009D3945" w:rsidRPr="009D3945" w14:paraId="4CD0662F"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FF91298"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414B40DD"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7F042AA2"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5DE48C93"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05</w:t>
            </w:r>
          </w:p>
        </w:tc>
        <w:tc>
          <w:tcPr>
            <w:tcW w:w="1420" w:type="dxa"/>
            <w:tcBorders>
              <w:top w:val="nil"/>
              <w:left w:val="nil"/>
              <w:bottom w:val="single" w:sz="4" w:space="0" w:color="auto"/>
              <w:right w:val="single" w:sz="4" w:space="0" w:color="auto"/>
            </w:tcBorders>
            <w:shd w:val="clear" w:color="auto" w:fill="auto"/>
            <w:vAlign w:val="center"/>
            <w:hideMark/>
          </w:tcPr>
          <w:p w14:paraId="0DD8AF79"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138 656 250</w:t>
            </w:r>
          </w:p>
        </w:tc>
      </w:tr>
      <w:tr w:rsidR="009D3945" w:rsidRPr="009D3945" w14:paraId="308D9330"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71ECFFE0"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2.2.prioritāte</w:t>
            </w:r>
          </w:p>
        </w:tc>
        <w:tc>
          <w:tcPr>
            <w:tcW w:w="1340" w:type="dxa"/>
            <w:tcBorders>
              <w:top w:val="nil"/>
              <w:left w:val="nil"/>
              <w:bottom w:val="single" w:sz="4" w:space="0" w:color="auto"/>
              <w:right w:val="single" w:sz="4" w:space="0" w:color="auto"/>
            </w:tcBorders>
            <w:shd w:val="clear" w:color="auto" w:fill="auto"/>
            <w:vAlign w:val="center"/>
            <w:hideMark/>
          </w:tcPr>
          <w:p w14:paraId="2C21164F" w14:textId="77777777" w:rsidR="009D3945" w:rsidRPr="009D3945" w:rsidRDefault="009D3945" w:rsidP="009D3945">
            <w:pPr>
              <w:spacing w:before="0" w:after="0"/>
              <w:jc w:val="left"/>
              <w:rPr>
                <w:rFonts w:eastAsia="Times New Roman"/>
                <w:sz w:val="20"/>
                <w:lang w:val="en-GB" w:eastAsia="en-GB" w:bidi="ne-NP"/>
              </w:rPr>
            </w:pPr>
            <w:r w:rsidRPr="009D3945">
              <w:rPr>
                <w:rFonts w:eastAsia="Times New Roman"/>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0C6197C3" w14:textId="77777777" w:rsidR="009D3945" w:rsidRPr="009D3945" w:rsidRDefault="009D3945" w:rsidP="009D3945">
            <w:pPr>
              <w:spacing w:before="0" w:after="0"/>
              <w:jc w:val="left"/>
              <w:rPr>
                <w:rFonts w:eastAsia="Times New Roman"/>
                <w:sz w:val="20"/>
                <w:lang w:val="en-GB" w:eastAsia="en-GB" w:bidi="ne-NP"/>
              </w:rPr>
            </w:pPr>
            <w:r w:rsidRPr="009D3945">
              <w:rPr>
                <w:rFonts w:eastAsia="Times New Roman"/>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1707DD1F"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01</w:t>
            </w:r>
          </w:p>
        </w:tc>
        <w:tc>
          <w:tcPr>
            <w:tcW w:w="1420" w:type="dxa"/>
            <w:tcBorders>
              <w:top w:val="nil"/>
              <w:left w:val="nil"/>
              <w:bottom w:val="single" w:sz="4" w:space="0" w:color="auto"/>
              <w:right w:val="single" w:sz="4" w:space="0" w:color="auto"/>
            </w:tcBorders>
            <w:shd w:val="clear" w:color="auto" w:fill="auto"/>
            <w:vAlign w:val="center"/>
            <w:hideMark/>
          </w:tcPr>
          <w:p w14:paraId="4D9036A7"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151 492 536</w:t>
            </w:r>
          </w:p>
        </w:tc>
      </w:tr>
      <w:tr w:rsidR="009D3945" w:rsidRPr="009D3945" w14:paraId="7F7C1AD8"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2546F34"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2.2.prioritāte</w:t>
            </w:r>
          </w:p>
        </w:tc>
        <w:tc>
          <w:tcPr>
            <w:tcW w:w="1340" w:type="dxa"/>
            <w:tcBorders>
              <w:top w:val="nil"/>
              <w:left w:val="nil"/>
              <w:bottom w:val="single" w:sz="4" w:space="0" w:color="auto"/>
              <w:right w:val="single" w:sz="4" w:space="0" w:color="auto"/>
            </w:tcBorders>
            <w:shd w:val="clear" w:color="auto" w:fill="auto"/>
            <w:vAlign w:val="center"/>
            <w:hideMark/>
          </w:tcPr>
          <w:p w14:paraId="3C3B04C5"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KF</w:t>
            </w:r>
          </w:p>
        </w:tc>
        <w:tc>
          <w:tcPr>
            <w:tcW w:w="1420" w:type="dxa"/>
            <w:tcBorders>
              <w:top w:val="nil"/>
              <w:left w:val="nil"/>
              <w:bottom w:val="single" w:sz="4" w:space="0" w:color="auto"/>
              <w:right w:val="single" w:sz="4" w:space="0" w:color="auto"/>
            </w:tcBorders>
            <w:shd w:val="clear" w:color="auto" w:fill="auto"/>
            <w:vAlign w:val="center"/>
            <w:hideMark/>
          </w:tcPr>
          <w:p w14:paraId="3F32BC1A"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N/A</w:t>
            </w:r>
          </w:p>
        </w:tc>
        <w:tc>
          <w:tcPr>
            <w:tcW w:w="960" w:type="dxa"/>
            <w:tcBorders>
              <w:top w:val="nil"/>
              <w:left w:val="nil"/>
              <w:bottom w:val="single" w:sz="4" w:space="0" w:color="auto"/>
              <w:right w:val="single" w:sz="4" w:space="0" w:color="auto"/>
            </w:tcBorders>
            <w:shd w:val="clear" w:color="auto" w:fill="auto"/>
            <w:vAlign w:val="center"/>
            <w:hideMark/>
          </w:tcPr>
          <w:p w14:paraId="186716AD"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01</w:t>
            </w:r>
          </w:p>
        </w:tc>
        <w:tc>
          <w:tcPr>
            <w:tcW w:w="1420" w:type="dxa"/>
            <w:tcBorders>
              <w:top w:val="nil"/>
              <w:left w:val="nil"/>
              <w:bottom w:val="single" w:sz="4" w:space="0" w:color="auto"/>
              <w:right w:val="single" w:sz="4" w:space="0" w:color="auto"/>
            </w:tcBorders>
            <w:shd w:val="clear" w:color="auto" w:fill="auto"/>
            <w:vAlign w:val="center"/>
            <w:hideMark/>
          </w:tcPr>
          <w:p w14:paraId="64572D92"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83 193 750</w:t>
            </w:r>
          </w:p>
        </w:tc>
      </w:tr>
      <w:tr w:rsidR="009D3945" w:rsidRPr="009D3945" w14:paraId="1FD852B2"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71EC462"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2.2.prioritāte</w:t>
            </w:r>
          </w:p>
        </w:tc>
        <w:tc>
          <w:tcPr>
            <w:tcW w:w="1340" w:type="dxa"/>
            <w:tcBorders>
              <w:top w:val="nil"/>
              <w:left w:val="nil"/>
              <w:bottom w:val="single" w:sz="4" w:space="0" w:color="auto"/>
              <w:right w:val="single" w:sz="4" w:space="0" w:color="auto"/>
            </w:tcBorders>
            <w:shd w:val="clear" w:color="auto" w:fill="auto"/>
            <w:vAlign w:val="center"/>
            <w:hideMark/>
          </w:tcPr>
          <w:p w14:paraId="5260BD71"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KF</w:t>
            </w:r>
          </w:p>
        </w:tc>
        <w:tc>
          <w:tcPr>
            <w:tcW w:w="1420" w:type="dxa"/>
            <w:tcBorders>
              <w:top w:val="nil"/>
              <w:left w:val="nil"/>
              <w:bottom w:val="single" w:sz="4" w:space="0" w:color="auto"/>
              <w:right w:val="single" w:sz="4" w:space="0" w:color="auto"/>
            </w:tcBorders>
            <w:shd w:val="clear" w:color="auto" w:fill="auto"/>
            <w:vAlign w:val="center"/>
            <w:hideMark/>
          </w:tcPr>
          <w:p w14:paraId="645069B9"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N/A</w:t>
            </w:r>
          </w:p>
        </w:tc>
        <w:tc>
          <w:tcPr>
            <w:tcW w:w="960" w:type="dxa"/>
            <w:tcBorders>
              <w:top w:val="nil"/>
              <w:left w:val="nil"/>
              <w:bottom w:val="single" w:sz="4" w:space="0" w:color="auto"/>
              <w:right w:val="single" w:sz="4" w:space="0" w:color="auto"/>
            </w:tcBorders>
            <w:shd w:val="clear" w:color="auto" w:fill="auto"/>
            <w:vAlign w:val="center"/>
            <w:hideMark/>
          </w:tcPr>
          <w:p w14:paraId="7BF4B798"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03</w:t>
            </w:r>
          </w:p>
        </w:tc>
        <w:tc>
          <w:tcPr>
            <w:tcW w:w="1420" w:type="dxa"/>
            <w:tcBorders>
              <w:top w:val="nil"/>
              <w:left w:val="nil"/>
              <w:bottom w:val="single" w:sz="4" w:space="0" w:color="auto"/>
              <w:right w:val="single" w:sz="4" w:space="0" w:color="auto"/>
            </w:tcBorders>
            <w:shd w:val="clear" w:color="auto" w:fill="auto"/>
            <w:vAlign w:val="center"/>
            <w:hideMark/>
          </w:tcPr>
          <w:p w14:paraId="4C276EF4"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20 336 250</w:t>
            </w:r>
          </w:p>
        </w:tc>
      </w:tr>
      <w:tr w:rsidR="009D3945" w:rsidRPr="009D3945" w14:paraId="27F82C8A"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8E93827"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2.3.prioritāte</w:t>
            </w:r>
          </w:p>
        </w:tc>
        <w:tc>
          <w:tcPr>
            <w:tcW w:w="1340" w:type="dxa"/>
            <w:tcBorders>
              <w:top w:val="nil"/>
              <w:left w:val="nil"/>
              <w:bottom w:val="single" w:sz="4" w:space="0" w:color="auto"/>
              <w:right w:val="single" w:sz="4" w:space="0" w:color="auto"/>
            </w:tcBorders>
            <w:shd w:val="clear" w:color="auto" w:fill="auto"/>
            <w:vAlign w:val="center"/>
            <w:hideMark/>
          </w:tcPr>
          <w:p w14:paraId="361C0091" w14:textId="77777777" w:rsidR="009D3945" w:rsidRPr="009D3945" w:rsidRDefault="009D3945" w:rsidP="009D3945">
            <w:pPr>
              <w:spacing w:before="0" w:after="0"/>
              <w:jc w:val="left"/>
              <w:rPr>
                <w:rFonts w:eastAsia="Times New Roman"/>
                <w:sz w:val="20"/>
                <w:lang w:val="en-GB" w:eastAsia="en-GB" w:bidi="ne-NP"/>
              </w:rPr>
            </w:pPr>
            <w:r w:rsidRPr="009D3945">
              <w:rPr>
                <w:rFonts w:eastAsia="Times New Roman"/>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6B4E90B1"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4011C439"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01</w:t>
            </w:r>
          </w:p>
        </w:tc>
        <w:tc>
          <w:tcPr>
            <w:tcW w:w="1420" w:type="dxa"/>
            <w:tcBorders>
              <w:top w:val="nil"/>
              <w:left w:val="nil"/>
              <w:bottom w:val="single" w:sz="4" w:space="0" w:color="auto"/>
              <w:right w:val="single" w:sz="4" w:space="0" w:color="auto"/>
            </w:tcBorders>
            <w:shd w:val="clear" w:color="auto" w:fill="auto"/>
            <w:vAlign w:val="center"/>
            <w:hideMark/>
          </w:tcPr>
          <w:p w14:paraId="435827B5"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78 586 054</w:t>
            </w:r>
          </w:p>
        </w:tc>
      </w:tr>
      <w:tr w:rsidR="009D3945" w:rsidRPr="009D3945" w14:paraId="73B76709"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76D15F2E"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3.1.prioritāte</w:t>
            </w:r>
          </w:p>
        </w:tc>
        <w:tc>
          <w:tcPr>
            <w:tcW w:w="1340" w:type="dxa"/>
            <w:tcBorders>
              <w:top w:val="nil"/>
              <w:left w:val="nil"/>
              <w:bottom w:val="single" w:sz="4" w:space="0" w:color="auto"/>
              <w:right w:val="single" w:sz="4" w:space="0" w:color="auto"/>
            </w:tcBorders>
            <w:shd w:val="clear" w:color="auto" w:fill="auto"/>
            <w:vAlign w:val="center"/>
            <w:hideMark/>
          </w:tcPr>
          <w:p w14:paraId="593D58A0"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KF</w:t>
            </w:r>
          </w:p>
        </w:tc>
        <w:tc>
          <w:tcPr>
            <w:tcW w:w="1420" w:type="dxa"/>
            <w:tcBorders>
              <w:top w:val="nil"/>
              <w:left w:val="nil"/>
              <w:bottom w:val="single" w:sz="4" w:space="0" w:color="auto"/>
              <w:right w:val="single" w:sz="4" w:space="0" w:color="auto"/>
            </w:tcBorders>
            <w:shd w:val="clear" w:color="auto" w:fill="auto"/>
            <w:vAlign w:val="center"/>
            <w:hideMark/>
          </w:tcPr>
          <w:p w14:paraId="217DE824"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N/A</w:t>
            </w:r>
          </w:p>
        </w:tc>
        <w:tc>
          <w:tcPr>
            <w:tcW w:w="960" w:type="dxa"/>
            <w:tcBorders>
              <w:top w:val="nil"/>
              <w:left w:val="nil"/>
              <w:bottom w:val="single" w:sz="4" w:space="0" w:color="auto"/>
              <w:right w:val="single" w:sz="4" w:space="0" w:color="auto"/>
            </w:tcBorders>
            <w:shd w:val="clear" w:color="auto" w:fill="auto"/>
            <w:vAlign w:val="center"/>
            <w:hideMark/>
          </w:tcPr>
          <w:p w14:paraId="763F63C6"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01</w:t>
            </w:r>
          </w:p>
        </w:tc>
        <w:tc>
          <w:tcPr>
            <w:tcW w:w="1420" w:type="dxa"/>
            <w:tcBorders>
              <w:top w:val="nil"/>
              <w:left w:val="nil"/>
              <w:bottom w:val="single" w:sz="4" w:space="0" w:color="auto"/>
              <w:right w:val="single" w:sz="4" w:space="0" w:color="auto"/>
            </w:tcBorders>
            <w:shd w:val="clear" w:color="auto" w:fill="auto"/>
            <w:vAlign w:val="center"/>
            <w:hideMark/>
          </w:tcPr>
          <w:p w14:paraId="4DA5FBBD"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859 869 540</w:t>
            </w:r>
          </w:p>
        </w:tc>
      </w:tr>
      <w:tr w:rsidR="009D3945" w:rsidRPr="009D3945" w14:paraId="54A53510"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DF8BB41"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4.1.prioritāte</w:t>
            </w:r>
          </w:p>
        </w:tc>
        <w:tc>
          <w:tcPr>
            <w:tcW w:w="1340" w:type="dxa"/>
            <w:tcBorders>
              <w:top w:val="nil"/>
              <w:left w:val="nil"/>
              <w:bottom w:val="single" w:sz="4" w:space="0" w:color="auto"/>
              <w:right w:val="single" w:sz="4" w:space="0" w:color="auto"/>
            </w:tcBorders>
            <w:shd w:val="clear" w:color="auto" w:fill="auto"/>
            <w:vAlign w:val="center"/>
            <w:hideMark/>
          </w:tcPr>
          <w:p w14:paraId="2A34978A" w14:textId="77777777" w:rsidR="009D3945" w:rsidRPr="009D3945" w:rsidRDefault="009D3945" w:rsidP="009D3945">
            <w:pPr>
              <w:spacing w:before="0" w:after="0"/>
              <w:jc w:val="left"/>
              <w:rPr>
                <w:rFonts w:eastAsia="Times New Roman"/>
                <w:sz w:val="20"/>
                <w:lang w:val="en-GB" w:eastAsia="en-GB" w:bidi="ne-NP"/>
              </w:rPr>
            </w:pPr>
            <w:r w:rsidRPr="009D3945">
              <w:rPr>
                <w:rFonts w:eastAsia="Times New Roman"/>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3EA64454"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0B981107"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01</w:t>
            </w:r>
          </w:p>
        </w:tc>
        <w:tc>
          <w:tcPr>
            <w:tcW w:w="1420" w:type="dxa"/>
            <w:tcBorders>
              <w:top w:val="nil"/>
              <w:left w:val="nil"/>
              <w:bottom w:val="single" w:sz="4" w:space="0" w:color="auto"/>
              <w:right w:val="single" w:sz="4" w:space="0" w:color="auto"/>
            </w:tcBorders>
            <w:shd w:val="clear" w:color="auto" w:fill="auto"/>
            <w:vAlign w:val="center"/>
            <w:hideMark/>
          </w:tcPr>
          <w:p w14:paraId="070E8F89"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274 446 198</w:t>
            </w:r>
          </w:p>
        </w:tc>
      </w:tr>
      <w:tr w:rsidR="009D3945" w:rsidRPr="009D3945" w14:paraId="29D4E194"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0F18CCA"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4.1.prioritāte</w:t>
            </w:r>
          </w:p>
        </w:tc>
        <w:tc>
          <w:tcPr>
            <w:tcW w:w="1340" w:type="dxa"/>
            <w:tcBorders>
              <w:top w:val="nil"/>
              <w:left w:val="nil"/>
              <w:bottom w:val="single" w:sz="4" w:space="0" w:color="auto"/>
              <w:right w:val="single" w:sz="4" w:space="0" w:color="auto"/>
            </w:tcBorders>
            <w:shd w:val="clear" w:color="auto" w:fill="auto"/>
            <w:vAlign w:val="center"/>
            <w:hideMark/>
          </w:tcPr>
          <w:p w14:paraId="2DB30364" w14:textId="77777777" w:rsidR="009D3945" w:rsidRPr="009D3945" w:rsidRDefault="009D3945" w:rsidP="009D3945">
            <w:pPr>
              <w:spacing w:before="0" w:after="0"/>
              <w:jc w:val="left"/>
              <w:rPr>
                <w:rFonts w:eastAsia="Times New Roman"/>
                <w:sz w:val="20"/>
                <w:lang w:val="en-GB" w:eastAsia="en-GB" w:bidi="ne-NP"/>
              </w:rPr>
            </w:pPr>
            <w:r w:rsidRPr="009D3945">
              <w:rPr>
                <w:rFonts w:eastAsia="Times New Roman"/>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4795DD48"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5B56F7B5"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01</w:t>
            </w:r>
          </w:p>
        </w:tc>
        <w:tc>
          <w:tcPr>
            <w:tcW w:w="1420" w:type="dxa"/>
            <w:tcBorders>
              <w:top w:val="nil"/>
              <w:left w:val="nil"/>
              <w:bottom w:val="single" w:sz="4" w:space="0" w:color="auto"/>
              <w:right w:val="single" w:sz="4" w:space="0" w:color="auto"/>
            </w:tcBorders>
            <w:shd w:val="clear" w:color="auto" w:fill="auto"/>
            <w:vAlign w:val="center"/>
            <w:hideMark/>
          </w:tcPr>
          <w:p w14:paraId="20A30A75"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50 803 650</w:t>
            </w:r>
          </w:p>
        </w:tc>
      </w:tr>
      <w:tr w:rsidR="009D3945" w:rsidRPr="009D3945" w14:paraId="3C5D040C"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6DEB1A5"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085200B4" w14:textId="77777777" w:rsidR="009D3945" w:rsidRPr="009D3945" w:rsidRDefault="009D3945" w:rsidP="009D3945">
            <w:pPr>
              <w:spacing w:before="0" w:after="0"/>
              <w:jc w:val="left"/>
              <w:rPr>
                <w:rFonts w:eastAsia="Times New Roman"/>
                <w:sz w:val="20"/>
                <w:lang w:val="en-GB" w:eastAsia="en-GB" w:bidi="ne-NP"/>
              </w:rPr>
            </w:pPr>
            <w:r w:rsidRPr="009D3945">
              <w:rPr>
                <w:rFonts w:eastAsia="Times New Roman"/>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4CF1B33C"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6F75E753"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01</w:t>
            </w:r>
          </w:p>
        </w:tc>
        <w:tc>
          <w:tcPr>
            <w:tcW w:w="1420" w:type="dxa"/>
            <w:tcBorders>
              <w:top w:val="nil"/>
              <w:left w:val="nil"/>
              <w:bottom w:val="single" w:sz="4" w:space="0" w:color="auto"/>
              <w:right w:val="single" w:sz="4" w:space="0" w:color="auto"/>
            </w:tcBorders>
            <w:shd w:val="clear" w:color="auto" w:fill="auto"/>
            <w:vAlign w:val="center"/>
            <w:hideMark/>
          </w:tcPr>
          <w:p w14:paraId="2143AD53"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182 634 117</w:t>
            </w:r>
          </w:p>
        </w:tc>
      </w:tr>
      <w:tr w:rsidR="009D3945" w:rsidRPr="009D3945" w14:paraId="20167501"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771115B"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27B3B776" w14:textId="77777777" w:rsidR="009D3945" w:rsidRPr="009D3945" w:rsidRDefault="009D3945" w:rsidP="009D3945">
            <w:pPr>
              <w:spacing w:before="0" w:after="0"/>
              <w:jc w:val="left"/>
              <w:rPr>
                <w:rFonts w:eastAsia="Times New Roman"/>
                <w:sz w:val="20"/>
                <w:lang w:val="en-GB" w:eastAsia="en-GB" w:bidi="ne-NP"/>
              </w:rPr>
            </w:pPr>
            <w:r w:rsidRPr="009D3945">
              <w:rPr>
                <w:rFonts w:eastAsia="Times New Roman"/>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3491F6D2"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5EB69EAB"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01</w:t>
            </w:r>
          </w:p>
        </w:tc>
        <w:tc>
          <w:tcPr>
            <w:tcW w:w="1420" w:type="dxa"/>
            <w:tcBorders>
              <w:top w:val="nil"/>
              <w:left w:val="nil"/>
              <w:bottom w:val="single" w:sz="4" w:space="0" w:color="auto"/>
              <w:right w:val="single" w:sz="4" w:space="0" w:color="auto"/>
            </w:tcBorders>
            <w:shd w:val="clear" w:color="auto" w:fill="auto"/>
            <w:vAlign w:val="center"/>
            <w:hideMark/>
          </w:tcPr>
          <w:p w14:paraId="42D5D342"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252 875 507</w:t>
            </w:r>
          </w:p>
        </w:tc>
      </w:tr>
      <w:tr w:rsidR="009D3945" w:rsidRPr="009D3945" w14:paraId="1B9CD8F1" w14:textId="77777777" w:rsidTr="009D3945">
        <w:trPr>
          <w:trHeight w:val="315"/>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18935BAA"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68305A5A" w14:textId="77777777" w:rsidR="009D3945" w:rsidRPr="009D3945" w:rsidRDefault="009D3945" w:rsidP="009D3945">
            <w:pPr>
              <w:spacing w:before="0" w:after="0"/>
              <w:jc w:val="left"/>
              <w:rPr>
                <w:rFonts w:eastAsia="Times New Roman"/>
                <w:sz w:val="20"/>
                <w:lang w:val="en-GB" w:eastAsia="en-GB" w:bidi="ne-NP"/>
              </w:rPr>
            </w:pPr>
            <w:r w:rsidRPr="009D3945">
              <w:rPr>
                <w:rFonts w:eastAsia="Times New Roman"/>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2207277B"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07826C09"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01</w:t>
            </w:r>
          </w:p>
        </w:tc>
        <w:tc>
          <w:tcPr>
            <w:tcW w:w="1420" w:type="dxa"/>
            <w:tcBorders>
              <w:top w:val="nil"/>
              <w:left w:val="nil"/>
              <w:bottom w:val="single" w:sz="4" w:space="0" w:color="auto"/>
              <w:right w:val="single" w:sz="4" w:space="0" w:color="auto"/>
            </w:tcBorders>
            <w:shd w:val="clear" w:color="auto" w:fill="auto"/>
            <w:vAlign w:val="center"/>
            <w:hideMark/>
          </w:tcPr>
          <w:p w14:paraId="4603D205"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112 921 302</w:t>
            </w:r>
          </w:p>
        </w:tc>
      </w:tr>
      <w:tr w:rsidR="009D3945" w:rsidRPr="009D3945" w14:paraId="638FC8EB"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B3B6832"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61192D6A" w14:textId="77777777" w:rsidR="009D3945" w:rsidRPr="009D3945" w:rsidRDefault="009D3945" w:rsidP="009D3945">
            <w:pPr>
              <w:spacing w:before="0" w:after="0"/>
              <w:jc w:val="left"/>
              <w:rPr>
                <w:rFonts w:eastAsia="Times New Roman"/>
                <w:sz w:val="20"/>
                <w:lang w:val="en-GB" w:eastAsia="en-GB" w:bidi="ne-NP"/>
              </w:rPr>
            </w:pPr>
            <w:r w:rsidRPr="009D3945">
              <w:rPr>
                <w:rFonts w:eastAsia="Times New Roman"/>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1DF0210A"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203034D5"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01</w:t>
            </w:r>
          </w:p>
        </w:tc>
        <w:tc>
          <w:tcPr>
            <w:tcW w:w="1420" w:type="dxa"/>
            <w:tcBorders>
              <w:top w:val="nil"/>
              <w:left w:val="nil"/>
              <w:bottom w:val="single" w:sz="4" w:space="0" w:color="auto"/>
              <w:right w:val="single" w:sz="4" w:space="0" w:color="auto"/>
            </w:tcBorders>
            <w:shd w:val="clear" w:color="auto" w:fill="auto"/>
            <w:vAlign w:val="center"/>
            <w:hideMark/>
          </w:tcPr>
          <w:p w14:paraId="43670DF8"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334 154 076</w:t>
            </w:r>
          </w:p>
        </w:tc>
      </w:tr>
      <w:tr w:rsidR="009D3945" w:rsidRPr="009D3945" w14:paraId="085481C9"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1E1BD9CE"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2D7F8609" w14:textId="77777777" w:rsidR="009D3945" w:rsidRPr="009D3945" w:rsidRDefault="009D3945" w:rsidP="009D3945">
            <w:pPr>
              <w:spacing w:before="0" w:after="0"/>
              <w:jc w:val="left"/>
              <w:rPr>
                <w:rFonts w:eastAsia="Times New Roman"/>
                <w:sz w:val="20"/>
                <w:lang w:val="en-GB" w:eastAsia="en-GB" w:bidi="ne-NP"/>
              </w:rPr>
            </w:pPr>
            <w:r w:rsidRPr="009D3945">
              <w:rPr>
                <w:rFonts w:eastAsia="Times New Roman"/>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1045C4B7"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5F9851DB"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05</w:t>
            </w:r>
          </w:p>
        </w:tc>
        <w:tc>
          <w:tcPr>
            <w:tcW w:w="1420" w:type="dxa"/>
            <w:tcBorders>
              <w:top w:val="nil"/>
              <w:left w:val="nil"/>
              <w:bottom w:val="single" w:sz="4" w:space="0" w:color="auto"/>
              <w:right w:val="single" w:sz="4" w:space="0" w:color="auto"/>
            </w:tcBorders>
            <w:shd w:val="clear" w:color="auto" w:fill="auto"/>
            <w:vAlign w:val="center"/>
            <w:hideMark/>
          </w:tcPr>
          <w:p w14:paraId="3781C44D"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2 550 000</w:t>
            </w:r>
          </w:p>
        </w:tc>
      </w:tr>
      <w:tr w:rsidR="009D3945" w:rsidRPr="009D3945" w14:paraId="27B93A14"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D03BE42"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03A6B356" w14:textId="77777777" w:rsidR="009D3945" w:rsidRPr="009D3945" w:rsidRDefault="009D3945" w:rsidP="009D3945">
            <w:pPr>
              <w:spacing w:before="0" w:after="0"/>
              <w:jc w:val="left"/>
              <w:rPr>
                <w:rFonts w:eastAsia="Times New Roman"/>
                <w:sz w:val="20"/>
                <w:lang w:val="en-GB" w:eastAsia="en-GB" w:bidi="ne-NP"/>
              </w:rPr>
            </w:pPr>
            <w:r w:rsidRPr="009D3945">
              <w:rPr>
                <w:rFonts w:eastAsia="Times New Roman"/>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2D3A970D"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3BC19907"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03</w:t>
            </w:r>
          </w:p>
        </w:tc>
        <w:tc>
          <w:tcPr>
            <w:tcW w:w="1420" w:type="dxa"/>
            <w:tcBorders>
              <w:top w:val="nil"/>
              <w:left w:val="nil"/>
              <w:bottom w:val="single" w:sz="4" w:space="0" w:color="auto"/>
              <w:right w:val="single" w:sz="4" w:space="0" w:color="auto"/>
            </w:tcBorders>
            <w:shd w:val="clear" w:color="auto" w:fill="auto"/>
            <w:vAlign w:val="center"/>
            <w:hideMark/>
          </w:tcPr>
          <w:p w14:paraId="7CAA2E25"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2 550 000</w:t>
            </w:r>
          </w:p>
        </w:tc>
      </w:tr>
      <w:tr w:rsidR="009D3945" w:rsidRPr="009D3945" w14:paraId="632B209B"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7F5D5D4"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4.4.prioritāte</w:t>
            </w:r>
          </w:p>
        </w:tc>
        <w:tc>
          <w:tcPr>
            <w:tcW w:w="1340" w:type="dxa"/>
            <w:tcBorders>
              <w:top w:val="nil"/>
              <w:left w:val="nil"/>
              <w:bottom w:val="single" w:sz="4" w:space="0" w:color="auto"/>
              <w:right w:val="single" w:sz="4" w:space="0" w:color="auto"/>
            </w:tcBorders>
            <w:shd w:val="clear" w:color="auto" w:fill="auto"/>
            <w:vAlign w:val="center"/>
            <w:hideMark/>
          </w:tcPr>
          <w:p w14:paraId="7D18E135" w14:textId="77777777" w:rsidR="009D3945" w:rsidRPr="009D3945" w:rsidRDefault="009D3945" w:rsidP="009D3945">
            <w:pPr>
              <w:spacing w:before="0" w:after="0"/>
              <w:jc w:val="left"/>
              <w:rPr>
                <w:rFonts w:eastAsia="Times New Roman"/>
                <w:sz w:val="20"/>
                <w:lang w:val="en-GB" w:eastAsia="en-GB" w:bidi="ne-NP"/>
              </w:rPr>
            </w:pPr>
            <w:r w:rsidRPr="009D3945">
              <w:rPr>
                <w:rFonts w:eastAsia="Times New Roman"/>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3E849B20"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003FF19F"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01</w:t>
            </w:r>
          </w:p>
        </w:tc>
        <w:tc>
          <w:tcPr>
            <w:tcW w:w="1420" w:type="dxa"/>
            <w:tcBorders>
              <w:top w:val="nil"/>
              <w:left w:val="nil"/>
              <w:bottom w:val="single" w:sz="4" w:space="0" w:color="auto"/>
              <w:right w:val="single" w:sz="4" w:space="0" w:color="auto"/>
            </w:tcBorders>
            <w:shd w:val="clear" w:color="auto" w:fill="auto"/>
            <w:vAlign w:val="center"/>
            <w:hideMark/>
          </w:tcPr>
          <w:p w14:paraId="18DCA177"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21 250 000</w:t>
            </w:r>
          </w:p>
        </w:tc>
      </w:tr>
      <w:tr w:rsidR="009D3945" w:rsidRPr="009D3945" w14:paraId="5DB5FFA5"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88EB400"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5.1.prioritāte</w:t>
            </w:r>
          </w:p>
        </w:tc>
        <w:tc>
          <w:tcPr>
            <w:tcW w:w="1340" w:type="dxa"/>
            <w:tcBorders>
              <w:top w:val="nil"/>
              <w:left w:val="nil"/>
              <w:bottom w:val="single" w:sz="4" w:space="0" w:color="auto"/>
              <w:right w:val="single" w:sz="4" w:space="0" w:color="auto"/>
            </w:tcBorders>
            <w:shd w:val="clear" w:color="auto" w:fill="auto"/>
            <w:vAlign w:val="center"/>
            <w:hideMark/>
          </w:tcPr>
          <w:p w14:paraId="659C27BC" w14:textId="77777777" w:rsidR="009D3945" w:rsidRPr="009D3945" w:rsidRDefault="009D3945" w:rsidP="009D3945">
            <w:pPr>
              <w:spacing w:before="0" w:after="0"/>
              <w:jc w:val="left"/>
              <w:rPr>
                <w:rFonts w:eastAsia="Times New Roman"/>
                <w:sz w:val="20"/>
                <w:lang w:val="en-GB" w:eastAsia="en-GB" w:bidi="ne-NP"/>
              </w:rPr>
            </w:pPr>
            <w:r w:rsidRPr="009D3945">
              <w:rPr>
                <w:rFonts w:eastAsia="Times New Roman"/>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32AD38EE"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3A6DCFF0"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01</w:t>
            </w:r>
          </w:p>
        </w:tc>
        <w:tc>
          <w:tcPr>
            <w:tcW w:w="1420" w:type="dxa"/>
            <w:tcBorders>
              <w:top w:val="nil"/>
              <w:left w:val="nil"/>
              <w:bottom w:val="single" w:sz="4" w:space="0" w:color="auto"/>
              <w:right w:val="single" w:sz="4" w:space="0" w:color="auto"/>
            </w:tcBorders>
            <w:shd w:val="clear" w:color="auto" w:fill="auto"/>
            <w:vAlign w:val="center"/>
            <w:hideMark/>
          </w:tcPr>
          <w:p w14:paraId="1CCC1E60"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223 521 421</w:t>
            </w:r>
          </w:p>
        </w:tc>
      </w:tr>
      <w:tr w:rsidR="009D3945" w:rsidRPr="009D3945" w14:paraId="306F5F68"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A1D54AE"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6.1.prioritāte</w:t>
            </w:r>
          </w:p>
        </w:tc>
        <w:tc>
          <w:tcPr>
            <w:tcW w:w="1340" w:type="dxa"/>
            <w:tcBorders>
              <w:top w:val="nil"/>
              <w:left w:val="nil"/>
              <w:bottom w:val="single" w:sz="4" w:space="0" w:color="auto"/>
              <w:right w:val="single" w:sz="4" w:space="0" w:color="auto"/>
            </w:tcBorders>
            <w:shd w:val="clear" w:color="auto" w:fill="auto"/>
            <w:vAlign w:val="center"/>
            <w:hideMark/>
          </w:tcPr>
          <w:p w14:paraId="424654BA" w14:textId="77777777" w:rsidR="009D3945" w:rsidRPr="009D3945" w:rsidRDefault="009D3945" w:rsidP="009D3945">
            <w:pPr>
              <w:spacing w:before="0" w:after="0"/>
              <w:jc w:val="left"/>
              <w:rPr>
                <w:rFonts w:eastAsia="Times New Roman"/>
                <w:sz w:val="20"/>
                <w:lang w:val="en-GB" w:eastAsia="en-GB" w:bidi="ne-NP"/>
              </w:rPr>
            </w:pPr>
            <w:r w:rsidRPr="009D3945">
              <w:rPr>
                <w:rFonts w:eastAsia="Times New Roman"/>
                <w:sz w:val="20"/>
                <w:lang w:val="en-GB" w:eastAsia="en-GB" w:bidi="ne-NP"/>
              </w:rPr>
              <w:t>TPF</w:t>
            </w:r>
          </w:p>
        </w:tc>
        <w:tc>
          <w:tcPr>
            <w:tcW w:w="1420" w:type="dxa"/>
            <w:tcBorders>
              <w:top w:val="nil"/>
              <w:left w:val="nil"/>
              <w:bottom w:val="single" w:sz="4" w:space="0" w:color="auto"/>
              <w:right w:val="single" w:sz="4" w:space="0" w:color="auto"/>
            </w:tcBorders>
            <w:shd w:val="clear" w:color="auto" w:fill="auto"/>
            <w:vAlign w:val="center"/>
            <w:hideMark/>
          </w:tcPr>
          <w:p w14:paraId="1F2D4248"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26548E69"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01</w:t>
            </w:r>
          </w:p>
        </w:tc>
        <w:tc>
          <w:tcPr>
            <w:tcW w:w="1420" w:type="dxa"/>
            <w:tcBorders>
              <w:top w:val="nil"/>
              <w:left w:val="nil"/>
              <w:bottom w:val="single" w:sz="4" w:space="0" w:color="auto"/>
              <w:right w:val="single" w:sz="4" w:space="0" w:color="auto"/>
            </w:tcBorders>
            <w:shd w:val="clear" w:color="auto" w:fill="auto"/>
            <w:vAlign w:val="center"/>
            <w:hideMark/>
          </w:tcPr>
          <w:p w14:paraId="29F4D3D5"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183 942 546</w:t>
            </w:r>
          </w:p>
        </w:tc>
      </w:tr>
    </w:tbl>
    <w:p w14:paraId="5A52D845" w14:textId="77777777" w:rsidR="0049219C" w:rsidRPr="00930237" w:rsidRDefault="0049219C" w:rsidP="00AC212B">
      <w:pPr>
        <w:spacing w:before="0" w:after="0"/>
        <w:rPr>
          <w:b/>
          <w:sz w:val="20"/>
        </w:rPr>
      </w:pPr>
    </w:p>
    <w:p w14:paraId="1BF15110" w14:textId="77777777" w:rsidR="00AC212B" w:rsidRPr="00930237" w:rsidRDefault="00AC212B" w:rsidP="00AC212B">
      <w:pPr>
        <w:spacing w:before="0" w:after="0"/>
        <w:rPr>
          <w:sz w:val="20"/>
        </w:rPr>
      </w:pPr>
    </w:p>
    <w:p w14:paraId="13BF83E5" w14:textId="77777777" w:rsidR="00AC212B" w:rsidRPr="00930237" w:rsidRDefault="00AC212B" w:rsidP="00AC212B">
      <w:pPr>
        <w:spacing w:before="0" w:after="0"/>
        <w:rPr>
          <w:sz w:val="20"/>
        </w:rPr>
      </w:pPr>
    </w:p>
    <w:p w14:paraId="35339AB2" w14:textId="69F03BFE" w:rsidR="00AC212B" w:rsidRPr="00930237" w:rsidRDefault="00F4152B" w:rsidP="00AC212B">
      <w:pPr>
        <w:spacing w:before="0" w:after="0"/>
        <w:rPr>
          <w:b/>
          <w:sz w:val="20"/>
        </w:rPr>
      </w:pPr>
      <w:r>
        <w:rPr>
          <w:b/>
          <w:sz w:val="20"/>
        </w:rPr>
        <w:t>1</w:t>
      </w:r>
      <w:r w:rsidR="00AC212B" w:rsidRPr="00930237">
        <w:rPr>
          <w:b/>
          <w:sz w:val="20"/>
        </w:rPr>
        <w:t>6.tabula</w:t>
      </w:r>
      <w:r w:rsidR="00D67F06">
        <w:rPr>
          <w:b/>
          <w:sz w:val="20"/>
        </w:rPr>
        <w:t xml:space="preserve"> (6)</w:t>
      </w:r>
      <w:r w:rsidR="00AC212B" w:rsidRPr="00930237">
        <w:rPr>
          <w:b/>
          <w:sz w:val="20"/>
        </w:rPr>
        <w:t xml:space="preserve"> Dimensija 3 - Teritoriālie sasniegšanas mehānismi</w:t>
      </w:r>
      <w:r w:rsidR="00905E88">
        <w:rPr>
          <w:rStyle w:val="FootnoteReference"/>
          <w:b/>
          <w:sz w:val="20"/>
        </w:rPr>
        <w:footnoteReference w:id="137"/>
      </w:r>
    </w:p>
    <w:tbl>
      <w:tblPr>
        <w:tblW w:w="6516" w:type="dxa"/>
        <w:tblLook w:val="04A0" w:firstRow="1" w:lastRow="0" w:firstColumn="1" w:lastColumn="0" w:noHBand="0" w:noVBand="1"/>
      </w:tblPr>
      <w:tblGrid>
        <w:gridCol w:w="1320"/>
        <w:gridCol w:w="1340"/>
        <w:gridCol w:w="1420"/>
        <w:gridCol w:w="960"/>
        <w:gridCol w:w="1476"/>
      </w:tblGrid>
      <w:tr w:rsidR="00AF4CC7" w:rsidRPr="0092000C" w14:paraId="40957E34" w14:textId="77777777" w:rsidTr="0092000C">
        <w:trPr>
          <w:trHeight w:val="765"/>
        </w:trPr>
        <w:tc>
          <w:tcPr>
            <w:tcW w:w="13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F37D3A" w14:textId="77777777" w:rsidR="00AF4CC7" w:rsidRPr="0092000C" w:rsidRDefault="00AF4CC7" w:rsidP="00AF4CC7">
            <w:pPr>
              <w:spacing w:before="0" w:after="0"/>
              <w:jc w:val="center"/>
              <w:rPr>
                <w:rFonts w:eastAsia="Times New Roman"/>
                <w:b/>
                <w:bCs/>
                <w:color w:val="000000"/>
                <w:sz w:val="20"/>
                <w:lang w:val="en-GB" w:eastAsia="en-GB" w:bidi="ne-NP"/>
              </w:rPr>
            </w:pPr>
            <w:r w:rsidRPr="0092000C">
              <w:rPr>
                <w:rFonts w:eastAsia="Times New Roman"/>
                <w:b/>
                <w:bCs/>
                <w:color w:val="000000"/>
                <w:sz w:val="20"/>
                <w:lang w:val="en-GB" w:eastAsia="en-GB" w:bidi="ne-NP"/>
              </w:rPr>
              <w:t xml:space="preserve">Prioritātes Nr. </w:t>
            </w:r>
          </w:p>
        </w:tc>
        <w:tc>
          <w:tcPr>
            <w:tcW w:w="1340" w:type="dxa"/>
            <w:tcBorders>
              <w:top w:val="single" w:sz="4" w:space="0" w:color="auto"/>
              <w:left w:val="nil"/>
              <w:bottom w:val="single" w:sz="4" w:space="0" w:color="auto"/>
              <w:right w:val="single" w:sz="4" w:space="0" w:color="auto"/>
            </w:tcBorders>
            <w:shd w:val="clear" w:color="000000" w:fill="D9D9D9"/>
            <w:vAlign w:val="center"/>
            <w:hideMark/>
          </w:tcPr>
          <w:p w14:paraId="3517EDFE" w14:textId="77777777" w:rsidR="00AF4CC7" w:rsidRPr="0092000C" w:rsidRDefault="00AF4CC7" w:rsidP="00AF4CC7">
            <w:pPr>
              <w:spacing w:before="0" w:after="0"/>
              <w:jc w:val="center"/>
              <w:rPr>
                <w:rFonts w:eastAsia="Times New Roman"/>
                <w:b/>
                <w:bCs/>
                <w:color w:val="000000"/>
                <w:sz w:val="20"/>
                <w:lang w:val="en-GB" w:eastAsia="en-GB" w:bidi="ne-NP"/>
              </w:rPr>
            </w:pPr>
            <w:r w:rsidRPr="0092000C">
              <w:rPr>
                <w:rFonts w:eastAsia="Times New Roman"/>
                <w:b/>
                <w:bCs/>
                <w:color w:val="000000"/>
                <w:sz w:val="20"/>
                <w:lang w:val="en-GB" w:eastAsia="en-GB" w:bidi="ne-NP"/>
              </w:rPr>
              <w:t>Fonds</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7211ED88" w14:textId="77777777" w:rsidR="00AF4CC7" w:rsidRPr="0092000C" w:rsidRDefault="00AF4CC7" w:rsidP="00AF4CC7">
            <w:pPr>
              <w:spacing w:before="0" w:after="0"/>
              <w:jc w:val="center"/>
              <w:rPr>
                <w:rFonts w:eastAsia="Times New Roman"/>
                <w:b/>
                <w:bCs/>
                <w:color w:val="000000"/>
                <w:sz w:val="20"/>
                <w:lang w:val="en-GB" w:eastAsia="en-GB" w:bidi="ne-NP"/>
              </w:rPr>
            </w:pPr>
            <w:r w:rsidRPr="0092000C">
              <w:rPr>
                <w:rFonts w:eastAsia="Times New Roman"/>
                <w:b/>
                <w:bCs/>
                <w:color w:val="000000"/>
                <w:sz w:val="20"/>
                <w:lang w:val="en-GB" w:eastAsia="en-GB" w:bidi="ne-NP"/>
              </w:rPr>
              <w:t xml:space="preserve">Reģiona kategorija </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34D26674" w14:textId="77777777" w:rsidR="00AF4CC7" w:rsidRPr="0092000C" w:rsidRDefault="00AF4CC7" w:rsidP="00AF4CC7">
            <w:pPr>
              <w:spacing w:before="0" w:after="0"/>
              <w:jc w:val="center"/>
              <w:rPr>
                <w:rFonts w:eastAsia="Times New Roman"/>
                <w:b/>
                <w:bCs/>
                <w:color w:val="000000"/>
                <w:sz w:val="20"/>
                <w:lang w:val="en-GB" w:eastAsia="en-GB" w:bidi="ne-NP"/>
              </w:rPr>
            </w:pPr>
            <w:r w:rsidRPr="0092000C">
              <w:rPr>
                <w:rFonts w:eastAsia="Times New Roman"/>
                <w:b/>
                <w:bCs/>
                <w:color w:val="000000"/>
                <w:sz w:val="20"/>
                <w:lang w:val="en-GB" w:eastAsia="en-GB" w:bidi="ne-NP"/>
              </w:rPr>
              <w:t xml:space="preserve">Kods </w:t>
            </w:r>
          </w:p>
        </w:tc>
        <w:tc>
          <w:tcPr>
            <w:tcW w:w="14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040DE3" w14:textId="265DF09D" w:rsidR="00AF4CC7" w:rsidRPr="009D3945" w:rsidRDefault="00AF4CC7" w:rsidP="00AF4CC7">
            <w:pPr>
              <w:spacing w:before="0" w:after="0"/>
              <w:jc w:val="center"/>
              <w:rPr>
                <w:rFonts w:eastAsia="Times New Roman"/>
                <w:b/>
                <w:bCs/>
                <w:color w:val="000000"/>
                <w:sz w:val="20"/>
                <w:lang w:val="en-GB" w:eastAsia="en-GB" w:bidi="ne-NP"/>
              </w:rPr>
            </w:pPr>
            <w:r w:rsidRPr="009D3945">
              <w:rPr>
                <w:rFonts w:eastAsia="Times New Roman"/>
                <w:b/>
                <w:bCs/>
                <w:color w:val="000000"/>
                <w:sz w:val="20"/>
                <w:lang w:val="en-GB" w:eastAsia="en-GB" w:bidi="ne-NP"/>
              </w:rPr>
              <w:t>Apjoms (EUR)</w:t>
            </w:r>
          </w:p>
        </w:tc>
      </w:tr>
      <w:tr w:rsidR="009D3945" w:rsidRPr="0092000C" w14:paraId="6E560634" w14:textId="77777777" w:rsidTr="0092000C">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2176855" w14:textId="77777777" w:rsidR="009D3945" w:rsidRPr="0092000C" w:rsidRDefault="009D3945" w:rsidP="009D3945">
            <w:pPr>
              <w:spacing w:before="0" w:after="0"/>
              <w:rPr>
                <w:rFonts w:eastAsia="Times New Roman"/>
                <w:color w:val="000000"/>
                <w:sz w:val="20"/>
                <w:lang w:val="en-GB" w:eastAsia="en-GB" w:bidi="ne-NP"/>
              </w:rPr>
            </w:pPr>
            <w:r w:rsidRPr="0092000C">
              <w:rPr>
                <w:rFonts w:eastAsia="Times New Roman"/>
                <w:color w:val="000000"/>
                <w:sz w:val="20"/>
                <w:lang w:val="en-GB" w:eastAsia="en-GB" w:bidi="ne-NP"/>
              </w:rPr>
              <w:t>1.1.prioritāte</w:t>
            </w:r>
          </w:p>
        </w:tc>
        <w:tc>
          <w:tcPr>
            <w:tcW w:w="1340" w:type="dxa"/>
            <w:tcBorders>
              <w:top w:val="nil"/>
              <w:left w:val="nil"/>
              <w:bottom w:val="single" w:sz="4" w:space="0" w:color="auto"/>
              <w:right w:val="single" w:sz="4" w:space="0" w:color="auto"/>
            </w:tcBorders>
            <w:shd w:val="clear" w:color="auto" w:fill="auto"/>
            <w:vAlign w:val="center"/>
            <w:hideMark/>
          </w:tcPr>
          <w:p w14:paraId="170A5DBF" w14:textId="77777777" w:rsidR="009D3945" w:rsidRPr="0092000C" w:rsidRDefault="009D3945" w:rsidP="009D3945">
            <w:pPr>
              <w:spacing w:before="0" w:after="0"/>
              <w:rPr>
                <w:rFonts w:eastAsia="Times New Roman"/>
                <w:color w:val="000000"/>
                <w:sz w:val="20"/>
                <w:lang w:val="en-GB" w:eastAsia="en-GB" w:bidi="ne-NP"/>
              </w:rPr>
            </w:pPr>
            <w:r w:rsidRPr="0092000C">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03BB2C33" w14:textId="77777777" w:rsidR="009D3945" w:rsidRPr="0092000C" w:rsidRDefault="009D3945" w:rsidP="009D3945">
            <w:pPr>
              <w:spacing w:before="0" w:after="0"/>
              <w:rPr>
                <w:rFonts w:eastAsia="Times New Roman"/>
                <w:color w:val="000000"/>
                <w:sz w:val="20"/>
                <w:lang w:val="en-GB" w:eastAsia="en-GB" w:bidi="ne-NP"/>
              </w:rPr>
            </w:pPr>
            <w:r w:rsidRPr="0092000C">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3E9B62C4" w14:textId="77777777" w:rsidR="009D3945" w:rsidRPr="0092000C" w:rsidRDefault="009D3945" w:rsidP="009D3945">
            <w:pPr>
              <w:spacing w:before="0" w:after="0"/>
              <w:jc w:val="center"/>
              <w:rPr>
                <w:rFonts w:eastAsia="Times New Roman"/>
                <w:color w:val="000000"/>
                <w:sz w:val="20"/>
                <w:lang w:val="en-GB" w:eastAsia="en-GB" w:bidi="ne-NP"/>
              </w:rPr>
            </w:pPr>
            <w:r w:rsidRPr="0092000C">
              <w:rPr>
                <w:rFonts w:eastAsia="Times New Roman"/>
                <w:color w:val="000000"/>
                <w:sz w:val="20"/>
                <w:lang w:val="en-GB" w:eastAsia="en-GB" w:bidi="ne-NP"/>
              </w:rPr>
              <w:t>48</w:t>
            </w:r>
          </w:p>
        </w:tc>
        <w:tc>
          <w:tcPr>
            <w:tcW w:w="1476" w:type="dxa"/>
            <w:tcBorders>
              <w:top w:val="nil"/>
              <w:left w:val="nil"/>
              <w:bottom w:val="single" w:sz="4" w:space="0" w:color="auto"/>
              <w:right w:val="single" w:sz="4" w:space="0" w:color="auto"/>
            </w:tcBorders>
            <w:shd w:val="clear" w:color="auto" w:fill="auto"/>
            <w:hideMark/>
          </w:tcPr>
          <w:p w14:paraId="3B635F91" w14:textId="4D5713C6" w:rsidR="009D3945" w:rsidRPr="009D3945" w:rsidRDefault="009D3945" w:rsidP="009D3945">
            <w:pPr>
              <w:spacing w:before="0" w:after="0"/>
              <w:jc w:val="right"/>
              <w:rPr>
                <w:rFonts w:eastAsia="Times New Roman"/>
                <w:color w:val="000000"/>
                <w:sz w:val="20"/>
                <w:lang w:val="en-GB" w:eastAsia="en-GB" w:bidi="ne-NP"/>
              </w:rPr>
            </w:pPr>
            <w:r w:rsidRPr="009D3945">
              <w:rPr>
                <w:sz w:val="20"/>
              </w:rPr>
              <w:t>271 879 037</w:t>
            </w:r>
          </w:p>
        </w:tc>
      </w:tr>
      <w:tr w:rsidR="009D3945" w:rsidRPr="0092000C" w14:paraId="66929633" w14:textId="77777777" w:rsidTr="0092000C">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7538F27F" w14:textId="77777777" w:rsidR="009D3945" w:rsidRPr="0092000C" w:rsidRDefault="009D3945" w:rsidP="009D3945">
            <w:pPr>
              <w:spacing w:before="0" w:after="0"/>
              <w:rPr>
                <w:rFonts w:eastAsia="Times New Roman"/>
                <w:color w:val="000000"/>
                <w:sz w:val="20"/>
                <w:lang w:val="en-GB" w:eastAsia="en-GB" w:bidi="ne-NP"/>
              </w:rPr>
            </w:pPr>
            <w:r w:rsidRPr="0092000C">
              <w:rPr>
                <w:rFonts w:eastAsia="Times New Roman"/>
                <w:color w:val="000000"/>
                <w:sz w:val="20"/>
                <w:lang w:val="en-GB" w:eastAsia="en-GB" w:bidi="ne-NP"/>
              </w:rPr>
              <w:t>1.2.prioritāte</w:t>
            </w:r>
          </w:p>
        </w:tc>
        <w:tc>
          <w:tcPr>
            <w:tcW w:w="1340" w:type="dxa"/>
            <w:tcBorders>
              <w:top w:val="nil"/>
              <w:left w:val="nil"/>
              <w:bottom w:val="single" w:sz="4" w:space="0" w:color="auto"/>
              <w:right w:val="single" w:sz="4" w:space="0" w:color="auto"/>
            </w:tcBorders>
            <w:shd w:val="clear" w:color="auto" w:fill="auto"/>
            <w:vAlign w:val="center"/>
            <w:hideMark/>
          </w:tcPr>
          <w:p w14:paraId="24BBEAD9" w14:textId="77777777" w:rsidR="009D3945" w:rsidRPr="0092000C" w:rsidRDefault="009D3945" w:rsidP="009D3945">
            <w:pPr>
              <w:spacing w:before="0" w:after="0"/>
              <w:rPr>
                <w:rFonts w:eastAsia="Times New Roman"/>
                <w:color w:val="000000"/>
                <w:sz w:val="20"/>
                <w:lang w:val="en-GB" w:eastAsia="en-GB" w:bidi="ne-NP"/>
              </w:rPr>
            </w:pPr>
            <w:r w:rsidRPr="0092000C">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582D5249" w14:textId="77777777" w:rsidR="009D3945" w:rsidRPr="0092000C" w:rsidRDefault="009D3945" w:rsidP="009D3945">
            <w:pPr>
              <w:spacing w:before="0" w:after="0"/>
              <w:rPr>
                <w:rFonts w:eastAsia="Times New Roman"/>
                <w:color w:val="000000"/>
                <w:sz w:val="20"/>
                <w:lang w:val="en-GB" w:eastAsia="en-GB" w:bidi="ne-NP"/>
              </w:rPr>
            </w:pPr>
            <w:r w:rsidRPr="0092000C">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5DBA90FC" w14:textId="77777777" w:rsidR="009D3945" w:rsidRPr="0092000C" w:rsidRDefault="009D3945" w:rsidP="009D3945">
            <w:pPr>
              <w:spacing w:before="0" w:after="0"/>
              <w:jc w:val="center"/>
              <w:rPr>
                <w:rFonts w:eastAsia="Times New Roman"/>
                <w:color w:val="000000"/>
                <w:sz w:val="20"/>
                <w:lang w:val="en-GB" w:eastAsia="en-GB" w:bidi="ne-NP"/>
              </w:rPr>
            </w:pPr>
            <w:r w:rsidRPr="0092000C">
              <w:rPr>
                <w:rFonts w:eastAsia="Times New Roman"/>
                <w:color w:val="000000"/>
                <w:sz w:val="20"/>
                <w:lang w:val="en-GB" w:eastAsia="en-GB" w:bidi="ne-NP"/>
              </w:rPr>
              <w:t>48</w:t>
            </w:r>
          </w:p>
        </w:tc>
        <w:tc>
          <w:tcPr>
            <w:tcW w:w="1476" w:type="dxa"/>
            <w:tcBorders>
              <w:top w:val="nil"/>
              <w:left w:val="nil"/>
              <w:bottom w:val="single" w:sz="4" w:space="0" w:color="auto"/>
              <w:right w:val="single" w:sz="4" w:space="0" w:color="auto"/>
            </w:tcBorders>
            <w:shd w:val="clear" w:color="auto" w:fill="auto"/>
            <w:hideMark/>
          </w:tcPr>
          <w:p w14:paraId="7223E845" w14:textId="7AADFCFE" w:rsidR="009D3945" w:rsidRPr="009D3945" w:rsidRDefault="009D3945" w:rsidP="009D3945">
            <w:pPr>
              <w:spacing w:before="0" w:after="0"/>
              <w:jc w:val="right"/>
              <w:rPr>
                <w:rFonts w:eastAsia="Times New Roman"/>
                <w:color w:val="000000"/>
                <w:sz w:val="20"/>
                <w:lang w:val="en-GB" w:eastAsia="en-GB" w:bidi="ne-NP"/>
              </w:rPr>
            </w:pPr>
            <w:r w:rsidRPr="009D3945">
              <w:rPr>
                <w:sz w:val="20"/>
              </w:rPr>
              <w:t>336 102 750</w:t>
            </w:r>
          </w:p>
        </w:tc>
      </w:tr>
      <w:tr w:rsidR="009D3945" w:rsidRPr="0092000C" w14:paraId="72D6E333" w14:textId="77777777" w:rsidTr="0092000C">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0991B8A" w14:textId="77777777" w:rsidR="009D3945" w:rsidRPr="0092000C" w:rsidRDefault="009D3945" w:rsidP="009D3945">
            <w:pPr>
              <w:spacing w:before="0" w:after="0"/>
              <w:rPr>
                <w:rFonts w:eastAsia="Times New Roman"/>
                <w:color w:val="000000"/>
                <w:sz w:val="20"/>
                <w:lang w:val="en-GB" w:eastAsia="en-GB" w:bidi="ne-NP"/>
              </w:rPr>
            </w:pPr>
            <w:r w:rsidRPr="0092000C">
              <w:rPr>
                <w:rFonts w:eastAsia="Times New Roman"/>
                <w:color w:val="000000"/>
                <w:sz w:val="20"/>
                <w:lang w:val="en-GB" w:eastAsia="en-GB" w:bidi="ne-NP"/>
              </w:rPr>
              <w:t>1.2.prioritāte</w:t>
            </w:r>
          </w:p>
        </w:tc>
        <w:tc>
          <w:tcPr>
            <w:tcW w:w="1340" w:type="dxa"/>
            <w:tcBorders>
              <w:top w:val="nil"/>
              <w:left w:val="nil"/>
              <w:bottom w:val="single" w:sz="4" w:space="0" w:color="auto"/>
              <w:right w:val="single" w:sz="4" w:space="0" w:color="auto"/>
            </w:tcBorders>
            <w:shd w:val="clear" w:color="auto" w:fill="auto"/>
            <w:vAlign w:val="center"/>
            <w:hideMark/>
          </w:tcPr>
          <w:p w14:paraId="2CC23E06" w14:textId="77777777" w:rsidR="009D3945" w:rsidRPr="0092000C" w:rsidRDefault="009D3945" w:rsidP="009D3945">
            <w:pPr>
              <w:spacing w:before="0" w:after="0"/>
              <w:rPr>
                <w:rFonts w:eastAsia="Times New Roman"/>
                <w:color w:val="000000"/>
                <w:sz w:val="20"/>
                <w:lang w:val="en-GB" w:eastAsia="en-GB" w:bidi="ne-NP"/>
              </w:rPr>
            </w:pPr>
            <w:r w:rsidRPr="0092000C">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32D22B32" w14:textId="77777777" w:rsidR="009D3945" w:rsidRPr="0092000C" w:rsidRDefault="009D3945" w:rsidP="009D3945">
            <w:pPr>
              <w:spacing w:before="0" w:after="0"/>
              <w:rPr>
                <w:rFonts w:eastAsia="Times New Roman"/>
                <w:color w:val="000000"/>
                <w:sz w:val="20"/>
                <w:lang w:val="en-GB" w:eastAsia="en-GB" w:bidi="ne-NP"/>
              </w:rPr>
            </w:pPr>
            <w:r w:rsidRPr="0092000C">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43CFEDC9" w14:textId="77777777" w:rsidR="009D3945" w:rsidRPr="0092000C" w:rsidRDefault="009D3945" w:rsidP="009D3945">
            <w:pPr>
              <w:spacing w:before="0" w:after="0"/>
              <w:jc w:val="center"/>
              <w:rPr>
                <w:rFonts w:eastAsia="Times New Roman"/>
                <w:color w:val="000000"/>
                <w:sz w:val="20"/>
                <w:lang w:val="en-GB" w:eastAsia="en-GB" w:bidi="ne-NP"/>
              </w:rPr>
            </w:pPr>
            <w:r w:rsidRPr="0092000C">
              <w:rPr>
                <w:rFonts w:eastAsia="Times New Roman"/>
                <w:color w:val="000000"/>
                <w:sz w:val="20"/>
                <w:lang w:val="en-GB" w:eastAsia="en-GB" w:bidi="ne-NP"/>
              </w:rPr>
              <w:t>32</w:t>
            </w:r>
          </w:p>
        </w:tc>
        <w:tc>
          <w:tcPr>
            <w:tcW w:w="1476" w:type="dxa"/>
            <w:tcBorders>
              <w:top w:val="nil"/>
              <w:left w:val="nil"/>
              <w:bottom w:val="single" w:sz="4" w:space="0" w:color="auto"/>
              <w:right w:val="single" w:sz="4" w:space="0" w:color="auto"/>
            </w:tcBorders>
            <w:shd w:val="clear" w:color="auto" w:fill="auto"/>
            <w:hideMark/>
          </w:tcPr>
          <w:p w14:paraId="2E5E4DAE" w14:textId="57E42666" w:rsidR="009D3945" w:rsidRPr="009D3945" w:rsidRDefault="009D3945" w:rsidP="009D3945">
            <w:pPr>
              <w:spacing w:before="0" w:after="0"/>
              <w:jc w:val="right"/>
              <w:rPr>
                <w:rFonts w:eastAsia="Times New Roman"/>
                <w:color w:val="000000"/>
                <w:sz w:val="20"/>
                <w:lang w:val="en-GB" w:eastAsia="en-GB" w:bidi="ne-NP"/>
              </w:rPr>
            </w:pPr>
            <w:r w:rsidRPr="009D3945">
              <w:rPr>
                <w:sz w:val="20"/>
              </w:rPr>
              <w:t>33 277 500</w:t>
            </w:r>
          </w:p>
        </w:tc>
      </w:tr>
      <w:tr w:rsidR="009D3945" w:rsidRPr="0092000C" w14:paraId="69074E48" w14:textId="77777777" w:rsidTr="0092000C">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38D7174F" w14:textId="77777777" w:rsidR="009D3945" w:rsidRPr="0092000C" w:rsidRDefault="009D3945" w:rsidP="009D3945">
            <w:pPr>
              <w:spacing w:before="0" w:after="0"/>
              <w:rPr>
                <w:rFonts w:eastAsia="Times New Roman"/>
                <w:color w:val="000000"/>
                <w:sz w:val="20"/>
                <w:lang w:val="en-GB" w:eastAsia="en-GB" w:bidi="ne-NP"/>
              </w:rPr>
            </w:pPr>
            <w:r w:rsidRPr="0092000C">
              <w:rPr>
                <w:rFonts w:eastAsia="Times New Roman"/>
                <w:color w:val="000000"/>
                <w:sz w:val="20"/>
                <w:lang w:val="en-GB" w:eastAsia="en-GB" w:bidi="ne-NP"/>
              </w:rPr>
              <w:t>1.3.prioritāte</w:t>
            </w:r>
          </w:p>
        </w:tc>
        <w:tc>
          <w:tcPr>
            <w:tcW w:w="1340" w:type="dxa"/>
            <w:tcBorders>
              <w:top w:val="nil"/>
              <w:left w:val="nil"/>
              <w:bottom w:val="single" w:sz="4" w:space="0" w:color="auto"/>
              <w:right w:val="single" w:sz="4" w:space="0" w:color="auto"/>
            </w:tcBorders>
            <w:shd w:val="clear" w:color="auto" w:fill="auto"/>
            <w:vAlign w:val="center"/>
            <w:hideMark/>
          </w:tcPr>
          <w:p w14:paraId="2EA60E3D" w14:textId="77777777" w:rsidR="009D3945" w:rsidRPr="0092000C" w:rsidRDefault="009D3945" w:rsidP="009D3945">
            <w:pPr>
              <w:spacing w:before="0" w:after="0"/>
              <w:rPr>
                <w:rFonts w:eastAsia="Times New Roman"/>
                <w:color w:val="000000"/>
                <w:sz w:val="20"/>
                <w:lang w:val="en-GB" w:eastAsia="en-GB" w:bidi="ne-NP"/>
              </w:rPr>
            </w:pPr>
            <w:r w:rsidRPr="0092000C">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337CFA26" w14:textId="77777777" w:rsidR="009D3945" w:rsidRPr="0092000C" w:rsidRDefault="009D3945" w:rsidP="009D3945">
            <w:pPr>
              <w:spacing w:before="0" w:after="0"/>
              <w:rPr>
                <w:rFonts w:eastAsia="Times New Roman"/>
                <w:color w:val="000000"/>
                <w:sz w:val="20"/>
                <w:lang w:val="en-GB" w:eastAsia="en-GB" w:bidi="ne-NP"/>
              </w:rPr>
            </w:pPr>
            <w:r w:rsidRPr="0092000C">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5C95624A" w14:textId="77777777" w:rsidR="009D3945" w:rsidRPr="0092000C" w:rsidRDefault="009D3945" w:rsidP="009D3945">
            <w:pPr>
              <w:spacing w:before="0" w:after="0"/>
              <w:jc w:val="center"/>
              <w:rPr>
                <w:rFonts w:eastAsia="Times New Roman"/>
                <w:color w:val="000000"/>
                <w:sz w:val="20"/>
                <w:lang w:val="en-GB" w:eastAsia="en-GB" w:bidi="ne-NP"/>
              </w:rPr>
            </w:pPr>
            <w:r w:rsidRPr="0092000C">
              <w:rPr>
                <w:rFonts w:eastAsia="Times New Roman"/>
                <w:color w:val="000000"/>
                <w:sz w:val="20"/>
                <w:lang w:val="en-GB" w:eastAsia="en-GB" w:bidi="ne-NP"/>
              </w:rPr>
              <w:t>48</w:t>
            </w:r>
          </w:p>
        </w:tc>
        <w:tc>
          <w:tcPr>
            <w:tcW w:w="1476" w:type="dxa"/>
            <w:tcBorders>
              <w:top w:val="nil"/>
              <w:left w:val="nil"/>
              <w:bottom w:val="single" w:sz="4" w:space="0" w:color="auto"/>
              <w:right w:val="single" w:sz="4" w:space="0" w:color="auto"/>
            </w:tcBorders>
            <w:shd w:val="clear" w:color="auto" w:fill="auto"/>
            <w:hideMark/>
          </w:tcPr>
          <w:p w14:paraId="0DBB6466" w14:textId="6DCB910D" w:rsidR="009D3945" w:rsidRPr="009D3945" w:rsidRDefault="009D3945" w:rsidP="009D3945">
            <w:pPr>
              <w:spacing w:before="0" w:after="0"/>
              <w:jc w:val="right"/>
              <w:rPr>
                <w:rFonts w:eastAsia="Times New Roman"/>
                <w:color w:val="000000"/>
                <w:sz w:val="20"/>
                <w:lang w:val="en-GB" w:eastAsia="en-GB" w:bidi="ne-NP"/>
              </w:rPr>
            </w:pPr>
            <w:r w:rsidRPr="009D3945">
              <w:rPr>
                <w:sz w:val="20"/>
              </w:rPr>
              <w:t>152 022 491</w:t>
            </w:r>
          </w:p>
        </w:tc>
      </w:tr>
      <w:tr w:rsidR="009D3945" w:rsidRPr="0092000C" w14:paraId="47488C39" w14:textId="77777777" w:rsidTr="0092000C">
        <w:trPr>
          <w:trHeight w:val="285"/>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85306F5" w14:textId="77777777" w:rsidR="009D3945" w:rsidRPr="0092000C" w:rsidRDefault="009D3945" w:rsidP="009D3945">
            <w:pPr>
              <w:spacing w:before="0" w:after="0"/>
              <w:rPr>
                <w:rFonts w:eastAsia="Times New Roman"/>
                <w:sz w:val="20"/>
                <w:lang w:val="en-GB" w:eastAsia="en-GB" w:bidi="ne-NP"/>
              </w:rPr>
            </w:pPr>
            <w:r w:rsidRPr="0092000C">
              <w:rPr>
                <w:rFonts w:eastAsia="Times New Roman"/>
                <w:sz w:val="20"/>
                <w:lang w:val="en-GB" w:eastAsia="en-GB" w:bidi="ne-NP"/>
              </w:rPr>
              <w:t>1.4.prioritāte</w:t>
            </w:r>
          </w:p>
        </w:tc>
        <w:tc>
          <w:tcPr>
            <w:tcW w:w="1340" w:type="dxa"/>
            <w:tcBorders>
              <w:top w:val="nil"/>
              <w:left w:val="nil"/>
              <w:bottom w:val="single" w:sz="4" w:space="0" w:color="auto"/>
              <w:right w:val="single" w:sz="4" w:space="0" w:color="auto"/>
            </w:tcBorders>
            <w:shd w:val="clear" w:color="auto" w:fill="auto"/>
            <w:vAlign w:val="center"/>
            <w:hideMark/>
          </w:tcPr>
          <w:p w14:paraId="043EC6F0" w14:textId="77777777" w:rsidR="009D3945" w:rsidRPr="0092000C" w:rsidRDefault="009D3945" w:rsidP="009D3945">
            <w:pPr>
              <w:spacing w:before="0" w:after="0"/>
              <w:jc w:val="left"/>
              <w:rPr>
                <w:rFonts w:eastAsia="Times New Roman"/>
                <w:color w:val="000000"/>
                <w:sz w:val="20"/>
                <w:lang w:val="en-GB" w:eastAsia="en-GB" w:bidi="ne-NP"/>
              </w:rPr>
            </w:pPr>
            <w:r w:rsidRPr="0092000C">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7762A82C" w14:textId="77777777" w:rsidR="009D3945" w:rsidRPr="0092000C" w:rsidRDefault="009D3945" w:rsidP="009D3945">
            <w:pPr>
              <w:spacing w:before="0" w:after="0"/>
              <w:rPr>
                <w:rFonts w:eastAsia="Times New Roman"/>
                <w:color w:val="000000"/>
                <w:sz w:val="20"/>
                <w:lang w:val="en-GB" w:eastAsia="en-GB" w:bidi="ne-NP"/>
              </w:rPr>
            </w:pPr>
            <w:r w:rsidRPr="0092000C">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1EDA88A9" w14:textId="77777777" w:rsidR="009D3945" w:rsidRPr="0092000C" w:rsidRDefault="009D3945" w:rsidP="009D3945">
            <w:pPr>
              <w:spacing w:before="0" w:after="0"/>
              <w:jc w:val="center"/>
              <w:rPr>
                <w:rFonts w:eastAsia="Times New Roman"/>
                <w:color w:val="000000"/>
                <w:sz w:val="20"/>
                <w:lang w:val="en-GB" w:eastAsia="en-GB" w:bidi="ne-NP"/>
              </w:rPr>
            </w:pPr>
            <w:r w:rsidRPr="0092000C">
              <w:rPr>
                <w:rFonts w:eastAsia="Times New Roman"/>
                <w:color w:val="000000"/>
                <w:sz w:val="20"/>
                <w:lang w:val="en-GB" w:eastAsia="en-GB" w:bidi="ne-NP"/>
              </w:rPr>
              <w:t>48</w:t>
            </w:r>
          </w:p>
        </w:tc>
        <w:tc>
          <w:tcPr>
            <w:tcW w:w="1476" w:type="dxa"/>
            <w:tcBorders>
              <w:top w:val="nil"/>
              <w:left w:val="nil"/>
              <w:bottom w:val="single" w:sz="4" w:space="0" w:color="auto"/>
              <w:right w:val="single" w:sz="4" w:space="0" w:color="auto"/>
            </w:tcBorders>
            <w:shd w:val="clear" w:color="auto" w:fill="auto"/>
            <w:hideMark/>
          </w:tcPr>
          <w:p w14:paraId="67D3E6C2" w14:textId="52753AFC" w:rsidR="009D3945" w:rsidRPr="009D3945" w:rsidRDefault="009D3945" w:rsidP="009D3945">
            <w:pPr>
              <w:spacing w:before="0" w:after="0"/>
              <w:jc w:val="right"/>
              <w:rPr>
                <w:rFonts w:eastAsia="Times New Roman"/>
                <w:color w:val="000000"/>
                <w:sz w:val="20"/>
                <w:lang w:val="en-GB" w:eastAsia="en-GB" w:bidi="ne-NP"/>
              </w:rPr>
            </w:pPr>
            <w:r w:rsidRPr="009D3945">
              <w:rPr>
                <w:sz w:val="20"/>
              </w:rPr>
              <w:t>32 907 750</w:t>
            </w:r>
          </w:p>
        </w:tc>
      </w:tr>
      <w:tr w:rsidR="009D3945" w:rsidRPr="0092000C" w14:paraId="7DB7930B" w14:textId="77777777" w:rsidTr="0092000C">
        <w:trPr>
          <w:trHeight w:val="285"/>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5384830" w14:textId="77777777" w:rsidR="009D3945" w:rsidRPr="0092000C" w:rsidRDefault="009D3945" w:rsidP="009D3945">
            <w:pPr>
              <w:spacing w:before="0" w:after="0"/>
              <w:rPr>
                <w:rFonts w:eastAsia="Times New Roman"/>
                <w:color w:val="000000"/>
                <w:sz w:val="20"/>
                <w:lang w:val="en-GB" w:eastAsia="en-GB" w:bidi="ne-NP"/>
              </w:rPr>
            </w:pPr>
            <w:r w:rsidRPr="0092000C">
              <w:rPr>
                <w:rFonts w:eastAsia="Times New Roman"/>
                <w:color w:val="000000"/>
                <w:sz w:val="20"/>
                <w:lang w:val="en-GB" w:eastAsia="en-GB" w:bidi="ne-NP"/>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1B363F58" w14:textId="77777777" w:rsidR="009D3945" w:rsidRPr="0092000C" w:rsidRDefault="009D3945" w:rsidP="009D3945">
            <w:pPr>
              <w:spacing w:before="0" w:after="0"/>
              <w:rPr>
                <w:rFonts w:eastAsia="Times New Roman"/>
                <w:color w:val="000000"/>
                <w:sz w:val="20"/>
                <w:lang w:val="en-GB" w:eastAsia="en-GB" w:bidi="ne-NP"/>
              </w:rPr>
            </w:pPr>
            <w:r w:rsidRPr="0092000C">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0B28C7A6" w14:textId="77777777" w:rsidR="009D3945" w:rsidRPr="0092000C" w:rsidRDefault="009D3945" w:rsidP="009D3945">
            <w:pPr>
              <w:spacing w:before="0" w:after="0"/>
              <w:rPr>
                <w:rFonts w:eastAsia="Times New Roman"/>
                <w:color w:val="000000"/>
                <w:sz w:val="20"/>
                <w:lang w:val="en-GB" w:eastAsia="en-GB" w:bidi="ne-NP"/>
              </w:rPr>
            </w:pPr>
            <w:r w:rsidRPr="0092000C">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367FD305" w14:textId="77777777" w:rsidR="009D3945" w:rsidRPr="0092000C" w:rsidRDefault="009D3945" w:rsidP="009D3945">
            <w:pPr>
              <w:spacing w:before="0" w:after="0"/>
              <w:jc w:val="center"/>
              <w:rPr>
                <w:rFonts w:eastAsia="Times New Roman"/>
                <w:color w:val="000000"/>
                <w:sz w:val="20"/>
                <w:lang w:val="en-GB" w:eastAsia="en-GB" w:bidi="ne-NP"/>
              </w:rPr>
            </w:pPr>
            <w:r w:rsidRPr="0092000C">
              <w:rPr>
                <w:rFonts w:eastAsia="Times New Roman"/>
                <w:color w:val="000000"/>
                <w:sz w:val="20"/>
                <w:lang w:val="en-GB" w:eastAsia="en-GB" w:bidi="ne-NP"/>
              </w:rPr>
              <w:t>47</w:t>
            </w:r>
          </w:p>
        </w:tc>
        <w:tc>
          <w:tcPr>
            <w:tcW w:w="1476" w:type="dxa"/>
            <w:tcBorders>
              <w:top w:val="nil"/>
              <w:left w:val="nil"/>
              <w:bottom w:val="single" w:sz="4" w:space="0" w:color="auto"/>
              <w:right w:val="single" w:sz="4" w:space="0" w:color="auto"/>
            </w:tcBorders>
            <w:shd w:val="clear" w:color="auto" w:fill="auto"/>
            <w:hideMark/>
          </w:tcPr>
          <w:p w14:paraId="45C3A5AC" w14:textId="12B43798" w:rsidR="009D3945" w:rsidRPr="009D3945" w:rsidRDefault="009D3945" w:rsidP="009D3945">
            <w:pPr>
              <w:spacing w:before="0" w:after="0"/>
              <w:jc w:val="right"/>
              <w:rPr>
                <w:rFonts w:eastAsia="Times New Roman"/>
                <w:color w:val="000000"/>
                <w:sz w:val="20"/>
                <w:lang w:val="en-GB" w:eastAsia="en-GB" w:bidi="ne-NP"/>
              </w:rPr>
            </w:pPr>
            <w:r w:rsidRPr="009D3945">
              <w:rPr>
                <w:sz w:val="20"/>
              </w:rPr>
              <w:t>44 300 000</w:t>
            </w:r>
          </w:p>
        </w:tc>
      </w:tr>
      <w:tr w:rsidR="009D3945" w:rsidRPr="0092000C" w14:paraId="1F667700" w14:textId="77777777" w:rsidTr="0092000C">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6910BDB" w14:textId="77777777" w:rsidR="009D3945" w:rsidRPr="0092000C" w:rsidRDefault="009D3945" w:rsidP="009D3945">
            <w:pPr>
              <w:spacing w:before="0" w:after="0"/>
              <w:rPr>
                <w:rFonts w:eastAsia="Times New Roman"/>
                <w:color w:val="000000"/>
                <w:sz w:val="20"/>
                <w:lang w:val="en-GB" w:eastAsia="en-GB" w:bidi="ne-NP"/>
              </w:rPr>
            </w:pPr>
            <w:r w:rsidRPr="0092000C">
              <w:rPr>
                <w:rFonts w:eastAsia="Times New Roman"/>
                <w:color w:val="000000"/>
                <w:sz w:val="20"/>
                <w:lang w:val="en-GB" w:eastAsia="en-GB" w:bidi="ne-NP"/>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0580719B" w14:textId="77777777" w:rsidR="009D3945" w:rsidRPr="0092000C" w:rsidRDefault="009D3945" w:rsidP="009D3945">
            <w:pPr>
              <w:spacing w:before="0" w:after="0"/>
              <w:rPr>
                <w:rFonts w:eastAsia="Times New Roman"/>
                <w:color w:val="000000"/>
                <w:sz w:val="20"/>
                <w:lang w:val="en-GB" w:eastAsia="en-GB" w:bidi="ne-NP"/>
              </w:rPr>
            </w:pPr>
            <w:r w:rsidRPr="0092000C">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2B92FEC2" w14:textId="77777777" w:rsidR="009D3945" w:rsidRPr="0092000C" w:rsidRDefault="009D3945" w:rsidP="009D3945">
            <w:pPr>
              <w:spacing w:before="0" w:after="0"/>
              <w:rPr>
                <w:rFonts w:eastAsia="Times New Roman"/>
                <w:color w:val="000000"/>
                <w:sz w:val="20"/>
                <w:lang w:val="en-GB" w:eastAsia="en-GB" w:bidi="ne-NP"/>
              </w:rPr>
            </w:pPr>
            <w:r w:rsidRPr="0092000C">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41441BD6" w14:textId="77777777" w:rsidR="009D3945" w:rsidRPr="0092000C" w:rsidRDefault="009D3945" w:rsidP="009D3945">
            <w:pPr>
              <w:spacing w:before="0" w:after="0"/>
              <w:jc w:val="center"/>
              <w:rPr>
                <w:rFonts w:eastAsia="Times New Roman"/>
                <w:color w:val="000000"/>
                <w:sz w:val="20"/>
                <w:lang w:val="en-GB" w:eastAsia="en-GB" w:bidi="ne-NP"/>
              </w:rPr>
            </w:pPr>
            <w:r w:rsidRPr="0092000C">
              <w:rPr>
                <w:rFonts w:eastAsia="Times New Roman"/>
                <w:color w:val="000000"/>
                <w:sz w:val="20"/>
                <w:lang w:val="en-GB" w:eastAsia="en-GB" w:bidi="ne-NP"/>
              </w:rPr>
              <w:t>48</w:t>
            </w:r>
          </w:p>
        </w:tc>
        <w:tc>
          <w:tcPr>
            <w:tcW w:w="1476" w:type="dxa"/>
            <w:tcBorders>
              <w:top w:val="nil"/>
              <w:left w:val="nil"/>
              <w:bottom w:val="single" w:sz="4" w:space="0" w:color="auto"/>
              <w:right w:val="single" w:sz="4" w:space="0" w:color="auto"/>
            </w:tcBorders>
            <w:shd w:val="clear" w:color="auto" w:fill="auto"/>
            <w:hideMark/>
          </w:tcPr>
          <w:p w14:paraId="4B26826D" w14:textId="7F8EC75A" w:rsidR="009D3945" w:rsidRPr="009D3945" w:rsidRDefault="009D3945" w:rsidP="009D3945">
            <w:pPr>
              <w:spacing w:before="0" w:after="0"/>
              <w:jc w:val="right"/>
              <w:rPr>
                <w:rFonts w:eastAsia="Times New Roman"/>
                <w:color w:val="000000"/>
                <w:sz w:val="20"/>
                <w:lang w:val="en-GB" w:eastAsia="en-GB" w:bidi="ne-NP"/>
              </w:rPr>
            </w:pPr>
            <w:r w:rsidRPr="009D3945">
              <w:rPr>
                <w:sz w:val="20"/>
              </w:rPr>
              <w:t>500 259 342</w:t>
            </w:r>
          </w:p>
        </w:tc>
      </w:tr>
      <w:tr w:rsidR="009D3945" w:rsidRPr="0092000C" w14:paraId="11F534EB" w14:textId="77777777" w:rsidTr="0092000C">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38F007F4" w14:textId="77777777" w:rsidR="009D3945" w:rsidRPr="0092000C" w:rsidRDefault="009D3945" w:rsidP="009D3945">
            <w:pPr>
              <w:spacing w:before="0" w:after="0"/>
              <w:rPr>
                <w:rFonts w:eastAsia="Times New Roman"/>
                <w:color w:val="000000"/>
                <w:sz w:val="20"/>
                <w:lang w:val="en-GB" w:eastAsia="en-GB" w:bidi="ne-NP"/>
              </w:rPr>
            </w:pPr>
            <w:r w:rsidRPr="0092000C">
              <w:rPr>
                <w:rFonts w:eastAsia="Times New Roman"/>
                <w:color w:val="000000"/>
                <w:sz w:val="20"/>
                <w:lang w:val="en-GB" w:eastAsia="en-GB" w:bidi="ne-NP"/>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6B6DE405" w14:textId="77777777" w:rsidR="009D3945" w:rsidRPr="0092000C" w:rsidRDefault="009D3945" w:rsidP="009D3945">
            <w:pPr>
              <w:spacing w:before="0" w:after="0"/>
              <w:rPr>
                <w:rFonts w:eastAsia="Times New Roman"/>
                <w:color w:val="000000"/>
                <w:sz w:val="20"/>
                <w:lang w:val="en-GB" w:eastAsia="en-GB" w:bidi="ne-NP"/>
              </w:rPr>
            </w:pPr>
            <w:r w:rsidRPr="0092000C">
              <w:rPr>
                <w:rFonts w:eastAsia="Times New Roman"/>
                <w:color w:val="000000"/>
                <w:sz w:val="20"/>
                <w:lang w:val="en-GB" w:eastAsia="en-GB" w:bidi="ne-NP"/>
              </w:rPr>
              <w:t>KF</w:t>
            </w:r>
          </w:p>
        </w:tc>
        <w:tc>
          <w:tcPr>
            <w:tcW w:w="1420" w:type="dxa"/>
            <w:tcBorders>
              <w:top w:val="nil"/>
              <w:left w:val="nil"/>
              <w:bottom w:val="single" w:sz="4" w:space="0" w:color="auto"/>
              <w:right w:val="single" w:sz="4" w:space="0" w:color="auto"/>
            </w:tcBorders>
            <w:shd w:val="clear" w:color="auto" w:fill="auto"/>
            <w:vAlign w:val="center"/>
            <w:hideMark/>
          </w:tcPr>
          <w:p w14:paraId="71D17F7C" w14:textId="77777777" w:rsidR="009D3945" w:rsidRPr="0092000C" w:rsidRDefault="009D3945" w:rsidP="009D3945">
            <w:pPr>
              <w:spacing w:before="0" w:after="0"/>
              <w:rPr>
                <w:rFonts w:eastAsia="Times New Roman"/>
                <w:color w:val="000000"/>
                <w:sz w:val="20"/>
                <w:lang w:val="en-GB" w:eastAsia="en-GB" w:bidi="ne-NP"/>
              </w:rPr>
            </w:pPr>
            <w:r w:rsidRPr="0092000C">
              <w:rPr>
                <w:rFonts w:eastAsia="Times New Roman"/>
                <w:color w:val="000000"/>
                <w:sz w:val="20"/>
                <w:lang w:val="en-GB" w:eastAsia="en-GB" w:bidi="ne-NP"/>
              </w:rPr>
              <w:t>N/A</w:t>
            </w:r>
          </w:p>
        </w:tc>
        <w:tc>
          <w:tcPr>
            <w:tcW w:w="960" w:type="dxa"/>
            <w:tcBorders>
              <w:top w:val="nil"/>
              <w:left w:val="nil"/>
              <w:bottom w:val="single" w:sz="4" w:space="0" w:color="auto"/>
              <w:right w:val="single" w:sz="4" w:space="0" w:color="auto"/>
            </w:tcBorders>
            <w:shd w:val="clear" w:color="auto" w:fill="auto"/>
            <w:vAlign w:val="center"/>
            <w:hideMark/>
          </w:tcPr>
          <w:p w14:paraId="0D14B900" w14:textId="77777777" w:rsidR="009D3945" w:rsidRPr="0092000C" w:rsidRDefault="009D3945" w:rsidP="009D3945">
            <w:pPr>
              <w:spacing w:before="0" w:after="0"/>
              <w:jc w:val="center"/>
              <w:rPr>
                <w:rFonts w:eastAsia="Times New Roman"/>
                <w:color w:val="000000"/>
                <w:sz w:val="20"/>
                <w:lang w:val="en-GB" w:eastAsia="en-GB" w:bidi="ne-NP"/>
              </w:rPr>
            </w:pPr>
            <w:r w:rsidRPr="0092000C">
              <w:rPr>
                <w:rFonts w:eastAsia="Times New Roman"/>
                <w:color w:val="000000"/>
                <w:sz w:val="20"/>
                <w:lang w:val="en-GB" w:eastAsia="en-GB" w:bidi="ne-NP"/>
              </w:rPr>
              <w:t>48</w:t>
            </w:r>
          </w:p>
        </w:tc>
        <w:tc>
          <w:tcPr>
            <w:tcW w:w="1476" w:type="dxa"/>
            <w:tcBorders>
              <w:top w:val="nil"/>
              <w:left w:val="nil"/>
              <w:bottom w:val="single" w:sz="4" w:space="0" w:color="auto"/>
              <w:right w:val="single" w:sz="4" w:space="0" w:color="auto"/>
            </w:tcBorders>
            <w:shd w:val="clear" w:color="auto" w:fill="auto"/>
            <w:hideMark/>
          </w:tcPr>
          <w:p w14:paraId="338860C5" w14:textId="69362B94" w:rsidR="009D3945" w:rsidRPr="009D3945" w:rsidRDefault="009D3945" w:rsidP="009D3945">
            <w:pPr>
              <w:spacing w:before="0" w:after="0"/>
              <w:jc w:val="right"/>
              <w:rPr>
                <w:rFonts w:eastAsia="Times New Roman"/>
                <w:color w:val="000000"/>
                <w:sz w:val="20"/>
                <w:lang w:val="en-GB" w:eastAsia="en-GB" w:bidi="ne-NP"/>
              </w:rPr>
            </w:pPr>
            <w:r w:rsidRPr="009D3945">
              <w:rPr>
                <w:sz w:val="20"/>
              </w:rPr>
              <w:t>38 454 000</w:t>
            </w:r>
          </w:p>
        </w:tc>
      </w:tr>
      <w:tr w:rsidR="009D3945" w:rsidRPr="0092000C" w14:paraId="7721C4A2" w14:textId="77777777" w:rsidTr="0092000C">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6FBDC90" w14:textId="77777777" w:rsidR="009D3945" w:rsidRPr="0092000C" w:rsidRDefault="009D3945" w:rsidP="009D3945">
            <w:pPr>
              <w:spacing w:before="0" w:after="0"/>
              <w:rPr>
                <w:rFonts w:eastAsia="Times New Roman"/>
                <w:color w:val="000000"/>
                <w:sz w:val="20"/>
                <w:lang w:val="en-GB" w:eastAsia="en-GB" w:bidi="ne-NP"/>
              </w:rPr>
            </w:pPr>
            <w:r w:rsidRPr="0092000C">
              <w:rPr>
                <w:rFonts w:eastAsia="Times New Roman"/>
                <w:color w:val="000000"/>
                <w:sz w:val="20"/>
                <w:lang w:val="en-GB" w:eastAsia="en-GB" w:bidi="ne-NP"/>
              </w:rPr>
              <w:t>2.2.prioritāte</w:t>
            </w:r>
          </w:p>
        </w:tc>
        <w:tc>
          <w:tcPr>
            <w:tcW w:w="1340" w:type="dxa"/>
            <w:tcBorders>
              <w:top w:val="nil"/>
              <w:left w:val="nil"/>
              <w:bottom w:val="single" w:sz="4" w:space="0" w:color="auto"/>
              <w:right w:val="single" w:sz="4" w:space="0" w:color="auto"/>
            </w:tcBorders>
            <w:shd w:val="clear" w:color="auto" w:fill="auto"/>
            <w:vAlign w:val="center"/>
            <w:hideMark/>
          </w:tcPr>
          <w:p w14:paraId="074934D7" w14:textId="77777777" w:rsidR="009D3945" w:rsidRPr="0092000C" w:rsidRDefault="009D3945" w:rsidP="009D3945">
            <w:pPr>
              <w:spacing w:before="0" w:after="0"/>
              <w:jc w:val="left"/>
              <w:rPr>
                <w:rFonts w:eastAsia="Times New Roman"/>
                <w:color w:val="000000"/>
                <w:sz w:val="20"/>
                <w:lang w:val="en-GB" w:eastAsia="en-GB" w:bidi="ne-NP"/>
              </w:rPr>
            </w:pPr>
            <w:r w:rsidRPr="0092000C">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1E7CDC3F" w14:textId="77777777" w:rsidR="009D3945" w:rsidRPr="0092000C" w:rsidRDefault="009D3945" w:rsidP="009D3945">
            <w:pPr>
              <w:spacing w:before="0" w:after="0"/>
              <w:jc w:val="left"/>
              <w:rPr>
                <w:rFonts w:eastAsia="Times New Roman"/>
                <w:color w:val="000000"/>
                <w:sz w:val="20"/>
                <w:lang w:val="en-GB" w:eastAsia="en-GB" w:bidi="ne-NP"/>
              </w:rPr>
            </w:pPr>
            <w:r w:rsidRPr="0092000C">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371A22F2" w14:textId="77777777" w:rsidR="009D3945" w:rsidRPr="0092000C" w:rsidRDefault="009D3945" w:rsidP="009D3945">
            <w:pPr>
              <w:spacing w:before="0" w:after="0"/>
              <w:jc w:val="center"/>
              <w:rPr>
                <w:rFonts w:eastAsia="Times New Roman"/>
                <w:color w:val="000000"/>
                <w:sz w:val="20"/>
                <w:lang w:val="en-GB" w:eastAsia="en-GB" w:bidi="ne-NP"/>
              </w:rPr>
            </w:pPr>
            <w:r w:rsidRPr="0092000C">
              <w:rPr>
                <w:rFonts w:eastAsia="Times New Roman"/>
                <w:color w:val="000000"/>
                <w:sz w:val="20"/>
                <w:lang w:val="en-GB" w:eastAsia="en-GB" w:bidi="ne-NP"/>
              </w:rPr>
              <w:t>42</w:t>
            </w:r>
          </w:p>
        </w:tc>
        <w:tc>
          <w:tcPr>
            <w:tcW w:w="1476" w:type="dxa"/>
            <w:tcBorders>
              <w:top w:val="nil"/>
              <w:left w:val="nil"/>
              <w:bottom w:val="single" w:sz="4" w:space="0" w:color="auto"/>
              <w:right w:val="single" w:sz="4" w:space="0" w:color="auto"/>
            </w:tcBorders>
            <w:shd w:val="clear" w:color="auto" w:fill="auto"/>
            <w:hideMark/>
          </w:tcPr>
          <w:p w14:paraId="510CE7B4" w14:textId="5B16D87C" w:rsidR="009D3945" w:rsidRPr="009D3945" w:rsidRDefault="009D3945" w:rsidP="009D3945">
            <w:pPr>
              <w:spacing w:before="0" w:after="0"/>
              <w:jc w:val="right"/>
              <w:rPr>
                <w:rFonts w:eastAsia="Times New Roman"/>
                <w:color w:val="000000"/>
                <w:sz w:val="20"/>
                <w:lang w:val="en-GB" w:eastAsia="en-GB" w:bidi="ne-NP"/>
              </w:rPr>
            </w:pPr>
            <w:r w:rsidRPr="009D3945">
              <w:rPr>
                <w:sz w:val="20"/>
              </w:rPr>
              <w:t>20 336 250</w:t>
            </w:r>
          </w:p>
        </w:tc>
      </w:tr>
      <w:tr w:rsidR="009D3945" w:rsidRPr="0092000C" w14:paraId="190325E3" w14:textId="77777777" w:rsidTr="0092000C">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5817415" w14:textId="77777777" w:rsidR="009D3945" w:rsidRPr="0092000C" w:rsidRDefault="009D3945" w:rsidP="009D3945">
            <w:pPr>
              <w:spacing w:before="0" w:after="0"/>
              <w:rPr>
                <w:rFonts w:eastAsia="Times New Roman"/>
                <w:color w:val="000000"/>
                <w:sz w:val="20"/>
                <w:lang w:val="en-GB" w:eastAsia="en-GB" w:bidi="ne-NP"/>
              </w:rPr>
            </w:pPr>
            <w:r w:rsidRPr="0092000C">
              <w:rPr>
                <w:rFonts w:eastAsia="Times New Roman"/>
                <w:color w:val="000000"/>
                <w:sz w:val="20"/>
                <w:lang w:val="en-GB" w:eastAsia="en-GB" w:bidi="ne-NP"/>
              </w:rPr>
              <w:t>2.2.prioritāte</w:t>
            </w:r>
          </w:p>
        </w:tc>
        <w:tc>
          <w:tcPr>
            <w:tcW w:w="1340" w:type="dxa"/>
            <w:tcBorders>
              <w:top w:val="nil"/>
              <w:left w:val="nil"/>
              <w:bottom w:val="single" w:sz="4" w:space="0" w:color="auto"/>
              <w:right w:val="single" w:sz="4" w:space="0" w:color="auto"/>
            </w:tcBorders>
            <w:shd w:val="clear" w:color="auto" w:fill="auto"/>
            <w:vAlign w:val="center"/>
            <w:hideMark/>
          </w:tcPr>
          <w:p w14:paraId="324F45F0" w14:textId="77777777" w:rsidR="009D3945" w:rsidRPr="0092000C" w:rsidRDefault="009D3945" w:rsidP="009D3945">
            <w:pPr>
              <w:spacing w:before="0" w:after="0"/>
              <w:jc w:val="left"/>
              <w:rPr>
                <w:rFonts w:eastAsia="Times New Roman"/>
                <w:color w:val="000000"/>
                <w:sz w:val="20"/>
                <w:lang w:val="en-GB" w:eastAsia="en-GB" w:bidi="ne-NP"/>
              </w:rPr>
            </w:pPr>
            <w:r w:rsidRPr="0092000C">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263AC8C7" w14:textId="77777777" w:rsidR="009D3945" w:rsidRPr="0092000C" w:rsidRDefault="009D3945" w:rsidP="009D3945">
            <w:pPr>
              <w:spacing w:before="0" w:after="0"/>
              <w:jc w:val="left"/>
              <w:rPr>
                <w:rFonts w:eastAsia="Times New Roman"/>
                <w:color w:val="000000"/>
                <w:sz w:val="20"/>
                <w:lang w:val="en-GB" w:eastAsia="en-GB" w:bidi="ne-NP"/>
              </w:rPr>
            </w:pPr>
            <w:r w:rsidRPr="0092000C">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383543CC" w14:textId="77777777" w:rsidR="009D3945" w:rsidRPr="0092000C" w:rsidRDefault="009D3945" w:rsidP="009D3945">
            <w:pPr>
              <w:spacing w:before="0" w:after="0"/>
              <w:jc w:val="center"/>
              <w:rPr>
                <w:rFonts w:eastAsia="Times New Roman"/>
                <w:color w:val="000000"/>
                <w:sz w:val="20"/>
                <w:lang w:val="en-GB" w:eastAsia="en-GB" w:bidi="ne-NP"/>
              </w:rPr>
            </w:pPr>
            <w:r w:rsidRPr="0092000C">
              <w:rPr>
                <w:rFonts w:eastAsia="Times New Roman"/>
                <w:color w:val="000000"/>
                <w:sz w:val="20"/>
                <w:lang w:val="en-GB" w:eastAsia="en-GB" w:bidi="ne-NP"/>
              </w:rPr>
              <w:t>48</w:t>
            </w:r>
          </w:p>
        </w:tc>
        <w:tc>
          <w:tcPr>
            <w:tcW w:w="1476" w:type="dxa"/>
            <w:tcBorders>
              <w:top w:val="nil"/>
              <w:left w:val="nil"/>
              <w:bottom w:val="single" w:sz="4" w:space="0" w:color="auto"/>
              <w:right w:val="single" w:sz="4" w:space="0" w:color="auto"/>
            </w:tcBorders>
            <w:shd w:val="clear" w:color="auto" w:fill="auto"/>
            <w:hideMark/>
          </w:tcPr>
          <w:p w14:paraId="39FC2423" w14:textId="2B49B925" w:rsidR="009D3945" w:rsidRPr="009D3945" w:rsidRDefault="009D3945" w:rsidP="009D3945">
            <w:pPr>
              <w:spacing w:before="0" w:after="0"/>
              <w:jc w:val="right"/>
              <w:rPr>
                <w:rFonts w:eastAsia="Times New Roman"/>
                <w:color w:val="000000"/>
                <w:sz w:val="20"/>
                <w:lang w:val="en-GB" w:eastAsia="en-GB" w:bidi="ne-NP"/>
              </w:rPr>
            </w:pPr>
            <w:r w:rsidRPr="009D3945">
              <w:rPr>
                <w:sz w:val="20"/>
              </w:rPr>
              <w:t>131 156 286</w:t>
            </w:r>
          </w:p>
        </w:tc>
      </w:tr>
      <w:tr w:rsidR="009D3945" w:rsidRPr="0092000C" w14:paraId="14548D18" w14:textId="77777777" w:rsidTr="0092000C">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8D140C5" w14:textId="77777777" w:rsidR="009D3945" w:rsidRPr="0092000C" w:rsidRDefault="009D3945" w:rsidP="009D3945">
            <w:pPr>
              <w:spacing w:before="0" w:after="0"/>
              <w:rPr>
                <w:rFonts w:eastAsia="Times New Roman"/>
                <w:color w:val="000000"/>
                <w:sz w:val="20"/>
                <w:lang w:val="en-GB" w:eastAsia="en-GB" w:bidi="ne-NP"/>
              </w:rPr>
            </w:pPr>
            <w:r w:rsidRPr="0092000C">
              <w:rPr>
                <w:rFonts w:eastAsia="Times New Roman"/>
                <w:color w:val="000000"/>
                <w:sz w:val="20"/>
                <w:lang w:val="en-GB" w:eastAsia="en-GB" w:bidi="ne-NP"/>
              </w:rPr>
              <w:t>2.2.prioritāte</w:t>
            </w:r>
          </w:p>
        </w:tc>
        <w:tc>
          <w:tcPr>
            <w:tcW w:w="1340" w:type="dxa"/>
            <w:tcBorders>
              <w:top w:val="nil"/>
              <w:left w:val="nil"/>
              <w:bottom w:val="single" w:sz="4" w:space="0" w:color="auto"/>
              <w:right w:val="single" w:sz="4" w:space="0" w:color="auto"/>
            </w:tcBorders>
            <w:shd w:val="clear" w:color="auto" w:fill="auto"/>
            <w:vAlign w:val="center"/>
            <w:hideMark/>
          </w:tcPr>
          <w:p w14:paraId="7EAE8E18" w14:textId="77777777" w:rsidR="009D3945" w:rsidRPr="0092000C" w:rsidRDefault="009D3945" w:rsidP="009D3945">
            <w:pPr>
              <w:spacing w:before="0" w:after="0"/>
              <w:jc w:val="left"/>
              <w:rPr>
                <w:rFonts w:eastAsia="Times New Roman"/>
                <w:color w:val="000000"/>
                <w:sz w:val="20"/>
                <w:lang w:val="en-GB" w:eastAsia="en-GB" w:bidi="ne-NP"/>
              </w:rPr>
            </w:pPr>
            <w:r w:rsidRPr="0092000C">
              <w:rPr>
                <w:rFonts w:eastAsia="Times New Roman"/>
                <w:color w:val="000000"/>
                <w:sz w:val="20"/>
                <w:lang w:val="en-GB" w:eastAsia="en-GB" w:bidi="ne-NP"/>
              </w:rPr>
              <w:t>KF</w:t>
            </w:r>
          </w:p>
        </w:tc>
        <w:tc>
          <w:tcPr>
            <w:tcW w:w="1420" w:type="dxa"/>
            <w:tcBorders>
              <w:top w:val="nil"/>
              <w:left w:val="nil"/>
              <w:bottom w:val="single" w:sz="4" w:space="0" w:color="auto"/>
              <w:right w:val="single" w:sz="4" w:space="0" w:color="auto"/>
            </w:tcBorders>
            <w:shd w:val="clear" w:color="auto" w:fill="auto"/>
            <w:vAlign w:val="center"/>
            <w:hideMark/>
          </w:tcPr>
          <w:p w14:paraId="098E2855" w14:textId="77777777" w:rsidR="009D3945" w:rsidRPr="0092000C" w:rsidRDefault="009D3945" w:rsidP="009D3945">
            <w:pPr>
              <w:spacing w:before="0" w:after="0"/>
              <w:rPr>
                <w:rFonts w:eastAsia="Times New Roman"/>
                <w:color w:val="000000"/>
                <w:sz w:val="20"/>
                <w:lang w:val="en-GB" w:eastAsia="en-GB" w:bidi="ne-NP"/>
              </w:rPr>
            </w:pPr>
            <w:r w:rsidRPr="0092000C">
              <w:rPr>
                <w:rFonts w:eastAsia="Times New Roman"/>
                <w:color w:val="000000"/>
                <w:sz w:val="20"/>
                <w:lang w:val="en-GB" w:eastAsia="en-GB" w:bidi="ne-NP"/>
              </w:rPr>
              <w:t>N/A</w:t>
            </w:r>
          </w:p>
        </w:tc>
        <w:tc>
          <w:tcPr>
            <w:tcW w:w="960" w:type="dxa"/>
            <w:tcBorders>
              <w:top w:val="nil"/>
              <w:left w:val="nil"/>
              <w:bottom w:val="single" w:sz="4" w:space="0" w:color="auto"/>
              <w:right w:val="single" w:sz="4" w:space="0" w:color="auto"/>
            </w:tcBorders>
            <w:shd w:val="clear" w:color="auto" w:fill="auto"/>
            <w:vAlign w:val="center"/>
            <w:hideMark/>
          </w:tcPr>
          <w:p w14:paraId="2DADF0DD" w14:textId="77777777" w:rsidR="009D3945" w:rsidRPr="0092000C" w:rsidRDefault="009D3945" w:rsidP="009D3945">
            <w:pPr>
              <w:spacing w:before="0" w:after="0"/>
              <w:jc w:val="center"/>
              <w:rPr>
                <w:rFonts w:eastAsia="Times New Roman"/>
                <w:color w:val="000000"/>
                <w:sz w:val="20"/>
                <w:lang w:val="en-GB" w:eastAsia="en-GB" w:bidi="ne-NP"/>
              </w:rPr>
            </w:pPr>
            <w:r w:rsidRPr="0092000C">
              <w:rPr>
                <w:rFonts w:eastAsia="Times New Roman"/>
                <w:color w:val="000000"/>
                <w:sz w:val="20"/>
                <w:lang w:val="en-GB" w:eastAsia="en-GB" w:bidi="ne-NP"/>
              </w:rPr>
              <w:t>48</w:t>
            </w:r>
          </w:p>
        </w:tc>
        <w:tc>
          <w:tcPr>
            <w:tcW w:w="1476" w:type="dxa"/>
            <w:tcBorders>
              <w:top w:val="nil"/>
              <w:left w:val="nil"/>
              <w:bottom w:val="single" w:sz="4" w:space="0" w:color="auto"/>
              <w:right w:val="single" w:sz="4" w:space="0" w:color="auto"/>
            </w:tcBorders>
            <w:shd w:val="clear" w:color="auto" w:fill="auto"/>
            <w:hideMark/>
          </w:tcPr>
          <w:p w14:paraId="51CBD91A" w14:textId="1C69B745" w:rsidR="009D3945" w:rsidRPr="009D3945" w:rsidRDefault="009D3945" w:rsidP="009D3945">
            <w:pPr>
              <w:spacing w:before="0" w:after="0"/>
              <w:jc w:val="right"/>
              <w:rPr>
                <w:rFonts w:eastAsia="Times New Roman"/>
                <w:color w:val="000000"/>
                <w:sz w:val="20"/>
                <w:lang w:val="en-GB" w:eastAsia="en-GB" w:bidi="ne-NP"/>
              </w:rPr>
            </w:pPr>
            <w:r w:rsidRPr="009D3945">
              <w:rPr>
                <w:sz w:val="20"/>
              </w:rPr>
              <w:t>103 530 000</w:t>
            </w:r>
          </w:p>
        </w:tc>
      </w:tr>
      <w:tr w:rsidR="009D3945" w:rsidRPr="0092000C" w14:paraId="55E751B0" w14:textId="77777777" w:rsidTr="0092000C">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AB5929C" w14:textId="77777777" w:rsidR="009D3945" w:rsidRPr="0092000C" w:rsidRDefault="009D3945" w:rsidP="009D3945">
            <w:pPr>
              <w:spacing w:before="0" w:after="0"/>
              <w:rPr>
                <w:rFonts w:eastAsia="Times New Roman"/>
                <w:color w:val="000000"/>
                <w:sz w:val="20"/>
                <w:lang w:val="en-GB" w:eastAsia="en-GB" w:bidi="ne-NP"/>
              </w:rPr>
            </w:pPr>
            <w:r w:rsidRPr="0092000C">
              <w:rPr>
                <w:rFonts w:eastAsia="Times New Roman"/>
                <w:color w:val="000000"/>
                <w:sz w:val="20"/>
                <w:lang w:val="en-GB" w:eastAsia="en-GB" w:bidi="ne-NP"/>
              </w:rPr>
              <w:t>2.3.prioritāte</w:t>
            </w:r>
          </w:p>
        </w:tc>
        <w:tc>
          <w:tcPr>
            <w:tcW w:w="1340" w:type="dxa"/>
            <w:tcBorders>
              <w:top w:val="nil"/>
              <w:left w:val="nil"/>
              <w:bottom w:val="single" w:sz="4" w:space="0" w:color="auto"/>
              <w:right w:val="single" w:sz="4" w:space="0" w:color="auto"/>
            </w:tcBorders>
            <w:shd w:val="clear" w:color="auto" w:fill="auto"/>
            <w:vAlign w:val="center"/>
            <w:hideMark/>
          </w:tcPr>
          <w:p w14:paraId="72C629AF" w14:textId="77777777" w:rsidR="009D3945" w:rsidRPr="0092000C" w:rsidRDefault="009D3945" w:rsidP="009D3945">
            <w:pPr>
              <w:spacing w:before="0" w:after="0"/>
              <w:jc w:val="left"/>
              <w:rPr>
                <w:rFonts w:eastAsia="Times New Roman"/>
                <w:color w:val="000000"/>
                <w:sz w:val="20"/>
                <w:lang w:val="en-GB" w:eastAsia="en-GB" w:bidi="ne-NP"/>
              </w:rPr>
            </w:pPr>
            <w:r w:rsidRPr="0092000C">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373A1590" w14:textId="77777777" w:rsidR="009D3945" w:rsidRPr="0092000C" w:rsidRDefault="009D3945" w:rsidP="009D3945">
            <w:pPr>
              <w:spacing w:before="0" w:after="0"/>
              <w:rPr>
                <w:rFonts w:eastAsia="Times New Roman"/>
                <w:color w:val="000000"/>
                <w:sz w:val="20"/>
                <w:lang w:val="en-GB" w:eastAsia="en-GB" w:bidi="ne-NP"/>
              </w:rPr>
            </w:pPr>
            <w:r w:rsidRPr="0092000C">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4A59F9DF" w14:textId="77777777" w:rsidR="009D3945" w:rsidRPr="0092000C" w:rsidRDefault="009D3945" w:rsidP="009D3945">
            <w:pPr>
              <w:spacing w:before="0" w:after="0"/>
              <w:jc w:val="center"/>
              <w:rPr>
                <w:rFonts w:eastAsia="Times New Roman"/>
                <w:color w:val="000000"/>
                <w:sz w:val="20"/>
                <w:lang w:val="en-GB" w:eastAsia="en-GB" w:bidi="ne-NP"/>
              </w:rPr>
            </w:pPr>
            <w:r w:rsidRPr="0092000C">
              <w:rPr>
                <w:rFonts w:eastAsia="Times New Roman"/>
                <w:color w:val="000000"/>
                <w:sz w:val="20"/>
                <w:lang w:val="en-GB" w:eastAsia="en-GB" w:bidi="ne-NP"/>
              </w:rPr>
              <w:t>48</w:t>
            </w:r>
          </w:p>
        </w:tc>
        <w:tc>
          <w:tcPr>
            <w:tcW w:w="1476" w:type="dxa"/>
            <w:tcBorders>
              <w:top w:val="nil"/>
              <w:left w:val="nil"/>
              <w:bottom w:val="single" w:sz="4" w:space="0" w:color="auto"/>
              <w:right w:val="single" w:sz="4" w:space="0" w:color="auto"/>
            </w:tcBorders>
            <w:shd w:val="clear" w:color="auto" w:fill="auto"/>
            <w:hideMark/>
          </w:tcPr>
          <w:p w14:paraId="4E4205DA" w14:textId="46DDA034" w:rsidR="009D3945" w:rsidRPr="009D3945" w:rsidRDefault="009D3945" w:rsidP="009D3945">
            <w:pPr>
              <w:spacing w:before="0" w:after="0"/>
              <w:jc w:val="right"/>
              <w:rPr>
                <w:rFonts w:eastAsia="Times New Roman"/>
                <w:color w:val="000000"/>
                <w:sz w:val="20"/>
                <w:lang w:val="en-GB" w:eastAsia="en-GB" w:bidi="ne-NP"/>
              </w:rPr>
            </w:pPr>
            <w:r w:rsidRPr="009D3945">
              <w:rPr>
                <w:sz w:val="20"/>
              </w:rPr>
              <w:t>78 586 054</w:t>
            </w:r>
          </w:p>
        </w:tc>
      </w:tr>
      <w:tr w:rsidR="009D3945" w:rsidRPr="0092000C" w14:paraId="0A02EA55" w14:textId="77777777" w:rsidTr="0092000C">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635B072" w14:textId="77777777" w:rsidR="009D3945" w:rsidRPr="0092000C" w:rsidRDefault="009D3945" w:rsidP="009D3945">
            <w:pPr>
              <w:spacing w:before="0" w:after="0"/>
              <w:rPr>
                <w:rFonts w:eastAsia="Times New Roman"/>
                <w:sz w:val="20"/>
                <w:lang w:val="en-GB" w:eastAsia="en-GB" w:bidi="ne-NP"/>
              </w:rPr>
            </w:pPr>
            <w:r w:rsidRPr="0092000C">
              <w:rPr>
                <w:rFonts w:eastAsia="Times New Roman"/>
                <w:sz w:val="20"/>
                <w:lang w:val="en-GB" w:eastAsia="en-GB" w:bidi="ne-NP"/>
              </w:rPr>
              <w:t>3.1.prioritāte</w:t>
            </w:r>
          </w:p>
        </w:tc>
        <w:tc>
          <w:tcPr>
            <w:tcW w:w="1340" w:type="dxa"/>
            <w:tcBorders>
              <w:top w:val="nil"/>
              <w:left w:val="nil"/>
              <w:bottom w:val="single" w:sz="4" w:space="0" w:color="auto"/>
              <w:right w:val="single" w:sz="4" w:space="0" w:color="auto"/>
            </w:tcBorders>
            <w:shd w:val="clear" w:color="auto" w:fill="auto"/>
            <w:vAlign w:val="center"/>
            <w:hideMark/>
          </w:tcPr>
          <w:p w14:paraId="74BEC147" w14:textId="77777777" w:rsidR="009D3945" w:rsidRPr="0092000C" w:rsidRDefault="009D3945" w:rsidP="009D3945">
            <w:pPr>
              <w:spacing w:before="0" w:after="0"/>
              <w:jc w:val="left"/>
              <w:rPr>
                <w:rFonts w:eastAsia="Times New Roman"/>
                <w:color w:val="000000"/>
                <w:sz w:val="20"/>
                <w:lang w:val="en-GB" w:eastAsia="en-GB" w:bidi="ne-NP"/>
              </w:rPr>
            </w:pPr>
            <w:r w:rsidRPr="0092000C">
              <w:rPr>
                <w:rFonts w:eastAsia="Times New Roman"/>
                <w:color w:val="000000"/>
                <w:sz w:val="20"/>
                <w:lang w:val="en-GB" w:eastAsia="en-GB" w:bidi="ne-NP"/>
              </w:rPr>
              <w:t>KF</w:t>
            </w:r>
          </w:p>
        </w:tc>
        <w:tc>
          <w:tcPr>
            <w:tcW w:w="1420" w:type="dxa"/>
            <w:tcBorders>
              <w:top w:val="nil"/>
              <w:left w:val="nil"/>
              <w:bottom w:val="single" w:sz="4" w:space="0" w:color="auto"/>
              <w:right w:val="single" w:sz="4" w:space="0" w:color="auto"/>
            </w:tcBorders>
            <w:shd w:val="clear" w:color="auto" w:fill="auto"/>
            <w:vAlign w:val="center"/>
            <w:hideMark/>
          </w:tcPr>
          <w:p w14:paraId="5509C604" w14:textId="77777777" w:rsidR="009D3945" w:rsidRPr="0092000C" w:rsidRDefault="009D3945" w:rsidP="009D3945">
            <w:pPr>
              <w:spacing w:before="0" w:after="0"/>
              <w:rPr>
                <w:rFonts w:eastAsia="Times New Roman"/>
                <w:color w:val="000000"/>
                <w:sz w:val="20"/>
                <w:lang w:val="en-GB" w:eastAsia="en-GB" w:bidi="ne-NP"/>
              </w:rPr>
            </w:pPr>
            <w:r w:rsidRPr="0092000C">
              <w:rPr>
                <w:rFonts w:eastAsia="Times New Roman"/>
                <w:color w:val="000000"/>
                <w:sz w:val="20"/>
                <w:lang w:val="en-GB" w:eastAsia="en-GB" w:bidi="ne-NP"/>
              </w:rPr>
              <w:t>N/A</w:t>
            </w:r>
          </w:p>
        </w:tc>
        <w:tc>
          <w:tcPr>
            <w:tcW w:w="960" w:type="dxa"/>
            <w:tcBorders>
              <w:top w:val="nil"/>
              <w:left w:val="nil"/>
              <w:bottom w:val="single" w:sz="4" w:space="0" w:color="auto"/>
              <w:right w:val="single" w:sz="4" w:space="0" w:color="auto"/>
            </w:tcBorders>
            <w:shd w:val="clear" w:color="auto" w:fill="auto"/>
            <w:vAlign w:val="center"/>
            <w:hideMark/>
          </w:tcPr>
          <w:p w14:paraId="72FE5FCA" w14:textId="77777777" w:rsidR="009D3945" w:rsidRPr="0092000C" w:rsidRDefault="009D3945" w:rsidP="009D3945">
            <w:pPr>
              <w:spacing w:before="0" w:after="0"/>
              <w:jc w:val="center"/>
              <w:rPr>
                <w:rFonts w:eastAsia="Times New Roman"/>
                <w:color w:val="000000"/>
                <w:sz w:val="20"/>
                <w:lang w:val="en-GB" w:eastAsia="en-GB" w:bidi="ne-NP"/>
              </w:rPr>
            </w:pPr>
            <w:r w:rsidRPr="0092000C">
              <w:rPr>
                <w:rFonts w:eastAsia="Times New Roman"/>
                <w:color w:val="000000"/>
                <w:sz w:val="20"/>
                <w:lang w:val="en-GB" w:eastAsia="en-GB" w:bidi="ne-NP"/>
              </w:rPr>
              <w:t>48</w:t>
            </w:r>
          </w:p>
        </w:tc>
        <w:tc>
          <w:tcPr>
            <w:tcW w:w="1476" w:type="dxa"/>
            <w:tcBorders>
              <w:top w:val="nil"/>
              <w:left w:val="nil"/>
              <w:bottom w:val="single" w:sz="4" w:space="0" w:color="auto"/>
              <w:right w:val="single" w:sz="4" w:space="0" w:color="auto"/>
            </w:tcBorders>
            <w:shd w:val="clear" w:color="auto" w:fill="auto"/>
            <w:hideMark/>
          </w:tcPr>
          <w:p w14:paraId="440835C0" w14:textId="270E957E" w:rsidR="009D3945" w:rsidRPr="009D3945" w:rsidRDefault="009D3945" w:rsidP="009D3945">
            <w:pPr>
              <w:spacing w:before="0" w:after="0"/>
              <w:jc w:val="right"/>
              <w:rPr>
                <w:rFonts w:eastAsia="Times New Roman"/>
                <w:color w:val="000000"/>
                <w:sz w:val="20"/>
                <w:lang w:val="en-GB" w:eastAsia="en-GB" w:bidi="ne-NP"/>
              </w:rPr>
            </w:pPr>
            <w:r w:rsidRPr="009D3945">
              <w:rPr>
                <w:sz w:val="20"/>
              </w:rPr>
              <w:t>859 869 540</w:t>
            </w:r>
          </w:p>
        </w:tc>
      </w:tr>
      <w:tr w:rsidR="009D3945" w:rsidRPr="0092000C" w14:paraId="640528A5" w14:textId="77777777" w:rsidTr="0092000C">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CE481B7" w14:textId="77777777" w:rsidR="009D3945" w:rsidRPr="0092000C" w:rsidRDefault="009D3945" w:rsidP="009D3945">
            <w:pPr>
              <w:spacing w:before="0" w:after="0"/>
              <w:rPr>
                <w:rFonts w:eastAsia="Times New Roman"/>
                <w:sz w:val="20"/>
                <w:lang w:val="en-GB" w:eastAsia="en-GB" w:bidi="ne-NP"/>
              </w:rPr>
            </w:pPr>
            <w:r w:rsidRPr="0092000C">
              <w:rPr>
                <w:rFonts w:eastAsia="Times New Roman"/>
                <w:sz w:val="20"/>
                <w:lang w:val="en-GB" w:eastAsia="en-GB" w:bidi="ne-NP"/>
              </w:rPr>
              <w:t>4.1.prioritāte</w:t>
            </w:r>
          </w:p>
        </w:tc>
        <w:tc>
          <w:tcPr>
            <w:tcW w:w="1340" w:type="dxa"/>
            <w:tcBorders>
              <w:top w:val="nil"/>
              <w:left w:val="nil"/>
              <w:bottom w:val="single" w:sz="4" w:space="0" w:color="auto"/>
              <w:right w:val="single" w:sz="4" w:space="0" w:color="auto"/>
            </w:tcBorders>
            <w:shd w:val="clear" w:color="auto" w:fill="auto"/>
            <w:vAlign w:val="center"/>
            <w:hideMark/>
          </w:tcPr>
          <w:p w14:paraId="55512438" w14:textId="77777777" w:rsidR="009D3945" w:rsidRPr="0092000C" w:rsidRDefault="009D3945" w:rsidP="009D3945">
            <w:pPr>
              <w:spacing w:before="0" w:after="0"/>
              <w:jc w:val="left"/>
              <w:rPr>
                <w:rFonts w:eastAsia="Times New Roman"/>
                <w:color w:val="000000"/>
                <w:sz w:val="20"/>
                <w:lang w:val="en-GB" w:eastAsia="en-GB" w:bidi="ne-NP"/>
              </w:rPr>
            </w:pPr>
            <w:r w:rsidRPr="0092000C">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24E750E9" w14:textId="77777777" w:rsidR="009D3945" w:rsidRPr="0092000C" w:rsidRDefault="009D3945" w:rsidP="009D3945">
            <w:pPr>
              <w:spacing w:before="0" w:after="0"/>
              <w:rPr>
                <w:rFonts w:eastAsia="Times New Roman"/>
                <w:color w:val="000000"/>
                <w:sz w:val="20"/>
                <w:lang w:val="en-GB" w:eastAsia="en-GB" w:bidi="ne-NP"/>
              </w:rPr>
            </w:pPr>
            <w:r w:rsidRPr="0092000C">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5917C8F2" w14:textId="77777777" w:rsidR="009D3945" w:rsidRPr="0092000C" w:rsidRDefault="009D3945" w:rsidP="009D3945">
            <w:pPr>
              <w:spacing w:before="0" w:after="0"/>
              <w:jc w:val="center"/>
              <w:rPr>
                <w:rFonts w:eastAsia="Times New Roman"/>
                <w:color w:val="000000"/>
                <w:sz w:val="20"/>
                <w:lang w:val="en-GB" w:eastAsia="en-GB" w:bidi="ne-NP"/>
              </w:rPr>
            </w:pPr>
            <w:r w:rsidRPr="0092000C">
              <w:rPr>
                <w:rFonts w:eastAsia="Times New Roman"/>
                <w:color w:val="000000"/>
                <w:sz w:val="20"/>
                <w:lang w:val="en-GB" w:eastAsia="en-GB" w:bidi="ne-NP"/>
              </w:rPr>
              <w:t>48</w:t>
            </w:r>
          </w:p>
        </w:tc>
        <w:tc>
          <w:tcPr>
            <w:tcW w:w="1476" w:type="dxa"/>
            <w:tcBorders>
              <w:top w:val="nil"/>
              <w:left w:val="nil"/>
              <w:bottom w:val="single" w:sz="4" w:space="0" w:color="auto"/>
              <w:right w:val="single" w:sz="4" w:space="0" w:color="auto"/>
            </w:tcBorders>
            <w:shd w:val="clear" w:color="auto" w:fill="auto"/>
            <w:hideMark/>
          </w:tcPr>
          <w:p w14:paraId="27F102CD" w14:textId="42B0BDED" w:rsidR="009D3945" w:rsidRPr="009D3945" w:rsidRDefault="009D3945" w:rsidP="009D3945">
            <w:pPr>
              <w:spacing w:before="0" w:after="0"/>
              <w:jc w:val="right"/>
              <w:rPr>
                <w:rFonts w:eastAsia="Times New Roman"/>
                <w:color w:val="000000"/>
                <w:sz w:val="20"/>
                <w:lang w:val="en-GB" w:eastAsia="en-GB" w:bidi="ne-NP"/>
              </w:rPr>
            </w:pPr>
            <w:r w:rsidRPr="009D3945">
              <w:rPr>
                <w:sz w:val="20"/>
              </w:rPr>
              <w:t>274 446 198</w:t>
            </w:r>
          </w:p>
        </w:tc>
      </w:tr>
      <w:tr w:rsidR="009D3945" w:rsidRPr="0092000C" w14:paraId="3C244B2C" w14:textId="77777777" w:rsidTr="0092000C">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34F5284B" w14:textId="77777777" w:rsidR="009D3945" w:rsidRPr="0092000C" w:rsidRDefault="009D3945" w:rsidP="009D3945">
            <w:pPr>
              <w:spacing w:before="0" w:after="0"/>
              <w:rPr>
                <w:rFonts w:eastAsia="Times New Roman"/>
                <w:sz w:val="20"/>
                <w:lang w:val="en-GB" w:eastAsia="en-GB" w:bidi="ne-NP"/>
              </w:rPr>
            </w:pPr>
            <w:r w:rsidRPr="0092000C">
              <w:rPr>
                <w:rFonts w:eastAsia="Times New Roman"/>
                <w:sz w:val="20"/>
                <w:lang w:val="en-GB" w:eastAsia="en-GB" w:bidi="ne-NP"/>
              </w:rPr>
              <w:t>4.1.prioritāte</w:t>
            </w:r>
          </w:p>
        </w:tc>
        <w:tc>
          <w:tcPr>
            <w:tcW w:w="1340" w:type="dxa"/>
            <w:tcBorders>
              <w:top w:val="nil"/>
              <w:left w:val="nil"/>
              <w:bottom w:val="single" w:sz="4" w:space="0" w:color="auto"/>
              <w:right w:val="single" w:sz="4" w:space="0" w:color="auto"/>
            </w:tcBorders>
            <w:shd w:val="clear" w:color="auto" w:fill="auto"/>
            <w:vAlign w:val="center"/>
            <w:hideMark/>
          </w:tcPr>
          <w:p w14:paraId="3C17A3BB" w14:textId="77777777" w:rsidR="009D3945" w:rsidRPr="0092000C" w:rsidRDefault="009D3945" w:rsidP="009D3945">
            <w:pPr>
              <w:spacing w:before="0" w:after="0"/>
              <w:jc w:val="left"/>
              <w:rPr>
                <w:rFonts w:eastAsia="Times New Roman"/>
                <w:color w:val="000000"/>
                <w:sz w:val="20"/>
                <w:lang w:val="en-GB" w:eastAsia="en-GB" w:bidi="ne-NP"/>
              </w:rPr>
            </w:pPr>
            <w:r w:rsidRPr="0092000C">
              <w:rPr>
                <w:rFonts w:eastAsia="Times New Roman"/>
                <w:color w:val="000000"/>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71F118A5" w14:textId="77777777" w:rsidR="009D3945" w:rsidRPr="0092000C" w:rsidRDefault="009D3945" w:rsidP="009D3945">
            <w:pPr>
              <w:spacing w:before="0" w:after="0"/>
              <w:rPr>
                <w:rFonts w:eastAsia="Times New Roman"/>
                <w:color w:val="000000"/>
                <w:sz w:val="20"/>
                <w:lang w:val="en-GB" w:eastAsia="en-GB" w:bidi="ne-NP"/>
              </w:rPr>
            </w:pPr>
            <w:r w:rsidRPr="0092000C">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494B585E" w14:textId="77777777" w:rsidR="009D3945" w:rsidRPr="0092000C" w:rsidRDefault="009D3945" w:rsidP="009D3945">
            <w:pPr>
              <w:spacing w:before="0" w:after="0"/>
              <w:jc w:val="center"/>
              <w:rPr>
                <w:rFonts w:eastAsia="Times New Roman"/>
                <w:color w:val="000000"/>
                <w:sz w:val="20"/>
                <w:lang w:val="en-GB" w:eastAsia="en-GB" w:bidi="ne-NP"/>
              </w:rPr>
            </w:pPr>
            <w:r w:rsidRPr="0092000C">
              <w:rPr>
                <w:rFonts w:eastAsia="Times New Roman"/>
                <w:color w:val="000000"/>
                <w:sz w:val="20"/>
                <w:lang w:val="en-GB" w:eastAsia="en-GB" w:bidi="ne-NP"/>
              </w:rPr>
              <w:t>48</w:t>
            </w:r>
          </w:p>
        </w:tc>
        <w:tc>
          <w:tcPr>
            <w:tcW w:w="1476" w:type="dxa"/>
            <w:tcBorders>
              <w:top w:val="nil"/>
              <w:left w:val="nil"/>
              <w:bottom w:val="single" w:sz="4" w:space="0" w:color="auto"/>
              <w:right w:val="single" w:sz="4" w:space="0" w:color="auto"/>
            </w:tcBorders>
            <w:shd w:val="clear" w:color="auto" w:fill="auto"/>
            <w:hideMark/>
          </w:tcPr>
          <w:p w14:paraId="060D0277" w14:textId="0481FB00" w:rsidR="009D3945" w:rsidRPr="009D3945" w:rsidRDefault="009D3945" w:rsidP="009D3945">
            <w:pPr>
              <w:spacing w:before="0" w:after="0"/>
              <w:jc w:val="right"/>
              <w:rPr>
                <w:rFonts w:eastAsia="Times New Roman"/>
                <w:color w:val="000000"/>
                <w:sz w:val="20"/>
                <w:lang w:val="en-GB" w:eastAsia="en-GB" w:bidi="ne-NP"/>
              </w:rPr>
            </w:pPr>
            <w:r w:rsidRPr="009D3945">
              <w:rPr>
                <w:sz w:val="20"/>
              </w:rPr>
              <w:t>50 803 650</w:t>
            </w:r>
          </w:p>
        </w:tc>
      </w:tr>
      <w:tr w:rsidR="009D3945" w:rsidRPr="0092000C" w14:paraId="36159F27" w14:textId="77777777" w:rsidTr="0092000C">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764BCD0" w14:textId="77777777" w:rsidR="009D3945" w:rsidRPr="0092000C" w:rsidRDefault="009D3945" w:rsidP="009D3945">
            <w:pPr>
              <w:spacing w:before="0" w:after="0"/>
              <w:rPr>
                <w:rFonts w:eastAsia="Times New Roman"/>
                <w:sz w:val="20"/>
                <w:lang w:val="en-GB" w:eastAsia="en-GB" w:bidi="ne-NP"/>
              </w:rPr>
            </w:pPr>
            <w:r w:rsidRPr="0092000C">
              <w:rPr>
                <w:rFonts w:eastAsia="Times New Roman"/>
                <w:sz w:val="20"/>
                <w:lang w:val="en-GB" w:eastAsia="en-GB" w:bidi="ne-NP"/>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4EAC4BA2" w14:textId="77777777" w:rsidR="009D3945" w:rsidRPr="0092000C" w:rsidRDefault="009D3945" w:rsidP="009D3945">
            <w:pPr>
              <w:spacing w:before="0" w:after="0"/>
              <w:jc w:val="left"/>
              <w:rPr>
                <w:rFonts w:eastAsia="Times New Roman"/>
                <w:color w:val="000000"/>
                <w:sz w:val="20"/>
                <w:lang w:val="en-GB" w:eastAsia="en-GB" w:bidi="ne-NP"/>
              </w:rPr>
            </w:pPr>
            <w:r w:rsidRPr="0092000C">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42DE580C" w14:textId="77777777" w:rsidR="009D3945" w:rsidRPr="0092000C" w:rsidRDefault="009D3945" w:rsidP="009D3945">
            <w:pPr>
              <w:spacing w:before="0" w:after="0"/>
              <w:rPr>
                <w:rFonts w:eastAsia="Times New Roman"/>
                <w:color w:val="000000"/>
                <w:sz w:val="20"/>
                <w:lang w:val="en-GB" w:eastAsia="en-GB" w:bidi="ne-NP"/>
              </w:rPr>
            </w:pPr>
            <w:r w:rsidRPr="0092000C">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66E4A829" w14:textId="77777777" w:rsidR="009D3945" w:rsidRPr="0092000C" w:rsidRDefault="009D3945" w:rsidP="009D3945">
            <w:pPr>
              <w:spacing w:before="0" w:after="0"/>
              <w:jc w:val="center"/>
              <w:rPr>
                <w:rFonts w:eastAsia="Times New Roman"/>
                <w:color w:val="000000"/>
                <w:sz w:val="20"/>
                <w:lang w:val="en-GB" w:eastAsia="en-GB" w:bidi="ne-NP"/>
              </w:rPr>
            </w:pPr>
            <w:r w:rsidRPr="0092000C">
              <w:rPr>
                <w:rFonts w:eastAsia="Times New Roman"/>
                <w:color w:val="000000"/>
                <w:sz w:val="20"/>
                <w:lang w:val="en-GB" w:eastAsia="en-GB" w:bidi="ne-NP"/>
              </w:rPr>
              <w:t>48</w:t>
            </w:r>
          </w:p>
        </w:tc>
        <w:tc>
          <w:tcPr>
            <w:tcW w:w="1476" w:type="dxa"/>
            <w:tcBorders>
              <w:top w:val="nil"/>
              <w:left w:val="nil"/>
              <w:bottom w:val="single" w:sz="4" w:space="0" w:color="auto"/>
              <w:right w:val="single" w:sz="4" w:space="0" w:color="auto"/>
            </w:tcBorders>
            <w:shd w:val="clear" w:color="auto" w:fill="auto"/>
            <w:hideMark/>
          </w:tcPr>
          <w:p w14:paraId="72EAD5B6" w14:textId="191DD7CD" w:rsidR="009D3945" w:rsidRPr="009D3945" w:rsidRDefault="009D3945" w:rsidP="009D3945">
            <w:pPr>
              <w:spacing w:before="0" w:after="0"/>
              <w:jc w:val="right"/>
              <w:rPr>
                <w:rFonts w:eastAsia="Times New Roman"/>
                <w:color w:val="000000"/>
                <w:sz w:val="20"/>
                <w:lang w:val="en-GB" w:eastAsia="en-GB" w:bidi="ne-NP"/>
              </w:rPr>
            </w:pPr>
            <w:r w:rsidRPr="009D3945">
              <w:rPr>
                <w:sz w:val="20"/>
              </w:rPr>
              <w:t>182 634 117</w:t>
            </w:r>
          </w:p>
        </w:tc>
      </w:tr>
      <w:tr w:rsidR="009D3945" w:rsidRPr="0092000C" w14:paraId="05FF8075" w14:textId="77777777" w:rsidTr="0092000C">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768774B4" w14:textId="77777777" w:rsidR="009D3945" w:rsidRPr="0092000C" w:rsidRDefault="009D3945" w:rsidP="009D3945">
            <w:pPr>
              <w:spacing w:before="0" w:after="0"/>
              <w:rPr>
                <w:rFonts w:eastAsia="Times New Roman"/>
                <w:sz w:val="20"/>
                <w:lang w:val="en-GB" w:eastAsia="en-GB" w:bidi="ne-NP"/>
              </w:rPr>
            </w:pPr>
            <w:r w:rsidRPr="0092000C">
              <w:rPr>
                <w:rFonts w:eastAsia="Times New Roman"/>
                <w:sz w:val="20"/>
                <w:lang w:val="en-GB" w:eastAsia="en-GB" w:bidi="ne-NP"/>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45951FEA" w14:textId="77777777" w:rsidR="009D3945" w:rsidRPr="0092000C" w:rsidRDefault="009D3945" w:rsidP="009D3945">
            <w:pPr>
              <w:spacing w:before="0" w:after="0"/>
              <w:jc w:val="left"/>
              <w:rPr>
                <w:rFonts w:eastAsia="Times New Roman"/>
                <w:color w:val="000000"/>
                <w:sz w:val="20"/>
                <w:lang w:val="en-GB" w:eastAsia="en-GB" w:bidi="ne-NP"/>
              </w:rPr>
            </w:pPr>
            <w:r w:rsidRPr="0092000C">
              <w:rPr>
                <w:rFonts w:eastAsia="Times New Roman"/>
                <w:color w:val="000000"/>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04F63E09" w14:textId="77777777" w:rsidR="009D3945" w:rsidRPr="0092000C" w:rsidRDefault="009D3945" w:rsidP="009D3945">
            <w:pPr>
              <w:spacing w:before="0" w:after="0"/>
              <w:rPr>
                <w:rFonts w:eastAsia="Times New Roman"/>
                <w:color w:val="000000"/>
                <w:sz w:val="20"/>
                <w:lang w:val="en-GB" w:eastAsia="en-GB" w:bidi="ne-NP"/>
              </w:rPr>
            </w:pPr>
            <w:r w:rsidRPr="0092000C">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75B69391" w14:textId="77777777" w:rsidR="009D3945" w:rsidRPr="0092000C" w:rsidRDefault="009D3945" w:rsidP="009D3945">
            <w:pPr>
              <w:spacing w:before="0" w:after="0"/>
              <w:jc w:val="center"/>
              <w:rPr>
                <w:rFonts w:eastAsia="Times New Roman"/>
                <w:color w:val="000000"/>
                <w:sz w:val="20"/>
                <w:lang w:val="en-GB" w:eastAsia="en-GB" w:bidi="ne-NP"/>
              </w:rPr>
            </w:pPr>
            <w:r w:rsidRPr="0092000C">
              <w:rPr>
                <w:rFonts w:eastAsia="Times New Roman"/>
                <w:color w:val="000000"/>
                <w:sz w:val="20"/>
                <w:lang w:val="en-GB" w:eastAsia="en-GB" w:bidi="ne-NP"/>
              </w:rPr>
              <w:t>48</w:t>
            </w:r>
          </w:p>
        </w:tc>
        <w:tc>
          <w:tcPr>
            <w:tcW w:w="1476" w:type="dxa"/>
            <w:tcBorders>
              <w:top w:val="nil"/>
              <w:left w:val="nil"/>
              <w:bottom w:val="single" w:sz="4" w:space="0" w:color="auto"/>
              <w:right w:val="single" w:sz="4" w:space="0" w:color="auto"/>
            </w:tcBorders>
            <w:shd w:val="clear" w:color="auto" w:fill="auto"/>
            <w:hideMark/>
          </w:tcPr>
          <w:p w14:paraId="511AA382" w14:textId="18494430" w:rsidR="009D3945" w:rsidRPr="009D3945" w:rsidRDefault="009D3945" w:rsidP="009D3945">
            <w:pPr>
              <w:spacing w:before="0" w:after="0"/>
              <w:jc w:val="right"/>
              <w:rPr>
                <w:rFonts w:eastAsia="Times New Roman"/>
                <w:color w:val="000000"/>
                <w:sz w:val="20"/>
                <w:lang w:val="en-GB" w:eastAsia="en-GB" w:bidi="ne-NP"/>
              </w:rPr>
            </w:pPr>
            <w:r w:rsidRPr="009D3945">
              <w:rPr>
                <w:sz w:val="20"/>
              </w:rPr>
              <w:t>252 875 507</w:t>
            </w:r>
          </w:p>
        </w:tc>
      </w:tr>
      <w:tr w:rsidR="009D3945" w:rsidRPr="0092000C" w14:paraId="2EF869D7" w14:textId="77777777" w:rsidTr="0092000C">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35EFB95C" w14:textId="77777777" w:rsidR="009D3945" w:rsidRPr="0092000C" w:rsidRDefault="009D3945" w:rsidP="009D3945">
            <w:pPr>
              <w:spacing w:before="0" w:after="0"/>
              <w:rPr>
                <w:rFonts w:eastAsia="Times New Roman"/>
                <w:sz w:val="20"/>
                <w:lang w:val="en-GB" w:eastAsia="en-GB" w:bidi="ne-NP"/>
              </w:rPr>
            </w:pPr>
            <w:r w:rsidRPr="0092000C">
              <w:rPr>
                <w:rFonts w:eastAsia="Times New Roman"/>
                <w:sz w:val="20"/>
                <w:lang w:val="en-GB" w:eastAsia="en-GB" w:bidi="ne-NP"/>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48A6C262" w14:textId="77777777" w:rsidR="009D3945" w:rsidRPr="0092000C" w:rsidRDefault="009D3945" w:rsidP="009D3945">
            <w:pPr>
              <w:spacing w:before="0" w:after="0"/>
              <w:jc w:val="left"/>
              <w:rPr>
                <w:rFonts w:eastAsia="Times New Roman"/>
                <w:color w:val="000000"/>
                <w:sz w:val="20"/>
                <w:lang w:val="en-GB" w:eastAsia="en-GB" w:bidi="ne-NP"/>
              </w:rPr>
            </w:pPr>
            <w:r w:rsidRPr="0092000C">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407BF9C6" w14:textId="77777777" w:rsidR="009D3945" w:rsidRPr="0092000C" w:rsidRDefault="009D3945" w:rsidP="009D3945">
            <w:pPr>
              <w:spacing w:before="0" w:after="0"/>
              <w:rPr>
                <w:rFonts w:eastAsia="Times New Roman"/>
                <w:color w:val="000000"/>
                <w:sz w:val="20"/>
                <w:lang w:val="en-GB" w:eastAsia="en-GB" w:bidi="ne-NP"/>
              </w:rPr>
            </w:pPr>
            <w:r w:rsidRPr="0092000C">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6F2A0867" w14:textId="77777777" w:rsidR="009D3945" w:rsidRPr="0092000C" w:rsidRDefault="009D3945" w:rsidP="009D3945">
            <w:pPr>
              <w:spacing w:before="0" w:after="0"/>
              <w:jc w:val="center"/>
              <w:rPr>
                <w:rFonts w:eastAsia="Times New Roman"/>
                <w:color w:val="000000"/>
                <w:sz w:val="20"/>
                <w:lang w:val="en-GB" w:eastAsia="en-GB" w:bidi="ne-NP"/>
              </w:rPr>
            </w:pPr>
            <w:r w:rsidRPr="0092000C">
              <w:rPr>
                <w:rFonts w:eastAsia="Times New Roman"/>
                <w:color w:val="000000"/>
                <w:sz w:val="20"/>
                <w:lang w:val="en-GB" w:eastAsia="en-GB" w:bidi="ne-NP"/>
              </w:rPr>
              <w:t>48</w:t>
            </w:r>
          </w:p>
        </w:tc>
        <w:tc>
          <w:tcPr>
            <w:tcW w:w="1476" w:type="dxa"/>
            <w:tcBorders>
              <w:top w:val="nil"/>
              <w:left w:val="nil"/>
              <w:bottom w:val="single" w:sz="4" w:space="0" w:color="auto"/>
              <w:right w:val="single" w:sz="4" w:space="0" w:color="auto"/>
            </w:tcBorders>
            <w:shd w:val="clear" w:color="auto" w:fill="auto"/>
            <w:hideMark/>
          </w:tcPr>
          <w:p w14:paraId="12890E5B" w14:textId="4D8E318E" w:rsidR="009D3945" w:rsidRPr="009D3945" w:rsidRDefault="009D3945" w:rsidP="009D3945">
            <w:pPr>
              <w:spacing w:before="0" w:after="0"/>
              <w:jc w:val="right"/>
              <w:rPr>
                <w:rFonts w:eastAsia="Times New Roman"/>
                <w:color w:val="000000"/>
                <w:sz w:val="20"/>
                <w:lang w:val="en-GB" w:eastAsia="en-GB" w:bidi="ne-NP"/>
              </w:rPr>
            </w:pPr>
            <w:r w:rsidRPr="009D3945">
              <w:rPr>
                <w:sz w:val="20"/>
              </w:rPr>
              <w:t>112 921 302</w:t>
            </w:r>
          </w:p>
        </w:tc>
      </w:tr>
      <w:tr w:rsidR="009D3945" w:rsidRPr="0092000C" w14:paraId="796B4DDC" w14:textId="77777777" w:rsidTr="0092000C">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B011A1A" w14:textId="77777777" w:rsidR="009D3945" w:rsidRPr="0092000C" w:rsidRDefault="009D3945" w:rsidP="009D3945">
            <w:pPr>
              <w:spacing w:before="0" w:after="0"/>
              <w:rPr>
                <w:rFonts w:eastAsia="Times New Roman"/>
                <w:sz w:val="20"/>
                <w:lang w:val="en-GB" w:eastAsia="en-GB" w:bidi="ne-NP"/>
              </w:rPr>
            </w:pPr>
            <w:r w:rsidRPr="0092000C">
              <w:rPr>
                <w:rFonts w:eastAsia="Times New Roman"/>
                <w:sz w:val="20"/>
                <w:lang w:val="en-GB" w:eastAsia="en-GB" w:bidi="ne-NP"/>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44530560" w14:textId="77777777" w:rsidR="009D3945" w:rsidRPr="0092000C" w:rsidRDefault="009D3945" w:rsidP="009D3945">
            <w:pPr>
              <w:spacing w:before="0" w:after="0"/>
              <w:jc w:val="left"/>
              <w:rPr>
                <w:rFonts w:eastAsia="Times New Roman"/>
                <w:color w:val="000000"/>
                <w:sz w:val="20"/>
                <w:lang w:val="en-GB" w:eastAsia="en-GB" w:bidi="ne-NP"/>
              </w:rPr>
            </w:pPr>
            <w:r w:rsidRPr="0092000C">
              <w:rPr>
                <w:rFonts w:eastAsia="Times New Roman"/>
                <w:color w:val="000000"/>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40021AFA" w14:textId="77777777" w:rsidR="009D3945" w:rsidRPr="0092000C" w:rsidRDefault="009D3945" w:rsidP="009D3945">
            <w:pPr>
              <w:spacing w:before="0" w:after="0"/>
              <w:rPr>
                <w:rFonts w:eastAsia="Times New Roman"/>
                <w:color w:val="000000"/>
                <w:sz w:val="20"/>
                <w:lang w:val="en-GB" w:eastAsia="en-GB" w:bidi="ne-NP"/>
              </w:rPr>
            </w:pPr>
            <w:r w:rsidRPr="0092000C">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2BD1C043" w14:textId="77777777" w:rsidR="009D3945" w:rsidRPr="0092000C" w:rsidRDefault="009D3945" w:rsidP="009D3945">
            <w:pPr>
              <w:spacing w:before="0" w:after="0"/>
              <w:jc w:val="center"/>
              <w:rPr>
                <w:rFonts w:eastAsia="Times New Roman"/>
                <w:color w:val="000000"/>
                <w:sz w:val="20"/>
                <w:lang w:val="en-GB" w:eastAsia="en-GB" w:bidi="ne-NP"/>
              </w:rPr>
            </w:pPr>
            <w:r w:rsidRPr="0092000C">
              <w:rPr>
                <w:rFonts w:eastAsia="Times New Roman"/>
                <w:color w:val="000000"/>
                <w:sz w:val="20"/>
                <w:lang w:val="en-GB" w:eastAsia="en-GB" w:bidi="ne-NP"/>
              </w:rPr>
              <w:t>48</w:t>
            </w:r>
          </w:p>
        </w:tc>
        <w:tc>
          <w:tcPr>
            <w:tcW w:w="1476" w:type="dxa"/>
            <w:tcBorders>
              <w:top w:val="nil"/>
              <w:left w:val="nil"/>
              <w:bottom w:val="single" w:sz="4" w:space="0" w:color="auto"/>
              <w:right w:val="single" w:sz="4" w:space="0" w:color="auto"/>
            </w:tcBorders>
            <w:shd w:val="clear" w:color="auto" w:fill="auto"/>
            <w:hideMark/>
          </w:tcPr>
          <w:p w14:paraId="051B0A6B" w14:textId="743DA8A6" w:rsidR="009D3945" w:rsidRPr="009D3945" w:rsidRDefault="009D3945" w:rsidP="009D3945">
            <w:pPr>
              <w:spacing w:before="0" w:after="0"/>
              <w:jc w:val="right"/>
              <w:rPr>
                <w:rFonts w:eastAsia="Times New Roman"/>
                <w:color w:val="000000"/>
                <w:sz w:val="20"/>
                <w:lang w:val="en-GB" w:eastAsia="en-GB" w:bidi="ne-NP"/>
              </w:rPr>
            </w:pPr>
            <w:r w:rsidRPr="009D3945">
              <w:rPr>
                <w:sz w:val="20"/>
              </w:rPr>
              <w:t>339 254 076</w:t>
            </w:r>
          </w:p>
        </w:tc>
      </w:tr>
      <w:tr w:rsidR="009D3945" w:rsidRPr="0092000C" w14:paraId="7C713754" w14:textId="77777777" w:rsidTr="0092000C">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496EA75" w14:textId="77777777" w:rsidR="009D3945" w:rsidRPr="0092000C" w:rsidRDefault="009D3945" w:rsidP="009D3945">
            <w:pPr>
              <w:spacing w:before="0" w:after="0"/>
              <w:rPr>
                <w:rFonts w:eastAsia="Times New Roman"/>
                <w:sz w:val="20"/>
                <w:lang w:val="en-GB" w:eastAsia="en-GB" w:bidi="ne-NP"/>
              </w:rPr>
            </w:pPr>
            <w:r w:rsidRPr="0092000C">
              <w:rPr>
                <w:rFonts w:eastAsia="Times New Roman"/>
                <w:sz w:val="20"/>
                <w:lang w:val="en-GB" w:eastAsia="en-GB" w:bidi="ne-NP"/>
              </w:rPr>
              <w:t>4.4.prioritāte</w:t>
            </w:r>
          </w:p>
        </w:tc>
        <w:tc>
          <w:tcPr>
            <w:tcW w:w="1340" w:type="dxa"/>
            <w:tcBorders>
              <w:top w:val="nil"/>
              <w:left w:val="nil"/>
              <w:bottom w:val="single" w:sz="4" w:space="0" w:color="auto"/>
              <w:right w:val="single" w:sz="4" w:space="0" w:color="auto"/>
            </w:tcBorders>
            <w:shd w:val="clear" w:color="auto" w:fill="auto"/>
            <w:vAlign w:val="center"/>
            <w:hideMark/>
          </w:tcPr>
          <w:p w14:paraId="4CAD55F5" w14:textId="77777777" w:rsidR="009D3945" w:rsidRPr="0092000C" w:rsidRDefault="009D3945" w:rsidP="009D3945">
            <w:pPr>
              <w:spacing w:before="0" w:after="0"/>
              <w:jc w:val="left"/>
              <w:rPr>
                <w:rFonts w:eastAsia="Times New Roman"/>
                <w:color w:val="000000"/>
                <w:sz w:val="20"/>
                <w:lang w:val="en-GB" w:eastAsia="en-GB" w:bidi="ne-NP"/>
              </w:rPr>
            </w:pPr>
            <w:r w:rsidRPr="0092000C">
              <w:rPr>
                <w:rFonts w:eastAsia="Times New Roman"/>
                <w:color w:val="000000"/>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30C76E79" w14:textId="77777777" w:rsidR="009D3945" w:rsidRPr="0092000C" w:rsidRDefault="009D3945" w:rsidP="009D3945">
            <w:pPr>
              <w:spacing w:before="0" w:after="0"/>
              <w:rPr>
                <w:rFonts w:eastAsia="Times New Roman"/>
                <w:color w:val="000000"/>
                <w:sz w:val="20"/>
                <w:lang w:val="en-GB" w:eastAsia="en-GB" w:bidi="ne-NP"/>
              </w:rPr>
            </w:pPr>
            <w:r w:rsidRPr="0092000C">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6DE5E2F5" w14:textId="77777777" w:rsidR="009D3945" w:rsidRPr="0092000C" w:rsidRDefault="009D3945" w:rsidP="009D3945">
            <w:pPr>
              <w:spacing w:before="0" w:after="0"/>
              <w:jc w:val="center"/>
              <w:rPr>
                <w:rFonts w:eastAsia="Times New Roman"/>
                <w:color w:val="000000"/>
                <w:sz w:val="20"/>
                <w:lang w:val="en-GB" w:eastAsia="en-GB" w:bidi="ne-NP"/>
              </w:rPr>
            </w:pPr>
            <w:r w:rsidRPr="0092000C">
              <w:rPr>
                <w:rFonts w:eastAsia="Times New Roman"/>
                <w:color w:val="000000"/>
                <w:sz w:val="20"/>
                <w:lang w:val="en-GB" w:eastAsia="en-GB" w:bidi="ne-NP"/>
              </w:rPr>
              <w:t>48</w:t>
            </w:r>
          </w:p>
        </w:tc>
        <w:tc>
          <w:tcPr>
            <w:tcW w:w="1476" w:type="dxa"/>
            <w:tcBorders>
              <w:top w:val="nil"/>
              <w:left w:val="nil"/>
              <w:bottom w:val="single" w:sz="4" w:space="0" w:color="auto"/>
              <w:right w:val="single" w:sz="4" w:space="0" w:color="auto"/>
            </w:tcBorders>
            <w:shd w:val="clear" w:color="auto" w:fill="auto"/>
            <w:hideMark/>
          </w:tcPr>
          <w:p w14:paraId="6EB04C6F" w14:textId="355D79F6" w:rsidR="009D3945" w:rsidRPr="009D3945" w:rsidRDefault="009D3945" w:rsidP="009D3945">
            <w:pPr>
              <w:spacing w:before="0" w:after="0"/>
              <w:jc w:val="right"/>
              <w:rPr>
                <w:rFonts w:eastAsia="Times New Roman"/>
                <w:color w:val="000000"/>
                <w:sz w:val="20"/>
                <w:lang w:val="en-GB" w:eastAsia="en-GB" w:bidi="ne-NP"/>
              </w:rPr>
            </w:pPr>
            <w:r w:rsidRPr="009D3945">
              <w:rPr>
                <w:sz w:val="20"/>
              </w:rPr>
              <w:t>21 250 000</w:t>
            </w:r>
          </w:p>
        </w:tc>
      </w:tr>
      <w:tr w:rsidR="009D3945" w:rsidRPr="0092000C" w14:paraId="77423FCF" w14:textId="77777777" w:rsidTr="0092000C">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1E649F35" w14:textId="77777777" w:rsidR="009D3945" w:rsidRPr="0092000C" w:rsidRDefault="009D3945" w:rsidP="009D3945">
            <w:pPr>
              <w:spacing w:before="0" w:after="0"/>
              <w:rPr>
                <w:rFonts w:eastAsia="Times New Roman"/>
                <w:sz w:val="20"/>
                <w:lang w:val="en-GB" w:eastAsia="en-GB" w:bidi="ne-NP"/>
              </w:rPr>
            </w:pPr>
            <w:r w:rsidRPr="0092000C">
              <w:rPr>
                <w:rFonts w:eastAsia="Times New Roman"/>
                <w:sz w:val="20"/>
                <w:lang w:val="en-GB" w:eastAsia="en-GB" w:bidi="ne-NP"/>
              </w:rPr>
              <w:t>5.1.prioritāte</w:t>
            </w:r>
          </w:p>
        </w:tc>
        <w:tc>
          <w:tcPr>
            <w:tcW w:w="1340" w:type="dxa"/>
            <w:tcBorders>
              <w:top w:val="nil"/>
              <w:left w:val="nil"/>
              <w:bottom w:val="single" w:sz="4" w:space="0" w:color="auto"/>
              <w:right w:val="single" w:sz="4" w:space="0" w:color="auto"/>
            </w:tcBorders>
            <w:shd w:val="clear" w:color="auto" w:fill="auto"/>
            <w:vAlign w:val="center"/>
            <w:hideMark/>
          </w:tcPr>
          <w:p w14:paraId="153C7A51" w14:textId="77777777" w:rsidR="009D3945" w:rsidRPr="0092000C" w:rsidRDefault="009D3945" w:rsidP="009D3945">
            <w:pPr>
              <w:spacing w:before="0" w:after="0"/>
              <w:jc w:val="left"/>
              <w:rPr>
                <w:rFonts w:eastAsia="Times New Roman"/>
                <w:color w:val="000000"/>
                <w:sz w:val="20"/>
                <w:lang w:val="en-GB" w:eastAsia="en-GB" w:bidi="ne-NP"/>
              </w:rPr>
            </w:pPr>
            <w:r w:rsidRPr="0092000C">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4C2D2288" w14:textId="77777777" w:rsidR="009D3945" w:rsidRPr="0092000C" w:rsidRDefault="009D3945" w:rsidP="009D3945">
            <w:pPr>
              <w:spacing w:before="0" w:after="0"/>
              <w:rPr>
                <w:rFonts w:eastAsia="Times New Roman"/>
                <w:color w:val="000000"/>
                <w:sz w:val="20"/>
                <w:lang w:val="en-GB" w:eastAsia="en-GB" w:bidi="ne-NP"/>
              </w:rPr>
            </w:pPr>
            <w:r w:rsidRPr="0092000C">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7A92A294" w14:textId="77777777" w:rsidR="009D3945" w:rsidRPr="0092000C" w:rsidRDefault="009D3945" w:rsidP="009D3945">
            <w:pPr>
              <w:spacing w:before="0" w:after="0"/>
              <w:jc w:val="center"/>
              <w:rPr>
                <w:rFonts w:eastAsia="Times New Roman"/>
                <w:color w:val="000000"/>
                <w:sz w:val="20"/>
                <w:lang w:val="en-GB" w:eastAsia="en-GB" w:bidi="ne-NP"/>
              </w:rPr>
            </w:pPr>
            <w:r w:rsidRPr="0092000C">
              <w:rPr>
                <w:rFonts w:eastAsia="Times New Roman"/>
                <w:color w:val="000000"/>
                <w:sz w:val="20"/>
                <w:lang w:val="en-GB" w:eastAsia="en-GB" w:bidi="ne-NP"/>
              </w:rPr>
              <w:t>33</w:t>
            </w:r>
          </w:p>
        </w:tc>
        <w:tc>
          <w:tcPr>
            <w:tcW w:w="1476" w:type="dxa"/>
            <w:tcBorders>
              <w:top w:val="nil"/>
              <w:left w:val="nil"/>
              <w:bottom w:val="single" w:sz="4" w:space="0" w:color="auto"/>
              <w:right w:val="single" w:sz="4" w:space="0" w:color="auto"/>
            </w:tcBorders>
            <w:shd w:val="clear" w:color="auto" w:fill="auto"/>
            <w:hideMark/>
          </w:tcPr>
          <w:p w14:paraId="01A021ED" w14:textId="0C6C05EA" w:rsidR="009D3945" w:rsidRPr="009D3945" w:rsidRDefault="009D3945" w:rsidP="009D3945">
            <w:pPr>
              <w:spacing w:before="0" w:after="0"/>
              <w:jc w:val="right"/>
              <w:rPr>
                <w:rFonts w:eastAsia="Times New Roman"/>
                <w:color w:val="000000"/>
                <w:sz w:val="20"/>
                <w:lang w:val="en-GB" w:eastAsia="en-GB" w:bidi="ne-NP"/>
              </w:rPr>
            </w:pPr>
            <w:r w:rsidRPr="009D3945">
              <w:rPr>
                <w:sz w:val="20"/>
              </w:rPr>
              <w:t>223 521 421</w:t>
            </w:r>
          </w:p>
        </w:tc>
      </w:tr>
      <w:tr w:rsidR="009D3945" w:rsidRPr="0092000C" w14:paraId="0C9BEE1E" w14:textId="77777777" w:rsidTr="0092000C">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396E9AD" w14:textId="77777777" w:rsidR="009D3945" w:rsidRPr="0092000C" w:rsidRDefault="009D3945" w:rsidP="009D3945">
            <w:pPr>
              <w:spacing w:before="0" w:after="0"/>
              <w:rPr>
                <w:rFonts w:eastAsia="Times New Roman"/>
                <w:sz w:val="20"/>
                <w:lang w:val="en-GB" w:eastAsia="en-GB" w:bidi="ne-NP"/>
              </w:rPr>
            </w:pPr>
            <w:r w:rsidRPr="0092000C">
              <w:rPr>
                <w:rFonts w:eastAsia="Times New Roman"/>
                <w:sz w:val="20"/>
                <w:lang w:val="en-GB" w:eastAsia="en-GB" w:bidi="ne-NP"/>
              </w:rPr>
              <w:t>6.1.prioritāte</w:t>
            </w:r>
          </w:p>
        </w:tc>
        <w:tc>
          <w:tcPr>
            <w:tcW w:w="1340" w:type="dxa"/>
            <w:tcBorders>
              <w:top w:val="nil"/>
              <w:left w:val="nil"/>
              <w:bottom w:val="single" w:sz="4" w:space="0" w:color="auto"/>
              <w:right w:val="single" w:sz="4" w:space="0" w:color="auto"/>
            </w:tcBorders>
            <w:shd w:val="clear" w:color="auto" w:fill="auto"/>
            <w:vAlign w:val="center"/>
            <w:hideMark/>
          </w:tcPr>
          <w:p w14:paraId="0F8F726F" w14:textId="77777777" w:rsidR="009D3945" w:rsidRPr="0092000C" w:rsidRDefault="009D3945" w:rsidP="009D3945">
            <w:pPr>
              <w:spacing w:before="0" w:after="0"/>
              <w:jc w:val="left"/>
              <w:rPr>
                <w:rFonts w:eastAsia="Times New Roman"/>
                <w:sz w:val="20"/>
                <w:lang w:val="en-GB" w:eastAsia="en-GB" w:bidi="ne-NP"/>
              </w:rPr>
            </w:pPr>
            <w:r w:rsidRPr="0092000C">
              <w:rPr>
                <w:rFonts w:eastAsia="Times New Roman"/>
                <w:sz w:val="20"/>
                <w:lang w:val="en-GB" w:eastAsia="en-GB" w:bidi="ne-NP"/>
              </w:rPr>
              <w:t>TPF</w:t>
            </w:r>
          </w:p>
        </w:tc>
        <w:tc>
          <w:tcPr>
            <w:tcW w:w="1420" w:type="dxa"/>
            <w:tcBorders>
              <w:top w:val="nil"/>
              <w:left w:val="nil"/>
              <w:bottom w:val="single" w:sz="4" w:space="0" w:color="auto"/>
              <w:right w:val="single" w:sz="4" w:space="0" w:color="auto"/>
            </w:tcBorders>
            <w:shd w:val="clear" w:color="auto" w:fill="auto"/>
            <w:vAlign w:val="center"/>
            <w:hideMark/>
          </w:tcPr>
          <w:p w14:paraId="0D25C4F9" w14:textId="77777777" w:rsidR="009D3945" w:rsidRPr="0092000C" w:rsidRDefault="009D3945" w:rsidP="009D3945">
            <w:pPr>
              <w:spacing w:before="0" w:after="0"/>
              <w:rPr>
                <w:rFonts w:eastAsia="Times New Roman"/>
                <w:color w:val="000000"/>
                <w:sz w:val="20"/>
                <w:lang w:val="en-GB" w:eastAsia="en-GB" w:bidi="ne-NP"/>
              </w:rPr>
            </w:pPr>
            <w:r w:rsidRPr="0092000C">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7D024438" w14:textId="77777777" w:rsidR="009D3945" w:rsidRPr="0092000C" w:rsidRDefault="009D3945" w:rsidP="009D3945">
            <w:pPr>
              <w:spacing w:before="0" w:after="0"/>
              <w:jc w:val="center"/>
              <w:rPr>
                <w:rFonts w:eastAsia="Times New Roman"/>
                <w:color w:val="000000"/>
                <w:sz w:val="20"/>
                <w:lang w:val="en-GB" w:eastAsia="en-GB" w:bidi="ne-NP"/>
              </w:rPr>
            </w:pPr>
            <w:r w:rsidRPr="0092000C">
              <w:rPr>
                <w:rFonts w:eastAsia="Times New Roman"/>
                <w:color w:val="000000"/>
                <w:sz w:val="20"/>
                <w:lang w:val="en-GB" w:eastAsia="en-GB" w:bidi="ne-NP"/>
              </w:rPr>
              <w:t>48</w:t>
            </w:r>
          </w:p>
        </w:tc>
        <w:tc>
          <w:tcPr>
            <w:tcW w:w="1476" w:type="dxa"/>
            <w:tcBorders>
              <w:top w:val="nil"/>
              <w:left w:val="nil"/>
              <w:bottom w:val="single" w:sz="4" w:space="0" w:color="auto"/>
              <w:right w:val="single" w:sz="4" w:space="0" w:color="auto"/>
            </w:tcBorders>
            <w:shd w:val="clear" w:color="auto" w:fill="auto"/>
            <w:hideMark/>
          </w:tcPr>
          <w:p w14:paraId="6DD12C43" w14:textId="4CDC15AF" w:rsidR="009D3945" w:rsidRPr="009D3945" w:rsidRDefault="009D3945" w:rsidP="009D3945">
            <w:pPr>
              <w:spacing w:before="0" w:after="0"/>
              <w:jc w:val="right"/>
              <w:rPr>
                <w:rFonts w:eastAsia="Times New Roman"/>
                <w:color w:val="000000"/>
                <w:sz w:val="20"/>
                <w:lang w:val="en-GB" w:eastAsia="en-GB" w:bidi="ne-NP"/>
              </w:rPr>
            </w:pPr>
            <w:r w:rsidRPr="009D3945">
              <w:rPr>
                <w:sz w:val="20"/>
              </w:rPr>
              <w:t>183 942 546</w:t>
            </w:r>
          </w:p>
        </w:tc>
      </w:tr>
    </w:tbl>
    <w:p w14:paraId="23C45B6C" w14:textId="77777777" w:rsidR="00AC212B" w:rsidRPr="00930237" w:rsidRDefault="00AC212B" w:rsidP="00AC212B">
      <w:pPr>
        <w:spacing w:before="0" w:after="0"/>
        <w:rPr>
          <w:b/>
          <w:sz w:val="20"/>
        </w:rPr>
      </w:pPr>
    </w:p>
    <w:p w14:paraId="3EF40CFC" w14:textId="09CB48EC" w:rsidR="00AC212B" w:rsidRDefault="00AC212B" w:rsidP="00AC212B">
      <w:pPr>
        <w:spacing w:before="0" w:after="0"/>
        <w:rPr>
          <w:b/>
          <w:sz w:val="20"/>
        </w:rPr>
      </w:pPr>
    </w:p>
    <w:p w14:paraId="56B93FCE" w14:textId="2E2CFA12" w:rsidR="00EA48B9" w:rsidRDefault="00EA48B9" w:rsidP="00AC212B">
      <w:pPr>
        <w:spacing w:before="0" w:after="0"/>
        <w:rPr>
          <w:b/>
          <w:sz w:val="20"/>
        </w:rPr>
      </w:pPr>
    </w:p>
    <w:p w14:paraId="0E824D99" w14:textId="3FD0F5A1" w:rsidR="00EA48B9" w:rsidRDefault="00EA48B9" w:rsidP="00AC212B">
      <w:pPr>
        <w:spacing w:before="0" w:after="0"/>
        <w:rPr>
          <w:b/>
          <w:sz w:val="20"/>
        </w:rPr>
      </w:pPr>
    </w:p>
    <w:p w14:paraId="4E6BF4A8" w14:textId="2433E958" w:rsidR="00EA48B9" w:rsidRDefault="00EA48B9" w:rsidP="00AC212B">
      <w:pPr>
        <w:spacing w:before="0" w:after="0"/>
        <w:rPr>
          <w:b/>
          <w:sz w:val="20"/>
        </w:rPr>
      </w:pPr>
    </w:p>
    <w:p w14:paraId="768BA79D" w14:textId="27C312A8" w:rsidR="00EA48B9" w:rsidRDefault="00EA48B9" w:rsidP="00AC212B">
      <w:pPr>
        <w:spacing w:before="0" w:after="0"/>
        <w:rPr>
          <w:b/>
          <w:sz w:val="20"/>
        </w:rPr>
      </w:pPr>
    </w:p>
    <w:p w14:paraId="01AF9033" w14:textId="7772764E" w:rsidR="00EA48B9" w:rsidRDefault="00EA48B9" w:rsidP="00AC212B">
      <w:pPr>
        <w:spacing w:before="0" w:after="0"/>
        <w:rPr>
          <w:b/>
          <w:sz w:val="20"/>
        </w:rPr>
      </w:pPr>
    </w:p>
    <w:p w14:paraId="7D318486" w14:textId="3000BD63" w:rsidR="00EA48B9" w:rsidRDefault="00EA48B9" w:rsidP="00AC212B">
      <w:pPr>
        <w:spacing w:before="0" w:after="0"/>
        <w:rPr>
          <w:b/>
          <w:sz w:val="20"/>
        </w:rPr>
      </w:pPr>
    </w:p>
    <w:p w14:paraId="276E5522" w14:textId="77777777" w:rsidR="00EA48B9" w:rsidRPr="00930237" w:rsidRDefault="00EA48B9" w:rsidP="00AC212B">
      <w:pPr>
        <w:spacing w:before="0" w:after="0"/>
        <w:rPr>
          <w:b/>
          <w:sz w:val="20"/>
        </w:rPr>
      </w:pPr>
    </w:p>
    <w:p w14:paraId="33A2F5B7" w14:textId="5765011B" w:rsidR="00AC212B" w:rsidRPr="00930237" w:rsidRDefault="00F4152B" w:rsidP="00AC212B">
      <w:pPr>
        <w:spacing w:before="0" w:after="0"/>
        <w:rPr>
          <w:b/>
          <w:sz w:val="20"/>
        </w:rPr>
      </w:pPr>
      <w:r>
        <w:rPr>
          <w:b/>
          <w:sz w:val="20"/>
        </w:rPr>
        <w:t>1</w:t>
      </w:r>
      <w:r w:rsidR="00AC212B" w:rsidRPr="00930237">
        <w:rPr>
          <w:b/>
          <w:sz w:val="20"/>
        </w:rPr>
        <w:t>7.tabula</w:t>
      </w:r>
      <w:r w:rsidR="00D67F06">
        <w:rPr>
          <w:b/>
          <w:sz w:val="20"/>
        </w:rPr>
        <w:t xml:space="preserve"> (7)</w:t>
      </w:r>
      <w:r w:rsidR="00AC212B" w:rsidRPr="00930237">
        <w:rPr>
          <w:b/>
          <w:sz w:val="20"/>
        </w:rPr>
        <w:t xml:space="preserve"> Dimensija 6 ESF+ sekundāras tēmas</w:t>
      </w:r>
      <w:r w:rsidR="00905E88">
        <w:rPr>
          <w:rStyle w:val="FootnoteReference"/>
          <w:b/>
          <w:sz w:val="20"/>
        </w:rPr>
        <w:footnoteReference w:id="138"/>
      </w:r>
    </w:p>
    <w:p w14:paraId="341D7781" w14:textId="77777777" w:rsidR="008808E8" w:rsidRPr="00930237" w:rsidRDefault="00AC212B" w:rsidP="00AC212B">
      <w:pPr>
        <w:spacing w:before="0" w:after="0"/>
        <w:rPr>
          <w:sz w:val="20"/>
        </w:rPr>
      </w:pPr>
      <w:r w:rsidRPr="00930237">
        <w:rPr>
          <w:sz w:val="20"/>
        </w:rPr>
        <w:t xml:space="preserve"> </w:t>
      </w:r>
    </w:p>
    <w:tbl>
      <w:tblPr>
        <w:tblW w:w="6460" w:type="dxa"/>
        <w:tblLook w:val="04A0" w:firstRow="1" w:lastRow="0" w:firstColumn="1" w:lastColumn="0" w:noHBand="0" w:noVBand="1"/>
      </w:tblPr>
      <w:tblGrid>
        <w:gridCol w:w="1320"/>
        <w:gridCol w:w="1340"/>
        <w:gridCol w:w="1420"/>
        <w:gridCol w:w="960"/>
        <w:gridCol w:w="1420"/>
      </w:tblGrid>
      <w:tr w:rsidR="009D3945" w:rsidRPr="009D3945" w14:paraId="48AE3D27" w14:textId="77777777" w:rsidTr="009D3945">
        <w:trPr>
          <w:trHeight w:val="765"/>
        </w:trPr>
        <w:tc>
          <w:tcPr>
            <w:tcW w:w="13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7A0A1AD" w14:textId="77777777" w:rsidR="009D3945" w:rsidRPr="009D3945" w:rsidRDefault="009D3945" w:rsidP="009D3945">
            <w:pPr>
              <w:spacing w:before="0" w:after="0"/>
              <w:jc w:val="center"/>
              <w:rPr>
                <w:rFonts w:eastAsia="Times New Roman"/>
                <w:b/>
                <w:bCs/>
                <w:color w:val="000000"/>
                <w:sz w:val="20"/>
                <w:lang w:val="en-GB" w:eastAsia="en-GB" w:bidi="ne-NP"/>
              </w:rPr>
            </w:pPr>
            <w:r w:rsidRPr="009D3945">
              <w:rPr>
                <w:rFonts w:eastAsia="Times New Roman"/>
                <w:b/>
                <w:bCs/>
                <w:color w:val="000000"/>
                <w:sz w:val="20"/>
                <w:lang w:val="en-GB" w:eastAsia="en-GB" w:bidi="ne-NP"/>
              </w:rPr>
              <w:t xml:space="preserve">Prioritātes Nr. </w:t>
            </w:r>
          </w:p>
        </w:tc>
        <w:tc>
          <w:tcPr>
            <w:tcW w:w="1340" w:type="dxa"/>
            <w:tcBorders>
              <w:top w:val="single" w:sz="4" w:space="0" w:color="auto"/>
              <w:left w:val="nil"/>
              <w:bottom w:val="single" w:sz="4" w:space="0" w:color="auto"/>
              <w:right w:val="single" w:sz="4" w:space="0" w:color="auto"/>
            </w:tcBorders>
            <w:shd w:val="clear" w:color="000000" w:fill="D9D9D9"/>
            <w:vAlign w:val="center"/>
            <w:hideMark/>
          </w:tcPr>
          <w:p w14:paraId="786752E5" w14:textId="77777777" w:rsidR="009D3945" w:rsidRPr="009D3945" w:rsidRDefault="009D3945" w:rsidP="009D3945">
            <w:pPr>
              <w:spacing w:before="0" w:after="0"/>
              <w:jc w:val="center"/>
              <w:rPr>
                <w:rFonts w:eastAsia="Times New Roman"/>
                <w:b/>
                <w:bCs/>
                <w:color w:val="000000"/>
                <w:sz w:val="20"/>
                <w:lang w:val="en-GB" w:eastAsia="en-GB" w:bidi="ne-NP"/>
              </w:rPr>
            </w:pPr>
            <w:r w:rsidRPr="009D3945">
              <w:rPr>
                <w:rFonts w:eastAsia="Times New Roman"/>
                <w:b/>
                <w:bCs/>
                <w:color w:val="000000"/>
                <w:sz w:val="20"/>
                <w:lang w:val="en-GB" w:eastAsia="en-GB" w:bidi="ne-NP"/>
              </w:rPr>
              <w:t>Fonds</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2EE40E5C" w14:textId="77777777" w:rsidR="009D3945" w:rsidRPr="009D3945" w:rsidRDefault="009D3945" w:rsidP="009D3945">
            <w:pPr>
              <w:spacing w:before="0" w:after="0"/>
              <w:jc w:val="center"/>
              <w:rPr>
                <w:rFonts w:eastAsia="Times New Roman"/>
                <w:b/>
                <w:bCs/>
                <w:color w:val="000000"/>
                <w:sz w:val="20"/>
                <w:lang w:val="en-GB" w:eastAsia="en-GB" w:bidi="ne-NP"/>
              </w:rPr>
            </w:pPr>
            <w:r w:rsidRPr="009D3945">
              <w:rPr>
                <w:rFonts w:eastAsia="Times New Roman"/>
                <w:b/>
                <w:bCs/>
                <w:color w:val="000000"/>
                <w:sz w:val="20"/>
                <w:lang w:val="en-GB" w:eastAsia="en-GB" w:bidi="ne-NP"/>
              </w:rPr>
              <w:t xml:space="preserve">Reģiona kategorija </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7E0799F0" w14:textId="77777777" w:rsidR="009D3945" w:rsidRPr="009D3945" w:rsidRDefault="009D3945" w:rsidP="009D3945">
            <w:pPr>
              <w:spacing w:before="0" w:after="0"/>
              <w:jc w:val="center"/>
              <w:rPr>
                <w:rFonts w:eastAsia="Times New Roman"/>
                <w:b/>
                <w:bCs/>
                <w:color w:val="000000"/>
                <w:sz w:val="20"/>
                <w:lang w:val="en-GB" w:eastAsia="en-GB" w:bidi="ne-NP"/>
              </w:rPr>
            </w:pPr>
            <w:r w:rsidRPr="009D3945">
              <w:rPr>
                <w:rFonts w:eastAsia="Times New Roman"/>
                <w:b/>
                <w:bCs/>
                <w:color w:val="000000"/>
                <w:sz w:val="20"/>
                <w:lang w:val="en-GB" w:eastAsia="en-GB" w:bidi="ne-NP"/>
              </w:rPr>
              <w:t xml:space="preserve">Kods </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76AF932E" w14:textId="598A825C" w:rsidR="009D3945" w:rsidRPr="009D3945" w:rsidRDefault="009D3945" w:rsidP="009D3945">
            <w:pPr>
              <w:spacing w:before="0" w:after="0"/>
              <w:jc w:val="center"/>
              <w:rPr>
                <w:rFonts w:eastAsia="Times New Roman"/>
                <w:b/>
                <w:bCs/>
                <w:color w:val="000000"/>
                <w:sz w:val="20"/>
                <w:lang w:val="en-GB" w:eastAsia="en-GB" w:bidi="ne-NP"/>
              </w:rPr>
            </w:pPr>
            <w:r w:rsidRPr="009D3945">
              <w:rPr>
                <w:rFonts w:eastAsia="Times New Roman"/>
                <w:b/>
                <w:bCs/>
                <w:color w:val="000000"/>
                <w:sz w:val="20"/>
                <w:lang w:val="en-GB" w:eastAsia="en-GB" w:bidi="ne-NP"/>
              </w:rPr>
              <w:t xml:space="preserve">Apjoms (EUR) </w:t>
            </w:r>
          </w:p>
        </w:tc>
      </w:tr>
      <w:tr w:rsidR="009D3945" w:rsidRPr="009D3945" w14:paraId="3F0F5C43"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F6CDB4E"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1.1.prioritāte</w:t>
            </w:r>
          </w:p>
        </w:tc>
        <w:tc>
          <w:tcPr>
            <w:tcW w:w="1340" w:type="dxa"/>
            <w:tcBorders>
              <w:top w:val="nil"/>
              <w:left w:val="nil"/>
              <w:bottom w:val="single" w:sz="4" w:space="0" w:color="auto"/>
              <w:right w:val="single" w:sz="4" w:space="0" w:color="auto"/>
            </w:tcBorders>
            <w:shd w:val="clear" w:color="auto" w:fill="auto"/>
            <w:vAlign w:val="center"/>
            <w:hideMark/>
          </w:tcPr>
          <w:p w14:paraId="6E262CE1"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4994A302" w14:textId="77777777" w:rsidR="009D3945" w:rsidRPr="009D3945" w:rsidRDefault="009D3945" w:rsidP="009D3945">
            <w:pPr>
              <w:spacing w:before="0" w:after="0"/>
              <w:rPr>
                <w:rFonts w:eastAsia="Times New Roman"/>
                <w:color w:val="000000"/>
                <w:sz w:val="20"/>
                <w:lang w:val="en-GB" w:eastAsia="en-GB" w:bidi="ne-NP"/>
              </w:rPr>
            </w:pPr>
            <w:r w:rsidRPr="009D3945">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663E5386" w14:textId="77777777" w:rsidR="009D3945" w:rsidRPr="009D3945" w:rsidRDefault="009D3945" w:rsidP="009D3945">
            <w:pPr>
              <w:spacing w:before="0" w:after="0"/>
              <w:jc w:val="center"/>
              <w:rPr>
                <w:rFonts w:eastAsia="Times New Roman"/>
                <w:color w:val="000000"/>
                <w:sz w:val="20"/>
                <w:lang w:val="en-GB" w:eastAsia="en-GB" w:bidi="ne-NP"/>
              </w:rPr>
            </w:pPr>
            <w:r w:rsidRPr="009D3945">
              <w:rPr>
                <w:rFonts w:eastAsia="Times New Roman"/>
                <w:color w:val="000000"/>
                <w:sz w:val="20"/>
                <w:lang w:val="en-GB" w:eastAsia="en-GB" w:bidi="ne-NP"/>
              </w:rPr>
              <w:t>09</w:t>
            </w:r>
          </w:p>
        </w:tc>
        <w:tc>
          <w:tcPr>
            <w:tcW w:w="1420" w:type="dxa"/>
            <w:tcBorders>
              <w:top w:val="nil"/>
              <w:left w:val="nil"/>
              <w:bottom w:val="single" w:sz="4" w:space="0" w:color="auto"/>
              <w:right w:val="single" w:sz="4" w:space="0" w:color="auto"/>
            </w:tcBorders>
            <w:shd w:val="clear" w:color="auto" w:fill="auto"/>
            <w:vAlign w:val="center"/>
            <w:hideMark/>
          </w:tcPr>
          <w:p w14:paraId="1333A360" w14:textId="77777777" w:rsidR="009D3945" w:rsidRPr="009D3945" w:rsidRDefault="009D3945" w:rsidP="009D3945">
            <w:pPr>
              <w:spacing w:before="0" w:after="0"/>
              <w:jc w:val="right"/>
              <w:rPr>
                <w:rFonts w:eastAsia="Times New Roman"/>
                <w:color w:val="000000"/>
                <w:sz w:val="20"/>
                <w:lang w:val="en-GB" w:eastAsia="en-GB" w:bidi="ne-NP"/>
              </w:rPr>
            </w:pPr>
            <w:r w:rsidRPr="009D3945">
              <w:rPr>
                <w:rFonts w:eastAsia="Times New Roman"/>
                <w:color w:val="000000"/>
                <w:sz w:val="20"/>
                <w:lang w:val="en-GB" w:eastAsia="en-GB" w:bidi="ne-NP"/>
              </w:rPr>
              <w:t>271 879 037</w:t>
            </w:r>
          </w:p>
        </w:tc>
      </w:tr>
      <w:tr w:rsidR="009D3945" w:rsidRPr="009D3945" w14:paraId="7CABF2E8" w14:textId="77777777" w:rsidTr="009D3945">
        <w:trPr>
          <w:trHeight w:val="285"/>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B535B49"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1.2.prioritāte</w:t>
            </w:r>
          </w:p>
        </w:tc>
        <w:tc>
          <w:tcPr>
            <w:tcW w:w="1340" w:type="dxa"/>
            <w:tcBorders>
              <w:top w:val="nil"/>
              <w:left w:val="nil"/>
              <w:bottom w:val="single" w:sz="4" w:space="0" w:color="auto"/>
              <w:right w:val="single" w:sz="4" w:space="0" w:color="auto"/>
            </w:tcBorders>
            <w:shd w:val="clear" w:color="auto" w:fill="auto"/>
            <w:vAlign w:val="center"/>
            <w:hideMark/>
          </w:tcPr>
          <w:p w14:paraId="57E1EB31"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11089151"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10BB9417"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09</w:t>
            </w:r>
          </w:p>
        </w:tc>
        <w:tc>
          <w:tcPr>
            <w:tcW w:w="1420" w:type="dxa"/>
            <w:tcBorders>
              <w:top w:val="nil"/>
              <w:left w:val="nil"/>
              <w:bottom w:val="single" w:sz="4" w:space="0" w:color="auto"/>
              <w:right w:val="single" w:sz="4" w:space="0" w:color="auto"/>
            </w:tcBorders>
            <w:shd w:val="clear" w:color="auto" w:fill="auto"/>
            <w:vAlign w:val="center"/>
            <w:hideMark/>
          </w:tcPr>
          <w:p w14:paraId="613300A0"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369 380 250</w:t>
            </w:r>
          </w:p>
        </w:tc>
      </w:tr>
      <w:tr w:rsidR="009D3945" w:rsidRPr="009D3945" w14:paraId="0F8F2D77" w14:textId="77777777" w:rsidTr="009D3945">
        <w:trPr>
          <w:trHeight w:val="285"/>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B92A6FD"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1.3.prioritāte</w:t>
            </w:r>
          </w:p>
        </w:tc>
        <w:tc>
          <w:tcPr>
            <w:tcW w:w="1340" w:type="dxa"/>
            <w:tcBorders>
              <w:top w:val="nil"/>
              <w:left w:val="nil"/>
              <w:bottom w:val="single" w:sz="4" w:space="0" w:color="auto"/>
              <w:right w:val="single" w:sz="4" w:space="0" w:color="auto"/>
            </w:tcBorders>
            <w:shd w:val="clear" w:color="auto" w:fill="auto"/>
            <w:vAlign w:val="center"/>
            <w:hideMark/>
          </w:tcPr>
          <w:p w14:paraId="741D29B9"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1DD69B1D"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4D097995"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02</w:t>
            </w:r>
          </w:p>
        </w:tc>
        <w:tc>
          <w:tcPr>
            <w:tcW w:w="1420" w:type="dxa"/>
            <w:tcBorders>
              <w:top w:val="nil"/>
              <w:left w:val="nil"/>
              <w:bottom w:val="single" w:sz="4" w:space="0" w:color="auto"/>
              <w:right w:val="single" w:sz="4" w:space="0" w:color="auto"/>
            </w:tcBorders>
            <w:shd w:val="clear" w:color="auto" w:fill="auto"/>
            <w:vAlign w:val="center"/>
            <w:hideMark/>
          </w:tcPr>
          <w:p w14:paraId="70D3FC9E"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7 143 570</w:t>
            </w:r>
          </w:p>
        </w:tc>
      </w:tr>
      <w:tr w:rsidR="009D3945" w:rsidRPr="009D3945" w14:paraId="3A23EDFA"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2CFEFA6"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1.3.prioritāte</w:t>
            </w:r>
          </w:p>
        </w:tc>
        <w:tc>
          <w:tcPr>
            <w:tcW w:w="1340" w:type="dxa"/>
            <w:tcBorders>
              <w:top w:val="nil"/>
              <w:left w:val="nil"/>
              <w:bottom w:val="single" w:sz="4" w:space="0" w:color="auto"/>
              <w:right w:val="single" w:sz="4" w:space="0" w:color="auto"/>
            </w:tcBorders>
            <w:shd w:val="clear" w:color="auto" w:fill="auto"/>
            <w:vAlign w:val="center"/>
            <w:hideMark/>
          </w:tcPr>
          <w:p w14:paraId="7E29565E"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12E354A8"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363368DB"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09</w:t>
            </w:r>
          </w:p>
        </w:tc>
        <w:tc>
          <w:tcPr>
            <w:tcW w:w="1420" w:type="dxa"/>
            <w:tcBorders>
              <w:top w:val="nil"/>
              <w:left w:val="nil"/>
              <w:bottom w:val="single" w:sz="4" w:space="0" w:color="auto"/>
              <w:right w:val="single" w:sz="4" w:space="0" w:color="auto"/>
            </w:tcBorders>
            <w:shd w:val="clear" w:color="auto" w:fill="auto"/>
            <w:vAlign w:val="center"/>
            <w:hideMark/>
          </w:tcPr>
          <w:p w14:paraId="58546E9A"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144 878 921</w:t>
            </w:r>
          </w:p>
        </w:tc>
      </w:tr>
      <w:tr w:rsidR="009D3945" w:rsidRPr="009D3945" w14:paraId="16472B54"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F6D561B"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1.4.prioritāte</w:t>
            </w:r>
          </w:p>
        </w:tc>
        <w:tc>
          <w:tcPr>
            <w:tcW w:w="1340" w:type="dxa"/>
            <w:tcBorders>
              <w:top w:val="nil"/>
              <w:left w:val="nil"/>
              <w:bottom w:val="single" w:sz="4" w:space="0" w:color="auto"/>
              <w:right w:val="single" w:sz="4" w:space="0" w:color="auto"/>
            </w:tcBorders>
            <w:shd w:val="clear" w:color="auto" w:fill="auto"/>
            <w:vAlign w:val="center"/>
            <w:hideMark/>
          </w:tcPr>
          <w:p w14:paraId="708D0BD1" w14:textId="77777777" w:rsidR="009D3945" w:rsidRPr="009D3945" w:rsidRDefault="009D3945" w:rsidP="009D3945">
            <w:pPr>
              <w:spacing w:before="0" w:after="0"/>
              <w:jc w:val="left"/>
              <w:rPr>
                <w:rFonts w:eastAsia="Times New Roman"/>
                <w:sz w:val="20"/>
                <w:lang w:val="en-GB" w:eastAsia="en-GB" w:bidi="ne-NP"/>
              </w:rPr>
            </w:pPr>
            <w:r w:rsidRPr="009D3945">
              <w:rPr>
                <w:rFonts w:eastAsia="Times New Roman"/>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6E0B521A"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43598EFB"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09</w:t>
            </w:r>
          </w:p>
        </w:tc>
        <w:tc>
          <w:tcPr>
            <w:tcW w:w="1420" w:type="dxa"/>
            <w:tcBorders>
              <w:top w:val="nil"/>
              <w:left w:val="nil"/>
              <w:bottom w:val="single" w:sz="4" w:space="0" w:color="auto"/>
              <w:right w:val="single" w:sz="4" w:space="0" w:color="auto"/>
            </w:tcBorders>
            <w:shd w:val="clear" w:color="auto" w:fill="auto"/>
            <w:vAlign w:val="center"/>
            <w:hideMark/>
          </w:tcPr>
          <w:p w14:paraId="68DD8BC0"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32 907 750</w:t>
            </w:r>
          </w:p>
        </w:tc>
      </w:tr>
      <w:tr w:rsidR="009D3945" w:rsidRPr="009D3945" w14:paraId="731F1DCB"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356028B"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55AC5DD8"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50990F05"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1AE20DB5"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09</w:t>
            </w:r>
          </w:p>
        </w:tc>
        <w:tc>
          <w:tcPr>
            <w:tcW w:w="1420" w:type="dxa"/>
            <w:tcBorders>
              <w:top w:val="nil"/>
              <w:left w:val="nil"/>
              <w:bottom w:val="single" w:sz="4" w:space="0" w:color="auto"/>
              <w:right w:val="single" w:sz="4" w:space="0" w:color="auto"/>
            </w:tcBorders>
            <w:shd w:val="clear" w:color="auto" w:fill="auto"/>
            <w:vAlign w:val="center"/>
            <w:hideMark/>
          </w:tcPr>
          <w:p w14:paraId="15DA4F41"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544 559 342</w:t>
            </w:r>
          </w:p>
        </w:tc>
      </w:tr>
      <w:tr w:rsidR="009D3945" w:rsidRPr="009D3945" w14:paraId="11C904A5"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BC6E2E5"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67FB1F44"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KF</w:t>
            </w:r>
          </w:p>
        </w:tc>
        <w:tc>
          <w:tcPr>
            <w:tcW w:w="1420" w:type="dxa"/>
            <w:tcBorders>
              <w:top w:val="nil"/>
              <w:left w:val="nil"/>
              <w:bottom w:val="single" w:sz="4" w:space="0" w:color="auto"/>
              <w:right w:val="single" w:sz="4" w:space="0" w:color="auto"/>
            </w:tcBorders>
            <w:shd w:val="clear" w:color="auto" w:fill="auto"/>
            <w:vAlign w:val="center"/>
            <w:hideMark/>
          </w:tcPr>
          <w:p w14:paraId="27EB56C3"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0A6C2F44"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09</w:t>
            </w:r>
          </w:p>
        </w:tc>
        <w:tc>
          <w:tcPr>
            <w:tcW w:w="1420" w:type="dxa"/>
            <w:tcBorders>
              <w:top w:val="nil"/>
              <w:left w:val="nil"/>
              <w:bottom w:val="single" w:sz="4" w:space="0" w:color="auto"/>
              <w:right w:val="single" w:sz="4" w:space="0" w:color="auto"/>
            </w:tcBorders>
            <w:shd w:val="clear" w:color="auto" w:fill="auto"/>
            <w:vAlign w:val="center"/>
            <w:hideMark/>
          </w:tcPr>
          <w:p w14:paraId="7595E041"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38 454 000</w:t>
            </w:r>
          </w:p>
        </w:tc>
      </w:tr>
      <w:tr w:rsidR="009D3945" w:rsidRPr="009D3945" w14:paraId="37A4E88B"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7C3D820"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2.2.prioritāte</w:t>
            </w:r>
          </w:p>
        </w:tc>
        <w:tc>
          <w:tcPr>
            <w:tcW w:w="1340" w:type="dxa"/>
            <w:tcBorders>
              <w:top w:val="nil"/>
              <w:left w:val="nil"/>
              <w:bottom w:val="single" w:sz="4" w:space="0" w:color="auto"/>
              <w:right w:val="single" w:sz="4" w:space="0" w:color="auto"/>
            </w:tcBorders>
            <w:shd w:val="clear" w:color="auto" w:fill="auto"/>
            <w:vAlign w:val="center"/>
            <w:hideMark/>
          </w:tcPr>
          <w:p w14:paraId="5F472794" w14:textId="77777777" w:rsidR="009D3945" w:rsidRPr="009D3945" w:rsidRDefault="009D3945" w:rsidP="009D3945">
            <w:pPr>
              <w:spacing w:before="0" w:after="0"/>
              <w:jc w:val="left"/>
              <w:rPr>
                <w:rFonts w:eastAsia="Times New Roman"/>
                <w:sz w:val="20"/>
                <w:lang w:val="en-GB" w:eastAsia="en-GB" w:bidi="ne-NP"/>
              </w:rPr>
            </w:pPr>
            <w:r w:rsidRPr="009D3945">
              <w:rPr>
                <w:rFonts w:eastAsia="Times New Roman"/>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47C63E71" w14:textId="77777777" w:rsidR="009D3945" w:rsidRPr="009D3945" w:rsidRDefault="009D3945" w:rsidP="009D3945">
            <w:pPr>
              <w:spacing w:before="0" w:after="0"/>
              <w:jc w:val="left"/>
              <w:rPr>
                <w:rFonts w:eastAsia="Times New Roman"/>
                <w:sz w:val="20"/>
                <w:lang w:val="en-GB" w:eastAsia="en-GB" w:bidi="ne-NP"/>
              </w:rPr>
            </w:pPr>
            <w:r w:rsidRPr="009D3945">
              <w:rPr>
                <w:rFonts w:eastAsia="Times New Roman"/>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1B56618D"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09</w:t>
            </w:r>
          </w:p>
        </w:tc>
        <w:tc>
          <w:tcPr>
            <w:tcW w:w="1420" w:type="dxa"/>
            <w:tcBorders>
              <w:top w:val="nil"/>
              <w:left w:val="nil"/>
              <w:bottom w:val="single" w:sz="4" w:space="0" w:color="auto"/>
              <w:right w:val="single" w:sz="4" w:space="0" w:color="auto"/>
            </w:tcBorders>
            <w:shd w:val="clear" w:color="auto" w:fill="auto"/>
            <w:vAlign w:val="center"/>
            <w:hideMark/>
          </w:tcPr>
          <w:p w14:paraId="176FD0AB"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151 492 536</w:t>
            </w:r>
          </w:p>
        </w:tc>
      </w:tr>
      <w:tr w:rsidR="009D3945" w:rsidRPr="009D3945" w14:paraId="7AD64549"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C79EDB8"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2.2.prioritāte</w:t>
            </w:r>
          </w:p>
        </w:tc>
        <w:tc>
          <w:tcPr>
            <w:tcW w:w="1340" w:type="dxa"/>
            <w:tcBorders>
              <w:top w:val="nil"/>
              <w:left w:val="nil"/>
              <w:bottom w:val="single" w:sz="4" w:space="0" w:color="auto"/>
              <w:right w:val="single" w:sz="4" w:space="0" w:color="auto"/>
            </w:tcBorders>
            <w:shd w:val="clear" w:color="auto" w:fill="auto"/>
            <w:vAlign w:val="center"/>
            <w:hideMark/>
          </w:tcPr>
          <w:p w14:paraId="7CA181C8" w14:textId="77777777" w:rsidR="009D3945" w:rsidRPr="009D3945" w:rsidRDefault="009D3945" w:rsidP="009D3945">
            <w:pPr>
              <w:spacing w:before="0" w:after="0"/>
              <w:jc w:val="left"/>
              <w:rPr>
                <w:rFonts w:eastAsia="Times New Roman"/>
                <w:sz w:val="20"/>
                <w:lang w:val="en-GB" w:eastAsia="en-GB" w:bidi="ne-NP"/>
              </w:rPr>
            </w:pPr>
            <w:r w:rsidRPr="009D3945">
              <w:rPr>
                <w:rFonts w:eastAsia="Times New Roman"/>
                <w:sz w:val="20"/>
                <w:lang w:val="en-GB" w:eastAsia="en-GB" w:bidi="ne-NP"/>
              </w:rPr>
              <w:t>KF</w:t>
            </w:r>
          </w:p>
        </w:tc>
        <w:tc>
          <w:tcPr>
            <w:tcW w:w="1420" w:type="dxa"/>
            <w:tcBorders>
              <w:top w:val="nil"/>
              <w:left w:val="nil"/>
              <w:bottom w:val="single" w:sz="4" w:space="0" w:color="auto"/>
              <w:right w:val="single" w:sz="4" w:space="0" w:color="auto"/>
            </w:tcBorders>
            <w:shd w:val="clear" w:color="auto" w:fill="auto"/>
            <w:vAlign w:val="center"/>
            <w:hideMark/>
          </w:tcPr>
          <w:p w14:paraId="5AFCE2F8"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N/A</w:t>
            </w:r>
          </w:p>
        </w:tc>
        <w:tc>
          <w:tcPr>
            <w:tcW w:w="960" w:type="dxa"/>
            <w:tcBorders>
              <w:top w:val="nil"/>
              <w:left w:val="nil"/>
              <w:bottom w:val="single" w:sz="4" w:space="0" w:color="auto"/>
              <w:right w:val="single" w:sz="4" w:space="0" w:color="auto"/>
            </w:tcBorders>
            <w:shd w:val="clear" w:color="auto" w:fill="auto"/>
            <w:vAlign w:val="center"/>
            <w:hideMark/>
          </w:tcPr>
          <w:p w14:paraId="329C341D"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09</w:t>
            </w:r>
          </w:p>
        </w:tc>
        <w:tc>
          <w:tcPr>
            <w:tcW w:w="1420" w:type="dxa"/>
            <w:tcBorders>
              <w:top w:val="nil"/>
              <w:left w:val="nil"/>
              <w:bottom w:val="single" w:sz="4" w:space="0" w:color="auto"/>
              <w:right w:val="single" w:sz="4" w:space="0" w:color="auto"/>
            </w:tcBorders>
            <w:shd w:val="clear" w:color="auto" w:fill="auto"/>
            <w:vAlign w:val="center"/>
            <w:hideMark/>
          </w:tcPr>
          <w:p w14:paraId="563CF029"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103 530 000</w:t>
            </w:r>
          </w:p>
        </w:tc>
      </w:tr>
      <w:tr w:rsidR="009D3945" w:rsidRPr="009D3945" w14:paraId="09C29B98"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92CED0C"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2.3.prioritāte</w:t>
            </w:r>
          </w:p>
        </w:tc>
        <w:tc>
          <w:tcPr>
            <w:tcW w:w="1340" w:type="dxa"/>
            <w:tcBorders>
              <w:top w:val="nil"/>
              <w:left w:val="nil"/>
              <w:bottom w:val="single" w:sz="4" w:space="0" w:color="auto"/>
              <w:right w:val="single" w:sz="4" w:space="0" w:color="auto"/>
            </w:tcBorders>
            <w:shd w:val="clear" w:color="auto" w:fill="auto"/>
            <w:vAlign w:val="center"/>
            <w:hideMark/>
          </w:tcPr>
          <w:p w14:paraId="1B8E8BA6" w14:textId="77777777" w:rsidR="009D3945" w:rsidRPr="009D3945" w:rsidRDefault="009D3945" w:rsidP="009D3945">
            <w:pPr>
              <w:spacing w:before="0" w:after="0"/>
              <w:jc w:val="left"/>
              <w:rPr>
                <w:rFonts w:eastAsia="Times New Roman"/>
                <w:sz w:val="20"/>
                <w:lang w:val="en-GB" w:eastAsia="en-GB" w:bidi="ne-NP"/>
              </w:rPr>
            </w:pPr>
            <w:r w:rsidRPr="009D3945">
              <w:rPr>
                <w:rFonts w:eastAsia="Times New Roman"/>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4690322D"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24E1BE24"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09</w:t>
            </w:r>
          </w:p>
        </w:tc>
        <w:tc>
          <w:tcPr>
            <w:tcW w:w="1420" w:type="dxa"/>
            <w:tcBorders>
              <w:top w:val="nil"/>
              <w:left w:val="nil"/>
              <w:bottom w:val="single" w:sz="4" w:space="0" w:color="auto"/>
              <w:right w:val="single" w:sz="4" w:space="0" w:color="auto"/>
            </w:tcBorders>
            <w:shd w:val="clear" w:color="auto" w:fill="auto"/>
            <w:vAlign w:val="center"/>
            <w:hideMark/>
          </w:tcPr>
          <w:p w14:paraId="06691E78"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78 586 054</w:t>
            </w:r>
          </w:p>
        </w:tc>
      </w:tr>
      <w:tr w:rsidR="009D3945" w:rsidRPr="009D3945" w14:paraId="797DF383"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9D7D0F5"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3.1.prioritāte</w:t>
            </w:r>
          </w:p>
        </w:tc>
        <w:tc>
          <w:tcPr>
            <w:tcW w:w="1340" w:type="dxa"/>
            <w:tcBorders>
              <w:top w:val="nil"/>
              <w:left w:val="nil"/>
              <w:bottom w:val="single" w:sz="4" w:space="0" w:color="auto"/>
              <w:right w:val="single" w:sz="4" w:space="0" w:color="auto"/>
            </w:tcBorders>
            <w:shd w:val="clear" w:color="auto" w:fill="auto"/>
            <w:vAlign w:val="center"/>
            <w:hideMark/>
          </w:tcPr>
          <w:p w14:paraId="3777FACF" w14:textId="77777777" w:rsidR="009D3945" w:rsidRPr="009D3945" w:rsidRDefault="009D3945" w:rsidP="009D3945">
            <w:pPr>
              <w:spacing w:before="0" w:after="0"/>
              <w:jc w:val="left"/>
              <w:rPr>
                <w:rFonts w:eastAsia="Times New Roman"/>
                <w:sz w:val="20"/>
                <w:lang w:val="en-GB" w:eastAsia="en-GB" w:bidi="ne-NP"/>
              </w:rPr>
            </w:pPr>
            <w:r w:rsidRPr="009D3945">
              <w:rPr>
                <w:rFonts w:eastAsia="Times New Roman"/>
                <w:sz w:val="20"/>
                <w:lang w:val="en-GB" w:eastAsia="en-GB" w:bidi="ne-NP"/>
              </w:rPr>
              <w:t>KF</w:t>
            </w:r>
          </w:p>
        </w:tc>
        <w:tc>
          <w:tcPr>
            <w:tcW w:w="1420" w:type="dxa"/>
            <w:tcBorders>
              <w:top w:val="nil"/>
              <w:left w:val="nil"/>
              <w:bottom w:val="single" w:sz="4" w:space="0" w:color="auto"/>
              <w:right w:val="single" w:sz="4" w:space="0" w:color="auto"/>
            </w:tcBorders>
            <w:shd w:val="clear" w:color="auto" w:fill="auto"/>
            <w:vAlign w:val="center"/>
            <w:hideMark/>
          </w:tcPr>
          <w:p w14:paraId="10DDA5CB"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N/A</w:t>
            </w:r>
          </w:p>
        </w:tc>
        <w:tc>
          <w:tcPr>
            <w:tcW w:w="960" w:type="dxa"/>
            <w:tcBorders>
              <w:top w:val="nil"/>
              <w:left w:val="nil"/>
              <w:bottom w:val="single" w:sz="4" w:space="0" w:color="auto"/>
              <w:right w:val="single" w:sz="4" w:space="0" w:color="auto"/>
            </w:tcBorders>
            <w:shd w:val="clear" w:color="auto" w:fill="auto"/>
            <w:vAlign w:val="center"/>
            <w:hideMark/>
          </w:tcPr>
          <w:p w14:paraId="222E15B2"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09</w:t>
            </w:r>
          </w:p>
        </w:tc>
        <w:tc>
          <w:tcPr>
            <w:tcW w:w="1420" w:type="dxa"/>
            <w:tcBorders>
              <w:top w:val="nil"/>
              <w:left w:val="nil"/>
              <w:bottom w:val="single" w:sz="4" w:space="0" w:color="auto"/>
              <w:right w:val="single" w:sz="4" w:space="0" w:color="auto"/>
            </w:tcBorders>
            <w:shd w:val="clear" w:color="auto" w:fill="auto"/>
            <w:vAlign w:val="center"/>
            <w:hideMark/>
          </w:tcPr>
          <w:p w14:paraId="579490A5"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859 869 540</w:t>
            </w:r>
          </w:p>
        </w:tc>
      </w:tr>
      <w:tr w:rsidR="009D3945" w:rsidRPr="009D3945" w14:paraId="3357963D"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FF3E62B"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4.1.prioritāte</w:t>
            </w:r>
          </w:p>
        </w:tc>
        <w:tc>
          <w:tcPr>
            <w:tcW w:w="1340" w:type="dxa"/>
            <w:tcBorders>
              <w:top w:val="nil"/>
              <w:left w:val="nil"/>
              <w:bottom w:val="single" w:sz="4" w:space="0" w:color="auto"/>
              <w:right w:val="single" w:sz="4" w:space="0" w:color="auto"/>
            </w:tcBorders>
            <w:shd w:val="clear" w:color="auto" w:fill="auto"/>
            <w:vAlign w:val="center"/>
            <w:hideMark/>
          </w:tcPr>
          <w:p w14:paraId="7AD1E9F1" w14:textId="77777777" w:rsidR="009D3945" w:rsidRPr="009D3945" w:rsidRDefault="009D3945" w:rsidP="009D3945">
            <w:pPr>
              <w:spacing w:before="0" w:after="0"/>
              <w:jc w:val="left"/>
              <w:rPr>
                <w:rFonts w:eastAsia="Times New Roman"/>
                <w:sz w:val="20"/>
                <w:lang w:val="en-GB" w:eastAsia="en-GB" w:bidi="ne-NP"/>
              </w:rPr>
            </w:pPr>
            <w:r w:rsidRPr="009D3945">
              <w:rPr>
                <w:rFonts w:eastAsia="Times New Roman"/>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6208B929"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03B4486B"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09</w:t>
            </w:r>
          </w:p>
        </w:tc>
        <w:tc>
          <w:tcPr>
            <w:tcW w:w="1420" w:type="dxa"/>
            <w:tcBorders>
              <w:top w:val="nil"/>
              <w:left w:val="nil"/>
              <w:bottom w:val="single" w:sz="4" w:space="0" w:color="auto"/>
              <w:right w:val="single" w:sz="4" w:space="0" w:color="auto"/>
            </w:tcBorders>
            <w:shd w:val="clear" w:color="auto" w:fill="auto"/>
            <w:vAlign w:val="center"/>
            <w:hideMark/>
          </w:tcPr>
          <w:p w14:paraId="71B1214E"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274 446 198</w:t>
            </w:r>
          </w:p>
        </w:tc>
      </w:tr>
      <w:tr w:rsidR="009D3945" w:rsidRPr="009D3945" w14:paraId="4DA3ECA4"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22B6106"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4.1.prioritāte</w:t>
            </w:r>
          </w:p>
        </w:tc>
        <w:tc>
          <w:tcPr>
            <w:tcW w:w="1340" w:type="dxa"/>
            <w:tcBorders>
              <w:top w:val="nil"/>
              <w:left w:val="nil"/>
              <w:bottom w:val="single" w:sz="4" w:space="0" w:color="auto"/>
              <w:right w:val="single" w:sz="4" w:space="0" w:color="auto"/>
            </w:tcBorders>
            <w:shd w:val="clear" w:color="auto" w:fill="auto"/>
            <w:vAlign w:val="center"/>
            <w:hideMark/>
          </w:tcPr>
          <w:p w14:paraId="15360C3B" w14:textId="77777777" w:rsidR="009D3945" w:rsidRPr="009D3945" w:rsidRDefault="009D3945" w:rsidP="009D3945">
            <w:pPr>
              <w:spacing w:before="0" w:after="0"/>
              <w:jc w:val="left"/>
              <w:rPr>
                <w:rFonts w:eastAsia="Times New Roman"/>
                <w:sz w:val="20"/>
                <w:lang w:val="en-GB" w:eastAsia="en-GB" w:bidi="ne-NP"/>
              </w:rPr>
            </w:pPr>
            <w:r w:rsidRPr="009D3945">
              <w:rPr>
                <w:rFonts w:eastAsia="Times New Roman"/>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5580003C"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noWrap/>
            <w:vAlign w:val="bottom"/>
            <w:hideMark/>
          </w:tcPr>
          <w:p w14:paraId="2A95DE9B"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09</w:t>
            </w:r>
          </w:p>
        </w:tc>
        <w:tc>
          <w:tcPr>
            <w:tcW w:w="1420" w:type="dxa"/>
            <w:tcBorders>
              <w:top w:val="nil"/>
              <w:left w:val="nil"/>
              <w:bottom w:val="single" w:sz="4" w:space="0" w:color="auto"/>
              <w:right w:val="single" w:sz="4" w:space="0" w:color="auto"/>
            </w:tcBorders>
            <w:shd w:val="clear" w:color="auto" w:fill="auto"/>
            <w:vAlign w:val="center"/>
            <w:hideMark/>
          </w:tcPr>
          <w:p w14:paraId="06DFAAB1"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50 803 650</w:t>
            </w:r>
          </w:p>
        </w:tc>
      </w:tr>
      <w:tr w:rsidR="009D3945" w:rsidRPr="009D3945" w14:paraId="5B37CB43"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4BA2D17"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15609935" w14:textId="77777777" w:rsidR="009D3945" w:rsidRPr="009D3945" w:rsidRDefault="009D3945" w:rsidP="009D3945">
            <w:pPr>
              <w:spacing w:before="0" w:after="0"/>
              <w:jc w:val="left"/>
              <w:rPr>
                <w:rFonts w:eastAsia="Times New Roman"/>
                <w:sz w:val="20"/>
                <w:lang w:val="en-GB" w:eastAsia="en-GB" w:bidi="ne-NP"/>
              </w:rPr>
            </w:pPr>
            <w:r w:rsidRPr="009D3945">
              <w:rPr>
                <w:rFonts w:eastAsia="Times New Roman"/>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35E25587"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46F7FCA0"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09</w:t>
            </w:r>
          </w:p>
        </w:tc>
        <w:tc>
          <w:tcPr>
            <w:tcW w:w="1420" w:type="dxa"/>
            <w:tcBorders>
              <w:top w:val="nil"/>
              <w:left w:val="nil"/>
              <w:bottom w:val="single" w:sz="4" w:space="0" w:color="auto"/>
              <w:right w:val="single" w:sz="4" w:space="0" w:color="auto"/>
            </w:tcBorders>
            <w:shd w:val="clear" w:color="auto" w:fill="auto"/>
            <w:vAlign w:val="center"/>
            <w:hideMark/>
          </w:tcPr>
          <w:p w14:paraId="416BAF7B"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182 634 117</w:t>
            </w:r>
          </w:p>
        </w:tc>
      </w:tr>
      <w:tr w:rsidR="009D3945" w:rsidRPr="009D3945" w14:paraId="2AF9F516"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67DB16B"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1F0C14D0" w14:textId="77777777" w:rsidR="009D3945" w:rsidRPr="009D3945" w:rsidRDefault="009D3945" w:rsidP="009D3945">
            <w:pPr>
              <w:spacing w:before="0" w:after="0"/>
              <w:jc w:val="left"/>
              <w:rPr>
                <w:rFonts w:eastAsia="Times New Roman"/>
                <w:sz w:val="20"/>
                <w:lang w:val="en-GB" w:eastAsia="en-GB" w:bidi="ne-NP"/>
              </w:rPr>
            </w:pPr>
            <w:r w:rsidRPr="009D3945">
              <w:rPr>
                <w:rFonts w:eastAsia="Times New Roman"/>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2D873938"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noWrap/>
            <w:vAlign w:val="bottom"/>
            <w:hideMark/>
          </w:tcPr>
          <w:p w14:paraId="37AAE206"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09</w:t>
            </w:r>
          </w:p>
        </w:tc>
        <w:tc>
          <w:tcPr>
            <w:tcW w:w="1420" w:type="dxa"/>
            <w:tcBorders>
              <w:top w:val="nil"/>
              <w:left w:val="nil"/>
              <w:bottom w:val="single" w:sz="4" w:space="0" w:color="auto"/>
              <w:right w:val="single" w:sz="4" w:space="0" w:color="auto"/>
            </w:tcBorders>
            <w:shd w:val="clear" w:color="auto" w:fill="auto"/>
            <w:vAlign w:val="center"/>
            <w:hideMark/>
          </w:tcPr>
          <w:p w14:paraId="76AB76D0"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248 926 577</w:t>
            </w:r>
          </w:p>
        </w:tc>
      </w:tr>
      <w:tr w:rsidR="009D3945" w:rsidRPr="009D3945" w14:paraId="5DA4C7DC"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23C19A5"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66B0A1CF" w14:textId="77777777" w:rsidR="009D3945" w:rsidRPr="009D3945" w:rsidRDefault="009D3945" w:rsidP="009D3945">
            <w:pPr>
              <w:spacing w:before="0" w:after="0"/>
              <w:jc w:val="left"/>
              <w:rPr>
                <w:rFonts w:eastAsia="Times New Roman"/>
                <w:sz w:val="20"/>
                <w:lang w:val="en-GB" w:eastAsia="en-GB" w:bidi="ne-NP"/>
              </w:rPr>
            </w:pPr>
            <w:r w:rsidRPr="009D3945">
              <w:rPr>
                <w:rFonts w:eastAsia="Times New Roman"/>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213C7E5C"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noWrap/>
            <w:vAlign w:val="bottom"/>
            <w:hideMark/>
          </w:tcPr>
          <w:p w14:paraId="28C84213"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02</w:t>
            </w:r>
          </w:p>
        </w:tc>
        <w:tc>
          <w:tcPr>
            <w:tcW w:w="1420" w:type="dxa"/>
            <w:tcBorders>
              <w:top w:val="nil"/>
              <w:left w:val="nil"/>
              <w:bottom w:val="single" w:sz="4" w:space="0" w:color="auto"/>
              <w:right w:val="single" w:sz="4" w:space="0" w:color="auto"/>
            </w:tcBorders>
            <w:shd w:val="clear" w:color="auto" w:fill="auto"/>
            <w:vAlign w:val="center"/>
            <w:hideMark/>
          </w:tcPr>
          <w:p w14:paraId="5F0854A9"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3 948 930</w:t>
            </w:r>
          </w:p>
        </w:tc>
      </w:tr>
      <w:tr w:rsidR="009D3945" w:rsidRPr="009D3945" w14:paraId="283ADA83"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1594356A"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71D1EBF6" w14:textId="77777777" w:rsidR="009D3945" w:rsidRPr="009D3945" w:rsidRDefault="009D3945" w:rsidP="009D3945">
            <w:pPr>
              <w:spacing w:before="0" w:after="0"/>
              <w:jc w:val="left"/>
              <w:rPr>
                <w:rFonts w:eastAsia="Times New Roman"/>
                <w:sz w:val="20"/>
                <w:lang w:val="en-GB" w:eastAsia="en-GB" w:bidi="ne-NP"/>
              </w:rPr>
            </w:pPr>
            <w:r w:rsidRPr="009D3945">
              <w:rPr>
                <w:rFonts w:eastAsia="Times New Roman"/>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1D562F03"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0E563646"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09</w:t>
            </w:r>
          </w:p>
        </w:tc>
        <w:tc>
          <w:tcPr>
            <w:tcW w:w="1420" w:type="dxa"/>
            <w:tcBorders>
              <w:top w:val="nil"/>
              <w:left w:val="nil"/>
              <w:bottom w:val="single" w:sz="4" w:space="0" w:color="auto"/>
              <w:right w:val="single" w:sz="4" w:space="0" w:color="auto"/>
            </w:tcBorders>
            <w:shd w:val="clear" w:color="auto" w:fill="auto"/>
            <w:vAlign w:val="center"/>
            <w:hideMark/>
          </w:tcPr>
          <w:p w14:paraId="141C9989"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112 921 302</w:t>
            </w:r>
          </w:p>
        </w:tc>
      </w:tr>
      <w:tr w:rsidR="009D3945" w:rsidRPr="009D3945" w14:paraId="2DBEA706"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74DDA0D7"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75703C5B" w14:textId="77777777" w:rsidR="009D3945" w:rsidRPr="009D3945" w:rsidRDefault="009D3945" w:rsidP="009D3945">
            <w:pPr>
              <w:spacing w:before="0" w:after="0"/>
              <w:jc w:val="left"/>
              <w:rPr>
                <w:rFonts w:eastAsia="Times New Roman"/>
                <w:sz w:val="20"/>
                <w:lang w:val="en-GB" w:eastAsia="en-GB" w:bidi="ne-NP"/>
              </w:rPr>
            </w:pPr>
            <w:r w:rsidRPr="009D3945">
              <w:rPr>
                <w:rFonts w:eastAsia="Times New Roman"/>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6DC870C2"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3D9AAC80"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09</w:t>
            </w:r>
          </w:p>
        </w:tc>
        <w:tc>
          <w:tcPr>
            <w:tcW w:w="1420" w:type="dxa"/>
            <w:tcBorders>
              <w:top w:val="nil"/>
              <w:left w:val="nil"/>
              <w:bottom w:val="single" w:sz="4" w:space="0" w:color="auto"/>
              <w:right w:val="single" w:sz="4" w:space="0" w:color="auto"/>
            </w:tcBorders>
            <w:shd w:val="clear" w:color="auto" w:fill="auto"/>
            <w:vAlign w:val="center"/>
            <w:hideMark/>
          </w:tcPr>
          <w:p w14:paraId="1A7C4DBA"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309 113 501</w:t>
            </w:r>
          </w:p>
        </w:tc>
      </w:tr>
      <w:tr w:rsidR="009D3945" w:rsidRPr="009D3945" w14:paraId="67D48AB5"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61A4B7A"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39CE46EF" w14:textId="77777777" w:rsidR="009D3945" w:rsidRPr="009D3945" w:rsidRDefault="009D3945" w:rsidP="009D3945">
            <w:pPr>
              <w:spacing w:before="0" w:after="0"/>
              <w:jc w:val="left"/>
              <w:rPr>
                <w:rFonts w:eastAsia="Times New Roman"/>
                <w:sz w:val="20"/>
                <w:lang w:val="en-GB" w:eastAsia="en-GB" w:bidi="ne-NP"/>
              </w:rPr>
            </w:pPr>
            <w:r w:rsidRPr="009D3945">
              <w:rPr>
                <w:rFonts w:eastAsia="Times New Roman"/>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398420D5"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1CEC5556"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05</w:t>
            </w:r>
          </w:p>
        </w:tc>
        <w:tc>
          <w:tcPr>
            <w:tcW w:w="1420" w:type="dxa"/>
            <w:tcBorders>
              <w:top w:val="nil"/>
              <w:left w:val="nil"/>
              <w:bottom w:val="single" w:sz="4" w:space="0" w:color="auto"/>
              <w:right w:val="single" w:sz="4" w:space="0" w:color="auto"/>
            </w:tcBorders>
            <w:shd w:val="clear" w:color="auto" w:fill="auto"/>
            <w:vAlign w:val="center"/>
            <w:hideMark/>
          </w:tcPr>
          <w:p w14:paraId="5CA2AD05"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12 435 075</w:t>
            </w:r>
          </w:p>
        </w:tc>
      </w:tr>
      <w:tr w:rsidR="009D3945" w:rsidRPr="009D3945" w14:paraId="48674181"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FDA1F30"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4DEB61AF" w14:textId="77777777" w:rsidR="009D3945" w:rsidRPr="009D3945" w:rsidRDefault="009D3945" w:rsidP="009D3945">
            <w:pPr>
              <w:spacing w:before="0" w:after="0"/>
              <w:jc w:val="left"/>
              <w:rPr>
                <w:rFonts w:eastAsia="Times New Roman"/>
                <w:sz w:val="20"/>
                <w:lang w:val="en-GB" w:eastAsia="en-GB" w:bidi="ne-NP"/>
              </w:rPr>
            </w:pPr>
            <w:r w:rsidRPr="009D3945">
              <w:rPr>
                <w:rFonts w:eastAsia="Times New Roman"/>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5A0F49F8"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17958F4E"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06</w:t>
            </w:r>
          </w:p>
        </w:tc>
        <w:tc>
          <w:tcPr>
            <w:tcW w:w="1420" w:type="dxa"/>
            <w:tcBorders>
              <w:top w:val="nil"/>
              <w:left w:val="nil"/>
              <w:bottom w:val="single" w:sz="4" w:space="0" w:color="auto"/>
              <w:right w:val="single" w:sz="4" w:space="0" w:color="auto"/>
            </w:tcBorders>
            <w:shd w:val="clear" w:color="auto" w:fill="auto"/>
            <w:vAlign w:val="center"/>
            <w:hideMark/>
          </w:tcPr>
          <w:p w14:paraId="3307AC3C"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850 000</w:t>
            </w:r>
          </w:p>
        </w:tc>
      </w:tr>
      <w:tr w:rsidR="009D3945" w:rsidRPr="009D3945" w14:paraId="132E4948"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3C48C52F"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4EC17550" w14:textId="77777777" w:rsidR="009D3945" w:rsidRPr="009D3945" w:rsidRDefault="009D3945" w:rsidP="009D3945">
            <w:pPr>
              <w:spacing w:before="0" w:after="0"/>
              <w:jc w:val="left"/>
              <w:rPr>
                <w:rFonts w:eastAsia="Times New Roman"/>
                <w:sz w:val="20"/>
                <w:lang w:val="en-GB" w:eastAsia="en-GB" w:bidi="ne-NP"/>
              </w:rPr>
            </w:pPr>
            <w:r w:rsidRPr="009D3945">
              <w:rPr>
                <w:rFonts w:eastAsia="Times New Roman"/>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6EBE64B6"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192A947A"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07</w:t>
            </w:r>
          </w:p>
        </w:tc>
        <w:tc>
          <w:tcPr>
            <w:tcW w:w="1420" w:type="dxa"/>
            <w:tcBorders>
              <w:top w:val="nil"/>
              <w:left w:val="nil"/>
              <w:bottom w:val="single" w:sz="4" w:space="0" w:color="auto"/>
              <w:right w:val="single" w:sz="4" w:space="0" w:color="auto"/>
            </w:tcBorders>
            <w:shd w:val="clear" w:color="auto" w:fill="auto"/>
            <w:vAlign w:val="center"/>
            <w:hideMark/>
          </w:tcPr>
          <w:p w14:paraId="2FF2DDA8"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1 479 000</w:t>
            </w:r>
          </w:p>
        </w:tc>
      </w:tr>
      <w:tr w:rsidR="009D3945" w:rsidRPr="009D3945" w14:paraId="1722D1B5"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71BDFB10"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20557F96" w14:textId="77777777" w:rsidR="009D3945" w:rsidRPr="009D3945" w:rsidRDefault="009D3945" w:rsidP="009D3945">
            <w:pPr>
              <w:spacing w:before="0" w:after="0"/>
              <w:jc w:val="left"/>
              <w:rPr>
                <w:rFonts w:eastAsia="Times New Roman"/>
                <w:sz w:val="20"/>
                <w:lang w:val="en-GB" w:eastAsia="en-GB" w:bidi="ne-NP"/>
              </w:rPr>
            </w:pPr>
            <w:r w:rsidRPr="009D3945">
              <w:rPr>
                <w:rFonts w:eastAsia="Times New Roman"/>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0B0C7131"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noWrap/>
            <w:vAlign w:val="bottom"/>
            <w:hideMark/>
          </w:tcPr>
          <w:p w14:paraId="775F1427"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08</w:t>
            </w:r>
          </w:p>
        </w:tc>
        <w:tc>
          <w:tcPr>
            <w:tcW w:w="1420" w:type="dxa"/>
            <w:tcBorders>
              <w:top w:val="nil"/>
              <w:left w:val="nil"/>
              <w:bottom w:val="single" w:sz="4" w:space="0" w:color="auto"/>
              <w:right w:val="single" w:sz="4" w:space="0" w:color="auto"/>
            </w:tcBorders>
            <w:shd w:val="clear" w:color="auto" w:fill="auto"/>
            <w:vAlign w:val="center"/>
            <w:hideMark/>
          </w:tcPr>
          <w:p w14:paraId="134347B6"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5 176 500</w:t>
            </w:r>
          </w:p>
        </w:tc>
      </w:tr>
      <w:tr w:rsidR="009D3945" w:rsidRPr="009D3945" w14:paraId="6E2C6B6A"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DD3D643"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32CF8316" w14:textId="77777777" w:rsidR="009D3945" w:rsidRPr="009D3945" w:rsidRDefault="009D3945" w:rsidP="009D3945">
            <w:pPr>
              <w:spacing w:before="0" w:after="0"/>
              <w:jc w:val="left"/>
              <w:rPr>
                <w:rFonts w:eastAsia="Times New Roman"/>
                <w:sz w:val="20"/>
                <w:lang w:val="en-GB" w:eastAsia="en-GB" w:bidi="ne-NP"/>
              </w:rPr>
            </w:pPr>
            <w:r w:rsidRPr="009D3945">
              <w:rPr>
                <w:rFonts w:eastAsia="Times New Roman"/>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5DE4A60D"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27C3305E"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04</w:t>
            </w:r>
          </w:p>
        </w:tc>
        <w:tc>
          <w:tcPr>
            <w:tcW w:w="1420" w:type="dxa"/>
            <w:tcBorders>
              <w:top w:val="nil"/>
              <w:left w:val="nil"/>
              <w:bottom w:val="single" w:sz="4" w:space="0" w:color="auto"/>
              <w:right w:val="single" w:sz="4" w:space="0" w:color="auto"/>
            </w:tcBorders>
            <w:shd w:val="clear" w:color="auto" w:fill="auto"/>
            <w:vAlign w:val="center"/>
            <w:hideMark/>
          </w:tcPr>
          <w:p w14:paraId="141B161F"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10 200 000</w:t>
            </w:r>
          </w:p>
        </w:tc>
      </w:tr>
      <w:tr w:rsidR="009D3945" w:rsidRPr="009D3945" w14:paraId="338A9293"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3921BEA4"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4.4.prioritāte</w:t>
            </w:r>
          </w:p>
        </w:tc>
        <w:tc>
          <w:tcPr>
            <w:tcW w:w="1340" w:type="dxa"/>
            <w:tcBorders>
              <w:top w:val="nil"/>
              <w:left w:val="nil"/>
              <w:bottom w:val="single" w:sz="4" w:space="0" w:color="auto"/>
              <w:right w:val="single" w:sz="4" w:space="0" w:color="auto"/>
            </w:tcBorders>
            <w:shd w:val="clear" w:color="auto" w:fill="auto"/>
            <w:vAlign w:val="center"/>
            <w:hideMark/>
          </w:tcPr>
          <w:p w14:paraId="5E9B5A3D" w14:textId="77777777" w:rsidR="009D3945" w:rsidRPr="009D3945" w:rsidRDefault="009D3945" w:rsidP="009D3945">
            <w:pPr>
              <w:spacing w:before="0" w:after="0"/>
              <w:jc w:val="left"/>
              <w:rPr>
                <w:rFonts w:eastAsia="Times New Roman"/>
                <w:sz w:val="20"/>
                <w:lang w:val="en-GB" w:eastAsia="en-GB" w:bidi="ne-NP"/>
              </w:rPr>
            </w:pPr>
            <w:r w:rsidRPr="009D3945">
              <w:rPr>
                <w:rFonts w:eastAsia="Times New Roman"/>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08E1CD00"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noWrap/>
            <w:vAlign w:val="bottom"/>
            <w:hideMark/>
          </w:tcPr>
          <w:p w14:paraId="59822F9F"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09</w:t>
            </w:r>
          </w:p>
        </w:tc>
        <w:tc>
          <w:tcPr>
            <w:tcW w:w="1420" w:type="dxa"/>
            <w:tcBorders>
              <w:top w:val="nil"/>
              <w:left w:val="nil"/>
              <w:bottom w:val="single" w:sz="4" w:space="0" w:color="auto"/>
              <w:right w:val="single" w:sz="4" w:space="0" w:color="auto"/>
            </w:tcBorders>
            <w:shd w:val="clear" w:color="auto" w:fill="auto"/>
            <w:vAlign w:val="center"/>
            <w:hideMark/>
          </w:tcPr>
          <w:p w14:paraId="6072EA12"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21 250 000</w:t>
            </w:r>
          </w:p>
        </w:tc>
      </w:tr>
      <w:tr w:rsidR="009D3945" w:rsidRPr="009D3945" w14:paraId="7B315DCB"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625E9AA"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5.1.prioritāte</w:t>
            </w:r>
          </w:p>
        </w:tc>
        <w:tc>
          <w:tcPr>
            <w:tcW w:w="1340" w:type="dxa"/>
            <w:tcBorders>
              <w:top w:val="nil"/>
              <w:left w:val="nil"/>
              <w:bottom w:val="single" w:sz="4" w:space="0" w:color="auto"/>
              <w:right w:val="single" w:sz="4" w:space="0" w:color="auto"/>
            </w:tcBorders>
            <w:shd w:val="clear" w:color="auto" w:fill="auto"/>
            <w:vAlign w:val="center"/>
            <w:hideMark/>
          </w:tcPr>
          <w:p w14:paraId="57821DE9" w14:textId="77777777" w:rsidR="009D3945" w:rsidRPr="009D3945" w:rsidRDefault="009D3945" w:rsidP="009D3945">
            <w:pPr>
              <w:spacing w:before="0" w:after="0"/>
              <w:jc w:val="left"/>
              <w:rPr>
                <w:rFonts w:eastAsia="Times New Roman"/>
                <w:sz w:val="20"/>
                <w:lang w:val="en-GB" w:eastAsia="en-GB" w:bidi="ne-NP"/>
              </w:rPr>
            </w:pPr>
            <w:r w:rsidRPr="009D3945">
              <w:rPr>
                <w:rFonts w:eastAsia="Times New Roman"/>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35C256DA"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7B8AAF8D"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09</w:t>
            </w:r>
          </w:p>
        </w:tc>
        <w:tc>
          <w:tcPr>
            <w:tcW w:w="1420" w:type="dxa"/>
            <w:tcBorders>
              <w:top w:val="nil"/>
              <w:left w:val="nil"/>
              <w:bottom w:val="single" w:sz="4" w:space="0" w:color="auto"/>
              <w:right w:val="single" w:sz="4" w:space="0" w:color="auto"/>
            </w:tcBorders>
            <w:shd w:val="clear" w:color="auto" w:fill="auto"/>
            <w:vAlign w:val="center"/>
            <w:hideMark/>
          </w:tcPr>
          <w:p w14:paraId="78F8C884" w14:textId="77777777" w:rsidR="009D3945" w:rsidRPr="009D3945" w:rsidRDefault="009D3945" w:rsidP="009D3945">
            <w:pPr>
              <w:spacing w:before="0" w:after="0"/>
              <w:jc w:val="right"/>
              <w:rPr>
                <w:rFonts w:eastAsia="Times New Roman"/>
                <w:sz w:val="20"/>
                <w:lang w:val="en-GB" w:eastAsia="en-GB" w:bidi="ne-NP"/>
              </w:rPr>
            </w:pPr>
            <w:r w:rsidRPr="009D3945">
              <w:rPr>
                <w:rFonts w:eastAsia="Times New Roman"/>
                <w:sz w:val="20"/>
                <w:lang w:val="en-GB" w:eastAsia="en-GB" w:bidi="ne-NP"/>
              </w:rPr>
              <w:t>223 521 421</w:t>
            </w:r>
          </w:p>
        </w:tc>
      </w:tr>
      <w:tr w:rsidR="009D3945" w:rsidRPr="009D3945" w14:paraId="21C29E26" w14:textId="77777777" w:rsidTr="009D3945">
        <w:trPr>
          <w:trHeight w:val="390"/>
        </w:trPr>
        <w:tc>
          <w:tcPr>
            <w:tcW w:w="1320" w:type="dxa"/>
            <w:tcBorders>
              <w:top w:val="nil"/>
              <w:left w:val="single" w:sz="4" w:space="0" w:color="auto"/>
              <w:bottom w:val="single" w:sz="4" w:space="0" w:color="auto"/>
              <w:right w:val="single" w:sz="4" w:space="0" w:color="auto"/>
            </w:tcBorders>
            <w:shd w:val="clear" w:color="auto" w:fill="auto"/>
            <w:hideMark/>
          </w:tcPr>
          <w:p w14:paraId="2FE8400A"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6.1.prioritāte</w:t>
            </w:r>
          </w:p>
        </w:tc>
        <w:tc>
          <w:tcPr>
            <w:tcW w:w="1340" w:type="dxa"/>
            <w:tcBorders>
              <w:top w:val="nil"/>
              <w:left w:val="nil"/>
              <w:bottom w:val="single" w:sz="4" w:space="0" w:color="auto"/>
              <w:right w:val="single" w:sz="4" w:space="0" w:color="auto"/>
            </w:tcBorders>
            <w:shd w:val="clear" w:color="auto" w:fill="auto"/>
            <w:vAlign w:val="center"/>
            <w:hideMark/>
          </w:tcPr>
          <w:p w14:paraId="7BED8CE1" w14:textId="77777777" w:rsidR="009D3945" w:rsidRPr="009D3945" w:rsidRDefault="009D3945" w:rsidP="009D3945">
            <w:pPr>
              <w:spacing w:before="0" w:after="0"/>
              <w:jc w:val="left"/>
              <w:rPr>
                <w:rFonts w:eastAsia="Times New Roman"/>
                <w:sz w:val="20"/>
                <w:lang w:val="en-GB" w:eastAsia="en-GB" w:bidi="ne-NP"/>
              </w:rPr>
            </w:pPr>
            <w:r w:rsidRPr="009D3945">
              <w:rPr>
                <w:rFonts w:eastAsia="Times New Roman"/>
                <w:sz w:val="20"/>
                <w:lang w:val="en-GB" w:eastAsia="en-GB" w:bidi="ne-NP"/>
              </w:rPr>
              <w:t>TPF</w:t>
            </w:r>
          </w:p>
        </w:tc>
        <w:tc>
          <w:tcPr>
            <w:tcW w:w="1420" w:type="dxa"/>
            <w:tcBorders>
              <w:top w:val="nil"/>
              <w:left w:val="nil"/>
              <w:bottom w:val="single" w:sz="4" w:space="0" w:color="auto"/>
              <w:right w:val="single" w:sz="4" w:space="0" w:color="auto"/>
            </w:tcBorders>
            <w:shd w:val="clear" w:color="auto" w:fill="auto"/>
            <w:hideMark/>
          </w:tcPr>
          <w:p w14:paraId="63429E5B" w14:textId="77777777" w:rsidR="009D3945" w:rsidRPr="009D3945" w:rsidRDefault="009D3945" w:rsidP="009D3945">
            <w:pPr>
              <w:spacing w:before="0" w:after="0"/>
              <w:rPr>
                <w:rFonts w:eastAsia="Times New Roman"/>
                <w:sz w:val="20"/>
                <w:lang w:val="en-GB" w:eastAsia="en-GB" w:bidi="ne-NP"/>
              </w:rPr>
            </w:pPr>
            <w:r w:rsidRPr="009D3945">
              <w:rPr>
                <w:rFonts w:eastAsia="Times New Roman"/>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hideMark/>
          </w:tcPr>
          <w:p w14:paraId="0DC1E466"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09</w:t>
            </w:r>
          </w:p>
        </w:tc>
        <w:tc>
          <w:tcPr>
            <w:tcW w:w="1420" w:type="dxa"/>
            <w:tcBorders>
              <w:top w:val="nil"/>
              <w:left w:val="nil"/>
              <w:bottom w:val="single" w:sz="4" w:space="0" w:color="auto"/>
              <w:right w:val="single" w:sz="4" w:space="0" w:color="auto"/>
            </w:tcBorders>
            <w:shd w:val="clear" w:color="auto" w:fill="auto"/>
            <w:vAlign w:val="center"/>
            <w:hideMark/>
          </w:tcPr>
          <w:p w14:paraId="2CADC746" w14:textId="77777777" w:rsidR="009D3945" w:rsidRPr="009D3945" w:rsidRDefault="009D3945" w:rsidP="009D3945">
            <w:pPr>
              <w:spacing w:before="0" w:after="0"/>
              <w:jc w:val="center"/>
              <w:rPr>
                <w:rFonts w:eastAsia="Times New Roman"/>
                <w:sz w:val="20"/>
                <w:lang w:val="en-GB" w:eastAsia="en-GB" w:bidi="ne-NP"/>
              </w:rPr>
            </w:pPr>
            <w:r w:rsidRPr="009D3945">
              <w:rPr>
                <w:rFonts w:eastAsia="Times New Roman"/>
                <w:sz w:val="20"/>
                <w:lang w:val="en-GB" w:eastAsia="en-GB" w:bidi="ne-NP"/>
              </w:rPr>
              <w:t>183 942 546</w:t>
            </w:r>
          </w:p>
        </w:tc>
      </w:tr>
    </w:tbl>
    <w:p w14:paraId="0DB942FA" w14:textId="55C9A721" w:rsidR="00AC212B" w:rsidRPr="00930237" w:rsidRDefault="00AC212B" w:rsidP="00AC212B">
      <w:pPr>
        <w:spacing w:before="0" w:after="0"/>
        <w:rPr>
          <w:sz w:val="20"/>
        </w:rPr>
      </w:pPr>
    </w:p>
    <w:p w14:paraId="77D22C2D" w14:textId="5804D0CD" w:rsidR="00E508BF" w:rsidRDefault="00E508BF" w:rsidP="00AC212B">
      <w:pPr>
        <w:rPr>
          <w:rFonts w:eastAsia="Times New Roman"/>
          <w:sz w:val="20"/>
        </w:rPr>
      </w:pPr>
    </w:p>
    <w:p w14:paraId="4BCB26F5" w14:textId="7FCDDEE8" w:rsidR="00E508BF" w:rsidRPr="00E508BF" w:rsidRDefault="00F4152B" w:rsidP="00E508BF">
      <w:pPr>
        <w:rPr>
          <w:rFonts w:eastAsia="Times New Roman"/>
          <w:b/>
          <w:bCs/>
          <w:sz w:val="20"/>
        </w:rPr>
      </w:pPr>
      <w:r>
        <w:rPr>
          <w:rFonts w:eastAsia="Times New Roman"/>
          <w:b/>
          <w:bCs/>
          <w:sz w:val="20"/>
        </w:rPr>
        <w:t>1</w:t>
      </w:r>
      <w:r w:rsidR="00E508BF" w:rsidRPr="00E508BF">
        <w:rPr>
          <w:rFonts w:eastAsia="Times New Roman"/>
          <w:b/>
          <w:bCs/>
          <w:sz w:val="20"/>
        </w:rPr>
        <w:t>8.tabula</w:t>
      </w:r>
      <w:r w:rsidR="00D67F06">
        <w:rPr>
          <w:rFonts w:eastAsia="Times New Roman"/>
          <w:b/>
          <w:bCs/>
          <w:sz w:val="20"/>
        </w:rPr>
        <w:t xml:space="preserve"> (8)</w:t>
      </w:r>
      <w:r w:rsidR="00E508BF" w:rsidRPr="00E508BF">
        <w:rPr>
          <w:rFonts w:eastAsia="Times New Roman"/>
          <w:b/>
          <w:bCs/>
          <w:sz w:val="20"/>
        </w:rPr>
        <w:t xml:space="preserve"> Dimensija 6bis Dzimumu līdztiesība</w:t>
      </w:r>
      <w:r w:rsidR="00E508BF">
        <w:rPr>
          <w:rStyle w:val="FootnoteReference"/>
          <w:b/>
          <w:sz w:val="20"/>
        </w:rPr>
        <w:footnoteReference w:id="139"/>
      </w:r>
    </w:p>
    <w:tbl>
      <w:tblPr>
        <w:tblW w:w="6516" w:type="dxa"/>
        <w:tblLook w:val="04A0" w:firstRow="1" w:lastRow="0" w:firstColumn="1" w:lastColumn="0" w:noHBand="0" w:noVBand="1"/>
      </w:tblPr>
      <w:tblGrid>
        <w:gridCol w:w="1320"/>
        <w:gridCol w:w="1340"/>
        <w:gridCol w:w="1420"/>
        <w:gridCol w:w="960"/>
        <w:gridCol w:w="1476"/>
      </w:tblGrid>
      <w:tr w:rsidR="006867E1" w:rsidRPr="005F3BAD" w14:paraId="6962AFB5" w14:textId="77777777" w:rsidTr="009D3945">
        <w:trPr>
          <w:trHeight w:val="765"/>
          <w:tblHeader/>
        </w:trPr>
        <w:tc>
          <w:tcPr>
            <w:tcW w:w="13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7CE2E" w14:textId="77777777" w:rsidR="006867E1" w:rsidRPr="005F3BAD" w:rsidRDefault="006867E1" w:rsidP="006867E1">
            <w:pPr>
              <w:spacing w:before="0" w:after="0"/>
              <w:jc w:val="center"/>
              <w:rPr>
                <w:rFonts w:eastAsia="Times New Roman"/>
                <w:b/>
                <w:bCs/>
                <w:color w:val="000000"/>
                <w:sz w:val="20"/>
                <w:lang w:val="en-GB" w:eastAsia="en-GB" w:bidi="ne-NP"/>
              </w:rPr>
            </w:pPr>
            <w:r w:rsidRPr="005F3BAD">
              <w:rPr>
                <w:rFonts w:eastAsia="Times New Roman"/>
                <w:b/>
                <w:bCs/>
                <w:color w:val="000000"/>
                <w:sz w:val="20"/>
                <w:lang w:val="en-GB" w:eastAsia="en-GB" w:bidi="ne-NP"/>
              </w:rPr>
              <w:t xml:space="preserve">Prioritātes Nr. </w:t>
            </w:r>
          </w:p>
        </w:tc>
        <w:tc>
          <w:tcPr>
            <w:tcW w:w="1340" w:type="dxa"/>
            <w:tcBorders>
              <w:top w:val="single" w:sz="4" w:space="0" w:color="auto"/>
              <w:left w:val="nil"/>
              <w:bottom w:val="single" w:sz="4" w:space="0" w:color="auto"/>
              <w:right w:val="single" w:sz="4" w:space="0" w:color="auto"/>
            </w:tcBorders>
            <w:shd w:val="clear" w:color="000000" w:fill="D9D9D9"/>
            <w:vAlign w:val="center"/>
            <w:hideMark/>
          </w:tcPr>
          <w:p w14:paraId="2FFDBCB6" w14:textId="77777777" w:rsidR="006867E1" w:rsidRPr="005F3BAD" w:rsidRDefault="006867E1" w:rsidP="006867E1">
            <w:pPr>
              <w:spacing w:before="0" w:after="0"/>
              <w:jc w:val="center"/>
              <w:rPr>
                <w:rFonts w:eastAsia="Times New Roman"/>
                <w:b/>
                <w:bCs/>
                <w:color w:val="000000"/>
                <w:sz w:val="20"/>
                <w:lang w:val="en-GB" w:eastAsia="en-GB" w:bidi="ne-NP"/>
              </w:rPr>
            </w:pPr>
            <w:r w:rsidRPr="005F3BAD">
              <w:rPr>
                <w:rFonts w:eastAsia="Times New Roman"/>
                <w:b/>
                <w:bCs/>
                <w:color w:val="000000"/>
                <w:sz w:val="20"/>
                <w:lang w:val="en-GB" w:eastAsia="en-GB" w:bidi="ne-NP"/>
              </w:rPr>
              <w:t>Fonds</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343D71A7" w14:textId="77777777" w:rsidR="006867E1" w:rsidRPr="005F3BAD" w:rsidRDefault="006867E1" w:rsidP="006867E1">
            <w:pPr>
              <w:spacing w:before="0" w:after="0"/>
              <w:jc w:val="center"/>
              <w:rPr>
                <w:rFonts w:eastAsia="Times New Roman"/>
                <w:b/>
                <w:bCs/>
                <w:color w:val="000000"/>
                <w:sz w:val="20"/>
                <w:lang w:val="en-GB" w:eastAsia="en-GB" w:bidi="ne-NP"/>
              </w:rPr>
            </w:pPr>
            <w:r w:rsidRPr="005F3BAD">
              <w:rPr>
                <w:rFonts w:eastAsia="Times New Roman"/>
                <w:b/>
                <w:bCs/>
                <w:color w:val="000000"/>
                <w:sz w:val="20"/>
                <w:lang w:val="en-GB" w:eastAsia="en-GB" w:bidi="ne-NP"/>
              </w:rPr>
              <w:t xml:space="preserve">Reģiona kategorija </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343DDDD9" w14:textId="77777777" w:rsidR="006867E1" w:rsidRPr="005F3BAD" w:rsidRDefault="006867E1" w:rsidP="006867E1">
            <w:pPr>
              <w:spacing w:before="0" w:after="0"/>
              <w:jc w:val="center"/>
              <w:rPr>
                <w:rFonts w:eastAsia="Times New Roman"/>
                <w:b/>
                <w:bCs/>
                <w:color w:val="000000"/>
                <w:sz w:val="20"/>
                <w:lang w:val="en-GB" w:eastAsia="en-GB" w:bidi="ne-NP"/>
              </w:rPr>
            </w:pPr>
            <w:r w:rsidRPr="005F3BAD">
              <w:rPr>
                <w:rFonts w:eastAsia="Times New Roman"/>
                <w:b/>
                <w:bCs/>
                <w:color w:val="000000"/>
                <w:sz w:val="20"/>
                <w:lang w:val="en-GB" w:eastAsia="en-GB" w:bidi="ne-NP"/>
              </w:rPr>
              <w:t xml:space="preserve">Kods </w:t>
            </w:r>
          </w:p>
        </w:tc>
        <w:tc>
          <w:tcPr>
            <w:tcW w:w="14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5C8F4C2" w14:textId="2FC76DE5" w:rsidR="006867E1" w:rsidRPr="009D3945" w:rsidRDefault="006867E1" w:rsidP="006867E1">
            <w:pPr>
              <w:spacing w:before="0" w:after="0"/>
              <w:jc w:val="center"/>
              <w:rPr>
                <w:rFonts w:eastAsia="Times New Roman"/>
                <w:b/>
                <w:bCs/>
                <w:color w:val="000000"/>
                <w:sz w:val="20"/>
                <w:lang w:val="en-GB" w:eastAsia="en-GB" w:bidi="ne-NP"/>
              </w:rPr>
            </w:pPr>
            <w:r w:rsidRPr="009D3945">
              <w:rPr>
                <w:rFonts w:eastAsia="Times New Roman"/>
                <w:b/>
                <w:bCs/>
                <w:color w:val="000000"/>
                <w:sz w:val="20"/>
                <w:lang w:val="en-GB" w:eastAsia="en-GB" w:bidi="ne-NP"/>
              </w:rPr>
              <w:t>Apjoms (EUR)</w:t>
            </w:r>
          </w:p>
        </w:tc>
      </w:tr>
      <w:tr w:rsidR="009D3945" w:rsidRPr="005F3BAD" w14:paraId="284A466B"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9FBAEEA" w14:textId="77777777" w:rsidR="009D3945" w:rsidRPr="005F3BAD" w:rsidRDefault="009D3945" w:rsidP="009D3945">
            <w:pPr>
              <w:spacing w:before="0" w:after="0"/>
              <w:rPr>
                <w:rFonts w:eastAsia="Times New Roman"/>
                <w:color w:val="000000"/>
                <w:sz w:val="20"/>
                <w:lang w:val="en-GB" w:eastAsia="en-GB" w:bidi="ne-NP"/>
              </w:rPr>
            </w:pPr>
            <w:r w:rsidRPr="005F3BAD">
              <w:rPr>
                <w:rFonts w:eastAsia="Times New Roman"/>
                <w:color w:val="000000"/>
                <w:sz w:val="20"/>
                <w:lang w:val="en-GB" w:eastAsia="en-GB" w:bidi="ne-NP"/>
              </w:rPr>
              <w:t>1.1.prioritāte</w:t>
            </w:r>
          </w:p>
        </w:tc>
        <w:tc>
          <w:tcPr>
            <w:tcW w:w="1340" w:type="dxa"/>
            <w:tcBorders>
              <w:top w:val="nil"/>
              <w:left w:val="nil"/>
              <w:bottom w:val="single" w:sz="4" w:space="0" w:color="auto"/>
              <w:right w:val="single" w:sz="4" w:space="0" w:color="auto"/>
            </w:tcBorders>
            <w:shd w:val="clear" w:color="auto" w:fill="auto"/>
            <w:vAlign w:val="center"/>
            <w:hideMark/>
          </w:tcPr>
          <w:p w14:paraId="1771F9AA" w14:textId="77777777" w:rsidR="009D3945" w:rsidRPr="005F3BAD" w:rsidRDefault="009D3945" w:rsidP="009D3945">
            <w:pPr>
              <w:spacing w:before="0" w:after="0"/>
              <w:rPr>
                <w:rFonts w:eastAsia="Times New Roman"/>
                <w:color w:val="000000"/>
                <w:sz w:val="20"/>
                <w:lang w:val="en-GB" w:eastAsia="en-GB" w:bidi="ne-NP"/>
              </w:rPr>
            </w:pPr>
            <w:r w:rsidRPr="005F3BAD">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0A839A25" w14:textId="77777777" w:rsidR="009D3945" w:rsidRPr="005F3BAD" w:rsidRDefault="009D3945" w:rsidP="009D3945">
            <w:pPr>
              <w:spacing w:before="0" w:after="0"/>
              <w:rPr>
                <w:rFonts w:eastAsia="Times New Roman"/>
                <w:color w:val="000000"/>
                <w:sz w:val="20"/>
                <w:lang w:val="en-GB" w:eastAsia="en-GB" w:bidi="ne-NP"/>
              </w:rPr>
            </w:pPr>
            <w:r w:rsidRPr="005F3BAD">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75BD376F" w14:textId="77777777" w:rsidR="009D3945" w:rsidRPr="005F3BAD" w:rsidRDefault="009D3945" w:rsidP="009D3945">
            <w:pPr>
              <w:spacing w:before="0" w:after="0"/>
              <w:jc w:val="center"/>
              <w:rPr>
                <w:rFonts w:eastAsia="Times New Roman"/>
                <w:color w:val="000000"/>
                <w:sz w:val="20"/>
                <w:lang w:val="en-GB" w:eastAsia="en-GB" w:bidi="ne-NP"/>
              </w:rPr>
            </w:pPr>
            <w:r w:rsidRPr="005F3BAD">
              <w:rPr>
                <w:rFonts w:eastAsia="Times New Roman"/>
                <w:color w:val="000000"/>
                <w:sz w:val="20"/>
                <w:lang w:val="en-GB" w:eastAsia="en-GB" w:bidi="ne-NP"/>
              </w:rPr>
              <w:t>03</w:t>
            </w:r>
          </w:p>
        </w:tc>
        <w:tc>
          <w:tcPr>
            <w:tcW w:w="1476" w:type="dxa"/>
            <w:tcBorders>
              <w:top w:val="nil"/>
              <w:left w:val="nil"/>
              <w:bottom w:val="single" w:sz="4" w:space="0" w:color="auto"/>
              <w:right w:val="single" w:sz="4" w:space="0" w:color="auto"/>
            </w:tcBorders>
            <w:shd w:val="clear" w:color="auto" w:fill="auto"/>
            <w:hideMark/>
          </w:tcPr>
          <w:p w14:paraId="65B9E9C6" w14:textId="681657E2" w:rsidR="009D3945" w:rsidRPr="009D3945" w:rsidRDefault="009D3945" w:rsidP="009D3945">
            <w:pPr>
              <w:spacing w:before="0" w:after="0"/>
              <w:jc w:val="right"/>
              <w:rPr>
                <w:rFonts w:eastAsia="Times New Roman"/>
                <w:color w:val="000000"/>
                <w:sz w:val="20"/>
                <w:lang w:val="en-GB" w:eastAsia="en-GB" w:bidi="ne-NP"/>
              </w:rPr>
            </w:pPr>
            <w:r w:rsidRPr="009D3945">
              <w:rPr>
                <w:sz w:val="20"/>
              </w:rPr>
              <w:t>271 879 037</w:t>
            </w:r>
          </w:p>
        </w:tc>
      </w:tr>
      <w:tr w:rsidR="009D3945" w:rsidRPr="005F3BAD" w14:paraId="36CAF516"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47C4984" w14:textId="77777777" w:rsidR="009D3945" w:rsidRPr="005F3BAD" w:rsidRDefault="009D3945" w:rsidP="009D3945">
            <w:pPr>
              <w:spacing w:before="0" w:after="0"/>
              <w:rPr>
                <w:rFonts w:eastAsia="Times New Roman"/>
                <w:color w:val="000000"/>
                <w:sz w:val="20"/>
                <w:lang w:val="en-GB" w:eastAsia="en-GB" w:bidi="ne-NP"/>
              </w:rPr>
            </w:pPr>
            <w:r w:rsidRPr="005F3BAD">
              <w:rPr>
                <w:rFonts w:eastAsia="Times New Roman"/>
                <w:color w:val="000000"/>
                <w:sz w:val="20"/>
                <w:lang w:val="en-GB" w:eastAsia="en-GB" w:bidi="ne-NP"/>
              </w:rPr>
              <w:t>1.2.prioritāte</w:t>
            </w:r>
          </w:p>
        </w:tc>
        <w:tc>
          <w:tcPr>
            <w:tcW w:w="1340" w:type="dxa"/>
            <w:tcBorders>
              <w:top w:val="nil"/>
              <w:left w:val="nil"/>
              <w:bottom w:val="single" w:sz="4" w:space="0" w:color="auto"/>
              <w:right w:val="single" w:sz="4" w:space="0" w:color="auto"/>
            </w:tcBorders>
            <w:shd w:val="clear" w:color="auto" w:fill="auto"/>
            <w:vAlign w:val="center"/>
            <w:hideMark/>
          </w:tcPr>
          <w:p w14:paraId="6F1D3434" w14:textId="77777777" w:rsidR="009D3945" w:rsidRPr="005F3BAD" w:rsidRDefault="009D3945" w:rsidP="009D3945">
            <w:pPr>
              <w:spacing w:before="0" w:after="0"/>
              <w:rPr>
                <w:rFonts w:eastAsia="Times New Roman"/>
                <w:color w:val="000000"/>
                <w:sz w:val="20"/>
                <w:lang w:val="en-GB" w:eastAsia="en-GB" w:bidi="ne-NP"/>
              </w:rPr>
            </w:pPr>
            <w:r w:rsidRPr="005F3BAD">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4E689445" w14:textId="77777777" w:rsidR="009D3945" w:rsidRPr="005F3BAD" w:rsidRDefault="009D3945" w:rsidP="009D3945">
            <w:pPr>
              <w:spacing w:before="0" w:after="0"/>
              <w:rPr>
                <w:rFonts w:eastAsia="Times New Roman"/>
                <w:color w:val="000000"/>
                <w:sz w:val="20"/>
                <w:lang w:val="en-GB" w:eastAsia="en-GB" w:bidi="ne-NP"/>
              </w:rPr>
            </w:pPr>
            <w:r w:rsidRPr="005F3BAD">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1D0CEBC4" w14:textId="77777777" w:rsidR="009D3945" w:rsidRPr="005F3BAD" w:rsidRDefault="009D3945" w:rsidP="009D3945">
            <w:pPr>
              <w:spacing w:before="0" w:after="0"/>
              <w:jc w:val="center"/>
              <w:rPr>
                <w:rFonts w:eastAsia="Times New Roman"/>
                <w:color w:val="000000"/>
                <w:sz w:val="20"/>
                <w:lang w:val="en-GB" w:eastAsia="en-GB" w:bidi="ne-NP"/>
              </w:rPr>
            </w:pPr>
            <w:r w:rsidRPr="005F3BAD">
              <w:rPr>
                <w:rFonts w:eastAsia="Times New Roman"/>
                <w:color w:val="000000"/>
                <w:sz w:val="20"/>
                <w:lang w:val="en-GB" w:eastAsia="en-GB" w:bidi="ne-NP"/>
              </w:rPr>
              <w:t>03</w:t>
            </w:r>
          </w:p>
        </w:tc>
        <w:tc>
          <w:tcPr>
            <w:tcW w:w="1476" w:type="dxa"/>
            <w:tcBorders>
              <w:top w:val="nil"/>
              <w:left w:val="nil"/>
              <w:bottom w:val="single" w:sz="4" w:space="0" w:color="auto"/>
              <w:right w:val="single" w:sz="4" w:space="0" w:color="auto"/>
            </w:tcBorders>
            <w:shd w:val="clear" w:color="auto" w:fill="auto"/>
            <w:hideMark/>
          </w:tcPr>
          <w:p w14:paraId="2F9D0B65" w14:textId="10571CD5" w:rsidR="009D3945" w:rsidRPr="009D3945" w:rsidRDefault="009D3945" w:rsidP="009D3945">
            <w:pPr>
              <w:spacing w:before="0" w:after="0"/>
              <w:jc w:val="right"/>
              <w:rPr>
                <w:rFonts w:eastAsia="Times New Roman"/>
                <w:color w:val="000000"/>
                <w:sz w:val="20"/>
                <w:lang w:val="en-GB" w:eastAsia="en-GB" w:bidi="ne-NP"/>
              </w:rPr>
            </w:pPr>
            <w:r w:rsidRPr="009D3945">
              <w:rPr>
                <w:sz w:val="20"/>
              </w:rPr>
              <w:t>369 380 250</w:t>
            </w:r>
          </w:p>
        </w:tc>
      </w:tr>
      <w:tr w:rsidR="009D3945" w:rsidRPr="005F3BAD" w14:paraId="70423114"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3292D34" w14:textId="77777777" w:rsidR="009D3945" w:rsidRPr="005F3BAD" w:rsidRDefault="009D3945" w:rsidP="009D3945">
            <w:pPr>
              <w:spacing w:before="0" w:after="0"/>
              <w:rPr>
                <w:rFonts w:eastAsia="Times New Roman"/>
                <w:color w:val="000000"/>
                <w:sz w:val="20"/>
                <w:lang w:val="en-GB" w:eastAsia="en-GB" w:bidi="ne-NP"/>
              </w:rPr>
            </w:pPr>
            <w:r w:rsidRPr="005F3BAD">
              <w:rPr>
                <w:rFonts w:eastAsia="Times New Roman"/>
                <w:color w:val="000000"/>
                <w:sz w:val="20"/>
                <w:lang w:val="en-GB" w:eastAsia="en-GB" w:bidi="ne-NP"/>
              </w:rPr>
              <w:t>1.3.prioritāte</w:t>
            </w:r>
          </w:p>
        </w:tc>
        <w:tc>
          <w:tcPr>
            <w:tcW w:w="1340" w:type="dxa"/>
            <w:tcBorders>
              <w:top w:val="nil"/>
              <w:left w:val="nil"/>
              <w:bottom w:val="single" w:sz="4" w:space="0" w:color="auto"/>
              <w:right w:val="single" w:sz="4" w:space="0" w:color="auto"/>
            </w:tcBorders>
            <w:shd w:val="clear" w:color="auto" w:fill="auto"/>
            <w:vAlign w:val="center"/>
            <w:hideMark/>
          </w:tcPr>
          <w:p w14:paraId="7DB7E00E" w14:textId="77777777" w:rsidR="009D3945" w:rsidRPr="005F3BAD" w:rsidRDefault="009D3945" w:rsidP="009D3945">
            <w:pPr>
              <w:spacing w:before="0" w:after="0"/>
              <w:rPr>
                <w:rFonts w:eastAsia="Times New Roman"/>
                <w:color w:val="000000"/>
                <w:sz w:val="20"/>
                <w:lang w:val="en-GB" w:eastAsia="en-GB" w:bidi="ne-NP"/>
              </w:rPr>
            </w:pPr>
            <w:r w:rsidRPr="005F3BAD">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121B73D2" w14:textId="77777777" w:rsidR="009D3945" w:rsidRPr="005F3BAD" w:rsidRDefault="009D3945" w:rsidP="009D3945">
            <w:pPr>
              <w:spacing w:before="0" w:after="0"/>
              <w:rPr>
                <w:rFonts w:eastAsia="Times New Roman"/>
                <w:color w:val="000000"/>
                <w:sz w:val="20"/>
                <w:lang w:val="en-GB" w:eastAsia="en-GB" w:bidi="ne-NP"/>
              </w:rPr>
            </w:pPr>
            <w:r w:rsidRPr="005F3BAD">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42370725" w14:textId="77777777" w:rsidR="009D3945" w:rsidRPr="005F3BAD" w:rsidRDefault="009D3945" w:rsidP="009D3945">
            <w:pPr>
              <w:spacing w:before="0" w:after="0"/>
              <w:jc w:val="center"/>
              <w:rPr>
                <w:rFonts w:eastAsia="Times New Roman"/>
                <w:color w:val="000000"/>
                <w:sz w:val="20"/>
                <w:lang w:val="en-GB" w:eastAsia="en-GB" w:bidi="ne-NP"/>
              </w:rPr>
            </w:pPr>
            <w:r w:rsidRPr="005F3BAD">
              <w:rPr>
                <w:rFonts w:eastAsia="Times New Roman"/>
                <w:color w:val="000000"/>
                <w:sz w:val="20"/>
                <w:lang w:val="en-GB" w:eastAsia="en-GB" w:bidi="ne-NP"/>
              </w:rPr>
              <w:t>03</w:t>
            </w:r>
          </w:p>
        </w:tc>
        <w:tc>
          <w:tcPr>
            <w:tcW w:w="1476" w:type="dxa"/>
            <w:tcBorders>
              <w:top w:val="nil"/>
              <w:left w:val="nil"/>
              <w:bottom w:val="single" w:sz="4" w:space="0" w:color="auto"/>
              <w:right w:val="single" w:sz="4" w:space="0" w:color="auto"/>
            </w:tcBorders>
            <w:shd w:val="clear" w:color="auto" w:fill="auto"/>
            <w:hideMark/>
          </w:tcPr>
          <w:p w14:paraId="578A5094" w14:textId="20E27100" w:rsidR="009D3945" w:rsidRPr="009D3945" w:rsidRDefault="009D3945" w:rsidP="009D3945">
            <w:pPr>
              <w:spacing w:before="0" w:after="0"/>
              <w:jc w:val="right"/>
              <w:rPr>
                <w:rFonts w:eastAsia="Times New Roman"/>
                <w:color w:val="000000"/>
                <w:sz w:val="20"/>
                <w:lang w:val="en-GB" w:eastAsia="en-GB" w:bidi="ne-NP"/>
              </w:rPr>
            </w:pPr>
            <w:r w:rsidRPr="009D3945">
              <w:rPr>
                <w:sz w:val="20"/>
              </w:rPr>
              <w:t>152 022 491</w:t>
            </w:r>
          </w:p>
        </w:tc>
      </w:tr>
      <w:tr w:rsidR="009D3945" w:rsidRPr="005F3BAD" w14:paraId="5E1CB438"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3661D203" w14:textId="77777777" w:rsidR="009D3945" w:rsidRPr="005F3BAD" w:rsidRDefault="009D3945" w:rsidP="009D3945">
            <w:pPr>
              <w:spacing w:before="0" w:after="0"/>
              <w:rPr>
                <w:rFonts w:eastAsia="Times New Roman"/>
                <w:sz w:val="20"/>
                <w:lang w:val="en-GB" w:eastAsia="en-GB" w:bidi="ne-NP"/>
              </w:rPr>
            </w:pPr>
            <w:r w:rsidRPr="005F3BAD">
              <w:rPr>
                <w:rFonts w:eastAsia="Times New Roman"/>
                <w:sz w:val="20"/>
                <w:lang w:val="en-GB" w:eastAsia="en-GB" w:bidi="ne-NP"/>
              </w:rPr>
              <w:t>1.4.prioritāte</w:t>
            </w:r>
          </w:p>
        </w:tc>
        <w:tc>
          <w:tcPr>
            <w:tcW w:w="1340" w:type="dxa"/>
            <w:tcBorders>
              <w:top w:val="nil"/>
              <w:left w:val="nil"/>
              <w:bottom w:val="single" w:sz="4" w:space="0" w:color="auto"/>
              <w:right w:val="single" w:sz="4" w:space="0" w:color="auto"/>
            </w:tcBorders>
            <w:shd w:val="clear" w:color="auto" w:fill="auto"/>
            <w:vAlign w:val="center"/>
            <w:hideMark/>
          </w:tcPr>
          <w:p w14:paraId="61C29FC5" w14:textId="77777777" w:rsidR="009D3945" w:rsidRPr="005F3BAD" w:rsidRDefault="009D3945" w:rsidP="009D3945">
            <w:pPr>
              <w:spacing w:before="0" w:after="0"/>
              <w:jc w:val="left"/>
              <w:rPr>
                <w:rFonts w:eastAsia="Times New Roman"/>
                <w:color w:val="000000"/>
                <w:sz w:val="20"/>
                <w:lang w:val="en-GB" w:eastAsia="en-GB" w:bidi="ne-NP"/>
              </w:rPr>
            </w:pPr>
            <w:r w:rsidRPr="005F3BAD">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02782AE0" w14:textId="77777777" w:rsidR="009D3945" w:rsidRPr="005F3BAD" w:rsidRDefault="009D3945" w:rsidP="009D3945">
            <w:pPr>
              <w:spacing w:before="0" w:after="0"/>
              <w:rPr>
                <w:rFonts w:eastAsia="Times New Roman"/>
                <w:color w:val="000000"/>
                <w:sz w:val="20"/>
                <w:lang w:val="en-GB" w:eastAsia="en-GB" w:bidi="ne-NP"/>
              </w:rPr>
            </w:pPr>
            <w:r w:rsidRPr="005F3BAD">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571192D7" w14:textId="77777777" w:rsidR="009D3945" w:rsidRPr="005F3BAD" w:rsidRDefault="009D3945" w:rsidP="009D3945">
            <w:pPr>
              <w:spacing w:before="0" w:after="0"/>
              <w:jc w:val="center"/>
              <w:rPr>
                <w:rFonts w:eastAsia="Times New Roman"/>
                <w:color w:val="000000"/>
                <w:sz w:val="20"/>
                <w:lang w:val="en-GB" w:eastAsia="en-GB" w:bidi="ne-NP"/>
              </w:rPr>
            </w:pPr>
            <w:r w:rsidRPr="005F3BAD">
              <w:rPr>
                <w:rFonts w:eastAsia="Times New Roman"/>
                <w:color w:val="000000"/>
                <w:sz w:val="20"/>
                <w:lang w:val="en-GB" w:eastAsia="en-GB" w:bidi="ne-NP"/>
              </w:rPr>
              <w:t>03</w:t>
            </w:r>
          </w:p>
        </w:tc>
        <w:tc>
          <w:tcPr>
            <w:tcW w:w="1476" w:type="dxa"/>
            <w:tcBorders>
              <w:top w:val="nil"/>
              <w:left w:val="nil"/>
              <w:bottom w:val="single" w:sz="4" w:space="0" w:color="auto"/>
              <w:right w:val="single" w:sz="4" w:space="0" w:color="auto"/>
            </w:tcBorders>
            <w:shd w:val="clear" w:color="auto" w:fill="auto"/>
            <w:hideMark/>
          </w:tcPr>
          <w:p w14:paraId="2BB1C699" w14:textId="23ECA74C" w:rsidR="009D3945" w:rsidRPr="009D3945" w:rsidRDefault="009D3945" w:rsidP="009D3945">
            <w:pPr>
              <w:spacing w:before="0" w:after="0"/>
              <w:jc w:val="right"/>
              <w:rPr>
                <w:rFonts w:eastAsia="Times New Roman"/>
                <w:color w:val="000000"/>
                <w:sz w:val="20"/>
                <w:lang w:val="en-GB" w:eastAsia="en-GB" w:bidi="ne-NP"/>
              </w:rPr>
            </w:pPr>
            <w:r w:rsidRPr="009D3945">
              <w:rPr>
                <w:sz w:val="20"/>
              </w:rPr>
              <w:t>32 907 750</w:t>
            </w:r>
          </w:p>
        </w:tc>
      </w:tr>
      <w:tr w:rsidR="009D3945" w:rsidRPr="005F3BAD" w14:paraId="7B35F0C8"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E3AC3FB" w14:textId="77777777" w:rsidR="009D3945" w:rsidRPr="005F3BAD" w:rsidRDefault="009D3945" w:rsidP="009D3945">
            <w:pPr>
              <w:spacing w:before="0" w:after="0"/>
              <w:rPr>
                <w:rFonts w:eastAsia="Times New Roman"/>
                <w:color w:val="000000"/>
                <w:sz w:val="20"/>
                <w:lang w:val="en-GB" w:eastAsia="en-GB" w:bidi="ne-NP"/>
              </w:rPr>
            </w:pPr>
            <w:r w:rsidRPr="005F3BAD">
              <w:rPr>
                <w:rFonts w:eastAsia="Times New Roman"/>
                <w:color w:val="000000"/>
                <w:sz w:val="20"/>
                <w:lang w:val="en-GB" w:eastAsia="en-GB" w:bidi="ne-NP"/>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7F7D1C6B" w14:textId="77777777" w:rsidR="009D3945" w:rsidRPr="005F3BAD" w:rsidRDefault="009D3945" w:rsidP="009D3945">
            <w:pPr>
              <w:spacing w:before="0" w:after="0"/>
              <w:rPr>
                <w:rFonts w:eastAsia="Times New Roman"/>
                <w:color w:val="000000"/>
                <w:sz w:val="20"/>
                <w:lang w:val="en-GB" w:eastAsia="en-GB" w:bidi="ne-NP"/>
              </w:rPr>
            </w:pPr>
            <w:r w:rsidRPr="005F3BAD">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7DB82376" w14:textId="77777777" w:rsidR="009D3945" w:rsidRPr="005F3BAD" w:rsidRDefault="009D3945" w:rsidP="009D3945">
            <w:pPr>
              <w:spacing w:before="0" w:after="0"/>
              <w:rPr>
                <w:rFonts w:eastAsia="Times New Roman"/>
                <w:color w:val="000000"/>
                <w:sz w:val="20"/>
                <w:lang w:val="en-GB" w:eastAsia="en-GB" w:bidi="ne-NP"/>
              </w:rPr>
            </w:pPr>
            <w:r w:rsidRPr="005F3BAD">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1C3569F8" w14:textId="77777777" w:rsidR="009D3945" w:rsidRPr="005F3BAD" w:rsidRDefault="009D3945" w:rsidP="009D3945">
            <w:pPr>
              <w:spacing w:before="0" w:after="0"/>
              <w:jc w:val="center"/>
              <w:rPr>
                <w:rFonts w:eastAsia="Times New Roman"/>
                <w:color w:val="000000"/>
                <w:sz w:val="20"/>
                <w:lang w:val="en-GB" w:eastAsia="en-GB" w:bidi="ne-NP"/>
              </w:rPr>
            </w:pPr>
            <w:r w:rsidRPr="005F3BAD">
              <w:rPr>
                <w:rFonts w:eastAsia="Times New Roman"/>
                <w:color w:val="000000"/>
                <w:sz w:val="20"/>
                <w:lang w:val="en-GB" w:eastAsia="en-GB" w:bidi="ne-NP"/>
              </w:rPr>
              <w:t>03</w:t>
            </w:r>
          </w:p>
        </w:tc>
        <w:tc>
          <w:tcPr>
            <w:tcW w:w="1476" w:type="dxa"/>
            <w:tcBorders>
              <w:top w:val="nil"/>
              <w:left w:val="nil"/>
              <w:bottom w:val="single" w:sz="4" w:space="0" w:color="auto"/>
              <w:right w:val="single" w:sz="4" w:space="0" w:color="auto"/>
            </w:tcBorders>
            <w:shd w:val="clear" w:color="auto" w:fill="auto"/>
            <w:hideMark/>
          </w:tcPr>
          <w:p w14:paraId="2D92FE63" w14:textId="10621D78" w:rsidR="009D3945" w:rsidRPr="009D3945" w:rsidRDefault="009D3945" w:rsidP="009D3945">
            <w:pPr>
              <w:spacing w:before="0" w:after="0"/>
              <w:jc w:val="right"/>
              <w:rPr>
                <w:rFonts w:eastAsia="Times New Roman"/>
                <w:color w:val="000000"/>
                <w:sz w:val="20"/>
                <w:lang w:val="en-GB" w:eastAsia="en-GB" w:bidi="ne-NP"/>
              </w:rPr>
            </w:pPr>
            <w:r w:rsidRPr="009D3945">
              <w:rPr>
                <w:sz w:val="20"/>
              </w:rPr>
              <w:t>544 559 342</w:t>
            </w:r>
          </w:p>
        </w:tc>
      </w:tr>
      <w:tr w:rsidR="009D3945" w:rsidRPr="005F3BAD" w14:paraId="0107554B"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F631A2C" w14:textId="77777777" w:rsidR="009D3945" w:rsidRPr="005F3BAD" w:rsidRDefault="009D3945" w:rsidP="009D3945">
            <w:pPr>
              <w:spacing w:before="0" w:after="0"/>
              <w:rPr>
                <w:rFonts w:eastAsia="Times New Roman"/>
                <w:color w:val="000000"/>
                <w:sz w:val="20"/>
                <w:lang w:val="en-GB" w:eastAsia="en-GB" w:bidi="ne-NP"/>
              </w:rPr>
            </w:pPr>
            <w:r w:rsidRPr="005F3BAD">
              <w:rPr>
                <w:rFonts w:eastAsia="Times New Roman"/>
                <w:color w:val="000000"/>
                <w:sz w:val="20"/>
                <w:lang w:val="en-GB" w:eastAsia="en-GB" w:bidi="ne-NP"/>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77EFEB03" w14:textId="77777777" w:rsidR="009D3945" w:rsidRPr="005F3BAD" w:rsidRDefault="009D3945" w:rsidP="009D3945">
            <w:pPr>
              <w:spacing w:before="0" w:after="0"/>
              <w:rPr>
                <w:rFonts w:eastAsia="Times New Roman"/>
                <w:color w:val="000000"/>
                <w:sz w:val="20"/>
                <w:lang w:val="en-GB" w:eastAsia="en-GB" w:bidi="ne-NP"/>
              </w:rPr>
            </w:pPr>
            <w:r w:rsidRPr="005F3BAD">
              <w:rPr>
                <w:rFonts w:eastAsia="Times New Roman"/>
                <w:color w:val="000000"/>
                <w:sz w:val="20"/>
                <w:lang w:val="en-GB" w:eastAsia="en-GB" w:bidi="ne-NP"/>
              </w:rPr>
              <w:t>KF</w:t>
            </w:r>
          </w:p>
        </w:tc>
        <w:tc>
          <w:tcPr>
            <w:tcW w:w="1420" w:type="dxa"/>
            <w:tcBorders>
              <w:top w:val="nil"/>
              <w:left w:val="nil"/>
              <w:bottom w:val="single" w:sz="4" w:space="0" w:color="auto"/>
              <w:right w:val="single" w:sz="4" w:space="0" w:color="auto"/>
            </w:tcBorders>
            <w:shd w:val="clear" w:color="auto" w:fill="auto"/>
            <w:vAlign w:val="center"/>
            <w:hideMark/>
          </w:tcPr>
          <w:p w14:paraId="4A17DAE9" w14:textId="77777777" w:rsidR="009D3945" w:rsidRPr="005F3BAD" w:rsidRDefault="009D3945" w:rsidP="009D3945">
            <w:pPr>
              <w:spacing w:before="0" w:after="0"/>
              <w:rPr>
                <w:rFonts w:eastAsia="Times New Roman"/>
                <w:color w:val="000000"/>
                <w:sz w:val="20"/>
                <w:lang w:val="en-GB" w:eastAsia="en-GB" w:bidi="ne-NP"/>
              </w:rPr>
            </w:pPr>
            <w:r w:rsidRPr="005F3BAD">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1035EA33" w14:textId="77777777" w:rsidR="009D3945" w:rsidRPr="005F3BAD" w:rsidRDefault="009D3945" w:rsidP="009D3945">
            <w:pPr>
              <w:spacing w:before="0" w:after="0"/>
              <w:jc w:val="center"/>
              <w:rPr>
                <w:rFonts w:eastAsia="Times New Roman"/>
                <w:color w:val="000000"/>
                <w:sz w:val="20"/>
                <w:lang w:val="en-GB" w:eastAsia="en-GB" w:bidi="ne-NP"/>
              </w:rPr>
            </w:pPr>
            <w:r w:rsidRPr="005F3BAD">
              <w:rPr>
                <w:rFonts w:eastAsia="Times New Roman"/>
                <w:color w:val="000000"/>
                <w:sz w:val="20"/>
                <w:lang w:val="en-GB" w:eastAsia="en-GB" w:bidi="ne-NP"/>
              </w:rPr>
              <w:t>03</w:t>
            </w:r>
          </w:p>
        </w:tc>
        <w:tc>
          <w:tcPr>
            <w:tcW w:w="1476" w:type="dxa"/>
            <w:tcBorders>
              <w:top w:val="nil"/>
              <w:left w:val="nil"/>
              <w:bottom w:val="single" w:sz="4" w:space="0" w:color="auto"/>
              <w:right w:val="single" w:sz="4" w:space="0" w:color="auto"/>
            </w:tcBorders>
            <w:shd w:val="clear" w:color="auto" w:fill="auto"/>
            <w:hideMark/>
          </w:tcPr>
          <w:p w14:paraId="2B1C8AD8" w14:textId="765B3146" w:rsidR="009D3945" w:rsidRPr="009D3945" w:rsidRDefault="009D3945" w:rsidP="009D3945">
            <w:pPr>
              <w:spacing w:before="0" w:after="0"/>
              <w:jc w:val="right"/>
              <w:rPr>
                <w:rFonts w:eastAsia="Times New Roman"/>
                <w:color w:val="000000"/>
                <w:sz w:val="20"/>
                <w:lang w:val="en-GB" w:eastAsia="en-GB" w:bidi="ne-NP"/>
              </w:rPr>
            </w:pPr>
            <w:r w:rsidRPr="009D3945">
              <w:rPr>
                <w:sz w:val="20"/>
              </w:rPr>
              <w:t>38 454 000</w:t>
            </w:r>
          </w:p>
        </w:tc>
      </w:tr>
      <w:tr w:rsidR="009D3945" w:rsidRPr="005F3BAD" w14:paraId="05AF09B2"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115FC30A" w14:textId="77777777" w:rsidR="009D3945" w:rsidRPr="005F3BAD" w:rsidRDefault="009D3945" w:rsidP="009D3945">
            <w:pPr>
              <w:spacing w:before="0" w:after="0"/>
              <w:rPr>
                <w:rFonts w:eastAsia="Times New Roman"/>
                <w:color w:val="000000"/>
                <w:sz w:val="20"/>
                <w:lang w:val="en-GB" w:eastAsia="en-GB" w:bidi="ne-NP"/>
              </w:rPr>
            </w:pPr>
            <w:r w:rsidRPr="005F3BAD">
              <w:rPr>
                <w:rFonts w:eastAsia="Times New Roman"/>
                <w:color w:val="000000"/>
                <w:sz w:val="20"/>
                <w:lang w:val="en-GB" w:eastAsia="en-GB" w:bidi="ne-NP"/>
              </w:rPr>
              <w:t>2.2.prioritāte</w:t>
            </w:r>
          </w:p>
        </w:tc>
        <w:tc>
          <w:tcPr>
            <w:tcW w:w="1340" w:type="dxa"/>
            <w:tcBorders>
              <w:top w:val="nil"/>
              <w:left w:val="nil"/>
              <w:bottom w:val="single" w:sz="4" w:space="0" w:color="auto"/>
              <w:right w:val="single" w:sz="4" w:space="0" w:color="auto"/>
            </w:tcBorders>
            <w:shd w:val="clear" w:color="auto" w:fill="auto"/>
            <w:vAlign w:val="center"/>
            <w:hideMark/>
          </w:tcPr>
          <w:p w14:paraId="21CA113B" w14:textId="77777777" w:rsidR="009D3945" w:rsidRPr="005F3BAD" w:rsidRDefault="009D3945" w:rsidP="009D3945">
            <w:pPr>
              <w:spacing w:before="0" w:after="0"/>
              <w:jc w:val="left"/>
              <w:rPr>
                <w:rFonts w:eastAsia="Times New Roman"/>
                <w:color w:val="000000"/>
                <w:sz w:val="20"/>
                <w:lang w:val="en-GB" w:eastAsia="en-GB" w:bidi="ne-NP"/>
              </w:rPr>
            </w:pPr>
            <w:r w:rsidRPr="005F3BAD">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6003C50F" w14:textId="77777777" w:rsidR="009D3945" w:rsidRPr="005F3BAD" w:rsidRDefault="009D3945" w:rsidP="009D3945">
            <w:pPr>
              <w:spacing w:before="0" w:after="0"/>
              <w:jc w:val="left"/>
              <w:rPr>
                <w:rFonts w:eastAsia="Times New Roman"/>
                <w:color w:val="000000"/>
                <w:sz w:val="20"/>
                <w:lang w:val="en-GB" w:eastAsia="en-GB" w:bidi="ne-NP"/>
              </w:rPr>
            </w:pPr>
            <w:r w:rsidRPr="005F3BAD">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0BABB0A0" w14:textId="77777777" w:rsidR="009D3945" w:rsidRPr="005F3BAD" w:rsidRDefault="009D3945" w:rsidP="009D3945">
            <w:pPr>
              <w:spacing w:before="0" w:after="0"/>
              <w:jc w:val="center"/>
              <w:rPr>
                <w:rFonts w:eastAsia="Times New Roman"/>
                <w:color w:val="000000"/>
                <w:sz w:val="20"/>
                <w:lang w:val="en-GB" w:eastAsia="en-GB" w:bidi="ne-NP"/>
              </w:rPr>
            </w:pPr>
            <w:r w:rsidRPr="005F3BAD">
              <w:rPr>
                <w:rFonts w:eastAsia="Times New Roman"/>
                <w:color w:val="000000"/>
                <w:sz w:val="20"/>
                <w:lang w:val="en-GB" w:eastAsia="en-GB" w:bidi="ne-NP"/>
              </w:rPr>
              <w:t>03</w:t>
            </w:r>
          </w:p>
        </w:tc>
        <w:tc>
          <w:tcPr>
            <w:tcW w:w="1476" w:type="dxa"/>
            <w:tcBorders>
              <w:top w:val="nil"/>
              <w:left w:val="nil"/>
              <w:bottom w:val="single" w:sz="4" w:space="0" w:color="auto"/>
              <w:right w:val="single" w:sz="4" w:space="0" w:color="auto"/>
            </w:tcBorders>
            <w:shd w:val="clear" w:color="auto" w:fill="auto"/>
            <w:hideMark/>
          </w:tcPr>
          <w:p w14:paraId="201CA33C" w14:textId="3B1F6759" w:rsidR="009D3945" w:rsidRPr="009D3945" w:rsidRDefault="009D3945" w:rsidP="009D3945">
            <w:pPr>
              <w:spacing w:before="0" w:after="0"/>
              <w:jc w:val="right"/>
              <w:rPr>
                <w:rFonts w:eastAsia="Times New Roman"/>
                <w:color w:val="000000"/>
                <w:sz w:val="20"/>
                <w:lang w:val="en-GB" w:eastAsia="en-GB" w:bidi="ne-NP"/>
              </w:rPr>
            </w:pPr>
            <w:r w:rsidRPr="009D3945">
              <w:rPr>
                <w:sz w:val="20"/>
              </w:rPr>
              <w:t>151 492 536</w:t>
            </w:r>
          </w:p>
        </w:tc>
      </w:tr>
      <w:tr w:rsidR="009D3945" w:rsidRPr="005F3BAD" w14:paraId="41344248"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7139D6D" w14:textId="77777777" w:rsidR="009D3945" w:rsidRPr="005F3BAD" w:rsidRDefault="009D3945" w:rsidP="009D3945">
            <w:pPr>
              <w:spacing w:before="0" w:after="0"/>
              <w:rPr>
                <w:rFonts w:eastAsia="Times New Roman"/>
                <w:color w:val="000000"/>
                <w:sz w:val="20"/>
                <w:lang w:val="en-GB" w:eastAsia="en-GB" w:bidi="ne-NP"/>
              </w:rPr>
            </w:pPr>
            <w:r w:rsidRPr="005F3BAD">
              <w:rPr>
                <w:rFonts w:eastAsia="Times New Roman"/>
                <w:color w:val="000000"/>
                <w:sz w:val="20"/>
                <w:lang w:val="en-GB" w:eastAsia="en-GB" w:bidi="ne-NP"/>
              </w:rPr>
              <w:t>2.2.prioritāte</w:t>
            </w:r>
          </w:p>
        </w:tc>
        <w:tc>
          <w:tcPr>
            <w:tcW w:w="1340" w:type="dxa"/>
            <w:tcBorders>
              <w:top w:val="nil"/>
              <w:left w:val="nil"/>
              <w:bottom w:val="single" w:sz="4" w:space="0" w:color="auto"/>
              <w:right w:val="single" w:sz="4" w:space="0" w:color="auto"/>
            </w:tcBorders>
            <w:shd w:val="clear" w:color="auto" w:fill="auto"/>
            <w:vAlign w:val="center"/>
            <w:hideMark/>
          </w:tcPr>
          <w:p w14:paraId="368B1512" w14:textId="77777777" w:rsidR="009D3945" w:rsidRPr="005F3BAD" w:rsidRDefault="009D3945" w:rsidP="009D3945">
            <w:pPr>
              <w:spacing w:before="0" w:after="0"/>
              <w:jc w:val="left"/>
              <w:rPr>
                <w:rFonts w:eastAsia="Times New Roman"/>
                <w:color w:val="000000"/>
                <w:sz w:val="20"/>
                <w:lang w:val="en-GB" w:eastAsia="en-GB" w:bidi="ne-NP"/>
              </w:rPr>
            </w:pPr>
            <w:r w:rsidRPr="005F3BAD">
              <w:rPr>
                <w:rFonts w:eastAsia="Times New Roman"/>
                <w:color w:val="000000"/>
                <w:sz w:val="20"/>
                <w:lang w:val="en-GB" w:eastAsia="en-GB" w:bidi="ne-NP"/>
              </w:rPr>
              <w:t>KF</w:t>
            </w:r>
          </w:p>
        </w:tc>
        <w:tc>
          <w:tcPr>
            <w:tcW w:w="1420" w:type="dxa"/>
            <w:tcBorders>
              <w:top w:val="nil"/>
              <w:left w:val="nil"/>
              <w:bottom w:val="single" w:sz="4" w:space="0" w:color="auto"/>
              <w:right w:val="single" w:sz="4" w:space="0" w:color="auto"/>
            </w:tcBorders>
            <w:shd w:val="clear" w:color="auto" w:fill="auto"/>
            <w:vAlign w:val="center"/>
            <w:hideMark/>
          </w:tcPr>
          <w:p w14:paraId="10B42F68" w14:textId="77777777" w:rsidR="009D3945" w:rsidRPr="005F3BAD" w:rsidRDefault="009D3945" w:rsidP="009D3945">
            <w:pPr>
              <w:spacing w:before="0" w:after="0"/>
              <w:rPr>
                <w:rFonts w:eastAsia="Times New Roman"/>
                <w:color w:val="000000"/>
                <w:sz w:val="20"/>
                <w:lang w:val="en-GB" w:eastAsia="en-GB" w:bidi="ne-NP"/>
              </w:rPr>
            </w:pPr>
            <w:r w:rsidRPr="005F3BAD">
              <w:rPr>
                <w:rFonts w:eastAsia="Times New Roman"/>
                <w:color w:val="000000"/>
                <w:sz w:val="20"/>
                <w:lang w:val="en-GB" w:eastAsia="en-GB" w:bidi="ne-NP"/>
              </w:rPr>
              <w:t>N/A</w:t>
            </w:r>
          </w:p>
        </w:tc>
        <w:tc>
          <w:tcPr>
            <w:tcW w:w="960" w:type="dxa"/>
            <w:tcBorders>
              <w:top w:val="nil"/>
              <w:left w:val="nil"/>
              <w:bottom w:val="single" w:sz="4" w:space="0" w:color="auto"/>
              <w:right w:val="single" w:sz="4" w:space="0" w:color="auto"/>
            </w:tcBorders>
            <w:shd w:val="clear" w:color="auto" w:fill="auto"/>
            <w:vAlign w:val="center"/>
            <w:hideMark/>
          </w:tcPr>
          <w:p w14:paraId="6B8B506A" w14:textId="77777777" w:rsidR="009D3945" w:rsidRPr="005F3BAD" w:rsidRDefault="009D3945" w:rsidP="009D3945">
            <w:pPr>
              <w:spacing w:before="0" w:after="0"/>
              <w:jc w:val="center"/>
              <w:rPr>
                <w:rFonts w:eastAsia="Times New Roman"/>
                <w:color w:val="000000"/>
                <w:sz w:val="20"/>
                <w:lang w:val="en-GB" w:eastAsia="en-GB" w:bidi="ne-NP"/>
              </w:rPr>
            </w:pPr>
            <w:r w:rsidRPr="005F3BAD">
              <w:rPr>
                <w:rFonts w:eastAsia="Times New Roman"/>
                <w:color w:val="000000"/>
                <w:sz w:val="20"/>
                <w:lang w:val="en-GB" w:eastAsia="en-GB" w:bidi="ne-NP"/>
              </w:rPr>
              <w:t>03</w:t>
            </w:r>
          </w:p>
        </w:tc>
        <w:tc>
          <w:tcPr>
            <w:tcW w:w="1476" w:type="dxa"/>
            <w:tcBorders>
              <w:top w:val="nil"/>
              <w:left w:val="nil"/>
              <w:bottom w:val="single" w:sz="4" w:space="0" w:color="auto"/>
              <w:right w:val="single" w:sz="4" w:space="0" w:color="auto"/>
            </w:tcBorders>
            <w:shd w:val="clear" w:color="auto" w:fill="auto"/>
            <w:hideMark/>
          </w:tcPr>
          <w:p w14:paraId="694618DA" w14:textId="469B447F" w:rsidR="009D3945" w:rsidRPr="009D3945" w:rsidRDefault="009D3945" w:rsidP="009D3945">
            <w:pPr>
              <w:spacing w:before="0" w:after="0"/>
              <w:jc w:val="right"/>
              <w:rPr>
                <w:rFonts w:eastAsia="Times New Roman"/>
                <w:color w:val="000000"/>
                <w:sz w:val="20"/>
                <w:lang w:val="en-GB" w:eastAsia="en-GB" w:bidi="ne-NP"/>
              </w:rPr>
            </w:pPr>
            <w:r w:rsidRPr="009D3945">
              <w:rPr>
                <w:sz w:val="20"/>
              </w:rPr>
              <w:t>103 530 000</w:t>
            </w:r>
          </w:p>
        </w:tc>
      </w:tr>
      <w:tr w:rsidR="009D3945" w:rsidRPr="005F3BAD" w14:paraId="092E43AD"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CDF8AE4" w14:textId="77777777" w:rsidR="009D3945" w:rsidRPr="005F3BAD" w:rsidRDefault="009D3945" w:rsidP="009D3945">
            <w:pPr>
              <w:spacing w:before="0" w:after="0"/>
              <w:rPr>
                <w:rFonts w:eastAsia="Times New Roman"/>
                <w:color w:val="000000"/>
                <w:sz w:val="20"/>
                <w:lang w:val="en-GB" w:eastAsia="en-GB" w:bidi="ne-NP"/>
              </w:rPr>
            </w:pPr>
            <w:r w:rsidRPr="005F3BAD">
              <w:rPr>
                <w:rFonts w:eastAsia="Times New Roman"/>
                <w:color w:val="000000"/>
                <w:sz w:val="20"/>
                <w:lang w:val="en-GB" w:eastAsia="en-GB" w:bidi="ne-NP"/>
              </w:rPr>
              <w:t>2.3.prioritāte</w:t>
            </w:r>
          </w:p>
        </w:tc>
        <w:tc>
          <w:tcPr>
            <w:tcW w:w="1340" w:type="dxa"/>
            <w:tcBorders>
              <w:top w:val="nil"/>
              <w:left w:val="nil"/>
              <w:bottom w:val="single" w:sz="4" w:space="0" w:color="auto"/>
              <w:right w:val="single" w:sz="4" w:space="0" w:color="auto"/>
            </w:tcBorders>
            <w:shd w:val="clear" w:color="auto" w:fill="auto"/>
            <w:vAlign w:val="center"/>
            <w:hideMark/>
          </w:tcPr>
          <w:p w14:paraId="76E01249" w14:textId="77777777" w:rsidR="009D3945" w:rsidRPr="005F3BAD" w:rsidRDefault="009D3945" w:rsidP="009D3945">
            <w:pPr>
              <w:spacing w:before="0" w:after="0"/>
              <w:jc w:val="left"/>
              <w:rPr>
                <w:rFonts w:eastAsia="Times New Roman"/>
                <w:color w:val="000000"/>
                <w:sz w:val="20"/>
                <w:lang w:val="en-GB" w:eastAsia="en-GB" w:bidi="ne-NP"/>
              </w:rPr>
            </w:pPr>
            <w:r w:rsidRPr="005F3BAD">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0D2A62F9" w14:textId="77777777" w:rsidR="009D3945" w:rsidRPr="005F3BAD" w:rsidRDefault="009D3945" w:rsidP="009D3945">
            <w:pPr>
              <w:spacing w:before="0" w:after="0"/>
              <w:rPr>
                <w:rFonts w:eastAsia="Times New Roman"/>
                <w:color w:val="000000"/>
                <w:sz w:val="20"/>
                <w:lang w:val="en-GB" w:eastAsia="en-GB" w:bidi="ne-NP"/>
              </w:rPr>
            </w:pPr>
            <w:r w:rsidRPr="005F3BAD">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2E23A607" w14:textId="77777777" w:rsidR="009D3945" w:rsidRPr="005F3BAD" w:rsidRDefault="009D3945" w:rsidP="009D3945">
            <w:pPr>
              <w:spacing w:before="0" w:after="0"/>
              <w:jc w:val="center"/>
              <w:rPr>
                <w:rFonts w:eastAsia="Times New Roman"/>
                <w:color w:val="000000"/>
                <w:sz w:val="20"/>
                <w:lang w:val="en-GB" w:eastAsia="en-GB" w:bidi="ne-NP"/>
              </w:rPr>
            </w:pPr>
            <w:r w:rsidRPr="005F3BAD">
              <w:rPr>
                <w:rFonts w:eastAsia="Times New Roman"/>
                <w:color w:val="000000"/>
                <w:sz w:val="20"/>
                <w:lang w:val="en-GB" w:eastAsia="en-GB" w:bidi="ne-NP"/>
              </w:rPr>
              <w:t>03</w:t>
            </w:r>
          </w:p>
        </w:tc>
        <w:tc>
          <w:tcPr>
            <w:tcW w:w="1476" w:type="dxa"/>
            <w:tcBorders>
              <w:top w:val="nil"/>
              <w:left w:val="nil"/>
              <w:bottom w:val="single" w:sz="4" w:space="0" w:color="auto"/>
              <w:right w:val="single" w:sz="4" w:space="0" w:color="auto"/>
            </w:tcBorders>
            <w:shd w:val="clear" w:color="auto" w:fill="auto"/>
            <w:hideMark/>
          </w:tcPr>
          <w:p w14:paraId="5470DF2A" w14:textId="009C6EBA" w:rsidR="009D3945" w:rsidRPr="009D3945" w:rsidRDefault="009D3945" w:rsidP="009D3945">
            <w:pPr>
              <w:spacing w:before="0" w:after="0"/>
              <w:jc w:val="right"/>
              <w:rPr>
                <w:rFonts w:eastAsia="Times New Roman"/>
                <w:color w:val="000000"/>
                <w:sz w:val="20"/>
                <w:lang w:val="en-GB" w:eastAsia="en-GB" w:bidi="ne-NP"/>
              </w:rPr>
            </w:pPr>
            <w:r w:rsidRPr="009D3945">
              <w:rPr>
                <w:sz w:val="20"/>
              </w:rPr>
              <w:t>78 586 054</w:t>
            </w:r>
          </w:p>
        </w:tc>
      </w:tr>
      <w:tr w:rsidR="009D3945" w:rsidRPr="005F3BAD" w14:paraId="2325499F"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EE6E929" w14:textId="77777777" w:rsidR="009D3945" w:rsidRPr="005F3BAD" w:rsidRDefault="009D3945" w:rsidP="009D3945">
            <w:pPr>
              <w:spacing w:before="0" w:after="0"/>
              <w:rPr>
                <w:rFonts w:eastAsia="Times New Roman"/>
                <w:sz w:val="20"/>
                <w:lang w:val="en-GB" w:eastAsia="en-GB" w:bidi="ne-NP"/>
              </w:rPr>
            </w:pPr>
            <w:r w:rsidRPr="005F3BAD">
              <w:rPr>
                <w:rFonts w:eastAsia="Times New Roman"/>
                <w:sz w:val="20"/>
                <w:lang w:val="en-GB" w:eastAsia="en-GB" w:bidi="ne-NP"/>
              </w:rPr>
              <w:t>3.1.prioritāte</w:t>
            </w:r>
          </w:p>
        </w:tc>
        <w:tc>
          <w:tcPr>
            <w:tcW w:w="1340" w:type="dxa"/>
            <w:tcBorders>
              <w:top w:val="nil"/>
              <w:left w:val="nil"/>
              <w:bottom w:val="single" w:sz="4" w:space="0" w:color="auto"/>
              <w:right w:val="single" w:sz="4" w:space="0" w:color="auto"/>
            </w:tcBorders>
            <w:shd w:val="clear" w:color="auto" w:fill="auto"/>
            <w:vAlign w:val="center"/>
            <w:hideMark/>
          </w:tcPr>
          <w:p w14:paraId="0B8BB545" w14:textId="77777777" w:rsidR="009D3945" w:rsidRPr="005F3BAD" w:rsidRDefault="009D3945" w:rsidP="009D3945">
            <w:pPr>
              <w:spacing w:before="0" w:after="0"/>
              <w:jc w:val="left"/>
              <w:rPr>
                <w:rFonts w:eastAsia="Times New Roman"/>
                <w:color w:val="000000"/>
                <w:sz w:val="20"/>
                <w:lang w:val="en-GB" w:eastAsia="en-GB" w:bidi="ne-NP"/>
              </w:rPr>
            </w:pPr>
            <w:r w:rsidRPr="005F3BAD">
              <w:rPr>
                <w:rFonts w:eastAsia="Times New Roman"/>
                <w:color w:val="000000"/>
                <w:sz w:val="20"/>
                <w:lang w:val="en-GB" w:eastAsia="en-GB" w:bidi="ne-NP"/>
              </w:rPr>
              <w:t>KF</w:t>
            </w:r>
          </w:p>
        </w:tc>
        <w:tc>
          <w:tcPr>
            <w:tcW w:w="1420" w:type="dxa"/>
            <w:tcBorders>
              <w:top w:val="nil"/>
              <w:left w:val="nil"/>
              <w:bottom w:val="single" w:sz="4" w:space="0" w:color="auto"/>
              <w:right w:val="single" w:sz="4" w:space="0" w:color="auto"/>
            </w:tcBorders>
            <w:shd w:val="clear" w:color="auto" w:fill="auto"/>
            <w:vAlign w:val="center"/>
            <w:hideMark/>
          </w:tcPr>
          <w:p w14:paraId="09B5D6B6" w14:textId="77777777" w:rsidR="009D3945" w:rsidRPr="005F3BAD" w:rsidRDefault="009D3945" w:rsidP="009D3945">
            <w:pPr>
              <w:spacing w:before="0" w:after="0"/>
              <w:rPr>
                <w:rFonts w:eastAsia="Times New Roman"/>
                <w:color w:val="000000"/>
                <w:sz w:val="20"/>
                <w:lang w:val="en-GB" w:eastAsia="en-GB" w:bidi="ne-NP"/>
              </w:rPr>
            </w:pPr>
            <w:r w:rsidRPr="005F3BAD">
              <w:rPr>
                <w:rFonts w:eastAsia="Times New Roman"/>
                <w:color w:val="000000"/>
                <w:sz w:val="20"/>
                <w:lang w:val="en-GB" w:eastAsia="en-GB" w:bidi="ne-NP"/>
              </w:rPr>
              <w:t>N/A</w:t>
            </w:r>
          </w:p>
        </w:tc>
        <w:tc>
          <w:tcPr>
            <w:tcW w:w="960" w:type="dxa"/>
            <w:tcBorders>
              <w:top w:val="nil"/>
              <w:left w:val="nil"/>
              <w:bottom w:val="single" w:sz="4" w:space="0" w:color="auto"/>
              <w:right w:val="single" w:sz="4" w:space="0" w:color="auto"/>
            </w:tcBorders>
            <w:shd w:val="clear" w:color="auto" w:fill="auto"/>
            <w:vAlign w:val="center"/>
            <w:hideMark/>
          </w:tcPr>
          <w:p w14:paraId="1FFAB1E7" w14:textId="77777777" w:rsidR="009D3945" w:rsidRPr="005F3BAD" w:rsidRDefault="009D3945" w:rsidP="009D3945">
            <w:pPr>
              <w:spacing w:before="0" w:after="0"/>
              <w:jc w:val="center"/>
              <w:rPr>
                <w:rFonts w:eastAsia="Times New Roman"/>
                <w:color w:val="000000"/>
                <w:sz w:val="20"/>
                <w:lang w:val="en-GB" w:eastAsia="en-GB" w:bidi="ne-NP"/>
              </w:rPr>
            </w:pPr>
            <w:r w:rsidRPr="005F3BAD">
              <w:rPr>
                <w:rFonts w:eastAsia="Times New Roman"/>
                <w:color w:val="000000"/>
                <w:sz w:val="20"/>
                <w:lang w:val="en-GB" w:eastAsia="en-GB" w:bidi="ne-NP"/>
              </w:rPr>
              <w:t>03</w:t>
            </w:r>
          </w:p>
        </w:tc>
        <w:tc>
          <w:tcPr>
            <w:tcW w:w="1476" w:type="dxa"/>
            <w:tcBorders>
              <w:top w:val="nil"/>
              <w:left w:val="nil"/>
              <w:bottom w:val="single" w:sz="4" w:space="0" w:color="auto"/>
              <w:right w:val="single" w:sz="4" w:space="0" w:color="auto"/>
            </w:tcBorders>
            <w:shd w:val="clear" w:color="auto" w:fill="auto"/>
            <w:hideMark/>
          </w:tcPr>
          <w:p w14:paraId="4D21C23C" w14:textId="07395376" w:rsidR="009D3945" w:rsidRPr="009D3945" w:rsidRDefault="009D3945" w:rsidP="009D3945">
            <w:pPr>
              <w:spacing w:before="0" w:after="0"/>
              <w:jc w:val="right"/>
              <w:rPr>
                <w:rFonts w:eastAsia="Times New Roman"/>
                <w:color w:val="000000"/>
                <w:sz w:val="20"/>
                <w:lang w:val="en-GB" w:eastAsia="en-GB" w:bidi="ne-NP"/>
              </w:rPr>
            </w:pPr>
            <w:r w:rsidRPr="009D3945">
              <w:rPr>
                <w:sz w:val="20"/>
              </w:rPr>
              <w:t>859 869 540</w:t>
            </w:r>
          </w:p>
        </w:tc>
      </w:tr>
      <w:tr w:rsidR="009D3945" w:rsidRPr="005F3BAD" w14:paraId="7BDF4ECE"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88619B9" w14:textId="77777777" w:rsidR="009D3945" w:rsidRPr="005F3BAD" w:rsidRDefault="009D3945" w:rsidP="009D3945">
            <w:pPr>
              <w:spacing w:before="0" w:after="0"/>
              <w:rPr>
                <w:rFonts w:eastAsia="Times New Roman"/>
                <w:sz w:val="20"/>
                <w:lang w:val="en-GB" w:eastAsia="en-GB" w:bidi="ne-NP"/>
              </w:rPr>
            </w:pPr>
            <w:r w:rsidRPr="005F3BAD">
              <w:rPr>
                <w:rFonts w:eastAsia="Times New Roman"/>
                <w:sz w:val="20"/>
                <w:lang w:val="en-GB" w:eastAsia="en-GB" w:bidi="ne-NP"/>
              </w:rPr>
              <w:t>4.1.prioritāte</w:t>
            </w:r>
          </w:p>
        </w:tc>
        <w:tc>
          <w:tcPr>
            <w:tcW w:w="1340" w:type="dxa"/>
            <w:tcBorders>
              <w:top w:val="nil"/>
              <w:left w:val="nil"/>
              <w:bottom w:val="single" w:sz="4" w:space="0" w:color="auto"/>
              <w:right w:val="single" w:sz="4" w:space="0" w:color="auto"/>
            </w:tcBorders>
            <w:shd w:val="clear" w:color="auto" w:fill="auto"/>
            <w:vAlign w:val="center"/>
            <w:hideMark/>
          </w:tcPr>
          <w:p w14:paraId="7B95BA8D" w14:textId="77777777" w:rsidR="009D3945" w:rsidRPr="005F3BAD" w:rsidRDefault="009D3945" w:rsidP="009D3945">
            <w:pPr>
              <w:spacing w:before="0" w:after="0"/>
              <w:jc w:val="left"/>
              <w:rPr>
                <w:rFonts w:eastAsia="Times New Roman"/>
                <w:color w:val="000000"/>
                <w:sz w:val="20"/>
                <w:lang w:val="en-GB" w:eastAsia="en-GB" w:bidi="ne-NP"/>
              </w:rPr>
            </w:pPr>
            <w:r w:rsidRPr="005F3BAD">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3A22A617" w14:textId="77777777" w:rsidR="009D3945" w:rsidRPr="005F3BAD" w:rsidRDefault="009D3945" w:rsidP="009D3945">
            <w:pPr>
              <w:spacing w:before="0" w:after="0"/>
              <w:rPr>
                <w:rFonts w:eastAsia="Times New Roman"/>
                <w:color w:val="000000"/>
                <w:sz w:val="20"/>
                <w:lang w:val="en-GB" w:eastAsia="en-GB" w:bidi="ne-NP"/>
              </w:rPr>
            </w:pPr>
            <w:r w:rsidRPr="005F3BAD">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5E4A855D" w14:textId="77777777" w:rsidR="009D3945" w:rsidRPr="005F3BAD" w:rsidRDefault="009D3945" w:rsidP="009D3945">
            <w:pPr>
              <w:spacing w:before="0" w:after="0"/>
              <w:jc w:val="center"/>
              <w:rPr>
                <w:rFonts w:eastAsia="Times New Roman"/>
                <w:color w:val="000000"/>
                <w:sz w:val="20"/>
                <w:lang w:val="en-GB" w:eastAsia="en-GB" w:bidi="ne-NP"/>
              </w:rPr>
            </w:pPr>
            <w:r w:rsidRPr="005F3BAD">
              <w:rPr>
                <w:rFonts w:eastAsia="Times New Roman"/>
                <w:color w:val="000000"/>
                <w:sz w:val="20"/>
                <w:lang w:val="en-GB" w:eastAsia="en-GB" w:bidi="ne-NP"/>
              </w:rPr>
              <w:t>03</w:t>
            </w:r>
          </w:p>
        </w:tc>
        <w:tc>
          <w:tcPr>
            <w:tcW w:w="1476" w:type="dxa"/>
            <w:tcBorders>
              <w:top w:val="nil"/>
              <w:left w:val="nil"/>
              <w:bottom w:val="single" w:sz="4" w:space="0" w:color="auto"/>
              <w:right w:val="single" w:sz="4" w:space="0" w:color="auto"/>
            </w:tcBorders>
            <w:shd w:val="clear" w:color="auto" w:fill="auto"/>
            <w:hideMark/>
          </w:tcPr>
          <w:p w14:paraId="50703648" w14:textId="6292BB3B" w:rsidR="009D3945" w:rsidRPr="009D3945" w:rsidRDefault="009D3945" w:rsidP="009D3945">
            <w:pPr>
              <w:spacing w:before="0" w:after="0"/>
              <w:jc w:val="right"/>
              <w:rPr>
                <w:rFonts w:eastAsia="Times New Roman"/>
                <w:color w:val="000000"/>
                <w:sz w:val="20"/>
                <w:lang w:val="en-GB" w:eastAsia="en-GB" w:bidi="ne-NP"/>
              </w:rPr>
            </w:pPr>
            <w:r w:rsidRPr="009D3945">
              <w:rPr>
                <w:sz w:val="20"/>
              </w:rPr>
              <w:t>274 446 198</w:t>
            </w:r>
          </w:p>
        </w:tc>
      </w:tr>
      <w:tr w:rsidR="009D3945" w:rsidRPr="005F3BAD" w14:paraId="48EE8D40"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0DF2F32" w14:textId="77777777" w:rsidR="009D3945" w:rsidRPr="005F3BAD" w:rsidRDefault="009D3945" w:rsidP="009D3945">
            <w:pPr>
              <w:spacing w:before="0" w:after="0"/>
              <w:rPr>
                <w:rFonts w:eastAsia="Times New Roman"/>
                <w:sz w:val="20"/>
                <w:lang w:val="en-GB" w:eastAsia="en-GB" w:bidi="ne-NP"/>
              </w:rPr>
            </w:pPr>
            <w:r w:rsidRPr="005F3BAD">
              <w:rPr>
                <w:rFonts w:eastAsia="Times New Roman"/>
                <w:sz w:val="20"/>
                <w:lang w:val="en-GB" w:eastAsia="en-GB" w:bidi="ne-NP"/>
              </w:rPr>
              <w:t>4.1.prioritāte</w:t>
            </w:r>
          </w:p>
        </w:tc>
        <w:tc>
          <w:tcPr>
            <w:tcW w:w="1340" w:type="dxa"/>
            <w:tcBorders>
              <w:top w:val="nil"/>
              <w:left w:val="nil"/>
              <w:bottom w:val="single" w:sz="4" w:space="0" w:color="auto"/>
              <w:right w:val="single" w:sz="4" w:space="0" w:color="auto"/>
            </w:tcBorders>
            <w:shd w:val="clear" w:color="auto" w:fill="auto"/>
            <w:vAlign w:val="center"/>
            <w:hideMark/>
          </w:tcPr>
          <w:p w14:paraId="4D225C77" w14:textId="77777777" w:rsidR="009D3945" w:rsidRPr="005F3BAD" w:rsidRDefault="009D3945" w:rsidP="009D3945">
            <w:pPr>
              <w:spacing w:before="0" w:after="0"/>
              <w:jc w:val="left"/>
              <w:rPr>
                <w:rFonts w:eastAsia="Times New Roman"/>
                <w:color w:val="000000"/>
                <w:sz w:val="20"/>
                <w:lang w:val="en-GB" w:eastAsia="en-GB" w:bidi="ne-NP"/>
              </w:rPr>
            </w:pPr>
            <w:r w:rsidRPr="005F3BAD">
              <w:rPr>
                <w:rFonts w:eastAsia="Times New Roman"/>
                <w:color w:val="000000"/>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3A423020" w14:textId="77777777" w:rsidR="009D3945" w:rsidRPr="005F3BAD" w:rsidRDefault="009D3945" w:rsidP="009D3945">
            <w:pPr>
              <w:spacing w:before="0" w:after="0"/>
              <w:rPr>
                <w:rFonts w:eastAsia="Times New Roman"/>
                <w:color w:val="000000"/>
                <w:sz w:val="20"/>
                <w:lang w:val="en-GB" w:eastAsia="en-GB" w:bidi="ne-NP"/>
              </w:rPr>
            </w:pPr>
            <w:r w:rsidRPr="005F3BAD">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183D0EE0" w14:textId="77777777" w:rsidR="009D3945" w:rsidRPr="005F3BAD" w:rsidRDefault="009D3945" w:rsidP="009D3945">
            <w:pPr>
              <w:spacing w:before="0" w:after="0"/>
              <w:jc w:val="center"/>
              <w:rPr>
                <w:rFonts w:eastAsia="Times New Roman"/>
                <w:color w:val="000000"/>
                <w:sz w:val="20"/>
                <w:lang w:val="en-GB" w:eastAsia="en-GB" w:bidi="ne-NP"/>
              </w:rPr>
            </w:pPr>
            <w:r w:rsidRPr="005F3BAD">
              <w:rPr>
                <w:rFonts w:eastAsia="Times New Roman"/>
                <w:color w:val="000000"/>
                <w:sz w:val="20"/>
                <w:lang w:val="en-GB" w:eastAsia="en-GB" w:bidi="ne-NP"/>
              </w:rPr>
              <w:t>03</w:t>
            </w:r>
          </w:p>
        </w:tc>
        <w:tc>
          <w:tcPr>
            <w:tcW w:w="1476" w:type="dxa"/>
            <w:tcBorders>
              <w:top w:val="nil"/>
              <w:left w:val="nil"/>
              <w:bottom w:val="single" w:sz="4" w:space="0" w:color="auto"/>
              <w:right w:val="single" w:sz="4" w:space="0" w:color="auto"/>
            </w:tcBorders>
            <w:shd w:val="clear" w:color="auto" w:fill="auto"/>
            <w:hideMark/>
          </w:tcPr>
          <w:p w14:paraId="2AFD0D28" w14:textId="6A3FFB0E" w:rsidR="009D3945" w:rsidRPr="009D3945" w:rsidRDefault="009D3945" w:rsidP="009D3945">
            <w:pPr>
              <w:spacing w:before="0" w:after="0"/>
              <w:jc w:val="right"/>
              <w:rPr>
                <w:rFonts w:eastAsia="Times New Roman"/>
                <w:color w:val="000000"/>
                <w:sz w:val="20"/>
                <w:lang w:val="en-GB" w:eastAsia="en-GB" w:bidi="ne-NP"/>
              </w:rPr>
            </w:pPr>
            <w:r w:rsidRPr="009D3945">
              <w:rPr>
                <w:sz w:val="20"/>
              </w:rPr>
              <w:t>50 803 650</w:t>
            </w:r>
          </w:p>
        </w:tc>
      </w:tr>
      <w:tr w:rsidR="009D3945" w:rsidRPr="005F3BAD" w14:paraId="353FF439"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2ADA24D" w14:textId="77777777" w:rsidR="009D3945" w:rsidRPr="005F3BAD" w:rsidRDefault="009D3945" w:rsidP="009D3945">
            <w:pPr>
              <w:spacing w:before="0" w:after="0"/>
              <w:rPr>
                <w:rFonts w:eastAsia="Times New Roman"/>
                <w:sz w:val="20"/>
                <w:lang w:val="en-GB" w:eastAsia="en-GB" w:bidi="ne-NP"/>
              </w:rPr>
            </w:pPr>
            <w:r w:rsidRPr="005F3BAD">
              <w:rPr>
                <w:rFonts w:eastAsia="Times New Roman"/>
                <w:sz w:val="20"/>
                <w:lang w:val="en-GB" w:eastAsia="en-GB" w:bidi="ne-NP"/>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5A38137A" w14:textId="77777777" w:rsidR="009D3945" w:rsidRPr="005F3BAD" w:rsidRDefault="009D3945" w:rsidP="009D3945">
            <w:pPr>
              <w:spacing w:before="0" w:after="0"/>
              <w:jc w:val="left"/>
              <w:rPr>
                <w:rFonts w:eastAsia="Times New Roman"/>
                <w:color w:val="000000"/>
                <w:sz w:val="20"/>
                <w:lang w:val="en-GB" w:eastAsia="en-GB" w:bidi="ne-NP"/>
              </w:rPr>
            </w:pPr>
            <w:r w:rsidRPr="005F3BAD">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34500F4F" w14:textId="77777777" w:rsidR="009D3945" w:rsidRPr="005F3BAD" w:rsidRDefault="009D3945" w:rsidP="009D3945">
            <w:pPr>
              <w:spacing w:before="0" w:after="0"/>
              <w:rPr>
                <w:rFonts w:eastAsia="Times New Roman"/>
                <w:color w:val="000000"/>
                <w:sz w:val="20"/>
                <w:lang w:val="en-GB" w:eastAsia="en-GB" w:bidi="ne-NP"/>
              </w:rPr>
            </w:pPr>
            <w:r w:rsidRPr="005F3BAD">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7E6807F6" w14:textId="77777777" w:rsidR="009D3945" w:rsidRPr="005F3BAD" w:rsidRDefault="009D3945" w:rsidP="009D3945">
            <w:pPr>
              <w:spacing w:before="0" w:after="0"/>
              <w:jc w:val="center"/>
              <w:rPr>
                <w:rFonts w:eastAsia="Times New Roman"/>
                <w:color w:val="000000"/>
                <w:sz w:val="20"/>
                <w:lang w:val="en-GB" w:eastAsia="en-GB" w:bidi="ne-NP"/>
              </w:rPr>
            </w:pPr>
            <w:r w:rsidRPr="005F3BAD">
              <w:rPr>
                <w:rFonts w:eastAsia="Times New Roman"/>
                <w:color w:val="000000"/>
                <w:sz w:val="20"/>
                <w:lang w:val="en-GB" w:eastAsia="en-GB" w:bidi="ne-NP"/>
              </w:rPr>
              <w:t>03</w:t>
            </w:r>
          </w:p>
        </w:tc>
        <w:tc>
          <w:tcPr>
            <w:tcW w:w="1476" w:type="dxa"/>
            <w:tcBorders>
              <w:top w:val="nil"/>
              <w:left w:val="nil"/>
              <w:bottom w:val="single" w:sz="4" w:space="0" w:color="auto"/>
              <w:right w:val="single" w:sz="4" w:space="0" w:color="auto"/>
            </w:tcBorders>
            <w:shd w:val="clear" w:color="auto" w:fill="auto"/>
            <w:hideMark/>
          </w:tcPr>
          <w:p w14:paraId="2F0A327F" w14:textId="17069C66" w:rsidR="009D3945" w:rsidRPr="009D3945" w:rsidRDefault="009D3945" w:rsidP="009D3945">
            <w:pPr>
              <w:spacing w:before="0" w:after="0"/>
              <w:jc w:val="right"/>
              <w:rPr>
                <w:rFonts w:eastAsia="Times New Roman"/>
                <w:color w:val="000000"/>
                <w:sz w:val="20"/>
                <w:lang w:val="en-GB" w:eastAsia="en-GB" w:bidi="ne-NP"/>
              </w:rPr>
            </w:pPr>
            <w:r w:rsidRPr="009D3945">
              <w:rPr>
                <w:sz w:val="20"/>
              </w:rPr>
              <w:t>182 634 117</w:t>
            </w:r>
          </w:p>
        </w:tc>
      </w:tr>
      <w:tr w:rsidR="009D3945" w:rsidRPr="005F3BAD" w14:paraId="40E74F38"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7189107C" w14:textId="77777777" w:rsidR="009D3945" w:rsidRPr="005F3BAD" w:rsidRDefault="009D3945" w:rsidP="009D3945">
            <w:pPr>
              <w:spacing w:before="0" w:after="0"/>
              <w:rPr>
                <w:rFonts w:eastAsia="Times New Roman"/>
                <w:sz w:val="20"/>
                <w:lang w:val="en-GB" w:eastAsia="en-GB" w:bidi="ne-NP"/>
              </w:rPr>
            </w:pPr>
            <w:r w:rsidRPr="005F3BAD">
              <w:rPr>
                <w:rFonts w:eastAsia="Times New Roman"/>
                <w:sz w:val="20"/>
                <w:lang w:val="en-GB" w:eastAsia="en-GB" w:bidi="ne-NP"/>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324A66D3" w14:textId="77777777" w:rsidR="009D3945" w:rsidRPr="005F3BAD" w:rsidRDefault="009D3945" w:rsidP="009D3945">
            <w:pPr>
              <w:spacing w:before="0" w:after="0"/>
              <w:jc w:val="left"/>
              <w:rPr>
                <w:rFonts w:eastAsia="Times New Roman"/>
                <w:color w:val="000000"/>
                <w:sz w:val="20"/>
                <w:lang w:val="en-GB" w:eastAsia="en-GB" w:bidi="ne-NP"/>
              </w:rPr>
            </w:pPr>
            <w:r w:rsidRPr="005F3BAD">
              <w:rPr>
                <w:rFonts w:eastAsia="Times New Roman"/>
                <w:color w:val="000000"/>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6B577734" w14:textId="77777777" w:rsidR="009D3945" w:rsidRPr="005F3BAD" w:rsidRDefault="009D3945" w:rsidP="009D3945">
            <w:pPr>
              <w:spacing w:before="0" w:after="0"/>
              <w:rPr>
                <w:rFonts w:eastAsia="Times New Roman"/>
                <w:color w:val="000000"/>
                <w:sz w:val="20"/>
                <w:lang w:val="en-GB" w:eastAsia="en-GB" w:bidi="ne-NP"/>
              </w:rPr>
            </w:pPr>
            <w:r w:rsidRPr="005F3BAD">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1584FBD5" w14:textId="77777777" w:rsidR="009D3945" w:rsidRPr="005F3BAD" w:rsidRDefault="009D3945" w:rsidP="009D3945">
            <w:pPr>
              <w:spacing w:before="0" w:after="0"/>
              <w:jc w:val="center"/>
              <w:rPr>
                <w:rFonts w:eastAsia="Times New Roman"/>
                <w:color w:val="000000"/>
                <w:sz w:val="20"/>
                <w:lang w:val="en-GB" w:eastAsia="en-GB" w:bidi="ne-NP"/>
              </w:rPr>
            </w:pPr>
            <w:r w:rsidRPr="005F3BAD">
              <w:rPr>
                <w:rFonts w:eastAsia="Times New Roman"/>
                <w:color w:val="000000"/>
                <w:sz w:val="20"/>
                <w:lang w:val="en-GB" w:eastAsia="en-GB" w:bidi="ne-NP"/>
              </w:rPr>
              <w:t>03</w:t>
            </w:r>
          </w:p>
        </w:tc>
        <w:tc>
          <w:tcPr>
            <w:tcW w:w="1476" w:type="dxa"/>
            <w:tcBorders>
              <w:top w:val="nil"/>
              <w:left w:val="nil"/>
              <w:bottom w:val="single" w:sz="4" w:space="0" w:color="auto"/>
              <w:right w:val="single" w:sz="4" w:space="0" w:color="auto"/>
            </w:tcBorders>
            <w:shd w:val="clear" w:color="auto" w:fill="auto"/>
            <w:hideMark/>
          </w:tcPr>
          <w:p w14:paraId="6D070212" w14:textId="7763404E" w:rsidR="009D3945" w:rsidRPr="009D3945" w:rsidRDefault="009D3945" w:rsidP="009D3945">
            <w:pPr>
              <w:spacing w:before="0" w:after="0"/>
              <w:jc w:val="right"/>
              <w:rPr>
                <w:rFonts w:eastAsia="Times New Roman"/>
                <w:color w:val="000000"/>
                <w:sz w:val="20"/>
                <w:lang w:val="en-GB" w:eastAsia="en-GB" w:bidi="ne-NP"/>
              </w:rPr>
            </w:pPr>
            <w:r w:rsidRPr="009D3945">
              <w:rPr>
                <w:sz w:val="20"/>
              </w:rPr>
              <w:t>252 875 507</w:t>
            </w:r>
          </w:p>
        </w:tc>
      </w:tr>
      <w:tr w:rsidR="009D3945" w:rsidRPr="005F3BAD" w14:paraId="1F7A787F"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4D6F9BB" w14:textId="77777777" w:rsidR="009D3945" w:rsidRPr="005F3BAD" w:rsidRDefault="009D3945" w:rsidP="009D3945">
            <w:pPr>
              <w:spacing w:before="0" w:after="0"/>
              <w:rPr>
                <w:rFonts w:eastAsia="Times New Roman"/>
                <w:sz w:val="20"/>
                <w:lang w:val="en-GB" w:eastAsia="en-GB" w:bidi="ne-NP"/>
              </w:rPr>
            </w:pPr>
            <w:r w:rsidRPr="005F3BAD">
              <w:rPr>
                <w:rFonts w:eastAsia="Times New Roman"/>
                <w:sz w:val="20"/>
                <w:lang w:val="en-GB" w:eastAsia="en-GB" w:bidi="ne-NP"/>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46371B01" w14:textId="77777777" w:rsidR="009D3945" w:rsidRPr="005F3BAD" w:rsidRDefault="009D3945" w:rsidP="009D3945">
            <w:pPr>
              <w:spacing w:before="0" w:after="0"/>
              <w:jc w:val="left"/>
              <w:rPr>
                <w:rFonts w:eastAsia="Times New Roman"/>
                <w:color w:val="000000"/>
                <w:sz w:val="20"/>
                <w:lang w:val="en-GB" w:eastAsia="en-GB" w:bidi="ne-NP"/>
              </w:rPr>
            </w:pPr>
            <w:r w:rsidRPr="005F3BAD">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4B13C550" w14:textId="77777777" w:rsidR="009D3945" w:rsidRPr="005F3BAD" w:rsidRDefault="009D3945" w:rsidP="009D3945">
            <w:pPr>
              <w:spacing w:before="0" w:after="0"/>
              <w:rPr>
                <w:rFonts w:eastAsia="Times New Roman"/>
                <w:color w:val="000000"/>
                <w:sz w:val="20"/>
                <w:lang w:val="en-GB" w:eastAsia="en-GB" w:bidi="ne-NP"/>
              </w:rPr>
            </w:pPr>
            <w:r w:rsidRPr="005F3BAD">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508560A2" w14:textId="77777777" w:rsidR="009D3945" w:rsidRPr="005F3BAD" w:rsidRDefault="009D3945" w:rsidP="009D3945">
            <w:pPr>
              <w:spacing w:before="0" w:after="0"/>
              <w:jc w:val="center"/>
              <w:rPr>
                <w:rFonts w:eastAsia="Times New Roman"/>
                <w:color w:val="000000"/>
                <w:sz w:val="20"/>
                <w:lang w:val="en-GB" w:eastAsia="en-GB" w:bidi="ne-NP"/>
              </w:rPr>
            </w:pPr>
            <w:r w:rsidRPr="005F3BAD">
              <w:rPr>
                <w:rFonts w:eastAsia="Times New Roman"/>
                <w:color w:val="000000"/>
                <w:sz w:val="20"/>
                <w:lang w:val="en-GB" w:eastAsia="en-GB" w:bidi="ne-NP"/>
              </w:rPr>
              <w:t>03</w:t>
            </w:r>
          </w:p>
        </w:tc>
        <w:tc>
          <w:tcPr>
            <w:tcW w:w="1476" w:type="dxa"/>
            <w:tcBorders>
              <w:top w:val="nil"/>
              <w:left w:val="nil"/>
              <w:bottom w:val="single" w:sz="4" w:space="0" w:color="auto"/>
              <w:right w:val="single" w:sz="4" w:space="0" w:color="auto"/>
            </w:tcBorders>
            <w:shd w:val="clear" w:color="auto" w:fill="auto"/>
            <w:hideMark/>
          </w:tcPr>
          <w:p w14:paraId="596F5771" w14:textId="5EFC802C" w:rsidR="009D3945" w:rsidRPr="009D3945" w:rsidRDefault="009D3945" w:rsidP="009D3945">
            <w:pPr>
              <w:spacing w:before="0" w:after="0"/>
              <w:jc w:val="right"/>
              <w:rPr>
                <w:rFonts w:eastAsia="Times New Roman"/>
                <w:color w:val="000000"/>
                <w:sz w:val="20"/>
                <w:lang w:val="en-GB" w:eastAsia="en-GB" w:bidi="ne-NP"/>
              </w:rPr>
            </w:pPr>
            <w:r w:rsidRPr="009D3945">
              <w:rPr>
                <w:sz w:val="20"/>
              </w:rPr>
              <w:t>112 921 302</w:t>
            </w:r>
          </w:p>
        </w:tc>
      </w:tr>
      <w:tr w:rsidR="009D3945" w:rsidRPr="005F3BAD" w14:paraId="6EA41B0D"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386D6FF0" w14:textId="77777777" w:rsidR="009D3945" w:rsidRPr="005F3BAD" w:rsidRDefault="009D3945" w:rsidP="009D3945">
            <w:pPr>
              <w:spacing w:before="0" w:after="0"/>
              <w:rPr>
                <w:rFonts w:eastAsia="Times New Roman"/>
                <w:sz w:val="20"/>
                <w:lang w:val="en-GB" w:eastAsia="en-GB" w:bidi="ne-NP"/>
              </w:rPr>
            </w:pPr>
            <w:r w:rsidRPr="005F3BAD">
              <w:rPr>
                <w:rFonts w:eastAsia="Times New Roman"/>
                <w:sz w:val="20"/>
                <w:lang w:val="en-GB" w:eastAsia="en-GB" w:bidi="ne-NP"/>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596C0ED2" w14:textId="77777777" w:rsidR="009D3945" w:rsidRPr="005F3BAD" w:rsidRDefault="009D3945" w:rsidP="009D3945">
            <w:pPr>
              <w:spacing w:before="0" w:after="0"/>
              <w:jc w:val="left"/>
              <w:rPr>
                <w:rFonts w:eastAsia="Times New Roman"/>
                <w:color w:val="000000"/>
                <w:sz w:val="20"/>
                <w:lang w:val="en-GB" w:eastAsia="en-GB" w:bidi="ne-NP"/>
              </w:rPr>
            </w:pPr>
            <w:r w:rsidRPr="005F3BAD">
              <w:rPr>
                <w:rFonts w:eastAsia="Times New Roman"/>
                <w:color w:val="000000"/>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218176D1" w14:textId="77777777" w:rsidR="009D3945" w:rsidRPr="005F3BAD" w:rsidRDefault="009D3945" w:rsidP="009D3945">
            <w:pPr>
              <w:spacing w:before="0" w:after="0"/>
              <w:rPr>
                <w:rFonts w:eastAsia="Times New Roman"/>
                <w:color w:val="000000"/>
                <w:sz w:val="20"/>
                <w:lang w:val="en-GB" w:eastAsia="en-GB" w:bidi="ne-NP"/>
              </w:rPr>
            </w:pPr>
            <w:r w:rsidRPr="005F3BAD">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7EB7F24F" w14:textId="77777777" w:rsidR="009D3945" w:rsidRPr="005F3BAD" w:rsidRDefault="009D3945" w:rsidP="009D3945">
            <w:pPr>
              <w:spacing w:before="0" w:after="0"/>
              <w:jc w:val="center"/>
              <w:rPr>
                <w:rFonts w:eastAsia="Times New Roman"/>
                <w:color w:val="000000"/>
                <w:sz w:val="20"/>
                <w:lang w:val="en-GB" w:eastAsia="en-GB" w:bidi="ne-NP"/>
              </w:rPr>
            </w:pPr>
            <w:r w:rsidRPr="005F3BAD">
              <w:rPr>
                <w:rFonts w:eastAsia="Times New Roman"/>
                <w:color w:val="000000"/>
                <w:sz w:val="20"/>
                <w:lang w:val="en-GB" w:eastAsia="en-GB" w:bidi="ne-NP"/>
              </w:rPr>
              <w:t>03</w:t>
            </w:r>
          </w:p>
        </w:tc>
        <w:tc>
          <w:tcPr>
            <w:tcW w:w="1476" w:type="dxa"/>
            <w:tcBorders>
              <w:top w:val="nil"/>
              <w:left w:val="nil"/>
              <w:bottom w:val="single" w:sz="4" w:space="0" w:color="auto"/>
              <w:right w:val="single" w:sz="4" w:space="0" w:color="auto"/>
            </w:tcBorders>
            <w:shd w:val="clear" w:color="auto" w:fill="auto"/>
            <w:hideMark/>
          </w:tcPr>
          <w:p w14:paraId="4BA75CE8" w14:textId="56D0AEA3" w:rsidR="009D3945" w:rsidRPr="009D3945" w:rsidRDefault="009D3945" w:rsidP="009D3945">
            <w:pPr>
              <w:spacing w:before="0" w:after="0"/>
              <w:jc w:val="right"/>
              <w:rPr>
                <w:rFonts w:eastAsia="Times New Roman"/>
                <w:color w:val="000000"/>
                <w:sz w:val="20"/>
                <w:lang w:val="en-GB" w:eastAsia="en-GB" w:bidi="ne-NP"/>
              </w:rPr>
            </w:pPr>
            <w:r w:rsidRPr="009D3945">
              <w:rPr>
                <w:sz w:val="20"/>
              </w:rPr>
              <w:t>339 254 076</w:t>
            </w:r>
          </w:p>
        </w:tc>
      </w:tr>
      <w:tr w:rsidR="009D3945" w:rsidRPr="005F3BAD" w14:paraId="338C081A"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8AEBBB5" w14:textId="77777777" w:rsidR="009D3945" w:rsidRPr="005F3BAD" w:rsidRDefault="009D3945" w:rsidP="009D3945">
            <w:pPr>
              <w:spacing w:before="0" w:after="0"/>
              <w:rPr>
                <w:rFonts w:eastAsia="Times New Roman"/>
                <w:sz w:val="20"/>
                <w:lang w:val="en-GB" w:eastAsia="en-GB" w:bidi="ne-NP"/>
              </w:rPr>
            </w:pPr>
            <w:r w:rsidRPr="005F3BAD">
              <w:rPr>
                <w:rFonts w:eastAsia="Times New Roman"/>
                <w:sz w:val="20"/>
                <w:lang w:val="en-GB" w:eastAsia="en-GB" w:bidi="ne-NP"/>
              </w:rPr>
              <w:t>4.4.prioritāte</w:t>
            </w:r>
          </w:p>
        </w:tc>
        <w:tc>
          <w:tcPr>
            <w:tcW w:w="1340" w:type="dxa"/>
            <w:tcBorders>
              <w:top w:val="nil"/>
              <w:left w:val="nil"/>
              <w:bottom w:val="single" w:sz="4" w:space="0" w:color="auto"/>
              <w:right w:val="single" w:sz="4" w:space="0" w:color="auto"/>
            </w:tcBorders>
            <w:shd w:val="clear" w:color="auto" w:fill="auto"/>
            <w:vAlign w:val="center"/>
            <w:hideMark/>
          </w:tcPr>
          <w:p w14:paraId="5263DD81" w14:textId="77777777" w:rsidR="009D3945" w:rsidRPr="005F3BAD" w:rsidRDefault="009D3945" w:rsidP="009D3945">
            <w:pPr>
              <w:spacing w:before="0" w:after="0"/>
              <w:jc w:val="left"/>
              <w:rPr>
                <w:rFonts w:eastAsia="Times New Roman"/>
                <w:color w:val="000000"/>
                <w:sz w:val="20"/>
                <w:lang w:val="en-GB" w:eastAsia="en-GB" w:bidi="ne-NP"/>
              </w:rPr>
            </w:pPr>
            <w:r w:rsidRPr="005F3BAD">
              <w:rPr>
                <w:rFonts w:eastAsia="Times New Roman"/>
                <w:color w:val="000000"/>
                <w:sz w:val="20"/>
                <w:lang w:val="en-GB" w:eastAsia="en-GB" w:bidi="ne-NP"/>
              </w:rPr>
              <w:t>ESF</w:t>
            </w:r>
          </w:p>
        </w:tc>
        <w:tc>
          <w:tcPr>
            <w:tcW w:w="1420" w:type="dxa"/>
            <w:tcBorders>
              <w:top w:val="nil"/>
              <w:left w:val="nil"/>
              <w:bottom w:val="single" w:sz="4" w:space="0" w:color="auto"/>
              <w:right w:val="single" w:sz="4" w:space="0" w:color="auto"/>
            </w:tcBorders>
            <w:shd w:val="clear" w:color="auto" w:fill="auto"/>
            <w:vAlign w:val="center"/>
            <w:hideMark/>
          </w:tcPr>
          <w:p w14:paraId="5C357408" w14:textId="77777777" w:rsidR="009D3945" w:rsidRPr="005F3BAD" w:rsidRDefault="009D3945" w:rsidP="009D3945">
            <w:pPr>
              <w:spacing w:before="0" w:after="0"/>
              <w:rPr>
                <w:rFonts w:eastAsia="Times New Roman"/>
                <w:color w:val="000000"/>
                <w:sz w:val="20"/>
                <w:lang w:val="en-GB" w:eastAsia="en-GB" w:bidi="ne-NP"/>
              </w:rPr>
            </w:pPr>
            <w:r w:rsidRPr="005F3BAD">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09B12C67" w14:textId="77777777" w:rsidR="009D3945" w:rsidRPr="005F3BAD" w:rsidRDefault="009D3945" w:rsidP="009D3945">
            <w:pPr>
              <w:spacing w:before="0" w:after="0"/>
              <w:jc w:val="center"/>
              <w:rPr>
                <w:rFonts w:eastAsia="Times New Roman"/>
                <w:color w:val="000000"/>
                <w:sz w:val="20"/>
                <w:lang w:val="en-GB" w:eastAsia="en-GB" w:bidi="ne-NP"/>
              </w:rPr>
            </w:pPr>
            <w:r w:rsidRPr="005F3BAD">
              <w:rPr>
                <w:rFonts w:eastAsia="Times New Roman"/>
                <w:color w:val="000000"/>
                <w:sz w:val="20"/>
                <w:lang w:val="en-GB" w:eastAsia="en-GB" w:bidi="ne-NP"/>
              </w:rPr>
              <w:t>03</w:t>
            </w:r>
          </w:p>
        </w:tc>
        <w:tc>
          <w:tcPr>
            <w:tcW w:w="1476" w:type="dxa"/>
            <w:tcBorders>
              <w:top w:val="nil"/>
              <w:left w:val="nil"/>
              <w:bottom w:val="single" w:sz="4" w:space="0" w:color="auto"/>
              <w:right w:val="single" w:sz="4" w:space="0" w:color="auto"/>
            </w:tcBorders>
            <w:shd w:val="clear" w:color="auto" w:fill="auto"/>
            <w:hideMark/>
          </w:tcPr>
          <w:p w14:paraId="56DB3BA5" w14:textId="0DA5E5EC" w:rsidR="009D3945" w:rsidRPr="009D3945" w:rsidRDefault="009D3945" w:rsidP="009D3945">
            <w:pPr>
              <w:spacing w:before="0" w:after="0"/>
              <w:jc w:val="right"/>
              <w:rPr>
                <w:rFonts w:eastAsia="Times New Roman"/>
                <w:color w:val="000000"/>
                <w:sz w:val="20"/>
                <w:lang w:val="en-GB" w:eastAsia="en-GB" w:bidi="ne-NP"/>
              </w:rPr>
            </w:pPr>
            <w:r w:rsidRPr="009D3945">
              <w:rPr>
                <w:sz w:val="20"/>
              </w:rPr>
              <w:t>21 250 000</w:t>
            </w:r>
          </w:p>
        </w:tc>
      </w:tr>
      <w:tr w:rsidR="009D3945" w:rsidRPr="005F3BAD" w14:paraId="6CBCFFED"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1E1F9B26" w14:textId="77777777" w:rsidR="009D3945" w:rsidRPr="005F3BAD" w:rsidRDefault="009D3945" w:rsidP="009D3945">
            <w:pPr>
              <w:spacing w:before="0" w:after="0"/>
              <w:rPr>
                <w:rFonts w:eastAsia="Times New Roman"/>
                <w:sz w:val="20"/>
                <w:lang w:val="en-GB" w:eastAsia="en-GB" w:bidi="ne-NP"/>
              </w:rPr>
            </w:pPr>
            <w:r w:rsidRPr="005F3BAD">
              <w:rPr>
                <w:rFonts w:eastAsia="Times New Roman"/>
                <w:sz w:val="20"/>
                <w:lang w:val="en-GB" w:eastAsia="en-GB" w:bidi="ne-NP"/>
              </w:rPr>
              <w:t>5.1.prioritāte</w:t>
            </w:r>
          </w:p>
        </w:tc>
        <w:tc>
          <w:tcPr>
            <w:tcW w:w="1340" w:type="dxa"/>
            <w:tcBorders>
              <w:top w:val="nil"/>
              <w:left w:val="nil"/>
              <w:bottom w:val="single" w:sz="4" w:space="0" w:color="auto"/>
              <w:right w:val="single" w:sz="4" w:space="0" w:color="auto"/>
            </w:tcBorders>
            <w:shd w:val="clear" w:color="auto" w:fill="auto"/>
            <w:vAlign w:val="center"/>
            <w:hideMark/>
          </w:tcPr>
          <w:p w14:paraId="3D8FC225" w14:textId="77777777" w:rsidR="009D3945" w:rsidRPr="005F3BAD" w:rsidRDefault="009D3945" w:rsidP="009D3945">
            <w:pPr>
              <w:spacing w:before="0" w:after="0"/>
              <w:jc w:val="left"/>
              <w:rPr>
                <w:rFonts w:eastAsia="Times New Roman"/>
                <w:color w:val="000000"/>
                <w:sz w:val="20"/>
                <w:lang w:val="en-GB" w:eastAsia="en-GB" w:bidi="ne-NP"/>
              </w:rPr>
            </w:pPr>
            <w:r w:rsidRPr="005F3BAD">
              <w:rPr>
                <w:rFonts w:eastAsia="Times New Roman"/>
                <w:color w:val="000000"/>
                <w:sz w:val="20"/>
                <w:lang w:val="en-GB" w:eastAsia="en-GB" w:bidi="ne-NP"/>
              </w:rPr>
              <w:t>ERAF</w:t>
            </w:r>
          </w:p>
        </w:tc>
        <w:tc>
          <w:tcPr>
            <w:tcW w:w="1420" w:type="dxa"/>
            <w:tcBorders>
              <w:top w:val="nil"/>
              <w:left w:val="nil"/>
              <w:bottom w:val="single" w:sz="4" w:space="0" w:color="auto"/>
              <w:right w:val="single" w:sz="4" w:space="0" w:color="auto"/>
            </w:tcBorders>
            <w:shd w:val="clear" w:color="auto" w:fill="auto"/>
            <w:vAlign w:val="center"/>
            <w:hideMark/>
          </w:tcPr>
          <w:p w14:paraId="4F17C7E7" w14:textId="77777777" w:rsidR="009D3945" w:rsidRPr="005F3BAD" w:rsidRDefault="009D3945" w:rsidP="009D3945">
            <w:pPr>
              <w:spacing w:before="0" w:after="0"/>
              <w:rPr>
                <w:rFonts w:eastAsia="Times New Roman"/>
                <w:color w:val="000000"/>
                <w:sz w:val="20"/>
                <w:lang w:val="en-GB" w:eastAsia="en-GB" w:bidi="ne-NP"/>
              </w:rPr>
            </w:pPr>
            <w:r w:rsidRPr="005F3BAD">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5E5CC72D" w14:textId="77777777" w:rsidR="009D3945" w:rsidRPr="005F3BAD" w:rsidRDefault="009D3945" w:rsidP="009D3945">
            <w:pPr>
              <w:spacing w:before="0" w:after="0"/>
              <w:jc w:val="center"/>
              <w:rPr>
                <w:rFonts w:eastAsia="Times New Roman"/>
                <w:color w:val="000000"/>
                <w:sz w:val="20"/>
                <w:lang w:val="en-GB" w:eastAsia="en-GB" w:bidi="ne-NP"/>
              </w:rPr>
            </w:pPr>
            <w:r w:rsidRPr="005F3BAD">
              <w:rPr>
                <w:rFonts w:eastAsia="Times New Roman"/>
                <w:color w:val="000000"/>
                <w:sz w:val="20"/>
                <w:lang w:val="en-GB" w:eastAsia="en-GB" w:bidi="ne-NP"/>
              </w:rPr>
              <w:t>03</w:t>
            </w:r>
          </w:p>
        </w:tc>
        <w:tc>
          <w:tcPr>
            <w:tcW w:w="1476" w:type="dxa"/>
            <w:tcBorders>
              <w:top w:val="nil"/>
              <w:left w:val="nil"/>
              <w:bottom w:val="single" w:sz="4" w:space="0" w:color="auto"/>
              <w:right w:val="single" w:sz="4" w:space="0" w:color="auto"/>
            </w:tcBorders>
            <w:shd w:val="clear" w:color="auto" w:fill="auto"/>
            <w:hideMark/>
          </w:tcPr>
          <w:p w14:paraId="06A1155B" w14:textId="2D3A2292" w:rsidR="009D3945" w:rsidRPr="009D3945" w:rsidRDefault="009D3945" w:rsidP="009D3945">
            <w:pPr>
              <w:spacing w:before="0" w:after="0"/>
              <w:jc w:val="right"/>
              <w:rPr>
                <w:rFonts w:eastAsia="Times New Roman"/>
                <w:color w:val="000000"/>
                <w:sz w:val="20"/>
                <w:lang w:val="en-GB" w:eastAsia="en-GB" w:bidi="ne-NP"/>
              </w:rPr>
            </w:pPr>
            <w:r w:rsidRPr="009D3945">
              <w:rPr>
                <w:sz w:val="20"/>
              </w:rPr>
              <w:t>223 521 421</w:t>
            </w:r>
          </w:p>
        </w:tc>
      </w:tr>
      <w:tr w:rsidR="009D3945" w:rsidRPr="005F3BAD" w14:paraId="09796388" w14:textId="77777777" w:rsidTr="009D3945">
        <w:trPr>
          <w:trHeight w:val="300"/>
        </w:trPr>
        <w:tc>
          <w:tcPr>
            <w:tcW w:w="1320" w:type="dxa"/>
            <w:tcBorders>
              <w:top w:val="nil"/>
              <w:left w:val="single" w:sz="4" w:space="0" w:color="auto"/>
              <w:bottom w:val="single" w:sz="4" w:space="0" w:color="auto"/>
              <w:right w:val="single" w:sz="4" w:space="0" w:color="auto"/>
            </w:tcBorders>
            <w:shd w:val="clear" w:color="auto" w:fill="auto"/>
            <w:hideMark/>
          </w:tcPr>
          <w:p w14:paraId="29B305F5" w14:textId="77777777" w:rsidR="009D3945" w:rsidRPr="005F3BAD" w:rsidRDefault="009D3945" w:rsidP="009D3945">
            <w:pPr>
              <w:spacing w:before="0" w:after="0"/>
              <w:rPr>
                <w:rFonts w:eastAsia="Times New Roman"/>
                <w:sz w:val="20"/>
                <w:lang w:val="en-GB" w:eastAsia="en-GB" w:bidi="ne-NP"/>
              </w:rPr>
            </w:pPr>
            <w:r w:rsidRPr="005F3BAD">
              <w:rPr>
                <w:rFonts w:eastAsia="Times New Roman"/>
                <w:sz w:val="20"/>
                <w:lang w:val="en-GB" w:eastAsia="en-GB" w:bidi="ne-NP"/>
              </w:rPr>
              <w:t>6.1.prioritāte</w:t>
            </w:r>
          </w:p>
        </w:tc>
        <w:tc>
          <w:tcPr>
            <w:tcW w:w="1340" w:type="dxa"/>
            <w:tcBorders>
              <w:top w:val="nil"/>
              <w:left w:val="nil"/>
              <w:bottom w:val="single" w:sz="4" w:space="0" w:color="auto"/>
              <w:right w:val="single" w:sz="4" w:space="0" w:color="auto"/>
            </w:tcBorders>
            <w:shd w:val="clear" w:color="auto" w:fill="auto"/>
            <w:vAlign w:val="center"/>
            <w:hideMark/>
          </w:tcPr>
          <w:p w14:paraId="53F86058" w14:textId="77777777" w:rsidR="009D3945" w:rsidRPr="005F3BAD" w:rsidRDefault="009D3945" w:rsidP="009D3945">
            <w:pPr>
              <w:spacing w:before="0" w:after="0"/>
              <w:jc w:val="left"/>
              <w:rPr>
                <w:rFonts w:eastAsia="Times New Roman"/>
                <w:sz w:val="20"/>
                <w:lang w:val="en-GB" w:eastAsia="en-GB" w:bidi="ne-NP"/>
              </w:rPr>
            </w:pPr>
            <w:r w:rsidRPr="005F3BAD">
              <w:rPr>
                <w:rFonts w:eastAsia="Times New Roman"/>
                <w:sz w:val="20"/>
                <w:lang w:val="en-GB" w:eastAsia="en-GB" w:bidi="ne-NP"/>
              </w:rPr>
              <w:t>TPF</w:t>
            </w:r>
          </w:p>
        </w:tc>
        <w:tc>
          <w:tcPr>
            <w:tcW w:w="1420" w:type="dxa"/>
            <w:tcBorders>
              <w:top w:val="nil"/>
              <w:left w:val="nil"/>
              <w:bottom w:val="single" w:sz="4" w:space="0" w:color="auto"/>
              <w:right w:val="single" w:sz="4" w:space="0" w:color="auto"/>
            </w:tcBorders>
            <w:shd w:val="clear" w:color="auto" w:fill="auto"/>
            <w:hideMark/>
          </w:tcPr>
          <w:p w14:paraId="7A94EFB9" w14:textId="77777777" w:rsidR="009D3945" w:rsidRPr="005F3BAD" w:rsidRDefault="009D3945" w:rsidP="009D3945">
            <w:pPr>
              <w:spacing w:before="0" w:after="0"/>
              <w:rPr>
                <w:rFonts w:eastAsia="Times New Roman"/>
                <w:color w:val="000000"/>
                <w:sz w:val="20"/>
                <w:lang w:val="en-GB" w:eastAsia="en-GB" w:bidi="ne-NP"/>
              </w:rPr>
            </w:pPr>
            <w:r w:rsidRPr="005F3BAD">
              <w:rPr>
                <w:rFonts w:eastAsia="Times New Roman"/>
                <w:color w:val="000000"/>
                <w:sz w:val="20"/>
                <w:lang w:val="en-GB" w:eastAsia="en-GB" w:bidi="ne-NP"/>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3EBD91A8" w14:textId="77777777" w:rsidR="009D3945" w:rsidRPr="005F3BAD" w:rsidRDefault="009D3945" w:rsidP="009D3945">
            <w:pPr>
              <w:spacing w:before="0" w:after="0"/>
              <w:jc w:val="center"/>
              <w:rPr>
                <w:rFonts w:eastAsia="Times New Roman"/>
                <w:color w:val="000000"/>
                <w:sz w:val="20"/>
                <w:lang w:val="en-GB" w:eastAsia="en-GB" w:bidi="ne-NP"/>
              </w:rPr>
            </w:pPr>
            <w:r w:rsidRPr="005F3BAD">
              <w:rPr>
                <w:rFonts w:eastAsia="Times New Roman"/>
                <w:color w:val="000000"/>
                <w:sz w:val="20"/>
                <w:lang w:val="en-GB" w:eastAsia="en-GB" w:bidi="ne-NP"/>
              </w:rPr>
              <w:t>03</w:t>
            </w:r>
          </w:p>
        </w:tc>
        <w:tc>
          <w:tcPr>
            <w:tcW w:w="1476" w:type="dxa"/>
            <w:tcBorders>
              <w:top w:val="nil"/>
              <w:left w:val="nil"/>
              <w:bottom w:val="single" w:sz="4" w:space="0" w:color="auto"/>
              <w:right w:val="single" w:sz="4" w:space="0" w:color="auto"/>
            </w:tcBorders>
            <w:shd w:val="clear" w:color="auto" w:fill="auto"/>
            <w:hideMark/>
          </w:tcPr>
          <w:p w14:paraId="214259BD" w14:textId="690FF9F4" w:rsidR="009D3945" w:rsidRPr="009D3945" w:rsidRDefault="009D3945" w:rsidP="009D3945">
            <w:pPr>
              <w:spacing w:before="0" w:after="0"/>
              <w:jc w:val="right"/>
              <w:rPr>
                <w:rFonts w:eastAsia="Times New Roman"/>
                <w:color w:val="000000"/>
                <w:sz w:val="20"/>
                <w:lang w:val="en-GB" w:eastAsia="en-GB" w:bidi="ne-NP"/>
              </w:rPr>
            </w:pPr>
            <w:r w:rsidRPr="009D3945">
              <w:rPr>
                <w:sz w:val="20"/>
              </w:rPr>
              <w:t>183 942 546</w:t>
            </w:r>
          </w:p>
        </w:tc>
      </w:tr>
    </w:tbl>
    <w:p w14:paraId="6743E88F" w14:textId="3212CFA2" w:rsidR="008808E8" w:rsidRDefault="008808E8" w:rsidP="00E508BF">
      <w:pPr>
        <w:rPr>
          <w:rFonts w:eastAsia="Times New Roman"/>
          <w:sz w:val="20"/>
        </w:rPr>
      </w:pPr>
    </w:p>
    <w:p w14:paraId="16B43A11" w14:textId="6A7409DD" w:rsidR="008808E8" w:rsidRDefault="008808E8" w:rsidP="008808E8">
      <w:pPr>
        <w:rPr>
          <w:rFonts w:eastAsia="Times New Roman"/>
          <w:sz w:val="20"/>
        </w:rPr>
      </w:pPr>
    </w:p>
    <w:p w14:paraId="00AB4FB6" w14:textId="77777777" w:rsidR="00AC212B" w:rsidRPr="008808E8" w:rsidRDefault="00AC212B" w:rsidP="008808E8">
      <w:pPr>
        <w:rPr>
          <w:rFonts w:eastAsia="Times New Roman"/>
          <w:sz w:val="20"/>
        </w:rPr>
        <w:sectPr w:rsidR="00AC212B" w:rsidRPr="008808E8" w:rsidSect="000266D9">
          <w:type w:val="continuous"/>
          <w:pgSz w:w="11906" w:h="16838" w:code="9"/>
          <w:pgMar w:top="1417" w:right="1417" w:bottom="1417" w:left="1417" w:header="567" w:footer="567" w:gutter="0"/>
          <w:cols w:space="708"/>
          <w:titlePg/>
          <w:docGrid w:linePitch="360"/>
        </w:sectPr>
      </w:pPr>
    </w:p>
    <w:p w14:paraId="54F59FCD" w14:textId="77777777" w:rsidR="00AC212B" w:rsidRPr="00930237" w:rsidRDefault="00AC212B" w:rsidP="007545BD">
      <w:pPr>
        <w:pStyle w:val="Heading2"/>
        <w:numPr>
          <w:ilvl w:val="0"/>
          <w:numId w:val="41"/>
        </w:numPr>
        <w:spacing w:after="0"/>
        <w:ind w:left="426"/>
        <w:rPr>
          <w:iCs/>
          <w:noProof/>
          <w:szCs w:val="24"/>
        </w:rPr>
      </w:pPr>
      <w:bookmarkStart w:id="52" w:name="_Toc69125427"/>
      <w:r w:rsidRPr="00930237">
        <w:rPr>
          <w:noProof/>
          <w:szCs w:val="24"/>
        </w:rPr>
        <w:t>Finanšu plāns</w:t>
      </w:r>
      <w:bookmarkEnd w:id="52"/>
    </w:p>
    <w:p w14:paraId="0A5E5B0C" w14:textId="48E8C885" w:rsidR="009466B6" w:rsidRPr="00930237" w:rsidRDefault="009466B6" w:rsidP="009466B6">
      <w:pPr>
        <w:pStyle w:val="Heading2"/>
        <w:numPr>
          <w:ilvl w:val="0"/>
          <w:numId w:val="0"/>
        </w:numPr>
        <w:spacing w:after="0"/>
        <w:rPr>
          <w:noProof/>
          <w:szCs w:val="24"/>
        </w:rPr>
      </w:pPr>
      <w:bookmarkStart w:id="53" w:name="_Toc69125428"/>
      <w:r w:rsidRPr="00930237">
        <w:rPr>
          <w:noProof/>
          <w:szCs w:val="24"/>
        </w:rPr>
        <w:t>3.</w:t>
      </w:r>
      <w:r>
        <w:rPr>
          <w:noProof/>
          <w:szCs w:val="24"/>
        </w:rPr>
        <w:t>1</w:t>
      </w:r>
      <w:r w:rsidRPr="00930237">
        <w:rPr>
          <w:noProof/>
          <w:szCs w:val="24"/>
        </w:rPr>
        <w:t xml:space="preserve"> Finanšu </w:t>
      </w:r>
      <w:r>
        <w:rPr>
          <w:noProof/>
          <w:szCs w:val="24"/>
        </w:rPr>
        <w:t>pārvedumi</w:t>
      </w:r>
      <w:bookmarkEnd w:id="53"/>
    </w:p>
    <w:p w14:paraId="540B10AE" w14:textId="74DA4552" w:rsidR="009466B6" w:rsidRDefault="009466B6" w:rsidP="00AC212B">
      <w:pPr>
        <w:spacing w:before="0" w:after="0"/>
      </w:pPr>
    </w:p>
    <w:p w14:paraId="74A257B1" w14:textId="27A997C2" w:rsidR="00BA7A6A" w:rsidRPr="00187D78" w:rsidRDefault="00BA7A6A" w:rsidP="00AC212B">
      <w:pPr>
        <w:spacing w:before="0" w:after="0"/>
        <w:rPr>
          <w:b/>
          <w:bCs/>
          <w:color w:val="808080" w:themeColor="background1" w:themeShade="80"/>
          <w:sz w:val="20"/>
        </w:rPr>
      </w:pPr>
      <w:r w:rsidRPr="00187D78">
        <w:rPr>
          <w:b/>
          <w:bCs/>
          <w:color w:val="808080" w:themeColor="background1" w:themeShade="80"/>
          <w:sz w:val="20"/>
        </w:rPr>
        <w:t>15.A tabula. Pārvedumi uz InvestEU (dalījumā pa gadiem)</w:t>
      </w:r>
    </w:p>
    <w:p w14:paraId="4F085E87" w14:textId="5B578328" w:rsidR="00BA7A6A" w:rsidRPr="00187D78" w:rsidRDefault="00BA7A6A" w:rsidP="00AC212B">
      <w:pPr>
        <w:spacing w:before="0" w:after="0"/>
        <w:rPr>
          <w:i/>
          <w:iCs/>
          <w:color w:val="808080" w:themeColor="background1" w:themeShade="80"/>
        </w:rPr>
      </w:pPr>
      <w:r w:rsidRPr="00187D78">
        <w:rPr>
          <w:i/>
          <w:iCs/>
          <w:color w:val="808080" w:themeColor="background1" w:themeShade="80"/>
        </w:rPr>
        <w:t>Pārvedumi uz InvestEU nav plānoti.</w:t>
      </w:r>
    </w:p>
    <w:p w14:paraId="767E3575" w14:textId="58A00E25" w:rsidR="00BA7A6A" w:rsidRPr="00187D78" w:rsidRDefault="00BA7A6A" w:rsidP="00AC212B">
      <w:pPr>
        <w:spacing w:before="0" w:after="0"/>
        <w:rPr>
          <w:color w:val="808080" w:themeColor="background1" w:themeShade="80"/>
        </w:rPr>
      </w:pPr>
    </w:p>
    <w:p w14:paraId="4584EBC4" w14:textId="3FF5EDBB" w:rsidR="00BA7A6A" w:rsidRPr="00187D78" w:rsidRDefault="00BA7A6A" w:rsidP="00BA7A6A">
      <w:pPr>
        <w:spacing w:before="0" w:after="0"/>
        <w:rPr>
          <w:b/>
          <w:bCs/>
          <w:color w:val="808080" w:themeColor="background1" w:themeShade="80"/>
          <w:sz w:val="20"/>
        </w:rPr>
      </w:pPr>
      <w:r w:rsidRPr="00187D78">
        <w:rPr>
          <w:b/>
          <w:bCs/>
          <w:color w:val="808080" w:themeColor="background1" w:themeShade="80"/>
          <w:sz w:val="20"/>
        </w:rPr>
        <w:t>15.B tabula. Pārvedumi uz InvestEU (kopsavilkums)</w:t>
      </w:r>
    </w:p>
    <w:p w14:paraId="1755A5E8" w14:textId="77777777" w:rsidR="00BA7A6A" w:rsidRPr="00187D78" w:rsidRDefault="00BA7A6A" w:rsidP="00BA7A6A">
      <w:pPr>
        <w:spacing w:before="0" w:after="0"/>
        <w:rPr>
          <w:i/>
          <w:iCs/>
          <w:color w:val="808080" w:themeColor="background1" w:themeShade="80"/>
        </w:rPr>
      </w:pPr>
      <w:r w:rsidRPr="00187D78">
        <w:rPr>
          <w:i/>
          <w:iCs/>
          <w:color w:val="808080" w:themeColor="background1" w:themeShade="80"/>
        </w:rPr>
        <w:t>Pārvedumi uz InvestEU nav plānoti.</w:t>
      </w:r>
    </w:p>
    <w:p w14:paraId="0F4B918A" w14:textId="0F3551AE" w:rsidR="00BA7A6A" w:rsidRDefault="00BA7A6A" w:rsidP="00AC212B">
      <w:pPr>
        <w:spacing w:before="0" w:after="0"/>
      </w:pPr>
    </w:p>
    <w:p w14:paraId="27855BF1" w14:textId="2650B73C" w:rsidR="00BA7A6A" w:rsidRPr="00D76A7B" w:rsidRDefault="00D67F06" w:rsidP="00BA7A6A">
      <w:pPr>
        <w:spacing w:before="0" w:after="0"/>
        <w:rPr>
          <w:rFonts w:eastAsia="Times New Roman"/>
          <w:b/>
          <w:bCs/>
          <w:noProof/>
          <w:sz w:val="20"/>
        </w:rPr>
      </w:pPr>
      <w:r>
        <w:rPr>
          <w:rFonts w:eastAsia="Times New Roman"/>
          <w:b/>
          <w:bCs/>
          <w:noProof/>
          <w:sz w:val="20"/>
        </w:rPr>
        <w:t>19.tabula (</w:t>
      </w:r>
      <w:r w:rsidR="00BA7A6A">
        <w:rPr>
          <w:rFonts w:eastAsia="Times New Roman"/>
          <w:b/>
          <w:bCs/>
          <w:noProof/>
          <w:sz w:val="20"/>
        </w:rPr>
        <w:t>16.A</w:t>
      </w:r>
      <w:r>
        <w:rPr>
          <w:rFonts w:eastAsia="Times New Roman"/>
          <w:b/>
          <w:bCs/>
          <w:noProof/>
          <w:sz w:val="20"/>
        </w:rPr>
        <w:t>)</w:t>
      </w:r>
      <w:r w:rsidR="00BA7A6A" w:rsidRPr="00D76A7B">
        <w:rPr>
          <w:rFonts w:eastAsia="Times New Roman"/>
          <w:b/>
          <w:bCs/>
          <w:noProof/>
          <w:sz w:val="20"/>
        </w:rPr>
        <w:t xml:space="preserve"> Pārvedums uz tiešas vai netiešas pārvaldības instrumentiem</w:t>
      </w:r>
      <w:r w:rsidR="00BA7A6A">
        <w:rPr>
          <w:rFonts w:eastAsia="Times New Roman"/>
          <w:b/>
          <w:bCs/>
          <w:noProof/>
          <w:sz w:val="20"/>
        </w:rPr>
        <w:t xml:space="preserve"> (dalījumā pa gadiem)</w:t>
      </w:r>
    </w:p>
    <w:p w14:paraId="4224ECD7" w14:textId="2C19F657" w:rsidR="00BA7A6A" w:rsidRPr="00BA0713" w:rsidRDefault="00BA0713" w:rsidP="00BA7A6A">
      <w:pPr>
        <w:spacing w:before="0" w:after="0"/>
        <w:rPr>
          <w:rFonts w:eastAsia="Times New Roman"/>
          <w:i/>
          <w:iCs/>
          <w:noProof/>
          <w:color w:val="FF0000"/>
          <w:sz w:val="20"/>
        </w:rPr>
      </w:pPr>
      <w:r w:rsidRPr="00BA0713">
        <w:rPr>
          <w:rFonts w:eastAsia="Times New Roman"/>
          <w:i/>
          <w:iCs/>
          <w:noProof/>
          <w:color w:val="FF0000"/>
          <w:sz w:val="20"/>
        </w:rPr>
        <w:t>[</w:t>
      </w:r>
      <w:r w:rsidR="004A145B" w:rsidRPr="00BA0713">
        <w:rPr>
          <w:rFonts w:eastAsia="Times New Roman"/>
          <w:i/>
          <w:iCs/>
          <w:noProof/>
          <w:color w:val="FF0000"/>
          <w:sz w:val="20"/>
        </w:rPr>
        <w:t xml:space="preserve">Tiks papildināts ar </w:t>
      </w:r>
      <w:r w:rsidR="00F0339F" w:rsidRPr="00BA0713">
        <w:rPr>
          <w:rFonts w:eastAsia="Times New Roman"/>
          <w:i/>
          <w:iCs/>
          <w:noProof/>
          <w:color w:val="FF0000"/>
          <w:sz w:val="20"/>
        </w:rPr>
        <w:t xml:space="preserve">informāciju </w:t>
      </w:r>
      <w:r w:rsidR="004A145B" w:rsidRPr="00BA0713">
        <w:rPr>
          <w:rFonts w:eastAsia="Times New Roman"/>
          <w:i/>
          <w:iCs/>
          <w:noProof/>
          <w:color w:val="FF0000"/>
          <w:sz w:val="20"/>
        </w:rPr>
        <w:t>par plānotajiem pārvedumiem.</w:t>
      </w:r>
      <w:r w:rsidRPr="00BA0713">
        <w:rPr>
          <w:rFonts w:eastAsia="Times New Roman"/>
          <w:i/>
          <w:iCs/>
          <w:noProof/>
          <w:color w:val="FF0000"/>
          <w:sz w:val="20"/>
        </w:rPr>
        <w:t>]</w:t>
      </w:r>
    </w:p>
    <w:tbl>
      <w:tblPr>
        <w:tblStyle w:val="TableGrid"/>
        <w:tblW w:w="14449" w:type="dxa"/>
        <w:tblInd w:w="430" w:type="dxa"/>
        <w:tblLayout w:type="fixed"/>
        <w:tblLook w:val="04A0" w:firstRow="1" w:lastRow="0" w:firstColumn="1" w:lastColumn="0" w:noHBand="0" w:noVBand="1"/>
      </w:tblPr>
      <w:tblGrid>
        <w:gridCol w:w="851"/>
        <w:gridCol w:w="992"/>
        <w:gridCol w:w="1351"/>
        <w:gridCol w:w="766"/>
        <w:gridCol w:w="850"/>
        <w:gridCol w:w="992"/>
        <w:gridCol w:w="1134"/>
        <w:gridCol w:w="1134"/>
        <w:gridCol w:w="1276"/>
        <w:gridCol w:w="1276"/>
        <w:gridCol w:w="1276"/>
        <w:gridCol w:w="1275"/>
        <w:gridCol w:w="1276"/>
      </w:tblGrid>
      <w:tr w:rsidR="004A0107" w:rsidRPr="004A0107" w14:paraId="3B920A08" w14:textId="77777777" w:rsidTr="00587674">
        <w:trPr>
          <w:trHeight w:val="199"/>
        </w:trPr>
        <w:tc>
          <w:tcPr>
            <w:tcW w:w="1843" w:type="dxa"/>
            <w:gridSpan w:val="2"/>
            <w:shd w:val="clear" w:color="auto" w:fill="D9D9D9" w:themeFill="background1" w:themeFillShade="D9"/>
          </w:tcPr>
          <w:p w14:paraId="30418B11" w14:textId="179913FA" w:rsidR="004A0107" w:rsidRPr="004A0107" w:rsidRDefault="004A0107" w:rsidP="0073599C">
            <w:pPr>
              <w:spacing w:before="0" w:after="0"/>
              <w:rPr>
                <w:rFonts w:ascii="Times New Roman" w:hAnsi="Times New Roman"/>
                <w:b/>
                <w:sz w:val="16"/>
                <w:szCs w:val="16"/>
              </w:rPr>
            </w:pPr>
            <w:r>
              <w:rPr>
                <w:rFonts w:ascii="Times New Roman" w:hAnsi="Times New Roman"/>
                <w:b/>
                <w:sz w:val="16"/>
                <w:szCs w:val="16"/>
              </w:rPr>
              <w:t>Pārvedums no</w:t>
            </w:r>
          </w:p>
        </w:tc>
        <w:tc>
          <w:tcPr>
            <w:tcW w:w="1351" w:type="dxa"/>
            <w:shd w:val="clear" w:color="auto" w:fill="D9D9D9" w:themeFill="background1" w:themeFillShade="D9"/>
          </w:tcPr>
          <w:p w14:paraId="5D80E5B0" w14:textId="32FA1A56" w:rsidR="004A0107" w:rsidRPr="004A0107" w:rsidRDefault="004A0107" w:rsidP="0073599C">
            <w:pPr>
              <w:spacing w:before="0" w:after="0"/>
              <w:rPr>
                <w:rFonts w:ascii="Times New Roman" w:hAnsi="Times New Roman"/>
                <w:b/>
                <w:sz w:val="16"/>
                <w:szCs w:val="16"/>
              </w:rPr>
            </w:pPr>
            <w:r>
              <w:rPr>
                <w:rFonts w:ascii="Times New Roman" w:hAnsi="Times New Roman"/>
                <w:b/>
                <w:sz w:val="16"/>
                <w:szCs w:val="16"/>
              </w:rPr>
              <w:t>Pārvedums uz</w:t>
            </w:r>
          </w:p>
        </w:tc>
        <w:tc>
          <w:tcPr>
            <w:tcW w:w="11255" w:type="dxa"/>
            <w:gridSpan w:val="10"/>
            <w:shd w:val="clear" w:color="auto" w:fill="D9D9D9" w:themeFill="background1" w:themeFillShade="D9"/>
          </w:tcPr>
          <w:p w14:paraId="34F87AF6" w14:textId="7A994847" w:rsidR="004A0107" w:rsidRPr="004A0107" w:rsidRDefault="004A0107" w:rsidP="0073599C">
            <w:pPr>
              <w:spacing w:before="0" w:after="0"/>
              <w:rPr>
                <w:rFonts w:ascii="Times New Roman" w:hAnsi="Times New Roman"/>
                <w:b/>
                <w:sz w:val="16"/>
                <w:szCs w:val="16"/>
              </w:rPr>
            </w:pPr>
            <w:r>
              <w:rPr>
                <w:rFonts w:ascii="Times New Roman" w:hAnsi="Times New Roman"/>
                <w:b/>
                <w:sz w:val="16"/>
                <w:szCs w:val="16"/>
              </w:rPr>
              <w:t>Sadalījums pa gadiem</w:t>
            </w:r>
          </w:p>
        </w:tc>
      </w:tr>
      <w:tr w:rsidR="004A0107" w:rsidRPr="004A0107" w14:paraId="32ADB86D" w14:textId="77777777" w:rsidTr="00587674">
        <w:trPr>
          <w:trHeight w:val="199"/>
        </w:trPr>
        <w:tc>
          <w:tcPr>
            <w:tcW w:w="851" w:type="dxa"/>
            <w:vMerge w:val="restart"/>
            <w:shd w:val="clear" w:color="auto" w:fill="D9D9D9" w:themeFill="background1" w:themeFillShade="D9"/>
          </w:tcPr>
          <w:p w14:paraId="6C97A680" w14:textId="5930DCD2" w:rsidR="004A0107" w:rsidRPr="004A0107" w:rsidRDefault="004A0107" w:rsidP="0073599C">
            <w:pPr>
              <w:spacing w:before="0" w:after="0"/>
              <w:rPr>
                <w:rFonts w:ascii="Times New Roman" w:hAnsi="Times New Roman"/>
                <w:b/>
                <w:sz w:val="16"/>
                <w:szCs w:val="16"/>
              </w:rPr>
            </w:pPr>
            <w:r>
              <w:rPr>
                <w:rFonts w:ascii="Times New Roman" w:hAnsi="Times New Roman"/>
                <w:b/>
                <w:sz w:val="16"/>
                <w:szCs w:val="16"/>
              </w:rPr>
              <w:t>Fo</w:t>
            </w:r>
            <w:r w:rsidRPr="004A0107">
              <w:rPr>
                <w:rFonts w:ascii="Times New Roman" w:hAnsi="Times New Roman"/>
                <w:b/>
                <w:sz w:val="16"/>
                <w:szCs w:val="16"/>
              </w:rPr>
              <w:t>nd</w:t>
            </w:r>
            <w:r>
              <w:rPr>
                <w:rFonts w:ascii="Times New Roman" w:hAnsi="Times New Roman"/>
                <w:b/>
                <w:sz w:val="16"/>
                <w:szCs w:val="16"/>
              </w:rPr>
              <w:t>s</w:t>
            </w:r>
          </w:p>
        </w:tc>
        <w:tc>
          <w:tcPr>
            <w:tcW w:w="992" w:type="dxa"/>
            <w:vMerge w:val="restart"/>
            <w:shd w:val="clear" w:color="auto" w:fill="D9D9D9" w:themeFill="background1" w:themeFillShade="D9"/>
          </w:tcPr>
          <w:p w14:paraId="10DB754A" w14:textId="31A563EC" w:rsidR="004A0107" w:rsidRPr="004A0107" w:rsidRDefault="004A0107" w:rsidP="0073599C">
            <w:pPr>
              <w:spacing w:before="0" w:after="0"/>
              <w:rPr>
                <w:rFonts w:ascii="Times New Roman" w:hAnsi="Times New Roman"/>
                <w:b/>
                <w:sz w:val="16"/>
                <w:szCs w:val="16"/>
              </w:rPr>
            </w:pPr>
            <w:r>
              <w:rPr>
                <w:rFonts w:ascii="Times New Roman" w:hAnsi="Times New Roman"/>
                <w:b/>
                <w:sz w:val="16"/>
                <w:szCs w:val="16"/>
              </w:rPr>
              <w:t>Reģiona kategorija</w:t>
            </w:r>
          </w:p>
        </w:tc>
        <w:tc>
          <w:tcPr>
            <w:tcW w:w="1351" w:type="dxa"/>
            <w:vMerge w:val="restart"/>
            <w:shd w:val="clear" w:color="auto" w:fill="D9D9D9" w:themeFill="background1" w:themeFillShade="D9"/>
          </w:tcPr>
          <w:p w14:paraId="4E2F43DD" w14:textId="3C9EF6F7" w:rsidR="004A0107" w:rsidRPr="004A0107" w:rsidRDefault="004A0107" w:rsidP="0073599C">
            <w:pPr>
              <w:spacing w:before="0" w:after="0"/>
              <w:rPr>
                <w:rFonts w:ascii="Times New Roman" w:hAnsi="Times New Roman"/>
                <w:b/>
                <w:sz w:val="16"/>
                <w:szCs w:val="16"/>
              </w:rPr>
            </w:pPr>
            <w:r w:rsidRPr="004A0107">
              <w:rPr>
                <w:rFonts w:ascii="Times New Roman" w:hAnsi="Times New Roman"/>
                <w:b/>
                <w:sz w:val="16"/>
                <w:szCs w:val="16"/>
              </w:rPr>
              <w:t>Instrument</w:t>
            </w:r>
            <w:r>
              <w:rPr>
                <w:rFonts w:ascii="Times New Roman" w:hAnsi="Times New Roman"/>
                <w:b/>
                <w:sz w:val="16"/>
                <w:szCs w:val="16"/>
              </w:rPr>
              <w:t>s</w:t>
            </w:r>
          </w:p>
        </w:tc>
        <w:tc>
          <w:tcPr>
            <w:tcW w:w="766" w:type="dxa"/>
            <w:vMerge w:val="restart"/>
            <w:shd w:val="clear" w:color="auto" w:fill="D9D9D9" w:themeFill="background1" w:themeFillShade="D9"/>
          </w:tcPr>
          <w:p w14:paraId="064B6708" w14:textId="77777777" w:rsidR="004A0107" w:rsidRPr="004A0107" w:rsidRDefault="004A0107" w:rsidP="0073599C">
            <w:pPr>
              <w:spacing w:before="0" w:after="0"/>
              <w:rPr>
                <w:rFonts w:ascii="Times New Roman" w:hAnsi="Times New Roman"/>
                <w:b/>
                <w:sz w:val="16"/>
                <w:szCs w:val="16"/>
              </w:rPr>
            </w:pPr>
            <w:r w:rsidRPr="004A0107">
              <w:rPr>
                <w:rFonts w:ascii="Times New Roman" w:hAnsi="Times New Roman"/>
                <w:b/>
                <w:sz w:val="16"/>
                <w:szCs w:val="16"/>
              </w:rPr>
              <w:t>2021</w:t>
            </w:r>
          </w:p>
        </w:tc>
        <w:tc>
          <w:tcPr>
            <w:tcW w:w="850" w:type="dxa"/>
            <w:vMerge w:val="restart"/>
            <w:shd w:val="clear" w:color="auto" w:fill="D9D9D9" w:themeFill="background1" w:themeFillShade="D9"/>
          </w:tcPr>
          <w:p w14:paraId="15BC470B" w14:textId="77777777" w:rsidR="004A0107" w:rsidRPr="004A0107" w:rsidRDefault="004A0107" w:rsidP="0073599C">
            <w:pPr>
              <w:spacing w:before="0" w:after="0"/>
              <w:rPr>
                <w:rFonts w:ascii="Times New Roman" w:hAnsi="Times New Roman"/>
                <w:b/>
                <w:sz w:val="16"/>
                <w:szCs w:val="16"/>
              </w:rPr>
            </w:pPr>
            <w:r w:rsidRPr="004A0107">
              <w:rPr>
                <w:rFonts w:ascii="Times New Roman" w:hAnsi="Times New Roman"/>
                <w:b/>
                <w:sz w:val="16"/>
                <w:szCs w:val="16"/>
              </w:rPr>
              <w:t>2022</w:t>
            </w:r>
          </w:p>
        </w:tc>
        <w:tc>
          <w:tcPr>
            <w:tcW w:w="992" w:type="dxa"/>
            <w:vMerge w:val="restart"/>
            <w:shd w:val="clear" w:color="auto" w:fill="D9D9D9" w:themeFill="background1" w:themeFillShade="D9"/>
          </w:tcPr>
          <w:p w14:paraId="72FE401E" w14:textId="77777777" w:rsidR="004A0107" w:rsidRPr="004A0107" w:rsidRDefault="004A0107" w:rsidP="0073599C">
            <w:pPr>
              <w:spacing w:before="0" w:after="0"/>
              <w:rPr>
                <w:rFonts w:ascii="Times New Roman" w:hAnsi="Times New Roman"/>
                <w:b/>
                <w:sz w:val="16"/>
                <w:szCs w:val="16"/>
              </w:rPr>
            </w:pPr>
            <w:r w:rsidRPr="004A0107">
              <w:rPr>
                <w:rFonts w:ascii="Times New Roman" w:hAnsi="Times New Roman"/>
                <w:b/>
                <w:sz w:val="16"/>
                <w:szCs w:val="16"/>
              </w:rPr>
              <w:t>2023</w:t>
            </w:r>
          </w:p>
        </w:tc>
        <w:tc>
          <w:tcPr>
            <w:tcW w:w="1134" w:type="dxa"/>
            <w:vMerge w:val="restart"/>
            <w:shd w:val="clear" w:color="auto" w:fill="D9D9D9" w:themeFill="background1" w:themeFillShade="D9"/>
          </w:tcPr>
          <w:p w14:paraId="1EEEB7E9" w14:textId="77777777" w:rsidR="004A0107" w:rsidRPr="004A0107" w:rsidRDefault="004A0107" w:rsidP="0073599C">
            <w:pPr>
              <w:spacing w:before="0" w:after="0"/>
              <w:rPr>
                <w:rFonts w:ascii="Times New Roman" w:hAnsi="Times New Roman"/>
                <w:b/>
                <w:sz w:val="16"/>
                <w:szCs w:val="16"/>
              </w:rPr>
            </w:pPr>
            <w:r w:rsidRPr="004A0107">
              <w:rPr>
                <w:rFonts w:ascii="Times New Roman" w:hAnsi="Times New Roman"/>
                <w:b/>
                <w:sz w:val="16"/>
                <w:szCs w:val="16"/>
              </w:rPr>
              <w:t>2024</w:t>
            </w:r>
          </w:p>
        </w:tc>
        <w:tc>
          <w:tcPr>
            <w:tcW w:w="1134" w:type="dxa"/>
            <w:vMerge w:val="restart"/>
            <w:shd w:val="clear" w:color="auto" w:fill="D9D9D9" w:themeFill="background1" w:themeFillShade="D9"/>
          </w:tcPr>
          <w:p w14:paraId="4712269B" w14:textId="77777777" w:rsidR="004A0107" w:rsidRPr="004A0107" w:rsidRDefault="004A0107" w:rsidP="0073599C">
            <w:pPr>
              <w:spacing w:before="0" w:after="0"/>
              <w:rPr>
                <w:rFonts w:ascii="Times New Roman" w:hAnsi="Times New Roman"/>
                <w:b/>
                <w:sz w:val="16"/>
                <w:szCs w:val="16"/>
              </w:rPr>
            </w:pPr>
            <w:r w:rsidRPr="004A0107">
              <w:rPr>
                <w:rFonts w:ascii="Times New Roman" w:hAnsi="Times New Roman"/>
                <w:b/>
                <w:sz w:val="16"/>
                <w:szCs w:val="16"/>
              </w:rPr>
              <w:t>2025</w:t>
            </w:r>
          </w:p>
        </w:tc>
        <w:tc>
          <w:tcPr>
            <w:tcW w:w="2552" w:type="dxa"/>
            <w:gridSpan w:val="2"/>
            <w:shd w:val="clear" w:color="auto" w:fill="D9D9D9" w:themeFill="background1" w:themeFillShade="D9"/>
          </w:tcPr>
          <w:p w14:paraId="1E5FF4A8" w14:textId="77777777" w:rsidR="004A0107" w:rsidRPr="004A0107" w:rsidRDefault="004A0107" w:rsidP="0073599C">
            <w:pPr>
              <w:spacing w:before="0" w:after="0"/>
              <w:jc w:val="center"/>
              <w:rPr>
                <w:rFonts w:ascii="Times New Roman" w:hAnsi="Times New Roman"/>
                <w:b/>
                <w:sz w:val="16"/>
                <w:szCs w:val="16"/>
              </w:rPr>
            </w:pPr>
            <w:r w:rsidRPr="004A0107">
              <w:rPr>
                <w:rFonts w:ascii="Times New Roman" w:hAnsi="Times New Roman"/>
                <w:b/>
                <w:sz w:val="16"/>
                <w:szCs w:val="16"/>
              </w:rPr>
              <w:t>2026</w:t>
            </w:r>
          </w:p>
        </w:tc>
        <w:tc>
          <w:tcPr>
            <w:tcW w:w="2551" w:type="dxa"/>
            <w:gridSpan w:val="2"/>
            <w:shd w:val="clear" w:color="auto" w:fill="D9D9D9" w:themeFill="background1" w:themeFillShade="D9"/>
          </w:tcPr>
          <w:p w14:paraId="62399D88" w14:textId="77777777" w:rsidR="004A0107" w:rsidRPr="004A0107" w:rsidRDefault="004A0107" w:rsidP="0073599C">
            <w:pPr>
              <w:spacing w:before="0" w:after="0"/>
              <w:jc w:val="center"/>
              <w:rPr>
                <w:rFonts w:ascii="Times New Roman" w:hAnsi="Times New Roman"/>
                <w:b/>
                <w:sz w:val="16"/>
                <w:szCs w:val="16"/>
              </w:rPr>
            </w:pPr>
            <w:r w:rsidRPr="004A0107">
              <w:rPr>
                <w:rFonts w:ascii="Times New Roman" w:hAnsi="Times New Roman"/>
                <w:b/>
                <w:sz w:val="16"/>
                <w:szCs w:val="16"/>
              </w:rPr>
              <w:t>2027</w:t>
            </w:r>
          </w:p>
        </w:tc>
        <w:tc>
          <w:tcPr>
            <w:tcW w:w="1276" w:type="dxa"/>
            <w:vMerge w:val="restart"/>
            <w:shd w:val="clear" w:color="auto" w:fill="D9D9D9" w:themeFill="background1" w:themeFillShade="D9"/>
          </w:tcPr>
          <w:p w14:paraId="575D55B4" w14:textId="3A7FAF84" w:rsidR="004A0107" w:rsidRPr="004A0107" w:rsidRDefault="004A0107" w:rsidP="0073599C">
            <w:pPr>
              <w:spacing w:before="0" w:after="0"/>
              <w:rPr>
                <w:rFonts w:ascii="Times New Roman" w:hAnsi="Times New Roman"/>
                <w:b/>
                <w:sz w:val="16"/>
                <w:szCs w:val="16"/>
              </w:rPr>
            </w:pPr>
            <w:r>
              <w:rPr>
                <w:rFonts w:ascii="Times New Roman" w:hAnsi="Times New Roman"/>
                <w:b/>
                <w:sz w:val="16"/>
                <w:szCs w:val="16"/>
              </w:rPr>
              <w:t>Kopā</w:t>
            </w:r>
          </w:p>
        </w:tc>
      </w:tr>
      <w:tr w:rsidR="004A0107" w:rsidRPr="004A0107" w14:paraId="5A31DE27" w14:textId="77777777" w:rsidTr="00587674">
        <w:trPr>
          <w:trHeight w:val="199"/>
        </w:trPr>
        <w:tc>
          <w:tcPr>
            <w:tcW w:w="851" w:type="dxa"/>
            <w:vMerge/>
          </w:tcPr>
          <w:p w14:paraId="4D8905DD" w14:textId="77777777" w:rsidR="004A0107" w:rsidRPr="004A0107" w:rsidRDefault="004A0107" w:rsidP="0073599C">
            <w:pPr>
              <w:spacing w:before="0" w:after="0"/>
              <w:rPr>
                <w:rFonts w:ascii="Times New Roman" w:hAnsi="Times New Roman"/>
                <w:b/>
                <w:sz w:val="16"/>
                <w:szCs w:val="16"/>
              </w:rPr>
            </w:pPr>
          </w:p>
        </w:tc>
        <w:tc>
          <w:tcPr>
            <w:tcW w:w="992" w:type="dxa"/>
            <w:vMerge/>
          </w:tcPr>
          <w:p w14:paraId="1CB2C814" w14:textId="77777777" w:rsidR="004A0107" w:rsidRPr="004A0107" w:rsidRDefault="004A0107" w:rsidP="0073599C">
            <w:pPr>
              <w:spacing w:before="0" w:after="0"/>
              <w:rPr>
                <w:rFonts w:ascii="Times New Roman" w:hAnsi="Times New Roman"/>
                <w:b/>
                <w:sz w:val="16"/>
                <w:szCs w:val="16"/>
              </w:rPr>
            </w:pPr>
          </w:p>
        </w:tc>
        <w:tc>
          <w:tcPr>
            <w:tcW w:w="1351" w:type="dxa"/>
            <w:vMerge/>
          </w:tcPr>
          <w:p w14:paraId="11B2641C" w14:textId="77777777" w:rsidR="004A0107" w:rsidRPr="004A0107" w:rsidRDefault="004A0107" w:rsidP="0073599C">
            <w:pPr>
              <w:spacing w:before="0" w:after="0"/>
              <w:rPr>
                <w:rFonts w:ascii="Times New Roman" w:hAnsi="Times New Roman"/>
                <w:b/>
                <w:sz w:val="16"/>
                <w:szCs w:val="16"/>
              </w:rPr>
            </w:pPr>
          </w:p>
        </w:tc>
        <w:tc>
          <w:tcPr>
            <w:tcW w:w="766" w:type="dxa"/>
            <w:vMerge/>
          </w:tcPr>
          <w:p w14:paraId="03B74C89" w14:textId="77777777" w:rsidR="004A0107" w:rsidRPr="004A0107" w:rsidRDefault="004A0107" w:rsidP="0073599C">
            <w:pPr>
              <w:spacing w:before="0" w:after="0"/>
              <w:rPr>
                <w:rFonts w:ascii="Times New Roman" w:hAnsi="Times New Roman"/>
                <w:b/>
                <w:sz w:val="16"/>
                <w:szCs w:val="16"/>
              </w:rPr>
            </w:pPr>
          </w:p>
        </w:tc>
        <w:tc>
          <w:tcPr>
            <w:tcW w:w="850" w:type="dxa"/>
            <w:vMerge/>
          </w:tcPr>
          <w:p w14:paraId="29FFC663" w14:textId="77777777" w:rsidR="004A0107" w:rsidRPr="004A0107" w:rsidRDefault="004A0107" w:rsidP="0073599C">
            <w:pPr>
              <w:spacing w:before="0" w:after="0"/>
              <w:rPr>
                <w:rFonts w:ascii="Times New Roman" w:hAnsi="Times New Roman"/>
                <w:b/>
                <w:sz w:val="16"/>
                <w:szCs w:val="16"/>
              </w:rPr>
            </w:pPr>
          </w:p>
        </w:tc>
        <w:tc>
          <w:tcPr>
            <w:tcW w:w="992" w:type="dxa"/>
            <w:vMerge/>
          </w:tcPr>
          <w:p w14:paraId="546A9AA8" w14:textId="77777777" w:rsidR="004A0107" w:rsidRPr="004A0107" w:rsidRDefault="004A0107" w:rsidP="0073599C">
            <w:pPr>
              <w:spacing w:before="0" w:after="0"/>
              <w:rPr>
                <w:rFonts w:ascii="Times New Roman" w:hAnsi="Times New Roman"/>
                <w:b/>
                <w:sz w:val="16"/>
                <w:szCs w:val="16"/>
              </w:rPr>
            </w:pPr>
          </w:p>
        </w:tc>
        <w:tc>
          <w:tcPr>
            <w:tcW w:w="1134" w:type="dxa"/>
            <w:vMerge/>
          </w:tcPr>
          <w:p w14:paraId="18BBFEF1" w14:textId="77777777" w:rsidR="004A0107" w:rsidRPr="004A0107" w:rsidRDefault="004A0107" w:rsidP="0073599C">
            <w:pPr>
              <w:spacing w:before="0" w:after="0"/>
              <w:rPr>
                <w:rFonts w:ascii="Times New Roman" w:hAnsi="Times New Roman"/>
                <w:b/>
                <w:sz w:val="16"/>
                <w:szCs w:val="16"/>
              </w:rPr>
            </w:pPr>
          </w:p>
        </w:tc>
        <w:tc>
          <w:tcPr>
            <w:tcW w:w="1134" w:type="dxa"/>
            <w:vMerge/>
          </w:tcPr>
          <w:p w14:paraId="7F302A34" w14:textId="77777777" w:rsidR="004A0107" w:rsidRPr="004A0107" w:rsidRDefault="004A0107" w:rsidP="0073599C">
            <w:pPr>
              <w:spacing w:before="0" w:after="0"/>
              <w:rPr>
                <w:rFonts w:ascii="Times New Roman" w:hAnsi="Times New Roman"/>
                <w:b/>
                <w:sz w:val="16"/>
                <w:szCs w:val="16"/>
              </w:rPr>
            </w:pPr>
          </w:p>
        </w:tc>
        <w:tc>
          <w:tcPr>
            <w:tcW w:w="1276" w:type="dxa"/>
            <w:shd w:val="clear" w:color="auto" w:fill="D9D9D9" w:themeFill="background1" w:themeFillShade="D9"/>
          </w:tcPr>
          <w:p w14:paraId="75D0181B" w14:textId="64C02669" w:rsidR="004A0107" w:rsidRPr="004A0107" w:rsidRDefault="004A0107" w:rsidP="0073599C">
            <w:pPr>
              <w:spacing w:before="0" w:after="0"/>
              <w:jc w:val="center"/>
              <w:rPr>
                <w:rFonts w:ascii="Times New Roman" w:hAnsi="Times New Roman"/>
                <w:b/>
                <w:sz w:val="16"/>
                <w:szCs w:val="16"/>
              </w:rPr>
            </w:pPr>
            <w:r>
              <w:rPr>
                <w:rFonts w:ascii="Times New Roman" w:hAnsi="Times New Roman"/>
                <w:sz w:val="16"/>
                <w:szCs w:val="16"/>
              </w:rPr>
              <w:t>Finansējums bez elastības finansējuma</w:t>
            </w:r>
          </w:p>
        </w:tc>
        <w:tc>
          <w:tcPr>
            <w:tcW w:w="1276" w:type="dxa"/>
            <w:shd w:val="clear" w:color="auto" w:fill="D9D9D9" w:themeFill="background1" w:themeFillShade="D9"/>
          </w:tcPr>
          <w:p w14:paraId="4B39B087" w14:textId="7C57FE73" w:rsidR="004A0107" w:rsidRPr="004A0107" w:rsidRDefault="004A0107" w:rsidP="0073599C">
            <w:pPr>
              <w:spacing w:before="0" w:after="0"/>
              <w:rPr>
                <w:rFonts w:ascii="Times New Roman" w:hAnsi="Times New Roman"/>
                <w:sz w:val="16"/>
                <w:szCs w:val="16"/>
              </w:rPr>
            </w:pPr>
            <w:r>
              <w:rPr>
                <w:rFonts w:ascii="Times New Roman" w:hAnsi="Times New Roman"/>
                <w:sz w:val="16"/>
                <w:szCs w:val="16"/>
              </w:rPr>
              <w:t>Elastības finansējums</w:t>
            </w:r>
          </w:p>
        </w:tc>
        <w:tc>
          <w:tcPr>
            <w:tcW w:w="1276" w:type="dxa"/>
            <w:shd w:val="clear" w:color="auto" w:fill="D9D9D9" w:themeFill="background1" w:themeFillShade="D9"/>
          </w:tcPr>
          <w:p w14:paraId="7F361A75" w14:textId="6BD65BC4" w:rsidR="004A0107" w:rsidRPr="004A0107" w:rsidRDefault="004A0107" w:rsidP="0073599C">
            <w:pPr>
              <w:spacing w:before="0" w:after="0"/>
              <w:jc w:val="center"/>
              <w:rPr>
                <w:rFonts w:ascii="Times New Roman" w:hAnsi="Times New Roman"/>
                <w:b/>
                <w:sz w:val="16"/>
                <w:szCs w:val="16"/>
              </w:rPr>
            </w:pPr>
            <w:r>
              <w:rPr>
                <w:rFonts w:ascii="Times New Roman" w:hAnsi="Times New Roman"/>
                <w:sz w:val="16"/>
                <w:szCs w:val="16"/>
              </w:rPr>
              <w:t>Finansējums bez elastības finansējuma</w:t>
            </w:r>
          </w:p>
        </w:tc>
        <w:tc>
          <w:tcPr>
            <w:tcW w:w="1275" w:type="dxa"/>
            <w:shd w:val="clear" w:color="auto" w:fill="D9D9D9" w:themeFill="background1" w:themeFillShade="D9"/>
          </w:tcPr>
          <w:p w14:paraId="59A1FE87" w14:textId="2BB76689" w:rsidR="004A0107" w:rsidRPr="004A0107" w:rsidRDefault="004A0107" w:rsidP="0073599C">
            <w:pPr>
              <w:spacing w:before="0" w:after="0"/>
              <w:rPr>
                <w:rFonts w:ascii="Times New Roman" w:hAnsi="Times New Roman"/>
                <w:sz w:val="16"/>
                <w:szCs w:val="16"/>
              </w:rPr>
            </w:pPr>
            <w:r>
              <w:rPr>
                <w:rFonts w:ascii="Times New Roman" w:hAnsi="Times New Roman"/>
                <w:sz w:val="16"/>
                <w:szCs w:val="16"/>
              </w:rPr>
              <w:t>Elastības finansējums</w:t>
            </w:r>
          </w:p>
        </w:tc>
        <w:tc>
          <w:tcPr>
            <w:tcW w:w="1276" w:type="dxa"/>
            <w:vMerge/>
          </w:tcPr>
          <w:p w14:paraId="36AE5CFB" w14:textId="77777777" w:rsidR="004A0107" w:rsidRPr="004A0107" w:rsidRDefault="004A0107" w:rsidP="0073599C">
            <w:pPr>
              <w:spacing w:before="0" w:after="0"/>
              <w:rPr>
                <w:rFonts w:ascii="Times New Roman" w:hAnsi="Times New Roman"/>
                <w:b/>
                <w:sz w:val="16"/>
                <w:szCs w:val="16"/>
              </w:rPr>
            </w:pPr>
          </w:p>
        </w:tc>
      </w:tr>
      <w:tr w:rsidR="004A0107" w:rsidRPr="004A0107" w14:paraId="2B867BCB" w14:textId="77777777" w:rsidTr="004A0107">
        <w:tc>
          <w:tcPr>
            <w:tcW w:w="851" w:type="dxa"/>
          </w:tcPr>
          <w:p w14:paraId="46245742" w14:textId="48D33688" w:rsidR="004A0107" w:rsidRPr="004A0107" w:rsidRDefault="004A0107" w:rsidP="0073599C">
            <w:pPr>
              <w:spacing w:before="0" w:after="0"/>
              <w:rPr>
                <w:rFonts w:ascii="Times New Roman" w:hAnsi="Times New Roman"/>
                <w:sz w:val="16"/>
                <w:szCs w:val="16"/>
              </w:rPr>
            </w:pPr>
            <w:r w:rsidRPr="004A0107">
              <w:rPr>
                <w:rFonts w:ascii="Times New Roman" w:hAnsi="Times New Roman"/>
                <w:sz w:val="16"/>
                <w:szCs w:val="16"/>
              </w:rPr>
              <w:t>ER</w:t>
            </w:r>
            <w:r w:rsidR="00587674">
              <w:rPr>
                <w:rFonts w:ascii="Times New Roman" w:hAnsi="Times New Roman"/>
                <w:sz w:val="16"/>
                <w:szCs w:val="16"/>
              </w:rPr>
              <w:t>A</w:t>
            </w:r>
            <w:r w:rsidRPr="004A0107">
              <w:rPr>
                <w:rFonts w:ascii="Times New Roman" w:hAnsi="Times New Roman"/>
                <w:sz w:val="16"/>
                <w:szCs w:val="16"/>
              </w:rPr>
              <w:t>F</w:t>
            </w:r>
          </w:p>
        </w:tc>
        <w:tc>
          <w:tcPr>
            <w:tcW w:w="992" w:type="dxa"/>
          </w:tcPr>
          <w:p w14:paraId="7B3457B0" w14:textId="4BE4F1AE" w:rsidR="004A0107" w:rsidRPr="004A0107" w:rsidRDefault="004A0107" w:rsidP="0073599C">
            <w:pPr>
              <w:spacing w:before="0" w:after="0"/>
              <w:rPr>
                <w:rFonts w:ascii="Times New Roman" w:hAnsi="Times New Roman"/>
                <w:sz w:val="16"/>
                <w:szCs w:val="16"/>
              </w:rPr>
            </w:pPr>
            <w:r>
              <w:rPr>
                <w:rFonts w:ascii="Times New Roman" w:hAnsi="Times New Roman"/>
                <w:sz w:val="16"/>
                <w:szCs w:val="16"/>
              </w:rPr>
              <w:t>Mazāk attīstīts</w:t>
            </w:r>
          </w:p>
        </w:tc>
        <w:tc>
          <w:tcPr>
            <w:tcW w:w="1351" w:type="dxa"/>
          </w:tcPr>
          <w:p w14:paraId="2214FD8A" w14:textId="77777777" w:rsidR="004A0107" w:rsidRPr="004A0107" w:rsidRDefault="004A0107" w:rsidP="0073599C">
            <w:pPr>
              <w:spacing w:before="0" w:after="0"/>
              <w:rPr>
                <w:rFonts w:ascii="Times New Roman" w:hAnsi="Times New Roman"/>
                <w:b/>
                <w:sz w:val="16"/>
                <w:szCs w:val="16"/>
              </w:rPr>
            </w:pPr>
          </w:p>
        </w:tc>
        <w:tc>
          <w:tcPr>
            <w:tcW w:w="766" w:type="dxa"/>
          </w:tcPr>
          <w:p w14:paraId="1A4F61B0" w14:textId="77777777" w:rsidR="004A0107" w:rsidRPr="004A0107" w:rsidRDefault="004A0107" w:rsidP="0073599C">
            <w:pPr>
              <w:spacing w:before="0" w:after="0"/>
              <w:rPr>
                <w:rFonts w:ascii="Times New Roman" w:hAnsi="Times New Roman"/>
                <w:b/>
                <w:sz w:val="16"/>
                <w:szCs w:val="16"/>
              </w:rPr>
            </w:pPr>
          </w:p>
        </w:tc>
        <w:tc>
          <w:tcPr>
            <w:tcW w:w="850" w:type="dxa"/>
          </w:tcPr>
          <w:p w14:paraId="72636C82" w14:textId="77777777" w:rsidR="004A0107" w:rsidRPr="004A0107" w:rsidRDefault="004A0107" w:rsidP="0073599C">
            <w:pPr>
              <w:spacing w:before="0" w:after="0"/>
              <w:rPr>
                <w:rFonts w:ascii="Times New Roman" w:hAnsi="Times New Roman"/>
                <w:b/>
                <w:sz w:val="16"/>
                <w:szCs w:val="16"/>
              </w:rPr>
            </w:pPr>
          </w:p>
        </w:tc>
        <w:tc>
          <w:tcPr>
            <w:tcW w:w="992" w:type="dxa"/>
          </w:tcPr>
          <w:p w14:paraId="6B46B3AE" w14:textId="77777777" w:rsidR="004A0107" w:rsidRPr="004A0107" w:rsidRDefault="004A0107" w:rsidP="0073599C">
            <w:pPr>
              <w:spacing w:before="0" w:after="0"/>
              <w:rPr>
                <w:rFonts w:ascii="Times New Roman" w:hAnsi="Times New Roman"/>
                <w:b/>
                <w:sz w:val="16"/>
                <w:szCs w:val="16"/>
              </w:rPr>
            </w:pPr>
          </w:p>
        </w:tc>
        <w:tc>
          <w:tcPr>
            <w:tcW w:w="1134" w:type="dxa"/>
          </w:tcPr>
          <w:p w14:paraId="12680F2D" w14:textId="77777777" w:rsidR="004A0107" w:rsidRPr="004A0107" w:rsidRDefault="004A0107" w:rsidP="0073599C">
            <w:pPr>
              <w:spacing w:before="0" w:after="0"/>
              <w:rPr>
                <w:rFonts w:ascii="Times New Roman" w:hAnsi="Times New Roman"/>
                <w:b/>
                <w:sz w:val="16"/>
                <w:szCs w:val="16"/>
              </w:rPr>
            </w:pPr>
          </w:p>
        </w:tc>
        <w:tc>
          <w:tcPr>
            <w:tcW w:w="1134" w:type="dxa"/>
          </w:tcPr>
          <w:p w14:paraId="3D1AF9A7" w14:textId="77777777" w:rsidR="004A0107" w:rsidRPr="004A0107" w:rsidRDefault="004A0107" w:rsidP="0073599C">
            <w:pPr>
              <w:spacing w:before="0" w:after="0"/>
              <w:rPr>
                <w:rFonts w:ascii="Times New Roman" w:hAnsi="Times New Roman"/>
                <w:b/>
                <w:sz w:val="16"/>
                <w:szCs w:val="16"/>
              </w:rPr>
            </w:pPr>
          </w:p>
        </w:tc>
        <w:tc>
          <w:tcPr>
            <w:tcW w:w="1276" w:type="dxa"/>
          </w:tcPr>
          <w:p w14:paraId="4EE8605F" w14:textId="77777777" w:rsidR="004A0107" w:rsidRPr="004A0107" w:rsidRDefault="004A0107" w:rsidP="0073599C">
            <w:pPr>
              <w:spacing w:before="0" w:after="0"/>
              <w:rPr>
                <w:rFonts w:ascii="Times New Roman" w:hAnsi="Times New Roman"/>
                <w:b/>
                <w:sz w:val="16"/>
                <w:szCs w:val="16"/>
              </w:rPr>
            </w:pPr>
          </w:p>
        </w:tc>
        <w:tc>
          <w:tcPr>
            <w:tcW w:w="1276" w:type="dxa"/>
          </w:tcPr>
          <w:p w14:paraId="43C5FB25" w14:textId="77777777" w:rsidR="004A0107" w:rsidRPr="004A0107" w:rsidRDefault="004A0107" w:rsidP="0073599C">
            <w:pPr>
              <w:spacing w:before="0" w:after="0"/>
              <w:rPr>
                <w:rFonts w:ascii="Times New Roman" w:hAnsi="Times New Roman"/>
                <w:b/>
                <w:sz w:val="16"/>
                <w:szCs w:val="16"/>
              </w:rPr>
            </w:pPr>
          </w:p>
        </w:tc>
        <w:tc>
          <w:tcPr>
            <w:tcW w:w="1276" w:type="dxa"/>
          </w:tcPr>
          <w:p w14:paraId="1D40A418" w14:textId="77777777" w:rsidR="004A0107" w:rsidRPr="004A0107" w:rsidRDefault="004A0107" w:rsidP="0073599C">
            <w:pPr>
              <w:spacing w:before="0" w:after="0"/>
              <w:rPr>
                <w:rFonts w:ascii="Times New Roman" w:hAnsi="Times New Roman"/>
                <w:b/>
                <w:sz w:val="16"/>
                <w:szCs w:val="16"/>
              </w:rPr>
            </w:pPr>
          </w:p>
        </w:tc>
        <w:tc>
          <w:tcPr>
            <w:tcW w:w="1275" w:type="dxa"/>
          </w:tcPr>
          <w:p w14:paraId="53E3E48A" w14:textId="77777777" w:rsidR="004A0107" w:rsidRPr="004A0107" w:rsidRDefault="004A0107" w:rsidP="0073599C">
            <w:pPr>
              <w:spacing w:before="0" w:after="0"/>
              <w:rPr>
                <w:rFonts w:ascii="Times New Roman" w:hAnsi="Times New Roman"/>
                <w:b/>
                <w:sz w:val="16"/>
                <w:szCs w:val="16"/>
              </w:rPr>
            </w:pPr>
          </w:p>
        </w:tc>
        <w:tc>
          <w:tcPr>
            <w:tcW w:w="1276" w:type="dxa"/>
          </w:tcPr>
          <w:p w14:paraId="68C36855" w14:textId="77777777" w:rsidR="004A0107" w:rsidRPr="004A0107" w:rsidRDefault="004A0107" w:rsidP="0073599C">
            <w:pPr>
              <w:spacing w:before="0" w:after="0"/>
              <w:rPr>
                <w:rFonts w:ascii="Times New Roman" w:hAnsi="Times New Roman"/>
                <w:b/>
                <w:sz w:val="16"/>
                <w:szCs w:val="16"/>
              </w:rPr>
            </w:pPr>
          </w:p>
        </w:tc>
      </w:tr>
      <w:tr w:rsidR="004A0107" w:rsidRPr="004A0107" w14:paraId="55C4BA30" w14:textId="77777777" w:rsidTr="004A0107">
        <w:tc>
          <w:tcPr>
            <w:tcW w:w="851" w:type="dxa"/>
          </w:tcPr>
          <w:p w14:paraId="6986F412" w14:textId="77777777" w:rsidR="004A0107" w:rsidRPr="004A0107" w:rsidRDefault="004A0107" w:rsidP="0073599C">
            <w:pPr>
              <w:spacing w:before="0" w:after="0"/>
              <w:rPr>
                <w:rFonts w:ascii="Times New Roman" w:hAnsi="Times New Roman"/>
                <w:sz w:val="16"/>
                <w:szCs w:val="16"/>
              </w:rPr>
            </w:pPr>
            <w:r w:rsidRPr="004A0107">
              <w:rPr>
                <w:rFonts w:ascii="Times New Roman" w:hAnsi="Times New Roman"/>
                <w:sz w:val="16"/>
                <w:szCs w:val="16"/>
              </w:rPr>
              <w:t>ESF+</w:t>
            </w:r>
          </w:p>
        </w:tc>
        <w:tc>
          <w:tcPr>
            <w:tcW w:w="992" w:type="dxa"/>
          </w:tcPr>
          <w:p w14:paraId="794E47C1" w14:textId="13019226" w:rsidR="004A0107" w:rsidRPr="004A0107" w:rsidRDefault="004A0107" w:rsidP="0073599C">
            <w:pPr>
              <w:spacing w:before="0" w:after="0"/>
              <w:rPr>
                <w:rFonts w:ascii="Times New Roman" w:hAnsi="Times New Roman"/>
                <w:sz w:val="16"/>
                <w:szCs w:val="16"/>
              </w:rPr>
            </w:pPr>
            <w:r>
              <w:rPr>
                <w:rFonts w:ascii="Times New Roman" w:hAnsi="Times New Roman"/>
                <w:sz w:val="16"/>
                <w:szCs w:val="16"/>
              </w:rPr>
              <w:t>Mazāk attīstīts</w:t>
            </w:r>
          </w:p>
        </w:tc>
        <w:tc>
          <w:tcPr>
            <w:tcW w:w="1351" w:type="dxa"/>
          </w:tcPr>
          <w:p w14:paraId="4B23A28F" w14:textId="77777777" w:rsidR="004A0107" w:rsidRPr="004A0107" w:rsidRDefault="004A0107" w:rsidP="0073599C">
            <w:pPr>
              <w:spacing w:before="0" w:after="0"/>
              <w:rPr>
                <w:rFonts w:ascii="Times New Roman" w:hAnsi="Times New Roman"/>
                <w:sz w:val="16"/>
                <w:szCs w:val="16"/>
              </w:rPr>
            </w:pPr>
          </w:p>
        </w:tc>
        <w:tc>
          <w:tcPr>
            <w:tcW w:w="766" w:type="dxa"/>
          </w:tcPr>
          <w:p w14:paraId="31203412" w14:textId="77777777" w:rsidR="004A0107" w:rsidRPr="004A0107" w:rsidRDefault="004A0107" w:rsidP="0073599C">
            <w:pPr>
              <w:spacing w:before="0" w:after="0"/>
              <w:rPr>
                <w:rFonts w:ascii="Times New Roman" w:hAnsi="Times New Roman"/>
                <w:sz w:val="16"/>
                <w:szCs w:val="16"/>
              </w:rPr>
            </w:pPr>
          </w:p>
        </w:tc>
        <w:tc>
          <w:tcPr>
            <w:tcW w:w="850" w:type="dxa"/>
          </w:tcPr>
          <w:p w14:paraId="3B7A7480" w14:textId="77777777" w:rsidR="004A0107" w:rsidRPr="004A0107" w:rsidRDefault="004A0107" w:rsidP="0073599C">
            <w:pPr>
              <w:spacing w:before="0" w:after="0"/>
              <w:rPr>
                <w:rFonts w:ascii="Times New Roman" w:hAnsi="Times New Roman"/>
                <w:sz w:val="16"/>
                <w:szCs w:val="16"/>
              </w:rPr>
            </w:pPr>
          </w:p>
        </w:tc>
        <w:tc>
          <w:tcPr>
            <w:tcW w:w="992" w:type="dxa"/>
          </w:tcPr>
          <w:p w14:paraId="63D423CC" w14:textId="77777777" w:rsidR="004A0107" w:rsidRPr="004A0107" w:rsidRDefault="004A0107" w:rsidP="0073599C">
            <w:pPr>
              <w:spacing w:before="0" w:after="0"/>
              <w:rPr>
                <w:rFonts w:ascii="Times New Roman" w:hAnsi="Times New Roman"/>
                <w:sz w:val="16"/>
                <w:szCs w:val="16"/>
              </w:rPr>
            </w:pPr>
          </w:p>
        </w:tc>
        <w:tc>
          <w:tcPr>
            <w:tcW w:w="1134" w:type="dxa"/>
          </w:tcPr>
          <w:p w14:paraId="5C6E2605" w14:textId="77777777" w:rsidR="004A0107" w:rsidRPr="004A0107" w:rsidRDefault="004A0107" w:rsidP="0073599C">
            <w:pPr>
              <w:spacing w:before="0" w:after="0"/>
              <w:rPr>
                <w:rFonts w:ascii="Times New Roman" w:hAnsi="Times New Roman"/>
                <w:sz w:val="16"/>
                <w:szCs w:val="16"/>
              </w:rPr>
            </w:pPr>
          </w:p>
        </w:tc>
        <w:tc>
          <w:tcPr>
            <w:tcW w:w="1134" w:type="dxa"/>
          </w:tcPr>
          <w:p w14:paraId="08B570A7" w14:textId="77777777" w:rsidR="004A0107" w:rsidRPr="004A0107" w:rsidRDefault="004A0107" w:rsidP="0073599C">
            <w:pPr>
              <w:spacing w:before="0" w:after="0"/>
              <w:rPr>
                <w:rFonts w:ascii="Times New Roman" w:hAnsi="Times New Roman"/>
                <w:sz w:val="16"/>
                <w:szCs w:val="16"/>
              </w:rPr>
            </w:pPr>
          </w:p>
        </w:tc>
        <w:tc>
          <w:tcPr>
            <w:tcW w:w="1276" w:type="dxa"/>
          </w:tcPr>
          <w:p w14:paraId="33AF5A2F" w14:textId="77777777" w:rsidR="004A0107" w:rsidRPr="004A0107" w:rsidRDefault="004A0107" w:rsidP="0073599C">
            <w:pPr>
              <w:spacing w:before="0" w:after="0"/>
              <w:rPr>
                <w:rFonts w:ascii="Times New Roman" w:hAnsi="Times New Roman"/>
                <w:sz w:val="16"/>
                <w:szCs w:val="16"/>
              </w:rPr>
            </w:pPr>
          </w:p>
        </w:tc>
        <w:tc>
          <w:tcPr>
            <w:tcW w:w="1276" w:type="dxa"/>
          </w:tcPr>
          <w:p w14:paraId="69239AA8" w14:textId="77777777" w:rsidR="004A0107" w:rsidRPr="004A0107" w:rsidRDefault="004A0107" w:rsidP="0073599C">
            <w:pPr>
              <w:spacing w:before="0" w:after="0"/>
              <w:rPr>
                <w:rFonts w:ascii="Times New Roman" w:hAnsi="Times New Roman"/>
                <w:sz w:val="16"/>
                <w:szCs w:val="16"/>
              </w:rPr>
            </w:pPr>
          </w:p>
        </w:tc>
        <w:tc>
          <w:tcPr>
            <w:tcW w:w="1276" w:type="dxa"/>
          </w:tcPr>
          <w:p w14:paraId="15F11A37" w14:textId="77777777" w:rsidR="004A0107" w:rsidRPr="004A0107" w:rsidRDefault="004A0107" w:rsidP="0073599C">
            <w:pPr>
              <w:spacing w:before="0" w:after="0"/>
              <w:rPr>
                <w:rFonts w:ascii="Times New Roman" w:hAnsi="Times New Roman"/>
                <w:sz w:val="16"/>
                <w:szCs w:val="16"/>
              </w:rPr>
            </w:pPr>
          </w:p>
        </w:tc>
        <w:tc>
          <w:tcPr>
            <w:tcW w:w="1275" w:type="dxa"/>
          </w:tcPr>
          <w:p w14:paraId="5D877B22" w14:textId="77777777" w:rsidR="004A0107" w:rsidRPr="004A0107" w:rsidRDefault="004A0107" w:rsidP="0073599C">
            <w:pPr>
              <w:spacing w:before="0" w:after="0"/>
              <w:rPr>
                <w:rFonts w:ascii="Times New Roman" w:hAnsi="Times New Roman"/>
                <w:sz w:val="16"/>
                <w:szCs w:val="16"/>
              </w:rPr>
            </w:pPr>
          </w:p>
        </w:tc>
        <w:tc>
          <w:tcPr>
            <w:tcW w:w="1276" w:type="dxa"/>
          </w:tcPr>
          <w:p w14:paraId="318BA84F" w14:textId="77777777" w:rsidR="004A0107" w:rsidRPr="004A0107" w:rsidRDefault="004A0107" w:rsidP="0073599C">
            <w:pPr>
              <w:spacing w:before="0" w:after="0"/>
              <w:rPr>
                <w:rFonts w:ascii="Times New Roman" w:hAnsi="Times New Roman"/>
                <w:sz w:val="16"/>
                <w:szCs w:val="16"/>
              </w:rPr>
            </w:pPr>
          </w:p>
        </w:tc>
      </w:tr>
      <w:tr w:rsidR="004A0107" w:rsidRPr="004A0107" w14:paraId="2E3EF7FD" w14:textId="77777777" w:rsidTr="004A0107">
        <w:tc>
          <w:tcPr>
            <w:tcW w:w="851" w:type="dxa"/>
          </w:tcPr>
          <w:p w14:paraId="2DE5DD7F" w14:textId="1F80B8AF" w:rsidR="004A0107" w:rsidRPr="004A0107" w:rsidRDefault="004A0107" w:rsidP="0073599C">
            <w:pPr>
              <w:spacing w:before="0" w:after="0"/>
              <w:rPr>
                <w:rFonts w:ascii="Times New Roman" w:hAnsi="Times New Roman"/>
                <w:sz w:val="16"/>
                <w:szCs w:val="16"/>
              </w:rPr>
            </w:pPr>
            <w:r>
              <w:rPr>
                <w:rFonts w:ascii="Times New Roman" w:hAnsi="Times New Roman"/>
                <w:sz w:val="16"/>
                <w:szCs w:val="16"/>
              </w:rPr>
              <w:t>K</w:t>
            </w:r>
            <w:r w:rsidRPr="004A0107">
              <w:rPr>
                <w:rFonts w:ascii="Times New Roman" w:hAnsi="Times New Roman"/>
                <w:sz w:val="16"/>
                <w:szCs w:val="16"/>
              </w:rPr>
              <w:t>F</w:t>
            </w:r>
          </w:p>
        </w:tc>
        <w:tc>
          <w:tcPr>
            <w:tcW w:w="992" w:type="dxa"/>
          </w:tcPr>
          <w:p w14:paraId="666F1518" w14:textId="77777777" w:rsidR="004A0107" w:rsidRPr="004A0107" w:rsidRDefault="004A0107" w:rsidP="0073599C">
            <w:pPr>
              <w:spacing w:before="0" w:after="0"/>
              <w:rPr>
                <w:rFonts w:ascii="Times New Roman" w:hAnsi="Times New Roman"/>
                <w:sz w:val="16"/>
                <w:szCs w:val="16"/>
              </w:rPr>
            </w:pPr>
            <w:r w:rsidRPr="004A0107">
              <w:rPr>
                <w:rFonts w:ascii="Times New Roman" w:hAnsi="Times New Roman"/>
                <w:sz w:val="16"/>
                <w:szCs w:val="16"/>
              </w:rPr>
              <w:t>N/A</w:t>
            </w:r>
          </w:p>
        </w:tc>
        <w:tc>
          <w:tcPr>
            <w:tcW w:w="1351" w:type="dxa"/>
          </w:tcPr>
          <w:p w14:paraId="4E893041" w14:textId="77777777" w:rsidR="004A0107" w:rsidRPr="004A0107" w:rsidRDefault="004A0107" w:rsidP="0073599C">
            <w:pPr>
              <w:spacing w:before="0" w:after="0"/>
              <w:rPr>
                <w:rFonts w:ascii="Times New Roman" w:hAnsi="Times New Roman"/>
                <w:sz w:val="16"/>
                <w:szCs w:val="16"/>
              </w:rPr>
            </w:pPr>
          </w:p>
        </w:tc>
        <w:tc>
          <w:tcPr>
            <w:tcW w:w="766" w:type="dxa"/>
          </w:tcPr>
          <w:p w14:paraId="000D1518" w14:textId="77777777" w:rsidR="004A0107" w:rsidRPr="004A0107" w:rsidRDefault="004A0107" w:rsidP="0073599C">
            <w:pPr>
              <w:spacing w:before="0" w:after="0"/>
              <w:rPr>
                <w:rFonts w:ascii="Times New Roman" w:hAnsi="Times New Roman"/>
                <w:sz w:val="16"/>
                <w:szCs w:val="16"/>
              </w:rPr>
            </w:pPr>
          </w:p>
        </w:tc>
        <w:tc>
          <w:tcPr>
            <w:tcW w:w="850" w:type="dxa"/>
          </w:tcPr>
          <w:p w14:paraId="10EEE747" w14:textId="77777777" w:rsidR="004A0107" w:rsidRPr="004A0107" w:rsidRDefault="004A0107" w:rsidP="0073599C">
            <w:pPr>
              <w:spacing w:before="0" w:after="0"/>
              <w:rPr>
                <w:rFonts w:ascii="Times New Roman" w:hAnsi="Times New Roman"/>
                <w:sz w:val="16"/>
                <w:szCs w:val="16"/>
              </w:rPr>
            </w:pPr>
          </w:p>
        </w:tc>
        <w:tc>
          <w:tcPr>
            <w:tcW w:w="992" w:type="dxa"/>
          </w:tcPr>
          <w:p w14:paraId="382B530E" w14:textId="77777777" w:rsidR="004A0107" w:rsidRPr="004A0107" w:rsidRDefault="004A0107" w:rsidP="0073599C">
            <w:pPr>
              <w:spacing w:before="0" w:after="0"/>
              <w:rPr>
                <w:rFonts w:ascii="Times New Roman" w:hAnsi="Times New Roman"/>
                <w:sz w:val="16"/>
                <w:szCs w:val="16"/>
              </w:rPr>
            </w:pPr>
          </w:p>
        </w:tc>
        <w:tc>
          <w:tcPr>
            <w:tcW w:w="1134" w:type="dxa"/>
          </w:tcPr>
          <w:p w14:paraId="711E136C" w14:textId="77777777" w:rsidR="004A0107" w:rsidRPr="004A0107" w:rsidRDefault="004A0107" w:rsidP="0073599C">
            <w:pPr>
              <w:spacing w:before="0" w:after="0"/>
              <w:rPr>
                <w:rFonts w:ascii="Times New Roman" w:hAnsi="Times New Roman"/>
                <w:sz w:val="16"/>
                <w:szCs w:val="16"/>
              </w:rPr>
            </w:pPr>
          </w:p>
        </w:tc>
        <w:tc>
          <w:tcPr>
            <w:tcW w:w="1134" w:type="dxa"/>
          </w:tcPr>
          <w:p w14:paraId="29DC0DF9" w14:textId="77777777" w:rsidR="004A0107" w:rsidRPr="004A0107" w:rsidRDefault="004A0107" w:rsidP="0073599C">
            <w:pPr>
              <w:spacing w:before="0" w:after="0"/>
              <w:rPr>
                <w:rFonts w:ascii="Times New Roman" w:hAnsi="Times New Roman"/>
                <w:sz w:val="16"/>
                <w:szCs w:val="16"/>
              </w:rPr>
            </w:pPr>
          </w:p>
        </w:tc>
        <w:tc>
          <w:tcPr>
            <w:tcW w:w="1276" w:type="dxa"/>
          </w:tcPr>
          <w:p w14:paraId="7A10C71F" w14:textId="77777777" w:rsidR="004A0107" w:rsidRPr="004A0107" w:rsidRDefault="004A0107" w:rsidP="0073599C">
            <w:pPr>
              <w:spacing w:before="0" w:after="0"/>
              <w:rPr>
                <w:rFonts w:ascii="Times New Roman" w:hAnsi="Times New Roman"/>
                <w:sz w:val="16"/>
                <w:szCs w:val="16"/>
              </w:rPr>
            </w:pPr>
          </w:p>
        </w:tc>
        <w:tc>
          <w:tcPr>
            <w:tcW w:w="1276" w:type="dxa"/>
          </w:tcPr>
          <w:p w14:paraId="70B3DCE8" w14:textId="77777777" w:rsidR="004A0107" w:rsidRPr="004A0107" w:rsidRDefault="004A0107" w:rsidP="0073599C">
            <w:pPr>
              <w:spacing w:before="0" w:after="0"/>
              <w:rPr>
                <w:rFonts w:ascii="Times New Roman" w:hAnsi="Times New Roman"/>
                <w:sz w:val="16"/>
                <w:szCs w:val="16"/>
              </w:rPr>
            </w:pPr>
          </w:p>
        </w:tc>
        <w:tc>
          <w:tcPr>
            <w:tcW w:w="1276" w:type="dxa"/>
          </w:tcPr>
          <w:p w14:paraId="3F2E98CE" w14:textId="77777777" w:rsidR="004A0107" w:rsidRPr="004A0107" w:rsidRDefault="004A0107" w:rsidP="0073599C">
            <w:pPr>
              <w:spacing w:before="0" w:after="0"/>
              <w:rPr>
                <w:rFonts w:ascii="Times New Roman" w:hAnsi="Times New Roman"/>
                <w:sz w:val="16"/>
                <w:szCs w:val="16"/>
              </w:rPr>
            </w:pPr>
          </w:p>
        </w:tc>
        <w:tc>
          <w:tcPr>
            <w:tcW w:w="1275" w:type="dxa"/>
          </w:tcPr>
          <w:p w14:paraId="79A8FFA8" w14:textId="77777777" w:rsidR="004A0107" w:rsidRPr="004A0107" w:rsidRDefault="004A0107" w:rsidP="0073599C">
            <w:pPr>
              <w:spacing w:before="0" w:after="0"/>
              <w:rPr>
                <w:rFonts w:ascii="Times New Roman" w:hAnsi="Times New Roman"/>
                <w:sz w:val="16"/>
                <w:szCs w:val="16"/>
              </w:rPr>
            </w:pPr>
          </w:p>
        </w:tc>
        <w:tc>
          <w:tcPr>
            <w:tcW w:w="1276" w:type="dxa"/>
          </w:tcPr>
          <w:p w14:paraId="6364D4A7" w14:textId="77777777" w:rsidR="004A0107" w:rsidRPr="004A0107" w:rsidRDefault="004A0107" w:rsidP="0073599C">
            <w:pPr>
              <w:spacing w:before="0" w:after="0"/>
              <w:rPr>
                <w:rFonts w:ascii="Times New Roman" w:hAnsi="Times New Roman"/>
                <w:sz w:val="16"/>
                <w:szCs w:val="16"/>
              </w:rPr>
            </w:pPr>
          </w:p>
        </w:tc>
      </w:tr>
    </w:tbl>
    <w:p w14:paraId="676C02E9" w14:textId="77777777" w:rsidR="00587674" w:rsidRDefault="00587674" w:rsidP="00BA7A6A">
      <w:pPr>
        <w:spacing w:before="0" w:after="0"/>
        <w:rPr>
          <w:rFonts w:eastAsia="Times New Roman"/>
          <w:b/>
          <w:bCs/>
          <w:noProof/>
          <w:sz w:val="20"/>
        </w:rPr>
      </w:pPr>
    </w:p>
    <w:p w14:paraId="6F6F58AC" w14:textId="3B15D867" w:rsidR="00BA7A6A" w:rsidRPr="00D76A7B" w:rsidRDefault="00D67F06" w:rsidP="00F200CF">
      <w:pPr>
        <w:spacing w:before="0" w:after="0"/>
        <w:rPr>
          <w:rFonts w:eastAsia="Times New Roman"/>
          <w:b/>
          <w:bCs/>
          <w:noProof/>
          <w:sz w:val="20"/>
        </w:rPr>
      </w:pPr>
      <w:r>
        <w:rPr>
          <w:rFonts w:eastAsia="Times New Roman"/>
          <w:b/>
          <w:bCs/>
          <w:noProof/>
          <w:sz w:val="20"/>
        </w:rPr>
        <w:t>20.tabula (</w:t>
      </w:r>
      <w:r w:rsidR="005047FB">
        <w:rPr>
          <w:rFonts w:eastAsia="Times New Roman"/>
          <w:b/>
          <w:bCs/>
          <w:noProof/>
          <w:sz w:val="20"/>
        </w:rPr>
        <w:t>16.B</w:t>
      </w:r>
      <w:r>
        <w:rPr>
          <w:rFonts w:eastAsia="Times New Roman"/>
          <w:b/>
          <w:bCs/>
          <w:noProof/>
          <w:sz w:val="20"/>
        </w:rPr>
        <w:t>)</w:t>
      </w:r>
      <w:r w:rsidR="00BA7A6A" w:rsidRPr="00D76A7B">
        <w:rPr>
          <w:rFonts w:eastAsia="Times New Roman"/>
          <w:b/>
          <w:bCs/>
          <w:noProof/>
          <w:sz w:val="20"/>
        </w:rPr>
        <w:t xml:space="preserve"> Pārvedums uz tiešas vai netiešas pārvaldības instrumentiem</w:t>
      </w:r>
      <w:r w:rsidR="00BA7A6A">
        <w:rPr>
          <w:rFonts w:eastAsia="Times New Roman"/>
          <w:b/>
          <w:bCs/>
          <w:noProof/>
          <w:sz w:val="20"/>
        </w:rPr>
        <w:t xml:space="preserve"> (kopsavilkums)</w:t>
      </w:r>
    </w:p>
    <w:p w14:paraId="3C6144AB" w14:textId="2C9F445E" w:rsidR="00F0339F" w:rsidRPr="00BA0713" w:rsidRDefault="00BA0713" w:rsidP="00F200CF">
      <w:pPr>
        <w:spacing w:before="0" w:after="0"/>
        <w:rPr>
          <w:rFonts w:eastAsia="Times New Roman"/>
          <w:i/>
          <w:iCs/>
          <w:noProof/>
          <w:color w:val="FF0000"/>
          <w:sz w:val="20"/>
        </w:rPr>
      </w:pPr>
      <w:r w:rsidRPr="00BA0713">
        <w:rPr>
          <w:rFonts w:eastAsia="Times New Roman"/>
          <w:i/>
          <w:iCs/>
          <w:noProof/>
          <w:color w:val="FF0000"/>
          <w:sz w:val="20"/>
        </w:rPr>
        <w:t>[</w:t>
      </w:r>
      <w:r w:rsidR="00F0339F" w:rsidRPr="00BA0713">
        <w:rPr>
          <w:rFonts w:eastAsia="Times New Roman"/>
          <w:i/>
          <w:iCs/>
          <w:noProof/>
          <w:color w:val="FF0000"/>
          <w:sz w:val="20"/>
        </w:rPr>
        <w:t>Tiks papildināts ar informāciju par plānotajiem pārvedumiem.</w:t>
      </w:r>
      <w:r w:rsidRPr="00BA0713">
        <w:rPr>
          <w:rFonts w:eastAsia="Times New Roman"/>
          <w:i/>
          <w:iCs/>
          <w:noProof/>
          <w:color w:val="FF0000"/>
          <w:sz w:val="20"/>
        </w:rPr>
        <w:t>]</w:t>
      </w:r>
    </w:p>
    <w:tbl>
      <w:tblPr>
        <w:tblStyle w:val="TableGrid"/>
        <w:tblW w:w="4630" w:type="pct"/>
        <w:tblLayout w:type="fixed"/>
        <w:tblLook w:val="04A0" w:firstRow="1" w:lastRow="0" w:firstColumn="1" w:lastColumn="0" w:noHBand="0" w:noVBand="1"/>
      </w:tblPr>
      <w:tblGrid>
        <w:gridCol w:w="1306"/>
        <w:gridCol w:w="2941"/>
        <w:gridCol w:w="2694"/>
        <w:gridCol w:w="2268"/>
        <w:gridCol w:w="2125"/>
        <w:gridCol w:w="2411"/>
      </w:tblGrid>
      <w:tr w:rsidR="00587674" w:rsidRPr="00587674" w14:paraId="138A313D" w14:textId="77777777" w:rsidTr="00587674">
        <w:trPr>
          <w:trHeight w:val="300"/>
        </w:trPr>
        <w:tc>
          <w:tcPr>
            <w:tcW w:w="475" w:type="pct"/>
            <w:shd w:val="clear" w:color="auto" w:fill="D9D9D9" w:themeFill="background1" w:themeFillShade="D9"/>
          </w:tcPr>
          <w:p w14:paraId="7400F931" w14:textId="04179B90" w:rsidR="00587674" w:rsidRPr="00587674" w:rsidRDefault="00587674" w:rsidP="00F200CF">
            <w:pPr>
              <w:spacing w:before="0" w:after="0"/>
              <w:jc w:val="center"/>
              <w:rPr>
                <w:rFonts w:ascii="Times New Roman" w:eastAsia="Times New Roman" w:hAnsi="Times New Roman"/>
                <w:b/>
                <w:noProof/>
                <w:sz w:val="16"/>
                <w:szCs w:val="16"/>
              </w:rPr>
            </w:pPr>
            <w:r w:rsidRPr="00587674">
              <w:rPr>
                <w:rFonts w:ascii="Times New Roman" w:eastAsia="Times New Roman" w:hAnsi="Times New Roman"/>
                <w:b/>
                <w:noProof/>
                <w:sz w:val="16"/>
                <w:szCs w:val="16"/>
              </w:rPr>
              <w:t>F</w:t>
            </w:r>
            <w:r>
              <w:rPr>
                <w:rFonts w:ascii="Times New Roman" w:eastAsia="Times New Roman" w:hAnsi="Times New Roman"/>
                <w:b/>
                <w:noProof/>
                <w:sz w:val="16"/>
                <w:szCs w:val="16"/>
              </w:rPr>
              <w:t>onds</w:t>
            </w:r>
          </w:p>
        </w:tc>
        <w:tc>
          <w:tcPr>
            <w:tcW w:w="1070" w:type="pct"/>
            <w:shd w:val="clear" w:color="auto" w:fill="D9D9D9" w:themeFill="background1" w:themeFillShade="D9"/>
          </w:tcPr>
          <w:p w14:paraId="6464B313" w14:textId="404E02E2" w:rsidR="00587674" w:rsidRPr="00587674" w:rsidRDefault="00587674" w:rsidP="00F200CF">
            <w:pPr>
              <w:spacing w:before="0" w:after="0"/>
              <w:jc w:val="center"/>
              <w:rPr>
                <w:rFonts w:ascii="Times New Roman" w:eastAsia="Times New Roman" w:hAnsi="Times New Roman"/>
                <w:b/>
                <w:noProof/>
                <w:sz w:val="16"/>
                <w:szCs w:val="16"/>
              </w:rPr>
            </w:pPr>
            <w:r>
              <w:rPr>
                <w:rFonts w:ascii="Times New Roman" w:eastAsia="Times New Roman" w:hAnsi="Times New Roman"/>
                <w:b/>
                <w:noProof/>
                <w:sz w:val="16"/>
                <w:szCs w:val="16"/>
              </w:rPr>
              <w:t>Reģiona kategorijas</w:t>
            </w:r>
          </w:p>
        </w:tc>
        <w:tc>
          <w:tcPr>
            <w:tcW w:w="980" w:type="pct"/>
            <w:shd w:val="clear" w:color="auto" w:fill="D9D9D9" w:themeFill="background1" w:themeFillShade="D9"/>
          </w:tcPr>
          <w:p w14:paraId="0636DDDC" w14:textId="30FA413F" w:rsidR="00587674" w:rsidRPr="00587674" w:rsidRDefault="00587674" w:rsidP="00F200CF">
            <w:pPr>
              <w:spacing w:before="0" w:after="0"/>
              <w:jc w:val="center"/>
              <w:rPr>
                <w:rFonts w:ascii="Times New Roman" w:eastAsia="Times New Roman" w:hAnsi="Times New Roman"/>
                <w:b/>
                <w:noProof/>
                <w:sz w:val="16"/>
                <w:szCs w:val="16"/>
              </w:rPr>
            </w:pPr>
            <w:r w:rsidRPr="00587674">
              <w:rPr>
                <w:rFonts w:ascii="Times New Roman" w:hAnsi="Times New Roman"/>
                <w:b/>
                <w:noProof/>
                <w:sz w:val="16"/>
                <w:szCs w:val="16"/>
              </w:rPr>
              <w:t>Instrument</w:t>
            </w:r>
            <w:r>
              <w:rPr>
                <w:rFonts w:ascii="Times New Roman" w:hAnsi="Times New Roman"/>
                <w:b/>
                <w:noProof/>
                <w:sz w:val="16"/>
                <w:szCs w:val="16"/>
              </w:rPr>
              <w:t>s</w:t>
            </w:r>
            <w:r w:rsidRPr="00587674">
              <w:rPr>
                <w:rFonts w:ascii="Times New Roman" w:eastAsia="Times New Roman" w:hAnsi="Times New Roman"/>
                <w:b/>
                <w:noProof/>
                <w:sz w:val="16"/>
                <w:szCs w:val="16"/>
              </w:rPr>
              <w:t xml:space="preserve"> 1</w:t>
            </w:r>
          </w:p>
        </w:tc>
        <w:tc>
          <w:tcPr>
            <w:tcW w:w="825" w:type="pct"/>
            <w:shd w:val="clear" w:color="auto" w:fill="D9D9D9" w:themeFill="background1" w:themeFillShade="D9"/>
          </w:tcPr>
          <w:p w14:paraId="01EA015D" w14:textId="330450DD" w:rsidR="00587674" w:rsidRPr="00587674" w:rsidRDefault="00587674" w:rsidP="00F200CF">
            <w:pPr>
              <w:spacing w:before="0" w:after="0"/>
              <w:jc w:val="center"/>
              <w:rPr>
                <w:rFonts w:ascii="Times New Roman" w:eastAsia="Times New Roman" w:hAnsi="Times New Roman"/>
                <w:b/>
                <w:noProof/>
                <w:sz w:val="16"/>
                <w:szCs w:val="16"/>
              </w:rPr>
            </w:pPr>
            <w:r w:rsidRPr="00587674">
              <w:rPr>
                <w:rFonts w:ascii="Times New Roman" w:hAnsi="Times New Roman"/>
                <w:b/>
                <w:noProof/>
                <w:sz w:val="16"/>
                <w:szCs w:val="16"/>
              </w:rPr>
              <w:t>Instrument</w:t>
            </w:r>
            <w:r>
              <w:rPr>
                <w:rFonts w:ascii="Times New Roman" w:hAnsi="Times New Roman"/>
                <w:b/>
                <w:noProof/>
                <w:sz w:val="16"/>
                <w:szCs w:val="16"/>
              </w:rPr>
              <w:t>s</w:t>
            </w:r>
            <w:r w:rsidRPr="00587674">
              <w:rPr>
                <w:rFonts w:ascii="Times New Roman" w:eastAsia="Times New Roman" w:hAnsi="Times New Roman"/>
                <w:b/>
                <w:noProof/>
                <w:sz w:val="16"/>
                <w:szCs w:val="16"/>
              </w:rPr>
              <w:t xml:space="preserve"> 2</w:t>
            </w:r>
          </w:p>
        </w:tc>
        <w:tc>
          <w:tcPr>
            <w:tcW w:w="773" w:type="pct"/>
            <w:shd w:val="clear" w:color="auto" w:fill="D9D9D9" w:themeFill="background1" w:themeFillShade="D9"/>
          </w:tcPr>
          <w:p w14:paraId="0943085B" w14:textId="515B0655" w:rsidR="00587674" w:rsidRPr="00587674" w:rsidRDefault="00587674" w:rsidP="00F200CF">
            <w:pPr>
              <w:spacing w:before="0" w:after="0"/>
              <w:jc w:val="center"/>
              <w:rPr>
                <w:rFonts w:ascii="Times New Roman" w:eastAsia="Times New Roman" w:hAnsi="Times New Roman"/>
                <w:b/>
                <w:noProof/>
                <w:sz w:val="16"/>
                <w:szCs w:val="16"/>
              </w:rPr>
            </w:pPr>
            <w:r w:rsidRPr="00587674">
              <w:rPr>
                <w:rFonts w:ascii="Times New Roman" w:hAnsi="Times New Roman"/>
                <w:b/>
                <w:noProof/>
                <w:sz w:val="16"/>
                <w:szCs w:val="16"/>
              </w:rPr>
              <w:t>Instrument</w:t>
            </w:r>
            <w:r>
              <w:rPr>
                <w:rFonts w:ascii="Times New Roman" w:hAnsi="Times New Roman"/>
                <w:b/>
                <w:noProof/>
                <w:sz w:val="16"/>
                <w:szCs w:val="16"/>
              </w:rPr>
              <w:t>s</w:t>
            </w:r>
            <w:r w:rsidRPr="00587674">
              <w:rPr>
                <w:rFonts w:ascii="Times New Roman" w:eastAsia="Times New Roman" w:hAnsi="Times New Roman"/>
                <w:b/>
                <w:noProof/>
                <w:sz w:val="16"/>
                <w:szCs w:val="16"/>
              </w:rPr>
              <w:t xml:space="preserve"> 3</w:t>
            </w:r>
          </w:p>
        </w:tc>
        <w:tc>
          <w:tcPr>
            <w:tcW w:w="877" w:type="pct"/>
            <w:shd w:val="clear" w:color="auto" w:fill="D9D9D9" w:themeFill="background1" w:themeFillShade="D9"/>
          </w:tcPr>
          <w:p w14:paraId="1F8D873F" w14:textId="5B6201CA" w:rsidR="00587674" w:rsidRPr="00587674" w:rsidRDefault="00587674" w:rsidP="00F200CF">
            <w:pPr>
              <w:spacing w:before="0" w:after="0"/>
              <w:jc w:val="center"/>
              <w:rPr>
                <w:rFonts w:ascii="Times New Roman" w:eastAsia="Times New Roman" w:hAnsi="Times New Roman"/>
                <w:b/>
                <w:noProof/>
                <w:sz w:val="16"/>
                <w:szCs w:val="16"/>
              </w:rPr>
            </w:pPr>
            <w:r>
              <w:rPr>
                <w:rFonts w:ascii="Times New Roman" w:eastAsia="Times New Roman" w:hAnsi="Times New Roman"/>
                <w:b/>
                <w:noProof/>
                <w:sz w:val="16"/>
                <w:szCs w:val="16"/>
              </w:rPr>
              <w:t>Kopā</w:t>
            </w:r>
          </w:p>
        </w:tc>
      </w:tr>
      <w:tr w:rsidR="00587674" w:rsidRPr="00587674" w14:paraId="08ECA4FA" w14:textId="77777777" w:rsidTr="00587674">
        <w:trPr>
          <w:trHeight w:val="108"/>
        </w:trPr>
        <w:tc>
          <w:tcPr>
            <w:tcW w:w="475" w:type="pct"/>
            <w:shd w:val="clear" w:color="auto" w:fill="D9D9D9" w:themeFill="background1" w:themeFillShade="D9"/>
          </w:tcPr>
          <w:p w14:paraId="378FB13A" w14:textId="77777777" w:rsidR="00587674" w:rsidRPr="00587674" w:rsidRDefault="00587674" w:rsidP="00F200CF">
            <w:pPr>
              <w:spacing w:before="0" w:after="0"/>
              <w:jc w:val="center"/>
              <w:rPr>
                <w:rFonts w:ascii="Times New Roman" w:eastAsia="Times New Roman" w:hAnsi="Times New Roman"/>
                <w:noProof/>
                <w:sz w:val="16"/>
                <w:szCs w:val="16"/>
              </w:rPr>
            </w:pPr>
          </w:p>
        </w:tc>
        <w:tc>
          <w:tcPr>
            <w:tcW w:w="1070" w:type="pct"/>
            <w:shd w:val="clear" w:color="auto" w:fill="D9D9D9" w:themeFill="background1" w:themeFillShade="D9"/>
          </w:tcPr>
          <w:p w14:paraId="1E8EBD2A" w14:textId="77777777" w:rsidR="00587674" w:rsidRPr="00587674" w:rsidRDefault="00587674" w:rsidP="00F200CF">
            <w:pPr>
              <w:spacing w:before="0" w:after="0"/>
              <w:jc w:val="center"/>
              <w:rPr>
                <w:rFonts w:ascii="Times New Roman" w:eastAsia="Times New Roman" w:hAnsi="Times New Roman"/>
                <w:noProof/>
                <w:sz w:val="16"/>
                <w:szCs w:val="16"/>
              </w:rPr>
            </w:pPr>
          </w:p>
        </w:tc>
        <w:tc>
          <w:tcPr>
            <w:tcW w:w="980" w:type="pct"/>
            <w:shd w:val="clear" w:color="auto" w:fill="D9D9D9" w:themeFill="background1" w:themeFillShade="D9"/>
          </w:tcPr>
          <w:p w14:paraId="64FBA57C" w14:textId="77777777" w:rsidR="00587674" w:rsidRPr="00587674" w:rsidRDefault="00587674" w:rsidP="00F200CF">
            <w:pPr>
              <w:spacing w:before="0" w:after="0"/>
              <w:jc w:val="center"/>
              <w:rPr>
                <w:rFonts w:ascii="Times New Roman" w:eastAsia="Times New Roman" w:hAnsi="Times New Roman"/>
                <w:noProof/>
                <w:sz w:val="16"/>
                <w:szCs w:val="16"/>
              </w:rPr>
            </w:pPr>
            <w:r w:rsidRPr="00587674">
              <w:rPr>
                <w:rFonts w:ascii="Times New Roman" w:eastAsia="Times New Roman" w:hAnsi="Times New Roman"/>
                <w:noProof/>
                <w:sz w:val="16"/>
                <w:szCs w:val="16"/>
              </w:rPr>
              <w:t>(a)</w:t>
            </w:r>
          </w:p>
        </w:tc>
        <w:tc>
          <w:tcPr>
            <w:tcW w:w="825" w:type="pct"/>
            <w:shd w:val="clear" w:color="auto" w:fill="D9D9D9" w:themeFill="background1" w:themeFillShade="D9"/>
          </w:tcPr>
          <w:p w14:paraId="25086CDA" w14:textId="77777777" w:rsidR="00587674" w:rsidRPr="00587674" w:rsidRDefault="00587674" w:rsidP="00F200CF">
            <w:pPr>
              <w:spacing w:before="0" w:after="0"/>
              <w:jc w:val="center"/>
              <w:rPr>
                <w:rFonts w:ascii="Times New Roman" w:eastAsia="Times New Roman" w:hAnsi="Times New Roman"/>
                <w:noProof/>
                <w:sz w:val="16"/>
                <w:szCs w:val="16"/>
              </w:rPr>
            </w:pPr>
            <w:r w:rsidRPr="00587674">
              <w:rPr>
                <w:rFonts w:ascii="Times New Roman" w:eastAsia="Times New Roman" w:hAnsi="Times New Roman"/>
                <w:noProof/>
                <w:sz w:val="16"/>
                <w:szCs w:val="16"/>
              </w:rPr>
              <w:t>(b)</w:t>
            </w:r>
          </w:p>
        </w:tc>
        <w:tc>
          <w:tcPr>
            <w:tcW w:w="773" w:type="pct"/>
            <w:shd w:val="clear" w:color="auto" w:fill="D9D9D9" w:themeFill="background1" w:themeFillShade="D9"/>
          </w:tcPr>
          <w:p w14:paraId="4F44A2C3" w14:textId="77777777" w:rsidR="00587674" w:rsidRPr="00587674" w:rsidRDefault="00587674" w:rsidP="00F200CF">
            <w:pPr>
              <w:spacing w:before="0" w:after="0"/>
              <w:jc w:val="center"/>
              <w:rPr>
                <w:rFonts w:ascii="Times New Roman" w:eastAsia="Times New Roman" w:hAnsi="Times New Roman"/>
                <w:noProof/>
                <w:sz w:val="16"/>
                <w:szCs w:val="16"/>
              </w:rPr>
            </w:pPr>
            <w:r w:rsidRPr="00587674">
              <w:rPr>
                <w:rFonts w:ascii="Times New Roman" w:eastAsia="Times New Roman" w:hAnsi="Times New Roman"/>
                <w:noProof/>
                <w:sz w:val="16"/>
                <w:szCs w:val="16"/>
              </w:rPr>
              <w:t>(c)</w:t>
            </w:r>
          </w:p>
        </w:tc>
        <w:tc>
          <w:tcPr>
            <w:tcW w:w="877" w:type="pct"/>
            <w:shd w:val="clear" w:color="auto" w:fill="D9D9D9" w:themeFill="background1" w:themeFillShade="D9"/>
          </w:tcPr>
          <w:p w14:paraId="6B5076DB" w14:textId="4020F699" w:rsidR="00587674" w:rsidRPr="00587674" w:rsidRDefault="00587674" w:rsidP="00F200CF">
            <w:pPr>
              <w:spacing w:before="0" w:after="0"/>
              <w:jc w:val="center"/>
              <w:rPr>
                <w:rFonts w:ascii="Times New Roman" w:eastAsia="Times New Roman" w:hAnsi="Times New Roman"/>
                <w:noProof/>
                <w:sz w:val="16"/>
                <w:szCs w:val="16"/>
              </w:rPr>
            </w:pPr>
            <w:r w:rsidRPr="00587674">
              <w:rPr>
                <w:rFonts w:ascii="Times New Roman" w:eastAsia="Times New Roman" w:hAnsi="Times New Roman"/>
                <w:noProof/>
                <w:sz w:val="16"/>
                <w:szCs w:val="16"/>
              </w:rPr>
              <w:t>(f)=(a)+(b)+(c)</w:t>
            </w:r>
          </w:p>
        </w:tc>
      </w:tr>
      <w:tr w:rsidR="00587674" w:rsidRPr="00587674" w14:paraId="6769C4A0" w14:textId="77777777" w:rsidTr="00587674">
        <w:tc>
          <w:tcPr>
            <w:tcW w:w="475" w:type="pct"/>
          </w:tcPr>
          <w:p w14:paraId="7981BBBF" w14:textId="76F60DC3" w:rsidR="00587674" w:rsidRPr="00587674" w:rsidRDefault="00587674" w:rsidP="00F200CF">
            <w:pPr>
              <w:spacing w:before="0" w:after="0"/>
              <w:rPr>
                <w:rFonts w:ascii="Times New Roman" w:eastAsia="Times New Roman" w:hAnsi="Times New Roman"/>
                <w:noProof/>
                <w:sz w:val="16"/>
                <w:szCs w:val="16"/>
              </w:rPr>
            </w:pPr>
            <w:r>
              <w:rPr>
                <w:rFonts w:ascii="Times New Roman" w:eastAsia="Times New Roman" w:hAnsi="Times New Roman"/>
                <w:noProof/>
                <w:sz w:val="16"/>
                <w:szCs w:val="16"/>
              </w:rPr>
              <w:t>ERA</w:t>
            </w:r>
            <w:r w:rsidRPr="00587674">
              <w:rPr>
                <w:rFonts w:ascii="Times New Roman" w:eastAsia="Times New Roman" w:hAnsi="Times New Roman"/>
                <w:noProof/>
                <w:sz w:val="16"/>
                <w:szCs w:val="16"/>
              </w:rPr>
              <w:t>F</w:t>
            </w:r>
          </w:p>
        </w:tc>
        <w:tc>
          <w:tcPr>
            <w:tcW w:w="1070" w:type="pct"/>
          </w:tcPr>
          <w:p w14:paraId="010C7FAF" w14:textId="7F3E289E" w:rsidR="00587674" w:rsidRPr="00587674" w:rsidRDefault="00587674" w:rsidP="00F200CF">
            <w:pPr>
              <w:spacing w:before="0" w:after="0"/>
              <w:rPr>
                <w:rFonts w:ascii="Times New Roman" w:eastAsia="Times New Roman" w:hAnsi="Times New Roman"/>
                <w:noProof/>
                <w:sz w:val="16"/>
                <w:szCs w:val="16"/>
              </w:rPr>
            </w:pPr>
            <w:r>
              <w:rPr>
                <w:rFonts w:ascii="Times New Roman" w:eastAsia="Times New Roman" w:hAnsi="Times New Roman"/>
                <w:noProof/>
                <w:sz w:val="16"/>
                <w:szCs w:val="16"/>
              </w:rPr>
              <w:t>Mazāk attīstīts</w:t>
            </w:r>
          </w:p>
        </w:tc>
        <w:tc>
          <w:tcPr>
            <w:tcW w:w="980" w:type="pct"/>
          </w:tcPr>
          <w:p w14:paraId="578B0243" w14:textId="77777777" w:rsidR="00587674" w:rsidRPr="00587674" w:rsidRDefault="00587674" w:rsidP="00F200CF">
            <w:pPr>
              <w:spacing w:before="0" w:after="0"/>
              <w:rPr>
                <w:rFonts w:ascii="Times New Roman" w:eastAsia="Times New Roman" w:hAnsi="Times New Roman"/>
                <w:noProof/>
                <w:sz w:val="16"/>
                <w:szCs w:val="16"/>
              </w:rPr>
            </w:pPr>
          </w:p>
        </w:tc>
        <w:tc>
          <w:tcPr>
            <w:tcW w:w="825" w:type="pct"/>
          </w:tcPr>
          <w:p w14:paraId="0AE2AC32" w14:textId="77777777" w:rsidR="00587674" w:rsidRPr="00587674" w:rsidRDefault="00587674" w:rsidP="00F200CF">
            <w:pPr>
              <w:spacing w:before="0" w:after="0"/>
              <w:rPr>
                <w:rFonts w:ascii="Times New Roman" w:eastAsia="Times New Roman" w:hAnsi="Times New Roman"/>
                <w:noProof/>
                <w:sz w:val="16"/>
                <w:szCs w:val="16"/>
              </w:rPr>
            </w:pPr>
          </w:p>
        </w:tc>
        <w:tc>
          <w:tcPr>
            <w:tcW w:w="773" w:type="pct"/>
          </w:tcPr>
          <w:p w14:paraId="34F4AFAA" w14:textId="77777777" w:rsidR="00587674" w:rsidRPr="00587674" w:rsidRDefault="00587674" w:rsidP="00F200CF">
            <w:pPr>
              <w:spacing w:before="0" w:after="0"/>
              <w:rPr>
                <w:rFonts w:ascii="Times New Roman" w:eastAsia="Times New Roman" w:hAnsi="Times New Roman"/>
                <w:noProof/>
                <w:sz w:val="16"/>
                <w:szCs w:val="16"/>
              </w:rPr>
            </w:pPr>
          </w:p>
        </w:tc>
        <w:tc>
          <w:tcPr>
            <w:tcW w:w="877" w:type="pct"/>
          </w:tcPr>
          <w:p w14:paraId="2DD53548" w14:textId="77777777" w:rsidR="00587674" w:rsidRPr="00587674" w:rsidRDefault="00587674" w:rsidP="00F200CF">
            <w:pPr>
              <w:spacing w:before="0" w:after="0"/>
              <w:rPr>
                <w:rFonts w:ascii="Times New Roman" w:eastAsia="Times New Roman" w:hAnsi="Times New Roman"/>
                <w:noProof/>
                <w:sz w:val="16"/>
                <w:szCs w:val="16"/>
              </w:rPr>
            </w:pPr>
          </w:p>
        </w:tc>
      </w:tr>
      <w:tr w:rsidR="00587674" w:rsidRPr="00587674" w14:paraId="2C15EEB5" w14:textId="77777777" w:rsidTr="00587674">
        <w:tc>
          <w:tcPr>
            <w:tcW w:w="475" w:type="pct"/>
          </w:tcPr>
          <w:p w14:paraId="08B9E9BD" w14:textId="77777777" w:rsidR="00587674" w:rsidRPr="00587674" w:rsidRDefault="00587674" w:rsidP="00F200CF">
            <w:pPr>
              <w:spacing w:before="0" w:after="0"/>
              <w:rPr>
                <w:rFonts w:ascii="Times New Roman" w:eastAsia="Times New Roman" w:hAnsi="Times New Roman"/>
                <w:noProof/>
                <w:sz w:val="16"/>
                <w:szCs w:val="16"/>
              </w:rPr>
            </w:pPr>
            <w:r w:rsidRPr="00587674">
              <w:rPr>
                <w:rFonts w:ascii="Times New Roman" w:eastAsia="Times New Roman" w:hAnsi="Times New Roman"/>
                <w:noProof/>
                <w:sz w:val="16"/>
                <w:szCs w:val="16"/>
              </w:rPr>
              <w:t>ESF+</w:t>
            </w:r>
          </w:p>
        </w:tc>
        <w:tc>
          <w:tcPr>
            <w:tcW w:w="1070" w:type="pct"/>
          </w:tcPr>
          <w:p w14:paraId="5F48ACC8" w14:textId="75595133" w:rsidR="00587674" w:rsidRPr="00587674" w:rsidRDefault="00587674" w:rsidP="00F200CF">
            <w:pPr>
              <w:spacing w:before="0" w:after="0"/>
              <w:rPr>
                <w:rFonts w:ascii="Times New Roman" w:eastAsia="Times New Roman" w:hAnsi="Times New Roman"/>
                <w:noProof/>
                <w:sz w:val="16"/>
                <w:szCs w:val="16"/>
              </w:rPr>
            </w:pPr>
            <w:r>
              <w:rPr>
                <w:rFonts w:ascii="Times New Roman" w:eastAsia="Times New Roman" w:hAnsi="Times New Roman"/>
                <w:noProof/>
                <w:sz w:val="16"/>
                <w:szCs w:val="16"/>
              </w:rPr>
              <w:t>Mazāk attīstīts</w:t>
            </w:r>
          </w:p>
        </w:tc>
        <w:tc>
          <w:tcPr>
            <w:tcW w:w="980" w:type="pct"/>
          </w:tcPr>
          <w:p w14:paraId="02196C8C" w14:textId="77777777" w:rsidR="00587674" w:rsidRPr="00587674" w:rsidRDefault="00587674" w:rsidP="00F200CF">
            <w:pPr>
              <w:spacing w:before="0" w:after="0"/>
              <w:rPr>
                <w:rFonts w:ascii="Times New Roman" w:eastAsia="Times New Roman" w:hAnsi="Times New Roman"/>
                <w:noProof/>
                <w:sz w:val="16"/>
                <w:szCs w:val="16"/>
              </w:rPr>
            </w:pPr>
          </w:p>
        </w:tc>
        <w:tc>
          <w:tcPr>
            <w:tcW w:w="825" w:type="pct"/>
          </w:tcPr>
          <w:p w14:paraId="2465DBF3" w14:textId="77777777" w:rsidR="00587674" w:rsidRPr="00587674" w:rsidRDefault="00587674" w:rsidP="00F200CF">
            <w:pPr>
              <w:spacing w:before="0" w:after="0"/>
              <w:rPr>
                <w:rFonts w:ascii="Times New Roman" w:eastAsia="Times New Roman" w:hAnsi="Times New Roman"/>
                <w:noProof/>
                <w:sz w:val="16"/>
                <w:szCs w:val="16"/>
              </w:rPr>
            </w:pPr>
          </w:p>
        </w:tc>
        <w:tc>
          <w:tcPr>
            <w:tcW w:w="773" w:type="pct"/>
          </w:tcPr>
          <w:p w14:paraId="72B3CFBF" w14:textId="77777777" w:rsidR="00587674" w:rsidRPr="00587674" w:rsidRDefault="00587674" w:rsidP="00F200CF">
            <w:pPr>
              <w:spacing w:before="0" w:after="0"/>
              <w:rPr>
                <w:rFonts w:ascii="Times New Roman" w:eastAsia="Times New Roman" w:hAnsi="Times New Roman"/>
                <w:noProof/>
                <w:sz w:val="16"/>
                <w:szCs w:val="16"/>
              </w:rPr>
            </w:pPr>
          </w:p>
        </w:tc>
        <w:tc>
          <w:tcPr>
            <w:tcW w:w="877" w:type="pct"/>
          </w:tcPr>
          <w:p w14:paraId="2460AE92" w14:textId="77777777" w:rsidR="00587674" w:rsidRPr="00587674" w:rsidRDefault="00587674" w:rsidP="00F200CF">
            <w:pPr>
              <w:spacing w:before="0" w:after="0"/>
              <w:rPr>
                <w:rFonts w:ascii="Times New Roman" w:eastAsia="Times New Roman" w:hAnsi="Times New Roman"/>
                <w:noProof/>
                <w:sz w:val="16"/>
                <w:szCs w:val="16"/>
              </w:rPr>
            </w:pPr>
          </w:p>
        </w:tc>
      </w:tr>
      <w:tr w:rsidR="00587674" w:rsidRPr="00587674" w14:paraId="007B3775" w14:textId="77777777" w:rsidTr="00587674">
        <w:tc>
          <w:tcPr>
            <w:tcW w:w="475" w:type="pct"/>
          </w:tcPr>
          <w:p w14:paraId="7EBE61E3" w14:textId="3464F42E" w:rsidR="00587674" w:rsidRPr="00587674" w:rsidRDefault="00587674" w:rsidP="00F200CF">
            <w:pPr>
              <w:spacing w:before="0" w:after="0"/>
              <w:rPr>
                <w:rFonts w:ascii="Times New Roman" w:eastAsia="Times New Roman" w:hAnsi="Times New Roman"/>
                <w:noProof/>
                <w:sz w:val="16"/>
                <w:szCs w:val="16"/>
              </w:rPr>
            </w:pPr>
            <w:r>
              <w:rPr>
                <w:rFonts w:ascii="Times New Roman" w:eastAsia="Times New Roman" w:hAnsi="Times New Roman"/>
                <w:noProof/>
                <w:sz w:val="16"/>
                <w:szCs w:val="16"/>
              </w:rPr>
              <w:t>K</w:t>
            </w:r>
            <w:r w:rsidRPr="00587674">
              <w:rPr>
                <w:rFonts w:ascii="Times New Roman" w:eastAsia="Times New Roman" w:hAnsi="Times New Roman"/>
                <w:noProof/>
                <w:sz w:val="16"/>
                <w:szCs w:val="16"/>
              </w:rPr>
              <w:t>F</w:t>
            </w:r>
          </w:p>
        </w:tc>
        <w:tc>
          <w:tcPr>
            <w:tcW w:w="1070" w:type="pct"/>
          </w:tcPr>
          <w:p w14:paraId="68BE2F4F" w14:textId="468F4B29" w:rsidR="00587674" w:rsidRPr="00587674" w:rsidRDefault="00587674" w:rsidP="00F200CF">
            <w:pPr>
              <w:spacing w:before="0" w:after="0"/>
              <w:rPr>
                <w:rFonts w:ascii="Times New Roman" w:eastAsia="Times New Roman" w:hAnsi="Times New Roman"/>
                <w:noProof/>
                <w:sz w:val="16"/>
                <w:szCs w:val="16"/>
              </w:rPr>
            </w:pPr>
            <w:r>
              <w:rPr>
                <w:rFonts w:ascii="Times New Roman" w:eastAsia="Times New Roman" w:hAnsi="Times New Roman"/>
                <w:noProof/>
                <w:sz w:val="16"/>
                <w:szCs w:val="16"/>
              </w:rPr>
              <w:t>N/A</w:t>
            </w:r>
          </w:p>
        </w:tc>
        <w:tc>
          <w:tcPr>
            <w:tcW w:w="980" w:type="pct"/>
          </w:tcPr>
          <w:p w14:paraId="6329CEA0" w14:textId="77777777" w:rsidR="00587674" w:rsidRPr="00587674" w:rsidRDefault="00587674" w:rsidP="00F200CF">
            <w:pPr>
              <w:spacing w:before="0" w:after="0"/>
              <w:rPr>
                <w:rFonts w:ascii="Times New Roman" w:eastAsia="Times New Roman" w:hAnsi="Times New Roman"/>
                <w:noProof/>
                <w:sz w:val="16"/>
                <w:szCs w:val="16"/>
              </w:rPr>
            </w:pPr>
          </w:p>
        </w:tc>
        <w:tc>
          <w:tcPr>
            <w:tcW w:w="825" w:type="pct"/>
          </w:tcPr>
          <w:p w14:paraId="55E8C3AA" w14:textId="77777777" w:rsidR="00587674" w:rsidRPr="00587674" w:rsidRDefault="00587674" w:rsidP="00F200CF">
            <w:pPr>
              <w:spacing w:before="0" w:after="0"/>
              <w:rPr>
                <w:rFonts w:ascii="Times New Roman" w:eastAsia="Times New Roman" w:hAnsi="Times New Roman"/>
                <w:noProof/>
                <w:sz w:val="16"/>
                <w:szCs w:val="16"/>
              </w:rPr>
            </w:pPr>
          </w:p>
        </w:tc>
        <w:tc>
          <w:tcPr>
            <w:tcW w:w="773" w:type="pct"/>
          </w:tcPr>
          <w:p w14:paraId="5DA72E0B" w14:textId="77777777" w:rsidR="00587674" w:rsidRPr="00587674" w:rsidRDefault="00587674" w:rsidP="00F200CF">
            <w:pPr>
              <w:spacing w:before="0" w:after="0"/>
              <w:rPr>
                <w:rFonts w:ascii="Times New Roman" w:eastAsia="Times New Roman" w:hAnsi="Times New Roman"/>
                <w:noProof/>
                <w:sz w:val="16"/>
                <w:szCs w:val="16"/>
              </w:rPr>
            </w:pPr>
          </w:p>
        </w:tc>
        <w:tc>
          <w:tcPr>
            <w:tcW w:w="877" w:type="pct"/>
          </w:tcPr>
          <w:p w14:paraId="238A01FE" w14:textId="77777777" w:rsidR="00587674" w:rsidRPr="00587674" w:rsidRDefault="00587674" w:rsidP="00F200CF">
            <w:pPr>
              <w:spacing w:before="0" w:after="0"/>
              <w:rPr>
                <w:rFonts w:ascii="Times New Roman" w:eastAsia="Times New Roman" w:hAnsi="Times New Roman"/>
                <w:noProof/>
                <w:sz w:val="16"/>
                <w:szCs w:val="16"/>
              </w:rPr>
            </w:pPr>
          </w:p>
        </w:tc>
      </w:tr>
    </w:tbl>
    <w:p w14:paraId="0B8B2C7F" w14:textId="7CDD3146" w:rsidR="00BA7A6A" w:rsidRDefault="00BA7A6A" w:rsidP="00F200CF">
      <w:pPr>
        <w:spacing w:before="0" w:after="0"/>
      </w:pPr>
    </w:p>
    <w:p w14:paraId="026F293D" w14:textId="738EF658" w:rsidR="005047FB" w:rsidRDefault="00D67F06" w:rsidP="00F200CF">
      <w:pPr>
        <w:spacing w:before="0" w:after="0"/>
        <w:rPr>
          <w:rFonts w:eastAsia="Times New Roman"/>
          <w:b/>
          <w:bCs/>
          <w:noProof/>
          <w:sz w:val="20"/>
        </w:rPr>
      </w:pPr>
      <w:r>
        <w:rPr>
          <w:rFonts w:eastAsia="Times New Roman"/>
          <w:b/>
          <w:bCs/>
          <w:noProof/>
          <w:sz w:val="20"/>
        </w:rPr>
        <w:t>21.tabula (</w:t>
      </w:r>
      <w:r w:rsidR="005047FB">
        <w:rPr>
          <w:rFonts w:eastAsia="Times New Roman"/>
          <w:b/>
          <w:bCs/>
          <w:noProof/>
          <w:sz w:val="20"/>
        </w:rPr>
        <w:t>17.A</w:t>
      </w:r>
      <w:r>
        <w:rPr>
          <w:rFonts w:eastAsia="Times New Roman"/>
          <w:b/>
          <w:bCs/>
          <w:noProof/>
          <w:sz w:val="20"/>
        </w:rPr>
        <w:t>)</w:t>
      </w:r>
      <w:r w:rsidR="005047FB" w:rsidRPr="00794165">
        <w:rPr>
          <w:rFonts w:eastAsia="Times New Roman"/>
          <w:b/>
          <w:bCs/>
          <w:noProof/>
          <w:sz w:val="20"/>
        </w:rPr>
        <w:t xml:space="preserve"> Pārvedums starp ERAF, ESF+, KF vai </w:t>
      </w:r>
      <w:r w:rsidR="005047FB">
        <w:rPr>
          <w:rFonts w:eastAsia="Times New Roman"/>
          <w:b/>
          <w:bCs/>
          <w:noProof/>
          <w:sz w:val="20"/>
        </w:rPr>
        <w:t>uz</w:t>
      </w:r>
      <w:r w:rsidR="005047FB" w:rsidRPr="00794165">
        <w:rPr>
          <w:rFonts w:eastAsia="Times New Roman"/>
          <w:b/>
          <w:bCs/>
          <w:noProof/>
          <w:sz w:val="20"/>
        </w:rPr>
        <w:t xml:space="preserve"> citu fondu, vai fondiem (dalījumā pa gadiem)</w:t>
      </w:r>
    </w:p>
    <w:p w14:paraId="591C6A82" w14:textId="1B0AA881" w:rsidR="00E35C36" w:rsidRPr="000B5F2F" w:rsidRDefault="00E35C36" w:rsidP="00E35C36">
      <w:pPr>
        <w:spacing w:before="0" w:after="0"/>
        <w:rPr>
          <w:rFonts w:eastAsia="Times New Roman"/>
          <w:noProof/>
          <w:color w:val="FF0000"/>
          <w:sz w:val="20"/>
        </w:rPr>
      </w:pPr>
      <w:r w:rsidRPr="000B5F2F">
        <w:rPr>
          <w:rFonts w:eastAsia="Times New Roman"/>
          <w:noProof/>
          <w:color w:val="FF0000"/>
          <w:sz w:val="20"/>
        </w:rPr>
        <w:t>[</w:t>
      </w:r>
      <w:r w:rsidR="00BA0713" w:rsidRPr="00BA0713">
        <w:rPr>
          <w:rFonts w:eastAsia="Times New Roman"/>
          <w:i/>
          <w:iCs/>
          <w:noProof/>
          <w:color w:val="FF0000"/>
          <w:sz w:val="20"/>
        </w:rPr>
        <w:t>Š</w:t>
      </w:r>
      <w:r w:rsidRPr="00BA0713">
        <w:rPr>
          <w:rFonts w:eastAsia="Times New Roman"/>
          <w:i/>
          <w:iCs/>
          <w:noProof/>
          <w:color w:val="FF0000"/>
          <w:sz w:val="20"/>
        </w:rPr>
        <w:t>obrīd vēl nav zināms, vai šis pārvedums tiks izmantots</w:t>
      </w:r>
      <w:r w:rsidRPr="000B5F2F">
        <w:rPr>
          <w:rFonts w:eastAsia="Times New Roman"/>
          <w:noProof/>
          <w:color w:val="FF0000"/>
          <w:sz w:val="20"/>
        </w:rPr>
        <w:t>]</w:t>
      </w:r>
    </w:p>
    <w:p w14:paraId="7D8DC241" w14:textId="308114D6" w:rsidR="005047FB" w:rsidRPr="000B5F2F" w:rsidRDefault="005047FB" w:rsidP="00F200CF">
      <w:pPr>
        <w:spacing w:before="0" w:after="0"/>
        <w:rPr>
          <w:rFonts w:eastAsia="Times New Roman"/>
          <w:noProof/>
          <w:color w:val="FF0000"/>
          <w:sz w:val="20"/>
        </w:rPr>
      </w:pPr>
    </w:p>
    <w:tbl>
      <w:tblPr>
        <w:tblStyle w:val="TableGrid"/>
        <w:tblW w:w="0" w:type="auto"/>
        <w:tblLook w:val="04A0" w:firstRow="1" w:lastRow="0" w:firstColumn="1" w:lastColumn="0" w:noHBand="0" w:noVBand="1"/>
      </w:tblPr>
      <w:tblGrid>
        <w:gridCol w:w="860"/>
        <w:gridCol w:w="1016"/>
        <w:gridCol w:w="1023"/>
        <w:gridCol w:w="1016"/>
        <w:gridCol w:w="950"/>
        <w:gridCol w:w="942"/>
        <w:gridCol w:w="992"/>
        <w:gridCol w:w="993"/>
        <w:gridCol w:w="1134"/>
        <w:gridCol w:w="1025"/>
        <w:gridCol w:w="997"/>
        <w:gridCol w:w="1031"/>
        <w:gridCol w:w="990"/>
        <w:gridCol w:w="992"/>
      </w:tblGrid>
      <w:tr w:rsidR="005047FB" w:rsidRPr="00F200CF" w14:paraId="0560F9E2" w14:textId="77777777" w:rsidTr="00F200CF">
        <w:tc>
          <w:tcPr>
            <w:tcW w:w="1876" w:type="dxa"/>
            <w:gridSpan w:val="2"/>
            <w:shd w:val="clear" w:color="auto" w:fill="D9D9D9" w:themeFill="background1" w:themeFillShade="D9"/>
          </w:tcPr>
          <w:p w14:paraId="42622131" w14:textId="77777777" w:rsidR="005047FB" w:rsidRPr="00F200CF" w:rsidRDefault="005047FB" w:rsidP="00F200CF">
            <w:pPr>
              <w:spacing w:before="0" w:after="0"/>
              <w:jc w:val="center"/>
              <w:rPr>
                <w:rFonts w:ascii="Times New Roman" w:eastAsia="Times New Roman" w:hAnsi="Times New Roman"/>
                <w:noProof/>
                <w:sz w:val="16"/>
                <w:szCs w:val="16"/>
              </w:rPr>
            </w:pPr>
            <w:r w:rsidRPr="00F200CF">
              <w:rPr>
                <w:rFonts w:ascii="Times New Roman" w:eastAsia="Times New Roman" w:hAnsi="Times New Roman"/>
                <w:noProof/>
                <w:sz w:val="16"/>
                <w:szCs w:val="16"/>
              </w:rPr>
              <w:t>Pārvedums no</w:t>
            </w:r>
          </w:p>
        </w:tc>
        <w:tc>
          <w:tcPr>
            <w:tcW w:w="2039" w:type="dxa"/>
            <w:gridSpan w:val="2"/>
            <w:shd w:val="clear" w:color="auto" w:fill="D9D9D9" w:themeFill="background1" w:themeFillShade="D9"/>
          </w:tcPr>
          <w:p w14:paraId="49A01CA8" w14:textId="77777777" w:rsidR="005047FB" w:rsidRPr="00F200CF" w:rsidRDefault="005047FB" w:rsidP="00F200CF">
            <w:pPr>
              <w:spacing w:before="0" w:after="0"/>
              <w:jc w:val="center"/>
              <w:rPr>
                <w:rFonts w:ascii="Times New Roman" w:eastAsia="Times New Roman" w:hAnsi="Times New Roman"/>
                <w:noProof/>
                <w:sz w:val="16"/>
                <w:szCs w:val="16"/>
              </w:rPr>
            </w:pPr>
            <w:r w:rsidRPr="00F200CF">
              <w:rPr>
                <w:rFonts w:ascii="Times New Roman" w:eastAsia="Times New Roman" w:hAnsi="Times New Roman"/>
                <w:noProof/>
                <w:sz w:val="16"/>
                <w:szCs w:val="16"/>
              </w:rPr>
              <w:t>Pārvedums uz</w:t>
            </w:r>
          </w:p>
        </w:tc>
        <w:tc>
          <w:tcPr>
            <w:tcW w:w="10046" w:type="dxa"/>
            <w:gridSpan w:val="10"/>
            <w:shd w:val="clear" w:color="auto" w:fill="D9D9D9" w:themeFill="background1" w:themeFillShade="D9"/>
          </w:tcPr>
          <w:p w14:paraId="1E783A4A" w14:textId="18D407D9" w:rsidR="005047FB" w:rsidRPr="00F200CF" w:rsidRDefault="005047FB" w:rsidP="00F200CF">
            <w:pPr>
              <w:spacing w:before="0" w:after="0"/>
              <w:jc w:val="center"/>
              <w:rPr>
                <w:rFonts w:ascii="Times New Roman" w:eastAsia="Times New Roman" w:hAnsi="Times New Roman"/>
                <w:noProof/>
                <w:sz w:val="16"/>
                <w:szCs w:val="16"/>
              </w:rPr>
            </w:pPr>
            <w:r w:rsidRPr="00F200CF">
              <w:rPr>
                <w:rFonts w:ascii="Times New Roman" w:eastAsia="Times New Roman" w:hAnsi="Times New Roman"/>
                <w:noProof/>
                <w:sz w:val="16"/>
                <w:szCs w:val="16"/>
              </w:rPr>
              <w:t>Dalījums pa gadiem</w:t>
            </w:r>
          </w:p>
        </w:tc>
      </w:tr>
      <w:tr w:rsidR="005047FB" w:rsidRPr="00F200CF" w14:paraId="6FB39729" w14:textId="77777777" w:rsidTr="00F200CF">
        <w:tc>
          <w:tcPr>
            <w:tcW w:w="860" w:type="dxa"/>
            <w:vMerge w:val="restart"/>
            <w:shd w:val="clear" w:color="auto" w:fill="D9D9D9" w:themeFill="background1" w:themeFillShade="D9"/>
          </w:tcPr>
          <w:p w14:paraId="745F1423" w14:textId="77777777" w:rsidR="005047FB" w:rsidRPr="00F200CF" w:rsidRDefault="005047FB" w:rsidP="00F200CF">
            <w:pPr>
              <w:spacing w:before="0" w:after="0"/>
              <w:jc w:val="center"/>
              <w:rPr>
                <w:rFonts w:ascii="Times New Roman" w:eastAsia="Times New Roman" w:hAnsi="Times New Roman"/>
                <w:noProof/>
                <w:sz w:val="16"/>
                <w:szCs w:val="16"/>
              </w:rPr>
            </w:pPr>
            <w:r w:rsidRPr="00F200CF">
              <w:rPr>
                <w:rFonts w:ascii="Times New Roman" w:eastAsia="Times New Roman" w:hAnsi="Times New Roman"/>
                <w:noProof/>
                <w:sz w:val="16"/>
                <w:szCs w:val="16"/>
              </w:rPr>
              <w:t>Fonds</w:t>
            </w:r>
          </w:p>
        </w:tc>
        <w:tc>
          <w:tcPr>
            <w:tcW w:w="1016" w:type="dxa"/>
            <w:vMerge w:val="restart"/>
            <w:shd w:val="clear" w:color="auto" w:fill="D9D9D9" w:themeFill="background1" w:themeFillShade="D9"/>
          </w:tcPr>
          <w:p w14:paraId="7E947607" w14:textId="77777777" w:rsidR="005047FB" w:rsidRPr="00F200CF" w:rsidRDefault="005047FB" w:rsidP="00F200CF">
            <w:pPr>
              <w:spacing w:before="0" w:after="0"/>
              <w:jc w:val="center"/>
              <w:rPr>
                <w:rFonts w:ascii="Times New Roman" w:eastAsia="Times New Roman" w:hAnsi="Times New Roman"/>
                <w:noProof/>
                <w:sz w:val="16"/>
                <w:szCs w:val="16"/>
              </w:rPr>
            </w:pPr>
            <w:r w:rsidRPr="00F200CF">
              <w:rPr>
                <w:rFonts w:ascii="Times New Roman" w:eastAsia="Times New Roman" w:hAnsi="Times New Roman"/>
                <w:noProof/>
                <w:sz w:val="16"/>
                <w:szCs w:val="16"/>
              </w:rPr>
              <w:t>Reģiona kategorija</w:t>
            </w:r>
          </w:p>
        </w:tc>
        <w:tc>
          <w:tcPr>
            <w:tcW w:w="1023" w:type="dxa"/>
            <w:vMerge w:val="restart"/>
            <w:shd w:val="clear" w:color="auto" w:fill="D9D9D9" w:themeFill="background1" w:themeFillShade="D9"/>
          </w:tcPr>
          <w:p w14:paraId="2080D95D" w14:textId="77777777" w:rsidR="005047FB" w:rsidRPr="00F200CF" w:rsidRDefault="005047FB" w:rsidP="00F200CF">
            <w:pPr>
              <w:spacing w:before="0" w:after="0"/>
              <w:jc w:val="center"/>
              <w:rPr>
                <w:rFonts w:ascii="Times New Roman" w:eastAsia="Times New Roman" w:hAnsi="Times New Roman"/>
                <w:noProof/>
                <w:sz w:val="16"/>
                <w:szCs w:val="16"/>
              </w:rPr>
            </w:pPr>
            <w:r w:rsidRPr="00F200CF">
              <w:rPr>
                <w:rFonts w:ascii="Times New Roman" w:eastAsia="Times New Roman" w:hAnsi="Times New Roman"/>
                <w:noProof/>
                <w:sz w:val="16"/>
                <w:szCs w:val="16"/>
              </w:rPr>
              <w:t>Fonds</w:t>
            </w:r>
          </w:p>
        </w:tc>
        <w:tc>
          <w:tcPr>
            <w:tcW w:w="1016" w:type="dxa"/>
            <w:vMerge w:val="restart"/>
            <w:shd w:val="clear" w:color="auto" w:fill="D9D9D9" w:themeFill="background1" w:themeFillShade="D9"/>
          </w:tcPr>
          <w:p w14:paraId="0A1F9124" w14:textId="77777777" w:rsidR="005047FB" w:rsidRPr="00F200CF" w:rsidRDefault="005047FB" w:rsidP="00F200CF">
            <w:pPr>
              <w:spacing w:before="0" w:after="0"/>
              <w:jc w:val="center"/>
              <w:rPr>
                <w:rFonts w:ascii="Times New Roman" w:eastAsia="Times New Roman" w:hAnsi="Times New Roman"/>
                <w:noProof/>
                <w:sz w:val="16"/>
                <w:szCs w:val="16"/>
              </w:rPr>
            </w:pPr>
            <w:r w:rsidRPr="00F200CF">
              <w:rPr>
                <w:rFonts w:ascii="Times New Roman" w:eastAsia="Times New Roman" w:hAnsi="Times New Roman"/>
                <w:noProof/>
                <w:sz w:val="16"/>
                <w:szCs w:val="16"/>
              </w:rPr>
              <w:t>Reģiona kategorija</w:t>
            </w:r>
          </w:p>
        </w:tc>
        <w:tc>
          <w:tcPr>
            <w:tcW w:w="950" w:type="dxa"/>
            <w:vMerge w:val="restart"/>
            <w:shd w:val="clear" w:color="auto" w:fill="D9D9D9" w:themeFill="background1" w:themeFillShade="D9"/>
          </w:tcPr>
          <w:p w14:paraId="780FC913" w14:textId="77777777" w:rsidR="005047FB" w:rsidRPr="00F200CF" w:rsidRDefault="005047FB" w:rsidP="00F200CF">
            <w:pPr>
              <w:spacing w:before="0" w:after="0"/>
              <w:jc w:val="center"/>
              <w:rPr>
                <w:rFonts w:ascii="Times New Roman" w:eastAsia="Times New Roman" w:hAnsi="Times New Roman"/>
                <w:noProof/>
                <w:sz w:val="16"/>
                <w:szCs w:val="16"/>
              </w:rPr>
            </w:pPr>
            <w:r w:rsidRPr="00F200CF">
              <w:rPr>
                <w:rFonts w:ascii="Times New Roman" w:eastAsia="Times New Roman" w:hAnsi="Times New Roman"/>
                <w:noProof/>
                <w:sz w:val="16"/>
                <w:szCs w:val="16"/>
              </w:rPr>
              <w:t>2021</w:t>
            </w:r>
          </w:p>
        </w:tc>
        <w:tc>
          <w:tcPr>
            <w:tcW w:w="942" w:type="dxa"/>
            <w:vMerge w:val="restart"/>
            <w:shd w:val="clear" w:color="auto" w:fill="D9D9D9" w:themeFill="background1" w:themeFillShade="D9"/>
          </w:tcPr>
          <w:p w14:paraId="10A1C42F" w14:textId="77777777" w:rsidR="005047FB" w:rsidRPr="00F200CF" w:rsidRDefault="005047FB" w:rsidP="00F200CF">
            <w:pPr>
              <w:spacing w:before="0" w:after="0"/>
              <w:jc w:val="center"/>
              <w:rPr>
                <w:rFonts w:ascii="Times New Roman" w:eastAsia="Times New Roman" w:hAnsi="Times New Roman"/>
                <w:noProof/>
                <w:sz w:val="16"/>
                <w:szCs w:val="16"/>
              </w:rPr>
            </w:pPr>
            <w:r w:rsidRPr="00F200CF">
              <w:rPr>
                <w:rFonts w:ascii="Times New Roman" w:eastAsia="Times New Roman" w:hAnsi="Times New Roman"/>
                <w:noProof/>
                <w:sz w:val="16"/>
                <w:szCs w:val="16"/>
              </w:rPr>
              <w:t>2022</w:t>
            </w:r>
          </w:p>
        </w:tc>
        <w:tc>
          <w:tcPr>
            <w:tcW w:w="992" w:type="dxa"/>
            <w:vMerge w:val="restart"/>
            <w:shd w:val="clear" w:color="auto" w:fill="D9D9D9" w:themeFill="background1" w:themeFillShade="D9"/>
          </w:tcPr>
          <w:p w14:paraId="28EFF04E" w14:textId="77777777" w:rsidR="005047FB" w:rsidRPr="00F200CF" w:rsidRDefault="005047FB" w:rsidP="00F200CF">
            <w:pPr>
              <w:spacing w:before="0" w:after="0"/>
              <w:jc w:val="center"/>
              <w:rPr>
                <w:rFonts w:ascii="Times New Roman" w:eastAsia="Times New Roman" w:hAnsi="Times New Roman"/>
                <w:noProof/>
                <w:sz w:val="16"/>
                <w:szCs w:val="16"/>
              </w:rPr>
            </w:pPr>
            <w:r w:rsidRPr="00F200CF">
              <w:rPr>
                <w:rFonts w:ascii="Times New Roman" w:eastAsia="Times New Roman" w:hAnsi="Times New Roman"/>
                <w:noProof/>
                <w:sz w:val="16"/>
                <w:szCs w:val="16"/>
              </w:rPr>
              <w:t>2023</w:t>
            </w:r>
          </w:p>
        </w:tc>
        <w:tc>
          <w:tcPr>
            <w:tcW w:w="993" w:type="dxa"/>
            <w:vMerge w:val="restart"/>
            <w:shd w:val="clear" w:color="auto" w:fill="D9D9D9" w:themeFill="background1" w:themeFillShade="D9"/>
          </w:tcPr>
          <w:p w14:paraId="17E2A0C7" w14:textId="77777777" w:rsidR="005047FB" w:rsidRPr="00F200CF" w:rsidRDefault="005047FB" w:rsidP="00F200CF">
            <w:pPr>
              <w:spacing w:before="0" w:after="0"/>
              <w:jc w:val="center"/>
              <w:rPr>
                <w:rFonts w:ascii="Times New Roman" w:eastAsia="Times New Roman" w:hAnsi="Times New Roman"/>
                <w:noProof/>
                <w:sz w:val="16"/>
                <w:szCs w:val="16"/>
              </w:rPr>
            </w:pPr>
            <w:r w:rsidRPr="00F200CF">
              <w:rPr>
                <w:rFonts w:ascii="Times New Roman" w:eastAsia="Times New Roman" w:hAnsi="Times New Roman"/>
                <w:noProof/>
                <w:sz w:val="16"/>
                <w:szCs w:val="16"/>
              </w:rPr>
              <w:t>2024</w:t>
            </w:r>
          </w:p>
        </w:tc>
        <w:tc>
          <w:tcPr>
            <w:tcW w:w="1134" w:type="dxa"/>
            <w:vMerge w:val="restart"/>
            <w:shd w:val="clear" w:color="auto" w:fill="D9D9D9" w:themeFill="background1" w:themeFillShade="D9"/>
          </w:tcPr>
          <w:p w14:paraId="6C3EADDC" w14:textId="77777777" w:rsidR="005047FB" w:rsidRPr="00F200CF" w:rsidRDefault="005047FB" w:rsidP="00F200CF">
            <w:pPr>
              <w:spacing w:before="0" w:after="0"/>
              <w:jc w:val="center"/>
              <w:rPr>
                <w:rFonts w:ascii="Times New Roman" w:eastAsia="Times New Roman" w:hAnsi="Times New Roman"/>
                <w:noProof/>
                <w:sz w:val="16"/>
                <w:szCs w:val="16"/>
              </w:rPr>
            </w:pPr>
            <w:r w:rsidRPr="00F200CF">
              <w:rPr>
                <w:rFonts w:ascii="Times New Roman" w:eastAsia="Times New Roman" w:hAnsi="Times New Roman"/>
                <w:noProof/>
                <w:sz w:val="16"/>
                <w:szCs w:val="16"/>
              </w:rPr>
              <w:t>2025</w:t>
            </w:r>
          </w:p>
        </w:tc>
        <w:tc>
          <w:tcPr>
            <w:tcW w:w="2022" w:type="dxa"/>
            <w:gridSpan w:val="2"/>
            <w:shd w:val="clear" w:color="auto" w:fill="D9D9D9" w:themeFill="background1" w:themeFillShade="D9"/>
          </w:tcPr>
          <w:p w14:paraId="37E74C97" w14:textId="19A9D891" w:rsidR="005047FB" w:rsidRPr="00F200CF" w:rsidRDefault="005047FB" w:rsidP="00F200CF">
            <w:pPr>
              <w:spacing w:before="0" w:after="0"/>
              <w:jc w:val="center"/>
              <w:rPr>
                <w:rFonts w:ascii="Times New Roman" w:eastAsia="Times New Roman" w:hAnsi="Times New Roman"/>
                <w:noProof/>
                <w:sz w:val="16"/>
                <w:szCs w:val="16"/>
              </w:rPr>
            </w:pPr>
            <w:r w:rsidRPr="00F200CF">
              <w:rPr>
                <w:rFonts w:ascii="Times New Roman" w:eastAsia="Times New Roman" w:hAnsi="Times New Roman"/>
                <w:noProof/>
                <w:sz w:val="16"/>
                <w:szCs w:val="16"/>
              </w:rPr>
              <w:t>2026</w:t>
            </w:r>
          </w:p>
        </w:tc>
        <w:tc>
          <w:tcPr>
            <w:tcW w:w="2021" w:type="dxa"/>
            <w:gridSpan w:val="2"/>
            <w:shd w:val="clear" w:color="auto" w:fill="D9D9D9" w:themeFill="background1" w:themeFillShade="D9"/>
          </w:tcPr>
          <w:p w14:paraId="35B86504" w14:textId="61C740CC" w:rsidR="005047FB" w:rsidRPr="00F200CF" w:rsidRDefault="005047FB" w:rsidP="00F200CF">
            <w:pPr>
              <w:spacing w:before="0" w:after="0"/>
              <w:jc w:val="center"/>
              <w:rPr>
                <w:rFonts w:ascii="Times New Roman" w:eastAsia="Times New Roman" w:hAnsi="Times New Roman"/>
                <w:noProof/>
                <w:sz w:val="16"/>
                <w:szCs w:val="16"/>
              </w:rPr>
            </w:pPr>
            <w:r w:rsidRPr="00F200CF">
              <w:rPr>
                <w:rFonts w:ascii="Times New Roman" w:eastAsia="Times New Roman" w:hAnsi="Times New Roman"/>
                <w:noProof/>
                <w:sz w:val="16"/>
                <w:szCs w:val="16"/>
              </w:rPr>
              <w:t>2027</w:t>
            </w:r>
          </w:p>
        </w:tc>
        <w:tc>
          <w:tcPr>
            <w:tcW w:w="992" w:type="dxa"/>
            <w:vMerge w:val="restart"/>
            <w:shd w:val="clear" w:color="auto" w:fill="D9D9D9" w:themeFill="background1" w:themeFillShade="D9"/>
          </w:tcPr>
          <w:p w14:paraId="267EF617" w14:textId="6C4BDF0A" w:rsidR="005047FB" w:rsidRPr="00F200CF" w:rsidRDefault="005047FB" w:rsidP="00F200CF">
            <w:pPr>
              <w:spacing w:before="0" w:after="0"/>
              <w:jc w:val="center"/>
              <w:rPr>
                <w:rFonts w:ascii="Times New Roman" w:eastAsia="Times New Roman" w:hAnsi="Times New Roman"/>
                <w:noProof/>
                <w:sz w:val="16"/>
                <w:szCs w:val="16"/>
              </w:rPr>
            </w:pPr>
            <w:r w:rsidRPr="00F200CF">
              <w:rPr>
                <w:rFonts w:ascii="Times New Roman" w:eastAsia="Times New Roman" w:hAnsi="Times New Roman"/>
                <w:noProof/>
                <w:sz w:val="16"/>
                <w:szCs w:val="16"/>
              </w:rPr>
              <w:t>Kopā</w:t>
            </w:r>
          </w:p>
        </w:tc>
      </w:tr>
      <w:tr w:rsidR="00F200CF" w:rsidRPr="00F200CF" w14:paraId="423F5DAA" w14:textId="77777777" w:rsidTr="00F200CF">
        <w:tc>
          <w:tcPr>
            <w:tcW w:w="860" w:type="dxa"/>
            <w:vMerge/>
            <w:shd w:val="clear" w:color="auto" w:fill="D9D9D9" w:themeFill="background1" w:themeFillShade="D9"/>
          </w:tcPr>
          <w:p w14:paraId="3F30F10E" w14:textId="77777777" w:rsidR="005047FB" w:rsidRPr="00F200CF" w:rsidRDefault="005047FB" w:rsidP="00F200CF">
            <w:pPr>
              <w:spacing w:before="0" w:after="0"/>
              <w:jc w:val="center"/>
              <w:rPr>
                <w:rFonts w:ascii="Times New Roman" w:eastAsia="Times New Roman" w:hAnsi="Times New Roman"/>
                <w:noProof/>
                <w:sz w:val="16"/>
                <w:szCs w:val="16"/>
              </w:rPr>
            </w:pPr>
          </w:p>
        </w:tc>
        <w:tc>
          <w:tcPr>
            <w:tcW w:w="1016" w:type="dxa"/>
            <w:vMerge/>
            <w:shd w:val="clear" w:color="auto" w:fill="D9D9D9" w:themeFill="background1" w:themeFillShade="D9"/>
          </w:tcPr>
          <w:p w14:paraId="539C8505" w14:textId="77777777" w:rsidR="005047FB" w:rsidRPr="00F200CF" w:rsidRDefault="005047FB" w:rsidP="00F200CF">
            <w:pPr>
              <w:spacing w:before="0" w:after="0"/>
              <w:jc w:val="center"/>
              <w:rPr>
                <w:rFonts w:ascii="Times New Roman" w:eastAsia="Times New Roman" w:hAnsi="Times New Roman"/>
                <w:noProof/>
                <w:sz w:val="16"/>
                <w:szCs w:val="16"/>
              </w:rPr>
            </w:pPr>
          </w:p>
        </w:tc>
        <w:tc>
          <w:tcPr>
            <w:tcW w:w="1023" w:type="dxa"/>
            <w:vMerge/>
            <w:shd w:val="clear" w:color="auto" w:fill="D9D9D9" w:themeFill="background1" w:themeFillShade="D9"/>
          </w:tcPr>
          <w:p w14:paraId="36A7EFFA" w14:textId="77777777" w:rsidR="005047FB" w:rsidRPr="00F200CF" w:rsidRDefault="005047FB" w:rsidP="00F200CF">
            <w:pPr>
              <w:spacing w:before="0" w:after="0"/>
              <w:jc w:val="center"/>
              <w:rPr>
                <w:rFonts w:ascii="Times New Roman" w:eastAsia="Times New Roman" w:hAnsi="Times New Roman"/>
                <w:noProof/>
                <w:sz w:val="16"/>
                <w:szCs w:val="16"/>
              </w:rPr>
            </w:pPr>
          </w:p>
        </w:tc>
        <w:tc>
          <w:tcPr>
            <w:tcW w:w="1016" w:type="dxa"/>
            <w:vMerge/>
            <w:shd w:val="clear" w:color="auto" w:fill="D9D9D9" w:themeFill="background1" w:themeFillShade="D9"/>
          </w:tcPr>
          <w:p w14:paraId="63AE1785" w14:textId="77777777" w:rsidR="005047FB" w:rsidRPr="00F200CF" w:rsidRDefault="005047FB" w:rsidP="00F200CF">
            <w:pPr>
              <w:spacing w:before="0" w:after="0"/>
              <w:jc w:val="center"/>
              <w:rPr>
                <w:rFonts w:ascii="Times New Roman" w:eastAsia="Times New Roman" w:hAnsi="Times New Roman"/>
                <w:noProof/>
                <w:sz w:val="16"/>
                <w:szCs w:val="16"/>
              </w:rPr>
            </w:pPr>
          </w:p>
        </w:tc>
        <w:tc>
          <w:tcPr>
            <w:tcW w:w="950" w:type="dxa"/>
            <w:vMerge/>
            <w:shd w:val="clear" w:color="auto" w:fill="D9D9D9" w:themeFill="background1" w:themeFillShade="D9"/>
          </w:tcPr>
          <w:p w14:paraId="28C93105" w14:textId="77777777" w:rsidR="005047FB" w:rsidRPr="00F200CF" w:rsidRDefault="005047FB" w:rsidP="00F200CF">
            <w:pPr>
              <w:spacing w:before="0" w:after="0"/>
              <w:jc w:val="center"/>
              <w:rPr>
                <w:rFonts w:ascii="Times New Roman" w:eastAsia="Times New Roman" w:hAnsi="Times New Roman"/>
                <w:noProof/>
                <w:sz w:val="16"/>
                <w:szCs w:val="16"/>
              </w:rPr>
            </w:pPr>
          </w:p>
        </w:tc>
        <w:tc>
          <w:tcPr>
            <w:tcW w:w="942" w:type="dxa"/>
            <w:vMerge/>
            <w:shd w:val="clear" w:color="auto" w:fill="D9D9D9" w:themeFill="background1" w:themeFillShade="D9"/>
          </w:tcPr>
          <w:p w14:paraId="496A4F47" w14:textId="77777777" w:rsidR="005047FB" w:rsidRPr="00F200CF" w:rsidRDefault="005047FB" w:rsidP="00F200CF">
            <w:pPr>
              <w:spacing w:before="0" w:after="0"/>
              <w:jc w:val="center"/>
              <w:rPr>
                <w:rFonts w:ascii="Times New Roman" w:eastAsia="Times New Roman" w:hAnsi="Times New Roman"/>
                <w:noProof/>
                <w:sz w:val="16"/>
                <w:szCs w:val="16"/>
              </w:rPr>
            </w:pPr>
          </w:p>
        </w:tc>
        <w:tc>
          <w:tcPr>
            <w:tcW w:w="992" w:type="dxa"/>
            <w:vMerge/>
            <w:shd w:val="clear" w:color="auto" w:fill="D9D9D9" w:themeFill="background1" w:themeFillShade="D9"/>
          </w:tcPr>
          <w:p w14:paraId="0E70350E" w14:textId="77777777" w:rsidR="005047FB" w:rsidRPr="00F200CF" w:rsidRDefault="005047FB" w:rsidP="00F200CF">
            <w:pPr>
              <w:spacing w:before="0" w:after="0"/>
              <w:jc w:val="center"/>
              <w:rPr>
                <w:rFonts w:ascii="Times New Roman" w:eastAsia="Times New Roman" w:hAnsi="Times New Roman"/>
                <w:noProof/>
                <w:sz w:val="16"/>
                <w:szCs w:val="16"/>
              </w:rPr>
            </w:pPr>
          </w:p>
        </w:tc>
        <w:tc>
          <w:tcPr>
            <w:tcW w:w="993" w:type="dxa"/>
            <w:vMerge/>
            <w:shd w:val="clear" w:color="auto" w:fill="D9D9D9" w:themeFill="background1" w:themeFillShade="D9"/>
          </w:tcPr>
          <w:p w14:paraId="01B020E6" w14:textId="77777777" w:rsidR="005047FB" w:rsidRPr="00F200CF" w:rsidRDefault="005047FB" w:rsidP="00F200CF">
            <w:pPr>
              <w:spacing w:before="0" w:after="0"/>
              <w:jc w:val="center"/>
              <w:rPr>
                <w:rFonts w:ascii="Times New Roman" w:eastAsia="Times New Roman" w:hAnsi="Times New Roman"/>
                <w:noProof/>
                <w:sz w:val="16"/>
                <w:szCs w:val="16"/>
              </w:rPr>
            </w:pPr>
          </w:p>
        </w:tc>
        <w:tc>
          <w:tcPr>
            <w:tcW w:w="1134" w:type="dxa"/>
            <w:vMerge/>
            <w:shd w:val="clear" w:color="auto" w:fill="D9D9D9" w:themeFill="background1" w:themeFillShade="D9"/>
          </w:tcPr>
          <w:p w14:paraId="5CEABD9E" w14:textId="77777777" w:rsidR="005047FB" w:rsidRPr="00F200CF" w:rsidRDefault="005047FB" w:rsidP="00F200CF">
            <w:pPr>
              <w:spacing w:before="0" w:after="0"/>
              <w:jc w:val="center"/>
              <w:rPr>
                <w:rFonts w:ascii="Times New Roman" w:eastAsia="Times New Roman" w:hAnsi="Times New Roman"/>
                <w:noProof/>
                <w:sz w:val="16"/>
                <w:szCs w:val="16"/>
              </w:rPr>
            </w:pPr>
          </w:p>
        </w:tc>
        <w:tc>
          <w:tcPr>
            <w:tcW w:w="1025" w:type="dxa"/>
            <w:shd w:val="clear" w:color="auto" w:fill="D9D9D9" w:themeFill="background1" w:themeFillShade="D9"/>
          </w:tcPr>
          <w:p w14:paraId="34793ABB" w14:textId="6995EAB7" w:rsidR="005047FB" w:rsidRPr="00F200CF" w:rsidRDefault="005047FB" w:rsidP="00F200CF">
            <w:pPr>
              <w:spacing w:before="0" w:after="0"/>
              <w:jc w:val="center"/>
              <w:rPr>
                <w:rFonts w:ascii="Times New Roman" w:eastAsia="Times New Roman" w:hAnsi="Times New Roman"/>
                <w:noProof/>
                <w:sz w:val="16"/>
                <w:szCs w:val="16"/>
              </w:rPr>
            </w:pPr>
            <w:r w:rsidRPr="00F200CF">
              <w:rPr>
                <w:rFonts w:ascii="Times New Roman" w:eastAsia="Times New Roman" w:hAnsi="Times New Roman"/>
                <w:noProof/>
                <w:sz w:val="16"/>
                <w:szCs w:val="16"/>
              </w:rPr>
              <w:t>Finansējums bez elastības finansējuma</w:t>
            </w:r>
          </w:p>
        </w:tc>
        <w:tc>
          <w:tcPr>
            <w:tcW w:w="997" w:type="dxa"/>
            <w:shd w:val="clear" w:color="auto" w:fill="D9D9D9" w:themeFill="background1" w:themeFillShade="D9"/>
          </w:tcPr>
          <w:p w14:paraId="29CEEABB" w14:textId="2AD2BDC3" w:rsidR="005047FB" w:rsidRPr="00F200CF" w:rsidRDefault="005047FB" w:rsidP="00F200CF">
            <w:pPr>
              <w:spacing w:before="0" w:after="0"/>
              <w:jc w:val="center"/>
              <w:rPr>
                <w:rFonts w:ascii="Times New Roman" w:eastAsia="Times New Roman" w:hAnsi="Times New Roman"/>
                <w:noProof/>
                <w:sz w:val="16"/>
                <w:szCs w:val="16"/>
              </w:rPr>
            </w:pPr>
            <w:r w:rsidRPr="00F200CF">
              <w:rPr>
                <w:rFonts w:ascii="Times New Roman" w:eastAsia="Times New Roman" w:hAnsi="Times New Roman"/>
                <w:noProof/>
                <w:sz w:val="16"/>
                <w:szCs w:val="16"/>
              </w:rPr>
              <w:t>Elastības finansējums</w:t>
            </w:r>
          </w:p>
        </w:tc>
        <w:tc>
          <w:tcPr>
            <w:tcW w:w="1031" w:type="dxa"/>
            <w:shd w:val="clear" w:color="auto" w:fill="D9D9D9" w:themeFill="background1" w:themeFillShade="D9"/>
          </w:tcPr>
          <w:p w14:paraId="020FD6C3" w14:textId="0CBC8083" w:rsidR="005047FB" w:rsidRPr="00F200CF" w:rsidRDefault="005047FB" w:rsidP="00F200CF">
            <w:pPr>
              <w:spacing w:before="0" w:after="0"/>
              <w:jc w:val="center"/>
              <w:rPr>
                <w:rFonts w:ascii="Times New Roman" w:eastAsia="Times New Roman" w:hAnsi="Times New Roman"/>
                <w:noProof/>
                <w:sz w:val="16"/>
                <w:szCs w:val="16"/>
              </w:rPr>
            </w:pPr>
            <w:r w:rsidRPr="00F200CF">
              <w:rPr>
                <w:rFonts w:ascii="Times New Roman" w:eastAsia="Times New Roman" w:hAnsi="Times New Roman"/>
                <w:noProof/>
                <w:sz w:val="16"/>
                <w:szCs w:val="16"/>
              </w:rPr>
              <w:t>Finansējums bez elastības finansējuma</w:t>
            </w:r>
          </w:p>
        </w:tc>
        <w:tc>
          <w:tcPr>
            <w:tcW w:w="990" w:type="dxa"/>
            <w:shd w:val="clear" w:color="auto" w:fill="D9D9D9" w:themeFill="background1" w:themeFillShade="D9"/>
          </w:tcPr>
          <w:p w14:paraId="34AEAD9D" w14:textId="3132FA2C" w:rsidR="005047FB" w:rsidRPr="00F200CF" w:rsidRDefault="005047FB" w:rsidP="00F200CF">
            <w:pPr>
              <w:spacing w:before="0" w:after="0"/>
              <w:jc w:val="center"/>
              <w:rPr>
                <w:rFonts w:ascii="Times New Roman" w:eastAsia="Times New Roman" w:hAnsi="Times New Roman"/>
                <w:noProof/>
                <w:sz w:val="16"/>
                <w:szCs w:val="16"/>
              </w:rPr>
            </w:pPr>
            <w:r w:rsidRPr="00F200CF">
              <w:rPr>
                <w:rFonts w:ascii="Times New Roman" w:eastAsia="Times New Roman" w:hAnsi="Times New Roman"/>
                <w:noProof/>
                <w:sz w:val="16"/>
                <w:szCs w:val="16"/>
              </w:rPr>
              <w:t>Elastības finansējums</w:t>
            </w:r>
          </w:p>
        </w:tc>
        <w:tc>
          <w:tcPr>
            <w:tcW w:w="992" w:type="dxa"/>
            <w:vMerge/>
            <w:shd w:val="clear" w:color="auto" w:fill="D9D9D9" w:themeFill="background1" w:themeFillShade="D9"/>
          </w:tcPr>
          <w:p w14:paraId="2C473169" w14:textId="77777777" w:rsidR="005047FB" w:rsidRPr="00F200CF" w:rsidRDefault="005047FB" w:rsidP="00F200CF">
            <w:pPr>
              <w:spacing w:before="0" w:after="0"/>
              <w:jc w:val="center"/>
              <w:rPr>
                <w:rFonts w:ascii="Times New Roman" w:eastAsia="Times New Roman" w:hAnsi="Times New Roman"/>
                <w:noProof/>
                <w:sz w:val="16"/>
                <w:szCs w:val="16"/>
              </w:rPr>
            </w:pPr>
          </w:p>
        </w:tc>
      </w:tr>
      <w:tr w:rsidR="00F200CF" w:rsidRPr="00F200CF" w14:paraId="10E32A17" w14:textId="77777777" w:rsidTr="00F200CF">
        <w:tc>
          <w:tcPr>
            <w:tcW w:w="860" w:type="dxa"/>
            <w:shd w:val="clear" w:color="auto" w:fill="D9D9D9" w:themeFill="background1" w:themeFillShade="D9"/>
          </w:tcPr>
          <w:p w14:paraId="57BAF2AF" w14:textId="77777777" w:rsidR="00F200CF" w:rsidRPr="00F200CF" w:rsidRDefault="00F200CF" w:rsidP="00F200CF">
            <w:pPr>
              <w:spacing w:before="0" w:after="0"/>
              <w:rPr>
                <w:rFonts w:ascii="Times New Roman" w:eastAsia="Times New Roman" w:hAnsi="Times New Roman"/>
                <w:noProof/>
                <w:sz w:val="16"/>
                <w:szCs w:val="16"/>
              </w:rPr>
            </w:pPr>
            <w:r w:rsidRPr="00F200CF">
              <w:rPr>
                <w:rFonts w:ascii="Times New Roman" w:eastAsia="Times New Roman" w:hAnsi="Times New Roman"/>
                <w:noProof/>
                <w:sz w:val="16"/>
                <w:szCs w:val="16"/>
              </w:rPr>
              <w:t>ERAF</w:t>
            </w:r>
          </w:p>
        </w:tc>
        <w:tc>
          <w:tcPr>
            <w:tcW w:w="1016" w:type="dxa"/>
            <w:shd w:val="clear" w:color="auto" w:fill="D9D9D9" w:themeFill="background1" w:themeFillShade="D9"/>
          </w:tcPr>
          <w:p w14:paraId="39FD07E7" w14:textId="77777777" w:rsidR="00F200CF" w:rsidRPr="00F200CF" w:rsidRDefault="00F200CF" w:rsidP="00F200CF">
            <w:pPr>
              <w:spacing w:before="0" w:after="0"/>
              <w:rPr>
                <w:rFonts w:ascii="Times New Roman" w:eastAsia="Times New Roman" w:hAnsi="Times New Roman"/>
                <w:noProof/>
                <w:sz w:val="16"/>
                <w:szCs w:val="16"/>
              </w:rPr>
            </w:pPr>
            <w:r w:rsidRPr="00F200CF">
              <w:rPr>
                <w:rFonts w:ascii="Times New Roman" w:eastAsia="Times New Roman" w:hAnsi="Times New Roman"/>
                <w:noProof/>
                <w:sz w:val="16"/>
                <w:szCs w:val="16"/>
              </w:rPr>
              <w:t>Mazāk attīstīts</w:t>
            </w:r>
          </w:p>
        </w:tc>
        <w:tc>
          <w:tcPr>
            <w:tcW w:w="1023" w:type="dxa"/>
            <w:vMerge w:val="restart"/>
          </w:tcPr>
          <w:p w14:paraId="3B250B13" w14:textId="5FEABFFC" w:rsidR="00F200CF" w:rsidRPr="00F200CF" w:rsidRDefault="00F200CF" w:rsidP="00F200CF">
            <w:pPr>
              <w:spacing w:before="0" w:after="0"/>
              <w:rPr>
                <w:rFonts w:ascii="Times New Roman" w:eastAsia="Times New Roman" w:hAnsi="Times New Roman"/>
                <w:noProof/>
                <w:sz w:val="16"/>
                <w:szCs w:val="16"/>
              </w:rPr>
            </w:pPr>
            <w:r w:rsidRPr="00F200CF">
              <w:rPr>
                <w:rFonts w:ascii="Times New Roman" w:eastAsia="Times New Roman" w:hAnsi="Times New Roman"/>
                <w:noProof/>
                <w:sz w:val="16"/>
                <w:szCs w:val="16"/>
              </w:rPr>
              <w:t>ESF+</w:t>
            </w:r>
          </w:p>
        </w:tc>
        <w:tc>
          <w:tcPr>
            <w:tcW w:w="1016" w:type="dxa"/>
          </w:tcPr>
          <w:p w14:paraId="1726AFCC" w14:textId="6C90A632" w:rsidR="00F200CF" w:rsidRPr="00F200CF" w:rsidRDefault="00F200CF" w:rsidP="00F200CF">
            <w:pPr>
              <w:spacing w:before="0" w:after="0"/>
              <w:rPr>
                <w:rFonts w:ascii="Times New Roman" w:eastAsia="Times New Roman" w:hAnsi="Times New Roman"/>
                <w:noProof/>
                <w:sz w:val="16"/>
                <w:szCs w:val="16"/>
              </w:rPr>
            </w:pPr>
            <w:r w:rsidRPr="00F200CF">
              <w:rPr>
                <w:rFonts w:ascii="Times New Roman" w:eastAsia="Times New Roman" w:hAnsi="Times New Roman"/>
                <w:noProof/>
                <w:sz w:val="16"/>
                <w:szCs w:val="16"/>
              </w:rPr>
              <w:t>Mazāk attīstīts</w:t>
            </w:r>
          </w:p>
        </w:tc>
        <w:tc>
          <w:tcPr>
            <w:tcW w:w="950" w:type="dxa"/>
          </w:tcPr>
          <w:p w14:paraId="4232DB0F" w14:textId="6962A0B1" w:rsidR="00F200CF" w:rsidRPr="00F200CF" w:rsidRDefault="00F200CF" w:rsidP="00F200CF">
            <w:pPr>
              <w:spacing w:before="0" w:after="0"/>
              <w:jc w:val="right"/>
              <w:rPr>
                <w:rFonts w:ascii="Times New Roman" w:eastAsia="Times New Roman" w:hAnsi="Times New Roman"/>
                <w:noProof/>
                <w:sz w:val="16"/>
                <w:szCs w:val="16"/>
              </w:rPr>
            </w:pPr>
          </w:p>
        </w:tc>
        <w:tc>
          <w:tcPr>
            <w:tcW w:w="942" w:type="dxa"/>
          </w:tcPr>
          <w:p w14:paraId="340A9FE6" w14:textId="7C266E4E" w:rsidR="00F200CF" w:rsidRPr="00F200CF" w:rsidRDefault="00F200CF" w:rsidP="00F200CF">
            <w:pPr>
              <w:spacing w:before="0" w:after="0"/>
              <w:jc w:val="right"/>
              <w:rPr>
                <w:rFonts w:ascii="Times New Roman" w:eastAsia="Times New Roman" w:hAnsi="Times New Roman"/>
                <w:noProof/>
                <w:sz w:val="16"/>
                <w:szCs w:val="16"/>
              </w:rPr>
            </w:pPr>
          </w:p>
        </w:tc>
        <w:tc>
          <w:tcPr>
            <w:tcW w:w="992" w:type="dxa"/>
          </w:tcPr>
          <w:p w14:paraId="16A4FF0B" w14:textId="2A32DBC9" w:rsidR="00F200CF" w:rsidRPr="00F200CF" w:rsidRDefault="00F200CF" w:rsidP="00F200CF">
            <w:pPr>
              <w:spacing w:before="0" w:after="0"/>
              <w:jc w:val="right"/>
              <w:rPr>
                <w:rFonts w:ascii="Times New Roman" w:eastAsia="Times New Roman" w:hAnsi="Times New Roman"/>
                <w:noProof/>
                <w:sz w:val="16"/>
                <w:szCs w:val="16"/>
              </w:rPr>
            </w:pPr>
          </w:p>
        </w:tc>
        <w:tc>
          <w:tcPr>
            <w:tcW w:w="993" w:type="dxa"/>
          </w:tcPr>
          <w:p w14:paraId="52D8FD38" w14:textId="1CBD6E08" w:rsidR="00F200CF" w:rsidRPr="00F200CF" w:rsidRDefault="00F200CF" w:rsidP="00F200CF">
            <w:pPr>
              <w:spacing w:before="0" w:after="0"/>
              <w:jc w:val="right"/>
              <w:rPr>
                <w:rFonts w:ascii="Times New Roman" w:eastAsia="Times New Roman" w:hAnsi="Times New Roman"/>
                <w:noProof/>
                <w:sz w:val="16"/>
                <w:szCs w:val="16"/>
              </w:rPr>
            </w:pPr>
          </w:p>
        </w:tc>
        <w:tc>
          <w:tcPr>
            <w:tcW w:w="1134" w:type="dxa"/>
          </w:tcPr>
          <w:p w14:paraId="69773E55" w14:textId="75536E5A" w:rsidR="00F200CF" w:rsidRPr="00F200CF" w:rsidRDefault="00F200CF" w:rsidP="00F200CF">
            <w:pPr>
              <w:spacing w:before="0" w:after="0"/>
              <w:jc w:val="right"/>
              <w:rPr>
                <w:rFonts w:ascii="Times New Roman" w:eastAsia="Times New Roman" w:hAnsi="Times New Roman"/>
                <w:noProof/>
                <w:sz w:val="16"/>
                <w:szCs w:val="16"/>
              </w:rPr>
            </w:pPr>
          </w:p>
        </w:tc>
        <w:tc>
          <w:tcPr>
            <w:tcW w:w="1025" w:type="dxa"/>
          </w:tcPr>
          <w:p w14:paraId="1E9F3FC9" w14:textId="32FB7F67" w:rsidR="00F200CF" w:rsidRPr="00F200CF" w:rsidRDefault="00F200CF" w:rsidP="00F200CF">
            <w:pPr>
              <w:spacing w:before="0" w:after="0"/>
              <w:jc w:val="right"/>
              <w:rPr>
                <w:rFonts w:ascii="Times New Roman" w:eastAsia="Times New Roman" w:hAnsi="Times New Roman"/>
                <w:noProof/>
                <w:sz w:val="16"/>
                <w:szCs w:val="16"/>
              </w:rPr>
            </w:pPr>
          </w:p>
        </w:tc>
        <w:tc>
          <w:tcPr>
            <w:tcW w:w="997" w:type="dxa"/>
          </w:tcPr>
          <w:p w14:paraId="13DB1F00" w14:textId="7153B2B3" w:rsidR="00F200CF" w:rsidRPr="00F200CF" w:rsidRDefault="00F200CF" w:rsidP="00F200CF">
            <w:pPr>
              <w:spacing w:before="0" w:after="0"/>
              <w:jc w:val="right"/>
              <w:rPr>
                <w:rFonts w:ascii="Times New Roman" w:eastAsia="Times New Roman" w:hAnsi="Times New Roman"/>
                <w:noProof/>
                <w:sz w:val="16"/>
                <w:szCs w:val="16"/>
              </w:rPr>
            </w:pPr>
          </w:p>
        </w:tc>
        <w:tc>
          <w:tcPr>
            <w:tcW w:w="1031" w:type="dxa"/>
          </w:tcPr>
          <w:p w14:paraId="5E5ED3FD" w14:textId="5B373E08" w:rsidR="00F200CF" w:rsidRPr="00F200CF" w:rsidRDefault="00F200CF" w:rsidP="00F200CF">
            <w:pPr>
              <w:spacing w:before="0" w:after="0"/>
              <w:jc w:val="right"/>
              <w:rPr>
                <w:rFonts w:ascii="Times New Roman" w:eastAsia="Times New Roman" w:hAnsi="Times New Roman"/>
                <w:noProof/>
                <w:sz w:val="16"/>
                <w:szCs w:val="16"/>
              </w:rPr>
            </w:pPr>
          </w:p>
        </w:tc>
        <w:tc>
          <w:tcPr>
            <w:tcW w:w="990" w:type="dxa"/>
          </w:tcPr>
          <w:p w14:paraId="167F8449" w14:textId="015CABCB" w:rsidR="00F200CF" w:rsidRPr="00F200CF" w:rsidRDefault="00F200CF" w:rsidP="00F200CF">
            <w:pPr>
              <w:spacing w:before="0" w:after="0"/>
              <w:jc w:val="right"/>
              <w:rPr>
                <w:rFonts w:ascii="Times New Roman" w:eastAsia="Times New Roman" w:hAnsi="Times New Roman"/>
                <w:noProof/>
                <w:sz w:val="16"/>
                <w:szCs w:val="16"/>
              </w:rPr>
            </w:pPr>
          </w:p>
        </w:tc>
        <w:tc>
          <w:tcPr>
            <w:tcW w:w="992" w:type="dxa"/>
          </w:tcPr>
          <w:p w14:paraId="76F7862B" w14:textId="7E0810F5" w:rsidR="00F200CF" w:rsidRPr="00F200CF" w:rsidRDefault="00F200CF" w:rsidP="00F200CF">
            <w:pPr>
              <w:spacing w:before="0" w:after="0"/>
              <w:jc w:val="right"/>
              <w:rPr>
                <w:rFonts w:ascii="Times New Roman" w:eastAsia="Times New Roman" w:hAnsi="Times New Roman"/>
                <w:noProof/>
                <w:sz w:val="16"/>
                <w:szCs w:val="16"/>
              </w:rPr>
            </w:pPr>
          </w:p>
        </w:tc>
      </w:tr>
      <w:tr w:rsidR="005047FB" w:rsidRPr="00F200CF" w14:paraId="0BBBC776" w14:textId="77777777" w:rsidTr="00F200CF">
        <w:tc>
          <w:tcPr>
            <w:tcW w:w="860" w:type="dxa"/>
            <w:shd w:val="clear" w:color="auto" w:fill="D9D9D9" w:themeFill="background1" w:themeFillShade="D9"/>
          </w:tcPr>
          <w:p w14:paraId="75D2819B" w14:textId="77777777" w:rsidR="005047FB" w:rsidRPr="00F200CF" w:rsidRDefault="005047FB" w:rsidP="00F200CF">
            <w:pPr>
              <w:spacing w:before="0" w:after="0"/>
              <w:rPr>
                <w:rFonts w:ascii="Times New Roman" w:eastAsia="Times New Roman" w:hAnsi="Times New Roman"/>
                <w:noProof/>
                <w:sz w:val="16"/>
                <w:szCs w:val="16"/>
              </w:rPr>
            </w:pPr>
            <w:r w:rsidRPr="00F200CF">
              <w:rPr>
                <w:rFonts w:ascii="Times New Roman" w:eastAsia="Times New Roman" w:hAnsi="Times New Roman"/>
                <w:noProof/>
                <w:sz w:val="16"/>
                <w:szCs w:val="16"/>
              </w:rPr>
              <w:t>ESF+</w:t>
            </w:r>
          </w:p>
        </w:tc>
        <w:tc>
          <w:tcPr>
            <w:tcW w:w="1016" w:type="dxa"/>
            <w:shd w:val="clear" w:color="auto" w:fill="D9D9D9" w:themeFill="background1" w:themeFillShade="D9"/>
          </w:tcPr>
          <w:p w14:paraId="27C2FB91" w14:textId="77777777" w:rsidR="005047FB" w:rsidRPr="00F200CF" w:rsidRDefault="005047FB" w:rsidP="00F200CF">
            <w:pPr>
              <w:spacing w:before="0" w:after="0"/>
              <w:rPr>
                <w:rFonts w:ascii="Times New Roman" w:eastAsia="Times New Roman" w:hAnsi="Times New Roman"/>
                <w:noProof/>
                <w:sz w:val="16"/>
                <w:szCs w:val="16"/>
              </w:rPr>
            </w:pPr>
            <w:r w:rsidRPr="00F200CF">
              <w:rPr>
                <w:rFonts w:ascii="Times New Roman" w:eastAsia="Times New Roman" w:hAnsi="Times New Roman"/>
                <w:noProof/>
                <w:sz w:val="16"/>
                <w:szCs w:val="16"/>
              </w:rPr>
              <w:t>Mazāk attīstīts</w:t>
            </w:r>
          </w:p>
        </w:tc>
        <w:tc>
          <w:tcPr>
            <w:tcW w:w="1023" w:type="dxa"/>
            <w:vMerge/>
          </w:tcPr>
          <w:p w14:paraId="7E399EA6" w14:textId="77777777" w:rsidR="005047FB" w:rsidRPr="00F200CF" w:rsidRDefault="005047FB" w:rsidP="00F200CF">
            <w:pPr>
              <w:spacing w:before="0" w:after="0"/>
              <w:rPr>
                <w:rFonts w:ascii="Times New Roman" w:eastAsia="Times New Roman" w:hAnsi="Times New Roman"/>
                <w:noProof/>
                <w:sz w:val="16"/>
                <w:szCs w:val="16"/>
              </w:rPr>
            </w:pPr>
          </w:p>
        </w:tc>
        <w:tc>
          <w:tcPr>
            <w:tcW w:w="1016" w:type="dxa"/>
          </w:tcPr>
          <w:p w14:paraId="03883042" w14:textId="77777777" w:rsidR="005047FB" w:rsidRPr="00F200CF" w:rsidRDefault="005047FB" w:rsidP="00F200CF">
            <w:pPr>
              <w:spacing w:before="0" w:after="0"/>
              <w:rPr>
                <w:rFonts w:ascii="Times New Roman" w:eastAsia="Times New Roman" w:hAnsi="Times New Roman"/>
                <w:noProof/>
                <w:sz w:val="16"/>
                <w:szCs w:val="16"/>
              </w:rPr>
            </w:pPr>
          </w:p>
        </w:tc>
        <w:tc>
          <w:tcPr>
            <w:tcW w:w="950" w:type="dxa"/>
          </w:tcPr>
          <w:p w14:paraId="1AB00176" w14:textId="77777777" w:rsidR="005047FB" w:rsidRPr="00F200CF" w:rsidRDefault="005047FB" w:rsidP="00F200CF">
            <w:pPr>
              <w:spacing w:before="0" w:after="0"/>
              <w:rPr>
                <w:rFonts w:ascii="Times New Roman" w:eastAsia="Times New Roman" w:hAnsi="Times New Roman"/>
                <w:noProof/>
                <w:sz w:val="16"/>
                <w:szCs w:val="16"/>
              </w:rPr>
            </w:pPr>
          </w:p>
        </w:tc>
        <w:tc>
          <w:tcPr>
            <w:tcW w:w="942" w:type="dxa"/>
          </w:tcPr>
          <w:p w14:paraId="6D34C928" w14:textId="77777777" w:rsidR="005047FB" w:rsidRPr="00F200CF" w:rsidRDefault="005047FB" w:rsidP="00F200CF">
            <w:pPr>
              <w:spacing w:before="0" w:after="0"/>
              <w:rPr>
                <w:rFonts w:ascii="Times New Roman" w:eastAsia="Times New Roman" w:hAnsi="Times New Roman"/>
                <w:noProof/>
                <w:sz w:val="16"/>
                <w:szCs w:val="16"/>
              </w:rPr>
            </w:pPr>
          </w:p>
        </w:tc>
        <w:tc>
          <w:tcPr>
            <w:tcW w:w="992" w:type="dxa"/>
          </w:tcPr>
          <w:p w14:paraId="1D15F3B4" w14:textId="77777777" w:rsidR="005047FB" w:rsidRPr="00F200CF" w:rsidRDefault="005047FB" w:rsidP="00F200CF">
            <w:pPr>
              <w:spacing w:before="0" w:after="0"/>
              <w:rPr>
                <w:rFonts w:ascii="Times New Roman" w:eastAsia="Times New Roman" w:hAnsi="Times New Roman"/>
                <w:noProof/>
                <w:sz w:val="16"/>
                <w:szCs w:val="16"/>
              </w:rPr>
            </w:pPr>
          </w:p>
        </w:tc>
        <w:tc>
          <w:tcPr>
            <w:tcW w:w="993" w:type="dxa"/>
          </w:tcPr>
          <w:p w14:paraId="6E32F0B8" w14:textId="77777777" w:rsidR="005047FB" w:rsidRPr="00F200CF" w:rsidRDefault="005047FB" w:rsidP="00F200CF">
            <w:pPr>
              <w:spacing w:before="0" w:after="0"/>
              <w:rPr>
                <w:rFonts w:ascii="Times New Roman" w:eastAsia="Times New Roman" w:hAnsi="Times New Roman"/>
                <w:noProof/>
                <w:sz w:val="16"/>
                <w:szCs w:val="16"/>
              </w:rPr>
            </w:pPr>
          </w:p>
        </w:tc>
        <w:tc>
          <w:tcPr>
            <w:tcW w:w="1134" w:type="dxa"/>
          </w:tcPr>
          <w:p w14:paraId="3349A2C1" w14:textId="77777777" w:rsidR="005047FB" w:rsidRPr="00F200CF" w:rsidRDefault="005047FB" w:rsidP="00F200CF">
            <w:pPr>
              <w:spacing w:before="0" w:after="0"/>
              <w:rPr>
                <w:rFonts w:ascii="Times New Roman" w:eastAsia="Times New Roman" w:hAnsi="Times New Roman"/>
                <w:noProof/>
                <w:sz w:val="16"/>
                <w:szCs w:val="16"/>
              </w:rPr>
            </w:pPr>
          </w:p>
        </w:tc>
        <w:tc>
          <w:tcPr>
            <w:tcW w:w="1025" w:type="dxa"/>
          </w:tcPr>
          <w:p w14:paraId="2AF58CC6" w14:textId="77777777" w:rsidR="005047FB" w:rsidRPr="00F200CF" w:rsidRDefault="005047FB" w:rsidP="00F200CF">
            <w:pPr>
              <w:spacing w:before="0" w:after="0"/>
              <w:rPr>
                <w:rFonts w:ascii="Times New Roman" w:eastAsia="Times New Roman" w:hAnsi="Times New Roman"/>
                <w:noProof/>
                <w:sz w:val="16"/>
                <w:szCs w:val="16"/>
              </w:rPr>
            </w:pPr>
          </w:p>
        </w:tc>
        <w:tc>
          <w:tcPr>
            <w:tcW w:w="997" w:type="dxa"/>
          </w:tcPr>
          <w:p w14:paraId="4DF4C6BC" w14:textId="77777777" w:rsidR="005047FB" w:rsidRPr="00F200CF" w:rsidRDefault="005047FB" w:rsidP="00F200CF">
            <w:pPr>
              <w:spacing w:before="0" w:after="0"/>
              <w:rPr>
                <w:rFonts w:ascii="Times New Roman" w:eastAsia="Times New Roman" w:hAnsi="Times New Roman"/>
                <w:noProof/>
                <w:sz w:val="16"/>
                <w:szCs w:val="16"/>
              </w:rPr>
            </w:pPr>
          </w:p>
        </w:tc>
        <w:tc>
          <w:tcPr>
            <w:tcW w:w="1031" w:type="dxa"/>
          </w:tcPr>
          <w:p w14:paraId="2926466C" w14:textId="5840EDEF" w:rsidR="005047FB" w:rsidRPr="00F200CF" w:rsidRDefault="005047FB" w:rsidP="00F200CF">
            <w:pPr>
              <w:spacing w:before="0" w:after="0"/>
              <w:rPr>
                <w:rFonts w:ascii="Times New Roman" w:eastAsia="Times New Roman" w:hAnsi="Times New Roman"/>
                <w:noProof/>
                <w:sz w:val="16"/>
                <w:szCs w:val="16"/>
              </w:rPr>
            </w:pPr>
          </w:p>
        </w:tc>
        <w:tc>
          <w:tcPr>
            <w:tcW w:w="990" w:type="dxa"/>
          </w:tcPr>
          <w:p w14:paraId="4398B4C0" w14:textId="77777777" w:rsidR="005047FB" w:rsidRPr="00F200CF" w:rsidRDefault="005047FB" w:rsidP="00F200CF">
            <w:pPr>
              <w:spacing w:before="0" w:after="0"/>
              <w:rPr>
                <w:rFonts w:ascii="Times New Roman" w:eastAsia="Times New Roman" w:hAnsi="Times New Roman"/>
                <w:noProof/>
                <w:sz w:val="16"/>
                <w:szCs w:val="16"/>
              </w:rPr>
            </w:pPr>
          </w:p>
        </w:tc>
        <w:tc>
          <w:tcPr>
            <w:tcW w:w="992" w:type="dxa"/>
          </w:tcPr>
          <w:p w14:paraId="3C686371" w14:textId="3502B2F8" w:rsidR="005047FB" w:rsidRPr="00F200CF" w:rsidRDefault="005047FB" w:rsidP="00F200CF">
            <w:pPr>
              <w:spacing w:before="0" w:after="0"/>
              <w:rPr>
                <w:rFonts w:ascii="Times New Roman" w:eastAsia="Times New Roman" w:hAnsi="Times New Roman"/>
                <w:noProof/>
                <w:sz w:val="16"/>
                <w:szCs w:val="16"/>
              </w:rPr>
            </w:pPr>
          </w:p>
        </w:tc>
      </w:tr>
      <w:tr w:rsidR="005047FB" w:rsidRPr="00F200CF" w14:paraId="498745B2" w14:textId="77777777" w:rsidTr="00F200CF">
        <w:tc>
          <w:tcPr>
            <w:tcW w:w="860" w:type="dxa"/>
            <w:shd w:val="clear" w:color="auto" w:fill="D9D9D9" w:themeFill="background1" w:themeFillShade="D9"/>
          </w:tcPr>
          <w:p w14:paraId="3DDFB270" w14:textId="77777777" w:rsidR="005047FB" w:rsidRPr="00F200CF" w:rsidRDefault="005047FB" w:rsidP="00F200CF">
            <w:pPr>
              <w:spacing w:before="0" w:after="0"/>
              <w:rPr>
                <w:rFonts w:ascii="Times New Roman" w:eastAsia="Times New Roman" w:hAnsi="Times New Roman"/>
                <w:noProof/>
                <w:sz w:val="16"/>
                <w:szCs w:val="16"/>
              </w:rPr>
            </w:pPr>
            <w:r w:rsidRPr="00F200CF">
              <w:rPr>
                <w:rFonts w:ascii="Times New Roman" w:eastAsia="Times New Roman" w:hAnsi="Times New Roman"/>
                <w:noProof/>
                <w:sz w:val="16"/>
                <w:szCs w:val="16"/>
              </w:rPr>
              <w:t>KF</w:t>
            </w:r>
          </w:p>
        </w:tc>
        <w:tc>
          <w:tcPr>
            <w:tcW w:w="1016" w:type="dxa"/>
            <w:shd w:val="clear" w:color="auto" w:fill="D9D9D9" w:themeFill="background1" w:themeFillShade="D9"/>
          </w:tcPr>
          <w:p w14:paraId="49CD51D9" w14:textId="77777777" w:rsidR="005047FB" w:rsidRPr="00F200CF" w:rsidRDefault="005047FB" w:rsidP="00F200CF">
            <w:pPr>
              <w:spacing w:before="0" w:after="0"/>
              <w:rPr>
                <w:rFonts w:ascii="Times New Roman" w:eastAsia="Times New Roman" w:hAnsi="Times New Roman"/>
                <w:noProof/>
                <w:sz w:val="16"/>
                <w:szCs w:val="16"/>
              </w:rPr>
            </w:pPr>
            <w:r w:rsidRPr="00F200CF">
              <w:rPr>
                <w:rFonts w:ascii="Times New Roman" w:eastAsia="Times New Roman" w:hAnsi="Times New Roman"/>
                <w:noProof/>
                <w:sz w:val="16"/>
                <w:szCs w:val="16"/>
              </w:rPr>
              <w:t>N/A</w:t>
            </w:r>
          </w:p>
        </w:tc>
        <w:tc>
          <w:tcPr>
            <w:tcW w:w="1023" w:type="dxa"/>
            <w:vMerge/>
          </w:tcPr>
          <w:p w14:paraId="64C9BF88" w14:textId="77777777" w:rsidR="005047FB" w:rsidRPr="00F200CF" w:rsidRDefault="005047FB" w:rsidP="00F200CF">
            <w:pPr>
              <w:spacing w:before="0" w:after="0"/>
              <w:rPr>
                <w:rFonts w:ascii="Times New Roman" w:eastAsia="Times New Roman" w:hAnsi="Times New Roman"/>
                <w:noProof/>
                <w:sz w:val="16"/>
                <w:szCs w:val="16"/>
              </w:rPr>
            </w:pPr>
          </w:p>
        </w:tc>
        <w:tc>
          <w:tcPr>
            <w:tcW w:w="1016" w:type="dxa"/>
          </w:tcPr>
          <w:p w14:paraId="2AC5AC1C" w14:textId="77777777" w:rsidR="005047FB" w:rsidRPr="00F200CF" w:rsidRDefault="005047FB" w:rsidP="00F200CF">
            <w:pPr>
              <w:spacing w:before="0" w:after="0"/>
              <w:rPr>
                <w:rFonts w:ascii="Times New Roman" w:eastAsia="Times New Roman" w:hAnsi="Times New Roman"/>
                <w:noProof/>
                <w:sz w:val="16"/>
                <w:szCs w:val="16"/>
              </w:rPr>
            </w:pPr>
          </w:p>
        </w:tc>
        <w:tc>
          <w:tcPr>
            <w:tcW w:w="950" w:type="dxa"/>
          </w:tcPr>
          <w:p w14:paraId="7C6870A1" w14:textId="77777777" w:rsidR="005047FB" w:rsidRPr="00F200CF" w:rsidRDefault="005047FB" w:rsidP="00F200CF">
            <w:pPr>
              <w:spacing w:before="0" w:after="0"/>
              <w:rPr>
                <w:rFonts w:ascii="Times New Roman" w:eastAsia="Times New Roman" w:hAnsi="Times New Roman"/>
                <w:noProof/>
                <w:sz w:val="16"/>
                <w:szCs w:val="16"/>
              </w:rPr>
            </w:pPr>
          </w:p>
        </w:tc>
        <w:tc>
          <w:tcPr>
            <w:tcW w:w="942" w:type="dxa"/>
          </w:tcPr>
          <w:p w14:paraId="4DB5D51C" w14:textId="77777777" w:rsidR="005047FB" w:rsidRPr="00F200CF" w:rsidRDefault="005047FB" w:rsidP="00F200CF">
            <w:pPr>
              <w:spacing w:before="0" w:after="0"/>
              <w:rPr>
                <w:rFonts w:ascii="Times New Roman" w:eastAsia="Times New Roman" w:hAnsi="Times New Roman"/>
                <w:noProof/>
                <w:sz w:val="16"/>
                <w:szCs w:val="16"/>
              </w:rPr>
            </w:pPr>
          </w:p>
        </w:tc>
        <w:tc>
          <w:tcPr>
            <w:tcW w:w="992" w:type="dxa"/>
          </w:tcPr>
          <w:p w14:paraId="53BD807E" w14:textId="77777777" w:rsidR="005047FB" w:rsidRPr="00F200CF" w:rsidRDefault="005047FB" w:rsidP="00F200CF">
            <w:pPr>
              <w:spacing w:before="0" w:after="0"/>
              <w:rPr>
                <w:rFonts w:ascii="Times New Roman" w:eastAsia="Times New Roman" w:hAnsi="Times New Roman"/>
                <w:noProof/>
                <w:sz w:val="16"/>
                <w:szCs w:val="16"/>
              </w:rPr>
            </w:pPr>
          </w:p>
        </w:tc>
        <w:tc>
          <w:tcPr>
            <w:tcW w:w="993" w:type="dxa"/>
          </w:tcPr>
          <w:p w14:paraId="27F73C24" w14:textId="77777777" w:rsidR="005047FB" w:rsidRPr="00F200CF" w:rsidRDefault="005047FB" w:rsidP="00F200CF">
            <w:pPr>
              <w:spacing w:before="0" w:after="0"/>
              <w:rPr>
                <w:rFonts w:ascii="Times New Roman" w:eastAsia="Times New Roman" w:hAnsi="Times New Roman"/>
                <w:noProof/>
                <w:sz w:val="16"/>
                <w:szCs w:val="16"/>
              </w:rPr>
            </w:pPr>
          </w:p>
        </w:tc>
        <w:tc>
          <w:tcPr>
            <w:tcW w:w="1134" w:type="dxa"/>
          </w:tcPr>
          <w:p w14:paraId="52CAE6CD" w14:textId="77777777" w:rsidR="005047FB" w:rsidRPr="00F200CF" w:rsidRDefault="005047FB" w:rsidP="00F200CF">
            <w:pPr>
              <w:spacing w:before="0" w:after="0"/>
              <w:rPr>
                <w:rFonts w:ascii="Times New Roman" w:eastAsia="Times New Roman" w:hAnsi="Times New Roman"/>
                <w:noProof/>
                <w:sz w:val="16"/>
                <w:szCs w:val="16"/>
              </w:rPr>
            </w:pPr>
          </w:p>
        </w:tc>
        <w:tc>
          <w:tcPr>
            <w:tcW w:w="1025" w:type="dxa"/>
          </w:tcPr>
          <w:p w14:paraId="4D052961" w14:textId="77777777" w:rsidR="005047FB" w:rsidRPr="00F200CF" w:rsidRDefault="005047FB" w:rsidP="00F200CF">
            <w:pPr>
              <w:spacing w:before="0" w:after="0"/>
              <w:rPr>
                <w:rFonts w:ascii="Times New Roman" w:eastAsia="Times New Roman" w:hAnsi="Times New Roman"/>
                <w:noProof/>
                <w:sz w:val="16"/>
                <w:szCs w:val="16"/>
              </w:rPr>
            </w:pPr>
          </w:p>
        </w:tc>
        <w:tc>
          <w:tcPr>
            <w:tcW w:w="997" w:type="dxa"/>
          </w:tcPr>
          <w:p w14:paraId="3693A4DE" w14:textId="77777777" w:rsidR="005047FB" w:rsidRPr="00F200CF" w:rsidRDefault="005047FB" w:rsidP="00F200CF">
            <w:pPr>
              <w:spacing w:before="0" w:after="0"/>
              <w:rPr>
                <w:rFonts w:ascii="Times New Roman" w:eastAsia="Times New Roman" w:hAnsi="Times New Roman"/>
                <w:noProof/>
                <w:sz w:val="16"/>
                <w:szCs w:val="16"/>
              </w:rPr>
            </w:pPr>
          </w:p>
        </w:tc>
        <w:tc>
          <w:tcPr>
            <w:tcW w:w="1031" w:type="dxa"/>
          </w:tcPr>
          <w:p w14:paraId="5A113F16" w14:textId="4278FD21" w:rsidR="005047FB" w:rsidRPr="00F200CF" w:rsidRDefault="005047FB" w:rsidP="00F200CF">
            <w:pPr>
              <w:spacing w:before="0" w:after="0"/>
              <w:rPr>
                <w:rFonts w:ascii="Times New Roman" w:eastAsia="Times New Roman" w:hAnsi="Times New Roman"/>
                <w:noProof/>
                <w:sz w:val="16"/>
                <w:szCs w:val="16"/>
              </w:rPr>
            </w:pPr>
          </w:p>
        </w:tc>
        <w:tc>
          <w:tcPr>
            <w:tcW w:w="990" w:type="dxa"/>
          </w:tcPr>
          <w:p w14:paraId="44773494" w14:textId="77777777" w:rsidR="005047FB" w:rsidRPr="00F200CF" w:rsidRDefault="005047FB" w:rsidP="00F200CF">
            <w:pPr>
              <w:spacing w:before="0" w:after="0"/>
              <w:rPr>
                <w:rFonts w:ascii="Times New Roman" w:eastAsia="Times New Roman" w:hAnsi="Times New Roman"/>
                <w:noProof/>
                <w:sz w:val="16"/>
                <w:szCs w:val="16"/>
              </w:rPr>
            </w:pPr>
          </w:p>
        </w:tc>
        <w:tc>
          <w:tcPr>
            <w:tcW w:w="992" w:type="dxa"/>
          </w:tcPr>
          <w:p w14:paraId="62AE0874" w14:textId="545B0FBA" w:rsidR="005047FB" w:rsidRPr="00F200CF" w:rsidRDefault="005047FB" w:rsidP="00F200CF">
            <w:pPr>
              <w:spacing w:before="0" w:after="0"/>
              <w:rPr>
                <w:rFonts w:ascii="Times New Roman" w:eastAsia="Times New Roman" w:hAnsi="Times New Roman"/>
                <w:noProof/>
                <w:sz w:val="16"/>
                <w:szCs w:val="16"/>
              </w:rPr>
            </w:pPr>
          </w:p>
        </w:tc>
      </w:tr>
      <w:tr w:rsidR="005047FB" w:rsidRPr="00F200CF" w14:paraId="62C55803" w14:textId="77777777" w:rsidTr="00F200CF">
        <w:tc>
          <w:tcPr>
            <w:tcW w:w="860" w:type="dxa"/>
            <w:shd w:val="clear" w:color="auto" w:fill="D9D9D9" w:themeFill="background1" w:themeFillShade="D9"/>
          </w:tcPr>
          <w:p w14:paraId="6589ABA8" w14:textId="77777777" w:rsidR="005047FB" w:rsidRPr="00F200CF" w:rsidRDefault="005047FB" w:rsidP="00F200CF">
            <w:pPr>
              <w:spacing w:before="0" w:after="0"/>
              <w:rPr>
                <w:rFonts w:ascii="Times New Roman" w:eastAsia="Times New Roman" w:hAnsi="Times New Roman"/>
                <w:noProof/>
                <w:sz w:val="16"/>
                <w:szCs w:val="16"/>
              </w:rPr>
            </w:pPr>
            <w:r w:rsidRPr="00F200CF">
              <w:rPr>
                <w:rFonts w:ascii="Times New Roman" w:eastAsia="Times New Roman" w:hAnsi="Times New Roman"/>
                <w:noProof/>
                <w:sz w:val="16"/>
                <w:szCs w:val="16"/>
              </w:rPr>
              <w:t>EJZF</w:t>
            </w:r>
          </w:p>
        </w:tc>
        <w:tc>
          <w:tcPr>
            <w:tcW w:w="1016" w:type="dxa"/>
            <w:shd w:val="clear" w:color="auto" w:fill="D9D9D9" w:themeFill="background1" w:themeFillShade="D9"/>
          </w:tcPr>
          <w:p w14:paraId="6D8B3EBE" w14:textId="77777777" w:rsidR="005047FB" w:rsidRPr="00F200CF" w:rsidRDefault="005047FB" w:rsidP="00F200CF">
            <w:pPr>
              <w:spacing w:before="0" w:after="0"/>
              <w:rPr>
                <w:rFonts w:ascii="Times New Roman" w:eastAsia="Times New Roman" w:hAnsi="Times New Roman"/>
                <w:noProof/>
                <w:sz w:val="16"/>
                <w:szCs w:val="16"/>
              </w:rPr>
            </w:pPr>
            <w:r w:rsidRPr="00F200CF">
              <w:rPr>
                <w:rFonts w:ascii="Times New Roman" w:eastAsia="Times New Roman" w:hAnsi="Times New Roman"/>
                <w:noProof/>
                <w:sz w:val="16"/>
                <w:szCs w:val="16"/>
              </w:rPr>
              <w:t>Mazāk attīstīts</w:t>
            </w:r>
          </w:p>
        </w:tc>
        <w:tc>
          <w:tcPr>
            <w:tcW w:w="1023" w:type="dxa"/>
            <w:vMerge/>
          </w:tcPr>
          <w:p w14:paraId="11F302C0" w14:textId="77777777" w:rsidR="005047FB" w:rsidRPr="00F200CF" w:rsidRDefault="005047FB" w:rsidP="00F200CF">
            <w:pPr>
              <w:spacing w:before="0" w:after="0"/>
              <w:rPr>
                <w:rFonts w:ascii="Times New Roman" w:eastAsia="Times New Roman" w:hAnsi="Times New Roman"/>
                <w:noProof/>
                <w:sz w:val="16"/>
                <w:szCs w:val="16"/>
              </w:rPr>
            </w:pPr>
          </w:p>
        </w:tc>
        <w:tc>
          <w:tcPr>
            <w:tcW w:w="1016" w:type="dxa"/>
          </w:tcPr>
          <w:p w14:paraId="32BD3FD1" w14:textId="77777777" w:rsidR="005047FB" w:rsidRPr="00F200CF" w:rsidRDefault="005047FB" w:rsidP="00F200CF">
            <w:pPr>
              <w:spacing w:before="0" w:after="0"/>
              <w:rPr>
                <w:rFonts w:ascii="Times New Roman" w:eastAsia="Times New Roman" w:hAnsi="Times New Roman"/>
                <w:noProof/>
                <w:sz w:val="16"/>
                <w:szCs w:val="16"/>
              </w:rPr>
            </w:pPr>
          </w:p>
        </w:tc>
        <w:tc>
          <w:tcPr>
            <w:tcW w:w="950" w:type="dxa"/>
          </w:tcPr>
          <w:p w14:paraId="2145F405" w14:textId="77777777" w:rsidR="005047FB" w:rsidRPr="00F200CF" w:rsidRDefault="005047FB" w:rsidP="00F200CF">
            <w:pPr>
              <w:spacing w:before="0" w:after="0"/>
              <w:rPr>
                <w:rFonts w:ascii="Times New Roman" w:eastAsia="Times New Roman" w:hAnsi="Times New Roman"/>
                <w:noProof/>
                <w:sz w:val="16"/>
                <w:szCs w:val="16"/>
              </w:rPr>
            </w:pPr>
          </w:p>
        </w:tc>
        <w:tc>
          <w:tcPr>
            <w:tcW w:w="942" w:type="dxa"/>
          </w:tcPr>
          <w:p w14:paraId="13AF150C" w14:textId="77777777" w:rsidR="005047FB" w:rsidRPr="00F200CF" w:rsidRDefault="005047FB" w:rsidP="00F200CF">
            <w:pPr>
              <w:spacing w:before="0" w:after="0"/>
              <w:rPr>
                <w:rFonts w:ascii="Times New Roman" w:eastAsia="Times New Roman" w:hAnsi="Times New Roman"/>
                <w:noProof/>
                <w:sz w:val="16"/>
                <w:szCs w:val="16"/>
              </w:rPr>
            </w:pPr>
          </w:p>
        </w:tc>
        <w:tc>
          <w:tcPr>
            <w:tcW w:w="992" w:type="dxa"/>
          </w:tcPr>
          <w:p w14:paraId="3EC72DCC" w14:textId="77777777" w:rsidR="005047FB" w:rsidRPr="00F200CF" w:rsidRDefault="005047FB" w:rsidP="00F200CF">
            <w:pPr>
              <w:spacing w:before="0" w:after="0"/>
              <w:rPr>
                <w:rFonts w:ascii="Times New Roman" w:eastAsia="Times New Roman" w:hAnsi="Times New Roman"/>
                <w:noProof/>
                <w:sz w:val="16"/>
                <w:szCs w:val="16"/>
              </w:rPr>
            </w:pPr>
          </w:p>
        </w:tc>
        <w:tc>
          <w:tcPr>
            <w:tcW w:w="993" w:type="dxa"/>
          </w:tcPr>
          <w:p w14:paraId="7A34CD0A" w14:textId="77777777" w:rsidR="005047FB" w:rsidRPr="00F200CF" w:rsidRDefault="005047FB" w:rsidP="00F200CF">
            <w:pPr>
              <w:spacing w:before="0" w:after="0"/>
              <w:rPr>
                <w:rFonts w:ascii="Times New Roman" w:eastAsia="Times New Roman" w:hAnsi="Times New Roman"/>
                <w:noProof/>
                <w:sz w:val="16"/>
                <w:szCs w:val="16"/>
              </w:rPr>
            </w:pPr>
          </w:p>
        </w:tc>
        <w:tc>
          <w:tcPr>
            <w:tcW w:w="1134" w:type="dxa"/>
          </w:tcPr>
          <w:p w14:paraId="56AAE1FB" w14:textId="77777777" w:rsidR="005047FB" w:rsidRPr="00F200CF" w:rsidRDefault="005047FB" w:rsidP="00F200CF">
            <w:pPr>
              <w:spacing w:before="0" w:after="0"/>
              <w:rPr>
                <w:rFonts w:ascii="Times New Roman" w:eastAsia="Times New Roman" w:hAnsi="Times New Roman"/>
                <w:noProof/>
                <w:sz w:val="16"/>
                <w:szCs w:val="16"/>
              </w:rPr>
            </w:pPr>
          </w:p>
        </w:tc>
        <w:tc>
          <w:tcPr>
            <w:tcW w:w="1025" w:type="dxa"/>
          </w:tcPr>
          <w:p w14:paraId="74AC4301" w14:textId="77777777" w:rsidR="005047FB" w:rsidRPr="00F200CF" w:rsidRDefault="005047FB" w:rsidP="00F200CF">
            <w:pPr>
              <w:spacing w:before="0" w:after="0"/>
              <w:rPr>
                <w:rFonts w:ascii="Times New Roman" w:eastAsia="Times New Roman" w:hAnsi="Times New Roman"/>
                <w:noProof/>
                <w:sz w:val="16"/>
                <w:szCs w:val="16"/>
              </w:rPr>
            </w:pPr>
          </w:p>
        </w:tc>
        <w:tc>
          <w:tcPr>
            <w:tcW w:w="997" w:type="dxa"/>
          </w:tcPr>
          <w:p w14:paraId="09E3F09F" w14:textId="77777777" w:rsidR="005047FB" w:rsidRPr="00F200CF" w:rsidRDefault="005047FB" w:rsidP="00F200CF">
            <w:pPr>
              <w:spacing w:before="0" w:after="0"/>
              <w:rPr>
                <w:rFonts w:ascii="Times New Roman" w:eastAsia="Times New Roman" w:hAnsi="Times New Roman"/>
                <w:noProof/>
                <w:sz w:val="16"/>
                <w:szCs w:val="16"/>
              </w:rPr>
            </w:pPr>
          </w:p>
        </w:tc>
        <w:tc>
          <w:tcPr>
            <w:tcW w:w="1031" w:type="dxa"/>
          </w:tcPr>
          <w:p w14:paraId="0F9381FD" w14:textId="5928B63C" w:rsidR="005047FB" w:rsidRPr="00F200CF" w:rsidRDefault="005047FB" w:rsidP="00F200CF">
            <w:pPr>
              <w:spacing w:before="0" w:after="0"/>
              <w:rPr>
                <w:rFonts w:ascii="Times New Roman" w:eastAsia="Times New Roman" w:hAnsi="Times New Roman"/>
                <w:noProof/>
                <w:sz w:val="16"/>
                <w:szCs w:val="16"/>
              </w:rPr>
            </w:pPr>
          </w:p>
        </w:tc>
        <w:tc>
          <w:tcPr>
            <w:tcW w:w="990" w:type="dxa"/>
          </w:tcPr>
          <w:p w14:paraId="36820666" w14:textId="77777777" w:rsidR="005047FB" w:rsidRPr="00F200CF" w:rsidRDefault="005047FB" w:rsidP="00F200CF">
            <w:pPr>
              <w:spacing w:before="0" w:after="0"/>
              <w:rPr>
                <w:rFonts w:ascii="Times New Roman" w:eastAsia="Times New Roman" w:hAnsi="Times New Roman"/>
                <w:noProof/>
                <w:sz w:val="16"/>
                <w:szCs w:val="16"/>
              </w:rPr>
            </w:pPr>
          </w:p>
        </w:tc>
        <w:tc>
          <w:tcPr>
            <w:tcW w:w="992" w:type="dxa"/>
          </w:tcPr>
          <w:p w14:paraId="28EE8DDE" w14:textId="2C28DBB9" w:rsidR="005047FB" w:rsidRPr="00F200CF" w:rsidRDefault="005047FB" w:rsidP="00F200CF">
            <w:pPr>
              <w:spacing w:before="0" w:after="0"/>
              <w:rPr>
                <w:rFonts w:ascii="Times New Roman" w:eastAsia="Times New Roman" w:hAnsi="Times New Roman"/>
                <w:noProof/>
                <w:sz w:val="16"/>
                <w:szCs w:val="16"/>
              </w:rPr>
            </w:pPr>
          </w:p>
        </w:tc>
      </w:tr>
    </w:tbl>
    <w:p w14:paraId="47CE472D" w14:textId="768D8840" w:rsidR="005047FB" w:rsidRDefault="005047FB" w:rsidP="00F200CF">
      <w:pPr>
        <w:spacing w:before="0" w:after="0"/>
        <w:rPr>
          <w:rFonts w:eastAsia="Times New Roman"/>
          <w:b/>
          <w:bCs/>
          <w:noProof/>
          <w:szCs w:val="24"/>
        </w:rPr>
      </w:pPr>
    </w:p>
    <w:p w14:paraId="4F8D6C41" w14:textId="1DEF4D04" w:rsidR="005047FB" w:rsidRDefault="00D67F06" w:rsidP="00F200CF">
      <w:pPr>
        <w:spacing w:before="0" w:after="0"/>
        <w:rPr>
          <w:rFonts w:eastAsia="Times New Roman"/>
          <w:b/>
          <w:bCs/>
          <w:noProof/>
          <w:sz w:val="20"/>
        </w:rPr>
      </w:pPr>
      <w:r>
        <w:rPr>
          <w:rFonts w:eastAsia="Times New Roman"/>
          <w:b/>
          <w:bCs/>
          <w:noProof/>
          <w:sz w:val="20"/>
        </w:rPr>
        <w:t>22.tabula (</w:t>
      </w:r>
      <w:r w:rsidR="005047FB">
        <w:rPr>
          <w:rFonts w:eastAsia="Times New Roman"/>
          <w:b/>
          <w:bCs/>
          <w:noProof/>
          <w:sz w:val="20"/>
        </w:rPr>
        <w:t>17.B</w:t>
      </w:r>
      <w:r>
        <w:rPr>
          <w:rFonts w:eastAsia="Times New Roman"/>
          <w:b/>
          <w:bCs/>
          <w:noProof/>
          <w:sz w:val="20"/>
        </w:rPr>
        <w:t>)</w:t>
      </w:r>
      <w:r w:rsidR="005047FB" w:rsidRPr="00E63D7E">
        <w:rPr>
          <w:rFonts w:eastAsia="Times New Roman"/>
          <w:b/>
          <w:bCs/>
          <w:noProof/>
          <w:sz w:val="20"/>
        </w:rPr>
        <w:t xml:space="preserve"> Pārvedums starp ERAf, ESF+, KF vai uz citu fondu, vai fondiem (kopsavilkums)</w:t>
      </w:r>
    </w:p>
    <w:p w14:paraId="0DE5D826" w14:textId="55750FDB" w:rsidR="00E35C36" w:rsidRPr="000B5F2F" w:rsidRDefault="00E35C36" w:rsidP="00E35C36">
      <w:pPr>
        <w:spacing w:before="0" w:after="0"/>
        <w:rPr>
          <w:rFonts w:eastAsia="Times New Roman"/>
          <w:noProof/>
          <w:color w:val="FF0000"/>
          <w:sz w:val="20"/>
        </w:rPr>
      </w:pPr>
      <w:r w:rsidRPr="000B5F2F">
        <w:rPr>
          <w:rFonts w:eastAsia="Times New Roman"/>
          <w:noProof/>
          <w:color w:val="FF0000"/>
          <w:sz w:val="20"/>
        </w:rPr>
        <w:t>[</w:t>
      </w:r>
      <w:r w:rsidR="00BA0713" w:rsidRPr="00BA0713">
        <w:rPr>
          <w:rFonts w:eastAsia="Times New Roman"/>
          <w:i/>
          <w:iCs/>
          <w:noProof/>
          <w:color w:val="FF0000"/>
          <w:sz w:val="20"/>
        </w:rPr>
        <w:t>Š</w:t>
      </w:r>
      <w:r w:rsidRPr="00BA0713">
        <w:rPr>
          <w:rFonts w:eastAsia="Times New Roman"/>
          <w:i/>
          <w:iCs/>
          <w:noProof/>
          <w:color w:val="FF0000"/>
          <w:sz w:val="20"/>
        </w:rPr>
        <w:t>brīd vēl nav zināms, vai šis pārvedums tiks izmantots</w:t>
      </w:r>
      <w:r w:rsidRPr="000B5F2F">
        <w:rPr>
          <w:rFonts w:eastAsia="Times New Roman"/>
          <w:noProof/>
          <w:color w:val="FF0000"/>
          <w:sz w:val="20"/>
        </w:rPr>
        <w:t>]</w:t>
      </w:r>
    </w:p>
    <w:p w14:paraId="7F7ECA75" w14:textId="04E28E4C" w:rsidR="005047FB" w:rsidRPr="00E63D7E" w:rsidRDefault="005047FB" w:rsidP="00F200CF">
      <w:pPr>
        <w:spacing w:before="0" w:after="0"/>
        <w:rPr>
          <w:rFonts w:eastAsia="Times New Roman"/>
          <w:b/>
          <w:bCs/>
          <w:noProof/>
          <w:sz w:val="20"/>
        </w:rPr>
      </w:pPr>
    </w:p>
    <w:tbl>
      <w:tblPr>
        <w:tblStyle w:val="TableGrid"/>
        <w:tblW w:w="0" w:type="auto"/>
        <w:tblLook w:val="04A0" w:firstRow="1" w:lastRow="0" w:firstColumn="1" w:lastColumn="0" w:noHBand="0" w:noVBand="1"/>
      </w:tblPr>
      <w:tblGrid>
        <w:gridCol w:w="1105"/>
        <w:gridCol w:w="1016"/>
        <w:gridCol w:w="1702"/>
        <w:gridCol w:w="1417"/>
        <w:gridCol w:w="1418"/>
        <w:gridCol w:w="1275"/>
        <w:gridCol w:w="1276"/>
        <w:gridCol w:w="1276"/>
        <w:gridCol w:w="1276"/>
        <w:gridCol w:w="1275"/>
      </w:tblGrid>
      <w:tr w:rsidR="00F200CF" w:rsidRPr="00F200CF" w14:paraId="67CD39FE" w14:textId="77777777" w:rsidTr="00F200CF">
        <w:tc>
          <w:tcPr>
            <w:tcW w:w="1105" w:type="dxa"/>
            <w:shd w:val="clear" w:color="auto" w:fill="D9D9D9" w:themeFill="background1" w:themeFillShade="D9"/>
          </w:tcPr>
          <w:p w14:paraId="3E29EA55" w14:textId="77777777" w:rsidR="005047FB" w:rsidRPr="00F200CF" w:rsidRDefault="005047FB" w:rsidP="00F200CF">
            <w:pPr>
              <w:spacing w:before="0" w:after="0"/>
              <w:rPr>
                <w:rFonts w:ascii="Times New Roman" w:eastAsia="Times New Roman" w:hAnsi="Times New Roman"/>
                <w:noProof/>
                <w:sz w:val="16"/>
                <w:szCs w:val="16"/>
              </w:rPr>
            </w:pPr>
            <w:r w:rsidRPr="00F200CF">
              <w:rPr>
                <w:rFonts w:ascii="Times New Roman" w:eastAsia="Times New Roman" w:hAnsi="Times New Roman"/>
                <w:noProof/>
                <w:sz w:val="16"/>
                <w:szCs w:val="16"/>
              </w:rPr>
              <w:t>Pārvedums uz /no</w:t>
            </w:r>
          </w:p>
        </w:tc>
        <w:tc>
          <w:tcPr>
            <w:tcW w:w="1016" w:type="dxa"/>
            <w:shd w:val="clear" w:color="auto" w:fill="D9D9D9" w:themeFill="background1" w:themeFillShade="D9"/>
          </w:tcPr>
          <w:p w14:paraId="690F9438" w14:textId="77777777" w:rsidR="005047FB" w:rsidRPr="00F200CF" w:rsidRDefault="005047FB" w:rsidP="00F200CF">
            <w:pPr>
              <w:spacing w:before="0" w:after="0"/>
              <w:rPr>
                <w:rFonts w:ascii="Times New Roman" w:eastAsia="Times New Roman" w:hAnsi="Times New Roman"/>
                <w:noProof/>
                <w:sz w:val="16"/>
                <w:szCs w:val="16"/>
              </w:rPr>
            </w:pPr>
            <w:r w:rsidRPr="00F200CF">
              <w:rPr>
                <w:rFonts w:ascii="Times New Roman" w:eastAsia="Times New Roman" w:hAnsi="Times New Roman"/>
                <w:noProof/>
                <w:sz w:val="16"/>
                <w:szCs w:val="16"/>
              </w:rPr>
              <w:t>Reģiona kategorija</w:t>
            </w:r>
          </w:p>
        </w:tc>
        <w:tc>
          <w:tcPr>
            <w:tcW w:w="1702" w:type="dxa"/>
            <w:shd w:val="clear" w:color="auto" w:fill="D9D9D9" w:themeFill="background1" w:themeFillShade="D9"/>
          </w:tcPr>
          <w:p w14:paraId="15B62447" w14:textId="77777777" w:rsidR="005047FB" w:rsidRPr="00F200CF" w:rsidRDefault="005047FB" w:rsidP="00F200CF">
            <w:pPr>
              <w:spacing w:before="0" w:after="0"/>
              <w:rPr>
                <w:rFonts w:ascii="Times New Roman" w:eastAsia="Times New Roman" w:hAnsi="Times New Roman"/>
                <w:noProof/>
                <w:sz w:val="16"/>
                <w:szCs w:val="16"/>
              </w:rPr>
            </w:pPr>
            <w:r w:rsidRPr="00F200CF">
              <w:rPr>
                <w:rFonts w:ascii="Times New Roman" w:eastAsia="Times New Roman" w:hAnsi="Times New Roman"/>
                <w:noProof/>
                <w:sz w:val="16"/>
                <w:szCs w:val="16"/>
              </w:rPr>
              <w:t>ERAF</w:t>
            </w:r>
          </w:p>
        </w:tc>
        <w:tc>
          <w:tcPr>
            <w:tcW w:w="1417" w:type="dxa"/>
            <w:shd w:val="clear" w:color="auto" w:fill="D9D9D9" w:themeFill="background1" w:themeFillShade="D9"/>
          </w:tcPr>
          <w:p w14:paraId="079A7BE8" w14:textId="77777777" w:rsidR="005047FB" w:rsidRPr="00F200CF" w:rsidRDefault="005047FB" w:rsidP="00F200CF">
            <w:pPr>
              <w:spacing w:before="0" w:after="0"/>
              <w:rPr>
                <w:rFonts w:ascii="Times New Roman" w:eastAsia="Times New Roman" w:hAnsi="Times New Roman"/>
                <w:noProof/>
                <w:sz w:val="16"/>
                <w:szCs w:val="16"/>
              </w:rPr>
            </w:pPr>
            <w:r w:rsidRPr="00F200CF">
              <w:rPr>
                <w:rFonts w:ascii="Times New Roman" w:eastAsia="Times New Roman" w:hAnsi="Times New Roman"/>
                <w:noProof/>
                <w:sz w:val="16"/>
                <w:szCs w:val="16"/>
              </w:rPr>
              <w:t>ESF+</w:t>
            </w:r>
          </w:p>
        </w:tc>
        <w:tc>
          <w:tcPr>
            <w:tcW w:w="1418" w:type="dxa"/>
            <w:shd w:val="clear" w:color="auto" w:fill="D9D9D9" w:themeFill="background1" w:themeFillShade="D9"/>
          </w:tcPr>
          <w:p w14:paraId="4C902B07" w14:textId="77777777" w:rsidR="005047FB" w:rsidRPr="00F200CF" w:rsidRDefault="005047FB" w:rsidP="00F200CF">
            <w:pPr>
              <w:spacing w:before="0" w:after="0"/>
              <w:rPr>
                <w:rFonts w:ascii="Times New Roman" w:eastAsia="Times New Roman" w:hAnsi="Times New Roman"/>
                <w:noProof/>
                <w:sz w:val="16"/>
                <w:szCs w:val="16"/>
              </w:rPr>
            </w:pPr>
            <w:r w:rsidRPr="00F200CF">
              <w:rPr>
                <w:rFonts w:ascii="Times New Roman" w:eastAsia="Times New Roman" w:hAnsi="Times New Roman"/>
                <w:noProof/>
                <w:sz w:val="16"/>
                <w:szCs w:val="16"/>
              </w:rPr>
              <w:t>KF</w:t>
            </w:r>
          </w:p>
        </w:tc>
        <w:tc>
          <w:tcPr>
            <w:tcW w:w="1275" w:type="dxa"/>
            <w:shd w:val="clear" w:color="auto" w:fill="D9D9D9" w:themeFill="background1" w:themeFillShade="D9"/>
          </w:tcPr>
          <w:p w14:paraId="51CF8AC7" w14:textId="77777777" w:rsidR="005047FB" w:rsidRPr="00F200CF" w:rsidRDefault="005047FB" w:rsidP="00F200CF">
            <w:pPr>
              <w:spacing w:before="0" w:after="0"/>
              <w:rPr>
                <w:rFonts w:ascii="Times New Roman" w:eastAsia="Times New Roman" w:hAnsi="Times New Roman"/>
                <w:noProof/>
                <w:sz w:val="16"/>
                <w:szCs w:val="16"/>
              </w:rPr>
            </w:pPr>
            <w:r w:rsidRPr="00F200CF">
              <w:rPr>
                <w:rFonts w:ascii="Times New Roman" w:eastAsia="Times New Roman" w:hAnsi="Times New Roman"/>
                <w:noProof/>
                <w:sz w:val="16"/>
                <w:szCs w:val="16"/>
              </w:rPr>
              <w:t>EJZF</w:t>
            </w:r>
          </w:p>
        </w:tc>
        <w:tc>
          <w:tcPr>
            <w:tcW w:w="1276" w:type="dxa"/>
            <w:shd w:val="clear" w:color="auto" w:fill="D9D9D9" w:themeFill="background1" w:themeFillShade="D9"/>
          </w:tcPr>
          <w:p w14:paraId="220BC8F7" w14:textId="77777777" w:rsidR="005047FB" w:rsidRPr="00F200CF" w:rsidRDefault="005047FB" w:rsidP="00F200CF">
            <w:pPr>
              <w:spacing w:before="0" w:after="0"/>
              <w:rPr>
                <w:rFonts w:ascii="Times New Roman" w:eastAsia="Times New Roman" w:hAnsi="Times New Roman"/>
                <w:noProof/>
                <w:sz w:val="16"/>
                <w:szCs w:val="16"/>
              </w:rPr>
            </w:pPr>
            <w:r w:rsidRPr="00F200CF">
              <w:rPr>
                <w:rFonts w:ascii="Times New Roman" w:eastAsia="Times New Roman" w:hAnsi="Times New Roman"/>
                <w:noProof/>
                <w:sz w:val="16"/>
                <w:szCs w:val="16"/>
              </w:rPr>
              <w:t>PMIF</w:t>
            </w:r>
          </w:p>
        </w:tc>
        <w:tc>
          <w:tcPr>
            <w:tcW w:w="1276" w:type="dxa"/>
            <w:shd w:val="clear" w:color="auto" w:fill="D9D9D9" w:themeFill="background1" w:themeFillShade="D9"/>
          </w:tcPr>
          <w:p w14:paraId="392968F3" w14:textId="77777777" w:rsidR="005047FB" w:rsidRPr="00F200CF" w:rsidRDefault="005047FB" w:rsidP="00F200CF">
            <w:pPr>
              <w:spacing w:before="0" w:after="0"/>
              <w:rPr>
                <w:rFonts w:ascii="Times New Roman" w:eastAsia="Times New Roman" w:hAnsi="Times New Roman"/>
                <w:noProof/>
                <w:sz w:val="16"/>
                <w:szCs w:val="16"/>
              </w:rPr>
            </w:pPr>
            <w:r w:rsidRPr="00F200CF">
              <w:rPr>
                <w:rFonts w:ascii="Times New Roman" w:eastAsia="Times New Roman" w:hAnsi="Times New Roman"/>
                <w:noProof/>
                <w:sz w:val="16"/>
                <w:szCs w:val="16"/>
              </w:rPr>
              <w:t>IDF</w:t>
            </w:r>
          </w:p>
        </w:tc>
        <w:tc>
          <w:tcPr>
            <w:tcW w:w="1276" w:type="dxa"/>
            <w:shd w:val="clear" w:color="auto" w:fill="D9D9D9" w:themeFill="background1" w:themeFillShade="D9"/>
          </w:tcPr>
          <w:p w14:paraId="04ABF51E" w14:textId="77777777" w:rsidR="005047FB" w:rsidRPr="00F200CF" w:rsidRDefault="005047FB" w:rsidP="00F200CF">
            <w:pPr>
              <w:spacing w:before="0" w:after="0"/>
              <w:rPr>
                <w:rFonts w:ascii="Times New Roman" w:eastAsia="Times New Roman" w:hAnsi="Times New Roman"/>
                <w:noProof/>
                <w:sz w:val="16"/>
                <w:szCs w:val="16"/>
              </w:rPr>
            </w:pPr>
            <w:r w:rsidRPr="00F200CF">
              <w:rPr>
                <w:rFonts w:ascii="Times New Roman" w:eastAsia="Times New Roman" w:hAnsi="Times New Roman"/>
                <w:noProof/>
                <w:sz w:val="16"/>
                <w:szCs w:val="16"/>
              </w:rPr>
              <w:t>RPVI</w:t>
            </w:r>
          </w:p>
        </w:tc>
        <w:tc>
          <w:tcPr>
            <w:tcW w:w="1275" w:type="dxa"/>
            <w:shd w:val="clear" w:color="auto" w:fill="D9D9D9" w:themeFill="background1" w:themeFillShade="D9"/>
          </w:tcPr>
          <w:p w14:paraId="53E73446" w14:textId="77777777" w:rsidR="005047FB" w:rsidRPr="00F200CF" w:rsidRDefault="005047FB" w:rsidP="00F200CF">
            <w:pPr>
              <w:spacing w:before="0" w:after="0"/>
              <w:rPr>
                <w:rFonts w:ascii="Times New Roman" w:eastAsia="Times New Roman" w:hAnsi="Times New Roman"/>
                <w:noProof/>
                <w:sz w:val="16"/>
                <w:szCs w:val="16"/>
              </w:rPr>
            </w:pPr>
            <w:r w:rsidRPr="00F200CF">
              <w:rPr>
                <w:rFonts w:ascii="Times New Roman" w:eastAsia="Times New Roman" w:hAnsi="Times New Roman"/>
                <w:noProof/>
                <w:sz w:val="16"/>
                <w:szCs w:val="16"/>
              </w:rPr>
              <w:t>Kopā</w:t>
            </w:r>
          </w:p>
        </w:tc>
      </w:tr>
      <w:tr w:rsidR="005047FB" w:rsidRPr="00F200CF" w14:paraId="71198CED" w14:textId="77777777" w:rsidTr="00F200CF">
        <w:tc>
          <w:tcPr>
            <w:tcW w:w="1105" w:type="dxa"/>
            <w:shd w:val="clear" w:color="auto" w:fill="D9D9D9" w:themeFill="background1" w:themeFillShade="D9"/>
          </w:tcPr>
          <w:p w14:paraId="4736B9F0" w14:textId="77777777" w:rsidR="005047FB" w:rsidRPr="00F200CF" w:rsidRDefault="005047FB" w:rsidP="00F200CF">
            <w:pPr>
              <w:spacing w:before="0" w:after="0"/>
              <w:rPr>
                <w:rFonts w:ascii="Times New Roman" w:eastAsia="Times New Roman" w:hAnsi="Times New Roman"/>
                <w:noProof/>
                <w:sz w:val="16"/>
                <w:szCs w:val="16"/>
              </w:rPr>
            </w:pPr>
            <w:r w:rsidRPr="00F200CF">
              <w:rPr>
                <w:rFonts w:ascii="Times New Roman" w:eastAsia="Times New Roman" w:hAnsi="Times New Roman"/>
                <w:noProof/>
                <w:sz w:val="16"/>
                <w:szCs w:val="16"/>
              </w:rPr>
              <w:t>ERAF</w:t>
            </w:r>
          </w:p>
        </w:tc>
        <w:tc>
          <w:tcPr>
            <w:tcW w:w="1016" w:type="dxa"/>
            <w:shd w:val="clear" w:color="auto" w:fill="D9D9D9" w:themeFill="background1" w:themeFillShade="D9"/>
          </w:tcPr>
          <w:p w14:paraId="1987FEE9" w14:textId="77777777" w:rsidR="005047FB" w:rsidRPr="00F200CF" w:rsidRDefault="005047FB" w:rsidP="00F200CF">
            <w:pPr>
              <w:spacing w:before="0" w:after="0"/>
              <w:rPr>
                <w:rFonts w:ascii="Times New Roman" w:eastAsia="Times New Roman" w:hAnsi="Times New Roman"/>
                <w:noProof/>
                <w:sz w:val="16"/>
                <w:szCs w:val="16"/>
              </w:rPr>
            </w:pPr>
            <w:r w:rsidRPr="00F200CF">
              <w:rPr>
                <w:rFonts w:ascii="Times New Roman" w:eastAsia="Times New Roman" w:hAnsi="Times New Roman"/>
                <w:noProof/>
                <w:sz w:val="16"/>
                <w:szCs w:val="16"/>
              </w:rPr>
              <w:t>Mazāk attīstīts</w:t>
            </w:r>
          </w:p>
        </w:tc>
        <w:tc>
          <w:tcPr>
            <w:tcW w:w="1702" w:type="dxa"/>
            <w:shd w:val="clear" w:color="auto" w:fill="A6A6A6" w:themeFill="background1" w:themeFillShade="A6"/>
          </w:tcPr>
          <w:p w14:paraId="114AF881" w14:textId="77777777" w:rsidR="005047FB" w:rsidRPr="00F200CF" w:rsidRDefault="005047FB" w:rsidP="00F200CF">
            <w:pPr>
              <w:spacing w:before="0" w:after="0"/>
              <w:rPr>
                <w:rFonts w:ascii="Times New Roman" w:eastAsia="Times New Roman" w:hAnsi="Times New Roman"/>
                <w:noProof/>
                <w:sz w:val="16"/>
                <w:szCs w:val="16"/>
              </w:rPr>
            </w:pPr>
          </w:p>
        </w:tc>
        <w:tc>
          <w:tcPr>
            <w:tcW w:w="1417" w:type="dxa"/>
          </w:tcPr>
          <w:p w14:paraId="042C27C3" w14:textId="113651E5" w:rsidR="005047FB" w:rsidRPr="00F200CF" w:rsidRDefault="005047FB" w:rsidP="00F200CF">
            <w:pPr>
              <w:spacing w:before="0" w:after="0"/>
              <w:rPr>
                <w:rFonts w:ascii="Times New Roman" w:eastAsia="Times New Roman" w:hAnsi="Times New Roman"/>
                <w:noProof/>
                <w:sz w:val="16"/>
                <w:szCs w:val="16"/>
              </w:rPr>
            </w:pPr>
          </w:p>
        </w:tc>
        <w:tc>
          <w:tcPr>
            <w:tcW w:w="1418" w:type="dxa"/>
          </w:tcPr>
          <w:p w14:paraId="2CFE0E7A" w14:textId="77777777" w:rsidR="005047FB" w:rsidRPr="00F200CF" w:rsidRDefault="005047FB" w:rsidP="00F200CF">
            <w:pPr>
              <w:spacing w:before="0" w:after="0"/>
              <w:rPr>
                <w:rFonts w:ascii="Times New Roman" w:eastAsia="Times New Roman" w:hAnsi="Times New Roman"/>
                <w:noProof/>
                <w:sz w:val="16"/>
                <w:szCs w:val="16"/>
              </w:rPr>
            </w:pPr>
          </w:p>
        </w:tc>
        <w:tc>
          <w:tcPr>
            <w:tcW w:w="1275" w:type="dxa"/>
          </w:tcPr>
          <w:p w14:paraId="297E1F5C" w14:textId="77777777" w:rsidR="005047FB" w:rsidRPr="00F200CF" w:rsidRDefault="005047FB" w:rsidP="00F200CF">
            <w:pPr>
              <w:spacing w:before="0" w:after="0"/>
              <w:rPr>
                <w:rFonts w:ascii="Times New Roman" w:eastAsia="Times New Roman" w:hAnsi="Times New Roman"/>
                <w:noProof/>
                <w:sz w:val="16"/>
                <w:szCs w:val="16"/>
              </w:rPr>
            </w:pPr>
          </w:p>
        </w:tc>
        <w:tc>
          <w:tcPr>
            <w:tcW w:w="1276" w:type="dxa"/>
          </w:tcPr>
          <w:p w14:paraId="6685D95F" w14:textId="77777777" w:rsidR="005047FB" w:rsidRPr="00F200CF" w:rsidRDefault="005047FB" w:rsidP="00F200CF">
            <w:pPr>
              <w:spacing w:before="0" w:after="0"/>
              <w:rPr>
                <w:rFonts w:ascii="Times New Roman" w:eastAsia="Times New Roman" w:hAnsi="Times New Roman"/>
                <w:noProof/>
                <w:sz w:val="16"/>
                <w:szCs w:val="16"/>
              </w:rPr>
            </w:pPr>
          </w:p>
        </w:tc>
        <w:tc>
          <w:tcPr>
            <w:tcW w:w="1276" w:type="dxa"/>
          </w:tcPr>
          <w:p w14:paraId="37F10042" w14:textId="77777777" w:rsidR="005047FB" w:rsidRPr="00F200CF" w:rsidRDefault="005047FB" w:rsidP="00F200CF">
            <w:pPr>
              <w:spacing w:before="0" w:after="0"/>
              <w:rPr>
                <w:rFonts w:ascii="Times New Roman" w:eastAsia="Times New Roman" w:hAnsi="Times New Roman"/>
                <w:noProof/>
                <w:sz w:val="16"/>
                <w:szCs w:val="16"/>
              </w:rPr>
            </w:pPr>
          </w:p>
        </w:tc>
        <w:tc>
          <w:tcPr>
            <w:tcW w:w="1276" w:type="dxa"/>
          </w:tcPr>
          <w:p w14:paraId="33A3A949" w14:textId="77777777" w:rsidR="005047FB" w:rsidRPr="00F200CF" w:rsidRDefault="005047FB" w:rsidP="00F200CF">
            <w:pPr>
              <w:spacing w:before="0" w:after="0"/>
              <w:rPr>
                <w:rFonts w:ascii="Times New Roman" w:eastAsia="Times New Roman" w:hAnsi="Times New Roman"/>
                <w:noProof/>
                <w:sz w:val="16"/>
                <w:szCs w:val="16"/>
              </w:rPr>
            </w:pPr>
          </w:p>
        </w:tc>
        <w:tc>
          <w:tcPr>
            <w:tcW w:w="1275" w:type="dxa"/>
          </w:tcPr>
          <w:p w14:paraId="28A23009" w14:textId="62E54935" w:rsidR="005047FB" w:rsidRPr="00F200CF" w:rsidRDefault="005047FB" w:rsidP="00F200CF">
            <w:pPr>
              <w:spacing w:before="0" w:after="0"/>
              <w:rPr>
                <w:rFonts w:ascii="Times New Roman" w:eastAsia="Times New Roman" w:hAnsi="Times New Roman"/>
                <w:noProof/>
                <w:sz w:val="16"/>
                <w:szCs w:val="16"/>
              </w:rPr>
            </w:pPr>
          </w:p>
        </w:tc>
      </w:tr>
      <w:tr w:rsidR="005047FB" w:rsidRPr="00F200CF" w14:paraId="0284EA2D" w14:textId="77777777" w:rsidTr="00F200CF">
        <w:tc>
          <w:tcPr>
            <w:tcW w:w="1105" w:type="dxa"/>
            <w:shd w:val="clear" w:color="auto" w:fill="D9D9D9" w:themeFill="background1" w:themeFillShade="D9"/>
          </w:tcPr>
          <w:p w14:paraId="7C40611F" w14:textId="77777777" w:rsidR="005047FB" w:rsidRPr="00F200CF" w:rsidRDefault="005047FB" w:rsidP="00F200CF">
            <w:pPr>
              <w:spacing w:before="0" w:after="0"/>
              <w:rPr>
                <w:rFonts w:ascii="Times New Roman" w:eastAsia="Times New Roman" w:hAnsi="Times New Roman"/>
                <w:noProof/>
                <w:sz w:val="16"/>
                <w:szCs w:val="16"/>
              </w:rPr>
            </w:pPr>
            <w:r w:rsidRPr="00F200CF">
              <w:rPr>
                <w:rFonts w:ascii="Times New Roman" w:eastAsia="Times New Roman" w:hAnsi="Times New Roman"/>
                <w:noProof/>
                <w:sz w:val="16"/>
                <w:szCs w:val="16"/>
              </w:rPr>
              <w:t>ESF+</w:t>
            </w:r>
          </w:p>
        </w:tc>
        <w:tc>
          <w:tcPr>
            <w:tcW w:w="1016" w:type="dxa"/>
            <w:shd w:val="clear" w:color="auto" w:fill="D9D9D9" w:themeFill="background1" w:themeFillShade="D9"/>
          </w:tcPr>
          <w:p w14:paraId="4CDADA5F" w14:textId="77777777" w:rsidR="005047FB" w:rsidRPr="00F200CF" w:rsidRDefault="005047FB" w:rsidP="00F200CF">
            <w:pPr>
              <w:spacing w:before="0" w:after="0"/>
              <w:rPr>
                <w:rFonts w:ascii="Times New Roman" w:eastAsia="Times New Roman" w:hAnsi="Times New Roman"/>
                <w:noProof/>
                <w:sz w:val="16"/>
                <w:szCs w:val="16"/>
              </w:rPr>
            </w:pPr>
            <w:r w:rsidRPr="00F200CF">
              <w:rPr>
                <w:rFonts w:ascii="Times New Roman" w:eastAsia="Times New Roman" w:hAnsi="Times New Roman"/>
                <w:noProof/>
                <w:sz w:val="16"/>
                <w:szCs w:val="16"/>
              </w:rPr>
              <w:t>Mazāk attīstīts</w:t>
            </w:r>
          </w:p>
        </w:tc>
        <w:tc>
          <w:tcPr>
            <w:tcW w:w="1702" w:type="dxa"/>
          </w:tcPr>
          <w:p w14:paraId="02F84EF3" w14:textId="77777777" w:rsidR="005047FB" w:rsidRPr="00F200CF" w:rsidRDefault="005047FB" w:rsidP="00F200CF">
            <w:pPr>
              <w:spacing w:before="0" w:after="0"/>
              <w:rPr>
                <w:rFonts w:ascii="Times New Roman" w:eastAsia="Times New Roman" w:hAnsi="Times New Roman"/>
                <w:noProof/>
                <w:sz w:val="16"/>
                <w:szCs w:val="16"/>
              </w:rPr>
            </w:pPr>
          </w:p>
        </w:tc>
        <w:tc>
          <w:tcPr>
            <w:tcW w:w="1417" w:type="dxa"/>
            <w:shd w:val="clear" w:color="auto" w:fill="A6A6A6" w:themeFill="background1" w:themeFillShade="A6"/>
          </w:tcPr>
          <w:p w14:paraId="0AF96AFD" w14:textId="77777777" w:rsidR="005047FB" w:rsidRPr="00F200CF" w:rsidRDefault="005047FB" w:rsidP="00F200CF">
            <w:pPr>
              <w:spacing w:before="0" w:after="0"/>
              <w:rPr>
                <w:rFonts w:ascii="Times New Roman" w:eastAsia="Times New Roman" w:hAnsi="Times New Roman"/>
                <w:noProof/>
                <w:sz w:val="16"/>
                <w:szCs w:val="16"/>
              </w:rPr>
            </w:pPr>
          </w:p>
        </w:tc>
        <w:tc>
          <w:tcPr>
            <w:tcW w:w="1418" w:type="dxa"/>
          </w:tcPr>
          <w:p w14:paraId="1D8A33EC" w14:textId="77777777" w:rsidR="005047FB" w:rsidRPr="00F200CF" w:rsidRDefault="005047FB" w:rsidP="00F200CF">
            <w:pPr>
              <w:spacing w:before="0" w:after="0"/>
              <w:rPr>
                <w:rFonts w:ascii="Times New Roman" w:eastAsia="Times New Roman" w:hAnsi="Times New Roman"/>
                <w:noProof/>
                <w:sz w:val="16"/>
                <w:szCs w:val="16"/>
              </w:rPr>
            </w:pPr>
          </w:p>
        </w:tc>
        <w:tc>
          <w:tcPr>
            <w:tcW w:w="1275" w:type="dxa"/>
          </w:tcPr>
          <w:p w14:paraId="59F69E32" w14:textId="77777777" w:rsidR="005047FB" w:rsidRPr="00F200CF" w:rsidRDefault="005047FB" w:rsidP="00F200CF">
            <w:pPr>
              <w:spacing w:before="0" w:after="0"/>
              <w:rPr>
                <w:rFonts w:ascii="Times New Roman" w:eastAsia="Times New Roman" w:hAnsi="Times New Roman"/>
                <w:noProof/>
                <w:sz w:val="16"/>
                <w:szCs w:val="16"/>
              </w:rPr>
            </w:pPr>
          </w:p>
        </w:tc>
        <w:tc>
          <w:tcPr>
            <w:tcW w:w="1276" w:type="dxa"/>
          </w:tcPr>
          <w:p w14:paraId="651FBAF7" w14:textId="77777777" w:rsidR="005047FB" w:rsidRPr="00F200CF" w:rsidRDefault="005047FB" w:rsidP="00F200CF">
            <w:pPr>
              <w:spacing w:before="0" w:after="0"/>
              <w:rPr>
                <w:rFonts w:ascii="Times New Roman" w:eastAsia="Times New Roman" w:hAnsi="Times New Roman"/>
                <w:noProof/>
                <w:sz w:val="16"/>
                <w:szCs w:val="16"/>
              </w:rPr>
            </w:pPr>
          </w:p>
        </w:tc>
        <w:tc>
          <w:tcPr>
            <w:tcW w:w="1276" w:type="dxa"/>
          </w:tcPr>
          <w:p w14:paraId="0D549350" w14:textId="77777777" w:rsidR="005047FB" w:rsidRPr="00F200CF" w:rsidRDefault="005047FB" w:rsidP="00F200CF">
            <w:pPr>
              <w:spacing w:before="0" w:after="0"/>
              <w:rPr>
                <w:rFonts w:ascii="Times New Roman" w:eastAsia="Times New Roman" w:hAnsi="Times New Roman"/>
                <w:noProof/>
                <w:sz w:val="16"/>
                <w:szCs w:val="16"/>
              </w:rPr>
            </w:pPr>
          </w:p>
        </w:tc>
        <w:tc>
          <w:tcPr>
            <w:tcW w:w="1276" w:type="dxa"/>
          </w:tcPr>
          <w:p w14:paraId="00A42807" w14:textId="77777777" w:rsidR="005047FB" w:rsidRPr="00F200CF" w:rsidRDefault="005047FB" w:rsidP="00F200CF">
            <w:pPr>
              <w:spacing w:before="0" w:after="0"/>
              <w:rPr>
                <w:rFonts w:ascii="Times New Roman" w:eastAsia="Times New Roman" w:hAnsi="Times New Roman"/>
                <w:noProof/>
                <w:sz w:val="16"/>
                <w:szCs w:val="16"/>
              </w:rPr>
            </w:pPr>
          </w:p>
        </w:tc>
        <w:tc>
          <w:tcPr>
            <w:tcW w:w="1275" w:type="dxa"/>
          </w:tcPr>
          <w:p w14:paraId="34A03E5B" w14:textId="77777777" w:rsidR="005047FB" w:rsidRPr="00F200CF" w:rsidRDefault="005047FB" w:rsidP="00F200CF">
            <w:pPr>
              <w:spacing w:before="0" w:after="0"/>
              <w:rPr>
                <w:rFonts w:ascii="Times New Roman" w:eastAsia="Times New Roman" w:hAnsi="Times New Roman"/>
                <w:noProof/>
                <w:sz w:val="16"/>
                <w:szCs w:val="16"/>
              </w:rPr>
            </w:pPr>
          </w:p>
        </w:tc>
      </w:tr>
      <w:tr w:rsidR="005047FB" w:rsidRPr="00F200CF" w14:paraId="112F74BE" w14:textId="77777777" w:rsidTr="00F200CF">
        <w:tc>
          <w:tcPr>
            <w:tcW w:w="1105" w:type="dxa"/>
            <w:shd w:val="clear" w:color="auto" w:fill="D9D9D9" w:themeFill="background1" w:themeFillShade="D9"/>
          </w:tcPr>
          <w:p w14:paraId="40187968" w14:textId="77777777" w:rsidR="005047FB" w:rsidRPr="00F200CF" w:rsidRDefault="005047FB" w:rsidP="00F200CF">
            <w:pPr>
              <w:spacing w:before="0" w:after="0"/>
              <w:rPr>
                <w:rFonts w:ascii="Times New Roman" w:eastAsia="Times New Roman" w:hAnsi="Times New Roman"/>
                <w:noProof/>
                <w:sz w:val="16"/>
                <w:szCs w:val="16"/>
              </w:rPr>
            </w:pPr>
            <w:r w:rsidRPr="00F200CF">
              <w:rPr>
                <w:rFonts w:ascii="Times New Roman" w:eastAsia="Times New Roman" w:hAnsi="Times New Roman"/>
                <w:noProof/>
                <w:sz w:val="16"/>
                <w:szCs w:val="16"/>
              </w:rPr>
              <w:t>KF</w:t>
            </w:r>
          </w:p>
        </w:tc>
        <w:tc>
          <w:tcPr>
            <w:tcW w:w="1016" w:type="dxa"/>
            <w:shd w:val="clear" w:color="auto" w:fill="D9D9D9" w:themeFill="background1" w:themeFillShade="D9"/>
          </w:tcPr>
          <w:p w14:paraId="05F65DB2" w14:textId="77777777" w:rsidR="005047FB" w:rsidRPr="00F200CF" w:rsidRDefault="005047FB" w:rsidP="00F200CF">
            <w:pPr>
              <w:spacing w:before="0" w:after="0"/>
              <w:rPr>
                <w:rFonts w:ascii="Times New Roman" w:eastAsia="Times New Roman" w:hAnsi="Times New Roman"/>
                <w:noProof/>
                <w:sz w:val="16"/>
                <w:szCs w:val="16"/>
              </w:rPr>
            </w:pPr>
            <w:r w:rsidRPr="00F200CF">
              <w:rPr>
                <w:rFonts w:ascii="Times New Roman" w:eastAsia="Times New Roman" w:hAnsi="Times New Roman"/>
                <w:noProof/>
                <w:sz w:val="16"/>
                <w:szCs w:val="16"/>
              </w:rPr>
              <w:t>N/A</w:t>
            </w:r>
          </w:p>
        </w:tc>
        <w:tc>
          <w:tcPr>
            <w:tcW w:w="1702" w:type="dxa"/>
          </w:tcPr>
          <w:p w14:paraId="57752C5C" w14:textId="77777777" w:rsidR="005047FB" w:rsidRPr="00F200CF" w:rsidRDefault="005047FB" w:rsidP="00F200CF">
            <w:pPr>
              <w:spacing w:before="0" w:after="0"/>
              <w:rPr>
                <w:rFonts w:ascii="Times New Roman" w:eastAsia="Times New Roman" w:hAnsi="Times New Roman"/>
                <w:noProof/>
                <w:sz w:val="16"/>
                <w:szCs w:val="16"/>
              </w:rPr>
            </w:pPr>
          </w:p>
        </w:tc>
        <w:tc>
          <w:tcPr>
            <w:tcW w:w="1417" w:type="dxa"/>
          </w:tcPr>
          <w:p w14:paraId="4533B630" w14:textId="77777777" w:rsidR="005047FB" w:rsidRPr="00F200CF" w:rsidRDefault="005047FB" w:rsidP="00F200CF">
            <w:pPr>
              <w:spacing w:before="0" w:after="0"/>
              <w:rPr>
                <w:rFonts w:ascii="Times New Roman" w:eastAsia="Times New Roman" w:hAnsi="Times New Roman"/>
                <w:noProof/>
                <w:sz w:val="16"/>
                <w:szCs w:val="16"/>
              </w:rPr>
            </w:pPr>
          </w:p>
        </w:tc>
        <w:tc>
          <w:tcPr>
            <w:tcW w:w="1418" w:type="dxa"/>
            <w:shd w:val="clear" w:color="auto" w:fill="A6A6A6" w:themeFill="background1" w:themeFillShade="A6"/>
          </w:tcPr>
          <w:p w14:paraId="6BE13770" w14:textId="77777777" w:rsidR="005047FB" w:rsidRPr="00F200CF" w:rsidRDefault="005047FB" w:rsidP="00F200CF">
            <w:pPr>
              <w:spacing w:before="0" w:after="0"/>
              <w:rPr>
                <w:rFonts w:ascii="Times New Roman" w:eastAsia="Times New Roman" w:hAnsi="Times New Roman"/>
                <w:noProof/>
                <w:sz w:val="16"/>
                <w:szCs w:val="16"/>
              </w:rPr>
            </w:pPr>
          </w:p>
        </w:tc>
        <w:tc>
          <w:tcPr>
            <w:tcW w:w="1275" w:type="dxa"/>
          </w:tcPr>
          <w:p w14:paraId="3A18A206" w14:textId="77777777" w:rsidR="005047FB" w:rsidRPr="00F200CF" w:rsidRDefault="005047FB" w:rsidP="00F200CF">
            <w:pPr>
              <w:spacing w:before="0" w:after="0"/>
              <w:rPr>
                <w:rFonts w:ascii="Times New Roman" w:eastAsia="Times New Roman" w:hAnsi="Times New Roman"/>
                <w:noProof/>
                <w:sz w:val="16"/>
                <w:szCs w:val="16"/>
              </w:rPr>
            </w:pPr>
          </w:p>
        </w:tc>
        <w:tc>
          <w:tcPr>
            <w:tcW w:w="1276" w:type="dxa"/>
          </w:tcPr>
          <w:p w14:paraId="5E0C8E07" w14:textId="77777777" w:rsidR="005047FB" w:rsidRPr="00F200CF" w:rsidRDefault="005047FB" w:rsidP="00F200CF">
            <w:pPr>
              <w:spacing w:before="0" w:after="0"/>
              <w:rPr>
                <w:rFonts w:ascii="Times New Roman" w:eastAsia="Times New Roman" w:hAnsi="Times New Roman"/>
                <w:noProof/>
                <w:sz w:val="16"/>
                <w:szCs w:val="16"/>
              </w:rPr>
            </w:pPr>
          </w:p>
        </w:tc>
        <w:tc>
          <w:tcPr>
            <w:tcW w:w="1276" w:type="dxa"/>
          </w:tcPr>
          <w:p w14:paraId="22B1982F" w14:textId="77777777" w:rsidR="005047FB" w:rsidRPr="00F200CF" w:rsidRDefault="005047FB" w:rsidP="00F200CF">
            <w:pPr>
              <w:spacing w:before="0" w:after="0"/>
              <w:rPr>
                <w:rFonts w:ascii="Times New Roman" w:eastAsia="Times New Roman" w:hAnsi="Times New Roman"/>
                <w:noProof/>
                <w:sz w:val="16"/>
                <w:szCs w:val="16"/>
              </w:rPr>
            </w:pPr>
          </w:p>
        </w:tc>
        <w:tc>
          <w:tcPr>
            <w:tcW w:w="1276" w:type="dxa"/>
          </w:tcPr>
          <w:p w14:paraId="1227FD4C" w14:textId="77777777" w:rsidR="005047FB" w:rsidRPr="00F200CF" w:rsidRDefault="005047FB" w:rsidP="00F200CF">
            <w:pPr>
              <w:spacing w:before="0" w:after="0"/>
              <w:rPr>
                <w:rFonts w:ascii="Times New Roman" w:eastAsia="Times New Roman" w:hAnsi="Times New Roman"/>
                <w:noProof/>
                <w:sz w:val="16"/>
                <w:szCs w:val="16"/>
              </w:rPr>
            </w:pPr>
          </w:p>
        </w:tc>
        <w:tc>
          <w:tcPr>
            <w:tcW w:w="1275" w:type="dxa"/>
          </w:tcPr>
          <w:p w14:paraId="232D0542" w14:textId="77777777" w:rsidR="005047FB" w:rsidRPr="00F200CF" w:rsidRDefault="005047FB" w:rsidP="00F200CF">
            <w:pPr>
              <w:spacing w:before="0" w:after="0"/>
              <w:rPr>
                <w:rFonts w:ascii="Times New Roman" w:eastAsia="Times New Roman" w:hAnsi="Times New Roman"/>
                <w:noProof/>
                <w:sz w:val="16"/>
                <w:szCs w:val="16"/>
              </w:rPr>
            </w:pPr>
          </w:p>
        </w:tc>
      </w:tr>
      <w:tr w:rsidR="005047FB" w:rsidRPr="00F200CF" w14:paraId="6A1487B8" w14:textId="77777777" w:rsidTr="00F200CF">
        <w:tc>
          <w:tcPr>
            <w:tcW w:w="1105" w:type="dxa"/>
            <w:shd w:val="clear" w:color="auto" w:fill="D9D9D9" w:themeFill="background1" w:themeFillShade="D9"/>
          </w:tcPr>
          <w:p w14:paraId="649E669A" w14:textId="77777777" w:rsidR="005047FB" w:rsidRPr="00F200CF" w:rsidRDefault="005047FB" w:rsidP="00F200CF">
            <w:pPr>
              <w:spacing w:before="0" w:after="0"/>
              <w:rPr>
                <w:rFonts w:ascii="Times New Roman" w:eastAsia="Times New Roman" w:hAnsi="Times New Roman"/>
                <w:noProof/>
                <w:sz w:val="16"/>
                <w:szCs w:val="16"/>
              </w:rPr>
            </w:pPr>
            <w:r w:rsidRPr="00F200CF">
              <w:rPr>
                <w:rFonts w:ascii="Times New Roman" w:eastAsia="Times New Roman" w:hAnsi="Times New Roman"/>
                <w:noProof/>
                <w:sz w:val="16"/>
                <w:szCs w:val="16"/>
              </w:rPr>
              <w:t>EJZF</w:t>
            </w:r>
          </w:p>
        </w:tc>
        <w:tc>
          <w:tcPr>
            <w:tcW w:w="1016" w:type="dxa"/>
            <w:shd w:val="clear" w:color="auto" w:fill="D9D9D9" w:themeFill="background1" w:themeFillShade="D9"/>
          </w:tcPr>
          <w:p w14:paraId="2BD30A06" w14:textId="77777777" w:rsidR="005047FB" w:rsidRPr="00F200CF" w:rsidRDefault="005047FB" w:rsidP="00F200CF">
            <w:pPr>
              <w:spacing w:before="0" w:after="0"/>
              <w:rPr>
                <w:rFonts w:ascii="Times New Roman" w:eastAsia="Times New Roman" w:hAnsi="Times New Roman"/>
                <w:noProof/>
                <w:sz w:val="16"/>
                <w:szCs w:val="16"/>
              </w:rPr>
            </w:pPr>
            <w:r w:rsidRPr="00F200CF">
              <w:rPr>
                <w:rFonts w:ascii="Times New Roman" w:eastAsia="Times New Roman" w:hAnsi="Times New Roman"/>
                <w:noProof/>
                <w:sz w:val="16"/>
                <w:szCs w:val="16"/>
              </w:rPr>
              <w:t>Mazāk attīstīts</w:t>
            </w:r>
          </w:p>
        </w:tc>
        <w:tc>
          <w:tcPr>
            <w:tcW w:w="1702" w:type="dxa"/>
          </w:tcPr>
          <w:p w14:paraId="5A34471E" w14:textId="77777777" w:rsidR="005047FB" w:rsidRPr="00F200CF" w:rsidRDefault="005047FB" w:rsidP="00F200CF">
            <w:pPr>
              <w:spacing w:before="0" w:after="0"/>
              <w:rPr>
                <w:rFonts w:ascii="Times New Roman" w:eastAsia="Times New Roman" w:hAnsi="Times New Roman"/>
                <w:noProof/>
                <w:sz w:val="16"/>
                <w:szCs w:val="16"/>
              </w:rPr>
            </w:pPr>
          </w:p>
        </w:tc>
        <w:tc>
          <w:tcPr>
            <w:tcW w:w="1417" w:type="dxa"/>
          </w:tcPr>
          <w:p w14:paraId="229939EB" w14:textId="77777777" w:rsidR="005047FB" w:rsidRPr="00F200CF" w:rsidRDefault="005047FB" w:rsidP="00F200CF">
            <w:pPr>
              <w:spacing w:before="0" w:after="0"/>
              <w:rPr>
                <w:rFonts w:ascii="Times New Roman" w:eastAsia="Times New Roman" w:hAnsi="Times New Roman"/>
                <w:noProof/>
                <w:sz w:val="16"/>
                <w:szCs w:val="16"/>
              </w:rPr>
            </w:pPr>
          </w:p>
        </w:tc>
        <w:tc>
          <w:tcPr>
            <w:tcW w:w="1418" w:type="dxa"/>
          </w:tcPr>
          <w:p w14:paraId="6B4FB50D" w14:textId="77777777" w:rsidR="005047FB" w:rsidRPr="00F200CF" w:rsidRDefault="005047FB" w:rsidP="00F200CF">
            <w:pPr>
              <w:spacing w:before="0" w:after="0"/>
              <w:rPr>
                <w:rFonts w:ascii="Times New Roman" w:eastAsia="Times New Roman" w:hAnsi="Times New Roman"/>
                <w:noProof/>
                <w:sz w:val="16"/>
                <w:szCs w:val="16"/>
              </w:rPr>
            </w:pPr>
          </w:p>
        </w:tc>
        <w:tc>
          <w:tcPr>
            <w:tcW w:w="1275" w:type="dxa"/>
            <w:shd w:val="clear" w:color="auto" w:fill="A6A6A6" w:themeFill="background1" w:themeFillShade="A6"/>
          </w:tcPr>
          <w:p w14:paraId="6BE194E7" w14:textId="77777777" w:rsidR="005047FB" w:rsidRPr="00F200CF" w:rsidRDefault="005047FB" w:rsidP="00F200CF">
            <w:pPr>
              <w:spacing w:before="0" w:after="0"/>
              <w:rPr>
                <w:rFonts w:ascii="Times New Roman" w:eastAsia="Times New Roman" w:hAnsi="Times New Roman"/>
                <w:noProof/>
                <w:sz w:val="16"/>
                <w:szCs w:val="16"/>
              </w:rPr>
            </w:pPr>
          </w:p>
        </w:tc>
        <w:tc>
          <w:tcPr>
            <w:tcW w:w="1276" w:type="dxa"/>
          </w:tcPr>
          <w:p w14:paraId="481A5263" w14:textId="77777777" w:rsidR="005047FB" w:rsidRPr="00F200CF" w:rsidRDefault="005047FB" w:rsidP="00F200CF">
            <w:pPr>
              <w:spacing w:before="0" w:after="0"/>
              <w:rPr>
                <w:rFonts w:ascii="Times New Roman" w:eastAsia="Times New Roman" w:hAnsi="Times New Roman"/>
                <w:noProof/>
                <w:sz w:val="16"/>
                <w:szCs w:val="16"/>
              </w:rPr>
            </w:pPr>
          </w:p>
        </w:tc>
        <w:tc>
          <w:tcPr>
            <w:tcW w:w="1276" w:type="dxa"/>
          </w:tcPr>
          <w:p w14:paraId="34D76C2B" w14:textId="77777777" w:rsidR="005047FB" w:rsidRPr="00F200CF" w:rsidRDefault="005047FB" w:rsidP="00F200CF">
            <w:pPr>
              <w:spacing w:before="0" w:after="0"/>
              <w:rPr>
                <w:rFonts w:ascii="Times New Roman" w:eastAsia="Times New Roman" w:hAnsi="Times New Roman"/>
                <w:noProof/>
                <w:sz w:val="16"/>
                <w:szCs w:val="16"/>
              </w:rPr>
            </w:pPr>
          </w:p>
        </w:tc>
        <w:tc>
          <w:tcPr>
            <w:tcW w:w="1276" w:type="dxa"/>
          </w:tcPr>
          <w:p w14:paraId="475D7D0C" w14:textId="77777777" w:rsidR="005047FB" w:rsidRPr="00F200CF" w:rsidRDefault="005047FB" w:rsidP="00F200CF">
            <w:pPr>
              <w:spacing w:before="0" w:after="0"/>
              <w:rPr>
                <w:rFonts w:ascii="Times New Roman" w:eastAsia="Times New Roman" w:hAnsi="Times New Roman"/>
                <w:noProof/>
                <w:sz w:val="16"/>
                <w:szCs w:val="16"/>
              </w:rPr>
            </w:pPr>
          </w:p>
        </w:tc>
        <w:tc>
          <w:tcPr>
            <w:tcW w:w="1275" w:type="dxa"/>
          </w:tcPr>
          <w:p w14:paraId="6892FD83" w14:textId="77777777" w:rsidR="005047FB" w:rsidRPr="00F200CF" w:rsidRDefault="005047FB" w:rsidP="00F200CF">
            <w:pPr>
              <w:spacing w:before="0" w:after="0"/>
              <w:rPr>
                <w:rFonts w:ascii="Times New Roman" w:eastAsia="Times New Roman" w:hAnsi="Times New Roman"/>
                <w:noProof/>
                <w:sz w:val="16"/>
                <w:szCs w:val="16"/>
              </w:rPr>
            </w:pPr>
          </w:p>
        </w:tc>
      </w:tr>
      <w:tr w:rsidR="005047FB" w:rsidRPr="00F200CF" w14:paraId="15BCFDAF" w14:textId="77777777" w:rsidTr="00F200CF">
        <w:tc>
          <w:tcPr>
            <w:tcW w:w="1105" w:type="dxa"/>
            <w:shd w:val="clear" w:color="auto" w:fill="D9D9D9" w:themeFill="background1" w:themeFillShade="D9"/>
          </w:tcPr>
          <w:p w14:paraId="30A784B9" w14:textId="77777777" w:rsidR="005047FB" w:rsidRPr="00F200CF" w:rsidRDefault="005047FB" w:rsidP="00F9619D">
            <w:pPr>
              <w:spacing w:before="0" w:after="0"/>
              <w:rPr>
                <w:rFonts w:ascii="Times New Roman" w:eastAsia="Times New Roman" w:hAnsi="Times New Roman"/>
                <w:noProof/>
                <w:sz w:val="16"/>
                <w:szCs w:val="16"/>
              </w:rPr>
            </w:pPr>
            <w:r w:rsidRPr="00F200CF">
              <w:rPr>
                <w:rFonts w:ascii="Times New Roman" w:eastAsia="Times New Roman" w:hAnsi="Times New Roman"/>
                <w:noProof/>
                <w:sz w:val="16"/>
                <w:szCs w:val="16"/>
              </w:rPr>
              <w:t>Kopā</w:t>
            </w:r>
          </w:p>
        </w:tc>
        <w:tc>
          <w:tcPr>
            <w:tcW w:w="1016" w:type="dxa"/>
            <w:shd w:val="clear" w:color="auto" w:fill="D9D9D9" w:themeFill="background1" w:themeFillShade="D9"/>
          </w:tcPr>
          <w:p w14:paraId="259B6FBF" w14:textId="77777777" w:rsidR="005047FB" w:rsidRPr="00F200CF" w:rsidRDefault="005047FB" w:rsidP="00F9619D">
            <w:pPr>
              <w:spacing w:before="0" w:after="0"/>
              <w:rPr>
                <w:rFonts w:ascii="Times New Roman" w:eastAsia="Times New Roman" w:hAnsi="Times New Roman"/>
                <w:noProof/>
                <w:sz w:val="16"/>
                <w:szCs w:val="16"/>
              </w:rPr>
            </w:pPr>
          </w:p>
        </w:tc>
        <w:tc>
          <w:tcPr>
            <w:tcW w:w="1702" w:type="dxa"/>
          </w:tcPr>
          <w:p w14:paraId="571AB140" w14:textId="77777777" w:rsidR="005047FB" w:rsidRPr="00F200CF" w:rsidRDefault="005047FB" w:rsidP="00F9619D">
            <w:pPr>
              <w:spacing w:before="0" w:after="0"/>
              <w:rPr>
                <w:rFonts w:ascii="Times New Roman" w:eastAsia="Times New Roman" w:hAnsi="Times New Roman"/>
                <w:noProof/>
                <w:sz w:val="16"/>
                <w:szCs w:val="16"/>
              </w:rPr>
            </w:pPr>
          </w:p>
        </w:tc>
        <w:tc>
          <w:tcPr>
            <w:tcW w:w="1417" w:type="dxa"/>
          </w:tcPr>
          <w:p w14:paraId="360ECD4D" w14:textId="031D1519" w:rsidR="005047FB" w:rsidRPr="00F200CF" w:rsidRDefault="005047FB" w:rsidP="00F9619D">
            <w:pPr>
              <w:spacing w:before="0" w:after="0"/>
              <w:rPr>
                <w:rFonts w:ascii="Times New Roman" w:eastAsia="Times New Roman" w:hAnsi="Times New Roman"/>
                <w:noProof/>
                <w:sz w:val="16"/>
                <w:szCs w:val="16"/>
              </w:rPr>
            </w:pPr>
          </w:p>
        </w:tc>
        <w:tc>
          <w:tcPr>
            <w:tcW w:w="1418" w:type="dxa"/>
          </w:tcPr>
          <w:p w14:paraId="70E6CFC6" w14:textId="77777777" w:rsidR="005047FB" w:rsidRPr="00F200CF" w:rsidRDefault="005047FB" w:rsidP="00F9619D">
            <w:pPr>
              <w:spacing w:before="0" w:after="0"/>
              <w:rPr>
                <w:rFonts w:ascii="Times New Roman" w:eastAsia="Times New Roman" w:hAnsi="Times New Roman"/>
                <w:noProof/>
                <w:sz w:val="16"/>
                <w:szCs w:val="16"/>
              </w:rPr>
            </w:pPr>
          </w:p>
        </w:tc>
        <w:tc>
          <w:tcPr>
            <w:tcW w:w="1275" w:type="dxa"/>
          </w:tcPr>
          <w:p w14:paraId="61BDBFBC" w14:textId="77777777" w:rsidR="005047FB" w:rsidRPr="00F200CF" w:rsidRDefault="005047FB" w:rsidP="00F9619D">
            <w:pPr>
              <w:spacing w:before="0" w:after="0"/>
              <w:rPr>
                <w:rFonts w:ascii="Times New Roman" w:eastAsia="Times New Roman" w:hAnsi="Times New Roman"/>
                <w:noProof/>
                <w:sz w:val="16"/>
                <w:szCs w:val="16"/>
              </w:rPr>
            </w:pPr>
          </w:p>
        </w:tc>
        <w:tc>
          <w:tcPr>
            <w:tcW w:w="1276" w:type="dxa"/>
          </w:tcPr>
          <w:p w14:paraId="47718336" w14:textId="77777777" w:rsidR="005047FB" w:rsidRPr="00F200CF" w:rsidRDefault="005047FB" w:rsidP="00F9619D">
            <w:pPr>
              <w:spacing w:before="0" w:after="0"/>
              <w:rPr>
                <w:rFonts w:ascii="Times New Roman" w:eastAsia="Times New Roman" w:hAnsi="Times New Roman"/>
                <w:noProof/>
                <w:sz w:val="16"/>
                <w:szCs w:val="16"/>
              </w:rPr>
            </w:pPr>
          </w:p>
        </w:tc>
        <w:tc>
          <w:tcPr>
            <w:tcW w:w="1276" w:type="dxa"/>
          </w:tcPr>
          <w:p w14:paraId="68C38861" w14:textId="77777777" w:rsidR="005047FB" w:rsidRPr="00F200CF" w:rsidRDefault="005047FB" w:rsidP="00F9619D">
            <w:pPr>
              <w:spacing w:before="0" w:after="0"/>
              <w:rPr>
                <w:rFonts w:ascii="Times New Roman" w:eastAsia="Times New Roman" w:hAnsi="Times New Roman"/>
                <w:noProof/>
                <w:sz w:val="16"/>
                <w:szCs w:val="16"/>
              </w:rPr>
            </w:pPr>
          </w:p>
        </w:tc>
        <w:tc>
          <w:tcPr>
            <w:tcW w:w="1276" w:type="dxa"/>
          </w:tcPr>
          <w:p w14:paraId="3053E24E" w14:textId="77777777" w:rsidR="005047FB" w:rsidRPr="00F200CF" w:rsidRDefault="005047FB" w:rsidP="00F9619D">
            <w:pPr>
              <w:spacing w:before="0" w:after="0"/>
              <w:rPr>
                <w:rFonts w:ascii="Times New Roman" w:eastAsia="Times New Roman" w:hAnsi="Times New Roman"/>
                <w:noProof/>
                <w:sz w:val="16"/>
                <w:szCs w:val="16"/>
              </w:rPr>
            </w:pPr>
          </w:p>
        </w:tc>
        <w:tc>
          <w:tcPr>
            <w:tcW w:w="1275" w:type="dxa"/>
          </w:tcPr>
          <w:p w14:paraId="1D1DA7D9" w14:textId="6BF07749" w:rsidR="005047FB" w:rsidRPr="00F200CF" w:rsidRDefault="005047FB" w:rsidP="00F9619D">
            <w:pPr>
              <w:spacing w:before="0" w:after="0"/>
              <w:rPr>
                <w:rFonts w:ascii="Times New Roman" w:eastAsia="Times New Roman" w:hAnsi="Times New Roman"/>
                <w:noProof/>
                <w:sz w:val="16"/>
                <w:szCs w:val="16"/>
              </w:rPr>
            </w:pPr>
          </w:p>
        </w:tc>
      </w:tr>
    </w:tbl>
    <w:p w14:paraId="0E5CF1DA" w14:textId="77777777" w:rsidR="005047FB" w:rsidRDefault="005047FB" w:rsidP="005047FB">
      <w:pPr>
        <w:spacing w:before="0" w:after="0"/>
        <w:rPr>
          <w:rFonts w:eastAsia="Times New Roman"/>
          <w:b/>
          <w:bCs/>
          <w:noProof/>
          <w:szCs w:val="24"/>
        </w:rPr>
      </w:pPr>
    </w:p>
    <w:p w14:paraId="1EB6F26B" w14:textId="77777777" w:rsidR="005047FB" w:rsidRPr="001248B7" w:rsidRDefault="005047FB" w:rsidP="005047FB">
      <w:pPr>
        <w:spacing w:before="0" w:after="0"/>
        <w:rPr>
          <w:rFonts w:eastAsia="Times New Roman"/>
          <w:noProof/>
          <w:szCs w:val="24"/>
        </w:rPr>
      </w:pPr>
      <w:r w:rsidRPr="001248B7">
        <w:rPr>
          <w:rFonts w:eastAsia="Times New Roman"/>
          <w:noProof/>
          <w:szCs w:val="24"/>
        </w:rPr>
        <w:t>Pamatojums [</w:t>
      </w:r>
      <w:r w:rsidRPr="001248B7">
        <w:rPr>
          <w:rFonts w:eastAsia="Times New Roman"/>
          <w:noProof/>
          <w:color w:val="FF0000"/>
          <w:szCs w:val="24"/>
        </w:rPr>
        <w:t>teksta lauks 3 500</w:t>
      </w:r>
      <w:r w:rsidRPr="001248B7">
        <w:rPr>
          <w:rFonts w:eastAsia="Times New Roman"/>
          <w:noProof/>
          <w:szCs w:val="24"/>
        </w:rPr>
        <w:t>]</w:t>
      </w:r>
    </w:p>
    <w:p w14:paraId="4055BF50" w14:textId="77777777" w:rsidR="00857C47" w:rsidRDefault="00857C47" w:rsidP="005047FB">
      <w:pPr>
        <w:spacing w:before="0" w:after="0"/>
        <w:rPr>
          <w:rFonts w:eastAsia="Times New Roman"/>
          <w:noProof/>
          <w:szCs w:val="24"/>
        </w:rPr>
      </w:pPr>
    </w:p>
    <w:p w14:paraId="748F1670" w14:textId="6D12E802" w:rsidR="00857C47" w:rsidRDefault="00D67F06" w:rsidP="00857C47">
      <w:pPr>
        <w:spacing w:before="0" w:after="0"/>
        <w:rPr>
          <w:rFonts w:eastAsia="Times New Roman"/>
          <w:b/>
          <w:bCs/>
          <w:noProof/>
          <w:sz w:val="20"/>
        </w:rPr>
      </w:pPr>
      <w:r>
        <w:rPr>
          <w:rFonts w:eastAsia="Times New Roman"/>
          <w:b/>
          <w:bCs/>
          <w:noProof/>
          <w:sz w:val="20"/>
        </w:rPr>
        <w:t>23.tabula (</w:t>
      </w:r>
      <w:r w:rsidR="00857C47">
        <w:rPr>
          <w:rFonts w:eastAsia="Times New Roman"/>
          <w:b/>
          <w:bCs/>
          <w:noProof/>
          <w:sz w:val="20"/>
        </w:rPr>
        <w:t>18</w:t>
      </w:r>
      <w:r>
        <w:rPr>
          <w:rFonts w:eastAsia="Times New Roman"/>
          <w:b/>
          <w:bCs/>
          <w:noProof/>
          <w:sz w:val="20"/>
        </w:rPr>
        <w:t>)</w:t>
      </w:r>
      <w:r w:rsidR="00857C47" w:rsidRPr="00E20CF1">
        <w:rPr>
          <w:rFonts w:eastAsia="Times New Roman"/>
          <w:b/>
          <w:bCs/>
          <w:noProof/>
          <w:sz w:val="20"/>
        </w:rPr>
        <w:t xml:space="preserve"> </w:t>
      </w:r>
      <w:r w:rsidR="00857C47">
        <w:rPr>
          <w:rFonts w:eastAsia="Times New Roman"/>
          <w:b/>
          <w:bCs/>
          <w:noProof/>
          <w:sz w:val="20"/>
        </w:rPr>
        <w:t xml:space="preserve">TPF </w:t>
      </w:r>
      <w:r w:rsidR="00857C47" w:rsidRPr="00857C47">
        <w:rPr>
          <w:rFonts w:eastAsia="Times New Roman"/>
          <w:b/>
          <w:bCs/>
          <w:noProof/>
          <w:sz w:val="20"/>
        </w:rPr>
        <w:t xml:space="preserve">piešķiršana programmai saskaņā ar </w:t>
      </w:r>
      <w:r w:rsidR="00857C47">
        <w:rPr>
          <w:rFonts w:eastAsia="Times New Roman"/>
          <w:b/>
          <w:bCs/>
          <w:noProof/>
          <w:sz w:val="20"/>
        </w:rPr>
        <w:t>TPF</w:t>
      </w:r>
      <w:r w:rsidR="00857C47" w:rsidRPr="00857C47">
        <w:rPr>
          <w:rFonts w:eastAsia="Times New Roman"/>
          <w:b/>
          <w:bCs/>
          <w:noProof/>
          <w:sz w:val="20"/>
        </w:rPr>
        <w:t xml:space="preserve"> 3. pantu pirms pārskaitījumiem</w:t>
      </w:r>
    </w:p>
    <w:tbl>
      <w:tblPr>
        <w:tblStyle w:val="TableGrid"/>
        <w:tblW w:w="0" w:type="auto"/>
        <w:tblLook w:val="04A0" w:firstRow="1" w:lastRow="0" w:firstColumn="1" w:lastColumn="0" w:noHBand="0" w:noVBand="1"/>
      </w:tblPr>
      <w:tblGrid>
        <w:gridCol w:w="5382"/>
        <w:gridCol w:w="2835"/>
      </w:tblGrid>
      <w:tr w:rsidR="00200DD7" w:rsidRPr="00857C47" w14:paraId="7CBCE74D" w14:textId="77777777" w:rsidTr="00996509">
        <w:tc>
          <w:tcPr>
            <w:tcW w:w="5382" w:type="dxa"/>
          </w:tcPr>
          <w:p w14:paraId="7B22814D" w14:textId="21878DC8" w:rsidR="00200DD7" w:rsidRPr="00857C47" w:rsidRDefault="00200DD7" w:rsidP="00200DD7">
            <w:pPr>
              <w:spacing w:before="0" w:after="0"/>
              <w:rPr>
                <w:rFonts w:ascii="Times New Roman" w:eastAsia="Times New Roman" w:hAnsi="Times New Roman"/>
                <w:noProof/>
                <w:sz w:val="20"/>
              </w:rPr>
            </w:pPr>
            <w:r w:rsidRPr="00857C47">
              <w:rPr>
                <w:rFonts w:ascii="Times New Roman" w:eastAsia="Times New Roman" w:hAnsi="Times New Roman"/>
                <w:noProof/>
                <w:sz w:val="20"/>
              </w:rPr>
              <w:t>TPF 1.priroritāte</w:t>
            </w:r>
            <w:r w:rsidR="00203883">
              <w:rPr>
                <w:rFonts w:ascii="Times New Roman" w:eastAsia="Times New Roman" w:hAnsi="Times New Roman"/>
                <w:noProof/>
                <w:sz w:val="20"/>
              </w:rPr>
              <w:t xml:space="preserve"> (6.1.prioritāte)</w:t>
            </w:r>
          </w:p>
        </w:tc>
        <w:tc>
          <w:tcPr>
            <w:tcW w:w="2835" w:type="dxa"/>
          </w:tcPr>
          <w:p w14:paraId="75C7600E" w14:textId="168A6756" w:rsidR="00200DD7" w:rsidRPr="00200DD7" w:rsidRDefault="00203883" w:rsidP="00200DD7">
            <w:pPr>
              <w:spacing w:before="0" w:after="0"/>
              <w:jc w:val="right"/>
              <w:rPr>
                <w:rFonts w:ascii="Times New Roman" w:eastAsia="Times New Roman" w:hAnsi="Times New Roman"/>
                <w:noProof/>
                <w:sz w:val="20"/>
              </w:rPr>
            </w:pPr>
            <w:r w:rsidRPr="00200DD7">
              <w:rPr>
                <w:rFonts w:ascii="Times New Roman" w:eastAsia="Times New Roman" w:hAnsi="Times New Roman"/>
                <w:noProof/>
                <w:sz w:val="20"/>
              </w:rPr>
              <w:t>191 606 819</w:t>
            </w:r>
          </w:p>
        </w:tc>
      </w:tr>
      <w:tr w:rsidR="00857C47" w:rsidRPr="00857C47" w14:paraId="4F24C5F4" w14:textId="77777777" w:rsidTr="00996509">
        <w:tc>
          <w:tcPr>
            <w:tcW w:w="5382" w:type="dxa"/>
          </w:tcPr>
          <w:p w14:paraId="77F44B84" w14:textId="3811D311" w:rsidR="00857C47" w:rsidRPr="00857C47" w:rsidRDefault="00200DD7" w:rsidP="00200DD7">
            <w:pPr>
              <w:spacing w:before="0" w:after="0"/>
              <w:jc w:val="right"/>
              <w:rPr>
                <w:rFonts w:ascii="Times New Roman" w:eastAsia="Times New Roman" w:hAnsi="Times New Roman"/>
                <w:noProof/>
                <w:sz w:val="20"/>
              </w:rPr>
            </w:pPr>
            <w:r w:rsidRPr="00857C47">
              <w:rPr>
                <w:rFonts w:ascii="Times New Roman" w:eastAsia="Times New Roman" w:hAnsi="Times New Roman"/>
                <w:noProof/>
                <w:sz w:val="20"/>
              </w:rPr>
              <w:t>Kopā</w:t>
            </w:r>
          </w:p>
        </w:tc>
        <w:tc>
          <w:tcPr>
            <w:tcW w:w="2835" w:type="dxa"/>
          </w:tcPr>
          <w:p w14:paraId="7201EE6D" w14:textId="52495967" w:rsidR="00857C47" w:rsidRPr="00200DD7" w:rsidRDefault="00200DD7" w:rsidP="00200DD7">
            <w:pPr>
              <w:spacing w:before="0" w:after="0"/>
              <w:jc w:val="right"/>
              <w:rPr>
                <w:rFonts w:ascii="Times New Roman" w:eastAsia="Times New Roman" w:hAnsi="Times New Roman"/>
                <w:noProof/>
                <w:sz w:val="20"/>
              </w:rPr>
            </w:pPr>
            <w:r w:rsidRPr="00200DD7">
              <w:rPr>
                <w:rFonts w:ascii="Times New Roman" w:eastAsia="Times New Roman" w:hAnsi="Times New Roman"/>
                <w:noProof/>
                <w:sz w:val="20"/>
              </w:rPr>
              <w:t>191 606 819</w:t>
            </w:r>
          </w:p>
        </w:tc>
      </w:tr>
    </w:tbl>
    <w:p w14:paraId="186E616C" w14:textId="6C6A697A" w:rsidR="00857C47" w:rsidRDefault="00857C47" w:rsidP="00857C47">
      <w:pPr>
        <w:spacing w:before="0" w:after="0"/>
        <w:rPr>
          <w:rFonts w:eastAsia="Times New Roman"/>
          <w:b/>
          <w:bCs/>
          <w:noProof/>
          <w:sz w:val="20"/>
        </w:rPr>
      </w:pPr>
    </w:p>
    <w:p w14:paraId="14AC4487" w14:textId="50C67A1A" w:rsidR="00857C47" w:rsidRPr="00187D78" w:rsidRDefault="00857C47" w:rsidP="00BA7A6A">
      <w:pPr>
        <w:spacing w:before="0" w:after="0"/>
        <w:rPr>
          <w:rFonts w:eastAsia="Times New Roman"/>
          <w:b/>
          <w:bCs/>
          <w:noProof/>
          <w:color w:val="808080" w:themeColor="background1" w:themeShade="80"/>
          <w:sz w:val="20"/>
        </w:rPr>
      </w:pPr>
      <w:r w:rsidRPr="00187D78">
        <w:rPr>
          <w:rFonts w:eastAsia="Times New Roman"/>
          <w:b/>
          <w:bCs/>
          <w:noProof/>
          <w:color w:val="808080" w:themeColor="background1" w:themeShade="80"/>
          <w:sz w:val="20"/>
        </w:rPr>
        <w:t>3.B.2. tabula. Pārvedums uz TPF kā papildinošais atbalsts (ja attiecināms)</w:t>
      </w:r>
    </w:p>
    <w:tbl>
      <w:tblPr>
        <w:tblStyle w:val="TableGrid"/>
        <w:tblW w:w="0" w:type="auto"/>
        <w:tblLook w:val="04A0" w:firstRow="1" w:lastRow="0" w:firstColumn="1" w:lastColumn="0" w:noHBand="0" w:noVBand="1"/>
      </w:tblPr>
      <w:tblGrid>
        <w:gridCol w:w="1413"/>
        <w:gridCol w:w="6804"/>
      </w:tblGrid>
      <w:tr w:rsidR="00187D78" w:rsidRPr="00187D78" w14:paraId="2828A3DE" w14:textId="77777777" w:rsidTr="00203883">
        <w:tc>
          <w:tcPr>
            <w:tcW w:w="1413" w:type="dxa"/>
            <w:vMerge w:val="restart"/>
          </w:tcPr>
          <w:p w14:paraId="07202607" w14:textId="19D0E4BE" w:rsidR="00203883" w:rsidRPr="00187D78" w:rsidRDefault="00203883" w:rsidP="00BA7A6A">
            <w:pPr>
              <w:spacing w:before="0" w:after="0"/>
              <w:rPr>
                <w:rFonts w:ascii="Times New Roman" w:eastAsia="Times New Roman" w:hAnsi="Times New Roman"/>
                <w:noProof/>
                <w:color w:val="808080" w:themeColor="background1" w:themeShade="80"/>
                <w:sz w:val="20"/>
              </w:rPr>
            </w:pPr>
            <w:r w:rsidRPr="00187D78">
              <w:rPr>
                <w:rFonts w:ascii="Times New Roman" w:eastAsia="Times New Roman" w:hAnsi="Times New Roman"/>
                <w:noProof/>
                <w:color w:val="808080" w:themeColor="background1" w:themeShade="80"/>
                <w:sz w:val="20"/>
              </w:rPr>
              <w:t>Pārvedums uz TPF</w:t>
            </w:r>
          </w:p>
        </w:tc>
        <w:tc>
          <w:tcPr>
            <w:tcW w:w="6804" w:type="dxa"/>
          </w:tcPr>
          <w:p w14:paraId="775F901D" w14:textId="60A8D4B0" w:rsidR="00203883" w:rsidRPr="00187D78" w:rsidRDefault="00203883" w:rsidP="00BA7A6A">
            <w:pPr>
              <w:spacing w:before="0" w:after="0"/>
              <w:rPr>
                <w:rFonts w:ascii="Times New Roman" w:eastAsia="Times New Roman" w:hAnsi="Times New Roman"/>
                <w:noProof/>
                <w:color w:val="808080" w:themeColor="background1" w:themeShade="80"/>
                <w:sz w:val="20"/>
              </w:rPr>
            </w:pPr>
            <w:r w:rsidRPr="00187D78">
              <w:rPr>
                <w:rFonts w:ascii="Times New Roman" w:eastAsia="Times New Roman" w:hAnsi="Times New Roman"/>
                <w:noProof/>
                <w:color w:val="808080" w:themeColor="background1" w:themeShade="80"/>
                <w:sz w:val="20"/>
              </w:rPr>
              <w:t>□ attiecas uz iekšējiem pārvedumiem darbības programmas ietvaros TPF finansējuma ietvaros</w:t>
            </w:r>
          </w:p>
        </w:tc>
      </w:tr>
      <w:tr w:rsidR="00203883" w:rsidRPr="00187D78" w14:paraId="58BFA5E4" w14:textId="77777777" w:rsidTr="00203883">
        <w:tc>
          <w:tcPr>
            <w:tcW w:w="1413" w:type="dxa"/>
            <w:vMerge/>
          </w:tcPr>
          <w:p w14:paraId="3A2354E4" w14:textId="77777777" w:rsidR="00203883" w:rsidRPr="00187D78" w:rsidRDefault="00203883" w:rsidP="00BA7A6A">
            <w:pPr>
              <w:spacing w:before="0" w:after="0"/>
              <w:rPr>
                <w:rFonts w:ascii="Times New Roman" w:eastAsia="Times New Roman" w:hAnsi="Times New Roman"/>
                <w:noProof/>
                <w:color w:val="808080" w:themeColor="background1" w:themeShade="80"/>
                <w:sz w:val="20"/>
              </w:rPr>
            </w:pPr>
          </w:p>
        </w:tc>
        <w:tc>
          <w:tcPr>
            <w:tcW w:w="6804" w:type="dxa"/>
          </w:tcPr>
          <w:p w14:paraId="787C6F1D" w14:textId="27DF89B5" w:rsidR="00203883" w:rsidRPr="00187D78" w:rsidRDefault="00203883" w:rsidP="00BA7A6A">
            <w:pPr>
              <w:spacing w:before="0" w:after="0"/>
              <w:rPr>
                <w:rFonts w:ascii="Times New Roman" w:eastAsia="Times New Roman" w:hAnsi="Times New Roman"/>
                <w:noProof/>
                <w:color w:val="808080" w:themeColor="background1" w:themeShade="80"/>
                <w:sz w:val="20"/>
              </w:rPr>
            </w:pPr>
            <w:r w:rsidRPr="00187D78">
              <w:rPr>
                <w:rFonts w:ascii="Times New Roman" w:eastAsia="Times New Roman" w:hAnsi="Times New Roman"/>
                <w:noProof/>
                <w:color w:val="808080" w:themeColor="background1" w:themeShade="80"/>
                <w:sz w:val="20"/>
              </w:rPr>
              <w:t>□ attiecas uz pārvedumiem no citām darbības programmām uz darbības programmu ar TPF finansējumu</w:t>
            </w:r>
          </w:p>
        </w:tc>
      </w:tr>
    </w:tbl>
    <w:p w14:paraId="45A9FB63" w14:textId="76143862" w:rsidR="00857C47" w:rsidRPr="00187D78" w:rsidRDefault="00857C47" w:rsidP="00BA7A6A">
      <w:pPr>
        <w:spacing w:before="0" w:after="0"/>
        <w:rPr>
          <w:rFonts w:eastAsia="Times New Roman"/>
          <w:b/>
          <w:bCs/>
          <w:noProof/>
          <w:color w:val="808080" w:themeColor="background1" w:themeShade="80"/>
          <w:sz w:val="20"/>
        </w:rPr>
      </w:pPr>
    </w:p>
    <w:p w14:paraId="7A8BA095" w14:textId="5A351435" w:rsidR="00996509" w:rsidRPr="00187D78" w:rsidRDefault="00996509" w:rsidP="00996509">
      <w:pPr>
        <w:spacing w:before="0" w:after="0"/>
        <w:rPr>
          <w:rFonts w:eastAsia="Times New Roman"/>
          <w:b/>
          <w:bCs/>
          <w:noProof/>
          <w:color w:val="808080" w:themeColor="background1" w:themeShade="80"/>
          <w:sz w:val="20"/>
        </w:rPr>
      </w:pPr>
      <w:r w:rsidRPr="00187D78">
        <w:rPr>
          <w:rFonts w:eastAsia="Times New Roman"/>
          <w:b/>
          <w:bCs/>
          <w:noProof/>
          <w:color w:val="808080" w:themeColor="background1" w:themeShade="80"/>
          <w:sz w:val="20"/>
        </w:rPr>
        <w:t>18.A. tabula. Pārvedumi uz TPF programmas ietvaros (dalījumā pa gadiem)</w:t>
      </w:r>
    </w:p>
    <w:p w14:paraId="599C78E7" w14:textId="675CF026" w:rsidR="00996509" w:rsidRPr="00187D78" w:rsidRDefault="00996509" w:rsidP="00996509">
      <w:pPr>
        <w:spacing w:before="0" w:after="0"/>
        <w:rPr>
          <w:rFonts w:eastAsia="Times New Roman"/>
          <w:i/>
          <w:iCs/>
          <w:noProof/>
          <w:color w:val="808080" w:themeColor="background1" w:themeShade="80"/>
          <w:szCs w:val="24"/>
        </w:rPr>
      </w:pPr>
      <w:r w:rsidRPr="00187D78">
        <w:rPr>
          <w:rFonts w:eastAsia="Times New Roman"/>
          <w:i/>
          <w:iCs/>
          <w:noProof/>
          <w:color w:val="808080" w:themeColor="background1" w:themeShade="80"/>
          <w:szCs w:val="24"/>
        </w:rPr>
        <w:t>Pārvedumi uz TPF programmas ietvaros nav plānoti.</w:t>
      </w:r>
    </w:p>
    <w:p w14:paraId="2266D6AC" w14:textId="7E1FDEA1" w:rsidR="00857C47" w:rsidRPr="00187D78" w:rsidRDefault="00857C47" w:rsidP="00BA7A6A">
      <w:pPr>
        <w:spacing w:before="0" w:after="0"/>
        <w:rPr>
          <w:rFonts w:eastAsia="Times New Roman"/>
          <w:b/>
          <w:bCs/>
          <w:noProof/>
          <w:color w:val="808080" w:themeColor="background1" w:themeShade="80"/>
          <w:sz w:val="20"/>
        </w:rPr>
      </w:pPr>
    </w:p>
    <w:p w14:paraId="0F4BFE20" w14:textId="358677CB" w:rsidR="00BA7A6A" w:rsidRPr="00187D78" w:rsidRDefault="00857C47" w:rsidP="00BA7A6A">
      <w:pPr>
        <w:spacing w:before="0" w:after="0"/>
        <w:rPr>
          <w:rFonts w:eastAsia="Times New Roman"/>
          <w:b/>
          <w:bCs/>
          <w:noProof/>
          <w:color w:val="808080" w:themeColor="background1" w:themeShade="80"/>
          <w:sz w:val="20"/>
        </w:rPr>
      </w:pPr>
      <w:r w:rsidRPr="00187D78">
        <w:rPr>
          <w:rFonts w:eastAsia="Times New Roman"/>
          <w:b/>
          <w:bCs/>
          <w:noProof/>
          <w:color w:val="808080" w:themeColor="background1" w:themeShade="80"/>
          <w:sz w:val="20"/>
        </w:rPr>
        <w:t>18</w:t>
      </w:r>
      <w:r w:rsidR="00996509" w:rsidRPr="00187D78">
        <w:rPr>
          <w:rFonts w:eastAsia="Times New Roman"/>
          <w:b/>
          <w:bCs/>
          <w:noProof/>
          <w:color w:val="808080" w:themeColor="background1" w:themeShade="80"/>
          <w:sz w:val="20"/>
        </w:rPr>
        <w:t>.B</w:t>
      </w:r>
      <w:r w:rsidRPr="00187D78">
        <w:rPr>
          <w:rFonts w:eastAsia="Times New Roman"/>
          <w:b/>
          <w:bCs/>
          <w:noProof/>
          <w:color w:val="808080" w:themeColor="background1" w:themeShade="80"/>
          <w:sz w:val="20"/>
        </w:rPr>
        <w:t>.</w:t>
      </w:r>
      <w:r w:rsidR="00BA7A6A" w:rsidRPr="00187D78">
        <w:rPr>
          <w:rFonts w:eastAsia="Times New Roman"/>
          <w:b/>
          <w:bCs/>
          <w:noProof/>
          <w:color w:val="808080" w:themeColor="background1" w:themeShade="80"/>
          <w:sz w:val="20"/>
        </w:rPr>
        <w:t xml:space="preserve"> tabula. ERAF un ESF+ pārvedums</w:t>
      </w:r>
      <w:r w:rsidR="00996509" w:rsidRPr="00187D78">
        <w:rPr>
          <w:rFonts w:eastAsia="Times New Roman"/>
          <w:b/>
          <w:bCs/>
          <w:noProof/>
          <w:color w:val="808080" w:themeColor="background1" w:themeShade="80"/>
          <w:sz w:val="20"/>
        </w:rPr>
        <w:t xml:space="preserve"> uz</w:t>
      </w:r>
      <w:r w:rsidR="00BA7A6A" w:rsidRPr="00187D78">
        <w:rPr>
          <w:rFonts w:eastAsia="Times New Roman"/>
          <w:b/>
          <w:bCs/>
          <w:noProof/>
          <w:color w:val="808080" w:themeColor="background1" w:themeShade="80"/>
          <w:sz w:val="20"/>
        </w:rPr>
        <w:t xml:space="preserve"> TPF </w:t>
      </w:r>
      <w:r w:rsidR="00996509" w:rsidRPr="00187D78">
        <w:rPr>
          <w:rFonts w:eastAsia="Times New Roman"/>
          <w:b/>
          <w:bCs/>
          <w:noProof/>
          <w:color w:val="808080" w:themeColor="background1" w:themeShade="80"/>
          <w:sz w:val="20"/>
        </w:rPr>
        <w:t>programams ietvaros</w:t>
      </w:r>
    </w:p>
    <w:p w14:paraId="7160C360" w14:textId="77777777" w:rsidR="00BA7A6A" w:rsidRPr="00187D78" w:rsidRDefault="00BA7A6A" w:rsidP="00BA7A6A">
      <w:pPr>
        <w:spacing w:before="0" w:after="0"/>
        <w:rPr>
          <w:rFonts w:eastAsia="Times New Roman"/>
          <w:i/>
          <w:iCs/>
          <w:noProof/>
          <w:color w:val="808080" w:themeColor="background1" w:themeShade="80"/>
          <w:szCs w:val="24"/>
        </w:rPr>
      </w:pPr>
      <w:r w:rsidRPr="00187D78">
        <w:rPr>
          <w:rFonts w:eastAsia="Times New Roman"/>
          <w:i/>
          <w:iCs/>
          <w:noProof/>
          <w:color w:val="808080" w:themeColor="background1" w:themeShade="80"/>
          <w:szCs w:val="24"/>
        </w:rPr>
        <w:t>ERAF un ESF+ pārvedums TPF papildināšanai nav plānots.</w:t>
      </w:r>
    </w:p>
    <w:p w14:paraId="28342B18" w14:textId="77777777" w:rsidR="00BA7A6A" w:rsidRPr="00187D78" w:rsidRDefault="00BA7A6A" w:rsidP="00BA7A6A">
      <w:pPr>
        <w:spacing w:before="0" w:after="0"/>
        <w:rPr>
          <w:rFonts w:eastAsia="Times New Roman"/>
          <w:noProof/>
          <w:color w:val="808080" w:themeColor="background1" w:themeShade="80"/>
          <w:szCs w:val="24"/>
        </w:rPr>
      </w:pPr>
    </w:p>
    <w:p w14:paraId="7465FCE0" w14:textId="56DB2F2F" w:rsidR="00BA7A6A" w:rsidRPr="00187D78" w:rsidRDefault="00996509" w:rsidP="00BA7A6A">
      <w:pPr>
        <w:spacing w:before="0" w:after="0"/>
        <w:rPr>
          <w:rFonts w:eastAsia="Times New Roman"/>
          <w:b/>
          <w:bCs/>
          <w:noProof/>
          <w:color w:val="808080" w:themeColor="background1" w:themeShade="80"/>
          <w:sz w:val="20"/>
        </w:rPr>
      </w:pPr>
      <w:r w:rsidRPr="00187D78">
        <w:rPr>
          <w:rFonts w:eastAsia="Times New Roman"/>
          <w:b/>
          <w:bCs/>
          <w:noProof/>
          <w:color w:val="808080" w:themeColor="background1" w:themeShade="80"/>
          <w:sz w:val="20"/>
        </w:rPr>
        <w:t>18.C.</w:t>
      </w:r>
      <w:r w:rsidR="00BA7A6A" w:rsidRPr="00187D78">
        <w:rPr>
          <w:rFonts w:eastAsia="Times New Roman"/>
          <w:b/>
          <w:bCs/>
          <w:noProof/>
          <w:color w:val="808080" w:themeColor="background1" w:themeShade="80"/>
          <w:sz w:val="20"/>
        </w:rPr>
        <w:t xml:space="preserve"> tabula. </w:t>
      </w:r>
      <w:r w:rsidRPr="00187D78">
        <w:rPr>
          <w:rFonts w:eastAsia="Times New Roman"/>
          <w:b/>
          <w:bCs/>
          <w:noProof/>
          <w:color w:val="808080" w:themeColor="background1" w:themeShade="80"/>
          <w:sz w:val="20"/>
        </w:rPr>
        <w:t>Pārvedumi uz TPF no citām darības programmām (dalījumā pa gadiem</w:t>
      </w:r>
      <w:r w:rsidR="00BA7A6A" w:rsidRPr="00187D78">
        <w:rPr>
          <w:rFonts w:eastAsia="Times New Roman"/>
          <w:b/>
          <w:bCs/>
          <w:noProof/>
          <w:color w:val="808080" w:themeColor="background1" w:themeShade="80"/>
          <w:sz w:val="20"/>
        </w:rPr>
        <w:t>)</w:t>
      </w:r>
    </w:p>
    <w:p w14:paraId="07A31052" w14:textId="4CC61529" w:rsidR="00BA7A6A" w:rsidRPr="00187D78" w:rsidRDefault="00996509" w:rsidP="00BA7A6A">
      <w:pPr>
        <w:spacing w:before="0" w:after="0"/>
        <w:rPr>
          <w:rFonts w:eastAsia="Times New Roman"/>
          <w:i/>
          <w:iCs/>
          <w:noProof/>
          <w:color w:val="808080" w:themeColor="background1" w:themeShade="80"/>
          <w:szCs w:val="24"/>
        </w:rPr>
      </w:pPr>
      <w:r w:rsidRPr="00187D78">
        <w:rPr>
          <w:rFonts w:eastAsia="Times New Roman"/>
          <w:i/>
          <w:iCs/>
          <w:noProof/>
          <w:color w:val="808080" w:themeColor="background1" w:themeShade="80"/>
          <w:szCs w:val="24"/>
        </w:rPr>
        <w:t>Pārvedumi no citām darbības programmām nav plānoti</w:t>
      </w:r>
      <w:r w:rsidR="00BA7A6A" w:rsidRPr="00187D78">
        <w:rPr>
          <w:rFonts w:eastAsia="Times New Roman"/>
          <w:i/>
          <w:iCs/>
          <w:noProof/>
          <w:color w:val="808080" w:themeColor="background1" w:themeShade="80"/>
          <w:szCs w:val="24"/>
        </w:rPr>
        <w:t>.</w:t>
      </w:r>
    </w:p>
    <w:p w14:paraId="15B5BF7B" w14:textId="50293DBE" w:rsidR="00BA7A6A" w:rsidRPr="00187D78" w:rsidRDefault="00BA7A6A" w:rsidP="00BA7A6A">
      <w:pPr>
        <w:spacing w:before="0" w:after="0"/>
        <w:rPr>
          <w:rFonts w:eastAsia="Times New Roman"/>
          <w:noProof/>
          <w:color w:val="808080" w:themeColor="background1" w:themeShade="80"/>
          <w:szCs w:val="24"/>
        </w:rPr>
      </w:pPr>
    </w:p>
    <w:p w14:paraId="014CD09E" w14:textId="03F12A0F" w:rsidR="00996509" w:rsidRPr="00187D78" w:rsidRDefault="00996509" w:rsidP="00996509">
      <w:pPr>
        <w:spacing w:before="0" w:after="0"/>
        <w:rPr>
          <w:rFonts w:eastAsia="Times New Roman"/>
          <w:b/>
          <w:bCs/>
          <w:noProof/>
          <w:color w:val="808080" w:themeColor="background1" w:themeShade="80"/>
          <w:sz w:val="20"/>
        </w:rPr>
      </w:pPr>
      <w:r w:rsidRPr="00187D78">
        <w:rPr>
          <w:rFonts w:eastAsia="Times New Roman"/>
          <w:b/>
          <w:bCs/>
          <w:noProof/>
          <w:color w:val="808080" w:themeColor="background1" w:themeShade="80"/>
          <w:sz w:val="20"/>
        </w:rPr>
        <w:t>18.D. tabula. ERAF un ESF+ pārvedumi no citām darbības programmām uz TPF šajā darbības programmā</w:t>
      </w:r>
    </w:p>
    <w:p w14:paraId="7AEBF418" w14:textId="77777777" w:rsidR="00996509" w:rsidRPr="00187D78" w:rsidRDefault="00996509" w:rsidP="00996509">
      <w:pPr>
        <w:spacing w:before="0" w:after="0"/>
        <w:rPr>
          <w:rFonts w:eastAsia="Times New Roman"/>
          <w:i/>
          <w:iCs/>
          <w:noProof/>
          <w:color w:val="808080" w:themeColor="background1" w:themeShade="80"/>
          <w:szCs w:val="24"/>
        </w:rPr>
      </w:pPr>
      <w:r w:rsidRPr="00187D78">
        <w:rPr>
          <w:rFonts w:eastAsia="Times New Roman"/>
          <w:i/>
          <w:iCs/>
          <w:noProof/>
          <w:color w:val="808080" w:themeColor="background1" w:themeShade="80"/>
          <w:szCs w:val="24"/>
        </w:rPr>
        <w:t>Pārvedumi no citām darbības programmām nav plānoti.</w:t>
      </w:r>
    </w:p>
    <w:p w14:paraId="59328347" w14:textId="462B1CFF" w:rsidR="00996509" w:rsidRPr="00187D78" w:rsidRDefault="00996509" w:rsidP="00BA7A6A">
      <w:pPr>
        <w:spacing w:before="0" w:after="0"/>
        <w:rPr>
          <w:rFonts w:eastAsia="Times New Roman"/>
          <w:noProof/>
          <w:color w:val="808080" w:themeColor="background1" w:themeShade="80"/>
          <w:szCs w:val="24"/>
        </w:rPr>
      </w:pPr>
    </w:p>
    <w:p w14:paraId="7F043C79" w14:textId="41A4C8FE" w:rsidR="00205E1E" w:rsidRPr="00187D78" w:rsidRDefault="00205E1E" w:rsidP="00BA7A6A">
      <w:pPr>
        <w:spacing w:before="0" w:after="0"/>
        <w:rPr>
          <w:rFonts w:eastAsia="Times New Roman"/>
          <w:b/>
          <w:bCs/>
          <w:noProof/>
          <w:color w:val="808080" w:themeColor="background1" w:themeShade="80"/>
          <w:sz w:val="20"/>
        </w:rPr>
      </w:pPr>
      <w:r w:rsidRPr="00187D78">
        <w:rPr>
          <w:rFonts w:eastAsia="Times New Roman"/>
          <w:b/>
          <w:bCs/>
          <w:noProof/>
          <w:color w:val="808080" w:themeColor="background1" w:themeShade="80"/>
          <w:sz w:val="20"/>
        </w:rPr>
        <w:t>19.A. tabula. Pārvedumi starp reģionu kateogorijām vidusposma izvērtējuma rezultātā programmas ietvaros (dalījumā pa gadiem)</w:t>
      </w:r>
    </w:p>
    <w:p w14:paraId="60C18B66" w14:textId="77777777" w:rsidR="00205E1E" w:rsidRPr="00187D78" w:rsidRDefault="00205E1E" w:rsidP="00205E1E">
      <w:pPr>
        <w:spacing w:before="0" w:after="0"/>
        <w:rPr>
          <w:rFonts w:eastAsia="Times New Roman"/>
          <w:i/>
          <w:iCs/>
          <w:noProof/>
          <w:color w:val="808080" w:themeColor="background1" w:themeShade="80"/>
          <w:szCs w:val="24"/>
        </w:rPr>
      </w:pPr>
      <w:r w:rsidRPr="00187D78">
        <w:rPr>
          <w:rFonts w:eastAsia="Times New Roman"/>
          <w:i/>
          <w:iCs/>
          <w:noProof/>
          <w:color w:val="808080" w:themeColor="background1" w:themeShade="80"/>
          <w:szCs w:val="24"/>
        </w:rPr>
        <w:t>Nav attiecināmi pārvedumi starp reģina kategorijām, ņemot vērā, ka visa Latvijas teritorija ir noteikta kā mazāk attīstīts reģions.</w:t>
      </w:r>
    </w:p>
    <w:p w14:paraId="3A4BD3BB" w14:textId="5EF3705E" w:rsidR="00996509" w:rsidRPr="00187D78" w:rsidRDefault="00996509" w:rsidP="00BA7A6A">
      <w:pPr>
        <w:spacing w:before="0" w:after="0"/>
        <w:rPr>
          <w:rFonts w:eastAsia="Times New Roman"/>
          <w:noProof/>
          <w:color w:val="808080" w:themeColor="background1" w:themeShade="80"/>
          <w:szCs w:val="24"/>
        </w:rPr>
      </w:pPr>
    </w:p>
    <w:p w14:paraId="41149F9E" w14:textId="5D79C064" w:rsidR="00205E1E" w:rsidRPr="00187D78" w:rsidRDefault="00205E1E" w:rsidP="00205E1E">
      <w:pPr>
        <w:spacing w:before="0" w:after="0"/>
        <w:rPr>
          <w:rFonts w:eastAsia="Times New Roman"/>
          <w:b/>
          <w:bCs/>
          <w:noProof/>
          <w:color w:val="808080" w:themeColor="background1" w:themeShade="80"/>
          <w:sz w:val="20"/>
        </w:rPr>
      </w:pPr>
      <w:r w:rsidRPr="00187D78">
        <w:rPr>
          <w:rFonts w:eastAsia="Times New Roman"/>
          <w:b/>
          <w:bCs/>
          <w:noProof/>
          <w:color w:val="808080" w:themeColor="background1" w:themeShade="80"/>
          <w:sz w:val="20"/>
        </w:rPr>
        <w:t>19.B. tabula. Pārvedumi starp reģionu kateogorijām vidusposma izvērtējuma rezultātā uz citām darbības programmām (dalījumā pa gadiem)</w:t>
      </w:r>
    </w:p>
    <w:p w14:paraId="4F3C461E" w14:textId="77777777" w:rsidR="00205E1E" w:rsidRPr="00187D78" w:rsidRDefault="00205E1E" w:rsidP="00205E1E">
      <w:pPr>
        <w:spacing w:before="0" w:after="0"/>
        <w:rPr>
          <w:rFonts w:eastAsia="Times New Roman"/>
          <w:i/>
          <w:iCs/>
          <w:noProof/>
          <w:color w:val="808080" w:themeColor="background1" w:themeShade="80"/>
          <w:szCs w:val="24"/>
        </w:rPr>
      </w:pPr>
      <w:r w:rsidRPr="00187D78">
        <w:rPr>
          <w:rFonts w:eastAsia="Times New Roman"/>
          <w:i/>
          <w:iCs/>
          <w:noProof/>
          <w:color w:val="808080" w:themeColor="background1" w:themeShade="80"/>
          <w:szCs w:val="24"/>
        </w:rPr>
        <w:t>Nav attiecināmi pārvedumi starp reģina kategorijām, ņemot vērā, ka visa Latvijas teritorija ir noteikta kā mazāk attīstīts reģions.</w:t>
      </w:r>
    </w:p>
    <w:p w14:paraId="3C2ABF28" w14:textId="59461D30" w:rsidR="00205E1E" w:rsidRDefault="00205E1E" w:rsidP="00BA7A6A">
      <w:pPr>
        <w:spacing w:before="0" w:after="0"/>
        <w:rPr>
          <w:rFonts w:eastAsia="Times New Roman"/>
          <w:noProof/>
          <w:szCs w:val="24"/>
        </w:rPr>
      </w:pPr>
    </w:p>
    <w:p w14:paraId="71DAAF2C" w14:textId="13621A4A" w:rsidR="00205E1E" w:rsidRPr="00205E1E" w:rsidRDefault="00D67F06" w:rsidP="00BA7A6A">
      <w:pPr>
        <w:spacing w:before="0" w:after="0"/>
        <w:rPr>
          <w:rFonts w:eastAsia="Times New Roman"/>
          <w:b/>
          <w:bCs/>
          <w:noProof/>
          <w:sz w:val="20"/>
        </w:rPr>
      </w:pPr>
      <w:r>
        <w:rPr>
          <w:rFonts w:eastAsia="Times New Roman"/>
          <w:b/>
          <w:bCs/>
          <w:noProof/>
          <w:sz w:val="20"/>
        </w:rPr>
        <w:t>24.tabula (</w:t>
      </w:r>
      <w:r w:rsidR="00205E1E" w:rsidRPr="00205E1E">
        <w:rPr>
          <w:rFonts w:eastAsia="Times New Roman"/>
          <w:b/>
          <w:bCs/>
          <w:noProof/>
          <w:sz w:val="20"/>
        </w:rPr>
        <w:t>20.</w:t>
      </w:r>
      <w:r w:rsidR="00205E1E">
        <w:rPr>
          <w:rFonts w:eastAsia="Times New Roman"/>
          <w:b/>
          <w:bCs/>
          <w:noProof/>
          <w:sz w:val="20"/>
        </w:rPr>
        <w:t>A</w:t>
      </w:r>
      <w:r>
        <w:rPr>
          <w:rFonts w:eastAsia="Times New Roman"/>
          <w:b/>
          <w:bCs/>
          <w:noProof/>
          <w:sz w:val="20"/>
        </w:rPr>
        <w:t>)</w:t>
      </w:r>
      <w:r w:rsidR="00205E1E" w:rsidRPr="00205E1E">
        <w:rPr>
          <w:rFonts w:eastAsia="Times New Roman"/>
          <w:b/>
          <w:bCs/>
          <w:noProof/>
          <w:sz w:val="20"/>
        </w:rPr>
        <w:t xml:space="preserve"> Pārvedumi atpakaļ (dalījumā pa gadiem)</w:t>
      </w:r>
    </w:p>
    <w:p w14:paraId="382E05B9" w14:textId="6FF47E8B" w:rsidR="00F0339F" w:rsidRPr="00BA0713" w:rsidRDefault="00BA0713" w:rsidP="00F0339F">
      <w:pPr>
        <w:spacing w:before="0" w:after="0"/>
        <w:rPr>
          <w:rFonts w:eastAsia="Times New Roman"/>
          <w:i/>
          <w:iCs/>
          <w:noProof/>
          <w:color w:val="FF0000"/>
          <w:sz w:val="20"/>
        </w:rPr>
      </w:pPr>
      <w:r w:rsidRPr="00BA0713">
        <w:rPr>
          <w:rFonts w:eastAsia="Times New Roman"/>
          <w:i/>
          <w:iCs/>
          <w:noProof/>
          <w:color w:val="FF0000"/>
          <w:sz w:val="20"/>
        </w:rPr>
        <w:t>[</w:t>
      </w:r>
      <w:r w:rsidR="00F0339F" w:rsidRPr="00BA0713">
        <w:rPr>
          <w:rFonts w:eastAsia="Times New Roman"/>
          <w:i/>
          <w:iCs/>
          <w:noProof/>
          <w:color w:val="FF0000"/>
          <w:sz w:val="20"/>
        </w:rPr>
        <w:t>Tiks papildināts ar informāciju par plānotajiem pārvedumiem.</w:t>
      </w:r>
      <w:r w:rsidRPr="00BA0713">
        <w:rPr>
          <w:rFonts w:eastAsia="Times New Roman"/>
          <w:i/>
          <w:iCs/>
          <w:noProof/>
          <w:color w:val="FF0000"/>
          <w:sz w:val="20"/>
        </w:rPr>
        <w:t>]</w:t>
      </w:r>
    </w:p>
    <w:tbl>
      <w:tblPr>
        <w:tblStyle w:val="TableGrid"/>
        <w:tblpPr w:leftFromText="180" w:rightFromText="180" w:vertAnchor="text" w:horzAnchor="margin" w:tblpY="21"/>
        <w:tblW w:w="0" w:type="auto"/>
        <w:tblLook w:val="04A0" w:firstRow="1" w:lastRow="0" w:firstColumn="1" w:lastColumn="0" w:noHBand="0" w:noVBand="1"/>
      </w:tblPr>
      <w:tblGrid>
        <w:gridCol w:w="2122"/>
        <w:gridCol w:w="1262"/>
        <w:gridCol w:w="864"/>
        <w:gridCol w:w="850"/>
        <w:gridCol w:w="993"/>
        <w:gridCol w:w="992"/>
        <w:gridCol w:w="992"/>
        <w:gridCol w:w="992"/>
        <w:gridCol w:w="1134"/>
        <w:gridCol w:w="1134"/>
        <w:gridCol w:w="1276"/>
      </w:tblGrid>
      <w:tr w:rsidR="00F0339F" w:rsidRPr="00F0339F" w14:paraId="4C53104D" w14:textId="77777777" w:rsidTr="00F0339F">
        <w:tc>
          <w:tcPr>
            <w:tcW w:w="2122" w:type="dxa"/>
            <w:shd w:val="clear" w:color="auto" w:fill="D9D9D9" w:themeFill="background1" w:themeFillShade="D9"/>
          </w:tcPr>
          <w:p w14:paraId="1E2DA748" w14:textId="6C54E3E7" w:rsidR="00F0339F" w:rsidRPr="00F0339F" w:rsidRDefault="00F0339F" w:rsidP="00F0339F">
            <w:pPr>
              <w:spacing w:before="0" w:after="0"/>
              <w:rPr>
                <w:rFonts w:ascii="Times New Roman" w:hAnsi="Times New Roman"/>
                <w:b/>
                <w:sz w:val="16"/>
                <w:szCs w:val="16"/>
              </w:rPr>
            </w:pPr>
            <w:r>
              <w:rPr>
                <w:rFonts w:ascii="Times New Roman" w:hAnsi="Times New Roman"/>
                <w:b/>
                <w:sz w:val="16"/>
                <w:szCs w:val="16"/>
              </w:rPr>
              <w:t>Pārvedums no</w:t>
            </w:r>
          </w:p>
        </w:tc>
        <w:tc>
          <w:tcPr>
            <w:tcW w:w="2126" w:type="dxa"/>
            <w:gridSpan w:val="2"/>
            <w:shd w:val="clear" w:color="auto" w:fill="D9D9D9" w:themeFill="background1" w:themeFillShade="D9"/>
          </w:tcPr>
          <w:p w14:paraId="58774541" w14:textId="40A8171B" w:rsidR="00F0339F" w:rsidRPr="00F0339F" w:rsidRDefault="00F0339F" w:rsidP="00F0339F">
            <w:pPr>
              <w:spacing w:before="0" w:after="0"/>
              <w:rPr>
                <w:rFonts w:ascii="Times New Roman" w:hAnsi="Times New Roman"/>
                <w:b/>
                <w:sz w:val="16"/>
                <w:szCs w:val="16"/>
              </w:rPr>
            </w:pPr>
            <w:r>
              <w:rPr>
                <w:rFonts w:ascii="Times New Roman" w:hAnsi="Times New Roman"/>
                <w:b/>
                <w:sz w:val="16"/>
                <w:szCs w:val="16"/>
              </w:rPr>
              <w:t>Pārvedums uz</w:t>
            </w:r>
          </w:p>
        </w:tc>
        <w:tc>
          <w:tcPr>
            <w:tcW w:w="8363" w:type="dxa"/>
            <w:gridSpan w:val="8"/>
            <w:shd w:val="clear" w:color="auto" w:fill="D9D9D9" w:themeFill="background1" w:themeFillShade="D9"/>
          </w:tcPr>
          <w:p w14:paraId="72A8AF1E" w14:textId="19606590" w:rsidR="00F0339F" w:rsidRPr="00F0339F" w:rsidRDefault="00F0339F" w:rsidP="00F0339F">
            <w:pPr>
              <w:spacing w:before="0" w:after="0"/>
              <w:jc w:val="center"/>
              <w:rPr>
                <w:rFonts w:ascii="Times New Roman" w:hAnsi="Times New Roman"/>
                <w:b/>
                <w:sz w:val="16"/>
                <w:szCs w:val="16"/>
              </w:rPr>
            </w:pPr>
            <w:r>
              <w:rPr>
                <w:rFonts w:ascii="Times New Roman" w:hAnsi="Times New Roman"/>
                <w:b/>
                <w:sz w:val="16"/>
                <w:szCs w:val="16"/>
              </w:rPr>
              <w:t>Sadalījums pa gadiem</w:t>
            </w:r>
          </w:p>
        </w:tc>
      </w:tr>
      <w:tr w:rsidR="00F0339F" w:rsidRPr="00F0339F" w14:paraId="1C420368" w14:textId="77777777" w:rsidTr="00F0339F">
        <w:tc>
          <w:tcPr>
            <w:tcW w:w="2122" w:type="dxa"/>
            <w:shd w:val="clear" w:color="auto" w:fill="D9D9D9" w:themeFill="background1" w:themeFillShade="D9"/>
          </w:tcPr>
          <w:p w14:paraId="29A5444C" w14:textId="1EAE038A" w:rsidR="00F0339F" w:rsidRPr="00F0339F" w:rsidRDefault="00F0339F" w:rsidP="00F0339F">
            <w:pPr>
              <w:spacing w:before="0" w:after="0"/>
              <w:rPr>
                <w:rFonts w:ascii="Times New Roman" w:hAnsi="Times New Roman"/>
                <w:sz w:val="16"/>
                <w:szCs w:val="16"/>
              </w:rPr>
            </w:pPr>
            <w:r>
              <w:rPr>
                <w:rFonts w:ascii="Times New Roman" w:hAnsi="Times New Roman"/>
                <w:sz w:val="16"/>
                <w:szCs w:val="16"/>
              </w:rPr>
              <w:t>InvestEU vai cits ES instruments</w:t>
            </w:r>
          </w:p>
        </w:tc>
        <w:tc>
          <w:tcPr>
            <w:tcW w:w="1262" w:type="dxa"/>
            <w:shd w:val="clear" w:color="auto" w:fill="D9D9D9" w:themeFill="background1" w:themeFillShade="D9"/>
          </w:tcPr>
          <w:p w14:paraId="4439E7C8" w14:textId="4931B51A" w:rsidR="00F0339F" w:rsidRPr="00F0339F" w:rsidRDefault="00F0339F" w:rsidP="00F0339F">
            <w:pPr>
              <w:spacing w:before="0" w:after="0"/>
              <w:rPr>
                <w:rFonts w:ascii="Times New Roman" w:hAnsi="Times New Roman"/>
                <w:sz w:val="16"/>
                <w:szCs w:val="16"/>
              </w:rPr>
            </w:pPr>
            <w:r w:rsidRPr="00F0339F">
              <w:rPr>
                <w:rFonts w:ascii="Times New Roman" w:hAnsi="Times New Roman"/>
                <w:sz w:val="16"/>
                <w:szCs w:val="16"/>
              </w:rPr>
              <w:t>F</w:t>
            </w:r>
            <w:r>
              <w:rPr>
                <w:rFonts w:ascii="Times New Roman" w:hAnsi="Times New Roman"/>
                <w:sz w:val="16"/>
                <w:szCs w:val="16"/>
              </w:rPr>
              <w:t>o</w:t>
            </w:r>
            <w:r w:rsidRPr="00F0339F">
              <w:rPr>
                <w:rFonts w:ascii="Times New Roman" w:hAnsi="Times New Roman"/>
                <w:sz w:val="16"/>
                <w:szCs w:val="16"/>
              </w:rPr>
              <w:t>nd</w:t>
            </w:r>
            <w:r>
              <w:rPr>
                <w:rFonts w:ascii="Times New Roman" w:hAnsi="Times New Roman"/>
                <w:sz w:val="16"/>
                <w:szCs w:val="16"/>
              </w:rPr>
              <w:t>s</w:t>
            </w:r>
          </w:p>
        </w:tc>
        <w:tc>
          <w:tcPr>
            <w:tcW w:w="864" w:type="dxa"/>
            <w:shd w:val="clear" w:color="auto" w:fill="D9D9D9" w:themeFill="background1" w:themeFillShade="D9"/>
          </w:tcPr>
          <w:p w14:paraId="7C7DCB21" w14:textId="72B1AD2D" w:rsidR="00F0339F" w:rsidRPr="00F0339F" w:rsidRDefault="00F0339F" w:rsidP="00F0339F">
            <w:pPr>
              <w:spacing w:before="0" w:after="0"/>
              <w:rPr>
                <w:rFonts w:ascii="Times New Roman" w:hAnsi="Times New Roman"/>
                <w:sz w:val="16"/>
                <w:szCs w:val="16"/>
              </w:rPr>
            </w:pPr>
            <w:r>
              <w:rPr>
                <w:rFonts w:ascii="Times New Roman" w:hAnsi="Times New Roman"/>
                <w:sz w:val="16"/>
                <w:szCs w:val="16"/>
              </w:rPr>
              <w:t>Reģionu kategorija</w:t>
            </w:r>
          </w:p>
        </w:tc>
        <w:tc>
          <w:tcPr>
            <w:tcW w:w="850" w:type="dxa"/>
            <w:shd w:val="clear" w:color="auto" w:fill="D9D9D9" w:themeFill="background1" w:themeFillShade="D9"/>
          </w:tcPr>
          <w:p w14:paraId="00E6AB47" w14:textId="77777777" w:rsidR="00F0339F" w:rsidRPr="00F0339F" w:rsidRDefault="00F0339F" w:rsidP="00F0339F">
            <w:pPr>
              <w:spacing w:before="0" w:after="0"/>
              <w:rPr>
                <w:rFonts w:ascii="Times New Roman" w:hAnsi="Times New Roman"/>
                <w:sz w:val="16"/>
                <w:szCs w:val="16"/>
              </w:rPr>
            </w:pPr>
            <w:r w:rsidRPr="00F0339F">
              <w:rPr>
                <w:rFonts w:ascii="Times New Roman" w:hAnsi="Times New Roman"/>
                <w:b/>
                <w:sz w:val="16"/>
                <w:szCs w:val="16"/>
              </w:rPr>
              <w:t>2021</w:t>
            </w:r>
          </w:p>
        </w:tc>
        <w:tc>
          <w:tcPr>
            <w:tcW w:w="993" w:type="dxa"/>
            <w:shd w:val="clear" w:color="auto" w:fill="D9D9D9" w:themeFill="background1" w:themeFillShade="D9"/>
          </w:tcPr>
          <w:p w14:paraId="2C4560B1" w14:textId="77777777" w:rsidR="00F0339F" w:rsidRPr="00F0339F" w:rsidRDefault="00F0339F" w:rsidP="00F0339F">
            <w:pPr>
              <w:spacing w:before="0" w:after="0"/>
              <w:rPr>
                <w:rFonts w:ascii="Times New Roman" w:hAnsi="Times New Roman"/>
                <w:color w:val="FF0000"/>
                <w:sz w:val="16"/>
                <w:szCs w:val="16"/>
              </w:rPr>
            </w:pPr>
            <w:r w:rsidRPr="00F0339F">
              <w:rPr>
                <w:rFonts w:ascii="Times New Roman" w:hAnsi="Times New Roman"/>
                <w:b/>
                <w:sz w:val="16"/>
                <w:szCs w:val="16"/>
              </w:rPr>
              <w:t>2022</w:t>
            </w:r>
          </w:p>
        </w:tc>
        <w:tc>
          <w:tcPr>
            <w:tcW w:w="992" w:type="dxa"/>
            <w:shd w:val="clear" w:color="auto" w:fill="D9D9D9" w:themeFill="background1" w:themeFillShade="D9"/>
          </w:tcPr>
          <w:p w14:paraId="7C9B2BFB" w14:textId="77777777" w:rsidR="00F0339F" w:rsidRPr="00F0339F" w:rsidRDefault="00F0339F" w:rsidP="00F0339F">
            <w:pPr>
              <w:spacing w:before="0" w:after="0"/>
              <w:rPr>
                <w:rFonts w:ascii="Times New Roman" w:hAnsi="Times New Roman"/>
                <w:sz w:val="16"/>
                <w:szCs w:val="16"/>
              </w:rPr>
            </w:pPr>
            <w:r w:rsidRPr="00F0339F">
              <w:rPr>
                <w:rFonts w:ascii="Times New Roman" w:hAnsi="Times New Roman"/>
                <w:b/>
                <w:sz w:val="16"/>
                <w:szCs w:val="16"/>
              </w:rPr>
              <w:t>2023</w:t>
            </w:r>
          </w:p>
        </w:tc>
        <w:tc>
          <w:tcPr>
            <w:tcW w:w="992" w:type="dxa"/>
            <w:shd w:val="clear" w:color="auto" w:fill="D9D9D9" w:themeFill="background1" w:themeFillShade="D9"/>
          </w:tcPr>
          <w:p w14:paraId="67F3450A" w14:textId="77777777" w:rsidR="00F0339F" w:rsidRPr="00F0339F" w:rsidRDefault="00F0339F" w:rsidP="00F0339F">
            <w:pPr>
              <w:spacing w:before="0" w:after="0"/>
              <w:rPr>
                <w:rFonts w:ascii="Times New Roman" w:hAnsi="Times New Roman"/>
                <w:sz w:val="16"/>
                <w:szCs w:val="16"/>
              </w:rPr>
            </w:pPr>
            <w:r w:rsidRPr="00F0339F">
              <w:rPr>
                <w:rFonts w:ascii="Times New Roman" w:hAnsi="Times New Roman"/>
                <w:b/>
                <w:sz w:val="16"/>
                <w:szCs w:val="16"/>
              </w:rPr>
              <w:t>2024</w:t>
            </w:r>
          </w:p>
        </w:tc>
        <w:tc>
          <w:tcPr>
            <w:tcW w:w="992" w:type="dxa"/>
            <w:shd w:val="clear" w:color="auto" w:fill="D9D9D9" w:themeFill="background1" w:themeFillShade="D9"/>
          </w:tcPr>
          <w:p w14:paraId="7AAC74CF" w14:textId="77777777" w:rsidR="00F0339F" w:rsidRPr="00F0339F" w:rsidRDefault="00F0339F" w:rsidP="00F0339F">
            <w:pPr>
              <w:spacing w:before="0" w:after="0"/>
              <w:rPr>
                <w:rFonts w:ascii="Times New Roman" w:hAnsi="Times New Roman"/>
                <w:sz w:val="16"/>
                <w:szCs w:val="16"/>
              </w:rPr>
            </w:pPr>
            <w:r w:rsidRPr="00F0339F">
              <w:rPr>
                <w:rFonts w:ascii="Times New Roman" w:hAnsi="Times New Roman"/>
                <w:b/>
                <w:sz w:val="16"/>
                <w:szCs w:val="16"/>
              </w:rPr>
              <w:t>2025</w:t>
            </w:r>
          </w:p>
        </w:tc>
        <w:tc>
          <w:tcPr>
            <w:tcW w:w="1134" w:type="dxa"/>
            <w:shd w:val="clear" w:color="auto" w:fill="D9D9D9" w:themeFill="background1" w:themeFillShade="D9"/>
          </w:tcPr>
          <w:p w14:paraId="450A23C8" w14:textId="77777777" w:rsidR="00F0339F" w:rsidRPr="00F0339F" w:rsidRDefault="00F0339F" w:rsidP="00F0339F">
            <w:pPr>
              <w:spacing w:before="0" w:after="0"/>
              <w:rPr>
                <w:rFonts w:ascii="Times New Roman" w:hAnsi="Times New Roman"/>
                <w:sz w:val="16"/>
                <w:szCs w:val="16"/>
              </w:rPr>
            </w:pPr>
            <w:r w:rsidRPr="00F0339F">
              <w:rPr>
                <w:rFonts w:ascii="Times New Roman" w:hAnsi="Times New Roman"/>
                <w:b/>
                <w:sz w:val="16"/>
                <w:szCs w:val="16"/>
              </w:rPr>
              <w:t>2026</w:t>
            </w:r>
          </w:p>
        </w:tc>
        <w:tc>
          <w:tcPr>
            <w:tcW w:w="1134" w:type="dxa"/>
            <w:shd w:val="clear" w:color="auto" w:fill="D9D9D9" w:themeFill="background1" w:themeFillShade="D9"/>
          </w:tcPr>
          <w:p w14:paraId="310B8FCA" w14:textId="77777777" w:rsidR="00F0339F" w:rsidRPr="00F0339F" w:rsidRDefault="00F0339F" w:rsidP="00F0339F">
            <w:pPr>
              <w:spacing w:before="0" w:after="0"/>
              <w:rPr>
                <w:rFonts w:ascii="Times New Roman" w:hAnsi="Times New Roman"/>
                <w:sz w:val="16"/>
                <w:szCs w:val="16"/>
              </w:rPr>
            </w:pPr>
            <w:r w:rsidRPr="00F0339F">
              <w:rPr>
                <w:rFonts w:ascii="Times New Roman" w:hAnsi="Times New Roman"/>
                <w:b/>
                <w:sz w:val="16"/>
                <w:szCs w:val="16"/>
              </w:rPr>
              <w:t>2027</w:t>
            </w:r>
          </w:p>
        </w:tc>
        <w:tc>
          <w:tcPr>
            <w:tcW w:w="1276" w:type="dxa"/>
            <w:shd w:val="clear" w:color="auto" w:fill="D9D9D9" w:themeFill="background1" w:themeFillShade="D9"/>
          </w:tcPr>
          <w:p w14:paraId="239813F2" w14:textId="331D941F" w:rsidR="00F0339F" w:rsidRPr="00F0339F" w:rsidRDefault="00F0339F" w:rsidP="00F0339F">
            <w:pPr>
              <w:spacing w:before="0" w:after="0"/>
              <w:rPr>
                <w:rFonts w:ascii="Times New Roman" w:hAnsi="Times New Roman"/>
                <w:sz w:val="16"/>
                <w:szCs w:val="16"/>
              </w:rPr>
            </w:pPr>
            <w:r>
              <w:rPr>
                <w:rFonts w:ascii="Times New Roman" w:hAnsi="Times New Roman"/>
                <w:b/>
                <w:sz w:val="16"/>
                <w:szCs w:val="16"/>
              </w:rPr>
              <w:t>Kopā</w:t>
            </w:r>
          </w:p>
        </w:tc>
      </w:tr>
      <w:tr w:rsidR="00F0339F" w:rsidRPr="00F0339F" w14:paraId="5705D10F" w14:textId="77777777" w:rsidTr="00F0339F">
        <w:tc>
          <w:tcPr>
            <w:tcW w:w="2122" w:type="dxa"/>
            <w:vMerge w:val="restart"/>
          </w:tcPr>
          <w:p w14:paraId="2B89741D" w14:textId="77777777" w:rsidR="00F0339F" w:rsidRPr="00F0339F" w:rsidRDefault="00F0339F" w:rsidP="00F0339F">
            <w:pPr>
              <w:spacing w:before="0" w:after="0"/>
              <w:rPr>
                <w:rFonts w:ascii="Times New Roman" w:hAnsi="Times New Roman"/>
                <w:sz w:val="16"/>
                <w:szCs w:val="16"/>
              </w:rPr>
            </w:pPr>
            <w:r w:rsidRPr="00F0339F">
              <w:rPr>
                <w:rFonts w:ascii="Times New Roman" w:hAnsi="Times New Roman"/>
                <w:sz w:val="16"/>
                <w:szCs w:val="16"/>
              </w:rPr>
              <w:t xml:space="preserve">InvestEU </w:t>
            </w:r>
          </w:p>
          <w:p w14:paraId="53385360" w14:textId="77777777" w:rsidR="00F0339F" w:rsidRPr="00F0339F" w:rsidRDefault="00F0339F" w:rsidP="00F0339F">
            <w:pPr>
              <w:spacing w:before="0" w:after="0"/>
              <w:jc w:val="right"/>
              <w:rPr>
                <w:rFonts w:ascii="Times New Roman" w:hAnsi="Times New Roman"/>
                <w:sz w:val="16"/>
                <w:szCs w:val="16"/>
              </w:rPr>
            </w:pPr>
            <w:r w:rsidRPr="00F0339F">
              <w:rPr>
                <w:rFonts w:ascii="Times New Roman" w:hAnsi="Times New Roman"/>
                <w:sz w:val="16"/>
                <w:szCs w:val="16"/>
              </w:rPr>
              <w:t>window 1</w:t>
            </w:r>
          </w:p>
          <w:p w14:paraId="32E377B9" w14:textId="77777777" w:rsidR="00F0339F" w:rsidRPr="00F0339F" w:rsidRDefault="00F0339F" w:rsidP="00F0339F">
            <w:pPr>
              <w:spacing w:before="0" w:after="0"/>
              <w:jc w:val="right"/>
              <w:rPr>
                <w:rFonts w:ascii="Times New Roman" w:hAnsi="Times New Roman"/>
                <w:sz w:val="16"/>
                <w:szCs w:val="16"/>
              </w:rPr>
            </w:pPr>
            <w:r w:rsidRPr="00F0339F">
              <w:rPr>
                <w:rFonts w:ascii="Times New Roman" w:hAnsi="Times New Roman"/>
                <w:sz w:val="16"/>
                <w:szCs w:val="16"/>
              </w:rPr>
              <w:t>window 2</w:t>
            </w:r>
          </w:p>
          <w:p w14:paraId="3A4AB868" w14:textId="77777777" w:rsidR="00F0339F" w:rsidRDefault="00F0339F" w:rsidP="00F0339F">
            <w:pPr>
              <w:spacing w:before="0" w:after="0"/>
              <w:rPr>
                <w:rFonts w:ascii="Times New Roman" w:hAnsi="Times New Roman"/>
                <w:sz w:val="16"/>
                <w:szCs w:val="16"/>
                <w:lang w:val="fr-BE"/>
              </w:rPr>
            </w:pPr>
          </w:p>
          <w:p w14:paraId="2EF1CC50" w14:textId="63512023" w:rsidR="00F0339F" w:rsidRPr="00F0339F" w:rsidRDefault="00F0339F" w:rsidP="00F0339F">
            <w:pPr>
              <w:spacing w:before="0" w:after="0"/>
              <w:rPr>
                <w:rFonts w:ascii="Times New Roman" w:hAnsi="Times New Roman"/>
                <w:sz w:val="16"/>
                <w:szCs w:val="16"/>
                <w:lang w:val="fr-BE"/>
              </w:rPr>
            </w:pPr>
            <w:r w:rsidRPr="00F0339F">
              <w:rPr>
                <w:rFonts w:ascii="Times New Roman" w:hAnsi="Times New Roman"/>
                <w:sz w:val="16"/>
                <w:szCs w:val="16"/>
                <w:lang w:val="fr-BE"/>
              </w:rPr>
              <w:t>E</w:t>
            </w:r>
            <w:r>
              <w:rPr>
                <w:rFonts w:ascii="Times New Roman" w:hAnsi="Times New Roman"/>
                <w:sz w:val="16"/>
                <w:szCs w:val="16"/>
                <w:lang w:val="fr-BE"/>
              </w:rPr>
              <w:t>S</w:t>
            </w:r>
            <w:r w:rsidRPr="00F0339F">
              <w:rPr>
                <w:rFonts w:ascii="Times New Roman" w:hAnsi="Times New Roman"/>
                <w:sz w:val="16"/>
                <w:szCs w:val="16"/>
                <w:lang w:val="fr-BE"/>
              </w:rPr>
              <w:t xml:space="preserve"> instrument</w:t>
            </w:r>
            <w:r>
              <w:rPr>
                <w:rFonts w:ascii="Times New Roman" w:hAnsi="Times New Roman"/>
                <w:sz w:val="16"/>
                <w:szCs w:val="16"/>
                <w:lang w:val="fr-BE"/>
              </w:rPr>
              <w:t>s</w:t>
            </w:r>
            <w:r w:rsidRPr="00F0339F">
              <w:rPr>
                <w:rFonts w:ascii="Times New Roman" w:hAnsi="Times New Roman"/>
                <w:sz w:val="16"/>
                <w:szCs w:val="16"/>
                <w:lang w:val="fr-BE"/>
              </w:rPr>
              <w:t xml:space="preserve"> 1</w:t>
            </w:r>
          </w:p>
          <w:p w14:paraId="0D37F7A0" w14:textId="641250B7" w:rsidR="00F0339F" w:rsidRPr="00F0339F" w:rsidRDefault="00F0339F" w:rsidP="00F0339F">
            <w:pPr>
              <w:spacing w:before="0" w:after="0"/>
              <w:rPr>
                <w:rFonts w:ascii="Times New Roman" w:hAnsi="Times New Roman"/>
                <w:sz w:val="16"/>
                <w:szCs w:val="16"/>
                <w:lang w:val="fr-BE"/>
              </w:rPr>
            </w:pPr>
            <w:r w:rsidRPr="00F0339F">
              <w:rPr>
                <w:rFonts w:ascii="Times New Roman" w:hAnsi="Times New Roman"/>
                <w:sz w:val="16"/>
                <w:szCs w:val="16"/>
                <w:lang w:val="fr-BE"/>
              </w:rPr>
              <w:t>E</w:t>
            </w:r>
            <w:r>
              <w:rPr>
                <w:rFonts w:ascii="Times New Roman" w:hAnsi="Times New Roman"/>
                <w:sz w:val="16"/>
                <w:szCs w:val="16"/>
                <w:lang w:val="fr-BE"/>
              </w:rPr>
              <w:t>S</w:t>
            </w:r>
            <w:r w:rsidRPr="00F0339F">
              <w:rPr>
                <w:rFonts w:ascii="Times New Roman" w:hAnsi="Times New Roman"/>
                <w:sz w:val="16"/>
                <w:szCs w:val="16"/>
                <w:lang w:val="fr-BE"/>
              </w:rPr>
              <w:t xml:space="preserve"> instrument</w:t>
            </w:r>
            <w:r>
              <w:rPr>
                <w:rFonts w:ascii="Times New Roman" w:hAnsi="Times New Roman"/>
                <w:sz w:val="16"/>
                <w:szCs w:val="16"/>
                <w:lang w:val="fr-BE"/>
              </w:rPr>
              <w:t>s</w:t>
            </w:r>
            <w:r w:rsidRPr="00F0339F">
              <w:rPr>
                <w:rFonts w:ascii="Times New Roman" w:hAnsi="Times New Roman"/>
                <w:sz w:val="16"/>
                <w:szCs w:val="16"/>
                <w:lang w:val="fr-BE"/>
              </w:rPr>
              <w:t xml:space="preserve"> 2</w:t>
            </w:r>
          </w:p>
          <w:p w14:paraId="65C3DE5B" w14:textId="3BC5D104" w:rsidR="00F0339F" w:rsidRPr="00F0339F" w:rsidRDefault="00F0339F" w:rsidP="00F0339F">
            <w:pPr>
              <w:spacing w:before="0" w:after="0"/>
              <w:rPr>
                <w:rFonts w:ascii="Times New Roman" w:hAnsi="Times New Roman"/>
                <w:sz w:val="16"/>
                <w:szCs w:val="16"/>
              </w:rPr>
            </w:pPr>
            <w:r w:rsidRPr="00F0339F">
              <w:rPr>
                <w:rFonts w:ascii="Times New Roman" w:hAnsi="Times New Roman"/>
                <w:sz w:val="16"/>
                <w:szCs w:val="16"/>
                <w:lang w:val="fr-BE"/>
              </w:rPr>
              <w:t>[…]</w:t>
            </w:r>
          </w:p>
        </w:tc>
        <w:tc>
          <w:tcPr>
            <w:tcW w:w="1262" w:type="dxa"/>
          </w:tcPr>
          <w:p w14:paraId="26362EE3" w14:textId="649CCA75" w:rsidR="00F0339F" w:rsidRPr="00F0339F" w:rsidRDefault="00F0339F" w:rsidP="00F0339F">
            <w:pPr>
              <w:spacing w:before="0" w:after="0"/>
              <w:rPr>
                <w:rFonts w:ascii="Times New Roman" w:hAnsi="Times New Roman"/>
                <w:sz w:val="16"/>
                <w:szCs w:val="16"/>
              </w:rPr>
            </w:pPr>
            <w:r w:rsidRPr="00F0339F">
              <w:rPr>
                <w:rFonts w:ascii="Times New Roman" w:hAnsi="Times New Roman"/>
                <w:sz w:val="16"/>
                <w:szCs w:val="16"/>
              </w:rPr>
              <w:t>ER</w:t>
            </w:r>
            <w:r>
              <w:rPr>
                <w:rFonts w:ascii="Times New Roman" w:hAnsi="Times New Roman"/>
                <w:sz w:val="16"/>
                <w:szCs w:val="16"/>
              </w:rPr>
              <w:t>A</w:t>
            </w:r>
            <w:r w:rsidRPr="00F0339F">
              <w:rPr>
                <w:rFonts w:ascii="Times New Roman" w:hAnsi="Times New Roman"/>
                <w:sz w:val="16"/>
                <w:szCs w:val="16"/>
              </w:rPr>
              <w:t>F</w:t>
            </w:r>
          </w:p>
        </w:tc>
        <w:tc>
          <w:tcPr>
            <w:tcW w:w="864" w:type="dxa"/>
          </w:tcPr>
          <w:p w14:paraId="07B18E8A" w14:textId="3BAB48A1" w:rsidR="00F0339F" w:rsidRPr="00F0339F" w:rsidRDefault="00F0339F" w:rsidP="00F0339F">
            <w:pPr>
              <w:spacing w:before="0" w:after="0"/>
              <w:rPr>
                <w:rFonts w:ascii="Times New Roman" w:hAnsi="Times New Roman"/>
                <w:sz w:val="16"/>
                <w:szCs w:val="16"/>
              </w:rPr>
            </w:pPr>
            <w:r>
              <w:rPr>
                <w:rFonts w:ascii="Times New Roman" w:hAnsi="Times New Roman"/>
                <w:sz w:val="16"/>
                <w:szCs w:val="16"/>
              </w:rPr>
              <w:t>Mazāk attīstīts</w:t>
            </w:r>
          </w:p>
        </w:tc>
        <w:tc>
          <w:tcPr>
            <w:tcW w:w="850" w:type="dxa"/>
          </w:tcPr>
          <w:p w14:paraId="41B5EFF7" w14:textId="77777777" w:rsidR="00F0339F" w:rsidRPr="00F0339F" w:rsidRDefault="00F0339F" w:rsidP="00F0339F">
            <w:pPr>
              <w:spacing w:before="0" w:after="0"/>
              <w:rPr>
                <w:rFonts w:ascii="Times New Roman" w:hAnsi="Times New Roman"/>
                <w:sz w:val="16"/>
                <w:szCs w:val="16"/>
              </w:rPr>
            </w:pPr>
          </w:p>
        </w:tc>
        <w:tc>
          <w:tcPr>
            <w:tcW w:w="993" w:type="dxa"/>
          </w:tcPr>
          <w:p w14:paraId="7BC3BA88" w14:textId="77777777" w:rsidR="00F0339F" w:rsidRPr="00F0339F" w:rsidRDefault="00F0339F" w:rsidP="00F0339F">
            <w:pPr>
              <w:spacing w:before="0" w:after="0"/>
              <w:rPr>
                <w:rFonts w:ascii="Times New Roman" w:hAnsi="Times New Roman"/>
                <w:color w:val="FF0000"/>
                <w:sz w:val="16"/>
                <w:szCs w:val="16"/>
              </w:rPr>
            </w:pPr>
          </w:p>
        </w:tc>
        <w:tc>
          <w:tcPr>
            <w:tcW w:w="992" w:type="dxa"/>
          </w:tcPr>
          <w:p w14:paraId="1ED7F183" w14:textId="77777777" w:rsidR="00F0339F" w:rsidRPr="00F0339F" w:rsidRDefault="00F0339F" w:rsidP="00F0339F">
            <w:pPr>
              <w:spacing w:before="0" w:after="0"/>
              <w:rPr>
                <w:rFonts w:ascii="Times New Roman" w:hAnsi="Times New Roman"/>
                <w:sz w:val="16"/>
                <w:szCs w:val="16"/>
              </w:rPr>
            </w:pPr>
          </w:p>
        </w:tc>
        <w:tc>
          <w:tcPr>
            <w:tcW w:w="992" w:type="dxa"/>
          </w:tcPr>
          <w:p w14:paraId="5D58FD0A" w14:textId="77777777" w:rsidR="00F0339F" w:rsidRPr="00F0339F" w:rsidRDefault="00F0339F" w:rsidP="00F0339F">
            <w:pPr>
              <w:spacing w:before="0" w:after="0"/>
              <w:rPr>
                <w:rFonts w:ascii="Times New Roman" w:hAnsi="Times New Roman"/>
                <w:sz w:val="16"/>
                <w:szCs w:val="16"/>
              </w:rPr>
            </w:pPr>
          </w:p>
        </w:tc>
        <w:tc>
          <w:tcPr>
            <w:tcW w:w="992" w:type="dxa"/>
          </w:tcPr>
          <w:p w14:paraId="39F0494A" w14:textId="77777777" w:rsidR="00F0339F" w:rsidRPr="00F0339F" w:rsidRDefault="00F0339F" w:rsidP="00F0339F">
            <w:pPr>
              <w:spacing w:before="0" w:after="0"/>
              <w:rPr>
                <w:rFonts w:ascii="Times New Roman" w:hAnsi="Times New Roman"/>
                <w:sz w:val="16"/>
                <w:szCs w:val="16"/>
              </w:rPr>
            </w:pPr>
          </w:p>
        </w:tc>
        <w:tc>
          <w:tcPr>
            <w:tcW w:w="1134" w:type="dxa"/>
          </w:tcPr>
          <w:p w14:paraId="523881DC" w14:textId="77777777" w:rsidR="00F0339F" w:rsidRPr="00F0339F" w:rsidRDefault="00F0339F" w:rsidP="00F0339F">
            <w:pPr>
              <w:spacing w:before="0" w:after="0"/>
              <w:rPr>
                <w:rFonts w:ascii="Times New Roman" w:hAnsi="Times New Roman"/>
                <w:sz w:val="16"/>
                <w:szCs w:val="16"/>
              </w:rPr>
            </w:pPr>
          </w:p>
        </w:tc>
        <w:tc>
          <w:tcPr>
            <w:tcW w:w="1134" w:type="dxa"/>
          </w:tcPr>
          <w:p w14:paraId="5CDAB6ED" w14:textId="77777777" w:rsidR="00F0339F" w:rsidRPr="00F0339F" w:rsidRDefault="00F0339F" w:rsidP="00F0339F">
            <w:pPr>
              <w:spacing w:before="0" w:after="0"/>
              <w:rPr>
                <w:rFonts w:ascii="Times New Roman" w:hAnsi="Times New Roman"/>
                <w:sz w:val="16"/>
                <w:szCs w:val="16"/>
              </w:rPr>
            </w:pPr>
          </w:p>
        </w:tc>
        <w:tc>
          <w:tcPr>
            <w:tcW w:w="1276" w:type="dxa"/>
          </w:tcPr>
          <w:p w14:paraId="4DA8926A" w14:textId="77777777" w:rsidR="00F0339F" w:rsidRPr="00F0339F" w:rsidRDefault="00F0339F" w:rsidP="00F0339F">
            <w:pPr>
              <w:spacing w:before="0" w:after="0"/>
              <w:rPr>
                <w:rFonts w:ascii="Times New Roman" w:hAnsi="Times New Roman"/>
                <w:sz w:val="16"/>
                <w:szCs w:val="16"/>
              </w:rPr>
            </w:pPr>
          </w:p>
        </w:tc>
      </w:tr>
      <w:tr w:rsidR="00F0339F" w:rsidRPr="00F0339F" w14:paraId="1B48012E" w14:textId="77777777" w:rsidTr="00F0339F">
        <w:tc>
          <w:tcPr>
            <w:tcW w:w="2122" w:type="dxa"/>
            <w:vMerge/>
          </w:tcPr>
          <w:p w14:paraId="7F95B98C" w14:textId="77777777" w:rsidR="00F0339F" w:rsidRPr="00F0339F" w:rsidRDefault="00F0339F" w:rsidP="00F0339F">
            <w:pPr>
              <w:spacing w:before="0" w:after="0"/>
              <w:rPr>
                <w:rFonts w:ascii="Times New Roman" w:hAnsi="Times New Roman"/>
                <w:sz w:val="16"/>
                <w:szCs w:val="16"/>
              </w:rPr>
            </w:pPr>
          </w:p>
        </w:tc>
        <w:tc>
          <w:tcPr>
            <w:tcW w:w="1262" w:type="dxa"/>
          </w:tcPr>
          <w:p w14:paraId="2DFC2127" w14:textId="77777777" w:rsidR="00F0339F" w:rsidRPr="00F0339F" w:rsidRDefault="00F0339F" w:rsidP="00F0339F">
            <w:pPr>
              <w:spacing w:before="0" w:after="0"/>
              <w:rPr>
                <w:rFonts w:ascii="Times New Roman" w:hAnsi="Times New Roman"/>
                <w:sz w:val="16"/>
                <w:szCs w:val="16"/>
              </w:rPr>
            </w:pPr>
            <w:r w:rsidRPr="00F0339F">
              <w:rPr>
                <w:rFonts w:ascii="Times New Roman" w:hAnsi="Times New Roman"/>
                <w:sz w:val="16"/>
                <w:szCs w:val="16"/>
              </w:rPr>
              <w:t>ESF+</w:t>
            </w:r>
          </w:p>
        </w:tc>
        <w:tc>
          <w:tcPr>
            <w:tcW w:w="864" w:type="dxa"/>
            <w:shd w:val="pct15" w:color="auto" w:fill="auto"/>
          </w:tcPr>
          <w:p w14:paraId="3C90A139" w14:textId="6E66CE69" w:rsidR="00F0339F" w:rsidRPr="00F0339F" w:rsidRDefault="00F0339F" w:rsidP="00F0339F">
            <w:pPr>
              <w:spacing w:before="0" w:after="0"/>
              <w:rPr>
                <w:rFonts w:ascii="Times New Roman" w:hAnsi="Times New Roman"/>
                <w:sz w:val="16"/>
                <w:szCs w:val="16"/>
              </w:rPr>
            </w:pPr>
            <w:r>
              <w:rPr>
                <w:rFonts w:ascii="Times New Roman" w:hAnsi="Times New Roman"/>
                <w:sz w:val="16"/>
                <w:szCs w:val="16"/>
              </w:rPr>
              <w:t>Mazāk attīstīts</w:t>
            </w:r>
          </w:p>
        </w:tc>
        <w:tc>
          <w:tcPr>
            <w:tcW w:w="850" w:type="dxa"/>
          </w:tcPr>
          <w:p w14:paraId="1385C933" w14:textId="77777777" w:rsidR="00F0339F" w:rsidRPr="00F0339F" w:rsidRDefault="00F0339F" w:rsidP="00F0339F">
            <w:pPr>
              <w:spacing w:before="0" w:after="0"/>
              <w:rPr>
                <w:rFonts w:ascii="Times New Roman" w:hAnsi="Times New Roman"/>
                <w:sz w:val="16"/>
                <w:szCs w:val="16"/>
              </w:rPr>
            </w:pPr>
          </w:p>
        </w:tc>
        <w:tc>
          <w:tcPr>
            <w:tcW w:w="993" w:type="dxa"/>
          </w:tcPr>
          <w:p w14:paraId="0E845391" w14:textId="77777777" w:rsidR="00F0339F" w:rsidRPr="00F0339F" w:rsidRDefault="00F0339F" w:rsidP="00F0339F">
            <w:pPr>
              <w:spacing w:before="0" w:after="0"/>
              <w:rPr>
                <w:rFonts w:ascii="Times New Roman" w:hAnsi="Times New Roman"/>
                <w:color w:val="FF0000"/>
                <w:sz w:val="16"/>
                <w:szCs w:val="16"/>
              </w:rPr>
            </w:pPr>
          </w:p>
        </w:tc>
        <w:tc>
          <w:tcPr>
            <w:tcW w:w="992" w:type="dxa"/>
          </w:tcPr>
          <w:p w14:paraId="05869156" w14:textId="77777777" w:rsidR="00F0339F" w:rsidRPr="00F0339F" w:rsidRDefault="00F0339F" w:rsidP="00F0339F">
            <w:pPr>
              <w:spacing w:before="0" w:after="0"/>
              <w:rPr>
                <w:rFonts w:ascii="Times New Roman" w:hAnsi="Times New Roman"/>
                <w:sz w:val="16"/>
                <w:szCs w:val="16"/>
              </w:rPr>
            </w:pPr>
          </w:p>
        </w:tc>
        <w:tc>
          <w:tcPr>
            <w:tcW w:w="992" w:type="dxa"/>
          </w:tcPr>
          <w:p w14:paraId="16823170" w14:textId="77777777" w:rsidR="00F0339F" w:rsidRPr="00F0339F" w:rsidRDefault="00F0339F" w:rsidP="00F0339F">
            <w:pPr>
              <w:spacing w:before="0" w:after="0"/>
              <w:rPr>
                <w:rFonts w:ascii="Times New Roman" w:hAnsi="Times New Roman"/>
                <w:sz w:val="16"/>
                <w:szCs w:val="16"/>
              </w:rPr>
            </w:pPr>
          </w:p>
        </w:tc>
        <w:tc>
          <w:tcPr>
            <w:tcW w:w="992" w:type="dxa"/>
          </w:tcPr>
          <w:p w14:paraId="1BAF5B13" w14:textId="77777777" w:rsidR="00F0339F" w:rsidRPr="00F0339F" w:rsidRDefault="00F0339F" w:rsidP="00F0339F">
            <w:pPr>
              <w:spacing w:before="0" w:after="0"/>
              <w:rPr>
                <w:rFonts w:ascii="Times New Roman" w:hAnsi="Times New Roman"/>
                <w:sz w:val="16"/>
                <w:szCs w:val="16"/>
              </w:rPr>
            </w:pPr>
          </w:p>
        </w:tc>
        <w:tc>
          <w:tcPr>
            <w:tcW w:w="1134" w:type="dxa"/>
          </w:tcPr>
          <w:p w14:paraId="3145A306" w14:textId="77777777" w:rsidR="00F0339F" w:rsidRPr="00F0339F" w:rsidRDefault="00F0339F" w:rsidP="00F0339F">
            <w:pPr>
              <w:spacing w:before="0" w:after="0"/>
              <w:rPr>
                <w:rFonts w:ascii="Times New Roman" w:hAnsi="Times New Roman"/>
                <w:sz w:val="16"/>
                <w:szCs w:val="16"/>
              </w:rPr>
            </w:pPr>
          </w:p>
        </w:tc>
        <w:tc>
          <w:tcPr>
            <w:tcW w:w="1134" w:type="dxa"/>
          </w:tcPr>
          <w:p w14:paraId="578BDCB8" w14:textId="77777777" w:rsidR="00F0339F" w:rsidRPr="00F0339F" w:rsidRDefault="00F0339F" w:rsidP="00F0339F">
            <w:pPr>
              <w:spacing w:before="0" w:after="0"/>
              <w:rPr>
                <w:rFonts w:ascii="Times New Roman" w:hAnsi="Times New Roman"/>
                <w:sz w:val="16"/>
                <w:szCs w:val="16"/>
              </w:rPr>
            </w:pPr>
          </w:p>
        </w:tc>
        <w:tc>
          <w:tcPr>
            <w:tcW w:w="1276" w:type="dxa"/>
          </w:tcPr>
          <w:p w14:paraId="2B9F59E2" w14:textId="77777777" w:rsidR="00F0339F" w:rsidRPr="00F0339F" w:rsidRDefault="00F0339F" w:rsidP="00F0339F">
            <w:pPr>
              <w:spacing w:before="0" w:after="0"/>
              <w:rPr>
                <w:rFonts w:ascii="Times New Roman" w:hAnsi="Times New Roman"/>
                <w:sz w:val="16"/>
                <w:szCs w:val="16"/>
              </w:rPr>
            </w:pPr>
          </w:p>
        </w:tc>
      </w:tr>
      <w:tr w:rsidR="00F0339F" w:rsidRPr="00F0339F" w14:paraId="47D8C0F1" w14:textId="77777777" w:rsidTr="00F0339F">
        <w:tc>
          <w:tcPr>
            <w:tcW w:w="2122" w:type="dxa"/>
            <w:vMerge/>
          </w:tcPr>
          <w:p w14:paraId="6DD4A0A7" w14:textId="77777777" w:rsidR="00F0339F" w:rsidRPr="00F0339F" w:rsidRDefault="00F0339F" w:rsidP="00F0339F">
            <w:pPr>
              <w:spacing w:before="0" w:after="0"/>
              <w:rPr>
                <w:rFonts w:ascii="Times New Roman" w:hAnsi="Times New Roman"/>
                <w:sz w:val="16"/>
                <w:szCs w:val="16"/>
              </w:rPr>
            </w:pPr>
          </w:p>
        </w:tc>
        <w:tc>
          <w:tcPr>
            <w:tcW w:w="1262" w:type="dxa"/>
          </w:tcPr>
          <w:p w14:paraId="1124059B" w14:textId="36FD7AF4" w:rsidR="00F0339F" w:rsidRPr="00F0339F" w:rsidRDefault="00F0339F" w:rsidP="00F0339F">
            <w:pPr>
              <w:spacing w:before="0" w:after="0"/>
              <w:rPr>
                <w:rFonts w:ascii="Times New Roman" w:hAnsi="Times New Roman"/>
                <w:sz w:val="16"/>
                <w:szCs w:val="16"/>
              </w:rPr>
            </w:pPr>
            <w:r>
              <w:rPr>
                <w:rFonts w:ascii="Times New Roman" w:hAnsi="Times New Roman"/>
                <w:sz w:val="16"/>
                <w:szCs w:val="16"/>
              </w:rPr>
              <w:t>K</w:t>
            </w:r>
            <w:r w:rsidRPr="00F0339F">
              <w:rPr>
                <w:rFonts w:ascii="Times New Roman" w:hAnsi="Times New Roman"/>
                <w:sz w:val="16"/>
                <w:szCs w:val="16"/>
              </w:rPr>
              <w:t>F</w:t>
            </w:r>
          </w:p>
        </w:tc>
        <w:tc>
          <w:tcPr>
            <w:tcW w:w="864" w:type="dxa"/>
            <w:shd w:val="pct15" w:color="auto" w:fill="auto"/>
          </w:tcPr>
          <w:p w14:paraId="2DF7C42E" w14:textId="1A0A8ACF" w:rsidR="00F0339F" w:rsidRPr="00F0339F" w:rsidRDefault="00F0339F" w:rsidP="00F0339F">
            <w:pPr>
              <w:spacing w:before="0" w:after="0"/>
              <w:rPr>
                <w:rFonts w:ascii="Times New Roman" w:hAnsi="Times New Roman"/>
                <w:sz w:val="16"/>
                <w:szCs w:val="16"/>
              </w:rPr>
            </w:pPr>
            <w:r>
              <w:rPr>
                <w:rFonts w:ascii="Times New Roman" w:hAnsi="Times New Roman"/>
                <w:sz w:val="16"/>
                <w:szCs w:val="16"/>
              </w:rPr>
              <w:t>N/A</w:t>
            </w:r>
          </w:p>
        </w:tc>
        <w:tc>
          <w:tcPr>
            <w:tcW w:w="850" w:type="dxa"/>
          </w:tcPr>
          <w:p w14:paraId="152DED62" w14:textId="77777777" w:rsidR="00F0339F" w:rsidRPr="00F0339F" w:rsidRDefault="00F0339F" w:rsidP="00F0339F">
            <w:pPr>
              <w:spacing w:before="0" w:after="0"/>
              <w:rPr>
                <w:rFonts w:ascii="Times New Roman" w:hAnsi="Times New Roman"/>
                <w:sz w:val="16"/>
                <w:szCs w:val="16"/>
              </w:rPr>
            </w:pPr>
          </w:p>
        </w:tc>
        <w:tc>
          <w:tcPr>
            <w:tcW w:w="993" w:type="dxa"/>
          </w:tcPr>
          <w:p w14:paraId="1DF885D2" w14:textId="77777777" w:rsidR="00F0339F" w:rsidRPr="00F0339F" w:rsidRDefault="00F0339F" w:rsidP="00F0339F">
            <w:pPr>
              <w:spacing w:before="0" w:after="0"/>
              <w:rPr>
                <w:rFonts w:ascii="Times New Roman" w:hAnsi="Times New Roman"/>
                <w:color w:val="FF0000"/>
                <w:sz w:val="16"/>
                <w:szCs w:val="16"/>
              </w:rPr>
            </w:pPr>
          </w:p>
        </w:tc>
        <w:tc>
          <w:tcPr>
            <w:tcW w:w="992" w:type="dxa"/>
          </w:tcPr>
          <w:p w14:paraId="62328C20" w14:textId="77777777" w:rsidR="00F0339F" w:rsidRPr="00F0339F" w:rsidRDefault="00F0339F" w:rsidP="00F0339F">
            <w:pPr>
              <w:spacing w:before="0" w:after="0"/>
              <w:rPr>
                <w:rFonts w:ascii="Times New Roman" w:hAnsi="Times New Roman"/>
                <w:sz w:val="16"/>
                <w:szCs w:val="16"/>
              </w:rPr>
            </w:pPr>
          </w:p>
        </w:tc>
        <w:tc>
          <w:tcPr>
            <w:tcW w:w="992" w:type="dxa"/>
          </w:tcPr>
          <w:p w14:paraId="4836825D" w14:textId="77777777" w:rsidR="00F0339F" w:rsidRPr="00F0339F" w:rsidRDefault="00F0339F" w:rsidP="00F0339F">
            <w:pPr>
              <w:spacing w:before="0" w:after="0"/>
              <w:rPr>
                <w:rFonts w:ascii="Times New Roman" w:hAnsi="Times New Roman"/>
                <w:sz w:val="16"/>
                <w:szCs w:val="16"/>
              </w:rPr>
            </w:pPr>
          </w:p>
        </w:tc>
        <w:tc>
          <w:tcPr>
            <w:tcW w:w="992" w:type="dxa"/>
          </w:tcPr>
          <w:p w14:paraId="6E340259" w14:textId="77777777" w:rsidR="00F0339F" w:rsidRPr="00F0339F" w:rsidRDefault="00F0339F" w:rsidP="00F0339F">
            <w:pPr>
              <w:spacing w:before="0" w:after="0"/>
              <w:rPr>
                <w:rFonts w:ascii="Times New Roman" w:hAnsi="Times New Roman"/>
                <w:sz w:val="16"/>
                <w:szCs w:val="16"/>
              </w:rPr>
            </w:pPr>
          </w:p>
        </w:tc>
        <w:tc>
          <w:tcPr>
            <w:tcW w:w="1134" w:type="dxa"/>
          </w:tcPr>
          <w:p w14:paraId="5C4B04FE" w14:textId="77777777" w:rsidR="00F0339F" w:rsidRPr="00F0339F" w:rsidRDefault="00F0339F" w:rsidP="00F0339F">
            <w:pPr>
              <w:spacing w:before="0" w:after="0"/>
              <w:rPr>
                <w:rFonts w:ascii="Times New Roman" w:hAnsi="Times New Roman"/>
                <w:sz w:val="16"/>
                <w:szCs w:val="16"/>
              </w:rPr>
            </w:pPr>
          </w:p>
        </w:tc>
        <w:tc>
          <w:tcPr>
            <w:tcW w:w="1134" w:type="dxa"/>
          </w:tcPr>
          <w:p w14:paraId="450B7D6F" w14:textId="77777777" w:rsidR="00F0339F" w:rsidRPr="00F0339F" w:rsidRDefault="00F0339F" w:rsidP="00F0339F">
            <w:pPr>
              <w:spacing w:before="0" w:after="0"/>
              <w:rPr>
                <w:rFonts w:ascii="Times New Roman" w:hAnsi="Times New Roman"/>
                <w:sz w:val="16"/>
                <w:szCs w:val="16"/>
              </w:rPr>
            </w:pPr>
          </w:p>
        </w:tc>
        <w:tc>
          <w:tcPr>
            <w:tcW w:w="1276" w:type="dxa"/>
          </w:tcPr>
          <w:p w14:paraId="64D7DA26" w14:textId="77777777" w:rsidR="00F0339F" w:rsidRPr="00F0339F" w:rsidRDefault="00F0339F" w:rsidP="00F0339F">
            <w:pPr>
              <w:spacing w:before="0" w:after="0"/>
              <w:rPr>
                <w:rFonts w:ascii="Times New Roman" w:hAnsi="Times New Roman"/>
                <w:sz w:val="16"/>
                <w:szCs w:val="16"/>
              </w:rPr>
            </w:pPr>
          </w:p>
        </w:tc>
      </w:tr>
    </w:tbl>
    <w:p w14:paraId="043D53F2" w14:textId="423C0FF1" w:rsidR="00205E1E" w:rsidRPr="00205E1E" w:rsidRDefault="00205E1E" w:rsidP="00BA7A6A">
      <w:pPr>
        <w:spacing w:before="0" w:after="0"/>
        <w:rPr>
          <w:rFonts w:eastAsia="Times New Roman"/>
          <w:i/>
          <w:iCs/>
          <w:noProof/>
          <w:szCs w:val="24"/>
        </w:rPr>
      </w:pPr>
    </w:p>
    <w:p w14:paraId="5C366CE8" w14:textId="77777777" w:rsidR="00205E1E" w:rsidRDefault="00205E1E" w:rsidP="00205E1E">
      <w:pPr>
        <w:spacing w:before="0" w:after="0"/>
        <w:rPr>
          <w:rFonts w:eastAsia="Times New Roman"/>
          <w:b/>
          <w:bCs/>
          <w:noProof/>
          <w:sz w:val="20"/>
        </w:rPr>
      </w:pPr>
    </w:p>
    <w:p w14:paraId="4453E9BC" w14:textId="77777777" w:rsidR="00F0339F" w:rsidRDefault="00F0339F" w:rsidP="00205E1E">
      <w:pPr>
        <w:spacing w:before="0" w:after="0"/>
        <w:rPr>
          <w:rFonts w:eastAsia="Times New Roman"/>
          <w:b/>
          <w:bCs/>
          <w:noProof/>
          <w:sz w:val="20"/>
        </w:rPr>
      </w:pPr>
    </w:p>
    <w:p w14:paraId="66EFB03C" w14:textId="77777777" w:rsidR="00F0339F" w:rsidRDefault="00F0339F" w:rsidP="00205E1E">
      <w:pPr>
        <w:spacing w:before="0" w:after="0"/>
        <w:rPr>
          <w:rFonts w:eastAsia="Times New Roman"/>
          <w:b/>
          <w:bCs/>
          <w:noProof/>
          <w:sz w:val="20"/>
        </w:rPr>
      </w:pPr>
    </w:p>
    <w:p w14:paraId="6DB8EB10" w14:textId="77777777" w:rsidR="00F0339F" w:rsidRDefault="00F0339F" w:rsidP="00205E1E">
      <w:pPr>
        <w:spacing w:before="0" w:after="0"/>
        <w:rPr>
          <w:rFonts w:eastAsia="Times New Roman"/>
          <w:b/>
          <w:bCs/>
          <w:noProof/>
          <w:sz w:val="20"/>
        </w:rPr>
      </w:pPr>
    </w:p>
    <w:p w14:paraId="2D83531B" w14:textId="77777777" w:rsidR="00F0339F" w:rsidRDefault="00F0339F" w:rsidP="00205E1E">
      <w:pPr>
        <w:spacing w:before="0" w:after="0"/>
        <w:rPr>
          <w:rFonts w:eastAsia="Times New Roman"/>
          <w:b/>
          <w:bCs/>
          <w:noProof/>
          <w:sz w:val="20"/>
        </w:rPr>
      </w:pPr>
    </w:p>
    <w:p w14:paraId="25D7653D" w14:textId="77777777" w:rsidR="00F0339F" w:rsidRDefault="00F0339F" w:rsidP="00205E1E">
      <w:pPr>
        <w:spacing w:before="0" w:after="0"/>
        <w:rPr>
          <w:rFonts w:eastAsia="Times New Roman"/>
          <w:b/>
          <w:bCs/>
          <w:noProof/>
          <w:sz w:val="20"/>
        </w:rPr>
      </w:pPr>
    </w:p>
    <w:p w14:paraId="49930ADA" w14:textId="77777777" w:rsidR="00F0339F" w:rsidRDefault="00F0339F" w:rsidP="00205E1E">
      <w:pPr>
        <w:spacing w:before="0" w:after="0"/>
        <w:rPr>
          <w:rFonts w:eastAsia="Times New Roman"/>
          <w:b/>
          <w:bCs/>
          <w:noProof/>
          <w:sz w:val="20"/>
        </w:rPr>
      </w:pPr>
    </w:p>
    <w:p w14:paraId="35852D8D" w14:textId="77777777" w:rsidR="003B48FA" w:rsidRDefault="003B48FA" w:rsidP="00205E1E">
      <w:pPr>
        <w:spacing w:before="0" w:after="0"/>
        <w:rPr>
          <w:rFonts w:eastAsia="Times New Roman"/>
          <w:b/>
          <w:bCs/>
          <w:noProof/>
          <w:sz w:val="20"/>
        </w:rPr>
      </w:pPr>
    </w:p>
    <w:p w14:paraId="3CB38F3B" w14:textId="55804934" w:rsidR="00205E1E" w:rsidRPr="00205E1E" w:rsidRDefault="00187D78" w:rsidP="00205E1E">
      <w:pPr>
        <w:spacing w:before="0" w:after="0"/>
        <w:rPr>
          <w:rFonts w:eastAsia="Times New Roman"/>
          <w:b/>
          <w:bCs/>
          <w:noProof/>
          <w:sz w:val="20"/>
        </w:rPr>
      </w:pPr>
      <w:r>
        <w:rPr>
          <w:rFonts w:eastAsia="Times New Roman"/>
          <w:b/>
          <w:bCs/>
          <w:noProof/>
          <w:sz w:val="20"/>
        </w:rPr>
        <w:t>25.tabula (</w:t>
      </w:r>
      <w:r w:rsidR="00205E1E" w:rsidRPr="00205E1E">
        <w:rPr>
          <w:rFonts w:eastAsia="Times New Roman"/>
          <w:b/>
          <w:bCs/>
          <w:noProof/>
          <w:sz w:val="20"/>
        </w:rPr>
        <w:t>20.</w:t>
      </w:r>
      <w:r>
        <w:rPr>
          <w:rFonts w:eastAsia="Times New Roman"/>
          <w:b/>
          <w:bCs/>
          <w:noProof/>
          <w:sz w:val="20"/>
        </w:rPr>
        <w:t>B)</w:t>
      </w:r>
      <w:r w:rsidR="00205E1E" w:rsidRPr="00205E1E">
        <w:rPr>
          <w:rFonts w:eastAsia="Times New Roman"/>
          <w:b/>
          <w:bCs/>
          <w:noProof/>
          <w:sz w:val="20"/>
        </w:rPr>
        <w:t xml:space="preserve"> Pārvedumi atpakaļ (</w:t>
      </w:r>
      <w:r w:rsidR="00205E1E">
        <w:rPr>
          <w:rFonts w:eastAsia="Times New Roman"/>
          <w:b/>
          <w:bCs/>
          <w:noProof/>
          <w:sz w:val="20"/>
        </w:rPr>
        <w:t>kopsavilkums</w:t>
      </w:r>
      <w:r w:rsidR="00205E1E" w:rsidRPr="00205E1E">
        <w:rPr>
          <w:rFonts w:eastAsia="Times New Roman"/>
          <w:b/>
          <w:bCs/>
          <w:noProof/>
          <w:sz w:val="20"/>
        </w:rPr>
        <w:t>)</w:t>
      </w:r>
    </w:p>
    <w:p w14:paraId="60095CAA" w14:textId="77777777" w:rsidR="00BA0713" w:rsidRPr="00BA0713" w:rsidRDefault="00BA0713" w:rsidP="00BA0713">
      <w:pPr>
        <w:spacing w:before="0" w:after="0"/>
        <w:rPr>
          <w:rFonts w:eastAsia="Times New Roman"/>
          <w:i/>
          <w:iCs/>
          <w:noProof/>
          <w:color w:val="FF0000"/>
          <w:sz w:val="20"/>
        </w:rPr>
      </w:pPr>
      <w:r w:rsidRPr="00BA0713">
        <w:rPr>
          <w:rFonts w:eastAsia="Times New Roman"/>
          <w:i/>
          <w:iCs/>
          <w:noProof/>
          <w:color w:val="FF0000"/>
          <w:sz w:val="20"/>
        </w:rPr>
        <w:t>[Tiks papildināts ar informāciju par plānotajiem pārvedumiem.]</w:t>
      </w:r>
    </w:p>
    <w:p w14:paraId="74DDD0FD" w14:textId="4E4092DD" w:rsidR="00F0339F" w:rsidRPr="000D0752" w:rsidRDefault="00F0339F" w:rsidP="00F0339F">
      <w:pPr>
        <w:spacing w:before="0" w:after="0"/>
        <w:rPr>
          <w:rFonts w:eastAsia="Times New Roman"/>
          <w:i/>
          <w:iCs/>
          <w:noProof/>
          <w:color w:val="FF0000"/>
          <w:szCs w:val="24"/>
        </w:rPr>
      </w:pPr>
    </w:p>
    <w:tbl>
      <w:tblPr>
        <w:tblStyle w:val="TableGrid"/>
        <w:tblW w:w="0" w:type="auto"/>
        <w:tblLook w:val="04A0" w:firstRow="1" w:lastRow="0" w:firstColumn="1" w:lastColumn="0" w:noHBand="0" w:noVBand="1"/>
      </w:tblPr>
      <w:tblGrid>
        <w:gridCol w:w="2122"/>
        <w:gridCol w:w="1701"/>
        <w:gridCol w:w="1417"/>
        <w:gridCol w:w="1701"/>
      </w:tblGrid>
      <w:tr w:rsidR="00F0339F" w:rsidRPr="00F0339F" w14:paraId="38119F10" w14:textId="77777777" w:rsidTr="00F0339F">
        <w:tc>
          <w:tcPr>
            <w:tcW w:w="2122" w:type="dxa"/>
            <w:vMerge w:val="restart"/>
            <w:tcBorders>
              <w:tl2br w:val="single" w:sz="4" w:space="0" w:color="auto"/>
            </w:tcBorders>
            <w:shd w:val="clear" w:color="auto" w:fill="D9D9D9" w:themeFill="background1" w:themeFillShade="D9"/>
          </w:tcPr>
          <w:p w14:paraId="6B12CCA3" w14:textId="57E81081" w:rsidR="00F0339F" w:rsidRPr="00F0339F" w:rsidRDefault="00F0339F" w:rsidP="00F0339F">
            <w:pPr>
              <w:pStyle w:val="NormalCentered"/>
              <w:spacing w:before="0" w:after="0"/>
              <w:jc w:val="left"/>
              <w:rPr>
                <w:rFonts w:ascii="Times New Roman" w:hAnsi="Times New Roman"/>
                <w:b/>
                <w:noProof/>
                <w:sz w:val="16"/>
                <w:szCs w:val="16"/>
              </w:rPr>
            </w:pPr>
            <w:r w:rsidRPr="00F0339F">
              <w:rPr>
                <w:rFonts w:ascii="Times New Roman" w:hAnsi="Times New Roman"/>
                <w:b/>
                <w:noProof/>
                <w:sz w:val="16"/>
                <w:szCs w:val="16"/>
              </w:rPr>
              <w:t xml:space="preserve">                      Uz</w:t>
            </w:r>
          </w:p>
          <w:p w14:paraId="4B41727D" w14:textId="48D67BCE" w:rsidR="00F0339F" w:rsidRPr="00F0339F" w:rsidRDefault="00F0339F" w:rsidP="00F0339F">
            <w:pPr>
              <w:pStyle w:val="NormalCentered"/>
              <w:spacing w:before="0" w:after="0"/>
              <w:jc w:val="both"/>
              <w:rPr>
                <w:rFonts w:ascii="Times New Roman" w:hAnsi="Times New Roman"/>
                <w:b/>
                <w:noProof/>
                <w:sz w:val="16"/>
                <w:szCs w:val="16"/>
              </w:rPr>
            </w:pPr>
            <w:r w:rsidRPr="00F0339F">
              <w:rPr>
                <w:rFonts w:ascii="Times New Roman" w:hAnsi="Times New Roman"/>
                <w:b/>
                <w:noProof/>
                <w:sz w:val="16"/>
                <w:szCs w:val="16"/>
              </w:rPr>
              <w:t>No</w:t>
            </w:r>
          </w:p>
        </w:tc>
        <w:tc>
          <w:tcPr>
            <w:tcW w:w="1701" w:type="dxa"/>
            <w:shd w:val="clear" w:color="auto" w:fill="D9D9D9" w:themeFill="background1" w:themeFillShade="D9"/>
          </w:tcPr>
          <w:p w14:paraId="28D20731" w14:textId="64530566" w:rsidR="00F0339F" w:rsidRPr="00F0339F" w:rsidRDefault="00F0339F" w:rsidP="00F0339F">
            <w:pPr>
              <w:pStyle w:val="NormalCentered"/>
              <w:spacing w:before="0" w:after="0"/>
              <w:rPr>
                <w:rFonts w:ascii="Times New Roman" w:hAnsi="Times New Roman"/>
                <w:b/>
                <w:noProof/>
                <w:sz w:val="16"/>
                <w:szCs w:val="16"/>
              </w:rPr>
            </w:pPr>
            <w:r w:rsidRPr="00F0339F">
              <w:rPr>
                <w:rFonts w:ascii="Times New Roman" w:hAnsi="Times New Roman"/>
                <w:b/>
                <w:noProof/>
                <w:sz w:val="16"/>
                <w:szCs w:val="16"/>
              </w:rPr>
              <w:t>ERAF</w:t>
            </w:r>
          </w:p>
        </w:tc>
        <w:tc>
          <w:tcPr>
            <w:tcW w:w="1417" w:type="dxa"/>
            <w:shd w:val="clear" w:color="auto" w:fill="D9D9D9" w:themeFill="background1" w:themeFillShade="D9"/>
          </w:tcPr>
          <w:p w14:paraId="1C6ABE37" w14:textId="0970AB7B" w:rsidR="00F0339F" w:rsidRPr="00F0339F" w:rsidRDefault="00F0339F" w:rsidP="00F0339F">
            <w:pPr>
              <w:pStyle w:val="NormalCentered"/>
              <w:spacing w:before="0" w:after="0"/>
              <w:rPr>
                <w:rFonts w:ascii="Times New Roman" w:hAnsi="Times New Roman"/>
                <w:b/>
                <w:noProof/>
                <w:sz w:val="16"/>
                <w:szCs w:val="16"/>
              </w:rPr>
            </w:pPr>
            <w:r w:rsidRPr="00F0339F">
              <w:rPr>
                <w:rFonts w:ascii="Times New Roman" w:hAnsi="Times New Roman"/>
                <w:b/>
                <w:noProof/>
                <w:sz w:val="16"/>
                <w:szCs w:val="16"/>
              </w:rPr>
              <w:t>ESF+</w:t>
            </w:r>
          </w:p>
        </w:tc>
        <w:tc>
          <w:tcPr>
            <w:tcW w:w="1701" w:type="dxa"/>
            <w:shd w:val="clear" w:color="auto" w:fill="D9D9D9" w:themeFill="background1" w:themeFillShade="D9"/>
          </w:tcPr>
          <w:p w14:paraId="46100E89" w14:textId="477E5934" w:rsidR="00F0339F" w:rsidRPr="00F0339F" w:rsidRDefault="00F0339F" w:rsidP="00F0339F">
            <w:pPr>
              <w:pStyle w:val="NormalCentered"/>
              <w:spacing w:before="0" w:after="0"/>
              <w:rPr>
                <w:rFonts w:ascii="Times New Roman" w:hAnsi="Times New Roman"/>
                <w:b/>
                <w:noProof/>
                <w:sz w:val="16"/>
                <w:szCs w:val="16"/>
              </w:rPr>
            </w:pPr>
            <w:r w:rsidRPr="00F0339F">
              <w:rPr>
                <w:rFonts w:ascii="Times New Roman" w:hAnsi="Times New Roman"/>
                <w:b/>
                <w:noProof/>
                <w:sz w:val="16"/>
                <w:szCs w:val="16"/>
              </w:rPr>
              <w:t>KF</w:t>
            </w:r>
          </w:p>
        </w:tc>
      </w:tr>
      <w:tr w:rsidR="00F0339F" w:rsidRPr="00F0339F" w14:paraId="3925F8E8" w14:textId="77777777" w:rsidTr="00F0339F">
        <w:tc>
          <w:tcPr>
            <w:tcW w:w="2122" w:type="dxa"/>
            <w:vMerge/>
            <w:tcBorders>
              <w:tl2br w:val="single" w:sz="4" w:space="0" w:color="auto"/>
            </w:tcBorders>
            <w:shd w:val="clear" w:color="auto" w:fill="D9D9D9" w:themeFill="background1" w:themeFillShade="D9"/>
          </w:tcPr>
          <w:p w14:paraId="170FF76A" w14:textId="77777777" w:rsidR="00F0339F" w:rsidRPr="00F0339F" w:rsidRDefault="00F0339F" w:rsidP="00F0339F">
            <w:pPr>
              <w:pStyle w:val="NormalCentered"/>
              <w:spacing w:before="0" w:after="0"/>
              <w:jc w:val="both"/>
              <w:rPr>
                <w:rFonts w:ascii="Times New Roman" w:hAnsi="Times New Roman"/>
                <w:b/>
                <w:noProof/>
                <w:sz w:val="16"/>
                <w:szCs w:val="16"/>
              </w:rPr>
            </w:pPr>
          </w:p>
        </w:tc>
        <w:tc>
          <w:tcPr>
            <w:tcW w:w="1701" w:type="dxa"/>
            <w:shd w:val="clear" w:color="auto" w:fill="D9D9D9" w:themeFill="background1" w:themeFillShade="D9"/>
          </w:tcPr>
          <w:p w14:paraId="5A9365BD" w14:textId="78D1D3E4" w:rsidR="00F0339F" w:rsidRPr="00F0339F" w:rsidRDefault="00F0339F" w:rsidP="00F0339F">
            <w:pPr>
              <w:pStyle w:val="NormalCentered"/>
              <w:spacing w:before="0" w:after="0"/>
              <w:rPr>
                <w:rFonts w:ascii="Times New Roman" w:hAnsi="Times New Roman"/>
                <w:b/>
                <w:noProof/>
                <w:sz w:val="16"/>
                <w:szCs w:val="16"/>
              </w:rPr>
            </w:pPr>
            <w:r w:rsidRPr="00F0339F">
              <w:rPr>
                <w:rFonts w:ascii="Times New Roman" w:eastAsia="Times New Roman" w:hAnsi="Times New Roman"/>
                <w:noProof/>
                <w:sz w:val="16"/>
                <w:szCs w:val="16"/>
              </w:rPr>
              <w:t>Masāk attīstīts</w:t>
            </w:r>
          </w:p>
        </w:tc>
        <w:tc>
          <w:tcPr>
            <w:tcW w:w="1417" w:type="dxa"/>
            <w:shd w:val="clear" w:color="auto" w:fill="D9D9D9" w:themeFill="background1" w:themeFillShade="D9"/>
          </w:tcPr>
          <w:p w14:paraId="539978B0" w14:textId="7ABA10C3" w:rsidR="00F0339F" w:rsidRPr="00F0339F" w:rsidRDefault="00F0339F" w:rsidP="00F0339F">
            <w:pPr>
              <w:pStyle w:val="NormalCentered"/>
              <w:spacing w:before="0" w:after="0"/>
              <w:rPr>
                <w:rFonts w:ascii="Times New Roman" w:hAnsi="Times New Roman"/>
                <w:b/>
                <w:noProof/>
                <w:sz w:val="16"/>
                <w:szCs w:val="16"/>
              </w:rPr>
            </w:pPr>
            <w:r w:rsidRPr="00F0339F">
              <w:rPr>
                <w:rFonts w:ascii="Times New Roman" w:eastAsia="Times New Roman" w:hAnsi="Times New Roman"/>
                <w:noProof/>
                <w:sz w:val="16"/>
                <w:szCs w:val="16"/>
              </w:rPr>
              <w:t>Mazāk attīstīts</w:t>
            </w:r>
          </w:p>
        </w:tc>
        <w:tc>
          <w:tcPr>
            <w:tcW w:w="1701" w:type="dxa"/>
            <w:shd w:val="clear" w:color="auto" w:fill="D9D9D9" w:themeFill="background1" w:themeFillShade="D9"/>
          </w:tcPr>
          <w:p w14:paraId="46629BA4" w14:textId="52C00B18" w:rsidR="00F0339F" w:rsidRPr="00F0339F" w:rsidRDefault="00F0339F" w:rsidP="00F0339F">
            <w:pPr>
              <w:pStyle w:val="NormalCentered"/>
              <w:spacing w:before="0" w:after="0"/>
              <w:rPr>
                <w:rFonts w:ascii="Times New Roman" w:hAnsi="Times New Roman"/>
                <w:bCs/>
                <w:noProof/>
                <w:sz w:val="16"/>
                <w:szCs w:val="16"/>
              </w:rPr>
            </w:pPr>
            <w:r w:rsidRPr="00F0339F">
              <w:rPr>
                <w:rFonts w:ascii="Times New Roman" w:hAnsi="Times New Roman"/>
                <w:bCs/>
                <w:noProof/>
                <w:sz w:val="16"/>
                <w:szCs w:val="16"/>
              </w:rPr>
              <w:t>N/A</w:t>
            </w:r>
          </w:p>
        </w:tc>
      </w:tr>
      <w:tr w:rsidR="00F0339F" w:rsidRPr="00F0339F" w14:paraId="22D80CB5" w14:textId="77777777" w:rsidTr="00F0339F">
        <w:tc>
          <w:tcPr>
            <w:tcW w:w="2122" w:type="dxa"/>
          </w:tcPr>
          <w:p w14:paraId="00CABF6A" w14:textId="77777777" w:rsidR="00F0339F" w:rsidRPr="00F0339F" w:rsidRDefault="00F0339F" w:rsidP="00F0339F">
            <w:pPr>
              <w:pStyle w:val="NormalCentered"/>
              <w:spacing w:before="0" w:after="0"/>
              <w:jc w:val="both"/>
              <w:rPr>
                <w:rFonts w:ascii="Times New Roman" w:hAnsi="Times New Roman"/>
                <w:b/>
                <w:noProof/>
                <w:sz w:val="16"/>
                <w:szCs w:val="16"/>
              </w:rPr>
            </w:pPr>
            <w:r w:rsidRPr="00F0339F">
              <w:rPr>
                <w:rFonts w:ascii="Times New Roman" w:hAnsi="Times New Roman"/>
                <w:b/>
                <w:noProof/>
                <w:sz w:val="16"/>
                <w:szCs w:val="16"/>
              </w:rPr>
              <w:t>InvestEU</w:t>
            </w:r>
          </w:p>
        </w:tc>
        <w:tc>
          <w:tcPr>
            <w:tcW w:w="1701" w:type="dxa"/>
          </w:tcPr>
          <w:p w14:paraId="7D1E04E5" w14:textId="77777777" w:rsidR="00F0339F" w:rsidRPr="00F0339F" w:rsidRDefault="00F0339F" w:rsidP="00F0339F">
            <w:pPr>
              <w:pStyle w:val="NormalCentered"/>
              <w:spacing w:before="0" w:after="0"/>
              <w:jc w:val="both"/>
              <w:rPr>
                <w:rFonts w:ascii="Times New Roman" w:hAnsi="Times New Roman"/>
                <w:b/>
                <w:noProof/>
                <w:sz w:val="16"/>
                <w:szCs w:val="16"/>
              </w:rPr>
            </w:pPr>
          </w:p>
        </w:tc>
        <w:tc>
          <w:tcPr>
            <w:tcW w:w="1417" w:type="dxa"/>
          </w:tcPr>
          <w:p w14:paraId="481F54B7" w14:textId="77777777" w:rsidR="00F0339F" w:rsidRPr="00F0339F" w:rsidRDefault="00F0339F" w:rsidP="00F0339F">
            <w:pPr>
              <w:pStyle w:val="NormalCentered"/>
              <w:spacing w:before="0" w:after="0"/>
              <w:jc w:val="both"/>
              <w:rPr>
                <w:rFonts w:ascii="Times New Roman" w:hAnsi="Times New Roman"/>
                <w:b/>
                <w:noProof/>
                <w:sz w:val="16"/>
                <w:szCs w:val="16"/>
              </w:rPr>
            </w:pPr>
          </w:p>
        </w:tc>
        <w:tc>
          <w:tcPr>
            <w:tcW w:w="1701" w:type="dxa"/>
          </w:tcPr>
          <w:p w14:paraId="5E3ED79B" w14:textId="77777777" w:rsidR="00F0339F" w:rsidRPr="00F0339F" w:rsidRDefault="00F0339F" w:rsidP="00F0339F">
            <w:pPr>
              <w:pStyle w:val="NormalCentered"/>
              <w:spacing w:before="0" w:after="0"/>
              <w:jc w:val="both"/>
              <w:rPr>
                <w:rFonts w:ascii="Times New Roman" w:hAnsi="Times New Roman"/>
                <w:b/>
                <w:noProof/>
                <w:sz w:val="16"/>
                <w:szCs w:val="16"/>
              </w:rPr>
            </w:pPr>
          </w:p>
        </w:tc>
      </w:tr>
      <w:tr w:rsidR="00F0339F" w:rsidRPr="00F0339F" w14:paraId="15B36F53" w14:textId="77777777" w:rsidTr="00F0339F">
        <w:tc>
          <w:tcPr>
            <w:tcW w:w="2122" w:type="dxa"/>
          </w:tcPr>
          <w:p w14:paraId="556C3A65" w14:textId="77777777" w:rsidR="00F0339F" w:rsidRPr="00F0339F" w:rsidRDefault="00F0339F" w:rsidP="00F0339F">
            <w:pPr>
              <w:pStyle w:val="NormalCentered"/>
              <w:spacing w:before="0" w:after="0"/>
              <w:jc w:val="right"/>
              <w:rPr>
                <w:rFonts w:ascii="Times New Roman" w:hAnsi="Times New Roman"/>
                <w:b/>
                <w:noProof/>
                <w:sz w:val="16"/>
                <w:szCs w:val="16"/>
              </w:rPr>
            </w:pPr>
            <w:r w:rsidRPr="00F0339F">
              <w:rPr>
                <w:rFonts w:ascii="Times New Roman" w:hAnsi="Times New Roman"/>
                <w:b/>
                <w:noProof/>
                <w:sz w:val="16"/>
                <w:szCs w:val="16"/>
              </w:rPr>
              <w:t>Window 1</w:t>
            </w:r>
          </w:p>
        </w:tc>
        <w:tc>
          <w:tcPr>
            <w:tcW w:w="1701" w:type="dxa"/>
          </w:tcPr>
          <w:p w14:paraId="340908D6" w14:textId="77777777" w:rsidR="00F0339F" w:rsidRPr="00F0339F" w:rsidRDefault="00F0339F" w:rsidP="00F0339F">
            <w:pPr>
              <w:pStyle w:val="NormalCentered"/>
              <w:spacing w:before="0" w:after="0"/>
              <w:jc w:val="both"/>
              <w:rPr>
                <w:rFonts w:ascii="Times New Roman" w:hAnsi="Times New Roman"/>
                <w:b/>
                <w:noProof/>
                <w:sz w:val="16"/>
                <w:szCs w:val="16"/>
              </w:rPr>
            </w:pPr>
          </w:p>
        </w:tc>
        <w:tc>
          <w:tcPr>
            <w:tcW w:w="1417" w:type="dxa"/>
          </w:tcPr>
          <w:p w14:paraId="4D24F4D8" w14:textId="77777777" w:rsidR="00F0339F" w:rsidRPr="00F0339F" w:rsidRDefault="00F0339F" w:rsidP="00F0339F">
            <w:pPr>
              <w:pStyle w:val="NormalCentered"/>
              <w:spacing w:before="0" w:after="0"/>
              <w:jc w:val="both"/>
              <w:rPr>
                <w:rFonts w:ascii="Times New Roman" w:hAnsi="Times New Roman"/>
                <w:b/>
                <w:noProof/>
                <w:sz w:val="16"/>
                <w:szCs w:val="16"/>
              </w:rPr>
            </w:pPr>
          </w:p>
        </w:tc>
        <w:tc>
          <w:tcPr>
            <w:tcW w:w="1701" w:type="dxa"/>
          </w:tcPr>
          <w:p w14:paraId="7F02E7C9" w14:textId="77777777" w:rsidR="00F0339F" w:rsidRPr="00F0339F" w:rsidRDefault="00F0339F" w:rsidP="00F0339F">
            <w:pPr>
              <w:pStyle w:val="NormalCentered"/>
              <w:spacing w:before="0" w:after="0"/>
              <w:jc w:val="both"/>
              <w:rPr>
                <w:rFonts w:ascii="Times New Roman" w:hAnsi="Times New Roman"/>
                <w:b/>
                <w:noProof/>
                <w:sz w:val="16"/>
                <w:szCs w:val="16"/>
              </w:rPr>
            </w:pPr>
          </w:p>
        </w:tc>
      </w:tr>
      <w:tr w:rsidR="00F0339F" w:rsidRPr="00F0339F" w14:paraId="3B6CD84E" w14:textId="77777777" w:rsidTr="00F0339F">
        <w:tc>
          <w:tcPr>
            <w:tcW w:w="2122" w:type="dxa"/>
          </w:tcPr>
          <w:p w14:paraId="1FC278F4" w14:textId="77777777" w:rsidR="00F0339F" w:rsidRPr="00F0339F" w:rsidRDefault="00F0339F" w:rsidP="00F0339F">
            <w:pPr>
              <w:pStyle w:val="NormalCentered"/>
              <w:spacing w:before="0" w:after="0"/>
              <w:jc w:val="right"/>
              <w:rPr>
                <w:rFonts w:ascii="Times New Roman" w:hAnsi="Times New Roman"/>
                <w:b/>
                <w:noProof/>
                <w:sz w:val="16"/>
                <w:szCs w:val="16"/>
              </w:rPr>
            </w:pPr>
            <w:r w:rsidRPr="00F0339F">
              <w:rPr>
                <w:rFonts w:ascii="Times New Roman" w:hAnsi="Times New Roman"/>
                <w:b/>
                <w:noProof/>
                <w:sz w:val="16"/>
                <w:szCs w:val="16"/>
              </w:rPr>
              <w:t>Window 2</w:t>
            </w:r>
          </w:p>
        </w:tc>
        <w:tc>
          <w:tcPr>
            <w:tcW w:w="1701" w:type="dxa"/>
          </w:tcPr>
          <w:p w14:paraId="02A6EC28" w14:textId="77777777" w:rsidR="00F0339F" w:rsidRPr="00F0339F" w:rsidRDefault="00F0339F" w:rsidP="00F0339F">
            <w:pPr>
              <w:pStyle w:val="NormalCentered"/>
              <w:spacing w:before="0" w:after="0"/>
              <w:jc w:val="both"/>
              <w:rPr>
                <w:rFonts w:ascii="Times New Roman" w:hAnsi="Times New Roman"/>
                <w:b/>
                <w:noProof/>
                <w:sz w:val="16"/>
                <w:szCs w:val="16"/>
              </w:rPr>
            </w:pPr>
          </w:p>
        </w:tc>
        <w:tc>
          <w:tcPr>
            <w:tcW w:w="1417" w:type="dxa"/>
          </w:tcPr>
          <w:p w14:paraId="55EC1A94" w14:textId="77777777" w:rsidR="00F0339F" w:rsidRPr="00F0339F" w:rsidRDefault="00F0339F" w:rsidP="00F0339F">
            <w:pPr>
              <w:pStyle w:val="NormalCentered"/>
              <w:spacing w:before="0" w:after="0"/>
              <w:jc w:val="both"/>
              <w:rPr>
                <w:rFonts w:ascii="Times New Roman" w:hAnsi="Times New Roman"/>
                <w:b/>
                <w:noProof/>
                <w:sz w:val="16"/>
                <w:szCs w:val="16"/>
              </w:rPr>
            </w:pPr>
          </w:p>
        </w:tc>
        <w:tc>
          <w:tcPr>
            <w:tcW w:w="1701" w:type="dxa"/>
          </w:tcPr>
          <w:p w14:paraId="1C69B67B" w14:textId="77777777" w:rsidR="00F0339F" w:rsidRPr="00F0339F" w:rsidRDefault="00F0339F" w:rsidP="00F0339F">
            <w:pPr>
              <w:pStyle w:val="NormalCentered"/>
              <w:spacing w:before="0" w:after="0"/>
              <w:jc w:val="both"/>
              <w:rPr>
                <w:rFonts w:ascii="Times New Roman" w:hAnsi="Times New Roman"/>
                <w:b/>
                <w:noProof/>
                <w:sz w:val="16"/>
                <w:szCs w:val="16"/>
              </w:rPr>
            </w:pPr>
          </w:p>
        </w:tc>
      </w:tr>
      <w:tr w:rsidR="00F0339F" w:rsidRPr="00F0339F" w14:paraId="71BF48A4" w14:textId="77777777" w:rsidTr="00F0339F">
        <w:tc>
          <w:tcPr>
            <w:tcW w:w="2122" w:type="dxa"/>
          </w:tcPr>
          <w:p w14:paraId="031FA3E9" w14:textId="1BD704C4" w:rsidR="00F0339F" w:rsidRPr="00F0339F" w:rsidRDefault="00F0339F" w:rsidP="00F0339F">
            <w:pPr>
              <w:pStyle w:val="NormalCentered"/>
              <w:spacing w:before="0" w:after="0"/>
              <w:jc w:val="both"/>
              <w:rPr>
                <w:rFonts w:ascii="Times New Roman" w:hAnsi="Times New Roman"/>
                <w:b/>
                <w:noProof/>
                <w:sz w:val="16"/>
                <w:szCs w:val="16"/>
              </w:rPr>
            </w:pPr>
            <w:r>
              <w:rPr>
                <w:rFonts w:ascii="Times New Roman" w:hAnsi="Times New Roman"/>
                <w:b/>
                <w:noProof/>
                <w:sz w:val="16"/>
                <w:szCs w:val="16"/>
              </w:rPr>
              <w:t>Instrument</w:t>
            </w:r>
            <w:r w:rsidRPr="00F0339F">
              <w:rPr>
                <w:rFonts w:ascii="Times New Roman" w:hAnsi="Times New Roman"/>
                <w:b/>
                <w:noProof/>
                <w:sz w:val="16"/>
                <w:szCs w:val="16"/>
              </w:rPr>
              <w:t>s</w:t>
            </w:r>
            <w:r>
              <w:rPr>
                <w:rFonts w:ascii="Times New Roman" w:hAnsi="Times New Roman"/>
                <w:b/>
                <w:noProof/>
                <w:sz w:val="16"/>
                <w:szCs w:val="16"/>
              </w:rPr>
              <w:t xml:space="preserve"> </w:t>
            </w:r>
            <w:r w:rsidRPr="00F0339F">
              <w:rPr>
                <w:rFonts w:ascii="Times New Roman" w:hAnsi="Times New Roman"/>
                <w:b/>
                <w:noProof/>
                <w:sz w:val="16"/>
                <w:szCs w:val="16"/>
              </w:rPr>
              <w:t>1</w:t>
            </w:r>
          </w:p>
        </w:tc>
        <w:tc>
          <w:tcPr>
            <w:tcW w:w="1701" w:type="dxa"/>
          </w:tcPr>
          <w:p w14:paraId="6FDFC5D5" w14:textId="77777777" w:rsidR="00F0339F" w:rsidRPr="00F0339F" w:rsidRDefault="00F0339F" w:rsidP="00F0339F">
            <w:pPr>
              <w:pStyle w:val="NormalCentered"/>
              <w:spacing w:before="0" w:after="0"/>
              <w:jc w:val="both"/>
              <w:rPr>
                <w:rFonts w:ascii="Times New Roman" w:hAnsi="Times New Roman"/>
                <w:b/>
                <w:noProof/>
                <w:sz w:val="16"/>
                <w:szCs w:val="16"/>
              </w:rPr>
            </w:pPr>
          </w:p>
        </w:tc>
        <w:tc>
          <w:tcPr>
            <w:tcW w:w="1417" w:type="dxa"/>
          </w:tcPr>
          <w:p w14:paraId="633F0C15" w14:textId="77777777" w:rsidR="00F0339F" w:rsidRPr="00F0339F" w:rsidRDefault="00F0339F" w:rsidP="00F0339F">
            <w:pPr>
              <w:pStyle w:val="NormalCentered"/>
              <w:spacing w:before="0" w:after="0"/>
              <w:jc w:val="both"/>
              <w:rPr>
                <w:rFonts w:ascii="Times New Roman" w:hAnsi="Times New Roman"/>
                <w:b/>
                <w:noProof/>
                <w:sz w:val="16"/>
                <w:szCs w:val="16"/>
              </w:rPr>
            </w:pPr>
          </w:p>
        </w:tc>
        <w:tc>
          <w:tcPr>
            <w:tcW w:w="1701" w:type="dxa"/>
          </w:tcPr>
          <w:p w14:paraId="4B39569E" w14:textId="77777777" w:rsidR="00F0339F" w:rsidRPr="00F0339F" w:rsidRDefault="00F0339F" w:rsidP="00F0339F">
            <w:pPr>
              <w:pStyle w:val="NormalCentered"/>
              <w:spacing w:before="0" w:after="0"/>
              <w:jc w:val="both"/>
              <w:rPr>
                <w:rFonts w:ascii="Times New Roman" w:hAnsi="Times New Roman"/>
                <w:b/>
                <w:noProof/>
                <w:sz w:val="16"/>
                <w:szCs w:val="16"/>
              </w:rPr>
            </w:pPr>
          </w:p>
        </w:tc>
      </w:tr>
      <w:tr w:rsidR="00F0339F" w:rsidRPr="00F0339F" w14:paraId="1CBBFF87" w14:textId="77777777" w:rsidTr="00F0339F">
        <w:tc>
          <w:tcPr>
            <w:tcW w:w="2122" w:type="dxa"/>
          </w:tcPr>
          <w:p w14:paraId="5252A84C" w14:textId="2FCAA4BA" w:rsidR="00F0339F" w:rsidRPr="00F0339F" w:rsidRDefault="00F0339F" w:rsidP="00F0339F">
            <w:pPr>
              <w:pStyle w:val="NormalCentered"/>
              <w:spacing w:before="0" w:after="0"/>
              <w:jc w:val="both"/>
              <w:rPr>
                <w:rFonts w:ascii="Times New Roman" w:hAnsi="Times New Roman"/>
                <w:b/>
                <w:noProof/>
                <w:sz w:val="16"/>
                <w:szCs w:val="16"/>
              </w:rPr>
            </w:pPr>
            <w:r w:rsidRPr="00F0339F">
              <w:rPr>
                <w:rFonts w:ascii="Times New Roman" w:hAnsi="Times New Roman"/>
                <w:b/>
                <w:noProof/>
                <w:sz w:val="16"/>
                <w:szCs w:val="16"/>
              </w:rPr>
              <w:t>Instruments 2</w:t>
            </w:r>
          </w:p>
        </w:tc>
        <w:tc>
          <w:tcPr>
            <w:tcW w:w="1701" w:type="dxa"/>
          </w:tcPr>
          <w:p w14:paraId="480F5B07" w14:textId="77777777" w:rsidR="00F0339F" w:rsidRPr="00F0339F" w:rsidRDefault="00F0339F" w:rsidP="00F0339F">
            <w:pPr>
              <w:pStyle w:val="NormalCentered"/>
              <w:spacing w:before="0" w:after="0"/>
              <w:jc w:val="both"/>
              <w:rPr>
                <w:rFonts w:ascii="Times New Roman" w:hAnsi="Times New Roman"/>
                <w:b/>
                <w:noProof/>
                <w:sz w:val="16"/>
                <w:szCs w:val="16"/>
              </w:rPr>
            </w:pPr>
          </w:p>
        </w:tc>
        <w:tc>
          <w:tcPr>
            <w:tcW w:w="1417" w:type="dxa"/>
          </w:tcPr>
          <w:p w14:paraId="045EA93F" w14:textId="77777777" w:rsidR="00F0339F" w:rsidRPr="00F0339F" w:rsidRDefault="00F0339F" w:rsidP="00F0339F">
            <w:pPr>
              <w:pStyle w:val="NormalCentered"/>
              <w:spacing w:before="0" w:after="0"/>
              <w:jc w:val="both"/>
              <w:rPr>
                <w:rFonts w:ascii="Times New Roman" w:hAnsi="Times New Roman"/>
                <w:b/>
                <w:noProof/>
                <w:sz w:val="16"/>
                <w:szCs w:val="16"/>
              </w:rPr>
            </w:pPr>
          </w:p>
        </w:tc>
        <w:tc>
          <w:tcPr>
            <w:tcW w:w="1701" w:type="dxa"/>
          </w:tcPr>
          <w:p w14:paraId="4DD56CF6" w14:textId="77777777" w:rsidR="00F0339F" w:rsidRPr="00F0339F" w:rsidRDefault="00F0339F" w:rsidP="00F0339F">
            <w:pPr>
              <w:pStyle w:val="NormalCentered"/>
              <w:spacing w:before="0" w:after="0"/>
              <w:jc w:val="both"/>
              <w:rPr>
                <w:rFonts w:ascii="Times New Roman" w:hAnsi="Times New Roman"/>
                <w:b/>
                <w:noProof/>
                <w:sz w:val="16"/>
                <w:szCs w:val="16"/>
              </w:rPr>
            </w:pPr>
          </w:p>
        </w:tc>
      </w:tr>
    </w:tbl>
    <w:p w14:paraId="1D85335C" w14:textId="34CBA796" w:rsidR="00AC212B" w:rsidRPr="00930237" w:rsidRDefault="00AC212B" w:rsidP="00E35C36">
      <w:pPr>
        <w:pStyle w:val="Heading2"/>
        <w:numPr>
          <w:ilvl w:val="0"/>
          <w:numId w:val="0"/>
        </w:numPr>
        <w:spacing w:after="0"/>
        <w:rPr>
          <w:noProof/>
          <w:szCs w:val="24"/>
        </w:rPr>
      </w:pPr>
      <w:bookmarkStart w:id="54" w:name="_Toc69125429"/>
      <w:r w:rsidRPr="00930237">
        <w:rPr>
          <w:noProof/>
          <w:szCs w:val="24"/>
        </w:rPr>
        <w:t>3.</w:t>
      </w:r>
      <w:r w:rsidR="009466B6">
        <w:rPr>
          <w:noProof/>
          <w:szCs w:val="24"/>
        </w:rPr>
        <w:t>2</w:t>
      </w:r>
      <w:r w:rsidRPr="00930237">
        <w:rPr>
          <w:noProof/>
          <w:szCs w:val="24"/>
        </w:rPr>
        <w:t xml:space="preserve"> Finanšu apropriācijas pa gadiem</w:t>
      </w:r>
      <w:bookmarkEnd w:id="54"/>
    </w:p>
    <w:p w14:paraId="1A1003E6" w14:textId="39C1AD85" w:rsidR="00FA2B3F" w:rsidRDefault="00FA2B3F" w:rsidP="00E35C36">
      <w:pPr>
        <w:spacing w:before="0" w:after="0"/>
        <w:jc w:val="left"/>
        <w:rPr>
          <w:sz w:val="20"/>
        </w:rPr>
      </w:pPr>
    </w:p>
    <w:p w14:paraId="73726039" w14:textId="733967F9" w:rsidR="00AC212B" w:rsidRPr="00444666" w:rsidRDefault="00187D78" w:rsidP="00E35C36">
      <w:pPr>
        <w:pStyle w:val="Heading4"/>
        <w:numPr>
          <w:ilvl w:val="0"/>
          <w:numId w:val="0"/>
        </w:numPr>
        <w:spacing w:after="0"/>
        <w:rPr>
          <w:b/>
          <w:bCs/>
        </w:rPr>
      </w:pPr>
      <w:r>
        <w:rPr>
          <w:b/>
          <w:bCs/>
        </w:rPr>
        <w:t>26.tabula (</w:t>
      </w:r>
      <w:r w:rsidR="00AC212B" w:rsidRPr="00444666">
        <w:rPr>
          <w:b/>
          <w:bCs/>
        </w:rPr>
        <w:t>10</w:t>
      </w:r>
      <w:r>
        <w:rPr>
          <w:b/>
          <w:bCs/>
        </w:rPr>
        <w:t>)</w:t>
      </w:r>
      <w:r w:rsidR="00AC212B" w:rsidRPr="00444666">
        <w:rPr>
          <w:b/>
          <w:bCs/>
        </w:rPr>
        <w:t xml:space="preserve"> ES fondu finansējuma sa</w:t>
      </w:r>
      <w:r w:rsidR="006A4A8E" w:rsidRPr="00444666">
        <w:rPr>
          <w:b/>
          <w:bCs/>
        </w:rPr>
        <w:t>d</w:t>
      </w:r>
      <w:r w:rsidR="00AC212B" w:rsidRPr="00444666">
        <w:rPr>
          <w:b/>
          <w:bCs/>
        </w:rPr>
        <w:t>alījums pa gadiem</w:t>
      </w:r>
    </w:p>
    <w:p w14:paraId="05E26A77" w14:textId="77777777" w:rsidR="00AC212B" w:rsidRPr="00930237" w:rsidRDefault="00AC212B" w:rsidP="00E35C36">
      <w:pPr>
        <w:spacing w:before="0" w:after="0"/>
        <w:rPr>
          <w:rFonts w:eastAsia="Times New Roman"/>
          <w:b/>
          <w:iCs/>
          <w:noProof/>
          <w:szCs w:val="24"/>
        </w:rPr>
      </w:pPr>
    </w:p>
    <w:tbl>
      <w:tblPr>
        <w:tblW w:w="13745" w:type="dxa"/>
        <w:tblLook w:val="04A0" w:firstRow="1" w:lastRow="0" w:firstColumn="1" w:lastColumn="0" w:noHBand="0" w:noVBand="1"/>
      </w:tblPr>
      <w:tblGrid>
        <w:gridCol w:w="1241"/>
        <w:gridCol w:w="919"/>
        <w:gridCol w:w="1081"/>
        <w:gridCol w:w="1126"/>
        <w:gridCol w:w="1126"/>
        <w:gridCol w:w="1126"/>
        <w:gridCol w:w="1126"/>
        <w:gridCol w:w="1134"/>
        <w:gridCol w:w="1168"/>
        <w:gridCol w:w="1264"/>
        <w:gridCol w:w="1168"/>
        <w:gridCol w:w="1266"/>
      </w:tblGrid>
      <w:tr w:rsidR="00AC212B" w:rsidRPr="006D468D" w14:paraId="5B3220CD" w14:textId="77777777" w:rsidTr="00710DDA">
        <w:trPr>
          <w:trHeight w:val="82"/>
        </w:trPr>
        <w:tc>
          <w:tcPr>
            <w:tcW w:w="1241" w:type="dxa"/>
            <w:vMerge w:val="restart"/>
            <w:tcBorders>
              <w:top w:val="single" w:sz="4" w:space="0" w:color="auto"/>
              <w:left w:val="single" w:sz="4" w:space="0" w:color="auto"/>
              <w:right w:val="single" w:sz="4" w:space="0" w:color="auto"/>
            </w:tcBorders>
            <w:shd w:val="clear" w:color="auto" w:fill="auto"/>
            <w:vAlign w:val="center"/>
            <w:hideMark/>
          </w:tcPr>
          <w:p w14:paraId="5A1AFF2A" w14:textId="77777777" w:rsidR="00AC212B" w:rsidRPr="006D468D" w:rsidRDefault="00AC212B" w:rsidP="00710DDA">
            <w:pPr>
              <w:spacing w:before="0" w:after="0"/>
              <w:jc w:val="left"/>
              <w:rPr>
                <w:rFonts w:eastAsia="Times New Roman"/>
                <w:b/>
                <w:bCs/>
                <w:color w:val="000000"/>
                <w:sz w:val="16"/>
                <w:szCs w:val="16"/>
                <w:lang w:bidi="ar-SA"/>
              </w:rPr>
            </w:pPr>
            <w:r w:rsidRPr="006D468D">
              <w:rPr>
                <w:rFonts w:eastAsia="Times New Roman"/>
                <w:b/>
                <w:bCs/>
                <w:color w:val="000000"/>
                <w:sz w:val="16"/>
                <w:szCs w:val="16"/>
                <w:lang w:bidi="ar-SA"/>
              </w:rPr>
              <w:t>Fonds</w:t>
            </w:r>
          </w:p>
        </w:tc>
        <w:tc>
          <w:tcPr>
            <w:tcW w:w="919" w:type="dxa"/>
            <w:vMerge w:val="restart"/>
            <w:tcBorders>
              <w:top w:val="single" w:sz="4" w:space="0" w:color="auto"/>
              <w:left w:val="nil"/>
              <w:right w:val="single" w:sz="4" w:space="0" w:color="auto"/>
            </w:tcBorders>
            <w:shd w:val="clear" w:color="auto" w:fill="auto"/>
            <w:vAlign w:val="center"/>
            <w:hideMark/>
          </w:tcPr>
          <w:p w14:paraId="58BBE757" w14:textId="77777777" w:rsidR="00AC212B" w:rsidRPr="006D468D" w:rsidRDefault="00AC212B" w:rsidP="00710DDA">
            <w:pPr>
              <w:spacing w:before="0" w:after="0"/>
              <w:jc w:val="left"/>
              <w:rPr>
                <w:rFonts w:eastAsia="Times New Roman"/>
                <w:b/>
                <w:bCs/>
                <w:color w:val="000000"/>
                <w:sz w:val="16"/>
                <w:szCs w:val="16"/>
                <w:lang w:bidi="ar-SA"/>
              </w:rPr>
            </w:pPr>
            <w:r w:rsidRPr="006D468D">
              <w:rPr>
                <w:rFonts w:eastAsia="Times New Roman"/>
                <w:b/>
                <w:bCs/>
                <w:color w:val="000000"/>
                <w:sz w:val="16"/>
                <w:szCs w:val="16"/>
                <w:lang w:bidi="ar-SA"/>
              </w:rPr>
              <w:t>Reģiona kategorija</w:t>
            </w:r>
          </w:p>
          <w:p w14:paraId="3BA6E2D3" w14:textId="77777777" w:rsidR="00AC212B" w:rsidRPr="006D468D" w:rsidRDefault="00AC212B" w:rsidP="00710DDA">
            <w:pPr>
              <w:spacing w:before="0" w:after="0"/>
              <w:jc w:val="left"/>
              <w:rPr>
                <w:rFonts w:eastAsia="Times New Roman"/>
                <w:b/>
                <w:bCs/>
                <w:color w:val="000000"/>
                <w:sz w:val="16"/>
                <w:szCs w:val="16"/>
                <w:lang w:bidi="ar-SA"/>
              </w:rPr>
            </w:pPr>
            <w:r w:rsidRPr="006D468D">
              <w:rPr>
                <w:rFonts w:eastAsia="Times New Roman"/>
                <w:b/>
                <w:bCs/>
                <w:color w:val="000000"/>
                <w:sz w:val="16"/>
                <w:szCs w:val="16"/>
                <w:lang w:bidi="ar-SA"/>
              </w:rPr>
              <w:t> </w:t>
            </w:r>
          </w:p>
        </w:tc>
        <w:tc>
          <w:tcPr>
            <w:tcW w:w="1081" w:type="dxa"/>
            <w:vMerge w:val="restart"/>
            <w:tcBorders>
              <w:top w:val="single" w:sz="4" w:space="0" w:color="auto"/>
              <w:left w:val="nil"/>
              <w:right w:val="single" w:sz="4" w:space="0" w:color="auto"/>
            </w:tcBorders>
            <w:shd w:val="clear" w:color="auto" w:fill="auto"/>
            <w:vAlign w:val="center"/>
            <w:hideMark/>
          </w:tcPr>
          <w:p w14:paraId="0C5899EA" w14:textId="77777777" w:rsidR="00AC212B" w:rsidRPr="006D468D" w:rsidRDefault="00AC212B" w:rsidP="00710DDA">
            <w:pPr>
              <w:spacing w:before="0" w:after="0"/>
              <w:jc w:val="center"/>
              <w:rPr>
                <w:rFonts w:eastAsia="Times New Roman"/>
                <w:b/>
                <w:bCs/>
                <w:color w:val="000000"/>
                <w:sz w:val="16"/>
                <w:szCs w:val="16"/>
                <w:lang w:bidi="ar-SA"/>
              </w:rPr>
            </w:pPr>
            <w:r w:rsidRPr="006D468D">
              <w:rPr>
                <w:rFonts w:eastAsia="Times New Roman"/>
                <w:b/>
                <w:bCs/>
                <w:color w:val="000000"/>
                <w:sz w:val="16"/>
                <w:szCs w:val="16"/>
                <w:lang w:bidi="ar-SA"/>
              </w:rPr>
              <w:t>2021</w:t>
            </w:r>
          </w:p>
          <w:p w14:paraId="3E1550A4" w14:textId="77777777" w:rsidR="00AC212B" w:rsidRPr="006D468D" w:rsidRDefault="00AC212B" w:rsidP="00710DDA">
            <w:pPr>
              <w:spacing w:before="0" w:after="0"/>
              <w:jc w:val="center"/>
              <w:rPr>
                <w:rFonts w:eastAsia="Times New Roman"/>
                <w:b/>
                <w:bCs/>
                <w:color w:val="000000"/>
                <w:sz w:val="16"/>
                <w:szCs w:val="16"/>
                <w:lang w:bidi="ar-SA"/>
              </w:rPr>
            </w:pPr>
            <w:r w:rsidRPr="006D468D">
              <w:rPr>
                <w:rFonts w:eastAsia="Times New Roman"/>
                <w:b/>
                <w:bCs/>
                <w:color w:val="000000"/>
                <w:sz w:val="16"/>
                <w:szCs w:val="16"/>
                <w:lang w:bidi="ar-SA"/>
              </w:rPr>
              <w:t> </w:t>
            </w:r>
          </w:p>
        </w:tc>
        <w:tc>
          <w:tcPr>
            <w:tcW w:w="1126" w:type="dxa"/>
            <w:vMerge w:val="restart"/>
            <w:tcBorders>
              <w:top w:val="single" w:sz="4" w:space="0" w:color="auto"/>
              <w:left w:val="nil"/>
              <w:right w:val="single" w:sz="4" w:space="0" w:color="auto"/>
            </w:tcBorders>
            <w:shd w:val="clear" w:color="auto" w:fill="auto"/>
            <w:vAlign w:val="center"/>
            <w:hideMark/>
          </w:tcPr>
          <w:p w14:paraId="52C38AFA" w14:textId="77777777" w:rsidR="00AC212B" w:rsidRPr="006D468D" w:rsidRDefault="00AC212B" w:rsidP="00710DDA">
            <w:pPr>
              <w:spacing w:before="0" w:after="0"/>
              <w:jc w:val="center"/>
              <w:rPr>
                <w:rFonts w:eastAsia="Times New Roman"/>
                <w:b/>
                <w:bCs/>
                <w:color w:val="000000"/>
                <w:sz w:val="16"/>
                <w:szCs w:val="16"/>
                <w:lang w:bidi="ar-SA"/>
              </w:rPr>
            </w:pPr>
            <w:r w:rsidRPr="006D468D">
              <w:rPr>
                <w:rFonts w:eastAsia="Times New Roman"/>
                <w:b/>
                <w:bCs/>
                <w:color w:val="000000"/>
                <w:sz w:val="16"/>
                <w:szCs w:val="16"/>
                <w:lang w:bidi="ar-SA"/>
              </w:rPr>
              <w:t>2022</w:t>
            </w:r>
          </w:p>
          <w:p w14:paraId="32B78C23" w14:textId="77777777" w:rsidR="00AC212B" w:rsidRPr="006D468D" w:rsidRDefault="00AC212B" w:rsidP="00710DDA">
            <w:pPr>
              <w:spacing w:before="0" w:after="0"/>
              <w:jc w:val="center"/>
              <w:rPr>
                <w:rFonts w:eastAsia="Times New Roman"/>
                <w:b/>
                <w:bCs/>
                <w:color w:val="000000"/>
                <w:sz w:val="16"/>
                <w:szCs w:val="16"/>
                <w:lang w:bidi="ar-SA"/>
              </w:rPr>
            </w:pPr>
            <w:r w:rsidRPr="006D468D">
              <w:rPr>
                <w:rFonts w:eastAsia="Times New Roman"/>
                <w:b/>
                <w:bCs/>
                <w:color w:val="000000"/>
                <w:sz w:val="16"/>
                <w:szCs w:val="16"/>
                <w:lang w:bidi="ar-SA"/>
              </w:rPr>
              <w:t> </w:t>
            </w:r>
          </w:p>
        </w:tc>
        <w:tc>
          <w:tcPr>
            <w:tcW w:w="1126" w:type="dxa"/>
            <w:vMerge w:val="restart"/>
            <w:tcBorders>
              <w:top w:val="single" w:sz="4" w:space="0" w:color="auto"/>
              <w:left w:val="nil"/>
              <w:right w:val="single" w:sz="4" w:space="0" w:color="auto"/>
            </w:tcBorders>
            <w:shd w:val="clear" w:color="auto" w:fill="auto"/>
            <w:vAlign w:val="center"/>
            <w:hideMark/>
          </w:tcPr>
          <w:p w14:paraId="4687E318" w14:textId="77777777" w:rsidR="00AC212B" w:rsidRPr="006D468D" w:rsidRDefault="00AC212B" w:rsidP="00710DDA">
            <w:pPr>
              <w:spacing w:before="0" w:after="0"/>
              <w:jc w:val="center"/>
              <w:rPr>
                <w:rFonts w:eastAsia="Times New Roman"/>
                <w:b/>
                <w:bCs/>
                <w:color w:val="000000"/>
                <w:sz w:val="16"/>
                <w:szCs w:val="16"/>
                <w:lang w:bidi="ar-SA"/>
              </w:rPr>
            </w:pPr>
            <w:r w:rsidRPr="006D468D">
              <w:rPr>
                <w:rFonts w:eastAsia="Times New Roman"/>
                <w:b/>
                <w:bCs/>
                <w:color w:val="000000"/>
                <w:sz w:val="16"/>
                <w:szCs w:val="16"/>
                <w:lang w:bidi="ar-SA"/>
              </w:rPr>
              <w:t>2023</w:t>
            </w:r>
          </w:p>
          <w:p w14:paraId="661FFB64" w14:textId="77777777" w:rsidR="00AC212B" w:rsidRPr="006D468D" w:rsidRDefault="00AC212B" w:rsidP="00710DDA">
            <w:pPr>
              <w:spacing w:before="0" w:after="0"/>
              <w:jc w:val="center"/>
              <w:rPr>
                <w:rFonts w:eastAsia="Times New Roman"/>
                <w:b/>
                <w:bCs/>
                <w:color w:val="000000"/>
                <w:sz w:val="16"/>
                <w:szCs w:val="16"/>
                <w:lang w:bidi="ar-SA"/>
              </w:rPr>
            </w:pPr>
            <w:r w:rsidRPr="006D468D">
              <w:rPr>
                <w:rFonts w:eastAsia="Times New Roman"/>
                <w:b/>
                <w:bCs/>
                <w:color w:val="000000"/>
                <w:sz w:val="16"/>
                <w:szCs w:val="16"/>
                <w:lang w:bidi="ar-SA"/>
              </w:rPr>
              <w:t> </w:t>
            </w:r>
          </w:p>
        </w:tc>
        <w:tc>
          <w:tcPr>
            <w:tcW w:w="1126" w:type="dxa"/>
            <w:vMerge w:val="restart"/>
            <w:tcBorders>
              <w:top w:val="single" w:sz="4" w:space="0" w:color="auto"/>
              <w:left w:val="nil"/>
              <w:right w:val="single" w:sz="4" w:space="0" w:color="auto"/>
            </w:tcBorders>
            <w:shd w:val="clear" w:color="auto" w:fill="auto"/>
            <w:vAlign w:val="center"/>
            <w:hideMark/>
          </w:tcPr>
          <w:p w14:paraId="73FC05D7" w14:textId="77777777" w:rsidR="00AC212B" w:rsidRPr="006D468D" w:rsidRDefault="00AC212B" w:rsidP="00710DDA">
            <w:pPr>
              <w:spacing w:before="0" w:after="0"/>
              <w:jc w:val="center"/>
              <w:rPr>
                <w:rFonts w:eastAsia="Times New Roman"/>
                <w:b/>
                <w:bCs/>
                <w:color w:val="000000"/>
                <w:sz w:val="16"/>
                <w:szCs w:val="16"/>
                <w:lang w:bidi="ar-SA"/>
              </w:rPr>
            </w:pPr>
            <w:r w:rsidRPr="006D468D">
              <w:rPr>
                <w:rFonts w:eastAsia="Times New Roman"/>
                <w:b/>
                <w:bCs/>
                <w:color w:val="000000"/>
                <w:sz w:val="16"/>
                <w:szCs w:val="16"/>
                <w:lang w:bidi="ar-SA"/>
              </w:rPr>
              <w:t>2024</w:t>
            </w:r>
          </w:p>
          <w:p w14:paraId="2678F322" w14:textId="77777777" w:rsidR="00AC212B" w:rsidRPr="006D468D" w:rsidRDefault="00AC212B" w:rsidP="00710DDA">
            <w:pPr>
              <w:spacing w:before="0" w:after="0"/>
              <w:jc w:val="center"/>
              <w:rPr>
                <w:rFonts w:eastAsia="Times New Roman"/>
                <w:b/>
                <w:bCs/>
                <w:color w:val="000000"/>
                <w:sz w:val="16"/>
                <w:szCs w:val="16"/>
                <w:lang w:bidi="ar-SA"/>
              </w:rPr>
            </w:pPr>
            <w:r w:rsidRPr="006D468D">
              <w:rPr>
                <w:rFonts w:eastAsia="Times New Roman"/>
                <w:b/>
                <w:bCs/>
                <w:color w:val="000000"/>
                <w:sz w:val="16"/>
                <w:szCs w:val="16"/>
                <w:lang w:bidi="ar-SA"/>
              </w:rPr>
              <w:t> </w:t>
            </w:r>
          </w:p>
        </w:tc>
        <w:tc>
          <w:tcPr>
            <w:tcW w:w="1126" w:type="dxa"/>
            <w:vMerge w:val="restart"/>
            <w:tcBorders>
              <w:top w:val="single" w:sz="4" w:space="0" w:color="auto"/>
              <w:left w:val="nil"/>
              <w:right w:val="single" w:sz="4" w:space="0" w:color="auto"/>
            </w:tcBorders>
            <w:shd w:val="clear" w:color="auto" w:fill="auto"/>
            <w:vAlign w:val="center"/>
            <w:hideMark/>
          </w:tcPr>
          <w:p w14:paraId="091413BB" w14:textId="77777777" w:rsidR="00AC212B" w:rsidRPr="006D468D" w:rsidRDefault="00AC212B" w:rsidP="00710DDA">
            <w:pPr>
              <w:spacing w:before="0" w:after="0"/>
              <w:jc w:val="center"/>
              <w:rPr>
                <w:rFonts w:eastAsia="Times New Roman"/>
                <w:b/>
                <w:bCs/>
                <w:color w:val="000000"/>
                <w:sz w:val="16"/>
                <w:szCs w:val="16"/>
                <w:lang w:bidi="ar-SA"/>
              </w:rPr>
            </w:pPr>
            <w:r w:rsidRPr="006D468D">
              <w:rPr>
                <w:rFonts w:eastAsia="Times New Roman"/>
                <w:b/>
                <w:bCs/>
                <w:color w:val="000000"/>
                <w:sz w:val="16"/>
                <w:szCs w:val="16"/>
                <w:lang w:bidi="ar-SA"/>
              </w:rPr>
              <w:t>2025</w:t>
            </w:r>
          </w:p>
          <w:p w14:paraId="62459F22" w14:textId="77777777" w:rsidR="00AC212B" w:rsidRPr="006D468D" w:rsidRDefault="00AC212B" w:rsidP="00710DDA">
            <w:pPr>
              <w:spacing w:before="0" w:after="0"/>
              <w:jc w:val="center"/>
              <w:rPr>
                <w:rFonts w:eastAsia="Times New Roman"/>
                <w:b/>
                <w:bCs/>
                <w:color w:val="000000"/>
                <w:sz w:val="16"/>
                <w:szCs w:val="16"/>
                <w:lang w:bidi="ar-SA"/>
              </w:rPr>
            </w:pPr>
            <w:r w:rsidRPr="006D468D">
              <w:rPr>
                <w:rFonts w:eastAsia="Times New Roman"/>
                <w:b/>
                <w:bCs/>
                <w:color w:val="000000"/>
                <w:sz w:val="16"/>
                <w:szCs w:val="16"/>
                <w:lang w:bidi="ar-SA"/>
              </w:rPr>
              <w:t> </w:t>
            </w:r>
          </w:p>
        </w:tc>
        <w:tc>
          <w:tcPr>
            <w:tcW w:w="2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3F6D004" w14:textId="77777777" w:rsidR="00AC212B" w:rsidRPr="006D468D" w:rsidRDefault="00AC212B" w:rsidP="00710DDA">
            <w:pPr>
              <w:spacing w:before="0" w:after="0"/>
              <w:jc w:val="center"/>
              <w:rPr>
                <w:rFonts w:eastAsia="Times New Roman"/>
                <w:b/>
                <w:bCs/>
                <w:color w:val="000000"/>
                <w:sz w:val="16"/>
                <w:szCs w:val="16"/>
                <w:lang w:bidi="ar-SA"/>
              </w:rPr>
            </w:pPr>
            <w:r w:rsidRPr="006D468D">
              <w:rPr>
                <w:rFonts w:eastAsia="Times New Roman"/>
                <w:b/>
                <w:bCs/>
                <w:color w:val="000000"/>
                <w:sz w:val="16"/>
                <w:szCs w:val="16"/>
                <w:lang w:bidi="ar-SA"/>
              </w:rPr>
              <w:t>2026</w:t>
            </w:r>
          </w:p>
        </w:tc>
        <w:tc>
          <w:tcPr>
            <w:tcW w:w="243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E96FC2C" w14:textId="77777777" w:rsidR="00AC212B" w:rsidRPr="006D468D" w:rsidRDefault="00AC212B" w:rsidP="00710DDA">
            <w:pPr>
              <w:spacing w:before="0" w:after="0"/>
              <w:jc w:val="center"/>
              <w:rPr>
                <w:rFonts w:eastAsia="Times New Roman"/>
                <w:b/>
                <w:bCs/>
                <w:color w:val="000000"/>
                <w:sz w:val="16"/>
                <w:szCs w:val="16"/>
                <w:lang w:bidi="ar-SA"/>
              </w:rPr>
            </w:pPr>
            <w:r w:rsidRPr="006D468D">
              <w:rPr>
                <w:rFonts w:eastAsia="Times New Roman"/>
                <w:b/>
                <w:bCs/>
                <w:color w:val="000000"/>
                <w:sz w:val="16"/>
                <w:szCs w:val="16"/>
                <w:lang w:bidi="ar-SA"/>
              </w:rPr>
              <w:t>2027</w:t>
            </w:r>
          </w:p>
        </w:tc>
        <w:tc>
          <w:tcPr>
            <w:tcW w:w="1266" w:type="dxa"/>
            <w:vMerge w:val="restart"/>
            <w:tcBorders>
              <w:top w:val="single" w:sz="4" w:space="0" w:color="auto"/>
              <w:left w:val="single" w:sz="4" w:space="0" w:color="auto"/>
              <w:right w:val="single" w:sz="4" w:space="0" w:color="auto"/>
            </w:tcBorders>
            <w:shd w:val="clear" w:color="auto" w:fill="auto"/>
            <w:vAlign w:val="center"/>
            <w:hideMark/>
          </w:tcPr>
          <w:p w14:paraId="11551235" w14:textId="77777777" w:rsidR="00AC212B" w:rsidRPr="006D468D" w:rsidRDefault="00AC212B" w:rsidP="00710DDA">
            <w:pPr>
              <w:spacing w:before="0" w:after="0"/>
              <w:jc w:val="left"/>
              <w:rPr>
                <w:rFonts w:eastAsia="Times New Roman"/>
                <w:b/>
                <w:bCs/>
                <w:color w:val="000000"/>
                <w:sz w:val="16"/>
                <w:szCs w:val="16"/>
                <w:lang w:bidi="ar-SA"/>
              </w:rPr>
            </w:pPr>
            <w:r w:rsidRPr="006D468D">
              <w:rPr>
                <w:rFonts w:eastAsia="Times New Roman"/>
                <w:b/>
                <w:bCs/>
                <w:color w:val="000000"/>
                <w:sz w:val="16"/>
                <w:szCs w:val="16"/>
                <w:lang w:bidi="ar-SA"/>
              </w:rPr>
              <w:t xml:space="preserve">Kopā </w:t>
            </w:r>
          </w:p>
          <w:p w14:paraId="07A83627" w14:textId="77777777" w:rsidR="00AC212B" w:rsidRPr="006D468D" w:rsidRDefault="00AC212B" w:rsidP="00710DDA">
            <w:pPr>
              <w:spacing w:before="0" w:after="0"/>
              <w:jc w:val="left"/>
              <w:rPr>
                <w:rFonts w:eastAsia="Times New Roman"/>
                <w:b/>
                <w:bCs/>
                <w:color w:val="000000"/>
                <w:sz w:val="16"/>
                <w:szCs w:val="16"/>
                <w:lang w:bidi="ar-SA"/>
              </w:rPr>
            </w:pPr>
            <w:r w:rsidRPr="006D468D">
              <w:rPr>
                <w:rFonts w:eastAsia="Times New Roman"/>
                <w:b/>
                <w:bCs/>
                <w:color w:val="000000"/>
                <w:sz w:val="16"/>
                <w:szCs w:val="16"/>
                <w:lang w:bidi="ar-SA"/>
              </w:rPr>
              <w:t> </w:t>
            </w:r>
          </w:p>
        </w:tc>
      </w:tr>
      <w:tr w:rsidR="00AC212B" w:rsidRPr="006D468D" w14:paraId="202C5CB5" w14:textId="77777777" w:rsidTr="00710DDA">
        <w:trPr>
          <w:trHeight w:val="56"/>
        </w:trPr>
        <w:tc>
          <w:tcPr>
            <w:tcW w:w="1241" w:type="dxa"/>
            <w:vMerge/>
            <w:tcBorders>
              <w:left w:val="single" w:sz="4" w:space="0" w:color="auto"/>
              <w:bottom w:val="single" w:sz="4" w:space="0" w:color="auto"/>
              <w:right w:val="single" w:sz="4" w:space="0" w:color="auto"/>
            </w:tcBorders>
            <w:shd w:val="clear" w:color="auto" w:fill="auto"/>
            <w:vAlign w:val="center"/>
            <w:hideMark/>
          </w:tcPr>
          <w:p w14:paraId="2D213FE0" w14:textId="77777777" w:rsidR="00AC212B" w:rsidRPr="006D468D" w:rsidRDefault="00AC212B" w:rsidP="00710DDA">
            <w:pPr>
              <w:spacing w:before="0" w:after="0"/>
              <w:jc w:val="left"/>
              <w:rPr>
                <w:rFonts w:eastAsia="Times New Roman"/>
                <w:b/>
                <w:bCs/>
                <w:color w:val="000000"/>
                <w:sz w:val="16"/>
                <w:szCs w:val="16"/>
                <w:lang w:bidi="ar-SA"/>
              </w:rPr>
            </w:pPr>
          </w:p>
        </w:tc>
        <w:tc>
          <w:tcPr>
            <w:tcW w:w="919" w:type="dxa"/>
            <w:vMerge/>
            <w:tcBorders>
              <w:left w:val="nil"/>
              <w:bottom w:val="single" w:sz="4" w:space="0" w:color="auto"/>
              <w:right w:val="single" w:sz="4" w:space="0" w:color="auto"/>
            </w:tcBorders>
            <w:shd w:val="clear" w:color="auto" w:fill="auto"/>
            <w:vAlign w:val="center"/>
            <w:hideMark/>
          </w:tcPr>
          <w:p w14:paraId="6F9C4153" w14:textId="77777777" w:rsidR="00AC212B" w:rsidRPr="006D468D" w:rsidRDefault="00AC212B" w:rsidP="00710DDA">
            <w:pPr>
              <w:spacing w:before="0" w:after="0"/>
              <w:jc w:val="left"/>
              <w:rPr>
                <w:rFonts w:eastAsia="Times New Roman"/>
                <w:b/>
                <w:bCs/>
                <w:color w:val="000000"/>
                <w:sz w:val="16"/>
                <w:szCs w:val="16"/>
                <w:lang w:bidi="ar-SA"/>
              </w:rPr>
            </w:pPr>
          </w:p>
        </w:tc>
        <w:tc>
          <w:tcPr>
            <w:tcW w:w="1081" w:type="dxa"/>
            <w:vMerge/>
            <w:tcBorders>
              <w:left w:val="nil"/>
              <w:bottom w:val="single" w:sz="4" w:space="0" w:color="auto"/>
              <w:right w:val="single" w:sz="4" w:space="0" w:color="auto"/>
            </w:tcBorders>
            <w:shd w:val="clear" w:color="auto" w:fill="auto"/>
            <w:vAlign w:val="center"/>
            <w:hideMark/>
          </w:tcPr>
          <w:p w14:paraId="5882FBE5" w14:textId="77777777" w:rsidR="00AC212B" w:rsidRPr="006D468D" w:rsidRDefault="00AC212B" w:rsidP="00710DDA">
            <w:pPr>
              <w:spacing w:before="0" w:after="0"/>
              <w:jc w:val="center"/>
              <w:rPr>
                <w:rFonts w:eastAsia="Times New Roman"/>
                <w:b/>
                <w:bCs/>
                <w:color w:val="000000"/>
                <w:sz w:val="16"/>
                <w:szCs w:val="16"/>
                <w:lang w:bidi="ar-SA"/>
              </w:rPr>
            </w:pPr>
          </w:p>
        </w:tc>
        <w:tc>
          <w:tcPr>
            <w:tcW w:w="1126" w:type="dxa"/>
            <w:vMerge/>
            <w:tcBorders>
              <w:left w:val="nil"/>
              <w:bottom w:val="single" w:sz="4" w:space="0" w:color="auto"/>
              <w:right w:val="single" w:sz="4" w:space="0" w:color="auto"/>
            </w:tcBorders>
            <w:shd w:val="clear" w:color="auto" w:fill="auto"/>
            <w:vAlign w:val="center"/>
            <w:hideMark/>
          </w:tcPr>
          <w:p w14:paraId="34066C04" w14:textId="77777777" w:rsidR="00AC212B" w:rsidRPr="006D468D" w:rsidRDefault="00AC212B" w:rsidP="00710DDA">
            <w:pPr>
              <w:spacing w:before="0" w:after="0"/>
              <w:jc w:val="center"/>
              <w:rPr>
                <w:rFonts w:eastAsia="Times New Roman"/>
                <w:b/>
                <w:bCs/>
                <w:color w:val="000000"/>
                <w:sz w:val="16"/>
                <w:szCs w:val="16"/>
                <w:lang w:bidi="ar-SA"/>
              </w:rPr>
            </w:pPr>
          </w:p>
        </w:tc>
        <w:tc>
          <w:tcPr>
            <w:tcW w:w="1126" w:type="dxa"/>
            <w:vMerge/>
            <w:tcBorders>
              <w:left w:val="nil"/>
              <w:bottom w:val="single" w:sz="4" w:space="0" w:color="auto"/>
              <w:right w:val="single" w:sz="4" w:space="0" w:color="auto"/>
            </w:tcBorders>
            <w:shd w:val="clear" w:color="auto" w:fill="auto"/>
            <w:vAlign w:val="center"/>
            <w:hideMark/>
          </w:tcPr>
          <w:p w14:paraId="756A9789" w14:textId="77777777" w:rsidR="00AC212B" w:rsidRPr="006D468D" w:rsidRDefault="00AC212B" w:rsidP="00710DDA">
            <w:pPr>
              <w:spacing w:before="0" w:after="0"/>
              <w:jc w:val="center"/>
              <w:rPr>
                <w:rFonts w:eastAsia="Times New Roman"/>
                <w:b/>
                <w:bCs/>
                <w:color w:val="000000"/>
                <w:sz w:val="16"/>
                <w:szCs w:val="16"/>
                <w:lang w:bidi="ar-SA"/>
              </w:rPr>
            </w:pPr>
          </w:p>
        </w:tc>
        <w:tc>
          <w:tcPr>
            <w:tcW w:w="1126" w:type="dxa"/>
            <w:vMerge/>
            <w:tcBorders>
              <w:left w:val="nil"/>
              <w:bottom w:val="single" w:sz="4" w:space="0" w:color="auto"/>
              <w:right w:val="single" w:sz="4" w:space="0" w:color="auto"/>
            </w:tcBorders>
            <w:shd w:val="clear" w:color="auto" w:fill="auto"/>
            <w:vAlign w:val="center"/>
            <w:hideMark/>
          </w:tcPr>
          <w:p w14:paraId="15446AEB" w14:textId="77777777" w:rsidR="00AC212B" w:rsidRPr="006D468D" w:rsidRDefault="00AC212B" w:rsidP="00710DDA">
            <w:pPr>
              <w:spacing w:before="0" w:after="0"/>
              <w:jc w:val="center"/>
              <w:rPr>
                <w:rFonts w:eastAsia="Times New Roman"/>
                <w:b/>
                <w:bCs/>
                <w:color w:val="000000"/>
                <w:sz w:val="16"/>
                <w:szCs w:val="16"/>
                <w:lang w:bidi="ar-SA"/>
              </w:rPr>
            </w:pPr>
          </w:p>
        </w:tc>
        <w:tc>
          <w:tcPr>
            <w:tcW w:w="1126" w:type="dxa"/>
            <w:vMerge/>
            <w:tcBorders>
              <w:left w:val="nil"/>
              <w:bottom w:val="single" w:sz="4" w:space="0" w:color="auto"/>
              <w:right w:val="single" w:sz="4" w:space="0" w:color="auto"/>
            </w:tcBorders>
            <w:shd w:val="clear" w:color="auto" w:fill="auto"/>
            <w:vAlign w:val="center"/>
            <w:hideMark/>
          </w:tcPr>
          <w:p w14:paraId="7CC66E7E" w14:textId="77777777" w:rsidR="00AC212B" w:rsidRPr="006D468D" w:rsidRDefault="00AC212B" w:rsidP="00710DDA">
            <w:pPr>
              <w:spacing w:before="0" w:after="0"/>
              <w:jc w:val="center"/>
              <w:rPr>
                <w:rFonts w:eastAsia="Times New Roman"/>
                <w:b/>
                <w:bCs/>
                <w:color w:val="000000"/>
                <w:sz w:val="16"/>
                <w:szCs w:val="16"/>
                <w:lang w:bidi="ar-SA"/>
              </w:rPr>
            </w:pP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6389CFA8" w14:textId="1A0F8955" w:rsidR="00AC212B" w:rsidRPr="006D468D" w:rsidRDefault="00AC212B" w:rsidP="00B355CB">
            <w:pPr>
              <w:spacing w:before="0" w:after="0"/>
              <w:jc w:val="center"/>
              <w:rPr>
                <w:rFonts w:eastAsia="Times New Roman"/>
                <w:b/>
                <w:bCs/>
                <w:sz w:val="16"/>
                <w:szCs w:val="16"/>
                <w:lang w:bidi="ar-SA"/>
              </w:rPr>
            </w:pPr>
            <w:r w:rsidRPr="006D468D">
              <w:rPr>
                <w:rFonts w:eastAsia="Times New Roman"/>
                <w:b/>
                <w:bCs/>
                <w:sz w:val="16"/>
                <w:szCs w:val="16"/>
                <w:lang w:bidi="ar-SA"/>
              </w:rPr>
              <w:t xml:space="preserve">Finansējums bez </w:t>
            </w:r>
            <w:r w:rsidR="00B355CB" w:rsidRPr="006D468D">
              <w:rPr>
                <w:rFonts w:eastAsia="Times New Roman"/>
                <w:b/>
                <w:bCs/>
                <w:sz w:val="16"/>
                <w:szCs w:val="16"/>
                <w:lang w:bidi="ar-SA"/>
              </w:rPr>
              <w:t>elastības finansējuma</w:t>
            </w:r>
          </w:p>
        </w:tc>
        <w:tc>
          <w:tcPr>
            <w:tcW w:w="1168" w:type="dxa"/>
            <w:tcBorders>
              <w:top w:val="single" w:sz="4" w:space="0" w:color="auto"/>
              <w:left w:val="nil"/>
              <w:bottom w:val="single" w:sz="4" w:space="0" w:color="auto"/>
              <w:right w:val="single" w:sz="4" w:space="0" w:color="auto"/>
            </w:tcBorders>
            <w:shd w:val="clear" w:color="000000" w:fill="F2F2F2"/>
            <w:vAlign w:val="center"/>
            <w:hideMark/>
          </w:tcPr>
          <w:p w14:paraId="38F051D9" w14:textId="59DDBDA9" w:rsidR="00AC212B" w:rsidRPr="006D468D" w:rsidRDefault="00B355CB" w:rsidP="00710DDA">
            <w:pPr>
              <w:spacing w:before="0" w:after="0"/>
              <w:jc w:val="center"/>
              <w:rPr>
                <w:rFonts w:eastAsia="Times New Roman"/>
                <w:b/>
                <w:bCs/>
                <w:sz w:val="16"/>
                <w:szCs w:val="16"/>
                <w:lang w:bidi="ar-SA"/>
              </w:rPr>
            </w:pPr>
            <w:r w:rsidRPr="006D468D">
              <w:rPr>
                <w:rFonts w:eastAsia="Times New Roman"/>
                <w:b/>
                <w:bCs/>
                <w:sz w:val="16"/>
                <w:szCs w:val="16"/>
                <w:lang w:bidi="ar-SA"/>
              </w:rPr>
              <w:t>Elastības finansējums</w:t>
            </w:r>
          </w:p>
        </w:tc>
        <w:tc>
          <w:tcPr>
            <w:tcW w:w="1264" w:type="dxa"/>
            <w:tcBorders>
              <w:top w:val="single" w:sz="4" w:space="0" w:color="auto"/>
              <w:left w:val="nil"/>
              <w:bottom w:val="single" w:sz="4" w:space="0" w:color="auto"/>
              <w:right w:val="single" w:sz="4" w:space="0" w:color="auto"/>
            </w:tcBorders>
            <w:shd w:val="clear" w:color="000000" w:fill="F2F2F2"/>
            <w:vAlign w:val="center"/>
            <w:hideMark/>
          </w:tcPr>
          <w:p w14:paraId="7680C84C" w14:textId="4088E71D" w:rsidR="00AC212B" w:rsidRPr="006D468D" w:rsidRDefault="00AC212B" w:rsidP="00B355CB">
            <w:pPr>
              <w:spacing w:before="0" w:after="0"/>
              <w:jc w:val="center"/>
              <w:rPr>
                <w:rFonts w:eastAsia="Times New Roman"/>
                <w:b/>
                <w:bCs/>
                <w:sz w:val="16"/>
                <w:szCs w:val="16"/>
                <w:lang w:bidi="ar-SA"/>
              </w:rPr>
            </w:pPr>
            <w:r w:rsidRPr="006D468D">
              <w:rPr>
                <w:rFonts w:eastAsia="Times New Roman"/>
                <w:b/>
                <w:bCs/>
                <w:sz w:val="16"/>
                <w:szCs w:val="16"/>
                <w:lang w:bidi="ar-SA"/>
              </w:rPr>
              <w:t xml:space="preserve">Finansējums bez </w:t>
            </w:r>
            <w:r w:rsidR="00B355CB" w:rsidRPr="006D468D">
              <w:rPr>
                <w:rFonts w:eastAsia="Times New Roman"/>
                <w:b/>
                <w:bCs/>
                <w:sz w:val="16"/>
                <w:szCs w:val="16"/>
                <w:lang w:bidi="ar-SA"/>
              </w:rPr>
              <w:t>elastības finansējuma</w:t>
            </w:r>
          </w:p>
        </w:tc>
        <w:tc>
          <w:tcPr>
            <w:tcW w:w="1168" w:type="dxa"/>
            <w:tcBorders>
              <w:top w:val="single" w:sz="4" w:space="0" w:color="auto"/>
              <w:left w:val="nil"/>
              <w:bottom w:val="single" w:sz="4" w:space="0" w:color="auto"/>
              <w:right w:val="single" w:sz="4" w:space="0" w:color="auto"/>
            </w:tcBorders>
            <w:shd w:val="clear" w:color="000000" w:fill="F2F2F2"/>
            <w:vAlign w:val="center"/>
            <w:hideMark/>
          </w:tcPr>
          <w:p w14:paraId="4590FCFA" w14:textId="5B81FCF8" w:rsidR="00AC212B" w:rsidRPr="006D468D" w:rsidRDefault="00B355CB" w:rsidP="00710DDA">
            <w:pPr>
              <w:spacing w:before="0" w:after="0"/>
              <w:jc w:val="center"/>
              <w:rPr>
                <w:rFonts w:eastAsia="Times New Roman"/>
                <w:b/>
                <w:bCs/>
                <w:sz w:val="16"/>
                <w:szCs w:val="16"/>
                <w:lang w:bidi="ar-SA"/>
              </w:rPr>
            </w:pPr>
            <w:r w:rsidRPr="006D468D">
              <w:rPr>
                <w:rFonts w:eastAsia="Times New Roman"/>
                <w:b/>
                <w:bCs/>
                <w:sz w:val="16"/>
                <w:szCs w:val="16"/>
                <w:lang w:bidi="ar-SA"/>
              </w:rPr>
              <w:t>Elastības finansējums</w:t>
            </w:r>
          </w:p>
        </w:tc>
        <w:tc>
          <w:tcPr>
            <w:tcW w:w="1266" w:type="dxa"/>
            <w:vMerge/>
            <w:tcBorders>
              <w:left w:val="single" w:sz="4" w:space="0" w:color="auto"/>
              <w:bottom w:val="single" w:sz="4" w:space="0" w:color="auto"/>
              <w:right w:val="single" w:sz="4" w:space="0" w:color="auto"/>
            </w:tcBorders>
            <w:shd w:val="clear" w:color="auto" w:fill="auto"/>
            <w:vAlign w:val="center"/>
            <w:hideMark/>
          </w:tcPr>
          <w:p w14:paraId="6645D5EA" w14:textId="77777777" w:rsidR="00AC212B" w:rsidRPr="006D468D" w:rsidRDefault="00AC212B" w:rsidP="00710DDA">
            <w:pPr>
              <w:spacing w:before="0" w:after="0"/>
              <w:jc w:val="left"/>
              <w:rPr>
                <w:rFonts w:eastAsia="Times New Roman"/>
                <w:b/>
                <w:bCs/>
                <w:color w:val="000000"/>
                <w:sz w:val="16"/>
                <w:szCs w:val="16"/>
                <w:lang w:bidi="ar-SA"/>
              </w:rPr>
            </w:pPr>
          </w:p>
        </w:tc>
      </w:tr>
      <w:tr w:rsidR="006D468D" w:rsidRPr="006D468D" w14:paraId="1A936023" w14:textId="77777777" w:rsidTr="00710DDA">
        <w:trPr>
          <w:trHeight w:val="510"/>
        </w:trPr>
        <w:tc>
          <w:tcPr>
            <w:tcW w:w="1241" w:type="dxa"/>
            <w:tcBorders>
              <w:top w:val="nil"/>
              <w:left w:val="single" w:sz="4" w:space="0" w:color="auto"/>
              <w:bottom w:val="single" w:sz="4" w:space="0" w:color="auto"/>
              <w:right w:val="single" w:sz="4" w:space="0" w:color="auto"/>
            </w:tcBorders>
            <w:shd w:val="clear" w:color="auto" w:fill="auto"/>
            <w:vAlign w:val="center"/>
            <w:hideMark/>
          </w:tcPr>
          <w:p w14:paraId="60ED5867" w14:textId="77777777" w:rsidR="006D468D" w:rsidRPr="006D468D" w:rsidRDefault="006D468D" w:rsidP="006D468D">
            <w:pPr>
              <w:spacing w:before="0" w:after="0"/>
              <w:jc w:val="left"/>
              <w:rPr>
                <w:rFonts w:eastAsia="Times New Roman"/>
                <w:color w:val="000000"/>
                <w:sz w:val="16"/>
                <w:szCs w:val="16"/>
                <w:lang w:bidi="ar-SA"/>
              </w:rPr>
            </w:pPr>
            <w:r w:rsidRPr="006D468D">
              <w:rPr>
                <w:rFonts w:eastAsia="Times New Roman"/>
                <w:color w:val="000000"/>
                <w:sz w:val="16"/>
                <w:szCs w:val="16"/>
                <w:lang w:bidi="ar-SA"/>
              </w:rPr>
              <w:t>ERAF</w:t>
            </w:r>
          </w:p>
        </w:tc>
        <w:tc>
          <w:tcPr>
            <w:tcW w:w="919" w:type="dxa"/>
            <w:tcBorders>
              <w:top w:val="nil"/>
              <w:left w:val="nil"/>
              <w:bottom w:val="single" w:sz="4" w:space="0" w:color="auto"/>
              <w:right w:val="single" w:sz="4" w:space="0" w:color="auto"/>
            </w:tcBorders>
            <w:shd w:val="clear" w:color="auto" w:fill="auto"/>
            <w:vAlign w:val="center"/>
            <w:hideMark/>
          </w:tcPr>
          <w:p w14:paraId="0C6560A8" w14:textId="77777777" w:rsidR="006D468D" w:rsidRPr="006D468D" w:rsidRDefault="006D468D" w:rsidP="006D468D">
            <w:pPr>
              <w:spacing w:before="0" w:after="0"/>
              <w:jc w:val="left"/>
              <w:rPr>
                <w:rFonts w:eastAsia="Times New Roman"/>
                <w:color w:val="000000"/>
                <w:sz w:val="16"/>
                <w:szCs w:val="16"/>
                <w:lang w:bidi="ar-SA"/>
              </w:rPr>
            </w:pPr>
            <w:r w:rsidRPr="006D468D">
              <w:rPr>
                <w:rFonts w:eastAsia="Times New Roman"/>
                <w:color w:val="000000"/>
                <w:sz w:val="16"/>
                <w:szCs w:val="16"/>
                <w:lang w:bidi="ar-SA"/>
              </w:rPr>
              <w:t>Mazāk attīstīts</w:t>
            </w:r>
          </w:p>
        </w:tc>
        <w:tc>
          <w:tcPr>
            <w:tcW w:w="1081" w:type="dxa"/>
            <w:tcBorders>
              <w:top w:val="nil"/>
              <w:left w:val="nil"/>
              <w:bottom w:val="single" w:sz="4" w:space="0" w:color="auto"/>
              <w:right w:val="single" w:sz="4" w:space="0" w:color="auto"/>
            </w:tcBorders>
            <w:shd w:val="clear" w:color="auto" w:fill="auto"/>
            <w:hideMark/>
          </w:tcPr>
          <w:p w14:paraId="2839BC76" w14:textId="4BE7A365" w:rsidR="006D468D" w:rsidRPr="006D468D" w:rsidRDefault="006D468D" w:rsidP="006D468D">
            <w:pPr>
              <w:spacing w:before="0" w:after="0"/>
              <w:jc w:val="right"/>
              <w:rPr>
                <w:rFonts w:eastAsia="Times New Roman"/>
                <w:sz w:val="16"/>
                <w:szCs w:val="16"/>
                <w:lang w:bidi="ar-SA"/>
              </w:rPr>
            </w:pPr>
            <w:r w:rsidRPr="006D468D">
              <w:rPr>
                <w:sz w:val="16"/>
                <w:szCs w:val="16"/>
              </w:rPr>
              <w:t>322 554 989</w:t>
            </w:r>
          </w:p>
        </w:tc>
        <w:tc>
          <w:tcPr>
            <w:tcW w:w="1126" w:type="dxa"/>
            <w:tcBorders>
              <w:top w:val="nil"/>
              <w:left w:val="nil"/>
              <w:bottom w:val="single" w:sz="4" w:space="0" w:color="auto"/>
              <w:right w:val="single" w:sz="4" w:space="0" w:color="auto"/>
            </w:tcBorders>
            <w:shd w:val="clear" w:color="auto" w:fill="auto"/>
            <w:hideMark/>
          </w:tcPr>
          <w:p w14:paraId="49FFD3E2" w14:textId="530F6F6B" w:rsidR="006D468D" w:rsidRPr="006D468D" w:rsidRDefault="006D468D" w:rsidP="006D468D">
            <w:pPr>
              <w:spacing w:before="0" w:after="0"/>
              <w:jc w:val="right"/>
              <w:rPr>
                <w:rFonts w:eastAsia="Times New Roman"/>
                <w:sz w:val="16"/>
                <w:szCs w:val="16"/>
                <w:lang w:bidi="ar-SA"/>
              </w:rPr>
            </w:pPr>
            <w:r w:rsidRPr="006D468D">
              <w:rPr>
                <w:sz w:val="16"/>
                <w:szCs w:val="16"/>
              </w:rPr>
              <w:t>322 554 989</w:t>
            </w:r>
          </w:p>
        </w:tc>
        <w:tc>
          <w:tcPr>
            <w:tcW w:w="1126" w:type="dxa"/>
            <w:tcBorders>
              <w:top w:val="nil"/>
              <w:left w:val="nil"/>
              <w:bottom w:val="single" w:sz="4" w:space="0" w:color="auto"/>
              <w:right w:val="single" w:sz="4" w:space="0" w:color="auto"/>
            </w:tcBorders>
            <w:shd w:val="clear" w:color="auto" w:fill="auto"/>
            <w:hideMark/>
          </w:tcPr>
          <w:p w14:paraId="767056D8" w14:textId="299CCBCD" w:rsidR="006D468D" w:rsidRPr="006D468D" w:rsidRDefault="006D468D" w:rsidP="006D468D">
            <w:pPr>
              <w:spacing w:before="0" w:after="0"/>
              <w:jc w:val="right"/>
              <w:rPr>
                <w:rFonts w:eastAsia="Times New Roman"/>
                <w:sz w:val="16"/>
                <w:szCs w:val="16"/>
                <w:lang w:bidi="ar-SA"/>
              </w:rPr>
            </w:pPr>
            <w:r w:rsidRPr="006D468D">
              <w:rPr>
                <w:sz w:val="16"/>
                <w:szCs w:val="16"/>
              </w:rPr>
              <w:t>347 366 912</w:t>
            </w:r>
          </w:p>
        </w:tc>
        <w:tc>
          <w:tcPr>
            <w:tcW w:w="1126" w:type="dxa"/>
            <w:tcBorders>
              <w:top w:val="nil"/>
              <w:left w:val="nil"/>
              <w:bottom w:val="single" w:sz="4" w:space="0" w:color="auto"/>
              <w:right w:val="single" w:sz="4" w:space="0" w:color="auto"/>
            </w:tcBorders>
            <w:shd w:val="clear" w:color="auto" w:fill="auto"/>
            <w:hideMark/>
          </w:tcPr>
          <w:p w14:paraId="4EC0A330" w14:textId="534E6A59" w:rsidR="006D468D" w:rsidRPr="006D468D" w:rsidRDefault="006D468D" w:rsidP="006D468D">
            <w:pPr>
              <w:spacing w:before="0" w:after="0"/>
              <w:jc w:val="right"/>
              <w:rPr>
                <w:rFonts w:eastAsia="Times New Roman"/>
                <w:sz w:val="16"/>
                <w:szCs w:val="16"/>
                <w:lang w:bidi="ar-SA"/>
              </w:rPr>
            </w:pPr>
            <w:r w:rsidRPr="006D468D">
              <w:rPr>
                <w:sz w:val="16"/>
                <w:szCs w:val="16"/>
              </w:rPr>
              <w:t>347 366 912</w:t>
            </w:r>
          </w:p>
        </w:tc>
        <w:tc>
          <w:tcPr>
            <w:tcW w:w="1126" w:type="dxa"/>
            <w:tcBorders>
              <w:top w:val="nil"/>
              <w:left w:val="nil"/>
              <w:bottom w:val="single" w:sz="4" w:space="0" w:color="auto"/>
              <w:right w:val="single" w:sz="4" w:space="0" w:color="auto"/>
            </w:tcBorders>
            <w:shd w:val="clear" w:color="auto" w:fill="auto"/>
            <w:hideMark/>
          </w:tcPr>
          <w:p w14:paraId="4F41590E" w14:textId="3A47CB1F" w:rsidR="006D468D" w:rsidRPr="006D468D" w:rsidRDefault="006D468D" w:rsidP="006D468D">
            <w:pPr>
              <w:spacing w:before="0" w:after="0"/>
              <w:jc w:val="right"/>
              <w:rPr>
                <w:rFonts w:eastAsia="Times New Roman"/>
                <w:sz w:val="16"/>
                <w:szCs w:val="16"/>
                <w:lang w:bidi="ar-SA"/>
              </w:rPr>
            </w:pPr>
            <w:r w:rsidRPr="006D468D">
              <w:rPr>
                <w:sz w:val="16"/>
                <w:szCs w:val="16"/>
              </w:rPr>
              <w:t>372 178 834</w:t>
            </w:r>
          </w:p>
        </w:tc>
        <w:tc>
          <w:tcPr>
            <w:tcW w:w="1134" w:type="dxa"/>
            <w:tcBorders>
              <w:top w:val="nil"/>
              <w:left w:val="nil"/>
              <w:bottom w:val="single" w:sz="4" w:space="0" w:color="auto"/>
              <w:right w:val="single" w:sz="4" w:space="0" w:color="auto"/>
            </w:tcBorders>
            <w:shd w:val="clear" w:color="000000" w:fill="F2F2F2"/>
            <w:hideMark/>
          </w:tcPr>
          <w:p w14:paraId="19024827" w14:textId="40EDDAD8" w:rsidR="006D468D" w:rsidRPr="006D468D" w:rsidRDefault="006D468D" w:rsidP="006D468D">
            <w:pPr>
              <w:spacing w:before="0" w:after="0"/>
              <w:jc w:val="right"/>
              <w:rPr>
                <w:rFonts w:eastAsia="Times New Roman"/>
                <w:sz w:val="16"/>
                <w:szCs w:val="16"/>
                <w:lang w:bidi="ar-SA"/>
              </w:rPr>
            </w:pPr>
            <w:r w:rsidRPr="006D468D">
              <w:rPr>
                <w:sz w:val="16"/>
                <w:szCs w:val="16"/>
              </w:rPr>
              <w:t>186 089 417</w:t>
            </w:r>
          </w:p>
        </w:tc>
        <w:tc>
          <w:tcPr>
            <w:tcW w:w="1168" w:type="dxa"/>
            <w:tcBorders>
              <w:top w:val="nil"/>
              <w:left w:val="nil"/>
              <w:bottom w:val="single" w:sz="4" w:space="0" w:color="auto"/>
              <w:right w:val="single" w:sz="4" w:space="0" w:color="auto"/>
            </w:tcBorders>
            <w:shd w:val="clear" w:color="000000" w:fill="F2F2F2"/>
            <w:noWrap/>
            <w:hideMark/>
          </w:tcPr>
          <w:p w14:paraId="0796C063" w14:textId="6D7C53DE" w:rsidR="006D468D" w:rsidRPr="006D468D" w:rsidRDefault="006D468D" w:rsidP="006D468D">
            <w:pPr>
              <w:spacing w:before="0" w:after="0"/>
              <w:jc w:val="right"/>
              <w:rPr>
                <w:rFonts w:eastAsia="Times New Roman"/>
                <w:sz w:val="16"/>
                <w:szCs w:val="16"/>
                <w:lang w:bidi="ar-SA"/>
              </w:rPr>
            </w:pPr>
            <w:r w:rsidRPr="006D468D">
              <w:rPr>
                <w:sz w:val="16"/>
                <w:szCs w:val="16"/>
              </w:rPr>
              <w:t>186 089 417</w:t>
            </w:r>
          </w:p>
        </w:tc>
        <w:tc>
          <w:tcPr>
            <w:tcW w:w="1264" w:type="dxa"/>
            <w:tcBorders>
              <w:top w:val="nil"/>
              <w:left w:val="nil"/>
              <w:bottom w:val="single" w:sz="4" w:space="0" w:color="auto"/>
              <w:right w:val="single" w:sz="4" w:space="0" w:color="auto"/>
            </w:tcBorders>
            <w:shd w:val="clear" w:color="000000" w:fill="F2F2F2"/>
            <w:hideMark/>
          </w:tcPr>
          <w:p w14:paraId="3D5F3CA1" w14:textId="01ED8A81" w:rsidR="006D468D" w:rsidRPr="006D468D" w:rsidRDefault="006D468D" w:rsidP="006D468D">
            <w:pPr>
              <w:spacing w:before="0" w:after="0"/>
              <w:jc w:val="right"/>
              <w:rPr>
                <w:rFonts w:eastAsia="Times New Roman"/>
                <w:sz w:val="16"/>
                <w:szCs w:val="16"/>
                <w:lang w:bidi="ar-SA"/>
              </w:rPr>
            </w:pPr>
            <w:r w:rsidRPr="006D468D">
              <w:rPr>
                <w:sz w:val="16"/>
                <w:szCs w:val="16"/>
              </w:rPr>
              <w:t>198 495 378</w:t>
            </w:r>
          </w:p>
        </w:tc>
        <w:tc>
          <w:tcPr>
            <w:tcW w:w="1168" w:type="dxa"/>
            <w:tcBorders>
              <w:top w:val="nil"/>
              <w:left w:val="nil"/>
              <w:bottom w:val="single" w:sz="4" w:space="0" w:color="auto"/>
              <w:right w:val="single" w:sz="4" w:space="0" w:color="auto"/>
            </w:tcBorders>
            <w:shd w:val="clear" w:color="000000" w:fill="F2F2F2"/>
            <w:noWrap/>
            <w:hideMark/>
          </w:tcPr>
          <w:p w14:paraId="09A5BBD7" w14:textId="0E6747C2" w:rsidR="006D468D" w:rsidRPr="006D468D" w:rsidRDefault="006D468D" w:rsidP="006D468D">
            <w:pPr>
              <w:spacing w:before="0" w:after="0"/>
              <w:jc w:val="right"/>
              <w:rPr>
                <w:rFonts w:eastAsia="Times New Roman"/>
                <w:sz w:val="16"/>
                <w:szCs w:val="16"/>
                <w:lang w:bidi="ar-SA"/>
              </w:rPr>
            </w:pPr>
            <w:r w:rsidRPr="006D468D">
              <w:rPr>
                <w:sz w:val="16"/>
                <w:szCs w:val="16"/>
              </w:rPr>
              <w:t>198 495 378</w:t>
            </w:r>
          </w:p>
        </w:tc>
        <w:tc>
          <w:tcPr>
            <w:tcW w:w="1266" w:type="dxa"/>
            <w:tcBorders>
              <w:top w:val="nil"/>
              <w:left w:val="nil"/>
              <w:bottom w:val="single" w:sz="4" w:space="0" w:color="auto"/>
              <w:right w:val="single" w:sz="4" w:space="0" w:color="auto"/>
            </w:tcBorders>
            <w:shd w:val="clear" w:color="auto" w:fill="auto"/>
            <w:hideMark/>
          </w:tcPr>
          <w:p w14:paraId="3623E84B" w14:textId="35C71F2C" w:rsidR="006D468D" w:rsidRPr="006D468D" w:rsidRDefault="006D468D" w:rsidP="006D468D">
            <w:pPr>
              <w:spacing w:before="0" w:after="0"/>
              <w:jc w:val="right"/>
              <w:rPr>
                <w:rFonts w:eastAsia="Times New Roman"/>
                <w:b/>
                <w:bCs/>
                <w:sz w:val="16"/>
                <w:szCs w:val="16"/>
                <w:lang w:bidi="ar-SA"/>
              </w:rPr>
            </w:pPr>
            <w:r w:rsidRPr="006D468D">
              <w:rPr>
                <w:sz w:val="16"/>
                <w:szCs w:val="16"/>
              </w:rPr>
              <w:t>2 481 192 225</w:t>
            </w:r>
          </w:p>
        </w:tc>
      </w:tr>
      <w:tr w:rsidR="006D468D" w:rsidRPr="006D468D" w14:paraId="72573718" w14:textId="77777777" w:rsidTr="00710DDA">
        <w:trPr>
          <w:trHeight w:val="510"/>
        </w:trPr>
        <w:tc>
          <w:tcPr>
            <w:tcW w:w="1241" w:type="dxa"/>
            <w:tcBorders>
              <w:top w:val="nil"/>
              <w:left w:val="single" w:sz="4" w:space="0" w:color="auto"/>
              <w:bottom w:val="single" w:sz="4" w:space="0" w:color="auto"/>
              <w:right w:val="single" w:sz="4" w:space="0" w:color="auto"/>
            </w:tcBorders>
            <w:shd w:val="clear" w:color="auto" w:fill="auto"/>
            <w:vAlign w:val="center"/>
            <w:hideMark/>
          </w:tcPr>
          <w:p w14:paraId="22DBDEDB" w14:textId="77777777" w:rsidR="006D468D" w:rsidRPr="006D468D" w:rsidRDefault="006D468D" w:rsidP="006D468D">
            <w:pPr>
              <w:spacing w:before="0" w:after="0"/>
              <w:jc w:val="left"/>
              <w:rPr>
                <w:rFonts w:eastAsia="Times New Roman"/>
                <w:color w:val="000000"/>
                <w:sz w:val="16"/>
                <w:szCs w:val="16"/>
                <w:lang w:bidi="ar-SA"/>
              </w:rPr>
            </w:pPr>
            <w:r w:rsidRPr="006D468D">
              <w:rPr>
                <w:rFonts w:eastAsia="Times New Roman"/>
                <w:color w:val="000000"/>
                <w:sz w:val="16"/>
                <w:szCs w:val="16"/>
                <w:lang w:bidi="ar-SA"/>
              </w:rPr>
              <w:t>ESF+</w:t>
            </w:r>
          </w:p>
        </w:tc>
        <w:tc>
          <w:tcPr>
            <w:tcW w:w="919" w:type="dxa"/>
            <w:tcBorders>
              <w:top w:val="nil"/>
              <w:left w:val="nil"/>
              <w:bottom w:val="single" w:sz="4" w:space="0" w:color="auto"/>
              <w:right w:val="single" w:sz="4" w:space="0" w:color="auto"/>
            </w:tcBorders>
            <w:shd w:val="clear" w:color="auto" w:fill="auto"/>
            <w:vAlign w:val="center"/>
            <w:hideMark/>
          </w:tcPr>
          <w:p w14:paraId="68013D9D" w14:textId="77777777" w:rsidR="006D468D" w:rsidRPr="006D468D" w:rsidRDefault="006D468D" w:rsidP="006D468D">
            <w:pPr>
              <w:spacing w:before="0" w:after="0"/>
              <w:jc w:val="left"/>
              <w:rPr>
                <w:rFonts w:eastAsia="Times New Roman"/>
                <w:color w:val="000000"/>
                <w:sz w:val="16"/>
                <w:szCs w:val="16"/>
                <w:lang w:bidi="ar-SA"/>
              </w:rPr>
            </w:pPr>
            <w:r w:rsidRPr="006D468D">
              <w:rPr>
                <w:rFonts w:eastAsia="Times New Roman"/>
                <w:color w:val="000000"/>
                <w:sz w:val="16"/>
                <w:szCs w:val="16"/>
                <w:lang w:bidi="ar-SA"/>
              </w:rPr>
              <w:t>Mazāk attīstīts</w:t>
            </w:r>
          </w:p>
        </w:tc>
        <w:tc>
          <w:tcPr>
            <w:tcW w:w="1081" w:type="dxa"/>
            <w:tcBorders>
              <w:top w:val="nil"/>
              <w:left w:val="nil"/>
              <w:bottom w:val="single" w:sz="4" w:space="0" w:color="auto"/>
              <w:right w:val="single" w:sz="4" w:space="0" w:color="auto"/>
            </w:tcBorders>
            <w:shd w:val="clear" w:color="auto" w:fill="auto"/>
            <w:hideMark/>
          </w:tcPr>
          <w:p w14:paraId="12A5A9DF" w14:textId="30C10E60" w:rsidR="006D468D" w:rsidRPr="006D468D" w:rsidRDefault="006D468D" w:rsidP="006D468D">
            <w:pPr>
              <w:spacing w:before="0" w:after="0"/>
              <w:jc w:val="right"/>
              <w:rPr>
                <w:rFonts w:eastAsia="Times New Roman"/>
                <w:sz w:val="16"/>
                <w:szCs w:val="16"/>
                <w:lang w:bidi="ar-SA"/>
              </w:rPr>
            </w:pPr>
            <w:r w:rsidRPr="006D468D">
              <w:rPr>
                <w:sz w:val="16"/>
                <w:szCs w:val="16"/>
              </w:rPr>
              <w:t>89 941 480</w:t>
            </w:r>
          </w:p>
        </w:tc>
        <w:tc>
          <w:tcPr>
            <w:tcW w:w="1126" w:type="dxa"/>
            <w:tcBorders>
              <w:top w:val="nil"/>
              <w:left w:val="nil"/>
              <w:bottom w:val="single" w:sz="4" w:space="0" w:color="auto"/>
              <w:right w:val="single" w:sz="4" w:space="0" w:color="auto"/>
            </w:tcBorders>
            <w:shd w:val="clear" w:color="auto" w:fill="auto"/>
            <w:hideMark/>
          </w:tcPr>
          <w:p w14:paraId="787290D2" w14:textId="4024050C" w:rsidR="006D468D" w:rsidRPr="006D468D" w:rsidRDefault="006D468D" w:rsidP="006D468D">
            <w:pPr>
              <w:spacing w:before="0" w:after="0"/>
              <w:jc w:val="right"/>
              <w:rPr>
                <w:rFonts w:eastAsia="Times New Roman"/>
                <w:sz w:val="16"/>
                <w:szCs w:val="16"/>
                <w:lang w:bidi="ar-SA"/>
              </w:rPr>
            </w:pPr>
            <w:r w:rsidRPr="006D468D">
              <w:rPr>
                <w:sz w:val="16"/>
                <w:szCs w:val="16"/>
              </w:rPr>
              <w:t>89 941 480</w:t>
            </w:r>
          </w:p>
        </w:tc>
        <w:tc>
          <w:tcPr>
            <w:tcW w:w="1126" w:type="dxa"/>
            <w:tcBorders>
              <w:top w:val="nil"/>
              <w:left w:val="nil"/>
              <w:bottom w:val="single" w:sz="4" w:space="0" w:color="auto"/>
              <w:right w:val="single" w:sz="4" w:space="0" w:color="auto"/>
            </w:tcBorders>
            <w:shd w:val="clear" w:color="auto" w:fill="auto"/>
            <w:hideMark/>
          </w:tcPr>
          <w:p w14:paraId="5E2ACD0F" w14:textId="4D6515C8" w:rsidR="006D468D" w:rsidRPr="006D468D" w:rsidRDefault="006D468D" w:rsidP="006D468D">
            <w:pPr>
              <w:spacing w:before="0" w:after="0"/>
              <w:jc w:val="right"/>
              <w:rPr>
                <w:rFonts w:eastAsia="Times New Roman"/>
                <w:sz w:val="16"/>
                <w:szCs w:val="16"/>
                <w:lang w:bidi="ar-SA"/>
              </w:rPr>
            </w:pPr>
            <w:r w:rsidRPr="006D468D">
              <w:rPr>
                <w:sz w:val="16"/>
                <w:szCs w:val="16"/>
              </w:rPr>
              <w:t>96 860 055</w:t>
            </w:r>
          </w:p>
        </w:tc>
        <w:tc>
          <w:tcPr>
            <w:tcW w:w="1126" w:type="dxa"/>
            <w:tcBorders>
              <w:top w:val="nil"/>
              <w:left w:val="nil"/>
              <w:bottom w:val="single" w:sz="4" w:space="0" w:color="auto"/>
              <w:right w:val="single" w:sz="4" w:space="0" w:color="auto"/>
            </w:tcBorders>
            <w:shd w:val="clear" w:color="auto" w:fill="auto"/>
            <w:hideMark/>
          </w:tcPr>
          <w:p w14:paraId="2B09B38F" w14:textId="65F4D295" w:rsidR="006D468D" w:rsidRPr="006D468D" w:rsidRDefault="006D468D" w:rsidP="006D468D">
            <w:pPr>
              <w:spacing w:before="0" w:after="0"/>
              <w:jc w:val="right"/>
              <w:rPr>
                <w:rFonts w:eastAsia="Times New Roman"/>
                <w:sz w:val="16"/>
                <w:szCs w:val="16"/>
                <w:lang w:bidi="ar-SA"/>
              </w:rPr>
            </w:pPr>
            <w:r w:rsidRPr="006D468D">
              <w:rPr>
                <w:sz w:val="16"/>
                <w:szCs w:val="16"/>
              </w:rPr>
              <w:t>96 860 055</w:t>
            </w:r>
          </w:p>
        </w:tc>
        <w:tc>
          <w:tcPr>
            <w:tcW w:w="1126" w:type="dxa"/>
            <w:tcBorders>
              <w:top w:val="nil"/>
              <w:left w:val="nil"/>
              <w:bottom w:val="single" w:sz="4" w:space="0" w:color="auto"/>
              <w:right w:val="single" w:sz="4" w:space="0" w:color="auto"/>
            </w:tcBorders>
            <w:shd w:val="clear" w:color="auto" w:fill="auto"/>
            <w:hideMark/>
          </w:tcPr>
          <w:p w14:paraId="2E3A3923" w14:textId="2AE72B63" w:rsidR="006D468D" w:rsidRPr="006D468D" w:rsidRDefault="006D468D" w:rsidP="006D468D">
            <w:pPr>
              <w:spacing w:before="0" w:after="0"/>
              <w:jc w:val="right"/>
              <w:rPr>
                <w:rFonts w:eastAsia="Times New Roman"/>
                <w:sz w:val="16"/>
                <w:szCs w:val="16"/>
                <w:lang w:bidi="ar-SA"/>
              </w:rPr>
            </w:pPr>
            <w:r w:rsidRPr="006D468D">
              <w:rPr>
                <w:sz w:val="16"/>
                <w:szCs w:val="16"/>
              </w:rPr>
              <w:t>103 778 630</w:t>
            </w:r>
          </w:p>
        </w:tc>
        <w:tc>
          <w:tcPr>
            <w:tcW w:w="1134" w:type="dxa"/>
            <w:tcBorders>
              <w:top w:val="nil"/>
              <w:left w:val="nil"/>
              <w:bottom w:val="single" w:sz="4" w:space="0" w:color="auto"/>
              <w:right w:val="single" w:sz="4" w:space="0" w:color="auto"/>
            </w:tcBorders>
            <w:shd w:val="clear" w:color="000000" w:fill="F2F2F2"/>
            <w:hideMark/>
          </w:tcPr>
          <w:p w14:paraId="0AAEB26F" w14:textId="7CCDA506" w:rsidR="006D468D" w:rsidRPr="006D468D" w:rsidRDefault="006D468D" w:rsidP="006D468D">
            <w:pPr>
              <w:spacing w:before="0" w:after="0"/>
              <w:jc w:val="right"/>
              <w:rPr>
                <w:rFonts w:eastAsia="Times New Roman"/>
                <w:sz w:val="16"/>
                <w:szCs w:val="16"/>
                <w:lang w:bidi="ar-SA"/>
              </w:rPr>
            </w:pPr>
            <w:r w:rsidRPr="006D468D">
              <w:rPr>
                <w:sz w:val="16"/>
                <w:szCs w:val="16"/>
              </w:rPr>
              <w:t>51 889 315</w:t>
            </w:r>
          </w:p>
        </w:tc>
        <w:tc>
          <w:tcPr>
            <w:tcW w:w="1168" w:type="dxa"/>
            <w:tcBorders>
              <w:top w:val="nil"/>
              <w:left w:val="nil"/>
              <w:bottom w:val="single" w:sz="4" w:space="0" w:color="auto"/>
              <w:right w:val="single" w:sz="4" w:space="0" w:color="auto"/>
            </w:tcBorders>
            <w:shd w:val="clear" w:color="000000" w:fill="F2F2F2"/>
            <w:noWrap/>
            <w:hideMark/>
          </w:tcPr>
          <w:p w14:paraId="6B000112" w14:textId="6C87D162" w:rsidR="006D468D" w:rsidRPr="006D468D" w:rsidRDefault="006D468D" w:rsidP="006D468D">
            <w:pPr>
              <w:spacing w:before="0" w:after="0"/>
              <w:jc w:val="right"/>
              <w:rPr>
                <w:rFonts w:eastAsia="Times New Roman"/>
                <w:sz w:val="16"/>
                <w:szCs w:val="16"/>
                <w:lang w:bidi="ar-SA"/>
              </w:rPr>
            </w:pPr>
            <w:r w:rsidRPr="006D468D">
              <w:rPr>
                <w:sz w:val="16"/>
                <w:szCs w:val="16"/>
              </w:rPr>
              <w:t>51 889 315</w:t>
            </w:r>
          </w:p>
        </w:tc>
        <w:tc>
          <w:tcPr>
            <w:tcW w:w="1264" w:type="dxa"/>
            <w:tcBorders>
              <w:top w:val="nil"/>
              <w:left w:val="nil"/>
              <w:bottom w:val="single" w:sz="4" w:space="0" w:color="auto"/>
              <w:right w:val="single" w:sz="4" w:space="0" w:color="auto"/>
            </w:tcBorders>
            <w:shd w:val="clear" w:color="000000" w:fill="F2F2F2"/>
            <w:hideMark/>
          </w:tcPr>
          <w:p w14:paraId="7A360AF1" w14:textId="77FF80CA" w:rsidR="006D468D" w:rsidRPr="006D468D" w:rsidRDefault="006D468D" w:rsidP="006D468D">
            <w:pPr>
              <w:spacing w:before="0" w:after="0"/>
              <w:jc w:val="right"/>
              <w:rPr>
                <w:rFonts w:eastAsia="Times New Roman"/>
                <w:sz w:val="16"/>
                <w:szCs w:val="16"/>
                <w:lang w:bidi="ar-SA"/>
              </w:rPr>
            </w:pPr>
            <w:r w:rsidRPr="006D468D">
              <w:rPr>
                <w:sz w:val="16"/>
                <w:szCs w:val="16"/>
              </w:rPr>
              <w:t>55 348 603</w:t>
            </w:r>
          </w:p>
        </w:tc>
        <w:tc>
          <w:tcPr>
            <w:tcW w:w="1168" w:type="dxa"/>
            <w:tcBorders>
              <w:top w:val="nil"/>
              <w:left w:val="nil"/>
              <w:bottom w:val="single" w:sz="4" w:space="0" w:color="auto"/>
              <w:right w:val="single" w:sz="4" w:space="0" w:color="auto"/>
            </w:tcBorders>
            <w:shd w:val="clear" w:color="000000" w:fill="F2F2F2"/>
            <w:noWrap/>
            <w:hideMark/>
          </w:tcPr>
          <w:p w14:paraId="064EC60D" w14:textId="40A1ECE4" w:rsidR="006D468D" w:rsidRPr="006D468D" w:rsidRDefault="006D468D" w:rsidP="006D468D">
            <w:pPr>
              <w:spacing w:before="0" w:after="0"/>
              <w:jc w:val="right"/>
              <w:rPr>
                <w:rFonts w:eastAsia="Times New Roman"/>
                <w:sz w:val="16"/>
                <w:szCs w:val="16"/>
                <w:lang w:bidi="ar-SA"/>
              </w:rPr>
            </w:pPr>
            <w:r w:rsidRPr="006D468D">
              <w:rPr>
                <w:sz w:val="16"/>
                <w:szCs w:val="16"/>
              </w:rPr>
              <w:t>55 348 603</w:t>
            </w:r>
          </w:p>
        </w:tc>
        <w:tc>
          <w:tcPr>
            <w:tcW w:w="1266" w:type="dxa"/>
            <w:tcBorders>
              <w:top w:val="nil"/>
              <w:left w:val="nil"/>
              <w:bottom w:val="single" w:sz="4" w:space="0" w:color="auto"/>
              <w:right w:val="single" w:sz="4" w:space="0" w:color="auto"/>
            </w:tcBorders>
            <w:shd w:val="clear" w:color="auto" w:fill="auto"/>
            <w:hideMark/>
          </w:tcPr>
          <w:p w14:paraId="17109600" w14:textId="5284E510" w:rsidR="006D468D" w:rsidRPr="006D468D" w:rsidRDefault="006D468D" w:rsidP="006D468D">
            <w:pPr>
              <w:spacing w:before="0" w:after="0"/>
              <w:jc w:val="right"/>
              <w:rPr>
                <w:rFonts w:eastAsia="Times New Roman"/>
                <w:b/>
                <w:bCs/>
                <w:sz w:val="16"/>
                <w:szCs w:val="16"/>
                <w:lang w:bidi="ar-SA"/>
              </w:rPr>
            </w:pPr>
            <w:r w:rsidRPr="006D468D">
              <w:rPr>
                <w:sz w:val="16"/>
                <w:szCs w:val="16"/>
              </w:rPr>
              <w:t>691 857 535</w:t>
            </w:r>
          </w:p>
        </w:tc>
      </w:tr>
      <w:tr w:rsidR="006D468D" w:rsidRPr="006D468D" w14:paraId="495A20A4" w14:textId="77777777" w:rsidTr="00710DDA">
        <w:trPr>
          <w:trHeight w:val="510"/>
        </w:trPr>
        <w:tc>
          <w:tcPr>
            <w:tcW w:w="1241" w:type="dxa"/>
            <w:tcBorders>
              <w:top w:val="nil"/>
              <w:left w:val="single" w:sz="4" w:space="0" w:color="auto"/>
              <w:bottom w:val="single" w:sz="4" w:space="0" w:color="auto"/>
              <w:right w:val="single" w:sz="4" w:space="0" w:color="auto"/>
            </w:tcBorders>
            <w:shd w:val="clear" w:color="auto" w:fill="auto"/>
            <w:vAlign w:val="center"/>
            <w:hideMark/>
          </w:tcPr>
          <w:p w14:paraId="16E97D4C" w14:textId="77777777" w:rsidR="006D468D" w:rsidRPr="006D468D" w:rsidRDefault="006D468D" w:rsidP="006D468D">
            <w:pPr>
              <w:spacing w:before="0" w:after="0"/>
              <w:jc w:val="left"/>
              <w:rPr>
                <w:rFonts w:eastAsia="Times New Roman"/>
                <w:color w:val="000000"/>
                <w:sz w:val="16"/>
                <w:szCs w:val="16"/>
                <w:lang w:bidi="ar-SA"/>
              </w:rPr>
            </w:pPr>
            <w:r w:rsidRPr="006D468D">
              <w:rPr>
                <w:rFonts w:eastAsia="Times New Roman"/>
                <w:color w:val="000000"/>
                <w:sz w:val="16"/>
                <w:szCs w:val="16"/>
                <w:lang w:bidi="ar-SA"/>
              </w:rPr>
              <w:t>KF</w:t>
            </w:r>
          </w:p>
        </w:tc>
        <w:tc>
          <w:tcPr>
            <w:tcW w:w="919" w:type="dxa"/>
            <w:tcBorders>
              <w:top w:val="nil"/>
              <w:left w:val="nil"/>
              <w:bottom w:val="single" w:sz="4" w:space="0" w:color="auto"/>
              <w:right w:val="single" w:sz="4" w:space="0" w:color="auto"/>
            </w:tcBorders>
            <w:shd w:val="clear" w:color="auto" w:fill="auto"/>
            <w:vAlign w:val="center"/>
            <w:hideMark/>
          </w:tcPr>
          <w:p w14:paraId="16787D8A" w14:textId="77777777" w:rsidR="006D468D" w:rsidRPr="006D468D" w:rsidRDefault="006D468D" w:rsidP="006D468D">
            <w:pPr>
              <w:spacing w:before="0" w:after="0"/>
              <w:jc w:val="left"/>
              <w:rPr>
                <w:rFonts w:eastAsia="Times New Roman"/>
                <w:color w:val="000000"/>
                <w:sz w:val="16"/>
                <w:szCs w:val="16"/>
                <w:lang w:bidi="ar-SA"/>
              </w:rPr>
            </w:pPr>
            <w:r w:rsidRPr="006D468D">
              <w:rPr>
                <w:rFonts w:eastAsia="Times New Roman"/>
                <w:color w:val="000000"/>
                <w:sz w:val="16"/>
                <w:szCs w:val="16"/>
                <w:lang w:bidi="ar-SA"/>
              </w:rPr>
              <w:t>Nav norādīts</w:t>
            </w:r>
          </w:p>
        </w:tc>
        <w:tc>
          <w:tcPr>
            <w:tcW w:w="1081" w:type="dxa"/>
            <w:tcBorders>
              <w:top w:val="nil"/>
              <w:left w:val="nil"/>
              <w:bottom w:val="single" w:sz="4" w:space="0" w:color="auto"/>
              <w:right w:val="single" w:sz="4" w:space="0" w:color="auto"/>
            </w:tcBorders>
            <w:shd w:val="clear" w:color="auto" w:fill="auto"/>
            <w:hideMark/>
          </w:tcPr>
          <w:p w14:paraId="2774E210" w14:textId="7569E8BA" w:rsidR="006D468D" w:rsidRPr="006D468D" w:rsidRDefault="006D468D" w:rsidP="006D468D">
            <w:pPr>
              <w:spacing w:before="0" w:after="0"/>
              <w:jc w:val="right"/>
              <w:rPr>
                <w:rFonts w:eastAsia="Times New Roman"/>
                <w:sz w:val="16"/>
                <w:szCs w:val="16"/>
                <w:lang w:bidi="ar-SA"/>
              </w:rPr>
            </w:pPr>
            <w:r w:rsidRPr="006D468D">
              <w:rPr>
                <w:sz w:val="16"/>
                <w:szCs w:val="16"/>
              </w:rPr>
              <w:t>133 580 472</w:t>
            </w:r>
          </w:p>
        </w:tc>
        <w:tc>
          <w:tcPr>
            <w:tcW w:w="1126" w:type="dxa"/>
            <w:tcBorders>
              <w:top w:val="nil"/>
              <w:left w:val="nil"/>
              <w:bottom w:val="single" w:sz="4" w:space="0" w:color="auto"/>
              <w:right w:val="single" w:sz="4" w:space="0" w:color="auto"/>
            </w:tcBorders>
            <w:shd w:val="clear" w:color="auto" w:fill="auto"/>
            <w:hideMark/>
          </w:tcPr>
          <w:p w14:paraId="4A114BDD" w14:textId="7E95F666" w:rsidR="006D468D" w:rsidRPr="006D468D" w:rsidRDefault="006D468D" w:rsidP="006D468D">
            <w:pPr>
              <w:spacing w:before="0" w:after="0"/>
              <w:jc w:val="right"/>
              <w:rPr>
                <w:rFonts w:eastAsia="Times New Roman"/>
                <w:sz w:val="16"/>
                <w:szCs w:val="16"/>
                <w:lang w:bidi="ar-SA"/>
              </w:rPr>
            </w:pPr>
            <w:r w:rsidRPr="006D468D">
              <w:rPr>
                <w:sz w:val="16"/>
                <w:szCs w:val="16"/>
              </w:rPr>
              <w:t>133 580 472</w:t>
            </w:r>
          </w:p>
        </w:tc>
        <w:tc>
          <w:tcPr>
            <w:tcW w:w="1126" w:type="dxa"/>
            <w:tcBorders>
              <w:top w:val="nil"/>
              <w:left w:val="nil"/>
              <w:bottom w:val="single" w:sz="4" w:space="0" w:color="auto"/>
              <w:right w:val="single" w:sz="4" w:space="0" w:color="auto"/>
            </w:tcBorders>
            <w:shd w:val="clear" w:color="auto" w:fill="auto"/>
            <w:hideMark/>
          </w:tcPr>
          <w:p w14:paraId="14984524" w14:textId="4D21CE9E" w:rsidR="006D468D" w:rsidRPr="006D468D" w:rsidRDefault="006D468D" w:rsidP="006D468D">
            <w:pPr>
              <w:spacing w:before="0" w:after="0"/>
              <w:jc w:val="right"/>
              <w:rPr>
                <w:rFonts w:eastAsia="Times New Roman"/>
                <w:sz w:val="16"/>
                <w:szCs w:val="16"/>
                <w:lang w:bidi="ar-SA"/>
              </w:rPr>
            </w:pPr>
            <w:r w:rsidRPr="006D468D">
              <w:rPr>
                <w:sz w:val="16"/>
                <w:szCs w:val="16"/>
              </w:rPr>
              <w:t>143 855 893</w:t>
            </w:r>
          </w:p>
        </w:tc>
        <w:tc>
          <w:tcPr>
            <w:tcW w:w="1126" w:type="dxa"/>
            <w:tcBorders>
              <w:top w:val="nil"/>
              <w:left w:val="nil"/>
              <w:bottom w:val="single" w:sz="4" w:space="0" w:color="auto"/>
              <w:right w:val="single" w:sz="4" w:space="0" w:color="auto"/>
            </w:tcBorders>
            <w:shd w:val="clear" w:color="auto" w:fill="auto"/>
            <w:hideMark/>
          </w:tcPr>
          <w:p w14:paraId="30A1201D" w14:textId="1AC6562B" w:rsidR="006D468D" w:rsidRPr="006D468D" w:rsidRDefault="006D468D" w:rsidP="006D468D">
            <w:pPr>
              <w:spacing w:before="0" w:after="0"/>
              <w:jc w:val="right"/>
              <w:rPr>
                <w:rFonts w:eastAsia="Times New Roman"/>
                <w:sz w:val="16"/>
                <w:szCs w:val="16"/>
                <w:lang w:bidi="ar-SA"/>
              </w:rPr>
            </w:pPr>
            <w:r w:rsidRPr="006D468D">
              <w:rPr>
                <w:sz w:val="16"/>
                <w:szCs w:val="16"/>
              </w:rPr>
              <w:t>143 855 893</w:t>
            </w:r>
          </w:p>
        </w:tc>
        <w:tc>
          <w:tcPr>
            <w:tcW w:w="1126" w:type="dxa"/>
            <w:tcBorders>
              <w:top w:val="nil"/>
              <w:left w:val="nil"/>
              <w:bottom w:val="single" w:sz="4" w:space="0" w:color="auto"/>
              <w:right w:val="single" w:sz="4" w:space="0" w:color="auto"/>
            </w:tcBorders>
            <w:shd w:val="clear" w:color="auto" w:fill="auto"/>
            <w:hideMark/>
          </w:tcPr>
          <w:p w14:paraId="3059CE8E" w14:textId="6A46B360" w:rsidR="006D468D" w:rsidRPr="006D468D" w:rsidRDefault="006D468D" w:rsidP="006D468D">
            <w:pPr>
              <w:spacing w:before="0" w:after="0"/>
              <w:jc w:val="right"/>
              <w:rPr>
                <w:rFonts w:eastAsia="Times New Roman"/>
                <w:sz w:val="16"/>
                <w:szCs w:val="16"/>
                <w:lang w:bidi="ar-SA"/>
              </w:rPr>
            </w:pPr>
            <w:r w:rsidRPr="006D468D">
              <w:rPr>
                <w:sz w:val="16"/>
                <w:szCs w:val="16"/>
              </w:rPr>
              <w:t>154 131 314</w:t>
            </w:r>
          </w:p>
        </w:tc>
        <w:tc>
          <w:tcPr>
            <w:tcW w:w="1134" w:type="dxa"/>
            <w:tcBorders>
              <w:top w:val="nil"/>
              <w:left w:val="nil"/>
              <w:bottom w:val="single" w:sz="4" w:space="0" w:color="auto"/>
              <w:right w:val="single" w:sz="4" w:space="0" w:color="auto"/>
            </w:tcBorders>
            <w:shd w:val="clear" w:color="000000" w:fill="F2F2F2"/>
            <w:hideMark/>
          </w:tcPr>
          <w:p w14:paraId="0055E526" w14:textId="32649536" w:rsidR="006D468D" w:rsidRPr="006D468D" w:rsidRDefault="006D468D" w:rsidP="006D468D">
            <w:pPr>
              <w:spacing w:before="0" w:after="0"/>
              <w:jc w:val="right"/>
              <w:rPr>
                <w:rFonts w:eastAsia="Times New Roman"/>
                <w:sz w:val="16"/>
                <w:szCs w:val="16"/>
                <w:lang w:bidi="ar-SA"/>
              </w:rPr>
            </w:pPr>
            <w:r w:rsidRPr="006D468D">
              <w:rPr>
                <w:sz w:val="16"/>
                <w:szCs w:val="16"/>
              </w:rPr>
              <w:t>77 065 657</w:t>
            </w:r>
          </w:p>
        </w:tc>
        <w:tc>
          <w:tcPr>
            <w:tcW w:w="1168" w:type="dxa"/>
            <w:tcBorders>
              <w:top w:val="nil"/>
              <w:left w:val="nil"/>
              <w:bottom w:val="single" w:sz="4" w:space="0" w:color="auto"/>
              <w:right w:val="single" w:sz="4" w:space="0" w:color="auto"/>
            </w:tcBorders>
            <w:shd w:val="clear" w:color="000000" w:fill="F2F2F2"/>
            <w:noWrap/>
            <w:hideMark/>
          </w:tcPr>
          <w:p w14:paraId="7A4481D2" w14:textId="0857E843" w:rsidR="006D468D" w:rsidRPr="006D468D" w:rsidRDefault="006D468D" w:rsidP="006D468D">
            <w:pPr>
              <w:spacing w:before="0" w:after="0"/>
              <w:jc w:val="right"/>
              <w:rPr>
                <w:rFonts w:eastAsia="Times New Roman"/>
                <w:sz w:val="16"/>
                <w:szCs w:val="16"/>
                <w:lang w:bidi="ar-SA"/>
              </w:rPr>
            </w:pPr>
            <w:r w:rsidRPr="006D468D">
              <w:rPr>
                <w:sz w:val="16"/>
                <w:szCs w:val="16"/>
              </w:rPr>
              <w:t>77 065 657</w:t>
            </w:r>
          </w:p>
        </w:tc>
        <w:tc>
          <w:tcPr>
            <w:tcW w:w="1264" w:type="dxa"/>
            <w:tcBorders>
              <w:top w:val="nil"/>
              <w:left w:val="nil"/>
              <w:bottom w:val="single" w:sz="4" w:space="0" w:color="auto"/>
              <w:right w:val="single" w:sz="4" w:space="0" w:color="auto"/>
            </w:tcBorders>
            <w:shd w:val="clear" w:color="000000" w:fill="F2F2F2"/>
            <w:hideMark/>
          </w:tcPr>
          <w:p w14:paraId="31355D23" w14:textId="5D8D9750" w:rsidR="006D468D" w:rsidRPr="006D468D" w:rsidRDefault="006D468D" w:rsidP="006D468D">
            <w:pPr>
              <w:spacing w:before="0" w:after="0"/>
              <w:jc w:val="right"/>
              <w:rPr>
                <w:rFonts w:eastAsia="Times New Roman"/>
                <w:sz w:val="16"/>
                <w:szCs w:val="16"/>
                <w:lang w:bidi="ar-SA"/>
              </w:rPr>
            </w:pPr>
            <w:r w:rsidRPr="006D468D">
              <w:rPr>
                <w:sz w:val="16"/>
                <w:szCs w:val="16"/>
              </w:rPr>
              <w:t>82 203 367</w:t>
            </w:r>
          </w:p>
        </w:tc>
        <w:tc>
          <w:tcPr>
            <w:tcW w:w="1168" w:type="dxa"/>
            <w:tcBorders>
              <w:top w:val="nil"/>
              <w:left w:val="nil"/>
              <w:bottom w:val="single" w:sz="4" w:space="0" w:color="auto"/>
              <w:right w:val="single" w:sz="4" w:space="0" w:color="auto"/>
            </w:tcBorders>
            <w:shd w:val="clear" w:color="000000" w:fill="F2F2F2"/>
            <w:noWrap/>
            <w:hideMark/>
          </w:tcPr>
          <w:p w14:paraId="6742D5B7" w14:textId="4A070C6C" w:rsidR="006D468D" w:rsidRPr="006D468D" w:rsidRDefault="006D468D" w:rsidP="006D468D">
            <w:pPr>
              <w:spacing w:before="0" w:after="0"/>
              <w:jc w:val="right"/>
              <w:rPr>
                <w:rFonts w:eastAsia="Times New Roman"/>
                <w:sz w:val="16"/>
                <w:szCs w:val="16"/>
                <w:lang w:bidi="ar-SA"/>
              </w:rPr>
            </w:pPr>
            <w:r w:rsidRPr="006D468D">
              <w:rPr>
                <w:sz w:val="16"/>
                <w:szCs w:val="16"/>
              </w:rPr>
              <w:t>82 203 367</w:t>
            </w:r>
          </w:p>
        </w:tc>
        <w:tc>
          <w:tcPr>
            <w:tcW w:w="1266" w:type="dxa"/>
            <w:tcBorders>
              <w:top w:val="nil"/>
              <w:left w:val="nil"/>
              <w:bottom w:val="single" w:sz="4" w:space="0" w:color="auto"/>
              <w:right w:val="single" w:sz="4" w:space="0" w:color="auto"/>
            </w:tcBorders>
            <w:shd w:val="clear" w:color="auto" w:fill="auto"/>
            <w:hideMark/>
          </w:tcPr>
          <w:p w14:paraId="0A0DAAB2" w14:textId="0E8F5676" w:rsidR="006D468D" w:rsidRPr="006D468D" w:rsidRDefault="006D468D" w:rsidP="006D468D">
            <w:pPr>
              <w:spacing w:before="0" w:after="0"/>
              <w:jc w:val="right"/>
              <w:rPr>
                <w:rFonts w:eastAsia="Times New Roman"/>
                <w:b/>
                <w:bCs/>
                <w:sz w:val="16"/>
                <w:szCs w:val="16"/>
                <w:lang w:bidi="ar-SA"/>
              </w:rPr>
            </w:pPr>
            <w:r w:rsidRPr="006D468D">
              <w:rPr>
                <w:sz w:val="16"/>
                <w:szCs w:val="16"/>
              </w:rPr>
              <w:t>1 027 542 092</w:t>
            </w:r>
          </w:p>
        </w:tc>
      </w:tr>
      <w:tr w:rsidR="006D468D" w:rsidRPr="006D468D" w14:paraId="19C09F2F" w14:textId="77777777" w:rsidTr="006E2C95">
        <w:trPr>
          <w:trHeight w:val="643"/>
        </w:trPr>
        <w:tc>
          <w:tcPr>
            <w:tcW w:w="1241" w:type="dxa"/>
            <w:tcBorders>
              <w:top w:val="nil"/>
              <w:left w:val="single" w:sz="4" w:space="0" w:color="auto"/>
              <w:bottom w:val="single" w:sz="4" w:space="0" w:color="auto"/>
              <w:right w:val="single" w:sz="4" w:space="0" w:color="auto"/>
            </w:tcBorders>
            <w:shd w:val="clear" w:color="auto" w:fill="auto"/>
            <w:vAlign w:val="center"/>
            <w:hideMark/>
          </w:tcPr>
          <w:p w14:paraId="21A31357" w14:textId="28BCB162" w:rsidR="006D468D" w:rsidRPr="006D468D" w:rsidRDefault="006D468D" w:rsidP="006D468D">
            <w:pPr>
              <w:spacing w:before="0" w:after="0"/>
              <w:jc w:val="left"/>
              <w:rPr>
                <w:rFonts w:eastAsia="Times New Roman"/>
                <w:sz w:val="16"/>
                <w:szCs w:val="16"/>
                <w:lang w:bidi="ar-SA"/>
              </w:rPr>
            </w:pPr>
            <w:r w:rsidRPr="006D468D">
              <w:rPr>
                <w:rFonts w:eastAsia="Times New Roman"/>
                <w:sz w:val="16"/>
                <w:szCs w:val="16"/>
                <w:lang w:bidi="ar-SA"/>
              </w:rPr>
              <w:t>TPF (MFF)</w:t>
            </w:r>
            <w:r w:rsidRPr="006D468D">
              <w:rPr>
                <w:rStyle w:val="FootnoteReference"/>
                <w:rFonts w:eastAsia="Times New Roman"/>
                <w:sz w:val="16"/>
                <w:szCs w:val="16"/>
                <w:lang w:bidi="ar-SA"/>
              </w:rPr>
              <w:footnoteReference w:id="140"/>
            </w:r>
            <w:r w:rsidRPr="006D468D">
              <w:rPr>
                <w:rFonts w:eastAsia="Times New Roman"/>
                <w:sz w:val="16"/>
                <w:szCs w:val="16"/>
                <w:lang w:bidi="ar-SA"/>
              </w:rPr>
              <w:t xml:space="preserve"> </w:t>
            </w:r>
          </w:p>
        </w:tc>
        <w:tc>
          <w:tcPr>
            <w:tcW w:w="919" w:type="dxa"/>
            <w:tcBorders>
              <w:top w:val="nil"/>
              <w:left w:val="nil"/>
              <w:bottom w:val="single" w:sz="4" w:space="0" w:color="auto"/>
              <w:right w:val="single" w:sz="4" w:space="0" w:color="auto"/>
            </w:tcBorders>
            <w:shd w:val="clear" w:color="auto" w:fill="auto"/>
            <w:vAlign w:val="center"/>
            <w:hideMark/>
          </w:tcPr>
          <w:p w14:paraId="0829A954" w14:textId="77777777" w:rsidR="006D468D" w:rsidRPr="006D468D" w:rsidRDefault="006D468D" w:rsidP="006D468D">
            <w:pPr>
              <w:spacing w:before="0" w:after="0"/>
              <w:jc w:val="left"/>
              <w:rPr>
                <w:rFonts w:eastAsia="Times New Roman"/>
                <w:sz w:val="16"/>
                <w:szCs w:val="16"/>
                <w:lang w:bidi="ar-SA"/>
              </w:rPr>
            </w:pPr>
            <w:r w:rsidRPr="006D468D">
              <w:rPr>
                <w:rFonts w:eastAsia="Times New Roman"/>
                <w:sz w:val="16"/>
                <w:szCs w:val="16"/>
                <w:lang w:bidi="ar-SA"/>
              </w:rPr>
              <w:t>Mazāk attīstīts</w:t>
            </w:r>
          </w:p>
        </w:tc>
        <w:tc>
          <w:tcPr>
            <w:tcW w:w="1081" w:type="dxa"/>
            <w:tcBorders>
              <w:top w:val="nil"/>
              <w:left w:val="nil"/>
              <w:bottom w:val="single" w:sz="4" w:space="0" w:color="auto"/>
              <w:right w:val="single" w:sz="4" w:space="0" w:color="auto"/>
            </w:tcBorders>
            <w:shd w:val="clear" w:color="auto" w:fill="auto"/>
            <w:hideMark/>
          </w:tcPr>
          <w:p w14:paraId="4151C240" w14:textId="63A0F72A" w:rsidR="006D468D" w:rsidRPr="006D468D" w:rsidRDefault="006D468D" w:rsidP="006D468D">
            <w:pPr>
              <w:spacing w:before="0" w:after="0"/>
              <w:jc w:val="right"/>
              <w:rPr>
                <w:rFonts w:eastAsia="Times New Roman"/>
                <w:sz w:val="16"/>
                <w:szCs w:val="16"/>
                <w:lang w:bidi="ar-SA"/>
              </w:rPr>
            </w:pPr>
            <w:r w:rsidRPr="006D468D">
              <w:rPr>
                <w:sz w:val="16"/>
                <w:szCs w:val="16"/>
              </w:rPr>
              <w:t>10 906 946</w:t>
            </w:r>
          </w:p>
        </w:tc>
        <w:tc>
          <w:tcPr>
            <w:tcW w:w="1126" w:type="dxa"/>
            <w:tcBorders>
              <w:top w:val="nil"/>
              <w:left w:val="nil"/>
              <w:bottom w:val="single" w:sz="4" w:space="0" w:color="auto"/>
              <w:right w:val="single" w:sz="4" w:space="0" w:color="auto"/>
            </w:tcBorders>
            <w:shd w:val="clear" w:color="auto" w:fill="auto"/>
            <w:hideMark/>
          </w:tcPr>
          <w:p w14:paraId="7895D6B5" w14:textId="22E67DBF" w:rsidR="006D468D" w:rsidRPr="006D468D" w:rsidRDefault="006D468D" w:rsidP="006D468D">
            <w:pPr>
              <w:spacing w:before="0" w:after="0"/>
              <w:jc w:val="right"/>
              <w:rPr>
                <w:rFonts w:eastAsia="Times New Roman"/>
                <w:sz w:val="16"/>
                <w:szCs w:val="16"/>
                <w:lang w:bidi="ar-SA"/>
              </w:rPr>
            </w:pPr>
            <w:r w:rsidRPr="006D468D">
              <w:rPr>
                <w:sz w:val="16"/>
                <w:szCs w:val="16"/>
              </w:rPr>
              <w:t>10 906 946</w:t>
            </w:r>
          </w:p>
        </w:tc>
        <w:tc>
          <w:tcPr>
            <w:tcW w:w="1126" w:type="dxa"/>
            <w:tcBorders>
              <w:top w:val="nil"/>
              <w:left w:val="nil"/>
              <w:bottom w:val="single" w:sz="4" w:space="0" w:color="auto"/>
              <w:right w:val="single" w:sz="4" w:space="0" w:color="auto"/>
            </w:tcBorders>
            <w:shd w:val="clear" w:color="auto" w:fill="auto"/>
            <w:hideMark/>
          </w:tcPr>
          <w:p w14:paraId="275AC635" w14:textId="70C031E4" w:rsidR="006D468D" w:rsidRPr="006D468D" w:rsidRDefault="006D468D" w:rsidP="006D468D">
            <w:pPr>
              <w:spacing w:before="0" w:after="0"/>
              <w:jc w:val="right"/>
              <w:rPr>
                <w:rFonts w:eastAsia="Times New Roman"/>
                <w:sz w:val="16"/>
                <w:szCs w:val="16"/>
                <w:lang w:bidi="ar-SA"/>
              </w:rPr>
            </w:pPr>
            <w:r w:rsidRPr="006D468D">
              <w:rPr>
                <w:sz w:val="16"/>
                <w:szCs w:val="16"/>
              </w:rPr>
              <w:t>11 745 942</w:t>
            </w:r>
          </w:p>
        </w:tc>
        <w:tc>
          <w:tcPr>
            <w:tcW w:w="1126" w:type="dxa"/>
            <w:tcBorders>
              <w:top w:val="nil"/>
              <w:left w:val="nil"/>
              <w:bottom w:val="single" w:sz="4" w:space="0" w:color="auto"/>
              <w:right w:val="single" w:sz="4" w:space="0" w:color="auto"/>
            </w:tcBorders>
            <w:shd w:val="clear" w:color="auto" w:fill="auto"/>
            <w:hideMark/>
          </w:tcPr>
          <w:p w14:paraId="60729AD2" w14:textId="76751357" w:rsidR="006D468D" w:rsidRPr="006D468D" w:rsidRDefault="006D468D" w:rsidP="006D468D">
            <w:pPr>
              <w:spacing w:before="0" w:after="0"/>
              <w:jc w:val="right"/>
              <w:rPr>
                <w:rFonts w:eastAsia="Times New Roman"/>
                <w:sz w:val="16"/>
                <w:szCs w:val="16"/>
                <w:lang w:bidi="ar-SA"/>
              </w:rPr>
            </w:pPr>
            <w:r w:rsidRPr="006D468D">
              <w:rPr>
                <w:sz w:val="16"/>
                <w:szCs w:val="16"/>
              </w:rPr>
              <w:t>11 745 942</w:t>
            </w:r>
          </w:p>
        </w:tc>
        <w:tc>
          <w:tcPr>
            <w:tcW w:w="1126" w:type="dxa"/>
            <w:tcBorders>
              <w:top w:val="nil"/>
              <w:left w:val="nil"/>
              <w:bottom w:val="single" w:sz="4" w:space="0" w:color="auto"/>
              <w:right w:val="single" w:sz="4" w:space="0" w:color="auto"/>
            </w:tcBorders>
            <w:shd w:val="clear" w:color="auto" w:fill="auto"/>
            <w:hideMark/>
          </w:tcPr>
          <w:p w14:paraId="27AA53A4" w14:textId="6BAB4C65" w:rsidR="006D468D" w:rsidRPr="006D468D" w:rsidRDefault="006D468D" w:rsidP="006D468D">
            <w:pPr>
              <w:spacing w:before="0" w:after="0"/>
              <w:jc w:val="right"/>
              <w:rPr>
                <w:rFonts w:eastAsia="Times New Roman"/>
                <w:sz w:val="16"/>
                <w:szCs w:val="16"/>
                <w:lang w:bidi="ar-SA"/>
              </w:rPr>
            </w:pPr>
            <w:r w:rsidRPr="006D468D">
              <w:rPr>
                <w:sz w:val="16"/>
                <w:szCs w:val="16"/>
              </w:rPr>
              <w:t>12 584 938</w:t>
            </w:r>
          </w:p>
        </w:tc>
        <w:tc>
          <w:tcPr>
            <w:tcW w:w="1134" w:type="dxa"/>
            <w:tcBorders>
              <w:top w:val="nil"/>
              <w:left w:val="nil"/>
              <w:bottom w:val="single" w:sz="4" w:space="0" w:color="auto"/>
              <w:right w:val="single" w:sz="4" w:space="0" w:color="auto"/>
            </w:tcBorders>
            <w:shd w:val="clear" w:color="000000" w:fill="F2F2F2"/>
            <w:hideMark/>
          </w:tcPr>
          <w:p w14:paraId="4C577CE4" w14:textId="5295F0F9" w:rsidR="006D468D" w:rsidRPr="006D468D" w:rsidRDefault="006D468D" w:rsidP="006D468D">
            <w:pPr>
              <w:spacing w:before="0" w:after="0"/>
              <w:jc w:val="right"/>
              <w:rPr>
                <w:rFonts w:eastAsia="Times New Roman"/>
                <w:sz w:val="16"/>
                <w:szCs w:val="16"/>
                <w:lang w:bidi="ar-SA"/>
              </w:rPr>
            </w:pPr>
            <w:r w:rsidRPr="006D468D">
              <w:rPr>
                <w:sz w:val="16"/>
                <w:szCs w:val="16"/>
              </w:rPr>
              <w:t>6 292 469</w:t>
            </w:r>
          </w:p>
        </w:tc>
        <w:tc>
          <w:tcPr>
            <w:tcW w:w="1168" w:type="dxa"/>
            <w:tcBorders>
              <w:top w:val="nil"/>
              <w:left w:val="nil"/>
              <w:bottom w:val="single" w:sz="4" w:space="0" w:color="auto"/>
              <w:right w:val="single" w:sz="4" w:space="0" w:color="auto"/>
            </w:tcBorders>
            <w:shd w:val="clear" w:color="000000" w:fill="F2F2F2"/>
            <w:noWrap/>
            <w:hideMark/>
          </w:tcPr>
          <w:p w14:paraId="535F0727" w14:textId="0B98E334" w:rsidR="006D468D" w:rsidRPr="006D468D" w:rsidRDefault="006D468D" w:rsidP="006D468D">
            <w:pPr>
              <w:spacing w:before="0" w:after="0"/>
              <w:jc w:val="right"/>
              <w:rPr>
                <w:rFonts w:eastAsia="Times New Roman"/>
                <w:sz w:val="16"/>
                <w:szCs w:val="16"/>
                <w:lang w:bidi="ar-SA"/>
              </w:rPr>
            </w:pPr>
            <w:r w:rsidRPr="006D468D">
              <w:rPr>
                <w:sz w:val="16"/>
                <w:szCs w:val="16"/>
              </w:rPr>
              <w:t>6 292 469</w:t>
            </w:r>
          </w:p>
        </w:tc>
        <w:tc>
          <w:tcPr>
            <w:tcW w:w="1264" w:type="dxa"/>
            <w:tcBorders>
              <w:top w:val="nil"/>
              <w:left w:val="nil"/>
              <w:bottom w:val="single" w:sz="4" w:space="0" w:color="auto"/>
              <w:right w:val="single" w:sz="4" w:space="0" w:color="auto"/>
            </w:tcBorders>
            <w:shd w:val="clear" w:color="000000" w:fill="F2F2F2"/>
            <w:hideMark/>
          </w:tcPr>
          <w:p w14:paraId="7FA23237" w14:textId="53FBC7A8" w:rsidR="006D468D" w:rsidRPr="006D468D" w:rsidRDefault="006D468D" w:rsidP="006D468D">
            <w:pPr>
              <w:spacing w:before="0" w:after="0"/>
              <w:jc w:val="right"/>
              <w:rPr>
                <w:rFonts w:eastAsia="Times New Roman"/>
                <w:sz w:val="16"/>
                <w:szCs w:val="16"/>
                <w:lang w:bidi="ar-SA"/>
              </w:rPr>
            </w:pPr>
            <w:r w:rsidRPr="006D468D">
              <w:rPr>
                <w:sz w:val="16"/>
                <w:szCs w:val="16"/>
              </w:rPr>
              <w:t>6 711 967</w:t>
            </w:r>
          </w:p>
        </w:tc>
        <w:tc>
          <w:tcPr>
            <w:tcW w:w="1168" w:type="dxa"/>
            <w:tcBorders>
              <w:top w:val="nil"/>
              <w:left w:val="nil"/>
              <w:bottom w:val="single" w:sz="4" w:space="0" w:color="auto"/>
              <w:right w:val="single" w:sz="4" w:space="0" w:color="auto"/>
            </w:tcBorders>
            <w:shd w:val="clear" w:color="000000" w:fill="F2F2F2"/>
            <w:noWrap/>
            <w:hideMark/>
          </w:tcPr>
          <w:p w14:paraId="0C6D5A06" w14:textId="689C5F43" w:rsidR="006D468D" w:rsidRPr="006D468D" w:rsidRDefault="006D468D" w:rsidP="006D468D">
            <w:pPr>
              <w:spacing w:before="0" w:after="0"/>
              <w:jc w:val="right"/>
              <w:rPr>
                <w:rFonts w:eastAsia="Times New Roman"/>
                <w:sz w:val="16"/>
                <w:szCs w:val="16"/>
                <w:lang w:bidi="ar-SA"/>
              </w:rPr>
            </w:pPr>
            <w:r w:rsidRPr="006D468D">
              <w:rPr>
                <w:sz w:val="16"/>
                <w:szCs w:val="16"/>
              </w:rPr>
              <w:t>6 711 967</w:t>
            </w:r>
          </w:p>
        </w:tc>
        <w:tc>
          <w:tcPr>
            <w:tcW w:w="1266" w:type="dxa"/>
            <w:tcBorders>
              <w:top w:val="nil"/>
              <w:left w:val="nil"/>
              <w:bottom w:val="single" w:sz="4" w:space="0" w:color="auto"/>
              <w:right w:val="single" w:sz="4" w:space="0" w:color="auto"/>
            </w:tcBorders>
            <w:shd w:val="clear" w:color="auto" w:fill="auto"/>
            <w:hideMark/>
          </w:tcPr>
          <w:p w14:paraId="5A235D56" w14:textId="516D7B9E" w:rsidR="006D468D" w:rsidRPr="006D468D" w:rsidRDefault="006D468D" w:rsidP="006D468D">
            <w:pPr>
              <w:spacing w:before="0" w:after="0"/>
              <w:jc w:val="right"/>
              <w:rPr>
                <w:rFonts w:eastAsia="Times New Roman"/>
                <w:b/>
                <w:bCs/>
                <w:sz w:val="16"/>
                <w:szCs w:val="16"/>
                <w:lang w:bidi="ar-SA"/>
              </w:rPr>
            </w:pPr>
            <w:r w:rsidRPr="006D468D">
              <w:rPr>
                <w:sz w:val="16"/>
                <w:szCs w:val="16"/>
              </w:rPr>
              <w:t>83 899 584</w:t>
            </w:r>
          </w:p>
        </w:tc>
      </w:tr>
      <w:tr w:rsidR="006D468D" w:rsidRPr="006D468D" w14:paraId="53D231DF" w14:textId="77777777" w:rsidTr="00301CB3">
        <w:trPr>
          <w:trHeight w:val="300"/>
        </w:trPr>
        <w:tc>
          <w:tcPr>
            <w:tcW w:w="1241" w:type="dxa"/>
            <w:tcBorders>
              <w:top w:val="nil"/>
              <w:left w:val="single" w:sz="4" w:space="0" w:color="auto"/>
              <w:bottom w:val="single" w:sz="4" w:space="0" w:color="auto"/>
              <w:right w:val="single" w:sz="4" w:space="0" w:color="auto"/>
            </w:tcBorders>
            <w:shd w:val="clear" w:color="auto" w:fill="auto"/>
            <w:vAlign w:val="center"/>
          </w:tcPr>
          <w:p w14:paraId="639162F4" w14:textId="77777777" w:rsidR="006D468D" w:rsidRPr="006D468D" w:rsidRDefault="006D468D" w:rsidP="006D468D">
            <w:pPr>
              <w:spacing w:before="0" w:after="0"/>
              <w:jc w:val="left"/>
              <w:rPr>
                <w:rFonts w:eastAsia="Times New Roman"/>
                <w:color w:val="000000"/>
                <w:sz w:val="16"/>
                <w:szCs w:val="16"/>
                <w:lang w:bidi="ar-SA"/>
              </w:rPr>
            </w:pPr>
            <w:r w:rsidRPr="006D468D">
              <w:rPr>
                <w:rFonts w:eastAsia="Times New Roman"/>
                <w:color w:val="000000"/>
                <w:sz w:val="16"/>
                <w:szCs w:val="16"/>
                <w:lang w:bidi="ar-SA"/>
              </w:rPr>
              <w:t>TPF (NextGen)</w:t>
            </w:r>
            <w:r w:rsidRPr="006D468D">
              <w:rPr>
                <w:rStyle w:val="FootnoteReference"/>
                <w:rFonts w:eastAsia="Times New Roman"/>
                <w:color w:val="000000"/>
                <w:sz w:val="16"/>
                <w:szCs w:val="16"/>
                <w:lang w:bidi="ar-SA"/>
              </w:rPr>
              <w:footnoteReference w:id="141"/>
            </w:r>
          </w:p>
          <w:p w14:paraId="6939A41A" w14:textId="037611B1" w:rsidR="006D468D" w:rsidRPr="006D468D" w:rsidRDefault="006D468D" w:rsidP="006D468D">
            <w:pPr>
              <w:spacing w:before="0" w:after="0"/>
              <w:jc w:val="left"/>
              <w:rPr>
                <w:rFonts w:eastAsia="Times New Roman"/>
                <w:color w:val="000000"/>
                <w:sz w:val="16"/>
                <w:szCs w:val="16"/>
                <w:lang w:bidi="ar-SA"/>
              </w:rPr>
            </w:pPr>
          </w:p>
        </w:tc>
        <w:tc>
          <w:tcPr>
            <w:tcW w:w="919" w:type="dxa"/>
            <w:tcBorders>
              <w:top w:val="nil"/>
              <w:left w:val="nil"/>
              <w:bottom w:val="single" w:sz="4" w:space="0" w:color="auto"/>
              <w:right w:val="single" w:sz="4" w:space="0" w:color="auto"/>
            </w:tcBorders>
            <w:shd w:val="clear" w:color="auto" w:fill="auto"/>
            <w:vAlign w:val="center"/>
          </w:tcPr>
          <w:p w14:paraId="635962C8" w14:textId="24CEAA8D" w:rsidR="006D468D" w:rsidRPr="006D468D" w:rsidRDefault="006D468D" w:rsidP="006D468D">
            <w:pPr>
              <w:spacing w:before="0" w:after="0"/>
              <w:jc w:val="left"/>
              <w:rPr>
                <w:rFonts w:eastAsia="Times New Roman"/>
                <w:color w:val="000000"/>
                <w:sz w:val="16"/>
                <w:szCs w:val="16"/>
                <w:lang w:bidi="ar-SA"/>
              </w:rPr>
            </w:pPr>
            <w:r w:rsidRPr="006D468D">
              <w:rPr>
                <w:rFonts w:eastAsia="Times New Roman"/>
                <w:sz w:val="16"/>
                <w:szCs w:val="16"/>
                <w:lang w:bidi="ar-SA"/>
              </w:rPr>
              <w:t>Mazāk attīstīts</w:t>
            </w:r>
          </w:p>
        </w:tc>
        <w:tc>
          <w:tcPr>
            <w:tcW w:w="1081" w:type="dxa"/>
            <w:tcBorders>
              <w:top w:val="nil"/>
              <w:left w:val="nil"/>
              <w:bottom w:val="single" w:sz="4" w:space="0" w:color="auto"/>
              <w:right w:val="single" w:sz="4" w:space="0" w:color="auto"/>
            </w:tcBorders>
            <w:shd w:val="clear" w:color="auto" w:fill="auto"/>
          </w:tcPr>
          <w:p w14:paraId="772F7B67" w14:textId="6EBBAAB4" w:rsidR="006D468D" w:rsidRPr="006D468D" w:rsidRDefault="006D468D" w:rsidP="006D468D">
            <w:pPr>
              <w:spacing w:before="0" w:after="0"/>
              <w:jc w:val="right"/>
              <w:rPr>
                <w:b/>
                <w:bCs/>
                <w:sz w:val="16"/>
                <w:szCs w:val="16"/>
              </w:rPr>
            </w:pPr>
            <w:r w:rsidRPr="006D468D">
              <w:rPr>
                <w:sz w:val="16"/>
                <w:szCs w:val="16"/>
              </w:rPr>
              <w:t>0</w:t>
            </w:r>
          </w:p>
        </w:tc>
        <w:tc>
          <w:tcPr>
            <w:tcW w:w="1126" w:type="dxa"/>
            <w:tcBorders>
              <w:top w:val="nil"/>
              <w:left w:val="nil"/>
              <w:bottom w:val="single" w:sz="4" w:space="0" w:color="auto"/>
              <w:right w:val="single" w:sz="4" w:space="0" w:color="auto"/>
            </w:tcBorders>
            <w:shd w:val="clear" w:color="auto" w:fill="auto"/>
          </w:tcPr>
          <w:p w14:paraId="739E1C12" w14:textId="3A7C9359" w:rsidR="006D468D" w:rsidRPr="006D468D" w:rsidRDefault="006D468D" w:rsidP="006D468D">
            <w:pPr>
              <w:spacing w:before="0" w:after="0"/>
              <w:jc w:val="right"/>
              <w:rPr>
                <w:b/>
                <w:bCs/>
                <w:sz w:val="16"/>
                <w:szCs w:val="16"/>
              </w:rPr>
            </w:pPr>
            <w:r w:rsidRPr="006D468D">
              <w:rPr>
                <w:sz w:val="16"/>
                <w:szCs w:val="16"/>
              </w:rPr>
              <w:t>8 616 579</w:t>
            </w:r>
          </w:p>
        </w:tc>
        <w:tc>
          <w:tcPr>
            <w:tcW w:w="1126" w:type="dxa"/>
            <w:tcBorders>
              <w:top w:val="nil"/>
              <w:left w:val="nil"/>
              <w:bottom w:val="single" w:sz="4" w:space="0" w:color="auto"/>
              <w:right w:val="single" w:sz="4" w:space="0" w:color="auto"/>
            </w:tcBorders>
            <w:shd w:val="clear" w:color="auto" w:fill="auto"/>
          </w:tcPr>
          <w:p w14:paraId="13A7CFE9" w14:textId="65E27D9D" w:rsidR="006D468D" w:rsidRPr="006D468D" w:rsidRDefault="006D468D" w:rsidP="006D468D">
            <w:pPr>
              <w:spacing w:before="0" w:after="0"/>
              <w:jc w:val="right"/>
              <w:rPr>
                <w:b/>
                <w:bCs/>
                <w:sz w:val="16"/>
                <w:szCs w:val="16"/>
              </w:rPr>
            </w:pPr>
            <w:r w:rsidRPr="006D468D">
              <w:rPr>
                <w:sz w:val="16"/>
                <w:szCs w:val="16"/>
              </w:rPr>
              <w:t>99 090 656</w:t>
            </w:r>
          </w:p>
        </w:tc>
        <w:tc>
          <w:tcPr>
            <w:tcW w:w="1126" w:type="dxa"/>
            <w:tcBorders>
              <w:top w:val="nil"/>
              <w:left w:val="nil"/>
              <w:bottom w:val="single" w:sz="4" w:space="0" w:color="auto"/>
              <w:right w:val="single" w:sz="4" w:space="0" w:color="auto"/>
            </w:tcBorders>
            <w:shd w:val="clear" w:color="auto" w:fill="auto"/>
          </w:tcPr>
          <w:p w14:paraId="27DFCA61" w14:textId="59E71853" w:rsidR="006D468D" w:rsidRPr="006D468D" w:rsidRDefault="006D468D" w:rsidP="006D468D">
            <w:pPr>
              <w:spacing w:before="0" w:after="0"/>
              <w:jc w:val="right"/>
              <w:rPr>
                <w:b/>
                <w:bCs/>
                <w:sz w:val="16"/>
                <w:szCs w:val="16"/>
              </w:rPr>
            </w:pPr>
            <w:r w:rsidRPr="006D468D">
              <w:rPr>
                <w:sz w:val="16"/>
                <w:szCs w:val="16"/>
              </w:rPr>
              <w:t>0</w:t>
            </w:r>
          </w:p>
        </w:tc>
        <w:tc>
          <w:tcPr>
            <w:tcW w:w="1126" w:type="dxa"/>
            <w:tcBorders>
              <w:top w:val="nil"/>
              <w:left w:val="nil"/>
              <w:bottom w:val="single" w:sz="4" w:space="0" w:color="auto"/>
              <w:right w:val="single" w:sz="4" w:space="0" w:color="auto"/>
            </w:tcBorders>
            <w:shd w:val="clear" w:color="auto" w:fill="auto"/>
          </w:tcPr>
          <w:p w14:paraId="4F63AF93" w14:textId="5164C7CC" w:rsidR="006D468D" w:rsidRPr="006D468D" w:rsidRDefault="006D468D" w:rsidP="006D468D">
            <w:pPr>
              <w:spacing w:before="0" w:after="0"/>
              <w:jc w:val="right"/>
              <w:rPr>
                <w:b/>
                <w:bCs/>
                <w:sz w:val="16"/>
                <w:szCs w:val="16"/>
              </w:rPr>
            </w:pPr>
            <w:r w:rsidRPr="006D468D">
              <w:rPr>
                <w:sz w:val="16"/>
                <w:szCs w:val="16"/>
              </w:rPr>
              <w:t>0</w:t>
            </w:r>
          </w:p>
        </w:tc>
        <w:tc>
          <w:tcPr>
            <w:tcW w:w="1134" w:type="dxa"/>
            <w:tcBorders>
              <w:top w:val="nil"/>
              <w:left w:val="nil"/>
              <w:bottom w:val="single" w:sz="4" w:space="0" w:color="auto"/>
              <w:right w:val="single" w:sz="4" w:space="0" w:color="auto"/>
            </w:tcBorders>
            <w:shd w:val="clear" w:color="auto" w:fill="F2F2F2" w:themeFill="background1" w:themeFillShade="F2"/>
          </w:tcPr>
          <w:p w14:paraId="3E53670E" w14:textId="3282C9DB" w:rsidR="006D468D" w:rsidRPr="006D468D" w:rsidRDefault="006D468D" w:rsidP="006D468D">
            <w:pPr>
              <w:spacing w:before="0" w:after="0"/>
              <w:jc w:val="right"/>
              <w:rPr>
                <w:b/>
                <w:bCs/>
                <w:sz w:val="16"/>
                <w:szCs w:val="16"/>
              </w:rPr>
            </w:pPr>
            <w:r w:rsidRPr="006D468D">
              <w:rPr>
                <w:sz w:val="16"/>
                <w:szCs w:val="16"/>
              </w:rPr>
              <w:t>0</w:t>
            </w:r>
          </w:p>
        </w:tc>
        <w:tc>
          <w:tcPr>
            <w:tcW w:w="1168" w:type="dxa"/>
            <w:tcBorders>
              <w:top w:val="nil"/>
              <w:left w:val="nil"/>
              <w:bottom w:val="single" w:sz="4" w:space="0" w:color="auto"/>
              <w:right w:val="single" w:sz="4" w:space="0" w:color="auto"/>
            </w:tcBorders>
            <w:shd w:val="clear" w:color="auto" w:fill="F2F2F2" w:themeFill="background1" w:themeFillShade="F2"/>
          </w:tcPr>
          <w:p w14:paraId="20A556F5" w14:textId="71521D67" w:rsidR="006D468D" w:rsidRPr="006D468D" w:rsidRDefault="006D468D" w:rsidP="006D468D">
            <w:pPr>
              <w:spacing w:before="0" w:after="0"/>
              <w:jc w:val="right"/>
              <w:rPr>
                <w:b/>
                <w:bCs/>
                <w:sz w:val="16"/>
                <w:szCs w:val="16"/>
              </w:rPr>
            </w:pPr>
            <w:r w:rsidRPr="006D468D">
              <w:rPr>
                <w:sz w:val="16"/>
                <w:szCs w:val="16"/>
              </w:rPr>
              <w:t>0</w:t>
            </w:r>
          </w:p>
        </w:tc>
        <w:tc>
          <w:tcPr>
            <w:tcW w:w="1264" w:type="dxa"/>
            <w:tcBorders>
              <w:top w:val="nil"/>
              <w:left w:val="nil"/>
              <w:bottom w:val="single" w:sz="4" w:space="0" w:color="auto"/>
              <w:right w:val="single" w:sz="4" w:space="0" w:color="auto"/>
            </w:tcBorders>
            <w:shd w:val="clear" w:color="auto" w:fill="F2F2F2" w:themeFill="background1" w:themeFillShade="F2"/>
          </w:tcPr>
          <w:p w14:paraId="0205CACD" w14:textId="6864A27A" w:rsidR="006D468D" w:rsidRPr="006D468D" w:rsidRDefault="006D468D" w:rsidP="006D468D">
            <w:pPr>
              <w:spacing w:before="0" w:after="0"/>
              <w:jc w:val="right"/>
              <w:rPr>
                <w:b/>
                <w:bCs/>
                <w:sz w:val="16"/>
                <w:szCs w:val="16"/>
              </w:rPr>
            </w:pPr>
            <w:r w:rsidRPr="006D468D">
              <w:rPr>
                <w:sz w:val="16"/>
                <w:szCs w:val="16"/>
              </w:rPr>
              <w:t>0</w:t>
            </w:r>
          </w:p>
        </w:tc>
        <w:tc>
          <w:tcPr>
            <w:tcW w:w="1168" w:type="dxa"/>
            <w:tcBorders>
              <w:top w:val="nil"/>
              <w:left w:val="nil"/>
              <w:bottom w:val="single" w:sz="4" w:space="0" w:color="auto"/>
              <w:right w:val="single" w:sz="4" w:space="0" w:color="auto"/>
            </w:tcBorders>
            <w:shd w:val="clear" w:color="auto" w:fill="F2F2F2" w:themeFill="background1" w:themeFillShade="F2"/>
          </w:tcPr>
          <w:p w14:paraId="3341CD20" w14:textId="3613F6AB" w:rsidR="006D468D" w:rsidRPr="006D468D" w:rsidRDefault="006D468D" w:rsidP="006D468D">
            <w:pPr>
              <w:spacing w:before="0" w:after="0"/>
              <w:jc w:val="right"/>
              <w:rPr>
                <w:b/>
                <w:bCs/>
                <w:sz w:val="16"/>
                <w:szCs w:val="16"/>
              </w:rPr>
            </w:pPr>
            <w:r w:rsidRPr="006D468D">
              <w:rPr>
                <w:sz w:val="16"/>
                <w:szCs w:val="16"/>
              </w:rPr>
              <w:t>0</w:t>
            </w:r>
          </w:p>
        </w:tc>
        <w:tc>
          <w:tcPr>
            <w:tcW w:w="1266" w:type="dxa"/>
            <w:tcBorders>
              <w:top w:val="nil"/>
              <w:left w:val="nil"/>
              <w:bottom w:val="single" w:sz="4" w:space="0" w:color="auto"/>
              <w:right w:val="single" w:sz="4" w:space="0" w:color="auto"/>
            </w:tcBorders>
            <w:shd w:val="clear" w:color="auto" w:fill="auto"/>
          </w:tcPr>
          <w:p w14:paraId="7E67165F" w14:textId="6B0CC2CB" w:rsidR="006D468D" w:rsidRPr="006D468D" w:rsidRDefault="006D468D" w:rsidP="006D468D">
            <w:pPr>
              <w:spacing w:before="0" w:after="0"/>
              <w:jc w:val="right"/>
              <w:rPr>
                <w:b/>
                <w:bCs/>
                <w:sz w:val="16"/>
                <w:szCs w:val="16"/>
              </w:rPr>
            </w:pPr>
            <w:r w:rsidRPr="006D468D">
              <w:rPr>
                <w:sz w:val="16"/>
                <w:szCs w:val="16"/>
              </w:rPr>
              <w:t>107 707 235</w:t>
            </w:r>
          </w:p>
        </w:tc>
      </w:tr>
      <w:tr w:rsidR="006D468D" w:rsidRPr="006D468D" w14:paraId="58BA5D91" w14:textId="77777777" w:rsidTr="00301CB3">
        <w:trPr>
          <w:trHeight w:val="300"/>
        </w:trPr>
        <w:tc>
          <w:tcPr>
            <w:tcW w:w="1241" w:type="dxa"/>
            <w:tcBorders>
              <w:top w:val="nil"/>
              <w:left w:val="single" w:sz="4" w:space="0" w:color="auto"/>
              <w:bottom w:val="single" w:sz="4" w:space="0" w:color="auto"/>
              <w:right w:val="single" w:sz="4" w:space="0" w:color="auto"/>
            </w:tcBorders>
            <w:shd w:val="clear" w:color="auto" w:fill="auto"/>
            <w:vAlign w:val="center"/>
            <w:hideMark/>
          </w:tcPr>
          <w:p w14:paraId="0DA799FB" w14:textId="77777777" w:rsidR="006D468D" w:rsidRPr="006D468D" w:rsidRDefault="006D468D" w:rsidP="006D468D">
            <w:pPr>
              <w:spacing w:before="0" w:after="0"/>
              <w:jc w:val="left"/>
              <w:rPr>
                <w:rFonts w:eastAsia="Times New Roman"/>
                <w:b/>
                <w:bCs/>
                <w:color w:val="000000"/>
                <w:sz w:val="16"/>
                <w:szCs w:val="16"/>
                <w:lang w:bidi="ar-SA"/>
              </w:rPr>
            </w:pPr>
            <w:r w:rsidRPr="006D468D">
              <w:rPr>
                <w:rFonts w:eastAsia="Times New Roman"/>
                <w:b/>
                <w:bCs/>
                <w:color w:val="000000"/>
                <w:sz w:val="16"/>
                <w:szCs w:val="16"/>
                <w:lang w:bidi="ar-SA"/>
              </w:rPr>
              <w:t>Pavisam kopā</w:t>
            </w:r>
          </w:p>
        </w:tc>
        <w:tc>
          <w:tcPr>
            <w:tcW w:w="919" w:type="dxa"/>
            <w:tcBorders>
              <w:top w:val="nil"/>
              <w:left w:val="nil"/>
              <w:bottom w:val="single" w:sz="4" w:space="0" w:color="auto"/>
              <w:right w:val="single" w:sz="4" w:space="0" w:color="auto"/>
            </w:tcBorders>
            <w:shd w:val="clear" w:color="auto" w:fill="auto"/>
            <w:vAlign w:val="center"/>
            <w:hideMark/>
          </w:tcPr>
          <w:p w14:paraId="71CAE5BB" w14:textId="77777777" w:rsidR="006D468D" w:rsidRPr="006D468D" w:rsidRDefault="006D468D" w:rsidP="006D468D">
            <w:pPr>
              <w:spacing w:before="0" w:after="0"/>
              <w:jc w:val="left"/>
              <w:rPr>
                <w:rFonts w:eastAsia="Times New Roman"/>
                <w:color w:val="000000"/>
                <w:sz w:val="16"/>
                <w:szCs w:val="16"/>
                <w:lang w:bidi="ar-SA"/>
              </w:rPr>
            </w:pPr>
            <w:r w:rsidRPr="006D468D">
              <w:rPr>
                <w:rFonts w:eastAsia="Times New Roman"/>
                <w:color w:val="000000"/>
                <w:sz w:val="16"/>
                <w:szCs w:val="16"/>
                <w:lang w:bidi="ar-SA"/>
              </w:rPr>
              <w:t> </w:t>
            </w:r>
          </w:p>
        </w:tc>
        <w:tc>
          <w:tcPr>
            <w:tcW w:w="1081" w:type="dxa"/>
            <w:tcBorders>
              <w:top w:val="nil"/>
              <w:left w:val="nil"/>
              <w:bottom w:val="single" w:sz="4" w:space="0" w:color="auto"/>
              <w:right w:val="single" w:sz="4" w:space="0" w:color="auto"/>
            </w:tcBorders>
            <w:shd w:val="clear" w:color="auto" w:fill="auto"/>
            <w:hideMark/>
          </w:tcPr>
          <w:p w14:paraId="0FDC35F1" w14:textId="21EF2ED6" w:rsidR="006D468D" w:rsidRPr="006D468D" w:rsidRDefault="006D468D" w:rsidP="006D468D">
            <w:pPr>
              <w:spacing w:before="0" w:after="0"/>
              <w:jc w:val="right"/>
              <w:rPr>
                <w:rFonts w:eastAsia="Times New Roman"/>
                <w:b/>
                <w:bCs/>
                <w:sz w:val="16"/>
                <w:szCs w:val="16"/>
                <w:lang w:bidi="ar-SA"/>
              </w:rPr>
            </w:pPr>
            <w:r w:rsidRPr="006D468D">
              <w:rPr>
                <w:sz w:val="16"/>
                <w:szCs w:val="16"/>
              </w:rPr>
              <w:t>556 983 887</w:t>
            </w:r>
          </w:p>
        </w:tc>
        <w:tc>
          <w:tcPr>
            <w:tcW w:w="1126" w:type="dxa"/>
            <w:tcBorders>
              <w:top w:val="nil"/>
              <w:left w:val="nil"/>
              <w:bottom w:val="single" w:sz="4" w:space="0" w:color="auto"/>
              <w:right w:val="single" w:sz="4" w:space="0" w:color="auto"/>
            </w:tcBorders>
            <w:shd w:val="clear" w:color="auto" w:fill="auto"/>
            <w:hideMark/>
          </w:tcPr>
          <w:p w14:paraId="0E0E0D89" w14:textId="2F379866" w:rsidR="006D468D" w:rsidRPr="006D468D" w:rsidRDefault="006D468D" w:rsidP="006D468D">
            <w:pPr>
              <w:spacing w:before="0" w:after="0"/>
              <w:jc w:val="right"/>
              <w:rPr>
                <w:rFonts w:eastAsia="Times New Roman"/>
                <w:b/>
                <w:bCs/>
                <w:sz w:val="16"/>
                <w:szCs w:val="16"/>
                <w:lang w:bidi="ar-SA"/>
              </w:rPr>
            </w:pPr>
            <w:r w:rsidRPr="006D468D">
              <w:rPr>
                <w:sz w:val="16"/>
                <w:szCs w:val="16"/>
              </w:rPr>
              <w:t>556 983 887</w:t>
            </w:r>
          </w:p>
        </w:tc>
        <w:tc>
          <w:tcPr>
            <w:tcW w:w="1126" w:type="dxa"/>
            <w:tcBorders>
              <w:top w:val="nil"/>
              <w:left w:val="nil"/>
              <w:bottom w:val="single" w:sz="4" w:space="0" w:color="auto"/>
              <w:right w:val="single" w:sz="4" w:space="0" w:color="auto"/>
            </w:tcBorders>
            <w:shd w:val="clear" w:color="auto" w:fill="auto"/>
            <w:hideMark/>
          </w:tcPr>
          <w:p w14:paraId="4C29EFF9" w14:textId="26EA5985" w:rsidR="006D468D" w:rsidRPr="006D468D" w:rsidRDefault="006D468D" w:rsidP="006D468D">
            <w:pPr>
              <w:spacing w:before="0" w:after="0"/>
              <w:jc w:val="right"/>
              <w:rPr>
                <w:rFonts w:eastAsia="Times New Roman"/>
                <w:b/>
                <w:bCs/>
                <w:sz w:val="16"/>
                <w:szCs w:val="16"/>
                <w:lang w:bidi="ar-SA"/>
              </w:rPr>
            </w:pPr>
            <w:r w:rsidRPr="006D468D">
              <w:rPr>
                <w:sz w:val="16"/>
                <w:szCs w:val="16"/>
              </w:rPr>
              <w:t>599 828 801</w:t>
            </w:r>
          </w:p>
        </w:tc>
        <w:tc>
          <w:tcPr>
            <w:tcW w:w="1126" w:type="dxa"/>
            <w:tcBorders>
              <w:top w:val="nil"/>
              <w:left w:val="nil"/>
              <w:bottom w:val="single" w:sz="4" w:space="0" w:color="auto"/>
              <w:right w:val="single" w:sz="4" w:space="0" w:color="auto"/>
            </w:tcBorders>
            <w:shd w:val="clear" w:color="auto" w:fill="auto"/>
            <w:hideMark/>
          </w:tcPr>
          <w:p w14:paraId="7FE80DED" w14:textId="4B8BB9C7" w:rsidR="006D468D" w:rsidRPr="006D468D" w:rsidRDefault="006D468D" w:rsidP="006D468D">
            <w:pPr>
              <w:spacing w:before="0" w:after="0"/>
              <w:jc w:val="right"/>
              <w:rPr>
                <w:rFonts w:eastAsia="Times New Roman"/>
                <w:b/>
                <w:bCs/>
                <w:sz w:val="16"/>
                <w:szCs w:val="16"/>
                <w:lang w:bidi="ar-SA"/>
              </w:rPr>
            </w:pPr>
            <w:r w:rsidRPr="006D468D">
              <w:rPr>
                <w:sz w:val="16"/>
                <w:szCs w:val="16"/>
              </w:rPr>
              <w:t>599 828 801</w:t>
            </w:r>
          </w:p>
        </w:tc>
        <w:tc>
          <w:tcPr>
            <w:tcW w:w="1126" w:type="dxa"/>
            <w:tcBorders>
              <w:top w:val="nil"/>
              <w:left w:val="nil"/>
              <w:bottom w:val="single" w:sz="4" w:space="0" w:color="auto"/>
              <w:right w:val="single" w:sz="4" w:space="0" w:color="auto"/>
            </w:tcBorders>
            <w:shd w:val="clear" w:color="auto" w:fill="auto"/>
            <w:hideMark/>
          </w:tcPr>
          <w:p w14:paraId="046B4193" w14:textId="4CABDACF" w:rsidR="006D468D" w:rsidRPr="006D468D" w:rsidRDefault="006D468D" w:rsidP="006D468D">
            <w:pPr>
              <w:spacing w:before="0" w:after="0"/>
              <w:jc w:val="right"/>
              <w:rPr>
                <w:rFonts w:eastAsia="Times New Roman"/>
                <w:b/>
                <w:bCs/>
                <w:sz w:val="16"/>
                <w:szCs w:val="16"/>
                <w:lang w:bidi="ar-SA"/>
              </w:rPr>
            </w:pPr>
            <w:r w:rsidRPr="006D468D">
              <w:rPr>
                <w:sz w:val="16"/>
                <w:szCs w:val="16"/>
              </w:rPr>
              <w:t>642 673 715</w:t>
            </w:r>
          </w:p>
        </w:tc>
        <w:tc>
          <w:tcPr>
            <w:tcW w:w="1134" w:type="dxa"/>
            <w:tcBorders>
              <w:top w:val="nil"/>
              <w:left w:val="nil"/>
              <w:bottom w:val="single" w:sz="4" w:space="0" w:color="auto"/>
              <w:right w:val="single" w:sz="4" w:space="0" w:color="auto"/>
            </w:tcBorders>
            <w:shd w:val="clear" w:color="auto" w:fill="F2F2F2" w:themeFill="background1" w:themeFillShade="F2"/>
            <w:hideMark/>
          </w:tcPr>
          <w:p w14:paraId="21BF5D46" w14:textId="3868423E" w:rsidR="006D468D" w:rsidRPr="006D468D" w:rsidRDefault="006D468D" w:rsidP="006D468D">
            <w:pPr>
              <w:spacing w:before="0" w:after="0"/>
              <w:jc w:val="right"/>
              <w:rPr>
                <w:rFonts w:eastAsia="Times New Roman"/>
                <w:b/>
                <w:bCs/>
                <w:sz w:val="16"/>
                <w:szCs w:val="16"/>
                <w:lang w:bidi="ar-SA"/>
              </w:rPr>
            </w:pPr>
            <w:r w:rsidRPr="006D468D">
              <w:rPr>
                <w:sz w:val="16"/>
                <w:szCs w:val="16"/>
              </w:rPr>
              <w:t>321 336 858</w:t>
            </w:r>
          </w:p>
        </w:tc>
        <w:tc>
          <w:tcPr>
            <w:tcW w:w="1168" w:type="dxa"/>
            <w:tcBorders>
              <w:top w:val="nil"/>
              <w:left w:val="nil"/>
              <w:bottom w:val="single" w:sz="4" w:space="0" w:color="auto"/>
              <w:right w:val="single" w:sz="4" w:space="0" w:color="auto"/>
            </w:tcBorders>
            <w:shd w:val="clear" w:color="auto" w:fill="F2F2F2" w:themeFill="background1" w:themeFillShade="F2"/>
            <w:hideMark/>
          </w:tcPr>
          <w:p w14:paraId="456A1B19" w14:textId="3A3C3CAB" w:rsidR="006D468D" w:rsidRPr="006D468D" w:rsidRDefault="006D468D" w:rsidP="006D468D">
            <w:pPr>
              <w:spacing w:before="0" w:after="0"/>
              <w:jc w:val="right"/>
              <w:rPr>
                <w:rFonts w:eastAsia="Times New Roman"/>
                <w:b/>
                <w:bCs/>
                <w:sz w:val="16"/>
                <w:szCs w:val="16"/>
                <w:lang w:bidi="ar-SA"/>
              </w:rPr>
            </w:pPr>
            <w:r w:rsidRPr="006D468D">
              <w:rPr>
                <w:sz w:val="16"/>
                <w:szCs w:val="16"/>
              </w:rPr>
              <w:t>321 336 858</w:t>
            </w:r>
          </w:p>
        </w:tc>
        <w:tc>
          <w:tcPr>
            <w:tcW w:w="1264" w:type="dxa"/>
            <w:tcBorders>
              <w:top w:val="nil"/>
              <w:left w:val="nil"/>
              <w:bottom w:val="single" w:sz="4" w:space="0" w:color="auto"/>
              <w:right w:val="single" w:sz="4" w:space="0" w:color="auto"/>
            </w:tcBorders>
            <w:shd w:val="clear" w:color="auto" w:fill="F2F2F2" w:themeFill="background1" w:themeFillShade="F2"/>
            <w:hideMark/>
          </w:tcPr>
          <w:p w14:paraId="129E71AA" w14:textId="21741A2A" w:rsidR="006D468D" w:rsidRPr="006D468D" w:rsidRDefault="006D468D" w:rsidP="006D468D">
            <w:pPr>
              <w:spacing w:before="0" w:after="0"/>
              <w:jc w:val="right"/>
              <w:rPr>
                <w:rFonts w:eastAsia="Times New Roman"/>
                <w:b/>
                <w:bCs/>
                <w:sz w:val="16"/>
                <w:szCs w:val="16"/>
                <w:lang w:bidi="ar-SA"/>
              </w:rPr>
            </w:pPr>
            <w:r w:rsidRPr="006D468D">
              <w:rPr>
                <w:sz w:val="16"/>
                <w:szCs w:val="16"/>
              </w:rPr>
              <w:t>342 759 315</w:t>
            </w:r>
          </w:p>
        </w:tc>
        <w:tc>
          <w:tcPr>
            <w:tcW w:w="1168" w:type="dxa"/>
            <w:tcBorders>
              <w:top w:val="nil"/>
              <w:left w:val="nil"/>
              <w:bottom w:val="single" w:sz="4" w:space="0" w:color="auto"/>
              <w:right w:val="single" w:sz="4" w:space="0" w:color="auto"/>
            </w:tcBorders>
            <w:shd w:val="clear" w:color="auto" w:fill="F2F2F2" w:themeFill="background1" w:themeFillShade="F2"/>
            <w:hideMark/>
          </w:tcPr>
          <w:p w14:paraId="637B4998" w14:textId="28118073" w:rsidR="006D468D" w:rsidRPr="006D468D" w:rsidRDefault="006D468D" w:rsidP="006D468D">
            <w:pPr>
              <w:spacing w:before="0" w:after="0"/>
              <w:jc w:val="right"/>
              <w:rPr>
                <w:rFonts w:eastAsia="Times New Roman"/>
                <w:b/>
                <w:bCs/>
                <w:sz w:val="16"/>
                <w:szCs w:val="16"/>
                <w:lang w:bidi="ar-SA"/>
              </w:rPr>
            </w:pPr>
            <w:r w:rsidRPr="006D468D">
              <w:rPr>
                <w:sz w:val="16"/>
                <w:szCs w:val="16"/>
              </w:rPr>
              <w:t>342 759 315</w:t>
            </w:r>
          </w:p>
        </w:tc>
        <w:tc>
          <w:tcPr>
            <w:tcW w:w="1266" w:type="dxa"/>
            <w:tcBorders>
              <w:top w:val="nil"/>
              <w:left w:val="nil"/>
              <w:bottom w:val="single" w:sz="4" w:space="0" w:color="auto"/>
              <w:right w:val="single" w:sz="4" w:space="0" w:color="auto"/>
            </w:tcBorders>
            <w:shd w:val="clear" w:color="auto" w:fill="auto"/>
            <w:hideMark/>
          </w:tcPr>
          <w:p w14:paraId="0BC326F6" w14:textId="48B65663" w:rsidR="006D468D" w:rsidRPr="006D468D" w:rsidRDefault="006D468D" w:rsidP="006D468D">
            <w:pPr>
              <w:spacing w:before="0" w:after="0"/>
              <w:jc w:val="right"/>
              <w:rPr>
                <w:rFonts w:eastAsia="Times New Roman"/>
                <w:b/>
                <w:bCs/>
                <w:sz w:val="16"/>
                <w:szCs w:val="16"/>
                <w:lang w:bidi="ar-SA"/>
              </w:rPr>
            </w:pPr>
            <w:r w:rsidRPr="006D468D">
              <w:rPr>
                <w:sz w:val="16"/>
                <w:szCs w:val="16"/>
              </w:rPr>
              <w:t>4 392 198 671</w:t>
            </w:r>
          </w:p>
        </w:tc>
      </w:tr>
    </w:tbl>
    <w:p w14:paraId="00A47858" w14:textId="77777777" w:rsidR="00AC212B" w:rsidRPr="00930237" w:rsidRDefault="00AC212B" w:rsidP="00AC212B">
      <w:pPr>
        <w:spacing w:before="0" w:after="0"/>
        <w:rPr>
          <w:rFonts w:eastAsia="Times New Roman"/>
          <w:b/>
          <w:iCs/>
          <w:noProof/>
          <w:sz w:val="20"/>
        </w:rPr>
      </w:pPr>
    </w:p>
    <w:p w14:paraId="40A97454" w14:textId="77777777" w:rsidR="00AC212B" w:rsidRPr="00930237" w:rsidRDefault="00AC212B" w:rsidP="00AC212B">
      <w:pPr>
        <w:tabs>
          <w:tab w:val="left" w:pos="2258"/>
        </w:tabs>
        <w:spacing w:before="0" w:after="0"/>
        <w:rPr>
          <w:rFonts w:eastAsia="Times New Roman"/>
          <w:sz w:val="20"/>
        </w:rPr>
      </w:pPr>
    </w:p>
    <w:p w14:paraId="3FE08260" w14:textId="77777777" w:rsidR="00AC212B" w:rsidRPr="00930237" w:rsidRDefault="00AC212B" w:rsidP="00AC212B">
      <w:pPr>
        <w:tabs>
          <w:tab w:val="left" w:pos="2258"/>
        </w:tabs>
        <w:spacing w:before="0" w:after="0"/>
        <w:rPr>
          <w:rFonts w:eastAsia="Times New Roman"/>
          <w:sz w:val="20"/>
        </w:rPr>
      </w:pPr>
    </w:p>
    <w:p w14:paraId="22F6633C" w14:textId="77777777" w:rsidR="00AC212B" w:rsidRPr="00930237" w:rsidRDefault="00AC212B" w:rsidP="00AC212B">
      <w:pPr>
        <w:tabs>
          <w:tab w:val="left" w:pos="2258"/>
        </w:tabs>
        <w:spacing w:before="0" w:after="0"/>
        <w:rPr>
          <w:rFonts w:eastAsia="Times New Roman"/>
          <w:sz w:val="20"/>
        </w:rPr>
      </w:pPr>
    </w:p>
    <w:p w14:paraId="6149BDC6" w14:textId="77777777" w:rsidR="00AC212B" w:rsidRPr="00930237" w:rsidRDefault="00AC212B" w:rsidP="00AC212B">
      <w:pPr>
        <w:tabs>
          <w:tab w:val="left" w:pos="2258"/>
        </w:tabs>
        <w:spacing w:before="0" w:after="0"/>
        <w:rPr>
          <w:rFonts w:eastAsia="Times New Roman"/>
          <w:sz w:val="20"/>
        </w:rPr>
      </w:pPr>
    </w:p>
    <w:p w14:paraId="650251FC" w14:textId="77777777" w:rsidR="00AC212B" w:rsidRPr="00930237" w:rsidRDefault="00AC212B" w:rsidP="00AC212B">
      <w:pPr>
        <w:tabs>
          <w:tab w:val="left" w:pos="2258"/>
        </w:tabs>
        <w:spacing w:before="0" w:after="0"/>
        <w:rPr>
          <w:rFonts w:eastAsia="Times New Roman"/>
          <w:sz w:val="20"/>
        </w:rPr>
      </w:pPr>
    </w:p>
    <w:p w14:paraId="25101075" w14:textId="77777777" w:rsidR="00AC212B" w:rsidRPr="00930237" w:rsidRDefault="00AC212B" w:rsidP="00AC212B">
      <w:pPr>
        <w:tabs>
          <w:tab w:val="left" w:pos="2258"/>
        </w:tabs>
        <w:spacing w:before="0" w:after="0"/>
        <w:rPr>
          <w:rFonts w:eastAsia="Times New Roman"/>
          <w:sz w:val="20"/>
        </w:rPr>
      </w:pPr>
    </w:p>
    <w:p w14:paraId="74541F29" w14:textId="77777777" w:rsidR="00AC212B" w:rsidRPr="00930237" w:rsidRDefault="00AC212B" w:rsidP="00AC212B">
      <w:pPr>
        <w:tabs>
          <w:tab w:val="left" w:pos="2258"/>
        </w:tabs>
        <w:spacing w:before="0" w:after="0"/>
        <w:rPr>
          <w:rFonts w:eastAsia="Times New Roman"/>
          <w:sz w:val="20"/>
        </w:rPr>
      </w:pPr>
    </w:p>
    <w:p w14:paraId="5A3C4CBF" w14:textId="77777777" w:rsidR="00AC212B" w:rsidRPr="00930237" w:rsidRDefault="00AC212B" w:rsidP="00AC212B">
      <w:pPr>
        <w:tabs>
          <w:tab w:val="left" w:pos="2258"/>
        </w:tabs>
        <w:spacing w:before="0" w:after="0"/>
        <w:rPr>
          <w:rFonts w:eastAsia="Times New Roman"/>
          <w:sz w:val="20"/>
        </w:rPr>
      </w:pPr>
    </w:p>
    <w:p w14:paraId="5659281B" w14:textId="77777777" w:rsidR="00AC212B" w:rsidRPr="00930237" w:rsidRDefault="00AC212B" w:rsidP="00AC212B">
      <w:pPr>
        <w:tabs>
          <w:tab w:val="left" w:pos="2258"/>
        </w:tabs>
        <w:spacing w:before="0" w:after="0"/>
        <w:rPr>
          <w:rFonts w:eastAsia="Times New Roman"/>
          <w:sz w:val="20"/>
        </w:rPr>
      </w:pPr>
    </w:p>
    <w:p w14:paraId="35648327" w14:textId="77777777" w:rsidR="00AC212B" w:rsidRPr="00930237" w:rsidRDefault="00AC212B" w:rsidP="00AC212B">
      <w:pPr>
        <w:tabs>
          <w:tab w:val="left" w:pos="2258"/>
        </w:tabs>
        <w:spacing w:before="0" w:after="0"/>
        <w:rPr>
          <w:rFonts w:eastAsia="Times New Roman"/>
          <w:sz w:val="20"/>
        </w:rPr>
      </w:pPr>
    </w:p>
    <w:p w14:paraId="6C0845DC" w14:textId="658E3BB5" w:rsidR="00AC212B" w:rsidRPr="00930237" w:rsidRDefault="00AC212B" w:rsidP="00AC212B">
      <w:pPr>
        <w:pStyle w:val="Heading2"/>
        <w:numPr>
          <w:ilvl w:val="0"/>
          <w:numId w:val="0"/>
        </w:numPr>
        <w:spacing w:after="0"/>
        <w:rPr>
          <w:noProof/>
          <w:szCs w:val="24"/>
        </w:rPr>
      </w:pPr>
      <w:bookmarkStart w:id="55" w:name="_Toc69125430"/>
      <w:r w:rsidRPr="00930237">
        <w:rPr>
          <w:noProof/>
          <w:szCs w:val="24"/>
        </w:rPr>
        <w:t xml:space="preserve">3.2. Kopējā finanšu apropriācija pa fondiem un </w:t>
      </w:r>
      <w:r w:rsidR="00EE1E8D">
        <w:rPr>
          <w:noProof/>
          <w:szCs w:val="24"/>
        </w:rPr>
        <w:t>nacionālais</w:t>
      </w:r>
      <w:r w:rsidRPr="00930237">
        <w:rPr>
          <w:noProof/>
          <w:szCs w:val="24"/>
        </w:rPr>
        <w:t xml:space="preserve"> līdzfinansējums</w:t>
      </w:r>
      <w:bookmarkEnd w:id="55"/>
    </w:p>
    <w:p w14:paraId="312CFA0A" w14:textId="0AC86DA5" w:rsidR="00AC212B" w:rsidRDefault="00AC212B" w:rsidP="00AC212B">
      <w:pPr>
        <w:spacing w:before="0" w:after="0"/>
        <w:rPr>
          <w:sz w:val="20"/>
        </w:rPr>
      </w:pPr>
    </w:p>
    <w:p w14:paraId="46231627" w14:textId="77777777" w:rsidR="003E2147" w:rsidRPr="00930237" w:rsidRDefault="003E2147" w:rsidP="00AC212B">
      <w:pPr>
        <w:spacing w:before="0" w:after="0"/>
        <w:rPr>
          <w:sz w:val="20"/>
        </w:rPr>
      </w:pPr>
    </w:p>
    <w:p w14:paraId="25811020" w14:textId="5BD809CA" w:rsidR="00AC212B" w:rsidRPr="00930237" w:rsidRDefault="00187D78" w:rsidP="00AC212B">
      <w:pPr>
        <w:pStyle w:val="Heading4"/>
        <w:numPr>
          <w:ilvl w:val="0"/>
          <w:numId w:val="0"/>
        </w:numPr>
        <w:spacing w:after="0"/>
        <w:rPr>
          <w:i/>
          <w:noProof/>
          <w:sz w:val="20"/>
        </w:rPr>
      </w:pPr>
      <w:r>
        <w:rPr>
          <w:b/>
          <w:noProof/>
          <w:szCs w:val="24"/>
        </w:rPr>
        <w:t>27.tabula (</w:t>
      </w:r>
      <w:r w:rsidR="00AC212B" w:rsidRPr="00930237">
        <w:rPr>
          <w:b/>
          <w:noProof/>
          <w:szCs w:val="24"/>
        </w:rPr>
        <w:t>11</w:t>
      </w:r>
      <w:r>
        <w:rPr>
          <w:b/>
          <w:noProof/>
          <w:szCs w:val="24"/>
        </w:rPr>
        <w:t>)</w:t>
      </w:r>
      <w:r w:rsidR="00AC212B" w:rsidRPr="00930237">
        <w:rPr>
          <w:b/>
          <w:noProof/>
          <w:szCs w:val="24"/>
        </w:rPr>
        <w:t xml:space="preserve"> Kopējās finanšu apropriācijas pa fondiem un </w:t>
      </w:r>
      <w:r w:rsidR="00EE1E8D">
        <w:rPr>
          <w:b/>
          <w:noProof/>
          <w:szCs w:val="24"/>
        </w:rPr>
        <w:t>nacionālais</w:t>
      </w:r>
      <w:r w:rsidR="00AC212B" w:rsidRPr="00930237">
        <w:rPr>
          <w:b/>
          <w:noProof/>
          <w:szCs w:val="24"/>
        </w:rPr>
        <w:t xml:space="preserve"> līdzfinansējums </w:t>
      </w:r>
      <w:r w:rsidR="00AC212B" w:rsidRPr="00930237">
        <w:rPr>
          <w:i/>
          <w:noProof/>
          <w:sz w:val="20"/>
        </w:rPr>
        <w:t>(ja TP izmantojot flat rate)</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778"/>
        <w:gridCol w:w="722"/>
        <w:gridCol w:w="831"/>
        <w:gridCol w:w="1056"/>
        <w:gridCol w:w="1125"/>
        <w:gridCol w:w="1125"/>
        <w:gridCol w:w="1142"/>
        <w:gridCol w:w="1008"/>
        <w:gridCol w:w="1134"/>
        <w:gridCol w:w="1276"/>
        <w:gridCol w:w="1134"/>
        <w:gridCol w:w="1276"/>
        <w:gridCol w:w="992"/>
      </w:tblGrid>
      <w:tr w:rsidR="003E2147" w:rsidRPr="007A7964" w14:paraId="7069499F" w14:textId="77777777" w:rsidTr="003E2147">
        <w:trPr>
          <w:trHeight w:val="244"/>
          <w:tblHeader/>
        </w:trPr>
        <w:tc>
          <w:tcPr>
            <w:tcW w:w="855" w:type="dxa"/>
            <w:vMerge w:val="restart"/>
            <w:shd w:val="clear" w:color="000000" w:fill="D9D9D9"/>
            <w:vAlign w:val="center"/>
            <w:hideMark/>
          </w:tcPr>
          <w:p w14:paraId="36259955" w14:textId="77777777" w:rsidR="00AE227E" w:rsidRPr="007A7964" w:rsidRDefault="00AE227E" w:rsidP="00AE227E">
            <w:pPr>
              <w:spacing w:before="0" w:after="0"/>
              <w:jc w:val="center"/>
              <w:rPr>
                <w:rFonts w:eastAsia="Times New Roman"/>
                <w:b/>
                <w:bCs/>
                <w:color w:val="000000"/>
                <w:sz w:val="14"/>
                <w:szCs w:val="14"/>
                <w:lang w:eastAsia="en-GB" w:bidi="ne-NP"/>
              </w:rPr>
            </w:pPr>
            <w:r w:rsidRPr="007A7964">
              <w:rPr>
                <w:rFonts w:eastAsia="Times New Roman"/>
                <w:b/>
                <w:bCs/>
                <w:color w:val="000000"/>
                <w:sz w:val="14"/>
                <w:szCs w:val="14"/>
                <w:lang w:eastAsia="en-GB" w:bidi="ne-NP"/>
              </w:rPr>
              <w:t>Prioritātes Nr.</w:t>
            </w:r>
          </w:p>
        </w:tc>
        <w:tc>
          <w:tcPr>
            <w:tcW w:w="778" w:type="dxa"/>
            <w:vMerge w:val="restart"/>
            <w:shd w:val="clear" w:color="000000" w:fill="D9D9D9"/>
            <w:vAlign w:val="center"/>
            <w:hideMark/>
          </w:tcPr>
          <w:p w14:paraId="5B782366" w14:textId="77777777" w:rsidR="00AE227E" w:rsidRPr="007A7964" w:rsidRDefault="00AE227E" w:rsidP="00AE227E">
            <w:pPr>
              <w:spacing w:before="0" w:after="0"/>
              <w:rPr>
                <w:rFonts w:eastAsia="Times New Roman"/>
                <w:b/>
                <w:bCs/>
                <w:color w:val="000000"/>
                <w:sz w:val="14"/>
                <w:szCs w:val="14"/>
                <w:lang w:eastAsia="en-GB" w:bidi="ne-NP"/>
              </w:rPr>
            </w:pPr>
            <w:r w:rsidRPr="007A7964">
              <w:rPr>
                <w:rFonts w:eastAsia="Times New Roman"/>
                <w:b/>
                <w:bCs/>
                <w:color w:val="000000"/>
                <w:sz w:val="14"/>
                <w:szCs w:val="14"/>
                <w:lang w:eastAsia="en-GB" w:bidi="ne-NP"/>
              </w:rPr>
              <w:t>ES atbalsta (kopējā vai publiskā) aprēķina bāze</w:t>
            </w:r>
          </w:p>
        </w:tc>
        <w:tc>
          <w:tcPr>
            <w:tcW w:w="722" w:type="dxa"/>
            <w:vMerge w:val="restart"/>
            <w:shd w:val="clear" w:color="000000" w:fill="D9D9D9"/>
            <w:vAlign w:val="center"/>
            <w:hideMark/>
          </w:tcPr>
          <w:p w14:paraId="2AF2F1DF" w14:textId="77777777" w:rsidR="00AE227E" w:rsidRPr="007A7964" w:rsidRDefault="00AE227E" w:rsidP="00AE227E">
            <w:pPr>
              <w:spacing w:before="0" w:after="0"/>
              <w:rPr>
                <w:rFonts w:eastAsia="Times New Roman"/>
                <w:b/>
                <w:bCs/>
                <w:color w:val="000000"/>
                <w:sz w:val="14"/>
                <w:szCs w:val="14"/>
                <w:lang w:eastAsia="en-GB" w:bidi="ne-NP"/>
              </w:rPr>
            </w:pPr>
            <w:r w:rsidRPr="007A7964">
              <w:rPr>
                <w:rFonts w:eastAsia="Times New Roman"/>
                <w:b/>
                <w:bCs/>
                <w:color w:val="000000"/>
                <w:sz w:val="14"/>
                <w:szCs w:val="14"/>
                <w:lang w:eastAsia="en-GB" w:bidi="ne-NP"/>
              </w:rPr>
              <w:t>Fonds</w:t>
            </w:r>
          </w:p>
        </w:tc>
        <w:tc>
          <w:tcPr>
            <w:tcW w:w="831" w:type="dxa"/>
            <w:vMerge w:val="restart"/>
            <w:shd w:val="clear" w:color="000000" w:fill="D9D9D9"/>
            <w:vAlign w:val="center"/>
            <w:hideMark/>
          </w:tcPr>
          <w:p w14:paraId="4535CE7B" w14:textId="6AA2B81C" w:rsidR="00AE227E" w:rsidRPr="007A7964" w:rsidRDefault="00AE227E" w:rsidP="003E2147">
            <w:pPr>
              <w:spacing w:before="0" w:after="0"/>
              <w:rPr>
                <w:rFonts w:eastAsia="Times New Roman"/>
                <w:b/>
                <w:bCs/>
                <w:color w:val="000000"/>
                <w:sz w:val="14"/>
                <w:szCs w:val="14"/>
                <w:lang w:eastAsia="en-GB" w:bidi="ne-NP"/>
              </w:rPr>
            </w:pPr>
            <w:r w:rsidRPr="007A7964">
              <w:rPr>
                <w:rFonts w:eastAsia="Times New Roman"/>
                <w:b/>
                <w:bCs/>
                <w:color w:val="000000"/>
                <w:sz w:val="14"/>
                <w:szCs w:val="14"/>
                <w:lang w:eastAsia="en-GB" w:bidi="ne-NP"/>
              </w:rPr>
              <w:t>Reģiona kategorija</w:t>
            </w:r>
            <w:r w:rsidR="003E2147" w:rsidRPr="007A7964">
              <w:rPr>
                <w:rFonts w:eastAsia="Times New Roman"/>
                <w:b/>
                <w:bCs/>
                <w:color w:val="000000"/>
                <w:sz w:val="14"/>
                <w:szCs w:val="14"/>
                <w:lang w:eastAsia="en-GB" w:bidi="ne-NP"/>
              </w:rPr>
              <w:t xml:space="preserve"> </w:t>
            </w:r>
          </w:p>
        </w:tc>
        <w:tc>
          <w:tcPr>
            <w:tcW w:w="1056" w:type="dxa"/>
            <w:vMerge w:val="restart"/>
            <w:shd w:val="clear" w:color="000000" w:fill="D9D9D9"/>
            <w:vAlign w:val="center"/>
            <w:hideMark/>
          </w:tcPr>
          <w:p w14:paraId="3C3F0FB0" w14:textId="231CFFF7" w:rsidR="00AE227E" w:rsidRPr="007A7964" w:rsidRDefault="00AE227E" w:rsidP="00AE227E">
            <w:pPr>
              <w:spacing w:before="0" w:after="0"/>
              <w:jc w:val="center"/>
              <w:rPr>
                <w:rFonts w:eastAsia="Times New Roman"/>
                <w:b/>
                <w:bCs/>
                <w:color w:val="000000"/>
                <w:sz w:val="14"/>
                <w:szCs w:val="14"/>
                <w:lang w:eastAsia="en-GB" w:bidi="ne-NP"/>
              </w:rPr>
            </w:pPr>
            <w:r w:rsidRPr="007A7964">
              <w:rPr>
                <w:rFonts w:eastAsia="Times New Roman"/>
                <w:b/>
                <w:bCs/>
                <w:color w:val="000000"/>
                <w:sz w:val="14"/>
                <w:szCs w:val="14"/>
                <w:lang w:eastAsia="en-GB" w:bidi="ne-NP"/>
              </w:rPr>
              <w:t xml:space="preserve">ES fondu finansējums </w:t>
            </w:r>
          </w:p>
        </w:tc>
        <w:tc>
          <w:tcPr>
            <w:tcW w:w="4400" w:type="dxa"/>
            <w:gridSpan w:val="4"/>
            <w:shd w:val="clear" w:color="000000" w:fill="D9D9D9"/>
            <w:vAlign w:val="center"/>
            <w:hideMark/>
          </w:tcPr>
          <w:p w14:paraId="56708BBB" w14:textId="77777777" w:rsidR="00AE227E" w:rsidRPr="007A7964" w:rsidRDefault="00AE227E" w:rsidP="00AE227E">
            <w:pPr>
              <w:spacing w:before="0" w:after="0"/>
              <w:jc w:val="center"/>
              <w:rPr>
                <w:rFonts w:eastAsia="Times New Roman"/>
                <w:b/>
                <w:bCs/>
                <w:color w:val="000000"/>
                <w:sz w:val="14"/>
                <w:szCs w:val="14"/>
                <w:lang w:eastAsia="en-GB" w:bidi="ne-NP"/>
              </w:rPr>
            </w:pPr>
            <w:r w:rsidRPr="007A7964">
              <w:rPr>
                <w:rFonts w:eastAsia="Times New Roman"/>
                <w:b/>
                <w:bCs/>
                <w:color w:val="000000"/>
                <w:sz w:val="14"/>
                <w:szCs w:val="14"/>
                <w:lang w:eastAsia="en-GB" w:bidi="ne-NP"/>
              </w:rPr>
              <w:t xml:space="preserve">ES fondu finansējums </w:t>
            </w:r>
          </w:p>
        </w:tc>
        <w:tc>
          <w:tcPr>
            <w:tcW w:w="1134" w:type="dxa"/>
            <w:vMerge w:val="restart"/>
            <w:shd w:val="clear" w:color="000000" w:fill="D9D9D9"/>
            <w:vAlign w:val="center"/>
            <w:hideMark/>
          </w:tcPr>
          <w:p w14:paraId="36AD7C12" w14:textId="77777777" w:rsidR="00AE227E" w:rsidRPr="007A7964" w:rsidRDefault="00AE227E" w:rsidP="00AE227E">
            <w:pPr>
              <w:spacing w:before="0" w:after="0"/>
              <w:jc w:val="center"/>
              <w:rPr>
                <w:rFonts w:eastAsia="Times New Roman"/>
                <w:b/>
                <w:bCs/>
                <w:color w:val="000000"/>
                <w:sz w:val="14"/>
                <w:szCs w:val="14"/>
                <w:lang w:eastAsia="en-GB" w:bidi="ne-NP"/>
              </w:rPr>
            </w:pPr>
            <w:r w:rsidRPr="007A7964">
              <w:rPr>
                <w:rFonts w:eastAsia="Times New Roman"/>
                <w:b/>
                <w:bCs/>
                <w:color w:val="000000"/>
                <w:sz w:val="14"/>
                <w:szCs w:val="14"/>
                <w:lang w:eastAsia="en-GB" w:bidi="ne-NP"/>
              </w:rPr>
              <w:t>Nacionālais ieguldījums</w:t>
            </w:r>
          </w:p>
        </w:tc>
        <w:tc>
          <w:tcPr>
            <w:tcW w:w="2410" w:type="dxa"/>
            <w:gridSpan w:val="2"/>
            <w:shd w:val="clear" w:color="000000" w:fill="D9D9D9"/>
            <w:vAlign w:val="center"/>
            <w:hideMark/>
          </w:tcPr>
          <w:p w14:paraId="387D9109" w14:textId="77777777" w:rsidR="00AE227E" w:rsidRPr="007A7964" w:rsidRDefault="00AE227E" w:rsidP="00AE227E">
            <w:pPr>
              <w:spacing w:before="0" w:after="0"/>
              <w:jc w:val="center"/>
              <w:rPr>
                <w:rFonts w:eastAsia="Times New Roman"/>
                <w:b/>
                <w:bCs/>
                <w:color w:val="000000"/>
                <w:sz w:val="14"/>
                <w:szCs w:val="14"/>
                <w:lang w:eastAsia="en-GB" w:bidi="ne-NP"/>
              </w:rPr>
            </w:pPr>
            <w:r w:rsidRPr="007A7964">
              <w:rPr>
                <w:rFonts w:eastAsia="Times New Roman"/>
                <w:b/>
                <w:bCs/>
                <w:color w:val="000000"/>
                <w:sz w:val="14"/>
                <w:szCs w:val="14"/>
                <w:lang w:eastAsia="en-GB" w:bidi="ne-NP"/>
              </w:rPr>
              <w:t>Valsts ieguldījuma indikatīvais sadalījums</w:t>
            </w:r>
          </w:p>
        </w:tc>
        <w:tc>
          <w:tcPr>
            <w:tcW w:w="1276" w:type="dxa"/>
            <w:vMerge w:val="restart"/>
            <w:shd w:val="clear" w:color="000000" w:fill="D9D9D9"/>
            <w:vAlign w:val="center"/>
            <w:hideMark/>
          </w:tcPr>
          <w:p w14:paraId="4431DF96" w14:textId="77777777" w:rsidR="00AE227E" w:rsidRPr="007A7964" w:rsidRDefault="00AE227E" w:rsidP="00AE227E">
            <w:pPr>
              <w:spacing w:before="0" w:after="0"/>
              <w:jc w:val="center"/>
              <w:rPr>
                <w:rFonts w:eastAsia="Times New Roman"/>
                <w:b/>
                <w:bCs/>
                <w:color w:val="000000"/>
                <w:sz w:val="14"/>
                <w:szCs w:val="14"/>
                <w:lang w:eastAsia="en-GB" w:bidi="ne-NP"/>
              </w:rPr>
            </w:pPr>
            <w:r w:rsidRPr="007A7964">
              <w:rPr>
                <w:rFonts w:eastAsia="Times New Roman"/>
                <w:b/>
                <w:bCs/>
                <w:color w:val="000000"/>
                <w:sz w:val="14"/>
                <w:szCs w:val="14"/>
                <w:lang w:eastAsia="en-GB" w:bidi="ne-NP"/>
              </w:rPr>
              <w:t>Kopā</w:t>
            </w:r>
          </w:p>
        </w:tc>
        <w:tc>
          <w:tcPr>
            <w:tcW w:w="992" w:type="dxa"/>
            <w:vMerge w:val="restart"/>
            <w:shd w:val="clear" w:color="000000" w:fill="D9D9D9"/>
            <w:vAlign w:val="center"/>
            <w:hideMark/>
          </w:tcPr>
          <w:p w14:paraId="485B44C0" w14:textId="74F7B713" w:rsidR="00AE227E" w:rsidRPr="007A7964" w:rsidRDefault="00AE227E" w:rsidP="00AE227E">
            <w:pPr>
              <w:spacing w:before="0" w:after="0"/>
              <w:jc w:val="center"/>
              <w:rPr>
                <w:rFonts w:eastAsia="Times New Roman"/>
                <w:b/>
                <w:bCs/>
                <w:color w:val="000000"/>
                <w:sz w:val="14"/>
                <w:szCs w:val="14"/>
                <w:lang w:eastAsia="en-GB" w:bidi="ne-NP"/>
              </w:rPr>
            </w:pPr>
            <w:r w:rsidRPr="007A7964">
              <w:rPr>
                <w:rFonts w:eastAsia="Times New Roman"/>
                <w:b/>
                <w:bCs/>
                <w:color w:val="000000"/>
                <w:sz w:val="14"/>
                <w:szCs w:val="14"/>
                <w:lang w:eastAsia="en-GB" w:bidi="ne-NP"/>
              </w:rPr>
              <w:t>Līdz</w:t>
            </w:r>
            <w:r w:rsidR="003E2147" w:rsidRPr="007A7964">
              <w:rPr>
                <w:rFonts w:eastAsia="Times New Roman"/>
                <w:b/>
                <w:bCs/>
                <w:color w:val="000000"/>
                <w:sz w:val="14"/>
                <w:szCs w:val="14"/>
                <w:lang w:eastAsia="en-GB" w:bidi="ne-NP"/>
              </w:rPr>
              <w:t xml:space="preserve">- </w:t>
            </w:r>
            <w:r w:rsidRPr="007A7964">
              <w:rPr>
                <w:rFonts w:eastAsia="Times New Roman"/>
                <w:b/>
                <w:bCs/>
                <w:color w:val="000000"/>
                <w:sz w:val="14"/>
                <w:szCs w:val="14"/>
                <w:lang w:eastAsia="en-GB" w:bidi="ne-NP"/>
              </w:rPr>
              <w:t>finansējuma likme</w:t>
            </w:r>
          </w:p>
        </w:tc>
      </w:tr>
      <w:tr w:rsidR="003E2147" w:rsidRPr="007A7964" w14:paraId="5F254EF3" w14:textId="77777777" w:rsidTr="003E2147">
        <w:trPr>
          <w:trHeight w:val="50"/>
          <w:tblHeader/>
        </w:trPr>
        <w:tc>
          <w:tcPr>
            <w:tcW w:w="855" w:type="dxa"/>
            <w:vMerge/>
            <w:vAlign w:val="center"/>
            <w:hideMark/>
          </w:tcPr>
          <w:p w14:paraId="123A4ABB"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778" w:type="dxa"/>
            <w:vMerge/>
            <w:vAlign w:val="center"/>
            <w:hideMark/>
          </w:tcPr>
          <w:p w14:paraId="6151A60C"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722" w:type="dxa"/>
            <w:vMerge/>
            <w:vAlign w:val="center"/>
            <w:hideMark/>
          </w:tcPr>
          <w:p w14:paraId="145C0A75"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831" w:type="dxa"/>
            <w:vMerge/>
            <w:vAlign w:val="center"/>
            <w:hideMark/>
          </w:tcPr>
          <w:p w14:paraId="2A09D3CB"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1056" w:type="dxa"/>
            <w:vMerge/>
            <w:vAlign w:val="center"/>
            <w:hideMark/>
          </w:tcPr>
          <w:p w14:paraId="560EC971"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2250" w:type="dxa"/>
            <w:gridSpan w:val="2"/>
            <w:vMerge w:val="restart"/>
            <w:shd w:val="clear" w:color="000000" w:fill="D9D9D9"/>
            <w:vAlign w:val="center"/>
            <w:hideMark/>
          </w:tcPr>
          <w:p w14:paraId="57210DED" w14:textId="77777777" w:rsidR="00AE227E" w:rsidRPr="007A7964" w:rsidRDefault="00AE227E" w:rsidP="00AE227E">
            <w:pPr>
              <w:spacing w:before="0" w:after="0"/>
              <w:jc w:val="center"/>
              <w:rPr>
                <w:rFonts w:eastAsia="Times New Roman"/>
                <w:b/>
                <w:bCs/>
                <w:color w:val="000000"/>
                <w:sz w:val="14"/>
                <w:szCs w:val="14"/>
                <w:lang w:eastAsia="en-GB" w:bidi="ne-NP"/>
              </w:rPr>
            </w:pPr>
            <w:r w:rsidRPr="007A7964">
              <w:rPr>
                <w:rFonts w:eastAsia="Times New Roman"/>
                <w:b/>
                <w:bCs/>
                <w:color w:val="000000"/>
                <w:sz w:val="14"/>
                <w:szCs w:val="14"/>
                <w:lang w:eastAsia="en-GB" w:bidi="ne-NP"/>
              </w:rPr>
              <w:t>ES fondu finansējums</w:t>
            </w:r>
          </w:p>
        </w:tc>
        <w:tc>
          <w:tcPr>
            <w:tcW w:w="2150" w:type="dxa"/>
            <w:gridSpan w:val="2"/>
            <w:vMerge w:val="restart"/>
            <w:shd w:val="clear" w:color="000000" w:fill="D9D9D9"/>
            <w:vAlign w:val="center"/>
            <w:hideMark/>
          </w:tcPr>
          <w:p w14:paraId="2A201B6F" w14:textId="77777777" w:rsidR="00AE227E" w:rsidRPr="007A7964" w:rsidRDefault="00AE227E" w:rsidP="00AE227E">
            <w:pPr>
              <w:spacing w:before="0" w:after="0"/>
              <w:jc w:val="center"/>
              <w:rPr>
                <w:rFonts w:eastAsia="Times New Roman"/>
                <w:b/>
                <w:bCs/>
                <w:color w:val="000000"/>
                <w:sz w:val="14"/>
                <w:szCs w:val="14"/>
                <w:lang w:eastAsia="en-GB" w:bidi="ne-NP"/>
              </w:rPr>
            </w:pPr>
            <w:r w:rsidRPr="007A7964">
              <w:rPr>
                <w:rFonts w:eastAsia="Times New Roman"/>
                <w:b/>
                <w:bCs/>
                <w:color w:val="000000"/>
                <w:sz w:val="14"/>
                <w:szCs w:val="14"/>
                <w:lang w:eastAsia="en-GB" w:bidi="ne-NP"/>
              </w:rPr>
              <w:t>Elastības finansējums</w:t>
            </w:r>
          </w:p>
        </w:tc>
        <w:tc>
          <w:tcPr>
            <w:tcW w:w="1134" w:type="dxa"/>
            <w:vMerge/>
            <w:vAlign w:val="center"/>
            <w:hideMark/>
          </w:tcPr>
          <w:p w14:paraId="2CC93F1A"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1276" w:type="dxa"/>
            <w:shd w:val="clear" w:color="000000" w:fill="D9D9D9"/>
            <w:vAlign w:val="center"/>
            <w:hideMark/>
          </w:tcPr>
          <w:p w14:paraId="3F8690C0" w14:textId="77777777" w:rsidR="00AE227E" w:rsidRPr="007A7964" w:rsidRDefault="00AE227E" w:rsidP="00AE227E">
            <w:pPr>
              <w:spacing w:before="0" w:after="0"/>
              <w:jc w:val="center"/>
              <w:rPr>
                <w:rFonts w:eastAsia="Times New Roman"/>
                <w:b/>
                <w:bCs/>
                <w:color w:val="000000"/>
                <w:sz w:val="14"/>
                <w:szCs w:val="14"/>
                <w:lang w:eastAsia="en-GB" w:bidi="ne-NP"/>
              </w:rPr>
            </w:pPr>
            <w:r w:rsidRPr="007A7964">
              <w:rPr>
                <w:rFonts w:eastAsia="Times New Roman"/>
                <w:b/>
                <w:bCs/>
                <w:color w:val="000000"/>
                <w:sz w:val="14"/>
                <w:szCs w:val="14"/>
                <w:lang w:eastAsia="en-GB" w:bidi="ne-NP"/>
              </w:rPr>
              <w:t>publisks</w:t>
            </w:r>
          </w:p>
        </w:tc>
        <w:tc>
          <w:tcPr>
            <w:tcW w:w="1134" w:type="dxa"/>
            <w:shd w:val="clear" w:color="000000" w:fill="D9D9D9"/>
            <w:vAlign w:val="center"/>
            <w:hideMark/>
          </w:tcPr>
          <w:p w14:paraId="286BFA75" w14:textId="77777777" w:rsidR="00AE227E" w:rsidRPr="007A7964" w:rsidRDefault="00AE227E" w:rsidP="00AE227E">
            <w:pPr>
              <w:spacing w:before="0" w:after="0"/>
              <w:jc w:val="center"/>
              <w:rPr>
                <w:rFonts w:eastAsia="Times New Roman"/>
                <w:b/>
                <w:bCs/>
                <w:color w:val="000000"/>
                <w:sz w:val="14"/>
                <w:szCs w:val="14"/>
                <w:lang w:eastAsia="en-GB" w:bidi="ne-NP"/>
              </w:rPr>
            </w:pPr>
            <w:r w:rsidRPr="007A7964">
              <w:rPr>
                <w:rFonts w:eastAsia="Times New Roman"/>
                <w:b/>
                <w:bCs/>
                <w:color w:val="000000"/>
                <w:sz w:val="14"/>
                <w:szCs w:val="14"/>
                <w:lang w:eastAsia="en-GB" w:bidi="ne-NP"/>
              </w:rPr>
              <w:t>privāts</w:t>
            </w:r>
          </w:p>
        </w:tc>
        <w:tc>
          <w:tcPr>
            <w:tcW w:w="1276" w:type="dxa"/>
            <w:vMerge/>
            <w:vAlign w:val="center"/>
            <w:hideMark/>
          </w:tcPr>
          <w:p w14:paraId="517412C6"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992" w:type="dxa"/>
            <w:vMerge/>
            <w:vAlign w:val="center"/>
            <w:hideMark/>
          </w:tcPr>
          <w:p w14:paraId="6D011F93" w14:textId="77777777" w:rsidR="00AE227E" w:rsidRPr="007A7964" w:rsidRDefault="00AE227E" w:rsidP="00AE227E">
            <w:pPr>
              <w:spacing w:before="0" w:after="0"/>
              <w:jc w:val="left"/>
              <w:rPr>
                <w:rFonts w:eastAsia="Times New Roman"/>
                <w:b/>
                <w:bCs/>
                <w:color w:val="000000"/>
                <w:sz w:val="14"/>
                <w:szCs w:val="14"/>
                <w:lang w:eastAsia="en-GB" w:bidi="ne-NP"/>
              </w:rPr>
            </w:pPr>
          </w:p>
        </w:tc>
      </w:tr>
      <w:tr w:rsidR="003E2147" w:rsidRPr="007A7964" w14:paraId="5EB6C03B" w14:textId="77777777" w:rsidTr="003E2147">
        <w:trPr>
          <w:trHeight w:val="276"/>
          <w:tblHeader/>
        </w:trPr>
        <w:tc>
          <w:tcPr>
            <w:tcW w:w="855" w:type="dxa"/>
            <w:vMerge/>
            <w:vAlign w:val="center"/>
            <w:hideMark/>
          </w:tcPr>
          <w:p w14:paraId="3552A68E"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778" w:type="dxa"/>
            <w:vMerge/>
            <w:vAlign w:val="center"/>
            <w:hideMark/>
          </w:tcPr>
          <w:p w14:paraId="3ECC6D1A"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722" w:type="dxa"/>
            <w:vMerge/>
            <w:vAlign w:val="center"/>
            <w:hideMark/>
          </w:tcPr>
          <w:p w14:paraId="43825E47"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831" w:type="dxa"/>
            <w:vMerge/>
            <w:vAlign w:val="center"/>
            <w:hideMark/>
          </w:tcPr>
          <w:p w14:paraId="7B67AFD8"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1056" w:type="dxa"/>
            <w:vMerge/>
            <w:vAlign w:val="center"/>
            <w:hideMark/>
          </w:tcPr>
          <w:p w14:paraId="53D1DA71"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2250" w:type="dxa"/>
            <w:gridSpan w:val="2"/>
            <w:vMerge/>
            <w:vAlign w:val="center"/>
            <w:hideMark/>
          </w:tcPr>
          <w:p w14:paraId="4729EEB0"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2150" w:type="dxa"/>
            <w:gridSpan w:val="2"/>
            <w:vMerge/>
            <w:vAlign w:val="center"/>
            <w:hideMark/>
          </w:tcPr>
          <w:p w14:paraId="2EB69EFE"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1134" w:type="dxa"/>
            <w:vMerge w:val="restart"/>
            <w:shd w:val="clear" w:color="000000" w:fill="D9D9D9"/>
            <w:vAlign w:val="center"/>
            <w:hideMark/>
          </w:tcPr>
          <w:p w14:paraId="2EFE53EF" w14:textId="77777777" w:rsidR="00AE227E" w:rsidRPr="007A7964" w:rsidRDefault="00AE227E" w:rsidP="00AE227E">
            <w:pPr>
              <w:spacing w:before="0" w:after="0"/>
              <w:jc w:val="center"/>
              <w:rPr>
                <w:rFonts w:eastAsia="Times New Roman"/>
                <w:b/>
                <w:bCs/>
                <w:color w:val="000000"/>
                <w:sz w:val="14"/>
                <w:szCs w:val="14"/>
                <w:lang w:eastAsia="en-GB" w:bidi="ne-NP"/>
              </w:rPr>
            </w:pPr>
            <w:r w:rsidRPr="007A7964">
              <w:rPr>
                <w:rFonts w:eastAsia="Times New Roman"/>
                <w:b/>
                <w:bCs/>
                <w:color w:val="000000"/>
                <w:sz w:val="14"/>
                <w:szCs w:val="14"/>
                <w:lang w:eastAsia="en-GB" w:bidi="ne-NP"/>
              </w:rPr>
              <w:t>(d)=(e)+(f)</w:t>
            </w:r>
          </w:p>
        </w:tc>
        <w:tc>
          <w:tcPr>
            <w:tcW w:w="1276" w:type="dxa"/>
            <w:vMerge w:val="restart"/>
            <w:shd w:val="clear" w:color="000000" w:fill="D9D9D9"/>
            <w:vAlign w:val="center"/>
            <w:hideMark/>
          </w:tcPr>
          <w:p w14:paraId="6DE6D39C" w14:textId="77777777" w:rsidR="00AE227E" w:rsidRPr="007A7964" w:rsidRDefault="00AE227E" w:rsidP="00AE227E">
            <w:pPr>
              <w:spacing w:before="0" w:after="0"/>
              <w:jc w:val="center"/>
              <w:rPr>
                <w:rFonts w:eastAsia="Times New Roman"/>
                <w:b/>
                <w:bCs/>
                <w:color w:val="000000"/>
                <w:sz w:val="14"/>
                <w:szCs w:val="14"/>
                <w:lang w:eastAsia="en-GB" w:bidi="ne-NP"/>
              </w:rPr>
            </w:pPr>
            <w:r w:rsidRPr="007A7964">
              <w:rPr>
                <w:rFonts w:eastAsia="Times New Roman"/>
                <w:b/>
                <w:bCs/>
                <w:color w:val="000000"/>
                <w:sz w:val="14"/>
                <w:szCs w:val="14"/>
                <w:lang w:eastAsia="en-GB" w:bidi="ne-NP"/>
              </w:rPr>
              <w:t>(e)</w:t>
            </w:r>
          </w:p>
        </w:tc>
        <w:tc>
          <w:tcPr>
            <w:tcW w:w="1134" w:type="dxa"/>
            <w:vMerge w:val="restart"/>
            <w:shd w:val="clear" w:color="000000" w:fill="D9D9D9"/>
            <w:vAlign w:val="center"/>
            <w:hideMark/>
          </w:tcPr>
          <w:p w14:paraId="4B50F511" w14:textId="77777777" w:rsidR="00AE227E" w:rsidRPr="007A7964" w:rsidRDefault="00AE227E" w:rsidP="00AE227E">
            <w:pPr>
              <w:spacing w:before="0" w:after="0"/>
              <w:jc w:val="center"/>
              <w:rPr>
                <w:rFonts w:eastAsia="Times New Roman"/>
                <w:b/>
                <w:bCs/>
                <w:color w:val="000000"/>
                <w:sz w:val="14"/>
                <w:szCs w:val="14"/>
                <w:lang w:eastAsia="en-GB" w:bidi="ne-NP"/>
              </w:rPr>
            </w:pPr>
            <w:r w:rsidRPr="007A7964">
              <w:rPr>
                <w:rFonts w:eastAsia="Times New Roman"/>
                <w:b/>
                <w:bCs/>
                <w:color w:val="000000"/>
                <w:sz w:val="14"/>
                <w:szCs w:val="14"/>
                <w:lang w:eastAsia="en-GB" w:bidi="ne-NP"/>
              </w:rPr>
              <w:t>(f)</w:t>
            </w:r>
          </w:p>
        </w:tc>
        <w:tc>
          <w:tcPr>
            <w:tcW w:w="1276" w:type="dxa"/>
            <w:vMerge w:val="restart"/>
            <w:shd w:val="clear" w:color="000000" w:fill="D9D9D9"/>
            <w:vAlign w:val="center"/>
            <w:hideMark/>
          </w:tcPr>
          <w:p w14:paraId="7BD66E81" w14:textId="77777777" w:rsidR="00AE227E" w:rsidRPr="007A7964" w:rsidRDefault="00AE227E" w:rsidP="00AE227E">
            <w:pPr>
              <w:spacing w:before="0" w:after="0"/>
              <w:jc w:val="center"/>
              <w:rPr>
                <w:rFonts w:eastAsia="Times New Roman"/>
                <w:b/>
                <w:bCs/>
                <w:color w:val="000000"/>
                <w:sz w:val="14"/>
                <w:szCs w:val="14"/>
                <w:lang w:eastAsia="en-GB" w:bidi="ne-NP"/>
              </w:rPr>
            </w:pPr>
            <w:r w:rsidRPr="007A7964">
              <w:rPr>
                <w:rFonts w:eastAsia="Times New Roman"/>
                <w:b/>
                <w:bCs/>
                <w:color w:val="000000"/>
                <w:sz w:val="14"/>
                <w:szCs w:val="14"/>
                <w:lang w:eastAsia="en-GB" w:bidi="ne-NP"/>
              </w:rPr>
              <w:t>(g)=(a)+(d)**</w:t>
            </w:r>
          </w:p>
        </w:tc>
        <w:tc>
          <w:tcPr>
            <w:tcW w:w="992" w:type="dxa"/>
            <w:vMerge w:val="restart"/>
            <w:shd w:val="clear" w:color="000000" w:fill="D9D9D9"/>
            <w:vAlign w:val="center"/>
            <w:hideMark/>
          </w:tcPr>
          <w:p w14:paraId="6C5A4931" w14:textId="77777777" w:rsidR="00AE227E" w:rsidRPr="007A7964" w:rsidRDefault="00AE227E" w:rsidP="00AE227E">
            <w:pPr>
              <w:spacing w:before="0" w:after="0"/>
              <w:jc w:val="center"/>
              <w:rPr>
                <w:rFonts w:eastAsia="Times New Roman"/>
                <w:b/>
                <w:bCs/>
                <w:color w:val="000000"/>
                <w:sz w:val="14"/>
                <w:szCs w:val="14"/>
                <w:lang w:eastAsia="en-GB" w:bidi="ne-NP"/>
              </w:rPr>
            </w:pPr>
            <w:r w:rsidRPr="007A7964">
              <w:rPr>
                <w:rFonts w:eastAsia="Times New Roman"/>
                <w:b/>
                <w:bCs/>
                <w:color w:val="000000"/>
                <w:sz w:val="14"/>
                <w:szCs w:val="14"/>
                <w:lang w:eastAsia="en-GB" w:bidi="ne-NP"/>
              </w:rPr>
              <w:t>(h)=(a)/(g)**</w:t>
            </w:r>
          </w:p>
        </w:tc>
      </w:tr>
      <w:tr w:rsidR="003E2147" w:rsidRPr="007A7964" w14:paraId="3E7F603B" w14:textId="77777777" w:rsidTr="003E2147">
        <w:trPr>
          <w:trHeight w:val="555"/>
          <w:tblHeader/>
        </w:trPr>
        <w:tc>
          <w:tcPr>
            <w:tcW w:w="855" w:type="dxa"/>
            <w:vMerge/>
            <w:vAlign w:val="center"/>
            <w:hideMark/>
          </w:tcPr>
          <w:p w14:paraId="23F972C6"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778" w:type="dxa"/>
            <w:vMerge/>
            <w:vAlign w:val="center"/>
            <w:hideMark/>
          </w:tcPr>
          <w:p w14:paraId="33B4D984"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722" w:type="dxa"/>
            <w:vMerge/>
            <w:vAlign w:val="center"/>
            <w:hideMark/>
          </w:tcPr>
          <w:p w14:paraId="3C0970A6"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831" w:type="dxa"/>
            <w:vMerge/>
            <w:vAlign w:val="center"/>
            <w:hideMark/>
          </w:tcPr>
          <w:p w14:paraId="51336606"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1056" w:type="dxa"/>
            <w:vMerge/>
            <w:vAlign w:val="center"/>
            <w:hideMark/>
          </w:tcPr>
          <w:p w14:paraId="3BDDC63A"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1125" w:type="dxa"/>
            <w:shd w:val="clear" w:color="000000" w:fill="D9D9D9"/>
            <w:vAlign w:val="center"/>
            <w:hideMark/>
          </w:tcPr>
          <w:p w14:paraId="1A34FB2C" w14:textId="77777777" w:rsidR="00AE227E" w:rsidRPr="007A7964" w:rsidRDefault="00AE227E" w:rsidP="00AE227E">
            <w:pPr>
              <w:spacing w:before="0" w:after="0"/>
              <w:jc w:val="center"/>
              <w:rPr>
                <w:rFonts w:eastAsia="Times New Roman"/>
                <w:b/>
                <w:bCs/>
                <w:color w:val="000000"/>
                <w:sz w:val="14"/>
                <w:szCs w:val="14"/>
                <w:lang w:eastAsia="en-GB" w:bidi="ne-NP"/>
              </w:rPr>
            </w:pPr>
            <w:r w:rsidRPr="007A7964">
              <w:rPr>
                <w:rFonts w:eastAsia="Times New Roman"/>
                <w:b/>
                <w:bCs/>
                <w:color w:val="000000"/>
                <w:sz w:val="14"/>
                <w:szCs w:val="14"/>
                <w:lang w:eastAsia="en-GB" w:bidi="ne-NP"/>
              </w:rPr>
              <w:t>ES fondu finansējums bez TP  piemērojot KNR 30.panta 5.punktu</w:t>
            </w:r>
          </w:p>
        </w:tc>
        <w:tc>
          <w:tcPr>
            <w:tcW w:w="1125" w:type="dxa"/>
            <w:shd w:val="clear" w:color="000000" w:fill="D9D9D9"/>
            <w:vAlign w:val="center"/>
            <w:hideMark/>
          </w:tcPr>
          <w:p w14:paraId="7D94949B" w14:textId="77777777" w:rsidR="00AE227E" w:rsidRPr="007A7964" w:rsidRDefault="00AE227E" w:rsidP="00AE227E">
            <w:pPr>
              <w:spacing w:before="0" w:after="0"/>
              <w:jc w:val="center"/>
              <w:rPr>
                <w:rFonts w:eastAsia="Times New Roman"/>
                <w:b/>
                <w:bCs/>
                <w:color w:val="000000"/>
                <w:sz w:val="14"/>
                <w:szCs w:val="14"/>
                <w:lang w:eastAsia="en-GB" w:bidi="ne-NP"/>
              </w:rPr>
            </w:pPr>
            <w:r w:rsidRPr="007A7964">
              <w:rPr>
                <w:rFonts w:eastAsia="Times New Roman"/>
                <w:b/>
                <w:bCs/>
                <w:color w:val="000000"/>
                <w:sz w:val="14"/>
                <w:szCs w:val="14"/>
                <w:lang w:eastAsia="en-GB" w:bidi="ne-NP"/>
              </w:rPr>
              <w:t xml:space="preserve">ES fondu TP finansējums piemērojot KNR 30.panta 5.punktu </w:t>
            </w:r>
          </w:p>
        </w:tc>
        <w:tc>
          <w:tcPr>
            <w:tcW w:w="1142" w:type="dxa"/>
            <w:shd w:val="clear" w:color="000000" w:fill="D9D9D9"/>
            <w:vAlign w:val="center"/>
            <w:hideMark/>
          </w:tcPr>
          <w:p w14:paraId="48160567" w14:textId="77777777" w:rsidR="00AE227E" w:rsidRPr="007A7964" w:rsidRDefault="00AE227E" w:rsidP="00AE227E">
            <w:pPr>
              <w:spacing w:before="0" w:after="0"/>
              <w:jc w:val="center"/>
              <w:rPr>
                <w:rFonts w:eastAsia="Times New Roman"/>
                <w:b/>
                <w:bCs/>
                <w:sz w:val="14"/>
                <w:szCs w:val="14"/>
                <w:lang w:eastAsia="en-GB" w:bidi="ne-NP"/>
              </w:rPr>
            </w:pPr>
            <w:r w:rsidRPr="007A7964">
              <w:rPr>
                <w:rFonts w:eastAsia="Times New Roman"/>
                <w:b/>
                <w:bCs/>
                <w:sz w:val="14"/>
                <w:szCs w:val="14"/>
                <w:lang w:eastAsia="en-GB" w:bidi="ne-NP"/>
              </w:rPr>
              <w:t>Elastības finansējumsbez TP piemērojot NKNR 30.panta 5.puktu</w:t>
            </w:r>
          </w:p>
        </w:tc>
        <w:tc>
          <w:tcPr>
            <w:tcW w:w="1008" w:type="dxa"/>
            <w:shd w:val="clear" w:color="000000" w:fill="D9D9D9"/>
            <w:vAlign w:val="center"/>
            <w:hideMark/>
          </w:tcPr>
          <w:p w14:paraId="0FDA2D71" w14:textId="77777777" w:rsidR="00AE227E" w:rsidRPr="007A7964" w:rsidRDefault="00AE227E" w:rsidP="00AE227E">
            <w:pPr>
              <w:spacing w:before="0" w:after="0"/>
              <w:jc w:val="center"/>
              <w:rPr>
                <w:rFonts w:eastAsia="Times New Roman"/>
                <w:b/>
                <w:bCs/>
                <w:sz w:val="14"/>
                <w:szCs w:val="14"/>
                <w:lang w:eastAsia="en-GB" w:bidi="ne-NP"/>
              </w:rPr>
            </w:pPr>
            <w:r w:rsidRPr="007A7964">
              <w:rPr>
                <w:rFonts w:eastAsia="Times New Roman"/>
                <w:b/>
                <w:bCs/>
                <w:sz w:val="14"/>
                <w:szCs w:val="14"/>
                <w:lang w:eastAsia="en-GB" w:bidi="ne-NP"/>
              </w:rPr>
              <w:t>TP finansējums eleastības finansējuma daļai piemērojot KNR 30. panta 5.punktu</w:t>
            </w:r>
          </w:p>
        </w:tc>
        <w:tc>
          <w:tcPr>
            <w:tcW w:w="1134" w:type="dxa"/>
            <w:vMerge/>
            <w:vAlign w:val="center"/>
            <w:hideMark/>
          </w:tcPr>
          <w:p w14:paraId="400E068B"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1276" w:type="dxa"/>
            <w:vMerge/>
            <w:vAlign w:val="center"/>
            <w:hideMark/>
          </w:tcPr>
          <w:p w14:paraId="751DC8B3"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1134" w:type="dxa"/>
            <w:vMerge/>
            <w:vAlign w:val="center"/>
            <w:hideMark/>
          </w:tcPr>
          <w:p w14:paraId="12A982CD"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1276" w:type="dxa"/>
            <w:vMerge/>
            <w:vAlign w:val="center"/>
            <w:hideMark/>
          </w:tcPr>
          <w:p w14:paraId="0C0BAB0C"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992" w:type="dxa"/>
            <w:vMerge/>
            <w:vAlign w:val="center"/>
            <w:hideMark/>
          </w:tcPr>
          <w:p w14:paraId="36ADA428" w14:textId="77777777" w:rsidR="00AE227E" w:rsidRPr="007A7964" w:rsidRDefault="00AE227E" w:rsidP="00AE227E">
            <w:pPr>
              <w:spacing w:before="0" w:after="0"/>
              <w:jc w:val="left"/>
              <w:rPr>
                <w:rFonts w:eastAsia="Times New Roman"/>
                <w:b/>
                <w:bCs/>
                <w:color w:val="000000"/>
                <w:sz w:val="14"/>
                <w:szCs w:val="14"/>
                <w:lang w:eastAsia="en-GB" w:bidi="ne-NP"/>
              </w:rPr>
            </w:pPr>
          </w:p>
        </w:tc>
      </w:tr>
      <w:tr w:rsidR="003E2147" w:rsidRPr="007A7964" w14:paraId="79B01E18" w14:textId="77777777" w:rsidTr="003E2147">
        <w:trPr>
          <w:trHeight w:val="98"/>
          <w:tblHeader/>
        </w:trPr>
        <w:tc>
          <w:tcPr>
            <w:tcW w:w="855" w:type="dxa"/>
            <w:vMerge/>
            <w:vAlign w:val="center"/>
            <w:hideMark/>
          </w:tcPr>
          <w:p w14:paraId="379B9F23"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778" w:type="dxa"/>
            <w:vMerge/>
            <w:vAlign w:val="center"/>
            <w:hideMark/>
          </w:tcPr>
          <w:p w14:paraId="6834C42D"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722" w:type="dxa"/>
            <w:vMerge/>
            <w:vAlign w:val="center"/>
            <w:hideMark/>
          </w:tcPr>
          <w:p w14:paraId="4B56D09B"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831" w:type="dxa"/>
            <w:vMerge/>
            <w:vAlign w:val="center"/>
            <w:hideMark/>
          </w:tcPr>
          <w:p w14:paraId="5C8DB77A"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1056" w:type="dxa"/>
            <w:shd w:val="clear" w:color="000000" w:fill="D9D9D9"/>
            <w:vAlign w:val="center"/>
            <w:hideMark/>
          </w:tcPr>
          <w:p w14:paraId="43C4B61C" w14:textId="77777777" w:rsidR="00AE227E" w:rsidRPr="007A7964" w:rsidRDefault="00AE227E" w:rsidP="00AE227E">
            <w:pPr>
              <w:spacing w:before="0" w:after="0"/>
              <w:jc w:val="center"/>
              <w:rPr>
                <w:rFonts w:eastAsia="Times New Roman"/>
                <w:b/>
                <w:bCs/>
                <w:color w:val="000000"/>
                <w:sz w:val="14"/>
                <w:szCs w:val="14"/>
                <w:lang w:eastAsia="en-GB" w:bidi="ne-NP"/>
              </w:rPr>
            </w:pPr>
            <w:r w:rsidRPr="007A7964">
              <w:rPr>
                <w:rFonts w:eastAsia="Times New Roman"/>
                <w:b/>
                <w:bCs/>
                <w:color w:val="000000"/>
                <w:sz w:val="14"/>
                <w:szCs w:val="14"/>
                <w:lang w:eastAsia="en-GB" w:bidi="ne-NP"/>
              </w:rPr>
              <w:t xml:space="preserve">(a)=(b)+(c) + (i) + (j) </w:t>
            </w:r>
          </w:p>
        </w:tc>
        <w:tc>
          <w:tcPr>
            <w:tcW w:w="1125" w:type="dxa"/>
            <w:shd w:val="clear" w:color="000000" w:fill="D9D9D9"/>
            <w:vAlign w:val="center"/>
            <w:hideMark/>
          </w:tcPr>
          <w:p w14:paraId="3369F4A8" w14:textId="77777777" w:rsidR="00AE227E" w:rsidRPr="007A7964" w:rsidRDefault="00AE227E" w:rsidP="00AE227E">
            <w:pPr>
              <w:spacing w:before="0" w:after="0"/>
              <w:jc w:val="center"/>
              <w:rPr>
                <w:rFonts w:eastAsia="Times New Roman"/>
                <w:b/>
                <w:bCs/>
                <w:color w:val="000000"/>
                <w:sz w:val="14"/>
                <w:szCs w:val="14"/>
                <w:lang w:eastAsia="en-GB" w:bidi="ne-NP"/>
              </w:rPr>
            </w:pPr>
            <w:r w:rsidRPr="007A7964">
              <w:rPr>
                <w:rFonts w:eastAsia="Times New Roman"/>
                <w:b/>
                <w:bCs/>
                <w:color w:val="000000"/>
                <w:sz w:val="14"/>
                <w:szCs w:val="14"/>
                <w:lang w:eastAsia="en-GB" w:bidi="ne-NP"/>
              </w:rPr>
              <w:t>(b)</w:t>
            </w:r>
          </w:p>
        </w:tc>
        <w:tc>
          <w:tcPr>
            <w:tcW w:w="1125" w:type="dxa"/>
            <w:shd w:val="clear" w:color="000000" w:fill="D9D9D9"/>
            <w:vAlign w:val="center"/>
            <w:hideMark/>
          </w:tcPr>
          <w:p w14:paraId="02DBA913" w14:textId="77777777" w:rsidR="00AE227E" w:rsidRPr="007A7964" w:rsidRDefault="00AE227E" w:rsidP="00AE227E">
            <w:pPr>
              <w:spacing w:before="0" w:after="0"/>
              <w:jc w:val="center"/>
              <w:rPr>
                <w:rFonts w:eastAsia="Times New Roman"/>
                <w:b/>
                <w:bCs/>
                <w:color w:val="000000"/>
                <w:sz w:val="14"/>
                <w:szCs w:val="14"/>
                <w:lang w:eastAsia="en-GB" w:bidi="ne-NP"/>
              </w:rPr>
            </w:pPr>
            <w:r w:rsidRPr="007A7964">
              <w:rPr>
                <w:rFonts w:eastAsia="Times New Roman"/>
                <w:b/>
                <w:bCs/>
                <w:color w:val="000000"/>
                <w:sz w:val="14"/>
                <w:szCs w:val="14"/>
                <w:lang w:eastAsia="en-GB" w:bidi="ne-NP"/>
              </w:rPr>
              <w:t>(c)</w:t>
            </w:r>
          </w:p>
        </w:tc>
        <w:tc>
          <w:tcPr>
            <w:tcW w:w="1142" w:type="dxa"/>
            <w:shd w:val="clear" w:color="000000" w:fill="D9D9D9"/>
            <w:vAlign w:val="center"/>
            <w:hideMark/>
          </w:tcPr>
          <w:p w14:paraId="3FF201CA" w14:textId="77777777" w:rsidR="00AE227E" w:rsidRPr="007A7964" w:rsidRDefault="00AE227E" w:rsidP="00AE227E">
            <w:pPr>
              <w:spacing w:before="0" w:after="0"/>
              <w:jc w:val="center"/>
              <w:rPr>
                <w:rFonts w:eastAsia="Times New Roman"/>
                <w:b/>
                <w:bCs/>
                <w:sz w:val="14"/>
                <w:szCs w:val="14"/>
                <w:lang w:eastAsia="en-GB" w:bidi="ne-NP"/>
              </w:rPr>
            </w:pPr>
            <w:r w:rsidRPr="007A7964">
              <w:rPr>
                <w:rFonts w:eastAsia="Times New Roman"/>
                <w:b/>
                <w:bCs/>
                <w:sz w:val="14"/>
                <w:szCs w:val="14"/>
                <w:lang w:eastAsia="en-GB" w:bidi="ne-NP"/>
              </w:rPr>
              <w:t>(i)</w:t>
            </w:r>
          </w:p>
        </w:tc>
        <w:tc>
          <w:tcPr>
            <w:tcW w:w="1008" w:type="dxa"/>
            <w:shd w:val="clear" w:color="000000" w:fill="D9D9D9"/>
            <w:vAlign w:val="center"/>
            <w:hideMark/>
          </w:tcPr>
          <w:p w14:paraId="423B6B97" w14:textId="77777777" w:rsidR="00AE227E" w:rsidRPr="007A7964" w:rsidRDefault="00AE227E" w:rsidP="00AE227E">
            <w:pPr>
              <w:spacing w:before="0" w:after="0"/>
              <w:jc w:val="center"/>
              <w:rPr>
                <w:rFonts w:eastAsia="Times New Roman"/>
                <w:b/>
                <w:bCs/>
                <w:sz w:val="14"/>
                <w:szCs w:val="14"/>
                <w:lang w:eastAsia="en-GB" w:bidi="ne-NP"/>
              </w:rPr>
            </w:pPr>
            <w:r w:rsidRPr="007A7964">
              <w:rPr>
                <w:rFonts w:eastAsia="Times New Roman"/>
                <w:b/>
                <w:bCs/>
                <w:sz w:val="14"/>
                <w:szCs w:val="14"/>
                <w:lang w:eastAsia="en-GB" w:bidi="ne-NP"/>
              </w:rPr>
              <w:t>(j)</w:t>
            </w:r>
          </w:p>
        </w:tc>
        <w:tc>
          <w:tcPr>
            <w:tcW w:w="1134" w:type="dxa"/>
            <w:vMerge/>
            <w:vAlign w:val="center"/>
            <w:hideMark/>
          </w:tcPr>
          <w:p w14:paraId="7C9B5C17"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1276" w:type="dxa"/>
            <w:vMerge/>
            <w:vAlign w:val="center"/>
            <w:hideMark/>
          </w:tcPr>
          <w:p w14:paraId="6F28CF32"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1134" w:type="dxa"/>
            <w:vMerge/>
            <w:vAlign w:val="center"/>
            <w:hideMark/>
          </w:tcPr>
          <w:p w14:paraId="0BA1A049"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1276" w:type="dxa"/>
            <w:vMerge/>
            <w:vAlign w:val="center"/>
            <w:hideMark/>
          </w:tcPr>
          <w:p w14:paraId="528ED261"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992" w:type="dxa"/>
            <w:vMerge/>
            <w:vAlign w:val="center"/>
            <w:hideMark/>
          </w:tcPr>
          <w:p w14:paraId="4C29C67A" w14:textId="77777777" w:rsidR="00AE227E" w:rsidRPr="007A7964" w:rsidRDefault="00AE227E" w:rsidP="00AE227E">
            <w:pPr>
              <w:spacing w:before="0" w:after="0"/>
              <w:jc w:val="left"/>
              <w:rPr>
                <w:rFonts w:eastAsia="Times New Roman"/>
                <w:b/>
                <w:bCs/>
                <w:color w:val="000000"/>
                <w:sz w:val="14"/>
                <w:szCs w:val="14"/>
                <w:lang w:eastAsia="en-GB" w:bidi="ne-NP"/>
              </w:rPr>
            </w:pPr>
          </w:p>
        </w:tc>
      </w:tr>
      <w:tr w:rsidR="007A7964" w:rsidRPr="007A7964" w14:paraId="4EDA7C5A" w14:textId="77777777" w:rsidTr="003155B0">
        <w:trPr>
          <w:trHeight w:val="465"/>
        </w:trPr>
        <w:tc>
          <w:tcPr>
            <w:tcW w:w="855" w:type="dxa"/>
            <w:shd w:val="clear" w:color="000000" w:fill="D9D9D9"/>
            <w:vAlign w:val="center"/>
            <w:hideMark/>
          </w:tcPr>
          <w:p w14:paraId="664393EB" w14:textId="77777777" w:rsidR="007A7964" w:rsidRPr="007A7964" w:rsidRDefault="007A7964" w:rsidP="007A7964">
            <w:pPr>
              <w:spacing w:before="0" w:after="0"/>
              <w:rPr>
                <w:rFonts w:eastAsia="Times New Roman"/>
                <w:b/>
                <w:bCs/>
                <w:color w:val="000000"/>
                <w:sz w:val="14"/>
                <w:szCs w:val="14"/>
                <w:lang w:eastAsia="en-GB" w:bidi="ne-NP"/>
              </w:rPr>
            </w:pPr>
            <w:r w:rsidRPr="007A7964">
              <w:rPr>
                <w:rFonts w:eastAsia="Times New Roman"/>
                <w:b/>
                <w:bCs/>
                <w:color w:val="000000"/>
                <w:sz w:val="14"/>
                <w:szCs w:val="14"/>
                <w:lang w:eastAsia="en-GB" w:bidi="ne-NP"/>
              </w:rPr>
              <w:t>kopā</w:t>
            </w:r>
          </w:p>
        </w:tc>
        <w:tc>
          <w:tcPr>
            <w:tcW w:w="778" w:type="dxa"/>
            <w:shd w:val="clear" w:color="000000" w:fill="D9D9D9"/>
            <w:vAlign w:val="center"/>
            <w:hideMark/>
          </w:tcPr>
          <w:p w14:paraId="498E9A74" w14:textId="77777777" w:rsidR="007A7964" w:rsidRPr="007A7964" w:rsidRDefault="007A7964" w:rsidP="007A7964">
            <w:pPr>
              <w:spacing w:before="0" w:after="0"/>
              <w:rPr>
                <w:rFonts w:eastAsia="Times New Roman"/>
                <w:b/>
                <w:bCs/>
                <w:color w:val="000000"/>
                <w:sz w:val="14"/>
                <w:szCs w:val="14"/>
                <w:lang w:eastAsia="en-GB" w:bidi="ne-NP"/>
              </w:rPr>
            </w:pPr>
            <w:r w:rsidRPr="007A7964">
              <w:rPr>
                <w:rFonts w:eastAsia="Times New Roman"/>
                <w:b/>
                <w:bCs/>
                <w:color w:val="000000"/>
                <w:sz w:val="14"/>
                <w:szCs w:val="14"/>
                <w:lang w:eastAsia="en-GB" w:bidi="ne-NP"/>
              </w:rPr>
              <w:t>k</w:t>
            </w:r>
          </w:p>
        </w:tc>
        <w:tc>
          <w:tcPr>
            <w:tcW w:w="722" w:type="dxa"/>
            <w:shd w:val="clear" w:color="000000" w:fill="D9D9D9"/>
            <w:vAlign w:val="center"/>
            <w:hideMark/>
          </w:tcPr>
          <w:p w14:paraId="7EC83492" w14:textId="77777777" w:rsidR="007A7964" w:rsidRPr="007A7964" w:rsidRDefault="007A7964" w:rsidP="007A7964">
            <w:pPr>
              <w:spacing w:before="0" w:after="0"/>
              <w:rPr>
                <w:rFonts w:eastAsia="Times New Roman"/>
                <w:b/>
                <w:bCs/>
                <w:color w:val="000000"/>
                <w:sz w:val="14"/>
                <w:szCs w:val="14"/>
                <w:lang w:eastAsia="en-GB" w:bidi="ne-NP"/>
              </w:rPr>
            </w:pPr>
            <w:r w:rsidRPr="007A7964">
              <w:rPr>
                <w:rFonts w:eastAsia="Times New Roman"/>
                <w:b/>
                <w:bCs/>
                <w:color w:val="000000"/>
                <w:sz w:val="14"/>
                <w:szCs w:val="14"/>
                <w:lang w:eastAsia="en-GB" w:bidi="ne-NP"/>
              </w:rPr>
              <w:t>ERAF</w:t>
            </w:r>
          </w:p>
        </w:tc>
        <w:tc>
          <w:tcPr>
            <w:tcW w:w="831" w:type="dxa"/>
            <w:shd w:val="clear" w:color="000000" w:fill="D9D9D9"/>
            <w:vAlign w:val="center"/>
            <w:hideMark/>
          </w:tcPr>
          <w:p w14:paraId="6195BC79" w14:textId="77777777" w:rsidR="007A7964" w:rsidRPr="007A7964" w:rsidRDefault="007A7964" w:rsidP="007A7964">
            <w:pPr>
              <w:spacing w:before="0" w:after="0"/>
              <w:rPr>
                <w:rFonts w:eastAsia="Times New Roman"/>
                <w:b/>
                <w:bCs/>
                <w:color w:val="000000"/>
                <w:sz w:val="14"/>
                <w:szCs w:val="14"/>
                <w:lang w:eastAsia="en-GB" w:bidi="ne-NP"/>
              </w:rPr>
            </w:pPr>
            <w:r w:rsidRPr="007A7964">
              <w:rPr>
                <w:rFonts w:eastAsia="Times New Roman"/>
                <w:b/>
                <w:bCs/>
                <w:color w:val="000000"/>
                <w:sz w:val="14"/>
                <w:szCs w:val="14"/>
                <w:lang w:eastAsia="en-GB" w:bidi="ne-NP"/>
              </w:rPr>
              <w:t>Mazāk attīstīts</w:t>
            </w:r>
          </w:p>
        </w:tc>
        <w:tc>
          <w:tcPr>
            <w:tcW w:w="1056" w:type="dxa"/>
            <w:shd w:val="clear" w:color="000000" w:fill="D9D9D9"/>
            <w:hideMark/>
          </w:tcPr>
          <w:p w14:paraId="486C5C7A" w14:textId="2BD99580"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856 154 951</w:t>
            </w:r>
          </w:p>
        </w:tc>
        <w:tc>
          <w:tcPr>
            <w:tcW w:w="1125" w:type="dxa"/>
            <w:shd w:val="clear" w:color="000000" w:fill="D9D9D9"/>
            <w:hideMark/>
          </w:tcPr>
          <w:p w14:paraId="14F8B1DF" w14:textId="718D4E3E"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698 130 151</w:t>
            </w:r>
          </w:p>
        </w:tc>
        <w:tc>
          <w:tcPr>
            <w:tcW w:w="1125" w:type="dxa"/>
            <w:shd w:val="clear" w:color="000000" w:fill="D9D9D9"/>
            <w:hideMark/>
          </w:tcPr>
          <w:p w14:paraId="23CC7A8D" w14:textId="6B6A2C79"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25 320 783</w:t>
            </w:r>
          </w:p>
        </w:tc>
        <w:tc>
          <w:tcPr>
            <w:tcW w:w="1142" w:type="dxa"/>
            <w:shd w:val="clear" w:color="000000" w:fill="D9D9D9"/>
            <w:hideMark/>
          </w:tcPr>
          <w:p w14:paraId="76864074" w14:textId="1FB74E8C"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128 059 377</w:t>
            </w:r>
          </w:p>
        </w:tc>
        <w:tc>
          <w:tcPr>
            <w:tcW w:w="1008" w:type="dxa"/>
            <w:shd w:val="clear" w:color="000000" w:fill="D9D9D9"/>
            <w:hideMark/>
          </w:tcPr>
          <w:p w14:paraId="17638E44" w14:textId="63364E37"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4 644 641</w:t>
            </w:r>
          </w:p>
        </w:tc>
        <w:tc>
          <w:tcPr>
            <w:tcW w:w="1134" w:type="dxa"/>
            <w:shd w:val="clear" w:color="000000" w:fill="D9D9D9"/>
            <w:hideMark/>
          </w:tcPr>
          <w:p w14:paraId="61557E60" w14:textId="44BAA8F7"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151 086 168</w:t>
            </w:r>
          </w:p>
        </w:tc>
        <w:tc>
          <w:tcPr>
            <w:tcW w:w="1276" w:type="dxa"/>
            <w:shd w:val="clear" w:color="000000" w:fill="D9D9D9"/>
            <w:hideMark/>
          </w:tcPr>
          <w:p w14:paraId="27DE0124" w14:textId="01EB6976"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75 543 084</w:t>
            </w:r>
          </w:p>
        </w:tc>
        <w:tc>
          <w:tcPr>
            <w:tcW w:w="1134" w:type="dxa"/>
            <w:shd w:val="clear" w:color="000000" w:fill="D9D9D9"/>
            <w:hideMark/>
          </w:tcPr>
          <w:p w14:paraId="0ADE9ADF" w14:textId="1E15609E"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75 543 084</w:t>
            </w:r>
          </w:p>
        </w:tc>
        <w:tc>
          <w:tcPr>
            <w:tcW w:w="1276" w:type="dxa"/>
            <w:shd w:val="clear" w:color="000000" w:fill="D9D9D9"/>
            <w:hideMark/>
          </w:tcPr>
          <w:p w14:paraId="18E819DB" w14:textId="67BD3B79"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1 007 241 118</w:t>
            </w:r>
          </w:p>
        </w:tc>
        <w:tc>
          <w:tcPr>
            <w:tcW w:w="992" w:type="dxa"/>
            <w:shd w:val="clear" w:color="000000" w:fill="D9D9D9"/>
            <w:noWrap/>
            <w:hideMark/>
          </w:tcPr>
          <w:p w14:paraId="1B34ACEB" w14:textId="3C7D5E06" w:rsidR="007A7964" w:rsidRPr="007A7964" w:rsidRDefault="007A7964" w:rsidP="007A7964">
            <w:pPr>
              <w:spacing w:before="0" w:after="0"/>
              <w:jc w:val="center"/>
              <w:rPr>
                <w:rFonts w:eastAsia="Times New Roman"/>
                <w:b/>
                <w:bCs/>
                <w:color w:val="000000"/>
                <w:sz w:val="14"/>
                <w:szCs w:val="14"/>
                <w:lang w:eastAsia="en-GB" w:bidi="ne-NP"/>
              </w:rPr>
            </w:pPr>
            <w:r w:rsidRPr="007A7964">
              <w:rPr>
                <w:sz w:val="14"/>
                <w:szCs w:val="14"/>
              </w:rPr>
              <w:t>0,85</w:t>
            </w:r>
          </w:p>
        </w:tc>
      </w:tr>
      <w:tr w:rsidR="007A7964" w:rsidRPr="007A7964" w14:paraId="01A613DD" w14:textId="77777777" w:rsidTr="003155B0">
        <w:trPr>
          <w:trHeight w:val="315"/>
        </w:trPr>
        <w:tc>
          <w:tcPr>
            <w:tcW w:w="855" w:type="dxa"/>
            <w:shd w:val="clear" w:color="auto" w:fill="auto"/>
            <w:vAlign w:val="center"/>
            <w:hideMark/>
          </w:tcPr>
          <w:p w14:paraId="2EE15F64"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1.1.</w:t>
            </w:r>
          </w:p>
        </w:tc>
        <w:tc>
          <w:tcPr>
            <w:tcW w:w="778" w:type="dxa"/>
            <w:shd w:val="clear" w:color="auto" w:fill="auto"/>
            <w:vAlign w:val="center"/>
            <w:hideMark/>
          </w:tcPr>
          <w:p w14:paraId="171538E0"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k</w:t>
            </w:r>
          </w:p>
        </w:tc>
        <w:tc>
          <w:tcPr>
            <w:tcW w:w="722" w:type="dxa"/>
            <w:shd w:val="clear" w:color="auto" w:fill="auto"/>
            <w:vAlign w:val="center"/>
            <w:hideMark/>
          </w:tcPr>
          <w:p w14:paraId="2433B009"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ERAF</w:t>
            </w:r>
          </w:p>
        </w:tc>
        <w:tc>
          <w:tcPr>
            <w:tcW w:w="831" w:type="dxa"/>
            <w:shd w:val="clear" w:color="auto" w:fill="auto"/>
            <w:vAlign w:val="center"/>
            <w:hideMark/>
          </w:tcPr>
          <w:p w14:paraId="6DF507C2"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Mazāk attīstīts</w:t>
            </w:r>
          </w:p>
        </w:tc>
        <w:tc>
          <w:tcPr>
            <w:tcW w:w="1056" w:type="dxa"/>
            <w:shd w:val="clear" w:color="auto" w:fill="auto"/>
            <w:hideMark/>
          </w:tcPr>
          <w:p w14:paraId="6C378A0C" w14:textId="25C07DC1"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281 739 934</w:t>
            </w:r>
          </w:p>
        </w:tc>
        <w:tc>
          <w:tcPr>
            <w:tcW w:w="1125" w:type="dxa"/>
            <w:shd w:val="clear" w:color="auto" w:fill="auto"/>
            <w:hideMark/>
          </w:tcPr>
          <w:p w14:paraId="0BAD5116" w14:textId="2AFF5241" w:rsidR="007A7964" w:rsidRPr="007A7964" w:rsidRDefault="007A7964" w:rsidP="007A7964">
            <w:pPr>
              <w:spacing w:before="0" w:after="0"/>
              <w:jc w:val="right"/>
              <w:rPr>
                <w:rFonts w:eastAsia="Times New Roman"/>
                <w:sz w:val="14"/>
                <w:szCs w:val="14"/>
                <w:lang w:eastAsia="en-GB" w:bidi="ne-NP"/>
              </w:rPr>
            </w:pPr>
            <w:r w:rsidRPr="007A7964">
              <w:rPr>
                <w:sz w:val="14"/>
                <w:szCs w:val="14"/>
              </w:rPr>
              <w:t>229 737 786</w:t>
            </w:r>
          </w:p>
        </w:tc>
        <w:tc>
          <w:tcPr>
            <w:tcW w:w="1125" w:type="dxa"/>
            <w:shd w:val="clear" w:color="auto" w:fill="auto"/>
            <w:hideMark/>
          </w:tcPr>
          <w:p w14:paraId="130C74A3" w14:textId="37A56B87" w:rsidR="007A7964" w:rsidRPr="007A7964" w:rsidRDefault="007A7964" w:rsidP="007A7964">
            <w:pPr>
              <w:spacing w:before="0" w:after="0"/>
              <w:jc w:val="right"/>
              <w:rPr>
                <w:rFonts w:eastAsia="Times New Roman"/>
                <w:sz w:val="14"/>
                <w:szCs w:val="14"/>
                <w:lang w:eastAsia="en-GB" w:bidi="ne-NP"/>
              </w:rPr>
            </w:pPr>
            <w:r w:rsidRPr="007A7964">
              <w:rPr>
                <w:sz w:val="14"/>
                <w:szCs w:val="14"/>
              </w:rPr>
              <w:t>8 332 459</w:t>
            </w:r>
          </w:p>
        </w:tc>
        <w:tc>
          <w:tcPr>
            <w:tcW w:w="1142" w:type="dxa"/>
            <w:shd w:val="clear" w:color="auto" w:fill="auto"/>
            <w:hideMark/>
          </w:tcPr>
          <w:p w14:paraId="5FE35B2B" w14:textId="03A686D0" w:rsidR="007A7964" w:rsidRPr="007A7964" w:rsidRDefault="007A7964" w:rsidP="007A7964">
            <w:pPr>
              <w:spacing w:before="0" w:after="0"/>
              <w:jc w:val="right"/>
              <w:rPr>
                <w:rFonts w:eastAsia="Times New Roman"/>
                <w:sz w:val="14"/>
                <w:szCs w:val="14"/>
                <w:lang w:eastAsia="en-GB" w:bidi="ne-NP"/>
              </w:rPr>
            </w:pPr>
            <w:r w:rsidRPr="007A7964">
              <w:rPr>
                <w:sz w:val="14"/>
                <w:szCs w:val="14"/>
              </w:rPr>
              <w:t>42 141 251</w:t>
            </w:r>
          </w:p>
        </w:tc>
        <w:tc>
          <w:tcPr>
            <w:tcW w:w="1008" w:type="dxa"/>
            <w:shd w:val="clear" w:color="auto" w:fill="auto"/>
            <w:hideMark/>
          </w:tcPr>
          <w:p w14:paraId="302D652D" w14:textId="478BB5DF" w:rsidR="007A7964" w:rsidRPr="007A7964" w:rsidRDefault="007A7964" w:rsidP="007A7964">
            <w:pPr>
              <w:spacing w:before="0" w:after="0"/>
              <w:jc w:val="right"/>
              <w:rPr>
                <w:rFonts w:eastAsia="Times New Roman"/>
                <w:sz w:val="14"/>
                <w:szCs w:val="14"/>
                <w:lang w:eastAsia="en-GB" w:bidi="ne-NP"/>
              </w:rPr>
            </w:pPr>
            <w:r w:rsidRPr="007A7964">
              <w:rPr>
                <w:sz w:val="14"/>
                <w:szCs w:val="14"/>
              </w:rPr>
              <w:t>1 528 439</w:t>
            </w:r>
          </w:p>
        </w:tc>
        <w:tc>
          <w:tcPr>
            <w:tcW w:w="1134" w:type="dxa"/>
            <w:shd w:val="clear" w:color="auto" w:fill="auto"/>
            <w:noWrap/>
            <w:hideMark/>
          </w:tcPr>
          <w:p w14:paraId="588F400B" w14:textId="357D4CD5"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49 718 812</w:t>
            </w:r>
          </w:p>
        </w:tc>
        <w:tc>
          <w:tcPr>
            <w:tcW w:w="1276" w:type="dxa"/>
            <w:shd w:val="clear" w:color="000000" w:fill="FFFFFF"/>
            <w:hideMark/>
          </w:tcPr>
          <w:p w14:paraId="0A98D7E4" w14:textId="54D12A7B"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24 859 406</w:t>
            </w:r>
          </w:p>
        </w:tc>
        <w:tc>
          <w:tcPr>
            <w:tcW w:w="1134" w:type="dxa"/>
            <w:shd w:val="clear" w:color="000000" w:fill="FFFFFF"/>
            <w:hideMark/>
          </w:tcPr>
          <w:p w14:paraId="249EFCE7" w14:textId="73D48F13"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24 859 406</w:t>
            </w:r>
          </w:p>
        </w:tc>
        <w:tc>
          <w:tcPr>
            <w:tcW w:w="1276" w:type="dxa"/>
            <w:shd w:val="clear" w:color="000000" w:fill="FFFFFF"/>
            <w:noWrap/>
            <w:hideMark/>
          </w:tcPr>
          <w:p w14:paraId="0258F0CE" w14:textId="5813157D"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331 458 746</w:t>
            </w:r>
          </w:p>
        </w:tc>
        <w:tc>
          <w:tcPr>
            <w:tcW w:w="992" w:type="dxa"/>
            <w:shd w:val="clear" w:color="auto" w:fill="auto"/>
            <w:noWrap/>
            <w:hideMark/>
          </w:tcPr>
          <w:p w14:paraId="291ABBDF" w14:textId="104F0E39" w:rsidR="007A7964" w:rsidRPr="007A7964" w:rsidRDefault="007A7964" w:rsidP="007A7964">
            <w:pPr>
              <w:spacing w:before="0" w:after="0"/>
              <w:jc w:val="center"/>
              <w:rPr>
                <w:rFonts w:eastAsia="Times New Roman"/>
                <w:color w:val="000000"/>
                <w:sz w:val="14"/>
                <w:szCs w:val="14"/>
                <w:lang w:eastAsia="en-GB" w:bidi="ne-NP"/>
              </w:rPr>
            </w:pPr>
            <w:r w:rsidRPr="007A7964">
              <w:rPr>
                <w:sz w:val="14"/>
                <w:szCs w:val="14"/>
              </w:rPr>
              <w:t>0,85</w:t>
            </w:r>
          </w:p>
        </w:tc>
      </w:tr>
      <w:tr w:rsidR="007A7964" w:rsidRPr="007A7964" w14:paraId="35D545DA" w14:textId="77777777" w:rsidTr="003155B0">
        <w:trPr>
          <w:trHeight w:val="315"/>
        </w:trPr>
        <w:tc>
          <w:tcPr>
            <w:tcW w:w="855" w:type="dxa"/>
            <w:shd w:val="clear" w:color="auto" w:fill="auto"/>
            <w:vAlign w:val="center"/>
            <w:hideMark/>
          </w:tcPr>
          <w:p w14:paraId="5B54B217"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1.2.</w:t>
            </w:r>
          </w:p>
        </w:tc>
        <w:tc>
          <w:tcPr>
            <w:tcW w:w="778" w:type="dxa"/>
            <w:shd w:val="clear" w:color="auto" w:fill="auto"/>
            <w:vAlign w:val="center"/>
            <w:hideMark/>
          </w:tcPr>
          <w:p w14:paraId="5B410E06"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k</w:t>
            </w:r>
          </w:p>
        </w:tc>
        <w:tc>
          <w:tcPr>
            <w:tcW w:w="722" w:type="dxa"/>
            <w:shd w:val="clear" w:color="auto" w:fill="auto"/>
            <w:vAlign w:val="center"/>
            <w:hideMark/>
          </w:tcPr>
          <w:p w14:paraId="69C3D02C"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ERAF</w:t>
            </w:r>
          </w:p>
        </w:tc>
        <w:tc>
          <w:tcPr>
            <w:tcW w:w="831" w:type="dxa"/>
            <w:shd w:val="clear" w:color="auto" w:fill="auto"/>
            <w:vAlign w:val="center"/>
            <w:hideMark/>
          </w:tcPr>
          <w:p w14:paraId="18161994"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Mazāk attīstīts</w:t>
            </w:r>
          </w:p>
        </w:tc>
        <w:tc>
          <w:tcPr>
            <w:tcW w:w="1056" w:type="dxa"/>
            <w:shd w:val="clear" w:color="auto" w:fill="auto"/>
            <w:hideMark/>
          </w:tcPr>
          <w:p w14:paraId="22E00454" w14:textId="391F0173"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382 777 461</w:t>
            </w:r>
          </w:p>
        </w:tc>
        <w:tc>
          <w:tcPr>
            <w:tcW w:w="1125" w:type="dxa"/>
            <w:shd w:val="clear" w:color="auto" w:fill="auto"/>
            <w:hideMark/>
          </w:tcPr>
          <w:p w14:paraId="7A706CFF" w14:textId="68396996" w:rsidR="007A7964" w:rsidRPr="007A7964" w:rsidRDefault="007A7964" w:rsidP="007A7964">
            <w:pPr>
              <w:spacing w:before="0" w:after="0"/>
              <w:jc w:val="right"/>
              <w:rPr>
                <w:rFonts w:eastAsia="Times New Roman"/>
                <w:sz w:val="14"/>
                <w:szCs w:val="14"/>
                <w:lang w:eastAsia="en-GB" w:bidi="ne-NP"/>
              </w:rPr>
            </w:pPr>
            <w:r w:rsidRPr="007A7964">
              <w:rPr>
                <w:sz w:val="14"/>
                <w:szCs w:val="14"/>
              </w:rPr>
              <w:t>312 126 311</w:t>
            </w:r>
          </w:p>
        </w:tc>
        <w:tc>
          <w:tcPr>
            <w:tcW w:w="1125" w:type="dxa"/>
            <w:shd w:val="clear" w:color="auto" w:fill="auto"/>
            <w:hideMark/>
          </w:tcPr>
          <w:p w14:paraId="461260EE" w14:textId="466C679E" w:rsidR="007A7964" w:rsidRPr="007A7964" w:rsidRDefault="007A7964" w:rsidP="007A7964">
            <w:pPr>
              <w:spacing w:before="0" w:after="0"/>
              <w:jc w:val="right"/>
              <w:rPr>
                <w:rFonts w:eastAsia="Times New Roman"/>
                <w:sz w:val="14"/>
                <w:szCs w:val="14"/>
                <w:lang w:eastAsia="en-GB" w:bidi="ne-NP"/>
              </w:rPr>
            </w:pPr>
            <w:r w:rsidRPr="007A7964">
              <w:rPr>
                <w:sz w:val="14"/>
                <w:szCs w:val="14"/>
              </w:rPr>
              <w:t>11 320 643</w:t>
            </w:r>
          </w:p>
        </w:tc>
        <w:tc>
          <w:tcPr>
            <w:tcW w:w="1142" w:type="dxa"/>
            <w:shd w:val="clear" w:color="auto" w:fill="auto"/>
            <w:hideMark/>
          </w:tcPr>
          <w:p w14:paraId="4A1D72B0" w14:textId="0E566DCD" w:rsidR="007A7964" w:rsidRPr="007A7964" w:rsidRDefault="007A7964" w:rsidP="007A7964">
            <w:pPr>
              <w:spacing w:before="0" w:after="0"/>
              <w:jc w:val="right"/>
              <w:rPr>
                <w:rFonts w:eastAsia="Times New Roman"/>
                <w:sz w:val="14"/>
                <w:szCs w:val="14"/>
                <w:lang w:eastAsia="en-GB" w:bidi="ne-NP"/>
              </w:rPr>
            </w:pPr>
            <w:r w:rsidRPr="007A7964">
              <w:rPr>
                <w:sz w:val="14"/>
                <w:szCs w:val="14"/>
              </w:rPr>
              <w:t>57 253 939</w:t>
            </w:r>
          </w:p>
        </w:tc>
        <w:tc>
          <w:tcPr>
            <w:tcW w:w="1008" w:type="dxa"/>
            <w:shd w:val="clear" w:color="auto" w:fill="auto"/>
            <w:hideMark/>
          </w:tcPr>
          <w:p w14:paraId="66C596D0" w14:textId="5291C8E4" w:rsidR="007A7964" w:rsidRPr="007A7964" w:rsidRDefault="007A7964" w:rsidP="007A7964">
            <w:pPr>
              <w:spacing w:before="0" w:after="0"/>
              <w:jc w:val="right"/>
              <w:rPr>
                <w:rFonts w:eastAsia="Times New Roman"/>
                <w:sz w:val="14"/>
                <w:szCs w:val="14"/>
                <w:lang w:eastAsia="en-GB" w:bidi="ne-NP"/>
              </w:rPr>
            </w:pPr>
            <w:r w:rsidRPr="007A7964">
              <w:rPr>
                <w:sz w:val="14"/>
                <w:szCs w:val="14"/>
              </w:rPr>
              <w:t>2 076 568</w:t>
            </w:r>
          </w:p>
        </w:tc>
        <w:tc>
          <w:tcPr>
            <w:tcW w:w="1134" w:type="dxa"/>
            <w:shd w:val="clear" w:color="auto" w:fill="auto"/>
            <w:noWrap/>
            <w:hideMark/>
          </w:tcPr>
          <w:p w14:paraId="45379157" w14:textId="2615C995"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67 548 964</w:t>
            </w:r>
          </w:p>
        </w:tc>
        <w:tc>
          <w:tcPr>
            <w:tcW w:w="1276" w:type="dxa"/>
            <w:shd w:val="clear" w:color="000000" w:fill="FFFFFF"/>
            <w:hideMark/>
          </w:tcPr>
          <w:p w14:paraId="7FCF8008" w14:textId="22A2EBB7"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33 774 482</w:t>
            </w:r>
          </w:p>
        </w:tc>
        <w:tc>
          <w:tcPr>
            <w:tcW w:w="1134" w:type="dxa"/>
            <w:shd w:val="clear" w:color="000000" w:fill="FFFFFF"/>
            <w:hideMark/>
          </w:tcPr>
          <w:p w14:paraId="566FB368" w14:textId="4120911E"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33 774 482</w:t>
            </w:r>
          </w:p>
        </w:tc>
        <w:tc>
          <w:tcPr>
            <w:tcW w:w="1276" w:type="dxa"/>
            <w:shd w:val="clear" w:color="000000" w:fill="FFFFFF"/>
            <w:noWrap/>
            <w:hideMark/>
          </w:tcPr>
          <w:p w14:paraId="16428A67" w14:textId="5F503EE7"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450 326 425</w:t>
            </w:r>
          </w:p>
        </w:tc>
        <w:tc>
          <w:tcPr>
            <w:tcW w:w="992" w:type="dxa"/>
            <w:shd w:val="clear" w:color="auto" w:fill="auto"/>
            <w:noWrap/>
            <w:hideMark/>
          </w:tcPr>
          <w:p w14:paraId="11C4614B" w14:textId="5C7CD149" w:rsidR="007A7964" w:rsidRPr="007A7964" w:rsidRDefault="007A7964" w:rsidP="007A7964">
            <w:pPr>
              <w:spacing w:before="0" w:after="0"/>
              <w:jc w:val="center"/>
              <w:rPr>
                <w:rFonts w:eastAsia="Times New Roman"/>
                <w:color w:val="000000"/>
                <w:sz w:val="14"/>
                <w:szCs w:val="14"/>
                <w:lang w:eastAsia="en-GB" w:bidi="ne-NP"/>
              </w:rPr>
            </w:pPr>
            <w:r w:rsidRPr="007A7964">
              <w:rPr>
                <w:sz w:val="14"/>
                <w:szCs w:val="14"/>
              </w:rPr>
              <w:t>0,85</w:t>
            </w:r>
          </w:p>
        </w:tc>
      </w:tr>
      <w:tr w:rsidR="007A7964" w:rsidRPr="007A7964" w14:paraId="7EDCCA1D" w14:textId="77777777" w:rsidTr="003155B0">
        <w:trPr>
          <w:trHeight w:val="315"/>
        </w:trPr>
        <w:tc>
          <w:tcPr>
            <w:tcW w:w="855" w:type="dxa"/>
            <w:shd w:val="clear" w:color="auto" w:fill="auto"/>
            <w:vAlign w:val="center"/>
            <w:hideMark/>
          </w:tcPr>
          <w:p w14:paraId="51E57A3C"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1.3.</w:t>
            </w:r>
          </w:p>
        </w:tc>
        <w:tc>
          <w:tcPr>
            <w:tcW w:w="778" w:type="dxa"/>
            <w:shd w:val="clear" w:color="auto" w:fill="auto"/>
            <w:vAlign w:val="center"/>
            <w:hideMark/>
          </w:tcPr>
          <w:p w14:paraId="6B8F38EB"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k</w:t>
            </w:r>
          </w:p>
        </w:tc>
        <w:tc>
          <w:tcPr>
            <w:tcW w:w="722" w:type="dxa"/>
            <w:shd w:val="clear" w:color="auto" w:fill="auto"/>
            <w:vAlign w:val="center"/>
            <w:hideMark/>
          </w:tcPr>
          <w:p w14:paraId="70878980"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ERAF</w:t>
            </w:r>
          </w:p>
        </w:tc>
        <w:tc>
          <w:tcPr>
            <w:tcW w:w="831" w:type="dxa"/>
            <w:shd w:val="clear" w:color="auto" w:fill="auto"/>
            <w:vAlign w:val="center"/>
            <w:hideMark/>
          </w:tcPr>
          <w:p w14:paraId="1AB2F6B4"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Mazāk attīstīts</w:t>
            </w:r>
          </w:p>
        </w:tc>
        <w:tc>
          <w:tcPr>
            <w:tcW w:w="1056" w:type="dxa"/>
            <w:shd w:val="clear" w:color="auto" w:fill="auto"/>
            <w:hideMark/>
          </w:tcPr>
          <w:p w14:paraId="5EAF0CF6" w14:textId="307AB9E7"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157 536 260</w:t>
            </w:r>
          </w:p>
        </w:tc>
        <w:tc>
          <w:tcPr>
            <w:tcW w:w="1125" w:type="dxa"/>
            <w:shd w:val="clear" w:color="auto" w:fill="auto"/>
            <w:hideMark/>
          </w:tcPr>
          <w:p w14:paraId="699F901D" w14:textId="3689FC9A" w:rsidR="007A7964" w:rsidRPr="007A7964" w:rsidRDefault="007A7964" w:rsidP="007A7964">
            <w:pPr>
              <w:spacing w:before="0" w:after="0"/>
              <w:jc w:val="right"/>
              <w:rPr>
                <w:rFonts w:eastAsia="Times New Roman"/>
                <w:sz w:val="14"/>
                <w:szCs w:val="14"/>
                <w:lang w:eastAsia="en-GB" w:bidi="ne-NP"/>
              </w:rPr>
            </w:pPr>
            <w:r w:rsidRPr="007A7964">
              <w:rPr>
                <w:sz w:val="14"/>
                <w:szCs w:val="14"/>
              </w:rPr>
              <w:t>128 459 005</w:t>
            </w:r>
          </w:p>
        </w:tc>
        <w:tc>
          <w:tcPr>
            <w:tcW w:w="1125" w:type="dxa"/>
            <w:shd w:val="clear" w:color="auto" w:fill="auto"/>
            <w:hideMark/>
          </w:tcPr>
          <w:p w14:paraId="2968A7B1" w14:textId="7FA0FE85" w:rsidR="007A7964" w:rsidRPr="007A7964" w:rsidRDefault="007A7964" w:rsidP="007A7964">
            <w:pPr>
              <w:spacing w:before="0" w:after="0"/>
              <w:jc w:val="right"/>
              <w:rPr>
                <w:rFonts w:eastAsia="Times New Roman"/>
                <w:sz w:val="14"/>
                <w:szCs w:val="14"/>
                <w:lang w:eastAsia="en-GB" w:bidi="ne-NP"/>
              </w:rPr>
            </w:pPr>
            <w:r w:rsidRPr="007A7964">
              <w:rPr>
                <w:sz w:val="14"/>
                <w:szCs w:val="14"/>
              </w:rPr>
              <w:t>4 659 135</w:t>
            </w:r>
          </w:p>
        </w:tc>
        <w:tc>
          <w:tcPr>
            <w:tcW w:w="1142" w:type="dxa"/>
            <w:shd w:val="clear" w:color="auto" w:fill="auto"/>
            <w:hideMark/>
          </w:tcPr>
          <w:p w14:paraId="2EF5EE25" w14:textId="6A1F7DAB" w:rsidR="007A7964" w:rsidRPr="007A7964" w:rsidRDefault="007A7964" w:rsidP="007A7964">
            <w:pPr>
              <w:spacing w:before="0" w:after="0"/>
              <w:jc w:val="right"/>
              <w:rPr>
                <w:rFonts w:eastAsia="Times New Roman"/>
                <w:sz w:val="14"/>
                <w:szCs w:val="14"/>
                <w:lang w:eastAsia="en-GB" w:bidi="ne-NP"/>
              </w:rPr>
            </w:pPr>
            <w:r w:rsidRPr="007A7964">
              <w:rPr>
                <w:sz w:val="14"/>
                <w:szCs w:val="14"/>
              </w:rPr>
              <w:t>23 563 486</w:t>
            </w:r>
          </w:p>
        </w:tc>
        <w:tc>
          <w:tcPr>
            <w:tcW w:w="1008" w:type="dxa"/>
            <w:shd w:val="clear" w:color="auto" w:fill="auto"/>
            <w:hideMark/>
          </w:tcPr>
          <w:p w14:paraId="2BBDC7CD" w14:textId="05AA8BF2" w:rsidR="007A7964" w:rsidRPr="007A7964" w:rsidRDefault="007A7964" w:rsidP="007A7964">
            <w:pPr>
              <w:spacing w:before="0" w:after="0"/>
              <w:jc w:val="right"/>
              <w:rPr>
                <w:rFonts w:eastAsia="Times New Roman"/>
                <w:sz w:val="14"/>
                <w:szCs w:val="14"/>
                <w:lang w:eastAsia="en-GB" w:bidi="ne-NP"/>
              </w:rPr>
            </w:pPr>
            <w:r w:rsidRPr="007A7964">
              <w:rPr>
                <w:sz w:val="14"/>
                <w:szCs w:val="14"/>
              </w:rPr>
              <w:t>854 634</w:t>
            </w:r>
          </w:p>
        </w:tc>
        <w:tc>
          <w:tcPr>
            <w:tcW w:w="1134" w:type="dxa"/>
            <w:shd w:val="clear" w:color="auto" w:fill="auto"/>
            <w:noWrap/>
            <w:hideMark/>
          </w:tcPr>
          <w:p w14:paraId="2AA6CC74" w14:textId="500A5807"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27 800 516</w:t>
            </w:r>
          </w:p>
        </w:tc>
        <w:tc>
          <w:tcPr>
            <w:tcW w:w="1276" w:type="dxa"/>
            <w:shd w:val="clear" w:color="000000" w:fill="FFFFFF"/>
            <w:hideMark/>
          </w:tcPr>
          <w:p w14:paraId="5BFE54D5" w14:textId="22466892"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13 900 258</w:t>
            </w:r>
          </w:p>
        </w:tc>
        <w:tc>
          <w:tcPr>
            <w:tcW w:w="1134" w:type="dxa"/>
            <w:shd w:val="clear" w:color="000000" w:fill="FFFFFF"/>
            <w:hideMark/>
          </w:tcPr>
          <w:p w14:paraId="47094F49" w14:textId="1514017D"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13 900 258</w:t>
            </w:r>
          </w:p>
        </w:tc>
        <w:tc>
          <w:tcPr>
            <w:tcW w:w="1276" w:type="dxa"/>
            <w:shd w:val="clear" w:color="000000" w:fill="FFFFFF"/>
            <w:noWrap/>
            <w:hideMark/>
          </w:tcPr>
          <w:p w14:paraId="4B33908A" w14:textId="338A47AC"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185 336 776</w:t>
            </w:r>
          </w:p>
        </w:tc>
        <w:tc>
          <w:tcPr>
            <w:tcW w:w="992" w:type="dxa"/>
            <w:shd w:val="clear" w:color="auto" w:fill="auto"/>
            <w:noWrap/>
            <w:hideMark/>
          </w:tcPr>
          <w:p w14:paraId="143CE2FD" w14:textId="37C1E4A6" w:rsidR="007A7964" w:rsidRPr="007A7964" w:rsidRDefault="007A7964" w:rsidP="007A7964">
            <w:pPr>
              <w:spacing w:before="0" w:after="0"/>
              <w:jc w:val="center"/>
              <w:rPr>
                <w:rFonts w:eastAsia="Times New Roman"/>
                <w:color w:val="000000"/>
                <w:sz w:val="14"/>
                <w:szCs w:val="14"/>
                <w:lang w:eastAsia="en-GB" w:bidi="ne-NP"/>
              </w:rPr>
            </w:pPr>
            <w:r w:rsidRPr="007A7964">
              <w:rPr>
                <w:sz w:val="14"/>
                <w:szCs w:val="14"/>
              </w:rPr>
              <w:t>0,85</w:t>
            </w:r>
          </w:p>
        </w:tc>
      </w:tr>
      <w:tr w:rsidR="007A7964" w:rsidRPr="007A7964" w14:paraId="009FD6F5" w14:textId="77777777" w:rsidTr="003155B0">
        <w:trPr>
          <w:trHeight w:val="315"/>
        </w:trPr>
        <w:tc>
          <w:tcPr>
            <w:tcW w:w="855" w:type="dxa"/>
            <w:shd w:val="clear" w:color="auto" w:fill="auto"/>
            <w:vAlign w:val="center"/>
            <w:hideMark/>
          </w:tcPr>
          <w:p w14:paraId="7742C24D"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1.4.</w:t>
            </w:r>
          </w:p>
        </w:tc>
        <w:tc>
          <w:tcPr>
            <w:tcW w:w="778" w:type="dxa"/>
            <w:shd w:val="clear" w:color="auto" w:fill="auto"/>
            <w:vAlign w:val="center"/>
            <w:hideMark/>
          </w:tcPr>
          <w:p w14:paraId="57250945"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k</w:t>
            </w:r>
          </w:p>
        </w:tc>
        <w:tc>
          <w:tcPr>
            <w:tcW w:w="722" w:type="dxa"/>
            <w:shd w:val="clear" w:color="auto" w:fill="auto"/>
            <w:vAlign w:val="center"/>
            <w:hideMark/>
          </w:tcPr>
          <w:p w14:paraId="42E17B4D"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ERAF</w:t>
            </w:r>
          </w:p>
        </w:tc>
        <w:tc>
          <w:tcPr>
            <w:tcW w:w="831" w:type="dxa"/>
            <w:shd w:val="clear" w:color="auto" w:fill="auto"/>
            <w:vAlign w:val="center"/>
            <w:hideMark/>
          </w:tcPr>
          <w:p w14:paraId="5F440DA4"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Mazāk attīstīts</w:t>
            </w:r>
          </w:p>
        </w:tc>
        <w:tc>
          <w:tcPr>
            <w:tcW w:w="1056" w:type="dxa"/>
            <w:shd w:val="clear" w:color="auto" w:fill="auto"/>
            <w:hideMark/>
          </w:tcPr>
          <w:p w14:paraId="50CC3028" w14:textId="187A640F"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34 101 295</w:t>
            </w:r>
          </w:p>
        </w:tc>
        <w:tc>
          <w:tcPr>
            <w:tcW w:w="1125" w:type="dxa"/>
            <w:shd w:val="clear" w:color="auto" w:fill="auto"/>
            <w:hideMark/>
          </w:tcPr>
          <w:p w14:paraId="3F127BAC" w14:textId="57CFDFC2" w:rsidR="007A7964" w:rsidRPr="007A7964" w:rsidRDefault="007A7964" w:rsidP="007A7964">
            <w:pPr>
              <w:spacing w:before="0" w:after="0"/>
              <w:jc w:val="right"/>
              <w:rPr>
                <w:rFonts w:eastAsia="Times New Roman"/>
                <w:sz w:val="14"/>
                <w:szCs w:val="14"/>
                <w:lang w:eastAsia="en-GB" w:bidi="ne-NP"/>
              </w:rPr>
            </w:pPr>
            <w:r w:rsidRPr="007A7964">
              <w:rPr>
                <w:sz w:val="14"/>
                <w:szCs w:val="14"/>
              </w:rPr>
              <w:t>27 807 049</w:t>
            </w:r>
          </w:p>
        </w:tc>
        <w:tc>
          <w:tcPr>
            <w:tcW w:w="1125" w:type="dxa"/>
            <w:shd w:val="clear" w:color="auto" w:fill="auto"/>
            <w:hideMark/>
          </w:tcPr>
          <w:p w14:paraId="431F4E0D" w14:textId="00FD7C85" w:rsidR="007A7964" w:rsidRPr="007A7964" w:rsidRDefault="007A7964" w:rsidP="007A7964">
            <w:pPr>
              <w:spacing w:before="0" w:after="0"/>
              <w:jc w:val="right"/>
              <w:rPr>
                <w:rFonts w:eastAsia="Times New Roman"/>
                <w:sz w:val="14"/>
                <w:szCs w:val="14"/>
                <w:lang w:eastAsia="en-GB" w:bidi="ne-NP"/>
              </w:rPr>
            </w:pPr>
            <w:r w:rsidRPr="007A7964">
              <w:rPr>
                <w:sz w:val="14"/>
                <w:szCs w:val="14"/>
              </w:rPr>
              <w:t>1 008 546</w:t>
            </w:r>
          </w:p>
        </w:tc>
        <w:tc>
          <w:tcPr>
            <w:tcW w:w="1142" w:type="dxa"/>
            <w:shd w:val="clear" w:color="auto" w:fill="auto"/>
            <w:hideMark/>
          </w:tcPr>
          <w:p w14:paraId="23021706" w14:textId="3C44C484" w:rsidR="007A7964" w:rsidRPr="007A7964" w:rsidRDefault="007A7964" w:rsidP="007A7964">
            <w:pPr>
              <w:spacing w:before="0" w:after="0"/>
              <w:jc w:val="right"/>
              <w:rPr>
                <w:rFonts w:eastAsia="Times New Roman"/>
                <w:sz w:val="14"/>
                <w:szCs w:val="14"/>
                <w:lang w:eastAsia="en-GB" w:bidi="ne-NP"/>
              </w:rPr>
            </w:pPr>
            <w:r w:rsidRPr="007A7964">
              <w:rPr>
                <w:sz w:val="14"/>
                <w:szCs w:val="14"/>
              </w:rPr>
              <w:t>5 100 701</w:t>
            </w:r>
          </w:p>
        </w:tc>
        <w:tc>
          <w:tcPr>
            <w:tcW w:w="1008" w:type="dxa"/>
            <w:shd w:val="clear" w:color="auto" w:fill="auto"/>
            <w:hideMark/>
          </w:tcPr>
          <w:p w14:paraId="223A13E7" w14:textId="20994E94" w:rsidR="007A7964" w:rsidRPr="007A7964" w:rsidRDefault="007A7964" w:rsidP="007A7964">
            <w:pPr>
              <w:spacing w:before="0" w:after="0"/>
              <w:jc w:val="right"/>
              <w:rPr>
                <w:rFonts w:eastAsia="Times New Roman"/>
                <w:sz w:val="14"/>
                <w:szCs w:val="14"/>
                <w:lang w:eastAsia="en-GB" w:bidi="ne-NP"/>
              </w:rPr>
            </w:pPr>
            <w:r w:rsidRPr="007A7964">
              <w:rPr>
                <w:sz w:val="14"/>
                <w:szCs w:val="14"/>
              </w:rPr>
              <w:t>185 000</w:t>
            </w:r>
          </w:p>
        </w:tc>
        <w:tc>
          <w:tcPr>
            <w:tcW w:w="1134" w:type="dxa"/>
            <w:shd w:val="clear" w:color="auto" w:fill="auto"/>
            <w:noWrap/>
            <w:hideMark/>
          </w:tcPr>
          <w:p w14:paraId="291A4CC7" w14:textId="1D725351"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6 017 876</w:t>
            </w:r>
          </w:p>
        </w:tc>
        <w:tc>
          <w:tcPr>
            <w:tcW w:w="1276" w:type="dxa"/>
            <w:shd w:val="clear" w:color="000000" w:fill="FFFFFF"/>
            <w:hideMark/>
          </w:tcPr>
          <w:p w14:paraId="7100292F" w14:textId="1A6A25E6"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3 008 938</w:t>
            </w:r>
          </w:p>
        </w:tc>
        <w:tc>
          <w:tcPr>
            <w:tcW w:w="1134" w:type="dxa"/>
            <w:shd w:val="clear" w:color="000000" w:fill="FFFFFF"/>
            <w:hideMark/>
          </w:tcPr>
          <w:p w14:paraId="2E38E770" w14:textId="30887899"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3 008 938</w:t>
            </w:r>
          </w:p>
        </w:tc>
        <w:tc>
          <w:tcPr>
            <w:tcW w:w="1276" w:type="dxa"/>
            <w:shd w:val="clear" w:color="000000" w:fill="FFFFFF"/>
            <w:noWrap/>
            <w:hideMark/>
          </w:tcPr>
          <w:p w14:paraId="581374CD" w14:textId="285F1B30"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40 119 171</w:t>
            </w:r>
          </w:p>
        </w:tc>
        <w:tc>
          <w:tcPr>
            <w:tcW w:w="992" w:type="dxa"/>
            <w:shd w:val="clear" w:color="auto" w:fill="auto"/>
            <w:noWrap/>
            <w:hideMark/>
          </w:tcPr>
          <w:p w14:paraId="7D74B064" w14:textId="75BFD3F3" w:rsidR="007A7964" w:rsidRPr="007A7964" w:rsidRDefault="007A7964" w:rsidP="007A7964">
            <w:pPr>
              <w:spacing w:before="0" w:after="0"/>
              <w:jc w:val="center"/>
              <w:rPr>
                <w:rFonts w:eastAsia="Times New Roman"/>
                <w:color w:val="000000"/>
                <w:sz w:val="14"/>
                <w:szCs w:val="14"/>
                <w:lang w:eastAsia="en-GB" w:bidi="ne-NP"/>
              </w:rPr>
            </w:pPr>
            <w:r w:rsidRPr="007A7964">
              <w:rPr>
                <w:sz w:val="14"/>
                <w:szCs w:val="14"/>
              </w:rPr>
              <w:t>0,85</w:t>
            </w:r>
          </w:p>
        </w:tc>
      </w:tr>
      <w:tr w:rsidR="007A7964" w:rsidRPr="007A7964" w14:paraId="0FED6375" w14:textId="77777777" w:rsidTr="003155B0">
        <w:trPr>
          <w:trHeight w:val="315"/>
        </w:trPr>
        <w:tc>
          <w:tcPr>
            <w:tcW w:w="855" w:type="dxa"/>
            <w:shd w:val="clear" w:color="000000" w:fill="D9D9D9"/>
            <w:vAlign w:val="center"/>
            <w:hideMark/>
          </w:tcPr>
          <w:p w14:paraId="0F061467" w14:textId="77777777" w:rsidR="007A7964" w:rsidRPr="007A7964" w:rsidRDefault="007A7964" w:rsidP="007A7964">
            <w:pPr>
              <w:spacing w:before="0" w:after="0"/>
              <w:rPr>
                <w:rFonts w:eastAsia="Times New Roman"/>
                <w:b/>
                <w:bCs/>
                <w:color w:val="000000"/>
                <w:sz w:val="14"/>
                <w:szCs w:val="14"/>
                <w:lang w:eastAsia="en-GB" w:bidi="ne-NP"/>
              </w:rPr>
            </w:pPr>
            <w:r w:rsidRPr="007A7964">
              <w:rPr>
                <w:rFonts w:eastAsia="Times New Roman"/>
                <w:b/>
                <w:bCs/>
                <w:color w:val="000000"/>
                <w:sz w:val="14"/>
                <w:szCs w:val="14"/>
                <w:lang w:eastAsia="en-GB" w:bidi="ne-NP"/>
              </w:rPr>
              <w:t>kopā</w:t>
            </w:r>
          </w:p>
        </w:tc>
        <w:tc>
          <w:tcPr>
            <w:tcW w:w="778" w:type="dxa"/>
            <w:shd w:val="clear" w:color="000000" w:fill="D9D9D9"/>
            <w:vAlign w:val="center"/>
            <w:hideMark/>
          </w:tcPr>
          <w:p w14:paraId="77496B03" w14:textId="77777777" w:rsidR="007A7964" w:rsidRPr="007A7964" w:rsidRDefault="007A7964" w:rsidP="007A7964">
            <w:pPr>
              <w:spacing w:before="0" w:after="0"/>
              <w:rPr>
                <w:rFonts w:eastAsia="Times New Roman"/>
                <w:b/>
                <w:bCs/>
                <w:color w:val="000000"/>
                <w:sz w:val="14"/>
                <w:szCs w:val="14"/>
                <w:lang w:eastAsia="en-GB" w:bidi="ne-NP"/>
              </w:rPr>
            </w:pPr>
            <w:r w:rsidRPr="007A7964">
              <w:rPr>
                <w:rFonts w:eastAsia="Times New Roman"/>
                <w:b/>
                <w:bCs/>
                <w:color w:val="000000"/>
                <w:sz w:val="14"/>
                <w:szCs w:val="14"/>
                <w:lang w:eastAsia="en-GB" w:bidi="ne-NP"/>
              </w:rPr>
              <w:t>k</w:t>
            </w:r>
          </w:p>
        </w:tc>
        <w:tc>
          <w:tcPr>
            <w:tcW w:w="722" w:type="dxa"/>
            <w:shd w:val="clear" w:color="000000" w:fill="D9D9D9"/>
            <w:vAlign w:val="center"/>
            <w:hideMark/>
          </w:tcPr>
          <w:p w14:paraId="569B5540" w14:textId="77777777" w:rsidR="007A7964" w:rsidRPr="007A7964" w:rsidRDefault="007A7964" w:rsidP="007A7964">
            <w:pPr>
              <w:spacing w:before="0" w:after="0"/>
              <w:rPr>
                <w:rFonts w:eastAsia="Times New Roman"/>
                <w:b/>
                <w:bCs/>
                <w:color w:val="000000"/>
                <w:sz w:val="14"/>
                <w:szCs w:val="14"/>
                <w:lang w:eastAsia="en-GB" w:bidi="ne-NP"/>
              </w:rPr>
            </w:pPr>
            <w:r w:rsidRPr="007A7964">
              <w:rPr>
                <w:rFonts w:eastAsia="Times New Roman"/>
                <w:b/>
                <w:bCs/>
                <w:color w:val="000000"/>
                <w:sz w:val="14"/>
                <w:szCs w:val="14"/>
                <w:lang w:eastAsia="en-GB" w:bidi="ne-NP"/>
              </w:rPr>
              <w:t>ERAF</w:t>
            </w:r>
          </w:p>
        </w:tc>
        <w:tc>
          <w:tcPr>
            <w:tcW w:w="831" w:type="dxa"/>
            <w:shd w:val="clear" w:color="000000" w:fill="D9D9D9"/>
            <w:vAlign w:val="center"/>
            <w:hideMark/>
          </w:tcPr>
          <w:p w14:paraId="202263ED" w14:textId="77777777" w:rsidR="007A7964" w:rsidRPr="007A7964" w:rsidRDefault="007A7964" w:rsidP="007A7964">
            <w:pPr>
              <w:spacing w:before="0" w:after="0"/>
              <w:rPr>
                <w:rFonts w:eastAsia="Times New Roman"/>
                <w:b/>
                <w:bCs/>
                <w:color w:val="000000"/>
                <w:sz w:val="14"/>
                <w:szCs w:val="14"/>
                <w:lang w:eastAsia="en-GB" w:bidi="ne-NP"/>
              </w:rPr>
            </w:pPr>
            <w:r w:rsidRPr="007A7964">
              <w:rPr>
                <w:rFonts w:eastAsia="Times New Roman"/>
                <w:b/>
                <w:bCs/>
                <w:color w:val="000000"/>
                <w:sz w:val="14"/>
                <w:szCs w:val="14"/>
                <w:lang w:eastAsia="en-GB" w:bidi="ne-NP"/>
              </w:rPr>
              <w:t>Mazāk attīstīts</w:t>
            </w:r>
          </w:p>
        </w:tc>
        <w:tc>
          <w:tcPr>
            <w:tcW w:w="1056" w:type="dxa"/>
            <w:shd w:val="clear" w:color="000000" w:fill="D9D9D9"/>
            <w:hideMark/>
          </w:tcPr>
          <w:p w14:paraId="62602F3F" w14:textId="395C8E73"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802 733 608</w:t>
            </w:r>
          </w:p>
        </w:tc>
        <w:tc>
          <w:tcPr>
            <w:tcW w:w="1125" w:type="dxa"/>
            <w:shd w:val="clear" w:color="000000" w:fill="D9D9D9"/>
            <w:hideMark/>
          </w:tcPr>
          <w:p w14:paraId="14E25E50" w14:textId="38EBC986"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654 569 053</w:t>
            </w:r>
          </w:p>
        </w:tc>
        <w:tc>
          <w:tcPr>
            <w:tcW w:w="1125" w:type="dxa"/>
            <w:shd w:val="clear" w:color="000000" w:fill="D9D9D9"/>
            <w:hideMark/>
          </w:tcPr>
          <w:p w14:paraId="4B48CE4C" w14:textId="1569C18F"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23 740 846</w:t>
            </w:r>
          </w:p>
        </w:tc>
        <w:tc>
          <w:tcPr>
            <w:tcW w:w="1142" w:type="dxa"/>
            <w:shd w:val="clear" w:color="000000" w:fill="D9D9D9"/>
            <w:hideMark/>
          </w:tcPr>
          <w:p w14:paraId="431F0C08" w14:textId="6CAC0DB6"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120 068 879</w:t>
            </w:r>
          </w:p>
        </w:tc>
        <w:tc>
          <w:tcPr>
            <w:tcW w:w="1008" w:type="dxa"/>
            <w:shd w:val="clear" w:color="000000" w:fill="D9D9D9"/>
            <w:hideMark/>
          </w:tcPr>
          <w:p w14:paraId="191D6141" w14:textId="7D860D47"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4 354 830</w:t>
            </w:r>
          </w:p>
        </w:tc>
        <w:tc>
          <w:tcPr>
            <w:tcW w:w="1134" w:type="dxa"/>
            <w:shd w:val="clear" w:color="000000" w:fill="D9D9D9"/>
            <w:hideMark/>
          </w:tcPr>
          <w:p w14:paraId="1728C5FE" w14:textId="2A78FAFB"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141 658 872</w:t>
            </w:r>
          </w:p>
        </w:tc>
        <w:tc>
          <w:tcPr>
            <w:tcW w:w="1276" w:type="dxa"/>
            <w:shd w:val="clear" w:color="000000" w:fill="D9D9D9"/>
            <w:hideMark/>
          </w:tcPr>
          <w:p w14:paraId="124070C7" w14:textId="247997F5"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70 829 436</w:t>
            </w:r>
          </w:p>
        </w:tc>
        <w:tc>
          <w:tcPr>
            <w:tcW w:w="1134" w:type="dxa"/>
            <w:shd w:val="clear" w:color="000000" w:fill="D9D9D9"/>
            <w:hideMark/>
          </w:tcPr>
          <w:p w14:paraId="4D332B0E" w14:textId="633A0BEC"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70 829 436</w:t>
            </w:r>
          </w:p>
        </w:tc>
        <w:tc>
          <w:tcPr>
            <w:tcW w:w="1276" w:type="dxa"/>
            <w:shd w:val="clear" w:color="000000" w:fill="D9D9D9"/>
            <w:hideMark/>
          </w:tcPr>
          <w:p w14:paraId="3F078ABB" w14:textId="1E3FD785"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944 392 480</w:t>
            </w:r>
          </w:p>
        </w:tc>
        <w:tc>
          <w:tcPr>
            <w:tcW w:w="992" w:type="dxa"/>
            <w:shd w:val="clear" w:color="000000" w:fill="D9D9D9"/>
            <w:noWrap/>
            <w:hideMark/>
          </w:tcPr>
          <w:p w14:paraId="1F620F30" w14:textId="1D3E95F3" w:rsidR="007A7964" w:rsidRPr="007A7964" w:rsidRDefault="007A7964" w:rsidP="007A7964">
            <w:pPr>
              <w:spacing w:before="0" w:after="0"/>
              <w:jc w:val="center"/>
              <w:rPr>
                <w:rFonts w:eastAsia="Times New Roman"/>
                <w:b/>
                <w:bCs/>
                <w:color w:val="000000"/>
                <w:sz w:val="14"/>
                <w:szCs w:val="14"/>
                <w:lang w:eastAsia="en-GB" w:bidi="ne-NP"/>
              </w:rPr>
            </w:pPr>
            <w:r w:rsidRPr="007A7964">
              <w:rPr>
                <w:sz w:val="14"/>
                <w:szCs w:val="14"/>
              </w:rPr>
              <w:t>0,85</w:t>
            </w:r>
          </w:p>
        </w:tc>
      </w:tr>
      <w:tr w:rsidR="007A7964" w:rsidRPr="007A7964" w14:paraId="53676F24" w14:textId="77777777" w:rsidTr="003155B0">
        <w:trPr>
          <w:trHeight w:val="315"/>
        </w:trPr>
        <w:tc>
          <w:tcPr>
            <w:tcW w:w="855" w:type="dxa"/>
            <w:shd w:val="clear" w:color="000000" w:fill="D9D9D9"/>
            <w:vAlign w:val="center"/>
            <w:hideMark/>
          </w:tcPr>
          <w:p w14:paraId="210D29C4" w14:textId="77777777" w:rsidR="007A7964" w:rsidRPr="007A7964" w:rsidRDefault="007A7964" w:rsidP="007A7964">
            <w:pPr>
              <w:spacing w:before="0" w:after="0"/>
              <w:rPr>
                <w:rFonts w:eastAsia="Times New Roman"/>
                <w:b/>
                <w:bCs/>
                <w:color w:val="000000"/>
                <w:sz w:val="14"/>
                <w:szCs w:val="14"/>
                <w:lang w:eastAsia="en-GB" w:bidi="ne-NP"/>
              </w:rPr>
            </w:pPr>
            <w:r w:rsidRPr="007A7964">
              <w:rPr>
                <w:rFonts w:eastAsia="Times New Roman"/>
                <w:b/>
                <w:bCs/>
                <w:color w:val="000000"/>
                <w:sz w:val="14"/>
                <w:szCs w:val="14"/>
                <w:lang w:eastAsia="en-GB" w:bidi="ne-NP"/>
              </w:rPr>
              <w:t>kopā</w:t>
            </w:r>
          </w:p>
        </w:tc>
        <w:tc>
          <w:tcPr>
            <w:tcW w:w="778" w:type="dxa"/>
            <w:shd w:val="clear" w:color="000000" w:fill="D9D9D9"/>
            <w:vAlign w:val="center"/>
            <w:hideMark/>
          </w:tcPr>
          <w:p w14:paraId="110808C4" w14:textId="77777777" w:rsidR="007A7964" w:rsidRPr="007A7964" w:rsidRDefault="007A7964" w:rsidP="007A7964">
            <w:pPr>
              <w:spacing w:before="0" w:after="0"/>
              <w:rPr>
                <w:rFonts w:eastAsia="Times New Roman"/>
                <w:b/>
                <w:bCs/>
                <w:color w:val="000000"/>
                <w:sz w:val="14"/>
                <w:szCs w:val="14"/>
                <w:lang w:eastAsia="en-GB" w:bidi="ne-NP"/>
              </w:rPr>
            </w:pPr>
            <w:r w:rsidRPr="007A7964">
              <w:rPr>
                <w:rFonts w:eastAsia="Times New Roman"/>
                <w:b/>
                <w:bCs/>
                <w:color w:val="000000"/>
                <w:sz w:val="14"/>
                <w:szCs w:val="14"/>
                <w:lang w:eastAsia="en-GB" w:bidi="ne-NP"/>
              </w:rPr>
              <w:t>k</w:t>
            </w:r>
          </w:p>
        </w:tc>
        <w:tc>
          <w:tcPr>
            <w:tcW w:w="722" w:type="dxa"/>
            <w:shd w:val="clear" w:color="000000" w:fill="D9D9D9"/>
            <w:vAlign w:val="center"/>
            <w:hideMark/>
          </w:tcPr>
          <w:p w14:paraId="7C450265" w14:textId="77777777" w:rsidR="007A7964" w:rsidRPr="007A7964" w:rsidRDefault="007A7964" w:rsidP="007A7964">
            <w:pPr>
              <w:spacing w:before="0" w:after="0"/>
              <w:rPr>
                <w:rFonts w:eastAsia="Times New Roman"/>
                <w:b/>
                <w:bCs/>
                <w:color w:val="000000"/>
                <w:sz w:val="14"/>
                <w:szCs w:val="14"/>
                <w:lang w:eastAsia="en-GB" w:bidi="ne-NP"/>
              </w:rPr>
            </w:pPr>
            <w:r w:rsidRPr="007A7964">
              <w:rPr>
                <w:rFonts w:eastAsia="Times New Roman"/>
                <w:b/>
                <w:bCs/>
                <w:color w:val="000000"/>
                <w:sz w:val="14"/>
                <w:szCs w:val="14"/>
                <w:lang w:eastAsia="en-GB" w:bidi="ne-NP"/>
              </w:rPr>
              <w:t>KF</w:t>
            </w:r>
          </w:p>
        </w:tc>
        <w:tc>
          <w:tcPr>
            <w:tcW w:w="831" w:type="dxa"/>
            <w:shd w:val="clear" w:color="000000" w:fill="D9D9D9"/>
            <w:vAlign w:val="center"/>
            <w:hideMark/>
          </w:tcPr>
          <w:p w14:paraId="7E79C98F" w14:textId="77777777" w:rsidR="007A7964" w:rsidRPr="007A7964" w:rsidRDefault="007A7964" w:rsidP="007A7964">
            <w:pPr>
              <w:spacing w:before="0" w:after="0"/>
              <w:rPr>
                <w:rFonts w:eastAsia="Times New Roman"/>
                <w:b/>
                <w:bCs/>
                <w:color w:val="000000"/>
                <w:sz w:val="14"/>
                <w:szCs w:val="14"/>
                <w:lang w:eastAsia="en-GB" w:bidi="ne-NP"/>
              </w:rPr>
            </w:pPr>
            <w:r w:rsidRPr="007A7964">
              <w:rPr>
                <w:rFonts w:eastAsia="Times New Roman"/>
                <w:b/>
                <w:bCs/>
                <w:color w:val="000000"/>
                <w:sz w:val="14"/>
                <w:szCs w:val="14"/>
                <w:lang w:eastAsia="en-GB" w:bidi="ne-NP"/>
              </w:rPr>
              <w:t>N/A</w:t>
            </w:r>
          </w:p>
        </w:tc>
        <w:tc>
          <w:tcPr>
            <w:tcW w:w="1056" w:type="dxa"/>
            <w:shd w:val="clear" w:color="000000" w:fill="D9D9D9"/>
            <w:hideMark/>
          </w:tcPr>
          <w:p w14:paraId="2136704E" w14:textId="1CCC3445" w:rsidR="007A7964" w:rsidRPr="007A7964" w:rsidRDefault="007A7964" w:rsidP="007A7964">
            <w:pPr>
              <w:spacing w:before="0" w:after="0"/>
              <w:jc w:val="right"/>
              <w:rPr>
                <w:rFonts w:eastAsia="Times New Roman"/>
                <w:b/>
                <w:bCs/>
                <w:color w:val="000000"/>
                <w:sz w:val="14"/>
                <w:szCs w:val="14"/>
                <w:lang w:eastAsia="en-GB" w:bidi="ne-NP"/>
              </w:rPr>
            </w:pPr>
            <w:r w:rsidRPr="007A7964">
              <w:rPr>
                <w:sz w:val="14"/>
                <w:szCs w:val="14"/>
              </w:rPr>
              <w:t>145 624 615</w:t>
            </w:r>
          </w:p>
        </w:tc>
        <w:tc>
          <w:tcPr>
            <w:tcW w:w="1125" w:type="dxa"/>
            <w:shd w:val="clear" w:color="000000" w:fill="D9D9D9"/>
            <w:hideMark/>
          </w:tcPr>
          <w:p w14:paraId="6B40E985" w14:textId="0944D5B5" w:rsidR="007A7964" w:rsidRPr="007A7964" w:rsidRDefault="007A7964" w:rsidP="007A7964">
            <w:pPr>
              <w:spacing w:before="0" w:after="0"/>
              <w:jc w:val="right"/>
              <w:rPr>
                <w:rFonts w:eastAsia="Times New Roman"/>
                <w:b/>
                <w:bCs/>
                <w:color w:val="000000"/>
                <w:sz w:val="14"/>
                <w:szCs w:val="14"/>
                <w:lang w:eastAsia="en-GB" w:bidi="ne-NP"/>
              </w:rPr>
            </w:pPr>
            <w:r w:rsidRPr="007A7964">
              <w:rPr>
                <w:sz w:val="14"/>
                <w:szCs w:val="14"/>
              </w:rPr>
              <w:t>119 976 480</w:t>
            </w:r>
          </w:p>
        </w:tc>
        <w:tc>
          <w:tcPr>
            <w:tcW w:w="1125" w:type="dxa"/>
            <w:shd w:val="clear" w:color="000000" w:fill="D9D9D9"/>
            <w:hideMark/>
          </w:tcPr>
          <w:p w14:paraId="344B758C" w14:textId="62F82674" w:rsidR="007A7964" w:rsidRPr="007A7964" w:rsidRDefault="007A7964" w:rsidP="007A7964">
            <w:pPr>
              <w:spacing w:before="0" w:after="0"/>
              <w:jc w:val="right"/>
              <w:rPr>
                <w:rFonts w:eastAsia="Times New Roman"/>
                <w:b/>
                <w:bCs/>
                <w:color w:val="000000"/>
                <w:sz w:val="14"/>
                <w:szCs w:val="14"/>
                <w:lang w:eastAsia="en-GB" w:bidi="ne-NP"/>
              </w:rPr>
            </w:pPr>
            <w:r w:rsidRPr="007A7964">
              <w:rPr>
                <w:sz w:val="14"/>
                <w:szCs w:val="14"/>
              </w:rPr>
              <w:t>3 076 320</w:t>
            </w:r>
          </w:p>
        </w:tc>
        <w:tc>
          <w:tcPr>
            <w:tcW w:w="1142" w:type="dxa"/>
            <w:shd w:val="clear" w:color="000000" w:fill="D9D9D9"/>
            <w:hideMark/>
          </w:tcPr>
          <w:p w14:paraId="4DE95ACB" w14:textId="3512F103" w:rsidR="007A7964" w:rsidRPr="007A7964" w:rsidRDefault="007A7964" w:rsidP="007A7964">
            <w:pPr>
              <w:spacing w:before="0" w:after="0"/>
              <w:jc w:val="right"/>
              <w:rPr>
                <w:rFonts w:eastAsia="Times New Roman"/>
                <w:b/>
                <w:bCs/>
                <w:color w:val="000000"/>
                <w:sz w:val="14"/>
                <w:szCs w:val="14"/>
                <w:lang w:eastAsia="en-GB" w:bidi="ne-NP"/>
              </w:rPr>
            </w:pPr>
            <w:r w:rsidRPr="007A7964">
              <w:rPr>
                <w:sz w:val="14"/>
                <w:szCs w:val="14"/>
              </w:rPr>
              <w:t>22 007 520</w:t>
            </w:r>
          </w:p>
        </w:tc>
        <w:tc>
          <w:tcPr>
            <w:tcW w:w="1008" w:type="dxa"/>
            <w:shd w:val="clear" w:color="000000" w:fill="D9D9D9"/>
            <w:hideMark/>
          </w:tcPr>
          <w:p w14:paraId="0C4CFCE9" w14:textId="5CF169F6" w:rsidR="007A7964" w:rsidRPr="007A7964" w:rsidRDefault="007A7964" w:rsidP="007A7964">
            <w:pPr>
              <w:spacing w:before="0" w:after="0"/>
              <w:jc w:val="right"/>
              <w:rPr>
                <w:rFonts w:eastAsia="Times New Roman"/>
                <w:b/>
                <w:bCs/>
                <w:color w:val="000000"/>
                <w:sz w:val="14"/>
                <w:szCs w:val="14"/>
                <w:lang w:eastAsia="en-GB" w:bidi="ne-NP"/>
              </w:rPr>
            </w:pPr>
            <w:r w:rsidRPr="007A7964">
              <w:rPr>
                <w:sz w:val="14"/>
                <w:szCs w:val="14"/>
              </w:rPr>
              <w:t>564 295</w:t>
            </w:r>
          </w:p>
        </w:tc>
        <w:tc>
          <w:tcPr>
            <w:tcW w:w="1134" w:type="dxa"/>
            <w:shd w:val="clear" w:color="000000" w:fill="D9D9D9"/>
            <w:hideMark/>
          </w:tcPr>
          <w:p w14:paraId="008F1DFC" w14:textId="6BE54651" w:rsidR="007A7964" w:rsidRPr="007A7964" w:rsidRDefault="007A7964" w:rsidP="007A7964">
            <w:pPr>
              <w:spacing w:before="0" w:after="0"/>
              <w:jc w:val="right"/>
              <w:rPr>
                <w:rFonts w:eastAsia="Times New Roman"/>
                <w:b/>
                <w:bCs/>
                <w:color w:val="000000"/>
                <w:sz w:val="14"/>
                <w:szCs w:val="14"/>
                <w:lang w:eastAsia="en-GB" w:bidi="ne-NP"/>
              </w:rPr>
            </w:pPr>
            <w:r w:rsidRPr="007A7964">
              <w:rPr>
                <w:sz w:val="14"/>
                <w:szCs w:val="14"/>
              </w:rPr>
              <w:t>25 698 462</w:t>
            </w:r>
          </w:p>
        </w:tc>
        <w:tc>
          <w:tcPr>
            <w:tcW w:w="1276" w:type="dxa"/>
            <w:shd w:val="clear" w:color="000000" w:fill="D9D9D9"/>
            <w:hideMark/>
          </w:tcPr>
          <w:p w14:paraId="0D7E0DE3" w14:textId="5FE65061" w:rsidR="007A7964" w:rsidRPr="007A7964" w:rsidRDefault="007A7964" w:rsidP="007A7964">
            <w:pPr>
              <w:spacing w:before="0" w:after="0"/>
              <w:jc w:val="right"/>
              <w:rPr>
                <w:rFonts w:eastAsia="Times New Roman"/>
                <w:b/>
                <w:bCs/>
                <w:color w:val="000000"/>
                <w:sz w:val="14"/>
                <w:szCs w:val="14"/>
                <w:lang w:eastAsia="en-GB" w:bidi="ne-NP"/>
              </w:rPr>
            </w:pPr>
            <w:r w:rsidRPr="007A7964">
              <w:rPr>
                <w:sz w:val="14"/>
                <w:szCs w:val="14"/>
              </w:rPr>
              <w:t>12 849 231</w:t>
            </w:r>
          </w:p>
        </w:tc>
        <w:tc>
          <w:tcPr>
            <w:tcW w:w="1134" w:type="dxa"/>
            <w:shd w:val="clear" w:color="000000" w:fill="D9D9D9"/>
            <w:hideMark/>
          </w:tcPr>
          <w:p w14:paraId="37E77FEE" w14:textId="098B3896" w:rsidR="007A7964" w:rsidRPr="007A7964" w:rsidRDefault="007A7964" w:rsidP="007A7964">
            <w:pPr>
              <w:spacing w:before="0" w:after="0"/>
              <w:jc w:val="right"/>
              <w:rPr>
                <w:rFonts w:eastAsia="Times New Roman"/>
                <w:b/>
                <w:bCs/>
                <w:color w:val="000000"/>
                <w:sz w:val="14"/>
                <w:szCs w:val="14"/>
                <w:lang w:eastAsia="en-GB" w:bidi="ne-NP"/>
              </w:rPr>
            </w:pPr>
            <w:r w:rsidRPr="007A7964">
              <w:rPr>
                <w:sz w:val="14"/>
                <w:szCs w:val="14"/>
              </w:rPr>
              <w:t>12 849 231</w:t>
            </w:r>
          </w:p>
        </w:tc>
        <w:tc>
          <w:tcPr>
            <w:tcW w:w="1276" w:type="dxa"/>
            <w:shd w:val="clear" w:color="000000" w:fill="D9D9D9"/>
            <w:hideMark/>
          </w:tcPr>
          <w:p w14:paraId="472390DC" w14:textId="415389FA" w:rsidR="007A7964" w:rsidRPr="007A7964" w:rsidRDefault="007A7964" w:rsidP="007A7964">
            <w:pPr>
              <w:spacing w:before="0" w:after="0"/>
              <w:jc w:val="right"/>
              <w:rPr>
                <w:rFonts w:eastAsia="Times New Roman"/>
                <w:b/>
                <w:bCs/>
                <w:color w:val="000000"/>
                <w:sz w:val="14"/>
                <w:szCs w:val="14"/>
                <w:lang w:eastAsia="en-GB" w:bidi="ne-NP"/>
              </w:rPr>
            </w:pPr>
            <w:r w:rsidRPr="007A7964">
              <w:rPr>
                <w:sz w:val="14"/>
                <w:szCs w:val="14"/>
              </w:rPr>
              <w:t>171 323 077</w:t>
            </w:r>
          </w:p>
        </w:tc>
        <w:tc>
          <w:tcPr>
            <w:tcW w:w="992" w:type="dxa"/>
            <w:shd w:val="clear" w:color="000000" w:fill="D9D9D9"/>
            <w:noWrap/>
            <w:hideMark/>
          </w:tcPr>
          <w:p w14:paraId="3A791D57" w14:textId="228FDFFD" w:rsidR="007A7964" w:rsidRPr="007A7964" w:rsidRDefault="007A7964" w:rsidP="007A7964">
            <w:pPr>
              <w:spacing w:before="0" w:after="0"/>
              <w:jc w:val="center"/>
              <w:rPr>
                <w:rFonts w:eastAsia="Times New Roman"/>
                <w:b/>
                <w:bCs/>
                <w:color w:val="000000"/>
                <w:sz w:val="14"/>
                <w:szCs w:val="14"/>
                <w:lang w:eastAsia="en-GB" w:bidi="ne-NP"/>
              </w:rPr>
            </w:pPr>
            <w:r w:rsidRPr="007A7964">
              <w:rPr>
                <w:sz w:val="14"/>
                <w:szCs w:val="14"/>
              </w:rPr>
              <w:t>0,85</w:t>
            </w:r>
          </w:p>
        </w:tc>
      </w:tr>
      <w:tr w:rsidR="007A7964" w:rsidRPr="007A7964" w14:paraId="6C2B0806" w14:textId="77777777" w:rsidTr="003155B0">
        <w:trPr>
          <w:trHeight w:val="315"/>
        </w:trPr>
        <w:tc>
          <w:tcPr>
            <w:tcW w:w="855" w:type="dxa"/>
            <w:shd w:val="clear" w:color="auto" w:fill="auto"/>
            <w:vAlign w:val="center"/>
            <w:hideMark/>
          </w:tcPr>
          <w:p w14:paraId="421F9E6E"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2.1.</w:t>
            </w:r>
          </w:p>
        </w:tc>
        <w:tc>
          <w:tcPr>
            <w:tcW w:w="778" w:type="dxa"/>
            <w:shd w:val="clear" w:color="auto" w:fill="auto"/>
            <w:vAlign w:val="center"/>
            <w:hideMark/>
          </w:tcPr>
          <w:p w14:paraId="520DC072"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k</w:t>
            </w:r>
          </w:p>
        </w:tc>
        <w:tc>
          <w:tcPr>
            <w:tcW w:w="722" w:type="dxa"/>
            <w:shd w:val="clear" w:color="auto" w:fill="auto"/>
            <w:vAlign w:val="center"/>
            <w:hideMark/>
          </w:tcPr>
          <w:p w14:paraId="749CB120"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ERAF</w:t>
            </w:r>
          </w:p>
        </w:tc>
        <w:tc>
          <w:tcPr>
            <w:tcW w:w="831" w:type="dxa"/>
            <w:shd w:val="clear" w:color="auto" w:fill="auto"/>
            <w:vAlign w:val="center"/>
            <w:hideMark/>
          </w:tcPr>
          <w:p w14:paraId="3A43FF0D"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Mazāk attīstīts</w:t>
            </w:r>
          </w:p>
        </w:tc>
        <w:tc>
          <w:tcPr>
            <w:tcW w:w="1056" w:type="dxa"/>
            <w:shd w:val="clear" w:color="auto" w:fill="auto"/>
            <w:hideMark/>
          </w:tcPr>
          <w:p w14:paraId="5D9C7B40" w14:textId="40CC696E"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564 310 198</w:t>
            </w:r>
          </w:p>
        </w:tc>
        <w:tc>
          <w:tcPr>
            <w:tcW w:w="1125" w:type="dxa"/>
            <w:shd w:val="clear" w:color="auto" w:fill="auto"/>
            <w:hideMark/>
          </w:tcPr>
          <w:p w14:paraId="135DFBE2" w14:textId="72496710" w:rsidR="007A7964" w:rsidRPr="007A7964" w:rsidRDefault="007A7964" w:rsidP="007A7964">
            <w:pPr>
              <w:spacing w:before="0" w:after="0"/>
              <w:jc w:val="right"/>
              <w:rPr>
                <w:rFonts w:eastAsia="Times New Roman"/>
                <w:sz w:val="14"/>
                <w:szCs w:val="14"/>
                <w:lang w:eastAsia="en-GB" w:bidi="ne-NP"/>
              </w:rPr>
            </w:pPr>
            <w:r w:rsidRPr="007A7964">
              <w:rPr>
                <w:sz w:val="14"/>
                <w:szCs w:val="14"/>
              </w:rPr>
              <w:t>460 152 644</w:t>
            </w:r>
          </w:p>
        </w:tc>
        <w:tc>
          <w:tcPr>
            <w:tcW w:w="1125" w:type="dxa"/>
            <w:shd w:val="clear" w:color="auto" w:fill="auto"/>
            <w:hideMark/>
          </w:tcPr>
          <w:p w14:paraId="1794C90C" w14:textId="7B79BA99" w:rsidR="007A7964" w:rsidRPr="007A7964" w:rsidRDefault="007A7964" w:rsidP="007A7964">
            <w:pPr>
              <w:spacing w:before="0" w:after="0"/>
              <w:jc w:val="right"/>
              <w:rPr>
                <w:rFonts w:eastAsia="Times New Roman"/>
                <w:sz w:val="14"/>
                <w:szCs w:val="14"/>
                <w:lang w:eastAsia="en-GB" w:bidi="ne-NP"/>
              </w:rPr>
            </w:pPr>
            <w:r w:rsidRPr="007A7964">
              <w:rPr>
                <w:sz w:val="14"/>
                <w:szCs w:val="14"/>
              </w:rPr>
              <w:t>16 689 474</w:t>
            </w:r>
          </w:p>
        </w:tc>
        <w:tc>
          <w:tcPr>
            <w:tcW w:w="1142" w:type="dxa"/>
            <w:shd w:val="clear" w:color="auto" w:fill="auto"/>
            <w:hideMark/>
          </w:tcPr>
          <w:p w14:paraId="41F190D3" w14:textId="61D284A2" w:rsidR="007A7964" w:rsidRPr="007A7964" w:rsidRDefault="007A7964" w:rsidP="007A7964">
            <w:pPr>
              <w:spacing w:before="0" w:after="0"/>
              <w:jc w:val="right"/>
              <w:rPr>
                <w:rFonts w:eastAsia="Times New Roman"/>
                <w:sz w:val="14"/>
                <w:szCs w:val="14"/>
                <w:lang w:eastAsia="en-GB" w:bidi="ne-NP"/>
              </w:rPr>
            </w:pPr>
            <w:r w:rsidRPr="007A7964">
              <w:rPr>
                <w:sz w:val="14"/>
                <w:szCs w:val="14"/>
              </w:rPr>
              <w:t>84 406 698</w:t>
            </w:r>
          </w:p>
        </w:tc>
        <w:tc>
          <w:tcPr>
            <w:tcW w:w="1008" w:type="dxa"/>
            <w:shd w:val="clear" w:color="auto" w:fill="auto"/>
            <w:hideMark/>
          </w:tcPr>
          <w:p w14:paraId="6B4DC2B8" w14:textId="307AB7F7" w:rsidR="007A7964" w:rsidRPr="007A7964" w:rsidRDefault="007A7964" w:rsidP="007A7964">
            <w:pPr>
              <w:spacing w:before="0" w:after="0"/>
              <w:jc w:val="right"/>
              <w:rPr>
                <w:rFonts w:eastAsia="Times New Roman"/>
                <w:sz w:val="14"/>
                <w:szCs w:val="14"/>
                <w:lang w:eastAsia="en-GB" w:bidi="ne-NP"/>
              </w:rPr>
            </w:pPr>
            <w:r w:rsidRPr="007A7964">
              <w:rPr>
                <w:sz w:val="14"/>
                <w:szCs w:val="14"/>
              </w:rPr>
              <w:t>3 061 383</w:t>
            </w:r>
          </w:p>
        </w:tc>
        <w:tc>
          <w:tcPr>
            <w:tcW w:w="1134" w:type="dxa"/>
            <w:shd w:val="clear" w:color="auto" w:fill="auto"/>
            <w:noWrap/>
            <w:hideMark/>
          </w:tcPr>
          <w:p w14:paraId="21340568" w14:textId="138BA159"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99 584 153</w:t>
            </w:r>
          </w:p>
        </w:tc>
        <w:tc>
          <w:tcPr>
            <w:tcW w:w="1276" w:type="dxa"/>
            <w:shd w:val="clear" w:color="000000" w:fill="FFFFFF"/>
            <w:hideMark/>
          </w:tcPr>
          <w:p w14:paraId="63C0244C" w14:textId="5D3F12D6"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49 792 076</w:t>
            </w:r>
          </w:p>
        </w:tc>
        <w:tc>
          <w:tcPr>
            <w:tcW w:w="1134" w:type="dxa"/>
            <w:shd w:val="clear" w:color="000000" w:fill="FFFFFF"/>
            <w:hideMark/>
          </w:tcPr>
          <w:p w14:paraId="5D3D5651" w14:textId="5D8F7F7C"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49 792 076</w:t>
            </w:r>
          </w:p>
        </w:tc>
        <w:tc>
          <w:tcPr>
            <w:tcW w:w="1276" w:type="dxa"/>
            <w:shd w:val="clear" w:color="auto" w:fill="auto"/>
            <w:noWrap/>
            <w:hideMark/>
          </w:tcPr>
          <w:p w14:paraId="1525520C" w14:textId="49442D27"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663 894 351</w:t>
            </w:r>
          </w:p>
        </w:tc>
        <w:tc>
          <w:tcPr>
            <w:tcW w:w="992" w:type="dxa"/>
            <w:shd w:val="clear" w:color="auto" w:fill="auto"/>
            <w:noWrap/>
            <w:hideMark/>
          </w:tcPr>
          <w:p w14:paraId="53C94A0F" w14:textId="2471AF82" w:rsidR="007A7964" w:rsidRPr="007A7964" w:rsidRDefault="007A7964" w:rsidP="007A7964">
            <w:pPr>
              <w:spacing w:before="0" w:after="0"/>
              <w:jc w:val="center"/>
              <w:rPr>
                <w:rFonts w:eastAsia="Times New Roman"/>
                <w:color w:val="000000"/>
                <w:sz w:val="14"/>
                <w:szCs w:val="14"/>
                <w:lang w:eastAsia="en-GB" w:bidi="ne-NP"/>
              </w:rPr>
            </w:pPr>
            <w:r w:rsidRPr="007A7964">
              <w:rPr>
                <w:sz w:val="14"/>
                <w:szCs w:val="14"/>
              </w:rPr>
              <w:t>0,85</w:t>
            </w:r>
          </w:p>
        </w:tc>
      </w:tr>
      <w:tr w:rsidR="007A7964" w:rsidRPr="007A7964" w14:paraId="4A952C1F" w14:textId="77777777" w:rsidTr="003155B0">
        <w:trPr>
          <w:trHeight w:val="315"/>
        </w:trPr>
        <w:tc>
          <w:tcPr>
            <w:tcW w:w="855" w:type="dxa"/>
            <w:shd w:val="clear" w:color="auto" w:fill="auto"/>
            <w:vAlign w:val="center"/>
            <w:hideMark/>
          </w:tcPr>
          <w:p w14:paraId="49DFC192"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2.1.</w:t>
            </w:r>
          </w:p>
        </w:tc>
        <w:tc>
          <w:tcPr>
            <w:tcW w:w="778" w:type="dxa"/>
            <w:shd w:val="clear" w:color="auto" w:fill="auto"/>
            <w:vAlign w:val="center"/>
            <w:hideMark/>
          </w:tcPr>
          <w:p w14:paraId="2811CD64"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k</w:t>
            </w:r>
          </w:p>
        </w:tc>
        <w:tc>
          <w:tcPr>
            <w:tcW w:w="722" w:type="dxa"/>
            <w:shd w:val="clear" w:color="auto" w:fill="auto"/>
            <w:vAlign w:val="center"/>
            <w:hideMark/>
          </w:tcPr>
          <w:p w14:paraId="4E013684"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KF</w:t>
            </w:r>
          </w:p>
        </w:tc>
        <w:tc>
          <w:tcPr>
            <w:tcW w:w="831" w:type="dxa"/>
            <w:shd w:val="clear" w:color="auto" w:fill="auto"/>
            <w:vAlign w:val="center"/>
            <w:hideMark/>
          </w:tcPr>
          <w:p w14:paraId="1F9540D8" w14:textId="77777777" w:rsidR="007A7964" w:rsidRPr="007A7964" w:rsidRDefault="007A7964" w:rsidP="007A7964">
            <w:pPr>
              <w:spacing w:before="0" w:after="0"/>
              <w:jc w:val="left"/>
              <w:rPr>
                <w:rFonts w:eastAsia="Times New Roman"/>
                <w:color w:val="000000"/>
                <w:sz w:val="14"/>
                <w:szCs w:val="14"/>
                <w:lang w:eastAsia="en-GB" w:bidi="ne-NP"/>
              </w:rPr>
            </w:pPr>
            <w:r w:rsidRPr="007A7964">
              <w:rPr>
                <w:rFonts w:eastAsia="Times New Roman"/>
                <w:color w:val="000000"/>
                <w:sz w:val="14"/>
                <w:szCs w:val="14"/>
                <w:lang w:eastAsia="en-GB" w:bidi="ne-NP"/>
              </w:rPr>
              <w:t>N/A</w:t>
            </w:r>
          </w:p>
        </w:tc>
        <w:tc>
          <w:tcPr>
            <w:tcW w:w="1056" w:type="dxa"/>
            <w:shd w:val="clear" w:color="auto" w:fill="auto"/>
            <w:hideMark/>
          </w:tcPr>
          <w:p w14:paraId="3BE55E9C" w14:textId="594A2640"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39 440 000</w:t>
            </w:r>
          </w:p>
        </w:tc>
        <w:tc>
          <w:tcPr>
            <w:tcW w:w="1125" w:type="dxa"/>
            <w:shd w:val="clear" w:color="auto" w:fill="auto"/>
            <w:hideMark/>
          </w:tcPr>
          <w:p w14:paraId="546B7567" w14:textId="7D0C06F3" w:rsidR="007A7964" w:rsidRPr="007A7964" w:rsidRDefault="007A7964" w:rsidP="007A7964">
            <w:pPr>
              <w:spacing w:before="0" w:after="0"/>
              <w:jc w:val="right"/>
              <w:rPr>
                <w:rFonts w:eastAsia="Times New Roman"/>
                <w:sz w:val="14"/>
                <w:szCs w:val="14"/>
                <w:lang w:eastAsia="en-GB" w:bidi="ne-NP"/>
              </w:rPr>
            </w:pPr>
            <w:r w:rsidRPr="007A7964">
              <w:rPr>
                <w:sz w:val="14"/>
                <w:szCs w:val="14"/>
              </w:rPr>
              <w:t>32 493 630</w:t>
            </w:r>
          </w:p>
        </w:tc>
        <w:tc>
          <w:tcPr>
            <w:tcW w:w="1125" w:type="dxa"/>
            <w:shd w:val="clear" w:color="auto" w:fill="auto"/>
            <w:hideMark/>
          </w:tcPr>
          <w:p w14:paraId="3983D798" w14:textId="5CAD2169" w:rsidR="007A7964" w:rsidRPr="007A7964" w:rsidRDefault="007A7964" w:rsidP="007A7964">
            <w:pPr>
              <w:spacing w:before="0" w:after="0"/>
              <w:jc w:val="right"/>
              <w:rPr>
                <w:rFonts w:eastAsia="Times New Roman"/>
                <w:sz w:val="14"/>
                <w:szCs w:val="14"/>
                <w:lang w:eastAsia="en-GB" w:bidi="ne-NP"/>
              </w:rPr>
            </w:pPr>
            <w:r w:rsidRPr="007A7964">
              <w:rPr>
                <w:sz w:val="14"/>
                <w:szCs w:val="14"/>
              </w:rPr>
              <w:t>833 170</w:t>
            </w:r>
          </w:p>
        </w:tc>
        <w:tc>
          <w:tcPr>
            <w:tcW w:w="1142" w:type="dxa"/>
            <w:shd w:val="clear" w:color="auto" w:fill="auto"/>
            <w:hideMark/>
          </w:tcPr>
          <w:p w14:paraId="11F2C0A2" w14:textId="67467BFC" w:rsidR="007A7964" w:rsidRPr="007A7964" w:rsidRDefault="007A7964" w:rsidP="007A7964">
            <w:pPr>
              <w:spacing w:before="0" w:after="0"/>
              <w:jc w:val="right"/>
              <w:rPr>
                <w:rFonts w:eastAsia="Times New Roman"/>
                <w:sz w:val="14"/>
                <w:szCs w:val="14"/>
                <w:lang w:eastAsia="en-GB" w:bidi="ne-NP"/>
              </w:rPr>
            </w:pPr>
            <w:r w:rsidRPr="007A7964">
              <w:rPr>
                <w:sz w:val="14"/>
                <w:szCs w:val="14"/>
              </w:rPr>
              <w:t>5 960 370</w:t>
            </w:r>
          </w:p>
        </w:tc>
        <w:tc>
          <w:tcPr>
            <w:tcW w:w="1008" w:type="dxa"/>
            <w:shd w:val="clear" w:color="auto" w:fill="auto"/>
            <w:hideMark/>
          </w:tcPr>
          <w:p w14:paraId="28D4B53C" w14:textId="65B2AF76" w:rsidR="007A7964" w:rsidRPr="007A7964" w:rsidRDefault="007A7964" w:rsidP="007A7964">
            <w:pPr>
              <w:spacing w:before="0" w:after="0"/>
              <w:jc w:val="right"/>
              <w:rPr>
                <w:rFonts w:eastAsia="Times New Roman"/>
                <w:sz w:val="14"/>
                <w:szCs w:val="14"/>
                <w:lang w:eastAsia="en-GB" w:bidi="ne-NP"/>
              </w:rPr>
            </w:pPr>
            <w:r w:rsidRPr="007A7964">
              <w:rPr>
                <w:sz w:val="14"/>
                <w:szCs w:val="14"/>
              </w:rPr>
              <w:t>152 830</w:t>
            </w:r>
          </w:p>
        </w:tc>
        <w:tc>
          <w:tcPr>
            <w:tcW w:w="1134" w:type="dxa"/>
            <w:shd w:val="clear" w:color="auto" w:fill="auto"/>
            <w:noWrap/>
            <w:hideMark/>
          </w:tcPr>
          <w:p w14:paraId="033982FC" w14:textId="5440F12A"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6 960 000</w:t>
            </w:r>
          </w:p>
        </w:tc>
        <w:tc>
          <w:tcPr>
            <w:tcW w:w="1276" w:type="dxa"/>
            <w:shd w:val="clear" w:color="000000" w:fill="FFFFFF"/>
            <w:hideMark/>
          </w:tcPr>
          <w:p w14:paraId="5062BC43" w14:textId="32392610"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3 480 000</w:t>
            </w:r>
          </w:p>
        </w:tc>
        <w:tc>
          <w:tcPr>
            <w:tcW w:w="1134" w:type="dxa"/>
            <w:shd w:val="clear" w:color="000000" w:fill="FFFFFF"/>
            <w:hideMark/>
          </w:tcPr>
          <w:p w14:paraId="76DD3174" w14:textId="2BD15E88"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3 480 000</w:t>
            </w:r>
          </w:p>
        </w:tc>
        <w:tc>
          <w:tcPr>
            <w:tcW w:w="1276" w:type="dxa"/>
            <w:shd w:val="clear" w:color="auto" w:fill="auto"/>
            <w:noWrap/>
            <w:hideMark/>
          </w:tcPr>
          <w:p w14:paraId="1EBF1B31" w14:textId="0063032F"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46 400 000</w:t>
            </w:r>
          </w:p>
        </w:tc>
        <w:tc>
          <w:tcPr>
            <w:tcW w:w="992" w:type="dxa"/>
            <w:shd w:val="clear" w:color="auto" w:fill="auto"/>
            <w:noWrap/>
            <w:hideMark/>
          </w:tcPr>
          <w:p w14:paraId="2482D795" w14:textId="03709429" w:rsidR="007A7964" w:rsidRPr="007A7964" w:rsidRDefault="007A7964" w:rsidP="007A7964">
            <w:pPr>
              <w:spacing w:before="0" w:after="0"/>
              <w:jc w:val="center"/>
              <w:rPr>
                <w:rFonts w:eastAsia="Times New Roman"/>
                <w:color w:val="000000"/>
                <w:sz w:val="14"/>
                <w:szCs w:val="14"/>
                <w:lang w:eastAsia="en-GB" w:bidi="ne-NP"/>
              </w:rPr>
            </w:pPr>
            <w:r w:rsidRPr="007A7964">
              <w:rPr>
                <w:sz w:val="14"/>
                <w:szCs w:val="14"/>
              </w:rPr>
              <w:t>0,85</w:t>
            </w:r>
          </w:p>
        </w:tc>
      </w:tr>
      <w:tr w:rsidR="007A7964" w:rsidRPr="007A7964" w14:paraId="16ADE8AE" w14:textId="77777777" w:rsidTr="003155B0">
        <w:trPr>
          <w:trHeight w:val="315"/>
        </w:trPr>
        <w:tc>
          <w:tcPr>
            <w:tcW w:w="855" w:type="dxa"/>
            <w:shd w:val="clear" w:color="auto" w:fill="auto"/>
            <w:vAlign w:val="center"/>
            <w:hideMark/>
          </w:tcPr>
          <w:p w14:paraId="57CA758E"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2.2.</w:t>
            </w:r>
          </w:p>
        </w:tc>
        <w:tc>
          <w:tcPr>
            <w:tcW w:w="778" w:type="dxa"/>
            <w:shd w:val="clear" w:color="auto" w:fill="auto"/>
            <w:vAlign w:val="center"/>
            <w:hideMark/>
          </w:tcPr>
          <w:p w14:paraId="0D0CAFB1"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k</w:t>
            </w:r>
          </w:p>
        </w:tc>
        <w:tc>
          <w:tcPr>
            <w:tcW w:w="722" w:type="dxa"/>
            <w:shd w:val="clear" w:color="auto" w:fill="auto"/>
            <w:vAlign w:val="center"/>
            <w:hideMark/>
          </w:tcPr>
          <w:p w14:paraId="3ABCCA61" w14:textId="77777777" w:rsidR="007A7964" w:rsidRPr="007A7964" w:rsidRDefault="007A7964" w:rsidP="007A7964">
            <w:pPr>
              <w:spacing w:before="0" w:after="0"/>
              <w:jc w:val="left"/>
              <w:rPr>
                <w:rFonts w:eastAsia="Times New Roman"/>
                <w:color w:val="000000"/>
                <w:sz w:val="14"/>
                <w:szCs w:val="14"/>
                <w:lang w:eastAsia="en-GB" w:bidi="ne-NP"/>
              </w:rPr>
            </w:pPr>
            <w:r w:rsidRPr="007A7964">
              <w:rPr>
                <w:rFonts w:eastAsia="Times New Roman"/>
                <w:color w:val="000000"/>
                <w:sz w:val="14"/>
                <w:szCs w:val="14"/>
                <w:lang w:eastAsia="en-GB" w:bidi="ne-NP"/>
              </w:rPr>
              <w:t>ERAF</w:t>
            </w:r>
          </w:p>
        </w:tc>
        <w:tc>
          <w:tcPr>
            <w:tcW w:w="831" w:type="dxa"/>
            <w:shd w:val="clear" w:color="auto" w:fill="auto"/>
            <w:vAlign w:val="center"/>
            <w:hideMark/>
          </w:tcPr>
          <w:p w14:paraId="77ACC41A" w14:textId="77777777" w:rsidR="007A7964" w:rsidRPr="007A7964" w:rsidRDefault="007A7964" w:rsidP="007A7964">
            <w:pPr>
              <w:spacing w:before="0" w:after="0"/>
              <w:jc w:val="left"/>
              <w:rPr>
                <w:rFonts w:eastAsia="Times New Roman"/>
                <w:color w:val="000000"/>
                <w:sz w:val="14"/>
                <w:szCs w:val="14"/>
                <w:lang w:eastAsia="en-GB" w:bidi="ne-NP"/>
              </w:rPr>
            </w:pPr>
            <w:r w:rsidRPr="007A7964">
              <w:rPr>
                <w:rFonts w:eastAsia="Times New Roman"/>
                <w:color w:val="000000"/>
                <w:sz w:val="14"/>
                <w:szCs w:val="14"/>
                <w:lang w:eastAsia="en-GB" w:bidi="ne-NP"/>
              </w:rPr>
              <w:t>Mazāk attīstīts</w:t>
            </w:r>
          </w:p>
        </w:tc>
        <w:tc>
          <w:tcPr>
            <w:tcW w:w="1056" w:type="dxa"/>
            <w:shd w:val="clear" w:color="auto" w:fill="auto"/>
            <w:hideMark/>
          </w:tcPr>
          <w:p w14:paraId="39EC039F" w14:textId="773ED61D"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156 987 084</w:t>
            </w:r>
          </w:p>
        </w:tc>
        <w:tc>
          <w:tcPr>
            <w:tcW w:w="1125" w:type="dxa"/>
            <w:shd w:val="clear" w:color="auto" w:fill="auto"/>
            <w:hideMark/>
          </w:tcPr>
          <w:p w14:paraId="5B238239" w14:textId="32F3D5BC" w:rsidR="007A7964" w:rsidRPr="007A7964" w:rsidRDefault="007A7964" w:rsidP="007A7964">
            <w:pPr>
              <w:spacing w:before="0" w:after="0"/>
              <w:jc w:val="right"/>
              <w:rPr>
                <w:rFonts w:eastAsia="Times New Roman"/>
                <w:sz w:val="14"/>
                <w:szCs w:val="14"/>
                <w:lang w:eastAsia="en-GB" w:bidi="ne-NP"/>
              </w:rPr>
            </w:pPr>
            <w:r w:rsidRPr="007A7964">
              <w:rPr>
                <w:sz w:val="14"/>
                <w:szCs w:val="14"/>
              </w:rPr>
              <w:t>128 011 193</w:t>
            </w:r>
          </w:p>
        </w:tc>
        <w:tc>
          <w:tcPr>
            <w:tcW w:w="1125" w:type="dxa"/>
            <w:shd w:val="clear" w:color="auto" w:fill="auto"/>
            <w:hideMark/>
          </w:tcPr>
          <w:p w14:paraId="7C47BA1E" w14:textId="7E82730D" w:rsidR="007A7964" w:rsidRPr="007A7964" w:rsidRDefault="007A7964" w:rsidP="007A7964">
            <w:pPr>
              <w:spacing w:before="0" w:after="0"/>
              <w:jc w:val="right"/>
              <w:rPr>
                <w:rFonts w:eastAsia="Times New Roman"/>
                <w:sz w:val="14"/>
                <w:szCs w:val="14"/>
                <w:lang w:eastAsia="en-GB" w:bidi="ne-NP"/>
              </w:rPr>
            </w:pPr>
            <w:r w:rsidRPr="007A7964">
              <w:rPr>
                <w:sz w:val="14"/>
                <w:szCs w:val="14"/>
              </w:rPr>
              <w:t>4 642 893</w:t>
            </w:r>
          </w:p>
        </w:tc>
        <w:tc>
          <w:tcPr>
            <w:tcW w:w="1142" w:type="dxa"/>
            <w:shd w:val="clear" w:color="auto" w:fill="auto"/>
            <w:hideMark/>
          </w:tcPr>
          <w:p w14:paraId="66BC02F0" w14:textId="15D54255" w:rsidR="007A7964" w:rsidRPr="007A7964" w:rsidRDefault="007A7964" w:rsidP="007A7964">
            <w:pPr>
              <w:spacing w:before="0" w:after="0"/>
              <w:jc w:val="right"/>
              <w:rPr>
                <w:rFonts w:eastAsia="Times New Roman"/>
                <w:sz w:val="14"/>
                <w:szCs w:val="14"/>
                <w:lang w:eastAsia="en-GB" w:bidi="ne-NP"/>
              </w:rPr>
            </w:pPr>
            <w:r w:rsidRPr="007A7964">
              <w:rPr>
                <w:sz w:val="14"/>
                <w:szCs w:val="14"/>
              </w:rPr>
              <w:t>23 481 343</w:t>
            </w:r>
          </w:p>
        </w:tc>
        <w:tc>
          <w:tcPr>
            <w:tcW w:w="1008" w:type="dxa"/>
            <w:shd w:val="clear" w:color="auto" w:fill="auto"/>
            <w:hideMark/>
          </w:tcPr>
          <w:p w14:paraId="55C99CB5" w14:textId="0CF8042F" w:rsidR="007A7964" w:rsidRPr="007A7964" w:rsidRDefault="007A7964" w:rsidP="007A7964">
            <w:pPr>
              <w:spacing w:before="0" w:after="0"/>
              <w:jc w:val="right"/>
              <w:rPr>
                <w:rFonts w:eastAsia="Times New Roman"/>
                <w:sz w:val="14"/>
                <w:szCs w:val="14"/>
                <w:lang w:eastAsia="en-GB" w:bidi="ne-NP"/>
              </w:rPr>
            </w:pPr>
            <w:r w:rsidRPr="007A7964">
              <w:rPr>
                <w:sz w:val="14"/>
                <w:szCs w:val="14"/>
              </w:rPr>
              <w:t>851 655</w:t>
            </w:r>
          </w:p>
        </w:tc>
        <w:tc>
          <w:tcPr>
            <w:tcW w:w="1134" w:type="dxa"/>
            <w:shd w:val="clear" w:color="auto" w:fill="auto"/>
            <w:noWrap/>
            <w:hideMark/>
          </w:tcPr>
          <w:p w14:paraId="328DBEB2" w14:textId="261CD24B"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27 703 603</w:t>
            </w:r>
          </w:p>
        </w:tc>
        <w:tc>
          <w:tcPr>
            <w:tcW w:w="1276" w:type="dxa"/>
            <w:shd w:val="clear" w:color="000000" w:fill="FFFFFF"/>
            <w:hideMark/>
          </w:tcPr>
          <w:p w14:paraId="02D97E92" w14:textId="632E10FB"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13 851 802</w:t>
            </w:r>
          </w:p>
        </w:tc>
        <w:tc>
          <w:tcPr>
            <w:tcW w:w="1134" w:type="dxa"/>
            <w:shd w:val="clear" w:color="000000" w:fill="FFFFFF"/>
            <w:hideMark/>
          </w:tcPr>
          <w:p w14:paraId="6CD95A96" w14:textId="4BA2BBDE"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13 851 802</w:t>
            </w:r>
          </w:p>
        </w:tc>
        <w:tc>
          <w:tcPr>
            <w:tcW w:w="1276" w:type="dxa"/>
            <w:shd w:val="clear" w:color="auto" w:fill="auto"/>
            <w:noWrap/>
            <w:hideMark/>
          </w:tcPr>
          <w:p w14:paraId="69752B7F" w14:textId="603C39AA"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184 690 688</w:t>
            </w:r>
          </w:p>
        </w:tc>
        <w:tc>
          <w:tcPr>
            <w:tcW w:w="992" w:type="dxa"/>
            <w:shd w:val="clear" w:color="auto" w:fill="auto"/>
            <w:noWrap/>
            <w:hideMark/>
          </w:tcPr>
          <w:p w14:paraId="4F129368" w14:textId="38A23A82" w:rsidR="007A7964" w:rsidRPr="007A7964" w:rsidRDefault="007A7964" w:rsidP="007A7964">
            <w:pPr>
              <w:spacing w:before="0" w:after="0"/>
              <w:jc w:val="center"/>
              <w:rPr>
                <w:rFonts w:eastAsia="Times New Roman"/>
                <w:color w:val="000000"/>
                <w:sz w:val="14"/>
                <w:szCs w:val="14"/>
                <w:lang w:eastAsia="en-GB" w:bidi="ne-NP"/>
              </w:rPr>
            </w:pPr>
            <w:r w:rsidRPr="007A7964">
              <w:rPr>
                <w:sz w:val="14"/>
                <w:szCs w:val="14"/>
              </w:rPr>
              <w:t>0,85</w:t>
            </w:r>
          </w:p>
        </w:tc>
      </w:tr>
      <w:tr w:rsidR="007A7964" w:rsidRPr="007A7964" w14:paraId="7D396F18" w14:textId="77777777" w:rsidTr="003155B0">
        <w:trPr>
          <w:trHeight w:val="315"/>
        </w:trPr>
        <w:tc>
          <w:tcPr>
            <w:tcW w:w="855" w:type="dxa"/>
            <w:shd w:val="clear" w:color="auto" w:fill="auto"/>
            <w:vAlign w:val="center"/>
            <w:hideMark/>
          </w:tcPr>
          <w:p w14:paraId="28C42445"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2.2.</w:t>
            </w:r>
          </w:p>
        </w:tc>
        <w:tc>
          <w:tcPr>
            <w:tcW w:w="778" w:type="dxa"/>
            <w:shd w:val="clear" w:color="auto" w:fill="auto"/>
            <w:vAlign w:val="center"/>
            <w:hideMark/>
          </w:tcPr>
          <w:p w14:paraId="07B0225E"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k</w:t>
            </w:r>
          </w:p>
        </w:tc>
        <w:tc>
          <w:tcPr>
            <w:tcW w:w="722" w:type="dxa"/>
            <w:shd w:val="clear" w:color="auto" w:fill="auto"/>
            <w:vAlign w:val="center"/>
            <w:hideMark/>
          </w:tcPr>
          <w:p w14:paraId="0B232593" w14:textId="77777777" w:rsidR="007A7964" w:rsidRPr="007A7964" w:rsidRDefault="007A7964" w:rsidP="007A7964">
            <w:pPr>
              <w:spacing w:before="0" w:after="0"/>
              <w:jc w:val="left"/>
              <w:rPr>
                <w:rFonts w:eastAsia="Times New Roman"/>
                <w:color w:val="000000"/>
                <w:sz w:val="14"/>
                <w:szCs w:val="14"/>
                <w:lang w:eastAsia="en-GB" w:bidi="ne-NP"/>
              </w:rPr>
            </w:pPr>
            <w:r w:rsidRPr="007A7964">
              <w:rPr>
                <w:rFonts w:eastAsia="Times New Roman"/>
                <w:color w:val="000000"/>
                <w:sz w:val="14"/>
                <w:szCs w:val="14"/>
                <w:lang w:eastAsia="en-GB" w:bidi="ne-NP"/>
              </w:rPr>
              <w:t>KF</w:t>
            </w:r>
          </w:p>
        </w:tc>
        <w:tc>
          <w:tcPr>
            <w:tcW w:w="831" w:type="dxa"/>
            <w:shd w:val="clear" w:color="auto" w:fill="auto"/>
            <w:vAlign w:val="center"/>
            <w:hideMark/>
          </w:tcPr>
          <w:p w14:paraId="5E653F6F"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N/A</w:t>
            </w:r>
          </w:p>
        </w:tc>
        <w:tc>
          <w:tcPr>
            <w:tcW w:w="1056" w:type="dxa"/>
            <w:shd w:val="clear" w:color="auto" w:fill="auto"/>
            <w:hideMark/>
          </w:tcPr>
          <w:p w14:paraId="6D3F66A7" w14:textId="43956036"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106 184 615</w:t>
            </w:r>
          </w:p>
        </w:tc>
        <w:tc>
          <w:tcPr>
            <w:tcW w:w="1125" w:type="dxa"/>
            <w:shd w:val="clear" w:color="auto" w:fill="auto"/>
            <w:hideMark/>
          </w:tcPr>
          <w:p w14:paraId="4BAFA411" w14:textId="03B6FD8E" w:rsidR="007A7964" w:rsidRPr="007A7964" w:rsidRDefault="007A7964" w:rsidP="007A7964">
            <w:pPr>
              <w:spacing w:before="0" w:after="0"/>
              <w:jc w:val="right"/>
              <w:rPr>
                <w:rFonts w:eastAsia="Times New Roman"/>
                <w:sz w:val="14"/>
                <w:szCs w:val="14"/>
                <w:lang w:eastAsia="en-GB" w:bidi="ne-NP"/>
              </w:rPr>
            </w:pPr>
            <w:r w:rsidRPr="007A7964">
              <w:rPr>
                <w:sz w:val="14"/>
                <w:szCs w:val="14"/>
              </w:rPr>
              <w:t>87 482 850</w:t>
            </w:r>
          </w:p>
        </w:tc>
        <w:tc>
          <w:tcPr>
            <w:tcW w:w="1125" w:type="dxa"/>
            <w:shd w:val="clear" w:color="auto" w:fill="auto"/>
            <w:hideMark/>
          </w:tcPr>
          <w:p w14:paraId="2C35FB71" w14:textId="45A987CF" w:rsidR="007A7964" w:rsidRPr="007A7964" w:rsidRDefault="007A7964" w:rsidP="007A7964">
            <w:pPr>
              <w:spacing w:before="0" w:after="0"/>
              <w:jc w:val="right"/>
              <w:rPr>
                <w:rFonts w:eastAsia="Times New Roman"/>
                <w:sz w:val="14"/>
                <w:szCs w:val="14"/>
                <w:lang w:eastAsia="en-GB" w:bidi="ne-NP"/>
              </w:rPr>
            </w:pPr>
            <w:r w:rsidRPr="007A7964">
              <w:rPr>
                <w:sz w:val="14"/>
                <w:szCs w:val="14"/>
              </w:rPr>
              <w:t>2 243 150</w:t>
            </w:r>
          </w:p>
        </w:tc>
        <w:tc>
          <w:tcPr>
            <w:tcW w:w="1142" w:type="dxa"/>
            <w:shd w:val="clear" w:color="auto" w:fill="auto"/>
            <w:hideMark/>
          </w:tcPr>
          <w:p w14:paraId="2DFBDAAB" w14:textId="0E129383" w:rsidR="007A7964" w:rsidRPr="007A7964" w:rsidRDefault="007A7964" w:rsidP="007A7964">
            <w:pPr>
              <w:spacing w:before="0" w:after="0"/>
              <w:jc w:val="right"/>
              <w:rPr>
                <w:rFonts w:eastAsia="Times New Roman"/>
                <w:sz w:val="14"/>
                <w:szCs w:val="14"/>
                <w:lang w:eastAsia="en-GB" w:bidi="ne-NP"/>
              </w:rPr>
            </w:pPr>
            <w:r w:rsidRPr="007A7964">
              <w:rPr>
                <w:sz w:val="14"/>
                <w:szCs w:val="14"/>
              </w:rPr>
              <w:t>16 047 150</w:t>
            </w:r>
          </w:p>
        </w:tc>
        <w:tc>
          <w:tcPr>
            <w:tcW w:w="1008" w:type="dxa"/>
            <w:shd w:val="clear" w:color="auto" w:fill="auto"/>
            <w:hideMark/>
          </w:tcPr>
          <w:p w14:paraId="3200A9F0" w14:textId="31049B4F" w:rsidR="007A7964" w:rsidRPr="007A7964" w:rsidRDefault="007A7964" w:rsidP="007A7964">
            <w:pPr>
              <w:spacing w:before="0" w:after="0"/>
              <w:jc w:val="right"/>
              <w:rPr>
                <w:rFonts w:eastAsia="Times New Roman"/>
                <w:sz w:val="14"/>
                <w:szCs w:val="14"/>
                <w:lang w:eastAsia="en-GB" w:bidi="ne-NP"/>
              </w:rPr>
            </w:pPr>
            <w:r w:rsidRPr="007A7964">
              <w:rPr>
                <w:sz w:val="14"/>
                <w:szCs w:val="14"/>
              </w:rPr>
              <w:t>411 465</w:t>
            </w:r>
          </w:p>
        </w:tc>
        <w:tc>
          <w:tcPr>
            <w:tcW w:w="1134" w:type="dxa"/>
            <w:shd w:val="clear" w:color="auto" w:fill="auto"/>
            <w:noWrap/>
            <w:hideMark/>
          </w:tcPr>
          <w:p w14:paraId="5E843187" w14:textId="225AC46E"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18 738 462</w:t>
            </w:r>
          </w:p>
        </w:tc>
        <w:tc>
          <w:tcPr>
            <w:tcW w:w="1276" w:type="dxa"/>
            <w:shd w:val="clear" w:color="000000" w:fill="FFFFFF"/>
            <w:hideMark/>
          </w:tcPr>
          <w:p w14:paraId="106D03FA" w14:textId="06F09494"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9 369 231</w:t>
            </w:r>
          </w:p>
        </w:tc>
        <w:tc>
          <w:tcPr>
            <w:tcW w:w="1134" w:type="dxa"/>
            <w:shd w:val="clear" w:color="000000" w:fill="FFFFFF"/>
            <w:hideMark/>
          </w:tcPr>
          <w:p w14:paraId="413E51EE" w14:textId="232FEC17"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9 369 231</w:t>
            </w:r>
          </w:p>
        </w:tc>
        <w:tc>
          <w:tcPr>
            <w:tcW w:w="1276" w:type="dxa"/>
            <w:shd w:val="clear" w:color="auto" w:fill="auto"/>
            <w:noWrap/>
            <w:hideMark/>
          </w:tcPr>
          <w:p w14:paraId="0ED9F593" w14:textId="6E3319B7"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124 923 077</w:t>
            </w:r>
          </w:p>
        </w:tc>
        <w:tc>
          <w:tcPr>
            <w:tcW w:w="992" w:type="dxa"/>
            <w:shd w:val="clear" w:color="auto" w:fill="auto"/>
            <w:noWrap/>
            <w:hideMark/>
          </w:tcPr>
          <w:p w14:paraId="5AAEC146" w14:textId="60356B10" w:rsidR="007A7964" w:rsidRPr="007A7964" w:rsidRDefault="007A7964" w:rsidP="007A7964">
            <w:pPr>
              <w:spacing w:before="0" w:after="0"/>
              <w:jc w:val="center"/>
              <w:rPr>
                <w:rFonts w:eastAsia="Times New Roman"/>
                <w:color w:val="000000"/>
                <w:sz w:val="14"/>
                <w:szCs w:val="14"/>
                <w:lang w:eastAsia="en-GB" w:bidi="ne-NP"/>
              </w:rPr>
            </w:pPr>
            <w:r w:rsidRPr="007A7964">
              <w:rPr>
                <w:sz w:val="14"/>
                <w:szCs w:val="14"/>
              </w:rPr>
              <w:t>0,85</w:t>
            </w:r>
          </w:p>
        </w:tc>
      </w:tr>
      <w:tr w:rsidR="007A7964" w:rsidRPr="007A7964" w14:paraId="7E314B3C" w14:textId="77777777" w:rsidTr="003155B0">
        <w:trPr>
          <w:trHeight w:val="315"/>
        </w:trPr>
        <w:tc>
          <w:tcPr>
            <w:tcW w:w="855" w:type="dxa"/>
            <w:shd w:val="clear" w:color="auto" w:fill="auto"/>
            <w:vAlign w:val="center"/>
            <w:hideMark/>
          </w:tcPr>
          <w:p w14:paraId="1F67F5AA"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2.3.</w:t>
            </w:r>
          </w:p>
        </w:tc>
        <w:tc>
          <w:tcPr>
            <w:tcW w:w="778" w:type="dxa"/>
            <w:shd w:val="clear" w:color="auto" w:fill="auto"/>
            <w:vAlign w:val="center"/>
            <w:hideMark/>
          </w:tcPr>
          <w:p w14:paraId="72483DAB"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k</w:t>
            </w:r>
          </w:p>
        </w:tc>
        <w:tc>
          <w:tcPr>
            <w:tcW w:w="722" w:type="dxa"/>
            <w:shd w:val="clear" w:color="auto" w:fill="auto"/>
            <w:vAlign w:val="center"/>
            <w:hideMark/>
          </w:tcPr>
          <w:p w14:paraId="5872AAD4" w14:textId="77777777" w:rsidR="007A7964" w:rsidRPr="007A7964" w:rsidRDefault="007A7964" w:rsidP="007A7964">
            <w:pPr>
              <w:spacing w:before="0" w:after="0"/>
              <w:jc w:val="left"/>
              <w:rPr>
                <w:rFonts w:eastAsia="Times New Roman"/>
                <w:color w:val="000000"/>
                <w:sz w:val="14"/>
                <w:szCs w:val="14"/>
                <w:lang w:eastAsia="en-GB" w:bidi="ne-NP"/>
              </w:rPr>
            </w:pPr>
            <w:r w:rsidRPr="007A7964">
              <w:rPr>
                <w:rFonts w:eastAsia="Times New Roman"/>
                <w:color w:val="000000"/>
                <w:sz w:val="14"/>
                <w:szCs w:val="14"/>
                <w:lang w:eastAsia="en-GB" w:bidi="ne-NP"/>
              </w:rPr>
              <w:t>ERAF</w:t>
            </w:r>
          </w:p>
        </w:tc>
        <w:tc>
          <w:tcPr>
            <w:tcW w:w="831" w:type="dxa"/>
            <w:shd w:val="clear" w:color="auto" w:fill="auto"/>
            <w:vAlign w:val="center"/>
            <w:hideMark/>
          </w:tcPr>
          <w:p w14:paraId="42105B76" w14:textId="77777777" w:rsidR="007A7964" w:rsidRPr="007A7964" w:rsidRDefault="007A7964" w:rsidP="007A7964">
            <w:pPr>
              <w:spacing w:before="0" w:after="0"/>
              <w:jc w:val="left"/>
              <w:rPr>
                <w:rFonts w:eastAsia="Times New Roman"/>
                <w:color w:val="000000"/>
                <w:sz w:val="14"/>
                <w:szCs w:val="14"/>
                <w:lang w:eastAsia="en-GB" w:bidi="ne-NP"/>
              </w:rPr>
            </w:pPr>
            <w:r w:rsidRPr="007A7964">
              <w:rPr>
                <w:rFonts w:eastAsia="Times New Roman"/>
                <w:color w:val="000000"/>
                <w:sz w:val="14"/>
                <w:szCs w:val="14"/>
                <w:lang w:eastAsia="en-GB" w:bidi="ne-NP"/>
              </w:rPr>
              <w:t>Mazāk attīstīts</w:t>
            </w:r>
          </w:p>
        </w:tc>
        <w:tc>
          <w:tcPr>
            <w:tcW w:w="1056" w:type="dxa"/>
            <w:shd w:val="clear" w:color="auto" w:fill="auto"/>
            <w:hideMark/>
          </w:tcPr>
          <w:p w14:paraId="08918C8C" w14:textId="06CAE6DD"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81 436 326</w:t>
            </w:r>
          </w:p>
        </w:tc>
        <w:tc>
          <w:tcPr>
            <w:tcW w:w="1125" w:type="dxa"/>
            <w:shd w:val="clear" w:color="auto" w:fill="auto"/>
            <w:hideMark/>
          </w:tcPr>
          <w:p w14:paraId="1734A948" w14:textId="026793B9" w:rsidR="007A7964" w:rsidRPr="007A7964" w:rsidRDefault="007A7964" w:rsidP="007A7964">
            <w:pPr>
              <w:spacing w:before="0" w:after="0"/>
              <w:jc w:val="right"/>
              <w:rPr>
                <w:rFonts w:eastAsia="Times New Roman"/>
                <w:sz w:val="14"/>
                <w:szCs w:val="14"/>
                <w:lang w:eastAsia="en-GB" w:bidi="ne-NP"/>
              </w:rPr>
            </w:pPr>
            <w:r w:rsidRPr="007A7964">
              <w:rPr>
                <w:sz w:val="14"/>
                <w:szCs w:val="14"/>
              </w:rPr>
              <w:t>66 405 216</w:t>
            </w:r>
          </w:p>
        </w:tc>
        <w:tc>
          <w:tcPr>
            <w:tcW w:w="1125" w:type="dxa"/>
            <w:shd w:val="clear" w:color="auto" w:fill="auto"/>
            <w:hideMark/>
          </w:tcPr>
          <w:p w14:paraId="5A4EEBEC" w14:textId="018C68AF" w:rsidR="007A7964" w:rsidRPr="007A7964" w:rsidRDefault="007A7964" w:rsidP="007A7964">
            <w:pPr>
              <w:spacing w:before="0" w:after="0"/>
              <w:jc w:val="right"/>
              <w:rPr>
                <w:rFonts w:eastAsia="Times New Roman"/>
                <w:sz w:val="14"/>
                <w:szCs w:val="14"/>
                <w:lang w:eastAsia="en-GB" w:bidi="ne-NP"/>
              </w:rPr>
            </w:pPr>
            <w:r w:rsidRPr="007A7964">
              <w:rPr>
                <w:sz w:val="14"/>
                <w:szCs w:val="14"/>
              </w:rPr>
              <w:t>2 408 479</w:t>
            </w:r>
          </w:p>
        </w:tc>
        <w:tc>
          <w:tcPr>
            <w:tcW w:w="1142" w:type="dxa"/>
            <w:shd w:val="clear" w:color="auto" w:fill="auto"/>
            <w:hideMark/>
          </w:tcPr>
          <w:p w14:paraId="20BDA27D" w14:textId="3552BD52" w:rsidR="007A7964" w:rsidRPr="007A7964" w:rsidRDefault="007A7964" w:rsidP="007A7964">
            <w:pPr>
              <w:spacing w:before="0" w:after="0"/>
              <w:jc w:val="right"/>
              <w:rPr>
                <w:rFonts w:eastAsia="Times New Roman"/>
                <w:sz w:val="14"/>
                <w:szCs w:val="14"/>
                <w:lang w:eastAsia="en-GB" w:bidi="ne-NP"/>
              </w:rPr>
            </w:pPr>
            <w:r w:rsidRPr="007A7964">
              <w:rPr>
                <w:sz w:val="14"/>
                <w:szCs w:val="14"/>
              </w:rPr>
              <w:t>12 180 838</w:t>
            </w:r>
          </w:p>
        </w:tc>
        <w:tc>
          <w:tcPr>
            <w:tcW w:w="1008" w:type="dxa"/>
            <w:shd w:val="clear" w:color="auto" w:fill="auto"/>
            <w:hideMark/>
          </w:tcPr>
          <w:p w14:paraId="260F6283" w14:textId="25E51C7D" w:rsidR="007A7964" w:rsidRPr="007A7964" w:rsidRDefault="007A7964" w:rsidP="007A7964">
            <w:pPr>
              <w:spacing w:before="0" w:after="0"/>
              <w:jc w:val="right"/>
              <w:rPr>
                <w:rFonts w:eastAsia="Times New Roman"/>
                <w:sz w:val="14"/>
                <w:szCs w:val="14"/>
                <w:lang w:eastAsia="en-GB" w:bidi="ne-NP"/>
              </w:rPr>
            </w:pPr>
            <w:r w:rsidRPr="007A7964">
              <w:rPr>
                <w:sz w:val="14"/>
                <w:szCs w:val="14"/>
              </w:rPr>
              <w:t>441 792</w:t>
            </w:r>
          </w:p>
        </w:tc>
        <w:tc>
          <w:tcPr>
            <w:tcW w:w="1134" w:type="dxa"/>
            <w:shd w:val="clear" w:color="auto" w:fill="auto"/>
            <w:noWrap/>
            <w:hideMark/>
          </w:tcPr>
          <w:p w14:paraId="374311E8" w14:textId="6F706F1A"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14 371 116</w:t>
            </w:r>
          </w:p>
        </w:tc>
        <w:tc>
          <w:tcPr>
            <w:tcW w:w="1276" w:type="dxa"/>
            <w:shd w:val="clear" w:color="000000" w:fill="FFFFFF"/>
            <w:hideMark/>
          </w:tcPr>
          <w:p w14:paraId="2312D4B7" w14:textId="424AC39B"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7 185 558</w:t>
            </w:r>
          </w:p>
        </w:tc>
        <w:tc>
          <w:tcPr>
            <w:tcW w:w="1134" w:type="dxa"/>
            <w:shd w:val="clear" w:color="000000" w:fill="FFFFFF"/>
            <w:hideMark/>
          </w:tcPr>
          <w:p w14:paraId="24772562" w14:textId="0B0422AF"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7 185 558</w:t>
            </w:r>
          </w:p>
        </w:tc>
        <w:tc>
          <w:tcPr>
            <w:tcW w:w="1276" w:type="dxa"/>
            <w:shd w:val="clear" w:color="auto" w:fill="auto"/>
            <w:noWrap/>
            <w:hideMark/>
          </w:tcPr>
          <w:p w14:paraId="09E1DD39" w14:textId="4F3580DA"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95 807 442</w:t>
            </w:r>
          </w:p>
        </w:tc>
        <w:tc>
          <w:tcPr>
            <w:tcW w:w="992" w:type="dxa"/>
            <w:shd w:val="clear" w:color="auto" w:fill="auto"/>
            <w:noWrap/>
            <w:hideMark/>
          </w:tcPr>
          <w:p w14:paraId="38F08529" w14:textId="6FA87B7A" w:rsidR="007A7964" w:rsidRPr="007A7964" w:rsidRDefault="007A7964" w:rsidP="007A7964">
            <w:pPr>
              <w:spacing w:before="0" w:after="0"/>
              <w:jc w:val="center"/>
              <w:rPr>
                <w:rFonts w:eastAsia="Times New Roman"/>
                <w:color w:val="000000"/>
                <w:sz w:val="14"/>
                <w:szCs w:val="14"/>
                <w:lang w:eastAsia="en-GB" w:bidi="ne-NP"/>
              </w:rPr>
            </w:pPr>
            <w:r w:rsidRPr="007A7964">
              <w:rPr>
                <w:sz w:val="14"/>
                <w:szCs w:val="14"/>
              </w:rPr>
              <w:t>0,85</w:t>
            </w:r>
          </w:p>
        </w:tc>
      </w:tr>
      <w:tr w:rsidR="007A7964" w:rsidRPr="007A7964" w14:paraId="38E4B714" w14:textId="77777777" w:rsidTr="003155B0">
        <w:trPr>
          <w:trHeight w:val="315"/>
        </w:trPr>
        <w:tc>
          <w:tcPr>
            <w:tcW w:w="855" w:type="dxa"/>
            <w:shd w:val="clear" w:color="000000" w:fill="D9D9D9"/>
            <w:vAlign w:val="center"/>
            <w:hideMark/>
          </w:tcPr>
          <w:p w14:paraId="442038BA" w14:textId="77777777" w:rsidR="007A7964" w:rsidRPr="007A7964" w:rsidRDefault="007A7964" w:rsidP="007A7964">
            <w:pPr>
              <w:spacing w:before="0" w:after="0"/>
              <w:rPr>
                <w:rFonts w:eastAsia="Times New Roman"/>
                <w:b/>
                <w:bCs/>
                <w:sz w:val="14"/>
                <w:szCs w:val="14"/>
                <w:lang w:eastAsia="en-GB" w:bidi="ne-NP"/>
              </w:rPr>
            </w:pPr>
            <w:r w:rsidRPr="007A7964">
              <w:rPr>
                <w:rFonts w:eastAsia="Times New Roman"/>
                <w:b/>
                <w:bCs/>
                <w:sz w:val="14"/>
                <w:szCs w:val="14"/>
                <w:lang w:eastAsia="en-GB" w:bidi="ne-NP"/>
              </w:rPr>
              <w:t>kopā</w:t>
            </w:r>
          </w:p>
        </w:tc>
        <w:tc>
          <w:tcPr>
            <w:tcW w:w="778" w:type="dxa"/>
            <w:shd w:val="clear" w:color="000000" w:fill="D9D9D9"/>
            <w:vAlign w:val="center"/>
            <w:hideMark/>
          </w:tcPr>
          <w:p w14:paraId="232D2232" w14:textId="77777777" w:rsidR="007A7964" w:rsidRPr="007A7964" w:rsidRDefault="007A7964" w:rsidP="007A7964">
            <w:pPr>
              <w:spacing w:before="0" w:after="0"/>
              <w:rPr>
                <w:rFonts w:eastAsia="Times New Roman"/>
                <w:b/>
                <w:bCs/>
                <w:color w:val="000000"/>
                <w:sz w:val="14"/>
                <w:szCs w:val="14"/>
                <w:lang w:eastAsia="en-GB" w:bidi="ne-NP"/>
              </w:rPr>
            </w:pPr>
            <w:r w:rsidRPr="007A7964">
              <w:rPr>
                <w:rFonts w:eastAsia="Times New Roman"/>
                <w:b/>
                <w:bCs/>
                <w:color w:val="000000"/>
                <w:sz w:val="14"/>
                <w:szCs w:val="14"/>
                <w:lang w:eastAsia="en-GB" w:bidi="ne-NP"/>
              </w:rPr>
              <w:t>k</w:t>
            </w:r>
          </w:p>
        </w:tc>
        <w:tc>
          <w:tcPr>
            <w:tcW w:w="722" w:type="dxa"/>
            <w:shd w:val="clear" w:color="000000" w:fill="D9D9D9"/>
            <w:vAlign w:val="center"/>
            <w:hideMark/>
          </w:tcPr>
          <w:p w14:paraId="15859DDA" w14:textId="77777777" w:rsidR="007A7964" w:rsidRPr="007A7964" w:rsidRDefault="007A7964" w:rsidP="007A7964">
            <w:pPr>
              <w:spacing w:before="0" w:after="0"/>
              <w:jc w:val="left"/>
              <w:rPr>
                <w:rFonts w:eastAsia="Times New Roman"/>
                <w:b/>
                <w:bCs/>
                <w:color w:val="000000"/>
                <w:sz w:val="14"/>
                <w:szCs w:val="14"/>
                <w:lang w:eastAsia="en-GB" w:bidi="ne-NP"/>
              </w:rPr>
            </w:pPr>
            <w:r w:rsidRPr="007A7964">
              <w:rPr>
                <w:rFonts w:eastAsia="Times New Roman"/>
                <w:b/>
                <w:bCs/>
                <w:color w:val="000000"/>
                <w:sz w:val="14"/>
                <w:szCs w:val="14"/>
                <w:lang w:eastAsia="en-GB" w:bidi="ne-NP"/>
              </w:rPr>
              <w:t>KF</w:t>
            </w:r>
          </w:p>
        </w:tc>
        <w:tc>
          <w:tcPr>
            <w:tcW w:w="831" w:type="dxa"/>
            <w:shd w:val="clear" w:color="000000" w:fill="D9D9D9"/>
            <w:vAlign w:val="center"/>
            <w:hideMark/>
          </w:tcPr>
          <w:p w14:paraId="420564D3"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N/A</w:t>
            </w:r>
          </w:p>
        </w:tc>
        <w:tc>
          <w:tcPr>
            <w:tcW w:w="1056" w:type="dxa"/>
            <w:shd w:val="clear" w:color="000000" w:fill="D9D9D9"/>
            <w:hideMark/>
          </w:tcPr>
          <w:p w14:paraId="63F9C812" w14:textId="74D28284" w:rsidR="007A7964" w:rsidRPr="007A7964" w:rsidRDefault="007A7964" w:rsidP="007A7964">
            <w:pPr>
              <w:spacing w:before="0" w:after="0"/>
              <w:jc w:val="right"/>
              <w:rPr>
                <w:rFonts w:eastAsia="Times New Roman"/>
                <w:b/>
                <w:bCs/>
                <w:color w:val="000000"/>
                <w:sz w:val="14"/>
                <w:szCs w:val="14"/>
                <w:lang w:eastAsia="en-GB" w:bidi="ne-NP"/>
              </w:rPr>
            </w:pPr>
            <w:r w:rsidRPr="007A7964">
              <w:rPr>
                <w:sz w:val="14"/>
                <w:szCs w:val="14"/>
              </w:rPr>
              <w:t>881 917 477</w:t>
            </w:r>
          </w:p>
        </w:tc>
        <w:tc>
          <w:tcPr>
            <w:tcW w:w="1125" w:type="dxa"/>
            <w:shd w:val="clear" w:color="000000" w:fill="D9D9D9"/>
            <w:hideMark/>
          </w:tcPr>
          <w:p w14:paraId="5EB6BA41" w14:textId="7588C34B" w:rsidR="007A7964" w:rsidRPr="007A7964" w:rsidRDefault="007A7964" w:rsidP="007A7964">
            <w:pPr>
              <w:spacing w:before="0" w:after="0"/>
              <w:jc w:val="right"/>
              <w:rPr>
                <w:rFonts w:eastAsia="Times New Roman"/>
                <w:b/>
                <w:bCs/>
                <w:color w:val="000000"/>
                <w:sz w:val="14"/>
                <w:szCs w:val="14"/>
                <w:lang w:eastAsia="en-GB" w:bidi="ne-NP"/>
              </w:rPr>
            </w:pPr>
            <w:r w:rsidRPr="007A7964">
              <w:rPr>
                <w:sz w:val="14"/>
                <w:szCs w:val="14"/>
              </w:rPr>
              <w:t>726 589 761</w:t>
            </w:r>
          </w:p>
        </w:tc>
        <w:tc>
          <w:tcPr>
            <w:tcW w:w="1125" w:type="dxa"/>
            <w:shd w:val="clear" w:color="000000" w:fill="D9D9D9"/>
            <w:hideMark/>
          </w:tcPr>
          <w:p w14:paraId="23142E1A" w14:textId="45B1DB39" w:rsidR="007A7964" w:rsidRPr="007A7964" w:rsidRDefault="007A7964" w:rsidP="007A7964">
            <w:pPr>
              <w:spacing w:before="0" w:after="0"/>
              <w:jc w:val="right"/>
              <w:rPr>
                <w:rFonts w:eastAsia="Times New Roman"/>
                <w:b/>
                <w:bCs/>
                <w:color w:val="000000"/>
                <w:sz w:val="14"/>
                <w:szCs w:val="14"/>
                <w:lang w:eastAsia="en-GB" w:bidi="ne-NP"/>
              </w:rPr>
            </w:pPr>
            <w:r w:rsidRPr="007A7964">
              <w:rPr>
                <w:sz w:val="14"/>
                <w:szCs w:val="14"/>
              </w:rPr>
              <w:t>18 630 507</w:t>
            </w:r>
          </w:p>
        </w:tc>
        <w:tc>
          <w:tcPr>
            <w:tcW w:w="1142" w:type="dxa"/>
            <w:shd w:val="clear" w:color="000000" w:fill="D9D9D9"/>
            <w:hideMark/>
          </w:tcPr>
          <w:p w14:paraId="58395C42" w14:textId="0944485B" w:rsidR="007A7964" w:rsidRPr="007A7964" w:rsidRDefault="007A7964" w:rsidP="007A7964">
            <w:pPr>
              <w:spacing w:before="0" w:after="0"/>
              <w:jc w:val="right"/>
              <w:rPr>
                <w:rFonts w:eastAsia="Times New Roman"/>
                <w:b/>
                <w:bCs/>
                <w:color w:val="000000"/>
                <w:sz w:val="14"/>
                <w:szCs w:val="14"/>
                <w:lang w:eastAsia="en-GB" w:bidi="ne-NP"/>
              </w:rPr>
            </w:pPr>
            <w:r w:rsidRPr="007A7964">
              <w:rPr>
                <w:sz w:val="14"/>
                <w:szCs w:val="14"/>
              </w:rPr>
              <w:t>136 697 209</w:t>
            </w:r>
          </w:p>
        </w:tc>
        <w:tc>
          <w:tcPr>
            <w:tcW w:w="1008" w:type="dxa"/>
            <w:shd w:val="clear" w:color="000000" w:fill="D9D9D9"/>
            <w:hideMark/>
          </w:tcPr>
          <w:p w14:paraId="2B952E63" w14:textId="45DBECB0" w:rsidR="007A7964" w:rsidRPr="007A7964" w:rsidRDefault="007A7964" w:rsidP="007A7964">
            <w:pPr>
              <w:spacing w:before="0" w:after="0"/>
              <w:jc w:val="right"/>
              <w:rPr>
                <w:rFonts w:eastAsia="Times New Roman"/>
                <w:b/>
                <w:bCs/>
                <w:color w:val="000000"/>
                <w:sz w:val="14"/>
                <w:szCs w:val="14"/>
                <w:lang w:eastAsia="en-GB" w:bidi="ne-NP"/>
              </w:rPr>
            </w:pPr>
            <w:r w:rsidRPr="007A7964">
              <w:rPr>
                <w:sz w:val="14"/>
                <w:szCs w:val="14"/>
              </w:rPr>
              <w:t>0</w:t>
            </w:r>
          </w:p>
        </w:tc>
        <w:tc>
          <w:tcPr>
            <w:tcW w:w="1134" w:type="dxa"/>
            <w:shd w:val="clear" w:color="000000" w:fill="D9D9D9"/>
            <w:hideMark/>
          </w:tcPr>
          <w:p w14:paraId="152160B6" w14:textId="182729AE" w:rsidR="007A7964" w:rsidRPr="007A7964" w:rsidRDefault="007A7964" w:rsidP="007A7964">
            <w:pPr>
              <w:spacing w:before="0" w:after="0"/>
              <w:jc w:val="right"/>
              <w:rPr>
                <w:rFonts w:eastAsia="Times New Roman"/>
                <w:b/>
                <w:bCs/>
                <w:color w:val="000000"/>
                <w:sz w:val="14"/>
                <w:szCs w:val="14"/>
                <w:lang w:eastAsia="en-GB" w:bidi="ne-NP"/>
              </w:rPr>
            </w:pPr>
            <w:r w:rsidRPr="007A7964">
              <w:rPr>
                <w:sz w:val="14"/>
                <w:szCs w:val="14"/>
              </w:rPr>
              <w:t>155 632 496</w:t>
            </w:r>
          </w:p>
        </w:tc>
        <w:tc>
          <w:tcPr>
            <w:tcW w:w="1276" w:type="dxa"/>
            <w:shd w:val="clear" w:color="000000" w:fill="D9D9D9"/>
            <w:hideMark/>
          </w:tcPr>
          <w:p w14:paraId="3C87EA4D" w14:textId="327F9B46" w:rsidR="007A7964" w:rsidRPr="007A7964" w:rsidRDefault="007A7964" w:rsidP="007A7964">
            <w:pPr>
              <w:spacing w:before="0" w:after="0"/>
              <w:jc w:val="right"/>
              <w:rPr>
                <w:rFonts w:eastAsia="Times New Roman"/>
                <w:b/>
                <w:bCs/>
                <w:color w:val="000000"/>
                <w:sz w:val="14"/>
                <w:szCs w:val="14"/>
                <w:lang w:eastAsia="en-GB" w:bidi="ne-NP"/>
              </w:rPr>
            </w:pPr>
            <w:r w:rsidRPr="007A7964">
              <w:rPr>
                <w:sz w:val="14"/>
                <w:szCs w:val="14"/>
              </w:rPr>
              <w:t>77 816 248</w:t>
            </w:r>
          </w:p>
        </w:tc>
        <w:tc>
          <w:tcPr>
            <w:tcW w:w="1134" w:type="dxa"/>
            <w:shd w:val="clear" w:color="000000" w:fill="D9D9D9"/>
            <w:hideMark/>
          </w:tcPr>
          <w:p w14:paraId="4534710D" w14:textId="65DFC77E" w:rsidR="007A7964" w:rsidRPr="007A7964" w:rsidRDefault="007A7964" w:rsidP="007A7964">
            <w:pPr>
              <w:spacing w:before="0" w:after="0"/>
              <w:jc w:val="right"/>
              <w:rPr>
                <w:rFonts w:eastAsia="Times New Roman"/>
                <w:b/>
                <w:bCs/>
                <w:color w:val="000000"/>
                <w:sz w:val="14"/>
                <w:szCs w:val="14"/>
                <w:lang w:eastAsia="en-GB" w:bidi="ne-NP"/>
              </w:rPr>
            </w:pPr>
            <w:r w:rsidRPr="007A7964">
              <w:rPr>
                <w:sz w:val="14"/>
                <w:szCs w:val="14"/>
              </w:rPr>
              <w:t>77 816 248</w:t>
            </w:r>
          </w:p>
        </w:tc>
        <w:tc>
          <w:tcPr>
            <w:tcW w:w="1276" w:type="dxa"/>
            <w:shd w:val="clear" w:color="000000" w:fill="D9D9D9"/>
            <w:hideMark/>
          </w:tcPr>
          <w:p w14:paraId="07E1DAD7" w14:textId="59D74681" w:rsidR="007A7964" w:rsidRPr="007A7964" w:rsidRDefault="007A7964" w:rsidP="007A7964">
            <w:pPr>
              <w:spacing w:before="0" w:after="0"/>
              <w:jc w:val="right"/>
              <w:rPr>
                <w:rFonts w:eastAsia="Times New Roman"/>
                <w:b/>
                <w:bCs/>
                <w:color w:val="000000"/>
                <w:sz w:val="14"/>
                <w:szCs w:val="14"/>
                <w:lang w:eastAsia="en-GB" w:bidi="ne-NP"/>
              </w:rPr>
            </w:pPr>
            <w:r w:rsidRPr="007A7964">
              <w:rPr>
                <w:sz w:val="14"/>
                <w:szCs w:val="14"/>
              </w:rPr>
              <w:t>1 037 549 972</w:t>
            </w:r>
          </w:p>
        </w:tc>
        <w:tc>
          <w:tcPr>
            <w:tcW w:w="992" w:type="dxa"/>
            <w:shd w:val="clear" w:color="000000" w:fill="D9D9D9"/>
            <w:noWrap/>
            <w:hideMark/>
          </w:tcPr>
          <w:p w14:paraId="7E9518C8" w14:textId="70C20727" w:rsidR="007A7964" w:rsidRPr="007A7964" w:rsidRDefault="007A7964" w:rsidP="007A7964">
            <w:pPr>
              <w:spacing w:before="0" w:after="0"/>
              <w:jc w:val="center"/>
              <w:rPr>
                <w:rFonts w:eastAsia="Times New Roman"/>
                <w:b/>
                <w:bCs/>
                <w:color w:val="000000"/>
                <w:sz w:val="14"/>
                <w:szCs w:val="14"/>
                <w:lang w:eastAsia="en-GB" w:bidi="ne-NP"/>
              </w:rPr>
            </w:pPr>
            <w:r w:rsidRPr="007A7964">
              <w:rPr>
                <w:sz w:val="14"/>
                <w:szCs w:val="14"/>
              </w:rPr>
              <w:t>0,85</w:t>
            </w:r>
          </w:p>
        </w:tc>
      </w:tr>
      <w:tr w:rsidR="007A7964" w:rsidRPr="007A7964" w14:paraId="53D6F766" w14:textId="77777777" w:rsidTr="003155B0">
        <w:trPr>
          <w:trHeight w:val="315"/>
        </w:trPr>
        <w:tc>
          <w:tcPr>
            <w:tcW w:w="855" w:type="dxa"/>
            <w:shd w:val="clear" w:color="auto" w:fill="auto"/>
            <w:vAlign w:val="center"/>
            <w:hideMark/>
          </w:tcPr>
          <w:p w14:paraId="39504F03" w14:textId="77777777" w:rsidR="007A7964" w:rsidRPr="007A7964" w:rsidRDefault="007A7964" w:rsidP="007A7964">
            <w:pPr>
              <w:spacing w:before="0" w:after="0"/>
              <w:rPr>
                <w:rFonts w:eastAsia="Times New Roman"/>
                <w:sz w:val="14"/>
                <w:szCs w:val="14"/>
                <w:lang w:eastAsia="en-GB" w:bidi="ne-NP"/>
              </w:rPr>
            </w:pPr>
            <w:r w:rsidRPr="007A7964">
              <w:rPr>
                <w:rFonts w:eastAsia="Times New Roman"/>
                <w:sz w:val="14"/>
                <w:szCs w:val="14"/>
                <w:lang w:eastAsia="en-GB" w:bidi="ne-NP"/>
              </w:rPr>
              <w:t>3.1.</w:t>
            </w:r>
          </w:p>
        </w:tc>
        <w:tc>
          <w:tcPr>
            <w:tcW w:w="778" w:type="dxa"/>
            <w:shd w:val="clear" w:color="auto" w:fill="auto"/>
            <w:vAlign w:val="center"/>
            <w:hideMark/>
          </w:tcPr>
          <w:p w14:paraId="58F3EA46"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k</w:t>
            </w:r>
          </w:p>
        </w:tc>
        <w:tc>
          <w:tcPr>
            <w:tcW w:w="722" w:type="dxa"/>
            <w:shd w:val="clear" w:color="auto" w:fill="auto"/>
            <w:vAlign w:val="center"/>
            <w:hideMark/>
          </w:tcPr>
          <w:p w14:paraId="206F6483" w14:textId="77777777" w:rsidR="007A7964" w:rsidRPr="007A7964" w:rsidRDefault="007A7964" w:rsidP="007A7964">
            <w:pPr>
              <w:spacing w:before="0" w:after="0"/>
              <w:jc w:val="left"/>
              <w:rPr>
                <w:rFonts w:eastAsia="Times New Roman"/>
                <w:color w:val="000000"/>
                <w:sz w:val="14"/>
                <w:szCs w:val="14"/>
                <w:lang w:eastAsia="en-GB" w:bidi="ne-NP"/>
              </w:rPr>
            </w:pPr>
            <w:r w:rsidRPr="007A7964">
              <w:rPr>
                <w:rFonts w:eastAsia="Times New Roman"/>
                <w:color w:val="000000"/>
                <w:sz w:val="14"/>
                <w:szCs w:val="14"/>
                <w:lang w:eastAsia="en-GB" w:bidi="ne-NP"/>
              </w:rPr>
              <w:t>KF</w:t>
            </w:r>
          </w:p>
        </w:tc>
        <w:tc>
          <w:tcPr>
            <w:tcW w:w="831" w:type="dxa"/>
            <w:shd w:val="clear" w:color="auto" w:fill="auto"/>
            <w:vAlign w:val="center"/>
            <w:hideMark/>
          </w:tcPr>
          <w:p w14:paraId="6C6FAA56"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N/A</w:t>
            </w:r>
          </w:p>
        </w:tc>
        <w:tc>
          <w:tcPr>
            <w:tcW w:w="1056" w:type="dxa"/>
            <w:shd w:val="clear" w:color="auto" w:fill="auto"/>
            <w:hideMark/>
          </w:tcPr>
          <w:p w14:paraId="12E6A0A7" w14:textId="3C3B740E"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881 917 477</w:t>
            </w:r>
          </w:p>
        </w:tc>
        <w:tc>
          <w:tcPr>
            <w:tcW w:w="1125" w:type="dxa"/>
            <w:shd w:val="clear" w:color="auto" w:fill="auto"/>
            <w:hideMark/>
          </w:tcPr>
          <w:p w14:paraId="0D880441" w14:textId="64D35D23" w:rsidR="007A7964" w:rsidRPr="007A7964" w:rsidRDefault="007A7964" w:rsidP="007A7964">
            <w:pPr>
              <w:spacing w:before="0" w:after="0"/>
              <w:jc w:val="right"/>
              <w:rPr>
                <w:rFonts w:eastAsia="Times New Roman"/>
                <w:sz w:val="14"/>
                <w:szCs w:val="14"/>
                <w:lang w:eastAsia="en-GB" w:bidi="ne-NP"/>
              </w:rPr>
            </w:pPr>
            <w:r w:rsidRPr="007A7964">
              <w:rPr>
                <w:sz w:val="14"/>
                <w:szCs w:val="14"/>
              </w:rPr>
              <w:t>726 589 761</w:t>
            </w:r>
          </w:p>
        </w:tc>
        <w:tc>
          <w:tcPr>
            <w:tcW w:w="1125" w:type="dxa"/>
            <w:shd w:val="clear" w:color="auto" w:fill="auto"/>
            <w:hideMark/>
          </w:tcPr>
          <w:p w14:paraId="3617E3BE" w14:textId="39F8A9B7" w:rsidR="007A7964" w:rsidRPr="007A7964" w:rsidRDefault="007A7964" w:rsidP="007A7964">
            <w:pPr>
              <w:spacing w:before="0" w:after="0"/>
              <w:jc w:val="right"/>
              <w:rPr>
                <w:rFonts w:eastAsia="Times New Roman"/>
                <w:sz w:val="14"/>
                <w:szCs w:val="14"/>
                <w:lang w:eastAsia="en-GB" w:bidi="ne-NP"/>
              </w:rPr>
            </w:pPr>
            <w:r w:rsidRPr="007A7964">
              <w:rPr>
                <w:sz w:val="14"/>
                <w:szCs w:val="14"/>
              </w:rPr>
              <w:t>18 630 507</w:t>
            </w:r>
          </w:p>
        </w:tc>
        <w:tc>
          <w:tcPr>
            <w:tcW w:w="1142" w:type="dxa"/>
            <w:shd w:val="clear" w:color="auto" w:fill="auto"/>
            <w:hideMark/>
          </w:tcPr>
          <w:p w14:paraId="4D88B75B" w14:textId="20A4F70B" w:rsidR="007A7964" w:rsidRPr="007A7964" w:rsidRDefault="007A7964" w:rsidP="007A7964">
            <w:pPr>
              <w:spacing w:before="0" w:after="0"/>
              <w:jc w:val="right"/>
              <w:rPr>
                <w:rFonts w:eastAsia="Times New Roman"/>
                <w:sz w:val="14"/>
                <w:szCs w:val="14"/>
                <w:lang w:eastAsia="en-GB" w:bidi="ne-NP"/>
              </w:rPr>
            </w:pPr>
            <w:r w:rsidRPr="007A7964">
              <w:rPr>
                <w:sz w:val="14"/>
                <w:szCs w:val="14"/>
              </w:rPr>
              <w:t>136 697 209</w:t>
            </w:r>
          </w:p>
        </w:tc>
        <w:tc>
          <w:tcPr>
            <w:tcW w:w="1008" w:type="dxa"/>
            <w:shd w:val="clear" w:color="auto" w:fill="auto"/>
            <w:hideMark/>
          </w:tcPr>
          <w:p w14:paraId="10EEF4E7" w14:textId="68797EB8" w:rsidR="007A7964" w:rsidRPr="007A7964" w:rsidRDefault="007A7964" w:rsidP="007A7964">
            <w:pPr>
              <w:spacing w:before="0" w:after="0"/>
              <w:jc w:val="left"/>
              <w:rPr>
                <w:rFonts w:eastAsia="Times New Roman"/>
                <w:sz w:val="14"/>
                <w:szCs w:val="14"/>
                <w:lang w:eastAsia="en-GB" w:bidi="ne-NP"/>
              </w:rPr>
            </w:pPr>
          </w:p>
        </w:tc>
        <w:tc>
          <w:tcPr>
            <w:tcW w:w="1134" w:type="dxa"/>
            <w:shd w:val="clear" w:color="auto" w:fill="auto"/>
            <w:noWrap/>
            <w:hideMark/>
          </w:tcPr>
          <w:p w14:paraId="3A360966" w14:textId="499C6764"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155 632 496</w:t>
            </w:r>
          </w:p>
        </w:tc>
        <w:tc>
          <w:tcPr>
            <w:tcW w:w="1276" w:type="dxa"/>
            <w:shd w:val="clear" w:color="000000" w:fill="FFFFFF"/>
            <w:hideMark/>
          </w:tcPr>
          <w:p w14:paraId="461372D5" w14:textId="3258E578"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77 816 248</w:t>
            </w:r>
          </w:p>
        </w:tc>
        <w:tc>
          <w:tcPr>
            <w:tcW w:w="1134" w:type="dxa"/>
            <w:shd w:val="clear" w:color="000000" w:fill="FFFFFF"/>
            <w:hideMark/>
          </w:tcPr>
          <w:p w14:paraId="73293AFB" w14:textId="08AF9155"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77 816 248</w:t>
            </w:r>
          </w:p>
        </w:tc>
        <w:tc>
          <w:tcPr>
            <w:tcW w:w="1276" w:type="dxa"/>
            <w:shd w:val="clear" w:color="auto" w:fill="auto"/>
            <w:noWrap/>
            <w:hideMark/>
          </w:tcPr>
          <w:p w14:paraId="0FC894B7" w14:textId="5A9E698E"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1 037 549 972</w:t>
            </w:r>
          </w:p>
        </w:tc>
        <w:tc>
          <w:tcPr>
            <w:tcW w:w="992" w:type="dxa"/>
            <w:shd w:val="clear" w:color="auto" w:fill="auto"/>
            <w:noWrap/>
            <w:hideMark/>
          </w:tcPr>
          <w:p w14:paraId="1CFDE8C1" w14:textId="79A1C601" w:rsidR="007A7964" w:rsidRPr="007A7964" w:rsidRDefault="007A7964" w:rsidP="007A7964">
            <w:pPr>
              <w:spacing w:before="0" w:after="0"/>
              <w:jc w:val="center"/>
              <w:rPr>
                <w:rFonts w:eastAsia="Times New Roman"/>
                <w:color w:val="000000"/>
                <w:sz w:val="14"/>
                <w:szCs w:val="14"/>
                <w:lang w:eastAsia="en-GB" w:bidi="ne-NP"/>
              </w:rPr>
            </w:pPr>
            <w:r w:rsidRPr="007A7964">
              <w:rPr>
                <w:sz w:val="14"/>
                <w:szCs w:val="14"/>
              </w:rPr>
              <w:t>0,85</w:t>
            </w:r>
          </w:p>
        </w:tc>
      </w:tr>
      <w:tr w:rsidR="0065103A" w:rsidRPr="007A7964" w14:paraId="7C98E976" w14:textId="77777777" w:rsidTr="003155B0">
        <w:trPr>
          <w:trHeight w:val="315"/>
        </w:trPr>
        <w:tc>
          <w:tcPr>
            <w:tcW w:w="855" w:type="dxa"/>
            <w:shd w:val="clear" w:color="000000" w:fill="D9D9D9"/>
            <w:vAlign w:val="center"/>
            <w:hideMark/>
          </w:tcPr>
          <w:p w14:paraId="78DDE23D" w14:textId="77777777" w:rsidR="0065103A" w:rsidRPr="007A7964" w:rsidRDefault="0065103A" w:rsidP="0065103A">
            <w:pPr>
              <w:spacing w:before="0" w:after="0"/>
              <w:rPr>
                <w:rFonts w:eastAsia="Times New Roman"/>
                <w:b/>
                <w:bCs/>
                <w:sz w:val="14"/>
                <w:szCs w:val="14"/>
                <w:lang w:eastAsia="en-GB" w:bidi="ne-NP"/>
              </w:rPr>
            </w:pPr>
            <w:r w:rsidRPr="007A7964">
              <w:rPr>
                <w:rFonts w:eastAsia="Times New Roman"/>
                <w:b/>
                <w:bCs/>
                <w:sz w:val="14"/>
                <w:szCs w:val="14"/>
                <w:lang w:eastAsia="en-GB" w:bidi="ne-NP"/>
              </w:rPr>
              <w:t>kopā</w:t>
            </w:r>
          </w:p>
        </w:tc>
        <w:tc>
          <w:tcPr>
            <w:tcW w:w="778" w:type="dxa"/>
            <w:shd w:val="clear" w:color="000000" w:fill="D9D9D9"/>
            <w:vAlign w:val="center"/>
            <w:hideMark/>
          </w:tcPr>
          <w:p w14:paraId="733D245C" w14:textId="77777777" w:rsidR="0065103A" w:rsidRPr="007A7964" w:rsidRDefault="0065103A" w:rsidP="0065103A">
            <w:pPr>
              <w:spacing w:before="0" w:after="0"/>
              <w:rPr>
                <w:rFonts w:eastAsia="Times New Roman"/>
                <w:b/>
                <w:bCs/>
                <w:color w:val="000000"/>
                <w:sz w:val="14"/>
                <w:szCs w:val="14"/>
                <w:lang w:eastAsia="en-GB" w:bidi="ne-NP"/>
              </w:rPr>
            </w:pPr>
            <w:r w:rsidRPr="007A7964">
              <w:rPr>
                <w:rFonts w:eastAsia="Times New Roman"/>
                <w:b/>
                <w:bCs/>
                <w:color w:val="000000"/>
                <w:sz w:val="14"/>
                <w:szCs w:val="14"/>
                <w:lang w:eastAsia="en-GB" w:bidi="ne-NP"/>
              </w:rPr>
              <w:t>k</w:t>
            </w:r>
          </w:p>
        </w:tc>
        <w:tc>
          <w:tcPr>
            <w:tcW w:w="722" w:type="dxa"/>
            <w:shd w:val="clear" w:color="000000" w:fill="D9D9D9"/>
            <w:vAlign w:val="center"/>
            <w:hideMark/>
          </w:tcPr>
          <w:p w14:paraId="0BA8D456" w14:textId="77777777" w:rsidR="0065103A" w:rsidRPr="007A7964" w:rsidRDefault="0065103A" w:rsidP="0065103A">
            <w:pPr>
              <w:spacing w:before="0" w:after="0"/>
              <w:jc w:val="left"/>
              <w:rPr>
                <w:rFonts w:eastAsia="Times New Roman"/>
                <w:b/>
                <w:bCs/>
                <w:color w:val="000000"/>
                <w:sz w:val="14"/>
                <w:szCs w:val="14"/>
                <w:lang w:eastAsia="en-GB" w:bidi="ne-NP"/>
              </w:rPr>
            </w:pPr>
            <w:r w:rsidRPr="007A7964">
              <w:rPr>
                <w:rFonts w:eastAsia="Times New Roman"/>
                <w:b/>
                <w:bCs/>
                <w:color w:val="000000"/>
                <w:sz w:val="14"/>
                <w:szCs w:val="14"/>
                <w:lang w:eastAsia="en-GB" w:bidi="ne-NP"/>
              </w:rPr>
              <w:t>ERAF</w:t>
            </w:r>
          </w:p>
        </w:tc>
        <w:tc>
          <w:tcPr>
            <w:tcW w:w="831" w:type="dxa"/>
            <w:shd w:val="clear" w:color="000000" w:fill="D9D9D9"/>
            <w:vAlign w:val="center"/>
            <w:hideMark/>
          </w:tcPr>
          <w:p w14:paraId="66E6A4E8" w14:textId="77777777" w:rsidR="0065103A" w:rsidRPr="007A7964" w:rsidRDefault="0065103A" w:rsidP="0065103A">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Mazāk attīstīts</w:t>
            </w:r>
          </w:p>
        </w:tc>
        <w:tc>
          <w:tcPr>
            <w:tcW w:w="1056" w:type="dxa"/>
            <w:shd w:val="clear" w:color="000000" w:fill="D9D9D9"/>
            <w:hideMark/>
          </w:tcPr>
          <w:p w14:paraId="395144EE" w14:textId="754244CB" w:rsidR="0065103A" w:rsidRPr="0065103A" w:rsidRDefault="0065103A" w:rsidP="0065103A">
            <w:pPr>
              <w:spacing w:before="0" w:after="0"/>
              <w:jc w:val="right"/>
              <w:rPr>
                <w:rFonts w:eastAsia="Times New Roman"/>
                <w:b/>
                <w:bCs/>
                <w:color w:val="000000"/>
                <w:sz w:val="14"/>
                <w:szCs w:val="14"/>
                <w:lang w:eastAsia="en-GB" w:bidi="ne-NP"/>
              </w:rPr>
            </w:pPr>
            <w:r w:rsidRPr="0065103A">
              <w:rPr>
                <w:sz w:val="14"/>
                <w:szCs w:val="14"/>
              </w:rPr>
              <w:t>590 675 251</w:t>
            </w:r>
          </w:p>
        </w:tc>
        <w:tc>
          <w:tcPr>
            <w:tcW w:w="1125" w:type="dxa"/>
            <w:shd w:val="clear" w:color="000000" w:fill="D9D9D9"/>
            <w:hideMark/>
          </w:tcPr>
          <w:p w14:paraId="67C09CC5" w14:textId="2368325F" w:rsidR="0065103A" w:rsidRPr="0065103A" w:rsidRDefault="0065103A" w:rsidP="0065103A">
            <w:pPr>
              <w:spacing w:before="0" w:after="0"/>
              <w:jc w:val="right"/>
              <w:rPr>
                <w:rFonts w:eastAsia="Times New Roman"/>
                <w:b/>
                <w:bCs/>
                <w:color w:val="000000"/>
                <w:sz w:val="14"/>
                <w:szCs w:val="14"/>
                <w:lang w:eastAsia="en-GB" w:bidi="ne-NP"/>
              </w:rPr>
            </w:pPr>
            <w:r w:rsidRPr="0065103A">
              <w:rPr>
                <w:sz w:val="14"/>
                <w:szCs w:val="14"/>
              </w:rPr>
              <w:t>481 651 367</w:t>
            </w:r>
          </w:p>
        </w:tc>
        <w:tc>
          <w:tcPr>
            <w:tcW w:w="1125" w:type="dxa"/>
            <w:shd w:val="clear" w:color="000000" w:fill="D9D9D9"/>
            <w:hideMark/>
          </w:tcPr>
          <w:p w14:paraId="634B1119" w14:textId="7D3CD8E9" w:rsidR="0065103A" w:rsidRPr="0065103A" w:rsidRDefault="0065103A" w:rsidP="0065103A">
            <w:pPr>
              <w:spacing w:before="0" w:after="0"/>
              <w:jc w:val="right"/>
              <w:rPr>
                <w:rFonts w:eastAsia="Times New Roman"/>
                <w:b/>
                <w:bCs/>
                <w:color w:val="000000"/>
                <w:sz w:val="14"/>
                <w:szCs w:val="14"/>
                <w:lang w:eastAsia="en-GB" w:bidi="ne-NP"/>
              </w:rPr>
            </w:pPr>
            <w:r w:rsidRPr="0065103A">
              <w:rPr>
                <w:sz w:val="14"/>
                <w:szCs w:val="14"/>
              </w:rPr>
              <w:t>17 469 221</w:t>
            </w:r>
          </w:p>
        </w:tc>
        <w:tc>
          <w:tcPr>
            <w:tcW w:w="1142" w:type="dxa"/>
            <w:shd w:val="clear" w:color="000000" w:fill="D9D9D9"/>
            <w:hideMark/>
          </w:tcPr>
          <w:p w14:paraId="51DBDCA0" w14:textId="02779A99" w:rsidR="0065103A" w:rsidRPr="0065103A" w:rsidRDefault="0065103A" w:rsidP="0065103A">
            <w:pPr>
              <w:spacing w:before="0" w:after="0"/>
              <w:jc w:val="right"/>
              <w:rPr>
                <w:rFonts w:eastAsia="Times New Roman"/>
                <w:b/>
                <w:bCs/>
                <w:sz w:val="14"/>
                <w:szCs w:val="14"/>
                <w:lang w:eastAsia="en-GB" w:bidi="ne-NP"/>
              </w:rPr>
            </w:pPr>
            <w:r w:rsidRPr="0065103A">
              <w:rPr>
                <w:sz w:val="14"/>
                <w:szCs w:val="14"/>
              </w:rPr>
              <w:t>88 259 563</w:t>
            </w:r>
          </w:p>
        </w:tc>
        <w:tc>
          <w:tcPr>
            <w:tcW w:w="1008" w:type="dxa"/>
            <w:shd w:val="clear" w:color="000000" w:fill="D9D9D9"/>
            <w:hideMark/>
          </w:tcPr>
          <w:p w14:paraId="7AABB938" w14:textId="62F95E33" w:rsidR="0065103A" w:rsidRPr="0065103A" w:rsidRDefault="0065103A" w:rsidP="0065103A">
            <w:pPr>
              <w:spacing w:before="0" w:after="0"/>
              <w:jc w:val="right"/>
              <w:rPr>
                <w:rFonts w:eastAsia="Times New Roman"/>
                <w:b/>
                <w:bCs/>
                <w:sz w:val="14"/>
                <w:szCs w:val="14"/>
                <w:lang w:eastAsia="en-GB" w:bidi="ne-NP"/>
              </w:rPr>
            </w:pPr>
            <w:r w:rsidRPr="0065103A">
              <w:rPr>
                <w:sz w:val="14"/>
                <w:szCs w:val="14"/>
              </w:rPr>
              <w:t>3 295 101</w:t>
            </w:r>
          </w:p>
        </w:tc>
        <w:tc>
          <w:tcPr>
            <w:tcW w:w="1134" w:type="dxa"/>
            <w:shd w:val="clear" w:color="000000" w:fill="D9D9D9"/>
            <w:hideMark/>
          </w:tcPr>
          <w:p w14:paraId="28ED840B" w14:textId="721A91A8" w:rsidR="0065103A" w:rsidRPr="0065103A" w:rsidRDefault="0065103A" w:rsidP="0065103A">
            <w:pPr>
              <w:spacing w:before="0" w:after="0"/>
              <w:jc w:val="right"/>
              <w:rPr>
                <w:rFonts w:eastAsia="Times New Roman"/>
                <w:b/>
                <w:bCs/>
                <w:color w:val="000000"/>
                <w:sz w:val="14"/>
                <w:szCs w:val="14"/>
                <w:lang w:eastAsia="en-GB" w:bidi="ne-NP"/>
              </w:rPr>
            </w:pPr>
            <w:r w:rsidRPr="0065103A">
              <w:rPr>
                <w:sz w:val="14"/>
                <w:szCs w:val="14"/>
              </w:rPr>
              <w:t>104 236 809</w:t>
            </w:r>
          </w:p>
        </w:tc>
        <w:tc>
          <w:tcPr>
            <w:tcW w:w="1276" w:type="dxa"/>
            <w:shd w:val="clear" w:color="000000" w:fill="D9D9D9"/>
            <w:hideMark/>
          </w:tcPr>
          <w:p w14:paraId="3AEF66A6" w14:textId="055D039E" w:rsidR="0065103A" w:rsidRPr="0065103A" w:rsidRDefault="0065103A" w:rsidP="0065103A">
            <w:pPr>
              <w:spacing w:before="0" w:after="0"/>
              <w:jc w:val="right"/>
              <w:rPr>
                <w:rFonts w:eastAsia="Times New Roman"/>
                <w:b/>
                <w:bCs/>
                <w:color w:val="000000"/>
                <w:sz w:val="14"/>
                <w:szCs w:val="14"/>
                <w:lang w:eastAsia="en-GB" w:bidi="ne-NP"/>
              </w:rPr>
            </w:pPr>
            <w:r w:rsidRPr="0065103A">
              <w:rPr>
                <w:sz w:val="14"/>
                <w:szCs w:val="14"/>
              </w:rPr>
              <w:t>52 118 405</w:t>
            </w:r>
          </w:p>
        </w:tc>
        <w:tc>
          <w:tcPr>
            <w:tcW w:w="1134" w:type="dxa"/>
            <w:shd w:val="clear" w:color="000000" w:fill="D9D9D9"/>
            <w:hideMark/>
          </w:tcPr>
          <w:p w14:paraId="0D41C12E" w14:textId="7B3FD3CA" w:rsidR="0065103A" w:rsidRPr="0065103A" w:rsidRDefault="0065103A" w:rsidP="0065103A">
            <w:pPr>
              <w:spacing w:before="0" w:after="0"/>
              <w:jc w:val="right"/>
              <w:rPr>
                <w:rFonts w:eastAsia="Times New Roman"/>
                <w:b/>
                <w:bCs/>
                <w:color w:val="000000"/>
                <w:sz w:val="14"/>
                <w:szCs w:val="14"/>
                <w:lang w:eastAsia="en-GB" w:bidi="ne-NP"/>
              </w:rPr>
            </w:pPr>
            <w:r w:rsidRPr="0065103A">
              <w:rPr>
                <w:sz w:val="14"/>
                <w:szCs w:val="14"/>
              </w:rPr>
              <w:t>52 118 405</w:t>
            </w:r>
          </w:p>
        </w:tc>
        <w:tc>
          <w:tcPr>
            <w:tcW w:w="1276" w:type="dxa"/>
            <w:shd w:val="clear" w:color="000000" w:fill="D9D9D9"/>
            <w:hideMark/>
          </w:tcPr>
          <w:p w14:paraId="2E9CB124" w14:textId="337C3097" w:rsidR="0065103A" w:rsidRPr="0065103A" w:rsidRDefault="0065103A" w:rsidP="0065103A">
            <w:pPr>
              <w:spacing w:before="0" w:after="0"/>
              <w:jc w:val="right"/>
              <w:rPr>
                <w:rFonts w:eastAsia="Times New Roman"/>
                <w:b/>
                <w:bCs/>
                <w:color w:val="000000"/>
                <w:sz w:val="14"/>
                <w:szCs w:val="14"/>
                <w:lang w:eastAsia="en-GB" w:bidi="ne-NP"/>
              </w:rPr>
            </w:pPr>
            <w:r w:rsidRPr="0065103A">
              <w:rPr>
                <w:sz w:val="14"/>
                <w:szCs w:val="14"/>
              </w:rPr>
              <w:t>694 912 060</w:t>
            </w:r>
          </w:p>
        </w:tc>
        <w:tc>
          <w:tcPr>
            <w:tcW w:w="992" w:type="dxa"/>
            <w:shd w:val="clear" w:color="000000" w:fill="D9D9D9"/>
            <w:noWrap/>
            <w:hideMark/>
          </w:tcPr>
          <w:p w14:paraId="4C448B18" w14:textId="2549B529" w:rsidR="0065103A" w:rsidRPr="0065103A" w:rsidRDefault="0065103A" w:rsidP="0065103A">
            <w:pPr>
              <w:spacing w:before="0" w:after="0"/>
              <w:jc w:val="center"/>
              <w:rPr>
                <w:rFonts w:eastAsia="Times New Roman"/>
                <w:b/>
                <w:bCs/>
                <w:color w:val="000000"/>
                <w:sz w:val="14"/>
                <w:szCs w:val="14"/>
                <w:lang w:eastAsia="en-GB" w:bidi="ne-NP"/>
              </w:rPr>
            </w:pPr>
            <w:r w:rsidRPr="0065103A">
              <w:rPr>
                <w:sz w:val="14"/>
                <w:szCs w:val="14"/>
              </w:rPr>
              <w:t>0,85</w:t>
            </w:r>
          </w:p>
        </w:tc>
      </w:tr>
      <w:tr w:rsidR="0065103A" w:rsidRPr="007A7964" w14:paraId="6926767A" w14:textId="77777777" w:rsidTr="003155B0">
        <w:trPr>
          <w:trHeight w:val="315"/>
        </w:trPr>
        <w:tc>
          <w:tcPr>
            <w:tcW w:w="855" w:type="dxa"/>
            <w:shd w:val="clear" w:color="000000" w:fill="D9D9D9"/>
            <w:vAlign w:val="center"/>
            <w:hideMark/>
          </w:tcPr>
          <w:p w14:paraId="11415A97" w14:textId="77777777" w:rsidR="0065103A" w:rsidRPr="007A7964" w:rsidRDefault="0065103A" w:rsidP="0065103A">
            <w:pPr>
              <w:spacing w:before="0" w:after="0"/>
              <w:rPr>
                <w:rFonts w:eastAsia="Times New Roman"/>
                <w:b/>
                <w:bCs/>
                <w:sz w:val="14"/>
                <w:szCs w:val="14"/>
                <w:lang w:eastAsia="en-GB" w:bidi="ne-NP"/>
              </w:rPr>
            </w:pPr>
            <w:r w:rsidRPr="007A7964">
              <w:rPr>
                <w:rFonts w:eastAsia="Times New Roman"/>
                <w:b/>
                <w:bCs/>
                <w:sz w:val="14"/>
                <w:szCs w:val="14"/>
                <w:lang w:eastAsia="en-GB" w:bidi="ne-NP"/>
              </w:rPr>
              <w:t>kopā</w:t>
            </w:r>
          </w:p>
        </w:tc>
        <w:tc>
          <w:tcPr>
            <w:tcW w:w="778" w:type="dxa"/>
            <w:shd w:val="clear" w:color="000000" w:fill="D9D9D9"/>
            <w:vAlign w:val="center"/>
            <w:hideMark/>
          </w:tcPr>
          <w:p w14:paraId="133D1D1D" w14:textId="77777777" w:rsidR="0065103A" w:rsidRPr="007A7964" w:rsidRDefault="0065103A" w:rsidP="0065103A">
            <w:pPr>
              <w:spacing w:before="0" w:after="0"/>
              <w:rPr>
                <w:rFonts w:eastAsia="Times New Roman"/>
                <w:b/>
                <w:bCs/>
                <w:color w:val="000000"/>
                <w:sz w:val="14"/>
                <w:szCs w:val="14"/>
                <w:lang w:eastAsia="en-GB" w:bidi="ne-NP"/>
              </w:rPr>
            </w:pPr>
            <w:r w:rsidRPr="007A7964">
              <w:rPr>
                <w:rFonts w:eastAsia="Times New Roman"/>
                <w:b/>
                <w:bCs/>
                <w:color w:val="000000"/>
                <w:sz w:val="14"/>
                <w:szCs w:val="14"/>
                <w:lang w:eastAsia="en-GB" w:bidi="ne-NP"/>
              </w:rPr>
              <w:t>k</w:t>
            </w:r>
          </w:p>
        </w:tc>
        <w:tc>
          <w:tcPr>
            <w:tcW w:w="722" w:type="dxa"/>
            <w:shd w:val="clear" w:color="000000" w:fill="D9D9D9"/>
            <w:vAlign w:val="center"/>
            <w:hideMark/>
          </w:tcPr>
          <w:p w14:paraId="2A92953D" w14:textId="77777777" w:rsidR="0065103A" w:rsidRPr="007A7964" w:rsidRDefault="0065103A" w:rsidP="0065103A">
            <w:pPr>
              <w:spacing w:before="0" w:after="0"/>
              <w:jc w:val="left"/>
              <w:rPr>
                <w:rFonts w:eastAsia="Times New Roman"/>
                <w:b/>
                <w:bCs/>
                <w:color w:val="000000"/>
                <w:sz w:val="14"/>
                <w:szCs w:val="14"/>
                <w:lang w:eastAsia="en-GB" w:bidi="ne-NP"/>
              </w:rPr>
            </w:pPr>
            <w:r w:rsidRPr="007A7964">
              <w:rPr>
                <w:rFonts w:eastAsia="Times New Roman"/>
                <w:b/>
                <w:bCs/>
                <w:color w:val="000000"/>
                <w:sz w:val="14"/>
                <w:szCs w:val="14"/>
                <w:lang w:eastAsia="en-GB" w:bidi="ne-NP"/>
              </w:rPr>
              <w:t>ESF+</w:t>
            </w:r>
          </w:p>
        </w:tc>
        <w:tc>
          <w:tcPr>
            <w:tcW w:w="831" w:type="dxa"/>
            <w:shd w:val="clear" w:color="000000" w:fill="D9D9D9"/>
            <w:vAlign w:val="center"/>
            <w:hideMark/>
          </w:tcPr>
          <w:p w14:paraId="5474055F" w14:textId="77777777" w:rsidR="0065103A" w:rsidRPr="007A7964" w:rsidRDefault="0065103A" w:rsidP="0065103A">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Mazāk attīstīts</w:t>
            </w:r>
          </w:p>
        </w:tc>
        <w:tc>
          <w:tcPr>
            <w:tcW w:w="1056" w:type="dxa"/>
            <w:shd w:val="clear" w:color="000000" w:fill="D9D9D9"/>
            <w:hideMark/>
          </w:tcPr>
          <w:p w14:paraId="01FF00E8" w14:textId="7B24706E" w:rsidR="0065103A" w:rsidRPr="0065103A" w:rsidRDefault="0065103A" w:rsidP="0065103A">
            <w:pPr>
              <w:spacing w:before="0" w:after="0"/>
              <w:jc w:val="right"/>
              <w:rPr>
                <w:rFonts w:eastAsia="Times New Roman"/>
                <w:b/>
                <w:bCs/>
                <w:sz w:val="14"/>
                <w:szCs w:val="14"/>
                <w:lang w:eastAsia="en-GB" w:bidi="ne-NP"/>
              </w:rPr>
            </w:pPr>
            <w:r w:rsidRPr="0065103A">
              <w:rPr>
                <w:sz w:val="14"/>
                <w:szCs w:val="14"/>
              </w:rPr>
              <w:t>691 857 535</w:t>
            </w:r>
          </w:p>
        </w:tc>
        <w:tc>
          <w:tcPr>
            <w:tcW w:w="1125" w:type="dxa"/>
            <w:shd w:val="clear" w:color="000000" w:fill="D9D9D9"/>
            <w:hideMark/>
          </w:tcPr>
          <w:p w14:paraId="59B6B141" w14:textId="781BE001" w:rsidR="0065103A" w:rsidRPr="0065103A" w:rsidRDefault="0065103A" w:rsidP="0065103A">
            <w:pPr>
              <w:spacing w:before="0" w:after="0"/>
              <w:jc w:val="right"/>
              <w:rPr>
                <w:rFonts w:eastAsia="Times New Roman"/>
                <w:b/>
                <w:bCs/>
                <w:sz w:val="14"/>
                <w:szCs w:val="14"/>
                <w:lang w:eastAsia="en-GB" w:bidi="ne-NP"/>
              </w:rPr>
            </w:pPr>
            <w:r w:rsidRPr="0065103A">
              <w:rPr>
                <w:sz w:val="14"/>
                <w:szCs w:val="14"/>
              </w:rPr>
              <w:t>561 234 832</w:t>
            </w:r>
          </w:p>
        </w:tc>
        <w:tc>
          <w:tcPr>
            <w:tcW w:w="1125" w:type="dxa"/>
            <w:shd w:val="clear" w:color="000000" w:fill="D9D9D9"/>
            <w:hideMark/>
          </w:tcPr>
          <w:p w14:paraId="50BAFC81" w14:textId="63016F51" w:rsidR="0065103A" w:rsidRPr="0065103A" w:rsidRDefault="0065103A" w:rsidP="0065103A">
            <w:pPr>
              <w:spacing w:before="0" w:after="0"/>
              <w:jc w:val="right"/>
              <w:rPr>
                <w:rFonts w:eastAsia="Times New Roman"/>
                <w:b/>
                <w:bCs/>
                <w:sz w:val="14"/>
                <w:szCs w:val="14"/>
                <w:lang w:eastAsia="en-GB" w:bidi="ne-NP"/>
              </w:rPr>
            </w:pPr>
            <w:r w:rsidRPr="0065103A">
              <w:rPr>
                <w:sz w:val="14"/>
                <w:szCs w:val="14"/>
              </w:rPr>
              <w:t>23 384 785</w:t>
            </w:r>
          </w:p>
        </w:tc>
        <w:tc>
          <w:tcPr>
            <w:tcW w:w="1142" w:type="dxa"/>
            <w:shd w:val="clear" w:color="000000" w:fill="D9D9D9"/>
            <w:hideMark/>
          </w:tcPr>
          <w:p w14:paraId="3075BE4D" w14:textId="48838791" w:rsidR="0065103A" w:rsidRPr="0065103A" w:rsidRDefault="0065103A" w:rsidP="0065103A">
            <w:pPr>
              <w:spacing w:before="0" w:after="0"/>
              <w:jc w:val="right"/>
              <w:rPr>
                <w:rFonts w:eastAsia="Times New Roman"/>
                <w:b/>
                <w:bCs/>
                <w:sz w:val="14"/>
                <w:szCs w:val="14"/>
                <w:lang w:eastAsia="en-GB" w:bidi="ne-NP"/>
              </w:rPr>
            </w:pPr>
            <w:r w:rsidRPr="0065103A">
              <w:rPr>
                <w:sz w:val="14"/>
                <w:szCs w:val="14"/>
              </w:rPr>
              <w:t>103 770 032</w:t>
            </w:r>
          </w:p>
        </w:tc>
        <w:tc>
          <w:tcPr>
            <w:tcW w:w="1008" w:type="dxa"/>
            <w:shd w:val="clear" w:color="000000" w:fill="D9D9D9"/>
            <w:hideMark/>
          </w:tcPr>
          <w:p w14:paraId="301256DB" w14:textId="5E13A00B" w:rsidR="0065103A" w:rsidRPr="0065103A" w:rsidRDefault="0065103A" w:rsidP="0065103A">
            <w:pPr>
              <w:spacing w:before="0" w:after="0"/>
              <w:jc w:val="right"/>
              <w:rPr>
                <w:rFonts w:eastAsia="Times New Roman"/>
                <w:b/>
                <w:bCs/>
                <w:sz w:val="14"/>
                <w:szCs w:val="14"/>
                <w:lang w:eastAsia="en-GB" w:bidi="ne-NP"/>
              </w:rPr>
            </w:pPr>
            <w:r w:rsidRPr="0065103A">
              <w:rPr>
                <w:sz w:val="14"/>
                <w:szCs w:val="14"/>
              </w:rPr>
              <w:t>3 467 886</w:t>
            </w:r>
          </w:p>
        </w:tc>
        <w:tc>
          <w:tcPr>
            <w:tcW w:w="1134" w:type="dxa"/>
            <w:shd w:val="clear" w:color="000000" w:fill="D9D9D9"/>
            <w:hideMark/>
          </w:tcPr>
          <w:p w14:paraId="4A9AE2F4" w14:textId="524395DC" w:rsidR="0065103A" w:rsidRPr="0065103A" w:rsidRDefault="0065103A" w:rsidP="0065103A">
            <w:pPr>
              <w:spacing w:before="0" w:after="0"/>
              <w:jc w:val="right"/>
              <w:rPr>
                <w:rFonts w:eastAsia="Times New Roman"/>
                <w:b/>
                <w:bCs/>
                <w:sz w:val="14"/>
                <w:szCs w:val="14"/>
                <w:lang w:eastAsia="en-GB" w:bidi="ne-NP"/>
              </w:rPr>
            </w:pPr>
            <w:r w:rsidRPr="0065103A">
              <w:rPr>
                <w:sz w:val="14"/>
                <w:szCs w:val="14"/>
              </w:rPr>
              <w:t>122 092 506</w:t>
            </w:r>
          </w:p>
        </w:tc>
        <w:tc>
          <w:tcPr>
            <w:tcW w:w="1276" w:type="dxa"/>
            <w:shd w:val="clear" w:color="000000" w:fill="D9D9D9"/>
            <w:hideMark/>
          </w:tcPr>
          <w:p w14:paraId="33018ADA" w14:textId="7044A4BB" w:rsidR="0065103A" w:rsidRPr="0065103A" w:rsidRDefault="0065103A" w:rsidP="0065103A">
            <w:pPr>
              <w:spacing w:before="0" w:after="0"/>
              <w:jc w:val="right"/>
              <w:rPr>
                <w:rFonts w:eastAsia="Times New Roman"/>
                <w:b/>
                <w:bCs/>
                <w:sz w:val="14"/>
                <w:szCs w:val="14"/>
                <w:lang w:eastAsia="en-GB" w:bidi="ne-NP"/>
              </w:rPr>
            </w:pPr>
            <w:r w:rsidRPr="0065103A">
              <w:rPr>
                <w:sz w:val="14"/>
                <w:szCs w:val="14"/>
              </w:rPr>
              <w:t>61 046 253</w:t>
            </w:r>
          </w:p>
        </w:tc>
        <w:tc>
          <w:tcPr>
            <w:tcW w:w="1134" w:type="dxa"/>
            <w:shd w:val="clear" w:color="000000" w:fill="D9D9D9"/>
            <w:hideMark/>
          </w:tcPr>
          <w:p w14:paraId="5D38895C" w14:textId="3E298A39" w:rsidR="0065103A" w:rsidRPr="0065103A" w:rsidRDefault="0065103A" w:rsidP="0065103A">
            <w:pPr>
              <w:spacing w:before="0" w:after="0"/>
              <w:jc w:val="right"/>
              <w:rPr>
                <w:rFonts w:eastAsia="Times New Roman"/>
                <w:b/>
                <w:bCs/>
                <w:sz w:val="14"/>
                <w:szCs w:val="14"/>
                <w:lang w:eastAsia="en-GB" w:bidi="ne-NP"/>
              </w:rPr>
            </w:pPr>
            <w:r w:rsidRPr="0065103A">
              <w:rPr>
                <w:sz w:val="14"/>
                <w:szCs w:val="14"/>
              </w:rPr>
              <w:t>61 046 253</w:t>
            </w:r>
          </w:p>
        </w:tc>
        <w:tc>
          <w:tcPr>
            <w:tcW w:w="1276" w:type="dxa"/>
            <w:shd w:val="clear" w:color="000000" w:fill="D9D9D9"/>
            <w:hideMark/>
          </w:tcPr>
          <w:p w14:paraId="5CFA8927" w14:textId="0C083403" w:rsidR="0065103A" w:rsidRPr="0065103A" w:rsidRDefault="0065103A" w:rsidP="0065103A">
            <w:pPr>
              <w:spacing w:before="0" w:after="0"/>
              <w:jc w:val="right"/>
              <w:rPr>
                <w:rFonts w:eastAsia="Times New Roman"/>
                <w:b/>
                <w:bCs/>
                <w:sz w:val="14"/>
                <w:szCs w:val="14"/>
                <w:lang w:eastAsia="en-GB" w:bidi="ne-NP"/>
              </w:rPr>
            </w:pPr>
            <w:r w:rsidRPr="0065103A">
              <w:rPr>
                <w:sz w:val="14"/>
                <w:szCs w:val="14"/>
              </w:rPr>
              <w:t>813 950 041</w:t>
            </w:r>
          </w:p>
        </w:tc>
        <w:tc>
          <w:tcPr>
            <w:tcW w:w="992" w:type="dxa"/>
            <w:shd w:val="clear" w:color="000000" w:fill="D9D9D9"/>
            <w:noWrap/>
            <w:hideMark/>
          </w:tcPr>
          <w:p w14:paraId="126C8B3E" w14:textId="303F8464" w:rsidR="0065103A" w:rsidRPr="0065103A" w:rsidRDefault="0065103A" w:rsidP="0065103A">
            <w:pPr>
              <w:spacing w:before="0" w:after="0"/>
              <w:jc w:val="center"/>
              <w:rPr>
                <w:rFonts w:eastAsia="Times New Roman"/>
                <w:b/>
                <w:bCs/>
                <w:color w:val="000000"/>
                <w:sz w:val="14"/>
                <w:szCs w:val="14"/>
                <w:lang w:eastAsia="en-GB" w:bidi="ne-NP"/>
              </w:rPr>
            </w:pPr>
            <w:r w:rsidRPr="0065103A">
              <w:rPr>
                <w:sz w:val="14"/>
                <w:szCs w:val="14"/>
              </w:rPr>
              <w:t>0,85</w:t>
            </w:r>
          </w:p>
        </w:tc>
      </w:tr>
      <w:tr w:rsidR="0065103A" w:rsidRPr="007A7964" w14:paraId="2D01CB8B" w14:textId="77777777" w:rsidTr="003155B0">
        <w:trPr>
          <w:trHeight w:val="315"/>
        </w:trPr>
        <w:tc>
          <w:tcPr>
            <w:tcW w:w="855" w:type="dxa"/>
            <w:shd w:val="clear" w:color="auto" w:fill="auto"/>
            <w:vAlign w:val="center"/>
            <w:hideMark/>
          </w:tcPr>
          <w:p w14:paraId="039C25ED" w14:textId="77777777" w:rsidR="0065103A" w:rsidRPr="007A7964" w:rsidRDefault="0065103A" w:rsidP="0065103A">
            <w:pPr>
              <w:spacing w:before="0" w:after="0"/>
              <w:rPr>
                <w:rFonts w:eastAsia="Times New Roman"/>
                <w:sz w:val="14"/>
                <w:szCs w:val="14"/>
                <w:lang w:eastAsia="en-GB" w:bidi="ne-NP"/>
              </w:rPr>
            </w:pPr>
            <w:r w:rsidRPr="007A7964">
              <w:rPr>
                <w:rFonts w:eastAsia="Times New Roman"/>
                <w:sz w:val="14"/>
                <w:szCs w:val="14"/>
                <w:lang w:eastAsia="en-GB" w:bidi="ne-NP"/>
              </w:rPr>
              <w:t>4.1.</w:t>
            </w:r>
          </w:p>
        </w:tc>
        <w:tc>
          <w:tcPr>
            <w:tcW w:w="778" w:type="dxa"/>
            <w:shd w:val="clear" w:color="auto" w:fill="auto"/>
            <w:vAlign w:val="center"/>
            <w:hideMark/>
          </w:tcPr>
          <w:p w14:paraId="1867B564" w14:textId="77777777" w:rsidR="0065103A" w:rsidRPr="007A7964" w:rsidRDefault="0065103A" w:rsidP="0065103A">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k</w:t>
            </w:r>
          </w:p>
        </w:tc>
        <w:tc>
          <w:tcPr>
            <w:tcW w:w="722" w:type="dxa"/>
            <w:shd w:val="clear" w:color="auto" w:fill="auto"/>
            <w:vAlign w:val="center"/>
            <w:hideMark/>
          </w:tcPr>
          <w:p w14:paraId="5DA66AF5" w14:textId="77777777" w:rsidR="0065103A" w:rsidRPr="007A7964" w:rsidRDefault="0065103A" w:rsidP="0065103A">
            <w:pPr>
              <w:spacing w:before="0" w:after="0"/>
              <w:jc w:val="left"/>
              <w:rPr>
                <w:rFonts w:eastAsia="Times New Roman"/>
                <w:color w:val="000000"/>
                <w:sz w:val="14"/>
                <w:szCs w:val="14"/>
                <w:lang w:eastAsia="en-GB" w:bidi="ne-NP"/>
              </w:rPr>
            </w:pPr>
            <w:r w:rsidRPr="007A7964">
              <w:rPr>
                <w:rFonts w:eastAsia="Times New Roman"/>
                <w:color w:val="000000"/>
                <w:sz w:val="14"/>
                <w:szCs w:val="14"/>
                <w:lang w:eastAsia="en-GB" w:bidi="ne-NP"/>
              </w:rPr>
              <w:t>ERAF</w:t>
            </w:r>
          </w:p>
        </w:tc>
        <w:tc>
          <w:tcPr>
            <w:tcW w:w="831" w:type="dxa"/>
            <w:shd w:val="clear" w:color="auto" w:fill="auto"/>
            <w:vAlign w:val="center"/>
            <w:hideMark/>
          </w:tcPr>
          <w:p w14:paraId="54622A98" w14:textId="77777777" w:rsidR="0065103A" w:rsidRPr="007A7964" w:rsidRDefault="0065103A" w:rsidP="0065103A">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Mazāk attīstīts</w:t>
            </w:r>
          </w:p>
        </w:tc>
        <w:tc>
          <w:tcPr>
            <w:tcW w:w="1056" w:type="dxa"/>
            <w:shd w:val="clear" w:color="auto" w:fill="auto"/>
            <w:hideMark/>
          </w:tcPr>
          <w:p w14:paraId="5508F125" w14:textId="56A5D80B"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284 400 205</w:t>
            </w:r>
          </w:p>
        </w:tc>
        <w:tc>
          <w:tcPr>
            <w:tcW w:w="1125" w:type="dxa"/>
            <w:shd w:val="clear" w:color="auto" w:fill="auto"/>
            <w:hideMark/>
          </w:tcPr>
          <w:p w14:paraId="5857AA18" w14:textId="3A38590A" w:rsidR="0065103A" w:rsidRPr="0065103A" w:rsidRDefault="0065103A" w:rsidP="0065103A">
            <w:pPr>
              <w:spacing w:before="0" w:after="0"/>
              <w:jc w:val="right"/>
              <w:rPr>
                <w:rFonts w:eastAsia="Times New Roman"/>
                <w:sz w:val="14"/>
                <w:szCs w:val="14"/>
                <w:lang w:eastAsia="en-GB" w:bidi="ne-NP"/>
              </w:rPr>
            </w:pPr>
            <w:r w:rsidRPr="0065103A">
              <w:rPr>
                <w:sz w:val="14"/>
                <w:szCs w:val="14"/>
              </w:rPr>
              <w:t>231 907 037</w:t>
            </w:r>
          </w:p>
        </w:tc>
        <w:tc>
          <w:tcPr>
            <w:tcW w:w="1125" w:type="dxa"/>
            <w:shd w:val="clear" w:color="auto" w:fill="auto"/>
            <w:hideMark/>
          </w:tcPr>
          <w:p w14:paraId="36254904" w14:textId="472ACD61" w:rsidR="0065103A" w:rsidRPr="0065103A" w:rsidRDefault="0065103A" w:rsidP="0065103A">
            <w:pPr>
              <w:spacing w:before="0" w:after="0"/>
              <w:jc w:val="right"/>
              <w:rPr>
                <w:rFonts w:eastAsia="Times New Roman"/>
                <w:sz w:val="14"/>
                <w:szCs w:val="14"/>
                <w:lang w:eastAsia="en-GB" w:bidi="ne-NP"/>
              </w:rPr>
            </w:pPr>
            <w:r w:rsidRPr="0065103A">
              <w:rPr>
                <w:sz w:val="14"/>
                <w:szCs w:val="14"/>
              </w:rPr>
              <w:t>8 411 136</w:t>
            </w:r>
          </w:p>
        </w:tc>
        <w:tc>
          <w:tcPr>
            <w:tcW w:w="1142" w:type="dxa"/>
            <w:shd w:val="clear" w:color="auto" w:fill="auto"/>
            <w:hideMark/>
          </w:tcPr>
          <w:p w14:paraId="4F6EE051" w14:textId="72411615" w:rsidR="0065103A" w:rsidRPr="0065103A" w:rsidRDefault="0065103A" w:rsidP="0065103A">
            <w:pPr>
              <w:spacing w:before="0" w:after="0"/>
              <w:jc w:val="right"/>
              <w:rPr>
                <w:rFonts w:eastAsia="Times New Roman"/>
                <w:sz w:val="14"/>
                <w:szCs w:val="14"/>
                <w:lang w:eastAsia="en-GB" w:bidi="ne-NP"/>
              </w:rPr>
            </w:pPr>
            <w:r w:rsidRPr="0065103A">
              <w:rPr>
                <w:sz w:val="14"/>
                <w:szCs w:val="14"/>
              </w:rPr>
              <w:t>42 539 161</w:t>
            </w:r>
          </w:p>
        </w:tc>
        <w:tc>
          <w:tcPr>
            <w:tcW w:w="1008" w:type="dxa"/>
            <w:shd w:val="clear" w:color="auto" w:fill="auto"/>
            <w:hideMark/>
          </w:tcPr>
          <w:p w14:paraId="6BA0504D" w14:textId="7DD2C2E2" w:rsidR="0065103A" w:rsidRPr="0065103A" w:rsidRDefault="0065103A" w:rsidP="0065103A">
            <w:pPr>
              <w:spacing w:before="0" w:after="0"/>
              <w:jc w:val="right"/>
              <w:rPr>
                <w:rFonts w:eastAsia="Times New Roman"/>
                <w:sz w:val="14"/>
                <w:szCs w:val="14"/>
                <w:lang w:eastAsia="en-GB" w:bidi="ne-NP"/>
              </w:rPr>
            </w:pPr>
            <w:r w:rsidRPr="0065103A">
              <w:rPr>
                <w:sz w:val="14"/>
                <w:szCs w:val="14"/>
              </w:rPr>
              <w:t>1 542 871</w:t>
            </w:r>
          </w:p>
        </w:tc>
        <w:tc>
          <w:tcPr>
            <w:tcW w:w="1134" w:type="dxa"/>
            <w:shd w:val="clear" w:color="auto" w:fill="auto"/>
            <w:noWrap/>
            <w:hideMark/>
          </w:tcPr>
          <w:p w14:paraId="003581C1" w14:textId="1288117F"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50 188 272</w:t>
            </w:r>
          </w:p>
        </w:tc>
        <w:tc>
          <w:tcPr>
            <w:tcW w:w="1276" w:type="dxa"/>
            <w:shd w:val="clear" w:color="000000" w:fill="FFFFFF"/>
            <w:hideMark/>
          </w:tcPr>
          <w:p w14:paraId="1FBF6C42" w14:textId="5CB2B67D"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25 094 136</w:t>
            </w:r>
          </w:p>
        </w:tc>
        <w:tc>
          <w:tcPr>
            <w:tcW w:w="1134" w:type="dxa"/>
            <w:shd w:val="clear" w:color="000000" w:fill="FFFFFF"/>
            <w:hideMark/>
          </w:tcPr>
          <w:p w14:paraId="0DA8DABA" w14:textId="2B3F2EB0"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25 094 136</w:t>
            </w:r>
          </w:p>
        </w:tc>
        <w:tc>
          <w:tcPr>
            <w:tcW w:w="1276" w:type="dxa"/>
            <w:shd w:val="clear" w:color="auto" w:fill="auto"/>
            <w:noWrap/>
            <w:hideMark/>
          </w:tcPr>
          <w:p w14:paraId="21DBBCA8" w14:textId="32E23FF6"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334 588 477</w:t>
            </w:r>
          </w:p>
        </w:tc>
        <w:tc>
          <w:tcPr>
            <w:tcW w:w="992" w:type="dxa"/>
            <w:shd w:val="clear" w:color="auto" w:fill="auto"/>
            <w:noWrap/>
            <w:hideMark/>
          </w:tcPr>
          <w:p w14:paraId="05E13D85" w14:textId="5AB11235" w:rsidR="0065103A" w:rsidRPr="0065103A" w:rsidRDefault="0065103A" w:rsidP="0065103A">
            <w:pPr>
              <w:spacing w:before="0" w:after="0"/>
              <w:jc w:val="center"/>
              <w:rPr>
                <w:rFonts w:eastAsia="Times New Roman"/>
                <w:color w:val="000000"/>
                <w:sz w:val="14"/>
                <w:szCs w:val="14"/>
                <w:lang w:eastAsia="en-GB" w:bidi="ne-NP"/>
              </w:rPr>
            </w:pPr>
            <w:r w:rsidRPr="0065103A">
              <w:rPr>
                <w:sz w:val="14"/>
                <w:szCs w:val="14"/>
              </w:rPr>
              <w:t>0,85</w:t>
            </w:r>
          </w:p>
        </w:tc>
      </w:tr>
      <w:tr w:rsidR="0065103A" w:rsidRPr="007A7964" w14:paraId="2D1A673A" w14:textId="77777777" w:rsidTr="003155B0">
        <w:trPr>
          <w:trHeight w:val="315"/>
        </w:trPr>
        <w:tc>
          <w:tcPr>
            <w:tcW w:w="855" w:type="dxa"/>
            <w:shd w:val="clear" w:color="auto" w:fill="auto"/>
            <w:vAlign w:val="center"/>
            <w:hideMark/>
          </w:tcPr>
          <w:p w14:paraId="38EA5E20" w14:textId="77777777" w:rsidR="0065103A" w:rsidRPr="007A7964" w:rsidRDefault="0065103A" w:rsidP="0065103A">
            <w:pPr>
              <w:spacing w:before="0" w:after="0"/>
              <w:rPr>
                <w:rFonts w:eastAsia="Times New Roman"/>
                <w:sz w:val="14"/>
                <w:szCs w:val="14"/>
                <w:lang w:eastAsia="en-GB" w:bidi="ne-NP"/>
              </w:rPr>
            </w:pPr>
            <w:r w:rsidRPr="007A7964">
              <w:rPr>
                <w:rFonts w:eastAsia="Times New Roman"/>
                <w:sz w:val="14"/>
                <w:szCs w:val="14"/>
                <w:lang w:eastAsia="en-GB" w:bidi="ne-NP"/>
              </w:rPr>
              <w:t>4.1.</w:t>
            </w:r>
          </w:p>
        </w:tc>
        <w:tc>
          <w:tcPr>
            <w:tcW w:w="778" w:type="dxa"/>
            <w:shd w:val="clear" w:color="auto" w:fill="auto"/>
            <w:vAlign w:val="center"/>
            <w:hideMark/>
          </w:tcPr>
          <w:p w14:paraId="1229C82C" w14:textId="77777777" w:rsidR="0065103A" w:rsidRPr="007A7964" w:rsidRDefault="0065103A" w:rsidP="0065103A">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k</w:t>
            </w:r>
          </w:p>
        </w:tc>
        <w:tc>
          <w:tcPr>
            <w:tcW w:w="722" w:type="dxa"/>
            <w:shd w:val="clear" w:color="auto" w:fill="auto"/>
            <w:vAlign w:val="center"/>
            <w:hideMark/>
          </w:tcPr>
          <w:p w14:paraId="67F0EB97" w14:textId="77777777" w:rsidR="0065103A" w:rsidRPr="007A7964" w:rsidRDefault="0065103A" w:rsidP="0065103A">
            <w:pPr>
              <w:spacing w:before="0" w:after="0"/>
              <w:jc w:val="left"/>
              <w:rPr>
                <w:rFonts w:eastAsia="Times New Roman"/>
                <w:color w:val="000000"/>
                <w:sz w:val="14"/>
                <w:szCs w:val="14"/>
                <w:lang w:eastAsia="en-GB" w:bidi="ne-NP"/>
              </w:rPr>
            </w:pPr>
            <w:r w:rsidRPr="007A7964">
              <w:rPr>
                <w:rFonts w:eastAsia="Times New Roman"/>
                <w:color w:val="000000"/>
                <w:sz w:val="14"/>
                <w:szCs w:val="14"/>
                <w:lang w:eastAsia="en-GB" w:bidi="ne-NP"/>
              </w:rPr>
              <w:t>ESF</w:t>
            </w:r>
          </w:p>
        </w:tc>
        <w:tc>
          <w:tcPr>
            <w:tcW w:w="831" w:type="dxa"/>
            <w:shd w:val="clear" w:color="auto" w:fill="auto"/>
            <w:vAlign w:val="center"/>
            <w:hideMark/>
          </w:tcPr>
          <w:p w14:paraId="208AF51F" w14:textId="77777777" w:rsidR="0065103A" w:rsidRPr="007A7964" w:rsidRDefault="0065103A" w:rsidP="0065103A">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Mazāk attīstīts</w:t>
            </w:r>
          </w:p>
        </w:tc>
        <w:tc>
          <w:tcPr>
            <w:tcW w:w="1056" w:type="dxa"/>
            <w:shd w:val="clear" w:color="auto" w:fill="auto"/>
            <w:hideMark/>
          </w:tcPr>
          <w:p w14:paraId="0DEA6402" w14:textId="69473AE4"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52 920 469</w:t>
            </w:r>
          </w:p>
        </w:tc>
        <w:tc>
          <w:tcPr>
            <w:tcW w:w="1125" w:type="dxa"/>
            <w:shd w:val="clear" w:color="auto" w:fill="auto"/>
            <w:hideMark/>
          </w:tcPr>
          <w:p w14:paraId="6FC73649" w14:textId="7E9F211A" w:rsidR="0065103A" w:rsidRPr="0065103A" w:rsidRDefault="0065103A" w:rsidP="0065103A">
            <w:pPr>
              <w:spacing w:before="0" w:after="0"/>
              <w:jc w:val="right"/>
              <w:rPr>
                <w:rFonts w:eastAsia="Times New Roman"/>
                <w:sz w:val="14"/>
                <w:szCs w:val="14"/>
                <w:lang w:eastAsia="en-GB" w:bidi="ne-NP"/>
              </w:rPr>
            </w:pPr>
            <w:r w:rsidRPr="0065103A">
              <w:rPr>
                <w:sz w:val="14"/>
                <w:szCs w:val="14"/>
              </w:rPr>
              <w:t>42 929 084</w:t>
            </w:r>
          </w:p>
        </w:tc>
        <w:tc>
          <w:tcPr>
            <w:tcW w:w="1125" w:type="dxa"/>
            <w:shd w:val="clear" w:color="auto" w:fill="auto"/>
            <w:hideMark/>
          </w:tcPr>
          <w:p w14:paraId="487A9038" w14:textId="78CB3E15" w:rsidR="0065103A" w:rsidRPr="0065103A" w:rsidRDefault="0065103A" w:rsidP="0065103A">
            <w:pPr>
              <w:spacing w:before="0" w:after="0"/>
              <w:jc w:val="right"/>
              <w:rPr>
                <w:rFonts w:eastAsia="Times New Roman"/>
                <w:sz w:val="14"/>
                <w:szCs w:val="14"/>
                <w:lang w:eastAsia="en-GB" w:bidi="ne-NP"/>
              </w:rPr>
            </w:pPr>
            <w:r w:rsidRPr="0065103A">
              <w:rPr>
                <w:sz w:val="14"/>
                <w:szCs w:val="14"/>
              </w:rPr>
              <w:t>1 788 712</w:t>
            </w:r>
          </w:p>
        </w:tc>
        <w:tc>
          <w:tcPr>
            <w:tcW w:w="1142" w:type="dxa"/>
            <w:shd w:val="clear" w:color="auto" w:fill="auto"/>
            <w:hideMark/>
          </w:tcPr>
          <w:p w14:paraId="20FB9E5F" w14:textId="796698C7" w:rsidR="0065103A" w:rsidRPr="0065103A" w:rsidRDefault="0065103A" w:rsidP="0065103A">
            <w:pPr>
              <w:spacing w:before="0" w:after="0"/>
              <w:jc w:val="right"/>
              <w:rPr>
                <w:rFonts w:eastAsia="Times New Roman"/>
                <w:sz w:val="14"/>
                <w:szCs w:val="14"/>
                <w:lang w:eastAsia="en-GB" w:bidi="ne-NP"/>
              </w:rPr>
            </w:pPr>
            <w:r w:rsidRPr="0065103A">
              <w:rPr>
                <w:sz w:val="14"/>
                <w:szCs w:val="14"/>
              </w:rPr>
              <w:t>7 874 566</w:t>
            </w:r>
          </w:p>
        </w:tc>
        <w:tc>
          <w:tcPr>
            <w:tcW w:w="1008" w:type="dxa"/>
            <w:shd w:val="clear" w:color="auto" w:fill="auto"/>
            <w:hideMark/>
          </w:tcPr>
          <w:p w14:paraId="6FF756CF" w14:textId="4D2695E1" w:rsidR="0065103A" w:rsidRPr="0065103A" w:rsidRDefault="0065103A" w:rsidP="0065103A">
            <w:pPr>
              <w:spacing w:before="0" w:after="0"/>
              <w:jc w:val="right"/>
              <w:rPr>
                <w:rFonts w:eastAsia="Times New Roman"/>
                <w:sz w:val="14"/>
                <w:szCs w:val="14"/>
                <w:lang w:eastAsia="en-GB" w:bidi="ne-NP"/>
              </w:rPr>
            </w:pPr>
            <w:r w:rsidRPr="0065103A">
              <w:rPr>
                <w:sz w:val="14"/>
                <w:szCs w:val="14"/>
              </w:rPr>
              <w:t>328 107</w:t>
            </w:r>
          </w:p>
        </w:tc>
        <w:tc>
          <w:tcPr>
            <w:tcW w:w="1134" w:type="dxa"/>
            <w:shd w:val="clear" w:color="auto" w:fill="auto"/>
            <w:noWrap/>
            <w:hideMark/>
          </w:tcPr>
          <w:p w14:paraId="7ECA3B28" w14:textId="20A01544"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9 338 906</w:t>
            </w:r>
          </w:p>
        </w:tc>
        <w:tc>
          <w:tcPr>
            <w:tcW w:w="1276" w:type="dxa"/>
            <w:shd w:val="clear" w:color="000000" w:fill="FFFFFF"/>
            <w:hideMark/>
          </w:tcPr>
          <w:p w14:paraId="2F4C6664" w14:textId="51C1381F"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4 669 453</w:t>
            </w:r>
          </w:p>
        </w:tc>
        <w:tc>
          <w:tcPr>
            <w:tcW w:w="1134" w:type="dxa"/>
            <w:shd w:val="clear" w:color="000000" w:fill="FFFFFF"/>
            <w:hideMark/>
          </w:tcPr>
          <w:p w14:paraId="2100E3B8" w14:textId="2A1EBD6D"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4 669 453</w:t>
            </w:r>
          </w:p>
        </w:tc>
        <w:tc>
          <w:tcPr>
            <w:tcW w:w="1276" w:type="dxa"/>
            <w:shd w:val="clear" w:color="auto" w:fill="auto"/>
            <w:noWrap/>
            <w:hideMark/>
          </w:tcPr>
          <w:p w14:paraId="3A2CD812" w14:textId="0F3D9F4C"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62 259 375</w:t>
            </w:r>
          </w:p>
        </w:tc>
        <w:tc>
          <w:tcPr>
            <w:tcW w:w="992" w:type="dxa"/>
            <w:shd w:val="clear" w:color="auto" w:fill="auto"/>
            <w:noWrap/>
            <w:hideMark/>
          </w:tcPr>
          <w:p w14:paraId="6569F64A" w14:textId="1B786141" w:rsidR="0065103A" w:rsidRPr="0065103A" w:rsidRDefault="0065103A" w:rsidP="0065103A">
            <w:pPr>
              <w:spacing w:before="0" w:after="0"/>
              <w:jc w:val="center"/>
              <w:rPr>
                <w:rFonts w:eastAsia="Times New Roman"/>
                <w:color w:val="000000"/>
                <w:sz w:val="14"/>
                <w:szCs w:val="14"/>
                <w:lang w:eastAsia="en-GB" w:bidi="ne-NP"/>
              </w:rPr>
            </w:pPr>
            <w:r w:rsidRPr="0065103A">
              <w:rPr>
                <w:sz w:val="14"/>
                <w:szCs w:val="14"/>
              </w:rPr>
              <w:t>0,85</w:t>
            </w:r>
          </w:p>
        </w:tc>
      </w:tr>
      <w:tr w:rsidR="0065103A" w:rsidRPr="007A7964" w14:paraId="16964F71" w14:textId="77777777" w:rsidTr="003155B0">
        <w:trPr>
          <w:trHeight w:val="315"/>
        </w:trPr>
        <w:tc>
          <w:tcPr>
            <w:tcW w:w="855" w:type="dxa"/>
            <w:shd w:val="clear" w:color="auto" w:fill="auto"/>
            <w:vAlign w:val="center"/>
            <w:hideMark/>
          </w:tcPr>
          <w:p w14:paraId="68F6D696" w14:textId="77777777" w:rsidR="0065103A" w:rsidRPr="007A7964" w:rsidRDefault="0065103A" w:rsidP="0065103A">
            <w:pPr>
              <w:spacing w:before="0" w:after="0"/>
              <w:rPr>
                <w:rFonts w:eastAsia="Times New Roman"/>
                <w:sz w:val="14"/>
                <w:szCs w:val="14"/>
                <w:lang w:eastAsia="en-GB" w:bidi="ne-NP"/>
              </w:rPr>
            </w:pPr>
            <w:r w:rsidRPr="007A7964">
              <w:rPr>
                <w:rFonts w:eastAsia="Times New Roman"/>
                <w:sz w:val="14"/>
                <w:szCs w:val="14"/>
                <w:lang w:eastAsia="en-GB" w:bidi="ne-NP"/>
              </w:rPr>
              <w:t>4.2.</w:t>
            </w:r>
          </w:p>
        </w:tc>
        <w:tc>
          <w:tcPr>
            <w:tcW w:w="778" w:type="dxa"/>
            <w:shd w:val="clear" w:color="auto" w:fill="auto"/>
            <w:vAlign w:val="center"/>
            <w:hideMark/>
          </w:tcPr>
          <w:p w14:paraId="6093335F" w14:textId="77777777" w:rsidR="0065103A" w:rsidRPr="007A7964" w:rsidRDefault="0065103A" w:rsidP="0065103A">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k</w:t>
            </w:r>
          </w:p>
        </w:tc>
        <w:tc>
          <w:tcPr>
            <w:tcW w:w="722" w:type="dxa"/>
            <w:shd w:val="clear" w:color="auto" w:fill="auto"/>
            <w:vAlign w:val="center"/>
            <w:hideMark/>
          </w:tcPr>
          <w:p w14:paraId="0A26BF86" w14:textId="77777777" w:rsidR="0065103A" w:rsidRPr="007A7964" w:rsidRDefault="0065103A" w:rsidP="0065103A">
            <w:pPr>
              <w:spacing w:before="0" w:after="0"/>
              <w:jc w:val="left"/>
              <w:rPr>
                <w:rFonts w:eastAsia="Times New Roman"/>
                <w:color w:val="000000"/>
                <w:sz w:val="14"/>
                <w:szCs w:val="14"/>
                <w:lang w:eastAsia="en-GB" w:bidi="ne-NP"/>
              </w:rPr>
            </w:pPr>
            <w:r w:rsidRPr="007A7964">
              <w:rPr>
                <w:rFonts w:eastAsia="Times New Roman"/>
                <w:color w:val="000000"/>
                <w:sz w:val="14"/>
                <w:szCs w:val="14"/>
                <w:lang w:eastAsia="en-GB" w:bidi="ne-NP"/>
              </w:rPr>
              <w:t>ERAF</w:t>
            </w:r>
          </w:p>
        </w:tc>
        <w:tc>
          <w:tcPr>
            <w:tcW w:w="831" w:type="dxa"/>
            <w:shd w:val="clear" w:color="auto" w:fill="auto"/>
            <w:vAlign w:val="center"/>
            <w:hideMark/>
          </w:tcPr>
          <w:p w14:paraId="0B8E1C66" w14:textId="77777777" w:rsidR="0065103A" w:rsidRPr="007A7964" w:rsidRDefault="0065103A" w:rsidP="0065103A">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Mazāk attīstīts</w:t>
            </w:r>
          </w:p>
        </w:tc>
        <w:tc>
          <w:tcPr>
            <w:tcW w:w="1056" w:type="dxa"/>
            <w:shd w:val="clear" w:color="auto" w:fill="auto"/>
            <w:hideMark/>
          </w:tcPr>
          <w:p w14:paraId="65E428AE" w14:textId="1A8E1275"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189 258 152</w:t>
            </w:r>
          </w:p>
        </w:tc>
        <w:tc>
          <w:tcPr>
            <w:tcW w:w="1125" w:type="dxa"/>
            <w:shd w:val="clear" w:color="auto" w:fill="auto"/>
            <w:hideMark/>
          </w:tcPr>
          <w:p w14:paraId="09E99B71" w14:textId="1D727819" w:rsidR="0065103A" w:rsidRPr="0065103A" w:rsidRDefault="0065103A" w:rsidP="0065103A">
            <w:pPr>
              <w:spacing w:before="0" w:after="0"/>
              <w:jc w:val="right"/>
              <w:rPr>
                <w:rFonts w:eastAsia="Times New Roman"/>
                <w:sz w:val="14"/>
                <w:szCs w:val="14"/>
                <w:lang w:eastAsia="en-GB" w:bidi="ne-NP"/>
              </w:rPr>
            </w:pPr>
            <w:r w:rsidRPr="0065103A">
              <w:rPr>
                <w:sz w:val="14"/>
                <w:szCs w:val="14"/>
              </w:rPr>
              <w:t>154 325 829</w:t>
            </w:r>
          </w:p>
        </w:tc>
        <w:tc>
          <w:tcPr>
            <w:tcW w:w="1125" w:type="dxa"/>
            <w:shd w:val="clear" w:color="auto" w:fill="auto"/>
            <w:hideMark/>
          </w:tcPr>
          <w:p w14:paraId="61FCE6BC" w14:textId="0D9EFDAC" w:rsidR="0065103A" w:rsidRPr="0065103A" w:rsidRDefault="0065103A" w:rsidP="0065103A">
            <w:pPr>
              <w:spacing w:before="0" w:after="0"/>
              <w:jc w:val="right"/>
              <w:rPr>
                <w:rFonts w:eastAsia="Times New Roman"/>
                <w:sz w:val="14"/>
                <w:szCs w:val="14"/>
                <w:lang w:eastAsia="en-GB" w:bidi="ne-NP"/>
              </w:rPr>
            </w:pPr>
            <w:r w:rsidRPr="0065103A">
              <w:rPr>
                <w:sz w:val="14"/>
                <w:szCs w:val="14"/>
              </w:rPr>
              <w:t>5 597 310</w:t>
            </w:r>
          </w:p>
        </w:tc>
        <w:tc>
          <w:tcPr>
            <w:tcW w:w="1142" w:type="dxa"/>
            <w:shd w:val="clear" w:color="auto" w:fill="auto"/>
            <w:hideMark/>
          </w:tcPr>
          <w:p w14:paraId="3E2CAC57" w14:textId="047740C4" w:rsidR="0065103A" w:rsidRPr="0065103A" w:rsidRDefault="0065103A" w:rsidP="0065103A">
            <w:pPr>
              <w:spacing w:before="0" w:after="0"/>
              <w:jc w:val="right"/>
              <w:rPr>
                <w:rFonts w:eastAsia="Times New Roman"/>
                <w:sz w:val="14"/>
                <w:szCs w:val="14"/>
                <w:lang w:eastAsia="en-GB" w:bidi="ne-NP"/>
              </w:rPr>
            </w:pPr>
            <w:r w:rsidRPr="0065103A">
              <w:rPr>
                <w:sz w:val="14"/>
                <w:szCs w:val="14"/>
              </w:rPr>
              <w:t>28 308 288</w:t>
            </w:r>
          </w:p>
        </w:tc>
        <w:tc>
          <w:tcPr>
            <w:tcW w:w="1008" w:type="dxa"/>
            <w:shd w:val="clear" w:color="auto" w:fill="auto"/>
            <w:hideMark/>
          </w:tcPr>
          <w:p w14:paraId="52DC4A9D" w14:textId="04A36763" w:rsidR="0065103A" w:rsidRPr="0065103A" w:rsidRDefault="0065103A" w:rsidP="0065103A">
            <w:pPr>
              <w:spacing w:before="0" w:after="0"/>
              <w:jc w:val="right"/>
              <w:rPr>
                <w:rFonts w:eastAsia="Times New Roman"/>
                <w:sz w:val="14"/>
                <w:szCs w:val="14"/>
                <w:lang w:eastAsia="en-GB" w:bidi="ne-NP"/>
              </w:rPr>
            </w:pPr>
            <w:r w:rsidRPr="0065103A">
              <w:rPr>
                <w:sz w:val="14"/>
                <w:szCs w:val="14"/>
              </w:rPr>
              <w:t>1 026 725</w:t>
            </w:r>
          </w:p>
        </w:tc>
        <w:tc>
          <w:tcPr>
            <w:tcW w:w="1134" w:type="dxa"/>
            <w:shd w:val="clear" w:color="auto" w:fill="auto"/>
            <w:noWrap/>
            <w:hideMark/>
          </w:tcPr>
          <w:p w14:paraId="68274E09" w14:textId="2966F4C3"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33 398 497</w:t>
            </w:r>
          </w:p>
        </w:tc>
        <w:tc>
          <w:tcPr>
            <w:tcW w:w="1276" w:type="dxa"/>
            <w:shd w:val="clear" w:color="000000" w:fill="FFFFFF"/>
            <w:hideMark/>
          </w:tcPr>
          <w:p w14:paraId="46E9A9C7" w14:textId="441B70AA"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16 699 249</w:t>
            </w:r>
          </w:p>
        </w:tc>
        <w:tc>
          <w:tcPr>
            <w:tcW w:w="1134" w:type="dxa"/>
            <w:shd w:val="clear" w:color="000000" w:fill="FFFFFF"/>
            <w:hideMark/>
          </w:tcPr>
          <w:p w14:paraId="0D231076" w14:textId="73B3D537"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16 699 249</w:t>
            </w:r>
          </w:p>
        </w:tc>
        <w:tc>
          <w:tcPr>
            <w:tcW w:w="1276" w:type="dxa"/>
            <w:shd w:val="clear" w:color="auto" w:fill="auto"/>
            <w:noWrap/>
            <w:hideMark/>
          </w:tcPr>
          <w:p w14:paraId="153B3831" w14:textId="21361707"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222 656 650</w:t>
            </w:r>
          </w:p>
        </w:tc>
        <w:tc>
          <w:tcPr>
            <w:tcW w:w="992" w:type="dxa"/>
            <w:shd w:val="clear" w:color="auto" w:fill="auto"/>
            <w:noWrap/>
            <w:hideMark/>
          </w:tcPr>
          <w:p w14:paraId="1BE7618E" w14:textId="29F8C733" w:rsidR="0065103A" w:rsidRPr="0065103A" w:rsidRDefault="0065103A" w:rsidP="0065103A">
            <w:pPr>
              <w:spacing w:before="0" w:after="0"/>
              <w:jc w:val="center"/>
              <w:rPr>
                <w:rFonts w:eastAsia="Times New Roman"/>
                <w:color w:val="000000"/>
                <w:sz w:val="14"/>
                <w:szCs w:val="14"/>
                <w:lang w:eastAsia="en-GB" w:bidi="ne-NP"/>
              </w:rPr>
            </w:pPr>
            <w:r w:rsidRPr="0065103A">
              <w:rPr>
                <w:sz w:val="14"/>
                <w:szCs w:val="14"/>
              </w:rPr>
              <w:t>0,85</w:t>
            </w:r>
          </w:p>
        </w:tc>
      </w:tr>
      <w:tr w:rsidR="0065103A" w:rsidRPr="007A7964" w14:paraId="19AE9A05" w14:textId="77777777" w:rsidTr="003155B0">
        <w:trPr>
          <w:trHeight w:val="315"/>
        </w:trPr>
        <w:tc>
          <w:tcPr>
            <w:tcW w:w="855" w:type="dxa"/>
            <w:shd w:val="clear" w:color="auto" w:fill="auto"/>
            <w:vAlign w:val="center"/>
            <w:hideMark/>
          </w:tcPr>
          <w:p w14:paraId="1F726723" w14:textId="77777777" w:rsidR="0065103A" w:rsidRPr="007A7964" w:rsidRDefault="0065103A" w:rsidP="0065103A">
            <w:pPr>
              <w:spacing w:before="0" w:after="0"/>
              <w:rPr>
                <w:rFonts w:eastAsia="Times New Roman"/>
                <w:sz w:val="14"/>
                <w:szCs w:val="14"/>
                <w:lang w:eastAsia="en-GB" w:bidi="ne-NP"/>
              </w:rPr>
            </w:pPr>
            <w:r w:rsidRPr="007A7964">
              <w:rPr>
                <w:rFonts w:eastAsia="Times New Roman"/>
                <w:sz w:val="14"/>
                <w:szCs w:val="14"/>
                <w:lang w:eastAsia="en-GB" w:bidi="ne-NP"/>
              </w:rPr>
              <w:t>4.2.</w:t>
            </w:r>
          </w:p>
        </w:tc>
        <w:tc>
          <w:tcPr>
            <w:tcW w:w="778" w:type="dxa"/>
            <w:shd w:val="clear" w:color="auto" w:fill="auto"/>
            <w:vAlign w:val="center"/>
            <w:hideMark/>
          </w:tcPr>
          <w:p w14:paraId="02EB6F54" w14:textId="77777777" w:rsidR="0065103A" w:rsidRPr="007A7964" w:rsidRDefault="0065103A" w:rsidP="0065103A">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k</w:t>
            </w:r>
          </w:p>
        </w:tc>
        <w:tc>
          <w:tcPr>
            <w:tcW w:w="722" w:type="dxa"/>
            <w:shd w:val="clear" w:color="auto" w:fill="auto"/>
            <w:vAlign w:val="center"/>
            <w:hideMark/>
          </w:tcPr>
          <w:p w14:paraId="1D1A932E" w14:textId="77777777" w:rsidR="0065103A" w:rsidRPr="007A7964" w:rsidRDefault="0065103A" w:rsidP="0065103A">
            <w:pPr>
              <w:spacing w:before="0" w:after="0"/>
              <w:jc w:val="left"/>
              <w:rPr>
                <w:rFonts w:eastAsia="Times New Roman"/>
                <w:color w:val="000000"/>
                <w:sz w:val="14"/>
                <w:szCs w:val="14"/>
                <w:lang w:eastAsia="en-GB" w:bidi="ne-NP"/>
              </w:rPr>
            </w:pPr>
            <w:r w:rsidRPr="007A7964">
              <w:rPr>
                <w:rFonts w:eastAsia="Times New Roman"/>
                <w:color w:val="000000"/>
                <w:sz w:val="14"/>
                <w:szCs w:val="14"/>
                <w:lang w:eastAsia="en-GB" w:bidi="ne-NP"/>
              </w:rPr>
              <w:t>ESF</w:t>
            </w:r>
          </w:p>
        </w:tc>
        <w:tc>
          <w:tcPr>
            <w:tcW w:w="831" w:type="dxa"/>
            <w:shd w:val="clear" w:color="auto" w:fill="auto"/>
            <w:vAlign w:val="center"/>
            <w:hideMark/>
          </w:tcPr>
          <w:p w14:paraId="1F8CFEE4" w14:textId="77777777" w:rsidR="0065103A" w:rsidRPr="007A7964" w:rsidRDefault="0065103A" w:rsidP="0065103A">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Mazāk attīstīts</w:t>
            </w:r>
          </w:p>
        </w:tc>
        <w:tc>
          <w:tcPr>
            <w:tcW w:w="1056" w:type="dxa"/>
            <w:shd w:val="clear" w:color="auto" w:fill="auto"/>
            <w:hideMark/>
          </w:tcPr>
          <w:p w14:paraId="7F1B3DA0" w14:textId="110D7487"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263 411 987</w:t>
            </w:r>
          </w:p>
        </w:tc>
        <w:tc>
          <w:tcPr>
            <w:tcW w:w="1125" w:type="dxa"/>
            <w:shd w:val="clear" w:color="auto" w:fill="auto"/>
            <w:hideMark/>
          </w:tcPr>
          <w:p w14:paraId="611B7329" w14:textId="376E6C30" w:rsidR="0065103A" w:rsidRPr="0065103A" w:rsidRDefault="0065103A" w:rsidP="0065103A">
            <w:pPr>
              <w:spacing w:before="0" w:after="0"/>
              <w:jc w:val="right"/>
              <w:rPr>
                <w:rFonts w:eastAsia="Times New Roman"/>
                <w:sz w:val="14"/>
                <w:szCs w:val="14"/>
                <w:lang w:eastAsia="en-GB" w:bidi="ne-NP"/>
              </w:rPr>
            </w:pPr>
            <w:r w:rsidRPr="0065103A">
              <w:rPr>
                <w:sz w:val="14"/>
                <w:szCs w:val="14"/>
              </w:rPr>
              <w:t>213 679 804</w:t>
            </w:r>
          </w:p>
        </w:tc>
        <w:tc>
          <w:tcPr>
            <w:tcW w:w="1125" w:type="dxa"/>
            <w:shd w:val="clear" w:color="auto" w:fill="auto"/>
            <w:hideMark/>
          </w:tcPr>
          <w:p w14:paraId="751DC5A8" w14:textId="095F2CC1" w:rsidR="0065103A" w:rsidRPr="0065103A" w:rsidRDefault="0065103A" w:rsidP="0065103A">
            <w:pPr>
              <w:spacing w:before="0" w:after="0"/>
              <w:jc w:val="right"/>
              <w:rPr>
                <w:rFonts w:eastAsia="Times New Roman"/>
                <w:sz w:val="14"/>
                <w:szCs w:val="14"/>
                <w:lang w:eastAsia="en-GB" w:bidi="ne-NP"/>
              </w:rPr>
            </w:pPr>
            <w:r w:rsidRPr="0065103A">
              <w:rPr>
                <w:sz w:val="14"/>
                <w:szCs w:val="14"/>
              </w:rPr>
              <w:t>8 903 325</w:t>
            </w:r>
          </w:p>
        </w:tc>
        <w:tc>
          <w:tcPr>
            <w:tcW w:w="1142" w:type="dxa"/>
            <w:shd w:val="clear" w:color="auto" w:fill="auto"/>
            <w:hideMark/>
          </w:tcPr>
          <w:p w14:paraId="1234AF1A" w14:textId="1B2E54BA" w:rsidR="0065103A" w:rsidRPr="0065103A" w:rsidRDefault="0065103A" w:rsidP="0065103A">
            <w:pPr>
              <w:spacing w:before="0" w:after="0"/>
              <w:jc w:val="right"/>
              <w:rPr>
                <w:rFonts w:eastAsia="Times New Roman"/>
                <w:sz w:val="14"/>
                <w:szCs w:val="14"/>
                <w:lang w:eastAsia="en-GB" w:bidi="ne-NP"/>
              </w:rPr>
            </w:pPr>
            <w:r w:rsidRPr="0065103A">
              <w:rPr>
                <w:sz w:val="14"/>
                <w:szCs w:val="14"/>
              </w:rPr>
              <w:t>39 195 704</w:t>
            </w:r>
          </w:p>
        </w:tc>
        <w:tc>
          <w:tcPr>
            <w:tcW w:w="1008" w:type="dxa"/>
            <w:shd w:val="clear" w:color="auto" w:fill="auto"/>
            <w:hideMark/>
          </w:tcPr>
          <w:p w14:paraId="0A2E2FAC" w14:textId="380A41A0" w:rsidR="0065103A" w:rsidRPr="0065103A" w:rsidRDefault="0065103A" w:rsidP="0065103A">
            <w:pPr>
              <w:spacing w:before="0" w:after="0"/>
              <w:jc w:val="right"/>
              <w:rPr>
                <w:rFonts w:eastAsia="Times New Roman"/>
                <w:sz w:val="14"/>
                <w:szCs w:val="14"/>
                <w:lang w:eastAsia="en-GB" w:bidi="ne-NP"/>
              </w:rPr>
            </w:pPr>
            <w:r w:rsidRPr="0065103A">
              <w:rPr>
                <w:sz w:val="14"/>
                <w:szCs w:val="14"/>
              </w:rPr>
              <w:t>1 633 154</w:t>
            </w:r>
          </w:p>
        </w:tc>
        <w:tc>
          <w:tcPr>
            <w:tcW w:w="1134" w:type="dxa"/>
            <w:shd w:val="clear" w:color="auto" w:fill="auto"/>
            <w:noWrap/>
            <w:hideMark/>
          </w:tcPr>
          <w:p w14:paraId="28E787F1" w14:textId="7D50C388"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46 484 468</w:t>
            </w:r>
          </w:p>
        </w:tc>
        <w:tc>
          <w:tcPr>
            <w:tcW w:w="1276" w:type="dxa"/>
            <w:shd w:val="clear" w:color="000000" w:fill="FFFFFF"/>
            <w:hideMark/>
          </w:tcPr>
          <w:p w14:paraId="5556F3B4" w14:textId="6C27491F"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23 242 234</w:t>
            </w:r>
          </w:p>
        </w:tc>
        <w:tc>
          <w:tcPr>
            <w:tcW w:w="1134" w:type="dxa"/>
            <w:shd w:val="clear" w:color="000000" w:fill="FFFFFF"/>
            <w:hideMark/>
          </w:tcPr>
          <w:p w14:paraId="03D0215A" w14:textId="724FC290"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23 242 234</w:t>
            </w:r>
          </w:p>
        </w:tc>
        <w:tc>
          <w:tcPr>
            <w:tcW w:w="1276" w:type="dxa"/>
            <w:shd w:val="clear" w:color="auto" w:fill="auto"/>
            <w:noWrap/>
            <w:hideMark/>
          </w:tcPr>
          <w:p w14:paraId="629C2ED1" w14:textId="77EC6202"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309 896 455</w:t>
            </w:r>
          </w:p>
        </w:tc>
        <w:tc>
          <w:tcPr>
            <w:tcW w:w="992" w:type="dxa"/>
            <w:shd w:val="clear" w:color="auto" w:fill="auto"/>
            <w:noWrap/>
            <w:hideMark/>
          </w:tcPr>
          <w:p w14:paraId="1CBCFFD0" w14:textId="30602B51" w:rsidR="0065103A" w:rsidRPr="0065103A" w:rsidRDefault="0065103A" w:rsidP="0065103A">
            <w:pPr>
              <w:spacing w:before="0" w:after="0"/>
              <w:jc w:val="center"/>
              <w:rPr>
                <w:rFonts w:eastAsia="Times New Roman"/>
                <w:color w:val="000000"/>
                <w:sz w:val="14"/>
                <w:szCs w:val="14"/>
                <w:lang w:eastAsia="en-GB" w:bidi="ne-NP"/>
              </w:rPr>
            </w:pPr>
            <w:r w:rsidRPr="0065103A">
              <w:rPr>
                <w:sz w:val="14"/>
                <w:szCs w:val="14"/>
              </w:rPr>
              <w:t>0,85</w:t>
            </w:r>
          </w:p>
        </w:tc>
      </w:tr>
      <w:tr w:rsidR="0065103A" w:rsidRPr="007A7964" w14:paraId="109316BC" w14:textId="77777777" w:rsidTr="003155B0">
        <w:trPr>
          <w:trHeight w:val="315"/>
        </w:trPr>
        <w:tc>
          <w:tcPr>
            <w:tcW w:w="855" w:type="dxa"/>
            <w:shd w:val="clear" w:color="auto" w:fill="auto"/>
            <w:vAlign w:val="center"/>
            <w:hideMark/>
          </w:tcPr>
          <w:p w14:paraId="5A5761EB" w14:textId="77777777" w:rsidR="0065103A" w:rsidRPr="007A7964" w:rsidRDefault="0065103A" w:rsidP="0065103A">
            <w:pPr>
              <w:spacing w:before="0" w:after="0"/>
              <w:rPr>
                <w:rFonts w:eastAsia="Times New Roman"/>
                <w:sz w:val="14"/>
                <w:szCs w:val="14"/>
                <w:lang w:eastAsia="en-GB" w:bidi="ne-NP"/>
              </w:rPr>
            </w:pPr>
            <w:r w:rsidRPr="007A7964">
              <w:rPr>
                <w:rFonts w:eastAsia="Times New Roman"/>
                <w:sz w:val="14"/>
                <w:szCs w:val="14"/>
                <w:lang w:eastAsia="en-GB" w:bidi="ne-NP"/>
              </w:rPr>
              <w:t>4.3.</w:t>
            </w:r>
          </w:p>
        </w:tc>
        <w:tc>
          <w:tcPr>
            <w:tcW w:w="778" w:type="dxa"/>
            <w:shd w:val="clear" w:color="auto" w:fill="auto"/>
            <w:vAlign w:val="center"/>
            <w:hideMark/>
          </w:tcPr>
          <w:p w14:paraId="655465BC" w14:textId="77777777" w:rsidR="0065103A" w:rsidRPr="007A7964" w:rsidRDefault="0065103A" w:rsidP="0065103A">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k</w:t>
            </w:r>
          </w:p>
        </w:tc>
        <w:tc>
          <w:tcPr>
            <w:tcW w:w="722" w:type="dxa"/>
            <w:shd w:val="clear" w:color="auto" w:fill="auto"/>
            <w:vAlign w:val="center"/>
            <w:hideMark/>
          </w:tcPr>
          <w:p w14:paraId="71CFD6AE" w14:textId="77777777" w:rsidR="0065103A" w:rsidRPr="007A7964" w:rsidRDefault="0065103A" w:rsidP="0065103A">
            <w:pPr>
              <w:spacing w:before="0" w:after="0"/>
              <w:jc w:val="left"/>
              <w:rPr>
                <w:rFonts w:eastAsia="Times New Roman"/>
                <w:color w:val="000000"/>
                <w:sz w:val="14"/>
                <w:szCs w:val="14"/>
                <w:lang w:eastAsia="en-GB" w:bidi="ne-NP"/>
              </w:rPr>
            </w:pPr>
            <w:r w:rsidRPr="007A7964">
              <w:rPr>
                <w:rFonts w:eastAsia="Times New Roman"/>
                <w:color w:val="000000"/>
                <w:sz w:val="14"/>
                <w:szCs w:val="14"/>
                <w:lang w:eastAsia="en-GB" w:bidi="ne-NP"/>
              </w:rPr>
              <w:t>ERAF</w:t>
            </w:r>
          </w:p>
        </w:tc>
        <w:tc>
          <w:tcPr>
            <w:tcW w:w="831" w:type="dxa"/>
            <w:shd w:val="clear" w:color="auto" w:fill="auto"/>
            <w:vAlign w:val="center"/>
            <w:hideMark/>
          </w:tcPr>
          <w:p w14:paraId="4D6BB4F1" w14:textId="77777777" w:rsidR="0065103A" w:rsidRPr="007A7964" w:rsidRDefault="0065103A" w:rsidP="0065103A">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Mazāk attīstīts</w:t>
            </w:r>
          </w:p>
        </w:tc>
        <w:tc>
          <w:tcPr>
            <w:tcW w:w="1056" w:type="dxa"/>
            <w:shd w:val="clear" w:color="auto" w:fill="auto"/>
            <w:hideMark/>
          </w:tcPr>
          <w:p w14:paraId="38095266" w14:textId="3713E43B"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117 016 894</w:t>
            </w:r>
          </w:p>
        </w:tc>
        <w:tc>
          <w:tcPr>
            <w:tcW w:w="1125" w:type="dxa"/>
            <w:shd w:val="clear" w:color="auto" w:fill="auto"/>
            <w:hideMark/>
          </w:tcPr>
          <w:p w14:paraId="30407F83" w14:textId="35055688" w:rsidR="0065103A" w:rsidRPr="0065103A" w:rsidRDefault="0065103A" w:rsidP="0065103A">
            <w:pPr>
              <w:spacing w:before="0" w:after="0"/>
              <w:jc w:val="right"/>
              <w:rPr>
                <w:rFonts w:eastAsia="Times New Roman"/>
                <w:sz w:val="14"/>
                <w:szCs w:val="14"/>
                <w:lang w:eastAsia="en-GB" w:bidi="ne-NP"/>
              </w:rPr>
            </w:pPr>
            <w:r w:rsidRPr="0065103A">
              <w:rPr>
                <w:sz w:val="14"/>
                <w:szCs w:val="14"/>
              </w:rPr>
              <w:t>95 418 501</w:t>
            </w:r>
          </w:p>
        </w:tc>
        <w:tc>
          <w:tcPr>
            <w:tcW w:w="1125" w:type="dxa"/>
            <w:shd w:val="clear" w:color="auto" w:fill="auto"/>
            <w:hideMark/>
          </w:tcPr>
          <w:p w14:paraId="35688C39" w14:textId="20D2B4F9" w:rsidR="0065103A" w:rsidRPr="0065103A" w:rsidRDefault="0065103A" w:rsidP="0065103A">
            <w:pPr>
              <w:spacing w:before="0" w:after="0"/>
              <w:jc w:val="right"/>
              <w:rPr>
                <w:rFonts w:eastAsia="Times New Roman"/>
                <w:sz w:val="14"/>
                <w:szCs w:val="14"/>
                <w:lang w:eastAsia="en-GB" w:bidi="ne-NP"/>
              </w:rPr>
            </w:pPr>
            <w:r w:rsidRPr="0065103A">
              <w:rPr>
                <w:sz w:val="14"/>
                <w:szCs w:val="14"/>
              </w:rPr>
              <w:t>3 460 775</w:t>
            </w:r>
          </w:p>
        </w:tc>
        <w:tc>
          <w:tcPr>
            <w:tcW w:w="1142" w:type="dxa"/>
            <w:shd w:val="clear" w:color="auto" w:fill="auto"/>
            <w:hideMark/>
          </w:tcPr>
          <w:p w14:paraId="06D83310" w14:textId="0DF515E4" w:rsidR="0065103A" w:rsidRPr="0065103A" w:rsidRDefault="0065103A" w:rsidP="0065103A">
            <w:pPr>
              <w:spacing w:before="0" w:after="0"/>
              <w:jc w:val="right"/>
              <w:rPr>
                <w:rFonts w:eastAsia="Times New Roman"/>
                <w:sz w:val="14"/>
                <w:szCs w:val="14"/>
                <w:lang w:eastAsia="en-GB" w:bidi="ne-NP"/>
              </w:rPr>
            </w:pPr>
            <w:r w:rsidRPr="0065103A">
              <w:rPr>
                <w:sz w:val="14"/>
                <w:szCs w:val="14"/>
              </w:rPr>
              <w:t>17 412 114</w:t>
            </w:r>
          </w:p>
        </w:tc>
        <w:tc>
          <w:tcPr>
            <w:tcW w:w="1008" w:type="dxa"/>
            <w:shd w:val="clear" w:color="auto" w:fill="auto"/>
            <w:hideMark/>
          </w:tcPr>
          <w:p w14:paraId="2F2BA3D0" w14:textId="7FD6B274" w:rsidR="0065103A" w:rsidRPr="0065103A" w:rsidRDefault="0065103A" w:rsidP="0065103A">
            <w:pPr>
              <w:spacing w:before="0" w:after="0"/>
              <w:jc w:val="right"/>
              <w:rPr>
                <w:rFonts w:eastAsia="Times New Roman"/>
                <w:sz w:val="14"/>
                <w:szCs w:val="14"/>
                <w:lang w:eastAsia="en-GB" w:bidi="ne-NP"/>
              </w:rPr>
            </w:pPr>
            <w:r w:rsidRPr="0065103A">
              <w:rPr>
                <w:sz w:val="14"/>
                <w:szCs w:val="14"/>
              </w:rPr>
              <w:t>725 505</w:t>
            </w:r>
          </w:p>
        </w:tc>
        <w:tc>
          <w:tcPr>
            <w:tcW w:w="1134" w:type="dxa"/>
            <w:shd w:val="clear" w:color="auto" w:fill="auto"/>
            <w:noWrap/>
            <w:hideMark/>
          </w:tcPr>
          <w:p w14:paraId="3838227A" w14:textId="2797131D"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20 650 040</w:t>
            </w:r>
          </w:p>
        </w:tc>
        <w:tc>
          <w:tcPr>
            <w:tcW w:w="1276" w:type="dxa"/>
            <w:shd w:val="clear" w:color="000000" w:fill="FFFFFF"/>
            <w:hideMark/>
          </w:tcPr>
          <w:p w14:paraId="5C8F79D6" w14:textId="45BF53D6"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10 325 020</w:t>
            </w:r>
          </w:p>
        </w:tc>
        <w:tc>
          <w:tcPr>
            <w:tcW w:w="1134" w:type="dxa"/>
            <w:shd w:val="clear" w:color="000000" w:fill="FFFFFF"/>
            <w:hideMark/>
          </w:tcPr>
          <w:p w14:paraId="0741E694" w14:textId="167F482C"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10 325 020</w:t>
            </w:r>
          </w:p>
        </w:tc>
        <w:tc>
          <w:tcPr>
            <w:tcW w:w="1276" w:type="dxa"/>
            <w:shd w:val="clear" w:color="auto" w:fill="auto"/>
            <w:noWrap/>
            <w:hideMark/>
          </w:tcPr>
          <w:p w14:paraId="06377B75" w14:textId="2C177C7A"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137 666 934</w:t>
            </w:r>
          </w:p>
        </w:tc>
        <w:tc>
          <w:tcPr>
            <w:tcW w:w="992" w:type="dxa"/>
            <w:shd w:val="clear" w:color="auto" w:fill="auto"/>
            <w:noWrap/>
            <w:hideMark/>
          </w:tcPr>
          <w:p w14:paraId="1987FA1E" w14:textId="08EA006E" w:rsidR="0065103A" w:rsidRPr="0065103A" w:rsidRDefault="0065103A" w:rsidP="0065103A">
            <w:pPr>
              <w:spacing w:before="0" w:after="0"/>
              <w:jc w:val="center"/>
              <w:rPr>
                <w:rFonts w:eastAsia="Times New Roman"/>
                <w:color w:val="000000"/>
                <w:sz w:val="14"/>
                <w:szCs w:val="14"/>
                <w:lang w:eastAsia="en-GB" w:bidi="ne-NP"/>
              </w:rPr>
            </w:pPr>
            <w:r w:rsidRPr="0065103A">
              <w:rPr>
                <w:sz w:val="14"/>
                <w:szCs w:val="14"/>
              </w:rPr>
              <w:t>0,85</w:t>
            </w:r>
          </w:p>
        </w:tc>
      </w:tr>
      <w:tr w:rsidR="0065103A" w:rsidRPr="007A7964" w14:paraId="200E1A38" w14:textId="77777777" w:rsidTr="003155B0">
        <w:trPr>
          <w:trHeight w:val="315"/>
        </w:trPr>
        <w:tc>
          <w:tcPr>
            <w:tcW w:w="855" w:type="dxa"/>
            <w:shd w:val="clear" w:color="auto" w:fill="auto"/>
            <w:vAlign w:val="center"/>
            <w:hideMark/>
          </w:tcPr>
          <w:p w14:paraId="75DBE8DC" w14:textId="77777777" w:rsidR="0065103A" w:rsidRPr="007A7964" w:rsidRDefault="0065103A" w:rsidP="0065103A">
            <w:pPr>
              <w:spacing w:before="0" w:after="0"/>
              <w:rPr>
                <w:rFonts w:eastAsia="Times New Roman"/>
                <w:sz w:val="14"/>
                <w:szCs w:val="14"/>
                <w:lang w:eastAsia="en-GB" w:bidi="ne-NP"/>
              </w:rPr>
            </w:pPr>
            <w:r w:rsidRPr="007A7964">
              <w:rPr>
                <w:rFonts w:eastAsia="Times New Roman"/>
                <w:sz w:val="14"/>
                <w:szCs w:val="14"/>
                <w:lang w:eastAsia="en-GB" w:bidi="ne-NP"/>
              </w:rPr>
              <w:t>4.3.</w:t>
            </w:r>
          </w:p>
        </w:tc>
        <w:tc>
          <w:tcPr>
            <w:tcW w:w="778" w:type="dxa"/>
            <w:shd w:val="clear" w:color="auto" w:fill="auto"/>
            <w:vAlign w:val="center"/>
            <w:hideMark/>
          </w:tcPr>
          <w:p w14:paraId="10813377" w14:textId="77777777" w:rsidR="0065103A" w:rsidRPr="007A7964" w:rsidRDefault="0065103A" w:rsidP="0065103A">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k</w:t>
            </w:r>
          </w:p>
        </w:tc>
        <w:tc>
          <w:tcPr>
            <w:tcW w:w="722" w:type="dxa"/>
            <w:shd w:val="clear" w:color="auto" w:fill="auto"/>
            <w:vAlign w:val="center"/>
            <w:hideMark/>
          </w:tcPr>
          <w:p w14:paraId="47A0134D" w14:textId="77777777" w:rsidR="0065103A" w:rsidRPr="007A7964" w:rsidRDefault="0065103A" w:rsidP="0065103A">
            <w:pPr>
              <w:spacing w:before="0" w:after="0"/>
              <w:jc w:val="left"/>
              <w:rPr>
                <w:rFonts w:eastAsia="Times New Roman"/>
                <w:color w:val="000000"/>
                <w:sz w:val="14"/>
                <w:szCs w:val="14"/>
                <w:lang w:eastAsia="en-GB" w:bidi="ne-NP"/>
              </w:rPr>
            </w:pPr>
            <w:r w:rsidRPr="007A7964">
              <w:rPr>
                <w:rFonts w:eastAsia="Times New Roman"/>
                <w:color w:val="000000"/>
                <w:sz w:val="14"/>
                <w:szCs w:val="14"/>
                <w:lang w:eastAsia="en-GB" w:bidi="ne-NP"/>
              </w:rPr>
              <w:t>ESF</w:t>
            </w:r>
          </w:p>
        </w:tc>
        <w:tc>
          <w:tcPr>
            <w:tcW w:w="831" w:type="dxa"/>
            <w:shd w:val="clear" w:color="auto" w:fill="auto"/>
            <w:vAlign w:val="center"/>
            <w:hideMark/>
          </w:tcPr>
          <w:p w14:paraId="63115E37" w14:textId="77777777" w:rsidR="0065103A" w:rsidRPr="007A7964" w:rsidRDefault="0065103A" w:rsidP="0065103A">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Mazāk attīstīts</w:t>
            </w:r>
          </w:p>
        </w:tc>
        <w:tc>
          <w:tcPr>
            <w:tcW w:w="1056" w:type="dxa"/>
            <w:shd w:val="clear" w:color="auto" w:fill="auto"/>
            <w:hideMark/>
          </w:tcPr>
          <w:p w14:paraId="2C585DBE" w14:textId="0BCA8918"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353 389 663</w:t>
            </w:r>
          </w:p>
        </w:tc>
        <w:tc>
          <w:tcPr>
            <w:tcW w:w="1125" w:type="dxa"/>
            <w:shd w:val="clear" w:color="auto" w:fill="auto"/>
            <w:hideMark/>
          </w:tcPr>
          <w:p w14:paraId="079B562F" w14:textId="5DFEFF7A" w:rsidR="0065103A" w:rsidRPr="0065103A" w:rsidRDefault="0065103A" w:rsidP="0065103A">
            <w:pPr>
              <w:spacing w:before="0" w:after="0"/>
              <w:jc w:val="right"/>
              <w:rPr>
                <w:rFonts w:eastAsia="Times New Roman"/>
                <w:sz w:val="14"/>
                <w:szCs w:val="14"/>
                <w:lang w:eastAsia="en-GB" w:bidi="ne-NP"/>
              </w:rPr>
            </w:pPr>
            <w:r w:rsidRPr="0065103A">
              <w:rPr>
                <w:sz w:val="14"/>
                <w:szCs w:val="14"/>
              </w:rPr>
              <w:t>286 669 695</w:t>
            </w:r>
          </w:p>
        </w:tc>
        <w:tc>
          <w:tcPr>
            <w:tcW w:w="1125" w:type="dxa"/>
            <w:shd w:val="clear" w:color="auto" w:fill="auto"/>
            <w:hideMark/>
          </w:tcPr>
          <w:p w14:paraId="6D45F714" w14:textId="68629F79" w:rsidR="0065103A" w:rsidRPr="0065103A" w:rsidRDefault="0065103A" w:rsidP="0065103A">
            <w:pPr>
              <w:spacing w:before="0" w:after="0"/>
              <w:jc w:val="right"/>
              <w:rPr>
                <w:rFonts w:eastAsia="Times New Roman"/>
                <w:sz w:val="14"/>
                <w:szCs w:val="14"/>
                <w:lang w:eastAsia="en-GB" w:bidi="ne-NP"/>
              </w:rPr>
            </w:pPr>
            <w:r w:rsidRPr="0065103A">
              <w:rPr>
                <w:sz w:val="14"/>
                <w:szCs w:val="14"/>
              </w:rPr>
              <w:t>11 944 571</w:t>
            </w:r>
          </w:p>
        </w:tc>
        <w:tc>
          <w:tcPr>
            <w:tcW w:w="1142" w:type="dxa"/>
            <w:shd w:val="clear" w:color="auto" w:fill="auto"/>
            <w:hideMark/>
          </w:tcPr>
          <w:p w14:paraId="3024A856" w14:textId="78743C41" w:rsidR="0065103A" w:rsidRPr="0065103A" w:rsidRDefault="0065103A" w:rsidP="0065103A">
            <w:pPr>
              <w:spacing w:before="0" w:after="0"/>
              <w:jc w:val="right"/>
              <w:rPr>
                <w:rFonts w:eastAsia="Times New Roman"/>
                <w:sz w:val="14"/>
                <w:szCs w:val="14"/>
                <w:lang w:eastAsia="en-GB" w:bidi="ne-NP"/>
              </w:rPr>
            </w:pPr>
            <w:r w:rsidRPr="0065103A">
              <w:rPr>
                <w:sz w:val="14"/>
                <w:szCs w:val="14"/>
              </w:rPr>
              <w:t>53 406 013</w:t>
            </w:r>
          </w:p>
        </w:tc>
        <w:tc>
          <w:tcPr>
            <w:tcW w:w="1008" w:type="dxa"/>
            <w:shd w:val="clear" w:color="auto" w:fill="auto"/>
            <w:hideMark/>
          </w:tcPr>
          <w:p w14:paraId="095ABEA4" w14:textId="7B0E9D08" w:rsidR="0065103A" w:rsidRPr="0065103A" w:rsidRDefault="0065103A" w:rsidP="0065103A">
            <w:pPr>
              <w:spacing w:before="0" w:after="0"/>
              <w:jc w:val="right"/>
              <w:rPr>
                <w:rFonts w:eastAsia="Times New Roman"/>
                <w:sz w:val="14"/>
                <w:szCs w:val="14"/>
                <w:lang w:eastAsia="en-GB" w:bidi="ne-NP"/>
              </w:rPr>
            </w:pPr>
            <w:r w:rsidRPr="0065103A">
              <w:rPr>
                <w:sz w:val="14"/>
                <w:szCs w:val="14"/>
              </w:rPr>
              <w:t>1 369 385</w:t>
            </w:r>
          </w:p>
        </w:tc>
        <w:tc>
          <w:tcPr>
            <w:tcW w:w="1134" w:type="dxa"/>
            <w:shd w:val="clear" w:color="auto" w:fill="auto"/>
            <w:noWrap/>
            <w:hideMark/>
          </w:tcPr>
          <w:p w14:paraId="7950536B" w14:textId="1350D0D3"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62 362 882</w:t>
            </w:r>
          </w:p>
        </w:tc>
        <w:tc>
          <w:tcPr>
            <w:tcW w:w="1276" w:type="dxa"/>
            <w:shd w:val="clear" w:color="000000" w:fill="FFFFFF"/>
            <w:hideMark/>
          </w:tcPr>
          <w:p w14:paraId="199D38C5" w14:textId="148E4451"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31 181 441</w:t>
            </w:r>
          </w:p>
        </w:tc>
        <w:tc>
          <w:tcPr>
            <w:tcW w:w="1134" w:type="dxa"/>
            <w:shd w:val="clear" w:color="000000" w:fill="FFFFFF"/>
            <w:hideMark/>
          </w:tcPr>
          <w:p w14:paraId="3F978BA6" w14:textId="0A7ED5FE"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31 181 441</w:t>
            </w:r>
          </w:p>
        </w:tc>
        <w:tc>
          <w:tcPr>
            <w:tcW w:w="1276" w:type="dxa"/>
            <w:shd w:val="clear" w:color="auto" w:fill="auto"/>
            <w:noWrap/>
            <w:hideMark/>
          </w:tcPr>
          <w:p w14:paraId="33D52DFB" w14:textId="4F51C338"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415 752 545</w:t>
            </w:r>
          </w:p>
        </w:tc>
        <w:tc>
          <w:tcPr>
            <w:tcW w:w="992" w:type="dxa"/>
            <w:shd w:val="clear" w:color="auto" w:fill="auto"/>
            <w:noWrap/>
            <w:hideMark/>
          </w:tcPr>
          <w:p w14:paraId="1451C563" w14:textId="38BE4E0B" w:rsidR="0065103A" w:rsidRPr="0065103A" w:rsidRDefault="0065103A" w:rsidP="0065103A">
            <w:pPr>
              <w:spacing w:before="0" w:after="0"/>
              <w:jc w:val="center"/>
              <w:rPr>
                <w:rFonts w:eastAsia="Times New Roman"/>
                <w:color w:val="000000"/>
                <w:sz w:val="14"/>
                <w:szCs w:val="14"/>
                <w:lang w:eastAsia="en-GB" w:bidi="ne-NP"/>
              </w:rPr>
            </w:pPr>
            <w:r w:rsidRPr="0065103A">
              <w:rPr>
                <w:sz w:val="14"/>
                <w:szCs w:val="14"/>
              </w:rPr>
              <w:t>0,85</w:t>
            </w:r>
          </w:p>
        </w:tc>
      </w:tr>
      <w:tr w:rsidR="0065103A" w:rsidRPr="007A7964" w14:paraId="31D9C755" w14:textId="77777777" w:rsidTr="003155B0">
        <w:trPr>
          <w:trHeight w:val="315"/>
        </w:trPr>
        <w:tc>
          <w:tcPr>
            <w:tcW w:w="855" w:type="dxa"/>
            <w:shd w:val="clear" w:color="auto" w:fill="auto"/>
            <w:vAlign w:val="center"/>
            <w:hideMark/>
          </w:tcPr>
          <w:p w14:paraId="5810931C" w14:textId="77777777" w:rsidR="0065103A" w:rsidRPr="007A7964" w:rsidRDefault="0065103A" w:rsidP="0065103A">
            <w:pPr>
              <w:spacing w:before="0" w:after="0"/>
              <w:rPr>
                <w:rFonts w:eastAsia="Times New Roman"/>
                <w:sz w:val="14"/>
                <w:szCs w:val="14"/>
                <w:lang w:eastAsia="en-GB" w:bidi="ne-NP"/>
              </w:rPr>
            </w:pPr>
            <w:r w:rsidRPr="007A7964">
              <w:rPr>
                <w:rFonts w:eastAsia="Times New Roman"/>
                <w:sz w:val="14"/>
                <w:szCs w:val="14"/>
                <w:lang w:eastAsia="en-GB" w:bidi="ne-NP"/>
              </w:rPr>
              <w:t>4.4.</w:t>
            </w:r>
          </w:p>
        </w:tc>
        <w:tc>
          <w:tcPr>
            <w:tcW w:w="778" w:type="dxa"/>
            <w:shd w:val="clear" w:color="auto" w:fill="auto"/>
            <w:vAlign w:val="center"/>
            <w:hideMark/>
          </w:tcPr>
          <w:p w14:paraId="0EE87EEE" w14:textId="77777777" w:rsidR="0065103A" w:rsidRPr="007A7964" w:rsidRDefault="0065103A" w:rsidP="0065103A">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k</w:t>
            </w:r>
          </w:p>
        </w:tc>
        <w:tc>
          <w:tcPr>
            <w:tcW w:w="722" w:type="dxa"/>
            <w:shd w:val="clear" w:color="auto" w:fill="auto"/>
            <w:vAlign w:val="center"/>
            <w:hideMark/>
          </w:tcPr>
          <w:p w14:paraId="085A1734" w14:textId="77777777" w:rsidR="0065103A" w:rsidRPr="007A7964" w:rsidRDefault="0065103A" w:rsidP="0065103A">
            <w:pPr>
              <w:spacing w:before="0" w:after="0"/>
              <w:jc w:val="left"/>
              <w:rPr>
                <w:rFonts w:eastAsia="Times New Roman"/>
                <w:color w:val="000000"/>
                <w:sz w:val="14"/>
                <w:szCs w:val="14"/>
                <w:lang w:eastAsia="en-GB" w:bidi="ne-NP"/>
              </w:rPr>
            </w:pPr>
            <w:r w:rsidRPr="007A7964">
              <w:rPr>
                <w:rFonts w:eastAsia="Times New Roman"/>
                <w:color w:val="000000"/>
                <w:sz w:val="14"/>
                <w:szCs w:val="14"/>
                <w:lang w:eastAsia="en-GB" w:bidi="ne-NP"/>
              </w:rPr>
              <w:t>ESF</w:t>
            </w:r>
          </w:p>
        </w:tc>
        <w:tc>
          <w:tcPr>
            <w:tcW w:w="831" w:type="dxa"/>
            <w:shd w:val="clear" w:color="auto" w:fill="auto"/>
            <w:vAlign w:val="center"/>
            <w:hideMark/>
          </w:tcPr>
          <w:p w14:paraId="0338D5D9" w14:textId="77777777" w:rsidR="0065103A" w:rsidRPr="007A7964" w:rsidRDefault="0065103A" w:rsidP="0065103A">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Mazāk attīstīts</w:t>
            </w:r>
          </w:p>
        </w:tc>
        <w:tc>
          <w:tcPr>
            <w:tcW w:w="1056" w:type="dxa"/>
            <w:shd w:val="clear" w:color="auto" w:fill="auto"/>
            <w:hideMark/>
          </w:tcPr>
          <w:p w14:paraId="3670A2E6" w14:textId="528EE3F8"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22 135 417</w:t>
            </w:r>
          </w:p>
        </w:tc>
        <w:tc>
          <w:tcPr>
            <w:tcW w:w="1125" w:type="dxa"/>
            <w:shd w:val="clear" w:color="auto" w:fill="auto"/>
            <w:hideMark/>
          </w:tcPr>
          <w:p w14:paraId="459247E9" w14:textId="16BFE70D" w:rsidR="0065103A" w:rsidRPr="0065103A" w:rsidRDefault="0065103A" w:rsidP="0065103A">
            <w:pPr>
              <w:spacing w:before="0" w:after="0"/>
              <w:jc w:val="right"/>
              <w:rPr>
                <w:rFonts w:eastAsia="Times New Roman"/>
                <w:sz w:val="14"/>
                <w:szCs w:val="14"/>
                <w:lang w:eastAsia="en-GB" w:bidi="ne-NP"/>
              </w:rPr>
            </w:pPr>
            <w:r w:rsidRPr="0065103A">
              <w:rPr>
                <w:sz w:val="14"/>
                <w:szCs w:val="14"/>
              </w:rPr>
              <w:t>17 956 250</w:t>
            </w:r>
          </w:p>
        </w:tc>
        <w:tc>
          <w:tcPr>
            <w:tcW w:w="1125" w:type="dxa"/>
            <w:shd w:val="clear" w:color="auto" w:fill="auto"/>
            <w:hideMark/>
          </w:tcPr>
          <w:p w14:paraId="17DD8466" w14:textId="7E33EF5A" w:rsidR="0065103A" w:rsidRPr="0065103A" w:rsidRDefault="0065103A" w:rsidP="0065103A">
            <w:pPr>
              <w:spacing w:before="0" w:after="0"/>
              <w:jc w:val="right"/>
              <w:rPr>
                <w:rFonts w:eastAsia="Times New Roman"/>
                <w:sz w:val="14"/>
                <w:szCs w:val="14"/>
                <w:lang w:eastAsia="en-GB" w:bidi="ne-NP"/>
              </w:rPr>
            </w:pPr>
            <w:r w:rsidRPr="0065103A">
              <w:rPr>
                <w:sz w:val="14"/>
                <w:szCs w:val="14"/>
              </w:rPr>
              <w:t>748 177</w:t>
            </w:r>
          </w:p>
        </w:tc>
        <w:tc>
          <w:tcPr>
            <w:tcW w:w="1142" w:type="dxa"/>
            <w:shd w:val="clear" w:color="auto" w:fill="auto"/>
            <w:hideMark/>
          </w:tcPr>
          <w:p w14:paraId="282CECDC" w14:textId="21EE769D" w:rsidR="0065103A" w:rsidRPr="0065103A" w:rsidRDefault="0065103A" w:rsidP="0065103A">
            <w:pPr>
              <w:spacing w:before="0" w:after="0"/>
              <w:jc w:val="right"/>
              <w:rPr>
                <w:rFonts w:eastAsia="Times New Roman"/>
                <w:sz w:val="14"/>
                <w:szCs w:val="14"/>
                <w:lang w:eastAsia="en-GB" w:bidi="ne-NP"/>
              </w:rPr>
            </w:pPr>
            <w:r w:rsidRPr="0065103A">
              <w:rPr>
                <w:sz w:val="14"/>
                <w:szCs w:val="14"/>
              </w:rPr>
              <w:t>3 293 750</w:t>
            </w:r>
          </w:p>
        </w:tc>
        <w:tc>
          <w:tcPr>
            <w:tcW w:w="1008" w:type="dxa"/>
            <w:shd w:val="clear" w:color="auto" w:fill="auto"/>
            <w:hideMark/>
          </w:tcPr>
          <w:p w14:paraId="5E87896A" w14:textId="15CAADE8" w:rsidR="0065103A" w:rsidRPr="0065103A" w:rsidRDefault="0065103A" w:rsidP="0065103A">
            <w:pPr>
              <w:spacing w:before="0" w:after="0"/>
              <w:jc w:val="right"/>
              <w:rPr>
                <w:rFonts w:eastAsia="Times New Roman"/>
                <w:sz w:val="14"/>
                <w:szCs w:val="14"/>
                <w:lang w:eastAsia="en-GB" w:bidi="ne-NP"/>
              </w:rPr>
            </w:pPr>
            <w:r w:rsidRPr="0065103A">
              <w:rPr>
                <w:sz w:val="14"/>
                <w:szCs w:val="14"/>
              </w:rPr>
              <w:t>137 240</w:t>
            </w:r>
          </w:p>
        </w:tc>
        <w:tc>
          <w:tcPr>
            <w:tcW w:w="1134" w:type="dxa"/>
            <w:shd w:val="clear" w:color="auto" w:fill="auto"/>
            <w:noWrap/>
            <w:hideMark/>
          </w:tcPr>
          <w:p w14:paraId="10AF8B04" w14:textId="5B652C2F"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3 906 250</w:t>
            </w:r>
          </w:p>
        </w:tc>
        <w:tc>
          <w:tcPr>
            <w:tcW w:w="1276" w:type="dxa"/>
            <w:shd w:val="clear" w:color="000000" w:fill="FFFFFF"/>
            <w:hideMark/>
          </w:tcPr>
          <w:p w14:paraId="3974D452" w14:textId="31BF2E0C"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1 953 125</w:t>
            </w:r>
          </w:p>
        </w:tc>
        <w:tc>
          <w:tcPr>
            <w:tcW w:w="1134" w:type="dxa"/>
            <w:shd w:val="clear" w:color="000000" w:fill="FFFFFF"/>
            <w:hideMark/>
          </w:tcPr>
          <w:p w14:paraId="52022CA6" w14:textId="1DE5F2B3"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1 953 125</w:t>
            </w:r>
          </w:p>
        </w:tc>
        <w:tc>
          <w:tcPr>
            <w:tcW w:w="1276" w:type="dxa"/>
            <w:shd w:val="clear" w:color="auto" w:fill="auto"/>
            <w:noWrap/>
            <w:hideMark/>
          </w:tcPr>
          <w:p w14:paraId="3877B47F" w14:textId="23246490"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26 041 667</w:t>
            </w:r>
          </w:p>
        </w:tc>
        <w:tc>
          <w:tcPr>
            <w:tcW w:w="992" w:type="dxa"/>
            <w:shd w:val="clear" w:color="auto" w:fill="auto"/>
            <w:noWrap/>
            <w:hideMark/>
          </w:tcPr>
          <w:p w14:paraId="63543DF5" w14:textId="1EE2C24E" w:rsidR="0065103A" w:rsidRPr="0065103A" w:rsidRDefault="0065103A" w:rsidP="0065103A">
            <w:pPr>
              <w:spacing w:before="0" w:after="0"/>
              <w:jc w:val="center"/>
              <w:rPr>
                <w:rFonts w:eastAsia="Times New Roman"/>
                <w:color w:val="000000"/>
                <w:sz w:val="14"/>
                <w:szCs w:val="14"/>
                <w:lang w:eastAsia="en-GB" w:bidi="ne-NP"/>
              </w:rPr>
            </w:pPr>
            <w:r w:rsidRPr="0065103A">
              <w:rPr>
                <w:sz w:val="14"/>
                <w:szCs w:val="14"/>
              </w:rPr>
              <w:t>0,85</w:t>
            </w:r>
          </w:p>
        </w:tc>
      </w:tr>
      <w:tr w:rsidR="007A7964" w:rsidRPr="007A7964" w14:paraId="6FD1A4FF" w14:textId="77777777" w:rsidTr="003155B0">
        <w:trPr>
          <w:trHeight w:val="300"/>
        </w:trPr>
        <w:tc>
          <w:tcPr>
            <w:tcW w:w="855" w:type="dxa"/>
            <w:shd w:val="clear" w:color="000000" w:fill="D9D9D9"/>
            <w:vAlign w:val="center"/>
            <w:hideMark/>
          </w:tcPr>
          <w:p w14:paraId="0AC0CDDE" w14:textId="77777777" w:rsidR="007A7964" w:rsidRPr="007A7964" w:rsidRDefault="007A7964" w:rsidP="007A7964">
            <w:pPr>
              <w:spacing w:before="0" w:after="0"/>
              <w:rPr>
                <w:rFonts w:eastAsia="Times New Roman"/>
                <w:b/>
                <w:bCs/>
                <w:sz w:val="14"/>
                <w:szCs w:val="14"/>
                <w:lang w:eastAsia="en-GB" w:bidi="ne-NP"/>
              </w:rPr>
            </w:pPr>
            <w:r w:rsidRPr="007A7964">
              <w:rPr>
                <w:rFonts w:eastAsia="Times New Roman"/>
                <w:b/>
                <w:bCs/>
                <w:sz w:val="14"/>
                <w:szCs w:val="14"/>
                <w:lang w:eastAsia="en-GB" w:bidi="ne-NP"/>
              </w:rPr>
              <w:t>kopā</w:t>
            </w:r>
          </w:p>
        </w:tc>
        <w:tc>
          <w:tcPr>
            <w:tcW w:w="778" w:type="dxa"/>
            <w:shd w:val="clear" w:color="000000" w:fill="D9D9D9"/>
            <w:vAlign w:val="center"/>
            <w:hideMark/>
          </w:tcPr>
          <w:p w14:paraId="21A663CA" w14:textId="77777777" w:rsidR="007A7964" w:rsidRPr="007A7964" w:rsidRDefault="007A7964" w:rsidP="007A7964">
            <w:pPr>
              <w:spacing w:before="0" w:after="0"/>
              <w:rPr>
                <w:rFonts w:eastAsia="Times New Roman"/>
                <w:b/>
                <w:bCs/>
                <w:color w:val="000000"/>
                <w:sz w:val="14"/>
                <w:szCs w:val="14"/>
                <w:lang w:eastAsia="en-GB" w:bidi="ne-NP"/>
              </w:rPr>
            </w:pPr>
            <w:r w:rsidRPr="007A7964">
              <w:rPr>
                <w:rFonts w:eastAsia="Times New Roman"/>
                <w:b/>
                <w:bCs/>
                <w:color w:val="000000"/>
                <w:sz w:val="14"/>
                <w:szCs w:val="14"/>
                <w:lang w:eastAsia="en-GB" w:bidi="ne-NP"/>
              </w:rPr>
              <w:t>k</w:t>
            </w:r>
          </w:p>
        </w:tc>
        <w:tc>
          <w:tcPr>
            <w:tcW w:w="722" w:type="dxa"/>
            <w:shd w:val="clear" w:color="000000" w:fill="D9D9D9"/>
            <w:vAlign w:val="center"/>
            <w:hideMark/>
          </w:tcPr>
          <w:p w14:paraId="074F0152" w14:textId="77777777" w:rsidR="007A7964" w:rsidRPr="007A7964" w:rsidRDefault="007A7964" w:rsidP="007A7964">
            <w:pPr>
              <w:spacing w:before="0" w:after="0"/>
              <w:jc w:val="left"/>
              <w:rPr>
                <w:rFonts w:eastAsia="Times New Roman"/>
                <w:b/>
                <w:bCs/>
                <w:color w:val="000000"/>
                <w:sz w:val="14"/>
                <w:szCs w:val="14"/>
                <w:lang w:eastAsia="en-GB" w:bidi="ne-NP"/>
              </w:rPr>
            </w:pPr>
            <w:r w:rsidRPr="007A7964">
              <w:rPr>
                <w:rFonts w:eastAsia="Times New Roman"/>
                <w:b/>
                <w:bCs/>
                <w:color w:val="000000"/>
                <w:sz w:val="14"/>
                <w:szCs w:val="14"/>
                <w:lang w:eastAsia="en-GB" w:bidi="ne-NP"/>
              </w:rPr>
              <w:t>ERAF</w:t>
            </w:r>
          </w:p>
        </w:tc>
        <w:tc>
          <w:tcPr>
            <w:tcW w:w="831" w:type="dxa"/>
            <w:shd w:val="clear" w:color="000000" w:fill="D9D9D9"/>
            <w:vAlign w:val="center"/>
            <w:hideMark/>
          </w:tcPr>
          <w:p w14:paraId="7CF25E75"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Mazāk attīstīts</w:t>
            </w:r>
          </w:p>
        </w:tc>
        <w:tc>
          <w:tcPr>
            <w:tcW w:w="1056" w:type="dxa"/>
            <w:shd w:val="clear" w:color="000000" w:fill="D9D9D9"/>
            <w:hideMark/>
          </w:tcPr>
          <w:p w14:paraId="791EAD21" w14:textId="6DC28342" w:rsidR="007A7964" w:rsidRPr="007A7964" w:rsidRDefault="007A7964" w:rsidP="007A7964">
            <w:pPr>
              <w:spacing w:before="0" w:after="0"/>
              <w:jc w:val="right"/>
              <w:rPr>
                <w:rFonts w:eastAsia="Times New Roman"/>
                <w:b/>
                <w:bCs/>
                <w:color w:val="000000"/>
                <w:sz w:val="14"/>
                <w:szCs w:val="14"/>
                <w:lang w:eastAsia="en-GB" w:bidi="ne-NP"/>
              </w:rPr>
            </w:pPr>
            <w:r w:rsidRPr="007A7964">
              <w:rPr>
                <w:sz w:val="14"/>
                <w:szCs w:val="14"/>
              </w:rPr>
              <w:t>231 628 415</w:t>
            </w:r>
          </w:p>
        </w:tc>
        <w:tc>
          <w:tcPr>
            <w:tcW w:w="1125" w:type="dxa"/>
            <w:shd w:val="clear" w:color="000000" w:fill="D9D9D9"/>
            <w:hideMark/>
          </w:tcPr>
          <w:p w14:paraId="6C316A19" w14:textId="5C959213" w:rsidR="007A7964" w:rsidRPr="007A7964" w:rsidRDefault="007A7964" w:rsidP="007A7964">
            <w:pPr>
              <w:spacing w:before="0" w:after="0"/>
              <w:jc w:val="right"/>
              <w:rPr>
                <w:rFonts w:eastAsia="Times New Roman"/>
                <w:b/>
                <w:bCs/>
                <w:color w:val="000000"/>
                <w:sz w:val="14"/>
                <w:szCs w:val="14"/>
                <w:lang w:eastAsia="en-GB" w:bidi="ne-NP"/>
              </w:rPr>
            </w:pPr>
            <w:r w:rsidRPr="007A7964">
              <w:rPr>
                <w:sz w:val="14"/>
                <w:szCs w:val="14"/>
              </w:rPr>
              <w:t>188 875 601</w:t>
            </w:r>
          </w:p>
        </w:tc>
        <w:tc>
          <w:tcPr>
            <w:tcW w:w="1125" w:type="dxa"/>
            <w:shd w:val="clear" w:color="000000" w:fill="D9D9D9"/>
            <w:hideMark/>
          </w:tcPr>
          <w:p w14:paraId="3EC02C88" w14:textId="54F2039C" w:rsidR="007A7964" w:rsidRPr="007A7964" w:rsidRDefault="007A7964" w:rsidP="007A7964">
            <w:pPr>
              <w:spacing w:before="0" w:after="0"/>
              <w:jc w:val="right"/>
              <w:rPr>
                <w:rFonts w:eastAsia="Times New Roman"/>
                <w:b/>
                <w:bCs/>
                <w:color w:val="000000"/>
                <w:sz w:val="14"/>
                <w:szCs w:val="14"/>
                <w:lang w:eastAsia="en-GB" w:bidi="ne-NP"/>
              </w:rPr>
            </w:pPr>
            <w:r w:rsidRPr="007A7964">
              <w:rPr>
                <w:sz w:val="14"/>
                <w:szCs w:val="14"/>
              </w:rPr>
              <w:t>6 850 410</w:t>
            </w:r>
          </w:p>
        </w:tc>
        <w:tc>
          <w:tcPr>
            <w:tcW w:w="1142" w:type="dxa"/>
            <w:shd w:val="clear" w:color="000000" w:fill="D9D9D9"/>
            <w:hideMark/>
          </w:tcPr>
          <w:p w14:paraId="6D792329" w14:textId="7656FB46"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34 645 820</w:t>
            </w:r>
          </w:p>
        </w:tc>
        <w:tc>
          <w:tcPr>
            <w:tcW w:w="1008" w:type="dxa"/>
            <w:shd w:val="clear" w:color="000000" w:fill="D9D9D9"/>
            <w:hideMark/>
          </w:tcPr>
          <w:p w14:paraId="5B46E037" w14:textId="519CC539"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1 256 584</w:t>
            </w:r>
          </w:p>
        </w:tc>
        <w:tc>
          <w:tcPr>
            <w:tcW w:w="1134" w:type="dxa"/>
            <w:shd w:val="clear" w:color="000000" w:fill="D9D9D9"/>
            <w:hideMark/>
          </w:tcPr>
          <w:p w14:paraId="491495CA" w14:textId="6E7FDF6A" w:rsidR="007A7964" w:rsidRPr="007A7964" w:rsidRDefault="007A7964" w:rsidP="007A7964">
            <w:pPr>
              <w:spacing w:before="0" w:after="0"/>
              <w:jc w:val="right"/>
              <w:rPr>
                <w:rFonts w:eastAsia="Times New Roman"/>
                <w:b/>
                <w:bCs/>
                <w:color w:val="000000"/>
                <w:sz w:val="14"/>
                <w:szCs w:val="14"/>
                <w:lang w:eastAsia="en-GB" w:bidi="ne-NP"/>
              </w:rPr>
            </w:pPr>
            <w:r w:rsidRPr="007A7964">
              <w:rPr>
                <w:sz w:val="14"/>
                <w:szCs w:val="14"/>
              </w:rPr>
              <w:t>40 875 603</w:t>
            </w:r>
          </w:p>
        </w:tc>
        <w:tc>
          <w:tcPr>
            <w:tcW w:w="1276" w:type="dxa"/>
            <w:shd w:val="clear" w:color="000000" w:fill="D9D9D9"/>
            <w:hideMark/>
          </w:tcPr>
          <w:p w14:paraId="35C3513B" w14:textId="48C84E09" w:rsidR="007A7964" w:rsidRPr="007A7964" w:rsidRDefault="007A7964" w:rsidP="007A7964">
            <w:pPr>
              <w:spacing w:before="0" w:after="0"/>
              <w:jc w:val="right"/>
              <w:rPr>
                <w:rFonts w:eastAsia="Times New Roman"/>
                <w:b/>
                <w:bCs/>
                <w:color w:val="000000"/>
                <w:sz w:val="14"/>
                <w:szCs w:val="14"/>
                <w:lang w:eastAsia="en-GB" w:bidi="ne-NP"/>
              </w:rPr>
            </w:pPr>
            <w:r w:rsidRPr="007A7964">
              <w:rPr>
                <w:sz w:val="14"/>
                <w:szCs w:val="14"/>
              </w:rPr>
              <w:t>20 437 801</w:t>
            </w:r>
          </w:p>
        </w:tc>
        <w:tc>
          <w:tcPr>
            <w:tcW w:w="1134" w:type="dxa"/>
            <w:shd w:val="clear" w:color="000000" w:fill="D9D9D9"/>
            <w:hideMark/>
          </w:tcPr>
          <w:p w14:paraId="21101F06" w14:textId="4655C9EF" w:rsidR="007A7964" w:rsidRPr="007A7964" w:rsidRDefault="007A7964" w:rsidP="007A7964">
            <w:pPr>
              <w:spacing w:before="0" w:after="0"/>
              <w:jc w:val="right"/>
              <w:rPr>
                <w:rFonts w:eastAsia="Times New Roman"/>
                <w:b/>
                <w:bCs/>
                <w:color w:val="000000"/>
                <w:sz w:val="14"/>
                <w:szCs w:val="14"/>
                <w:lang w:eastAsia="en-GB" w:bidi="ne-NP"/>
              </w:rPr>
            </w:pPr>
            <w:r w:rsidRPr="007A7964">
              <w:rPr>
                <w:sz w:val="14"/>
                <w:szCs w:val="14"/>
              </w:rPr>
              <w:t>20 437 801</w:t>
            </w:r>
          </w:p>
        </w:tc>
        <w:tc>
          <w:tcPr>
            <w:tcW w:w="1276" w:type="dxa"/>
            <w:shd w:val="clear" w:color="000000" w:fill="D9D9D9"/>
            <w:hideMark/>
          </w:tcPr>
          <w:p w14:paraId="0282F3D0" w14:textId="3C9EA99C" w:rsidR="007A7964" w:rsidRPr="007A7964" w:rsidRDefault="007A7964" w:rsidP="007A7964">
            <w:pPr>
              <w:spacing w:before="0" w:after="0"/>
              <w:jc w:val="right"/>
              <w:rPr>
                <w:rFonts w:eastAsia="Times New Roman"/>
                <w:b/>
                <w:bCs/>
                <w:color w:val="000000"/>
                <w:sz w:val="14"/>
                <w:szCs w:val="14"/>
                <w:lang w:eastAsia="en-GB" w:bidi="ne-NP"/>
              </w:rPr>
            </w:pPr>
            <w:r w:rsidRPr="007A7964">
              <w:rPr>
                <w:sz w:val="14"/>
                <w:szCs w:val="14"/>
              </w:rPr>
              <w:t>272 504 018</w:t>
            </w:r>
          </w:p>
        </w:tc>
        <w:tc>
          <w:tcPr>
            <w:tcW w:w="992" w:type="dxa"/>
            <w:shd w:val="clear" w:color="000000" w:fill="D9D9D9"/>
            <w:noWrap/>
            <w:hideMark/>
          </w:tcPr>
          <w:p w14:paraId="74D022BD" w14:textId="2879EA91" w:rsidR="007A7964" w:rsidRPr="007A7964" w:rsidRDefault="007A7964" w:rsidP="007A7964">
            <w:pPr>
              <w:spacing w:before="0" w:after="0"/>
              <w:jc w:val="center"/>
              <w:rPr>
                <w:rFonts w:eastAsia="Times New Roman"/>
                <w:b/>
                <w:bCs/>
                <w:color w:val="000000"/>
                <w:sz w:val="14"/>
                <w:szCs w:val="14"/>
                <w:lang w:eastAsia="en-GB" w:bidi="ne-NP"/>
              </w:rPr>
            </w:pPr>
            <w:r w:rsidRPr="007A7964">
              <w:rPr>
                <w:sz w:val="14"/>
                <w:szCs w:val="14"/>
              </w:rPr>
              <w:t>0,85</w:t>
            </w:r>
          </w:p>
        </w:tc>
      </w:tr>
      <w:tr w:rsidR="007A7964" w:rsidRPr="007A7964" w14:paraId="4609F624" w14:textId="77777777" w:rsidTr="003155B0">
        <w:trPr>
          <w:trHeight w:val="315"/>
        </w:trPr>
        <w:tc>
          <w:tcPr>
            <w:tcW w:w="855" w:type="dxa"/>
            <w:shd w:val="clear" w:color="auto" w:fill="auto"/>
            <w:vAlign w:val="center"/>
            <w:hideMark/>
          </w:tcPr>
          <w:p w14:paraId="58B3B09D" w14:textId="77777777" w:rsidR="007A7964" w:rsidRPr="007A7964" w:rsidRDefault="007A7964" w:rsidP="007A7964">
            <w:pPr>
              <w:spacing w:before="0" w:after="0"/>
              <w:rPr>
                <w:rFonts w:eastAsia="Times New Roman"/>
                <w:sz w:val="14"/>
                <w:szCs w:val="14"/>
                <w:lang w:eastAsia="en-GB" w:bidi="ne-NP"/>
              </w:rPr>
            </w:pPr>
            <w:r w:rsidRPr="007A7964">
              <w:rPr>
                <w:rFonts w:eastAsia="Times New Roman"/>
                <w:sz w:val="14"/>
                <w:szCs w:val="14"/>
                <w:lang w:eastAsia="en-GB" w:bidi="ne-NP"/>
              </w:rPr>
              <w:t>5.1.</w:t>
            </w:r>
          </w:p>
        </w:tc>
        <w:tc>
          <w:tcPr>
            <w:tcW w:w="778" w:type="dxa"/>
            <w:shd w:val="clear" w:color="auto" w:fill="auto"/>
            <w:vAlign w:val="center"/>
            <w:hideMark/>
          </w:tcPr>
          <w:p w14:paraId="008B591F"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k</w:t>
            </w:r>
          </w:p>
        </w:tc>
        <w:tc>
          <w:tcPr>
            <w:tcW w:w="722" w:type="dxa"/>
            <w:shd w:val="clear" w:color="auto" w:fill="auto"/>
            <w:vAlign w:val="center"/>
            <w:hideMark/>
          </w:tcPr>
          <w:p w14:paraId="7CE6A4D1" w14:textId="77777777" w:rsidR="007A7964" w:rsidRPr="007A7964" w:rsidRDefault="007A7964" w:rsidP="007A7964">
            <w:pPr>
              <w:spacing w:before="0" w:after="0"/>
              <w:jc w:val="left"/>
              <w:rPr>
                <w:rFonts w:eastAsia="Times New Roman"/>
                <w:color w:val="000000"/>
                <w:sz w:val="14"/>
                <w:szCs w:val="14"/>
                <w:lang w:eastAsia="en-GB" w:bidi="ne-NP"/>
              </w:rPr>
            </w:pPr>
            <w:r w:rsidRPr="007A7964">
              <w:rPr>
                <w:rFonts w:eastAsia="Times New Roman"/>
                <w:color w:val="000000"/>
                <w:sz w:val="14"/>
                <w:szCs w:val="14"/>
                <w:lang w:eastAsia="en-GB" w:bidi="ne-NP"/>
              </w:rPr>
              <w:t>ERAF</w:t>
            </w:r>
          </w:p>
        </w:tc>
        <w:tc>
          <w:tcPr>
            <w:tcW w:w="831" w:type="dxa"/>
            <w:shd w:val="clear" w:color="auto" w:fill="auto"/>
            <w:vAlign w:val="center"/>
            <w:hideMark/>
          </w:tcPr>
          <w:p w14:paraId="374DECB9"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Mazāk attīstīts</w:t>
            </w:r>
          </w:p>
        </w:tc>
        <w:tc>
          <w:tcPr>
            <w:tcW w:w="1056" w:type="dxa"/>
            <w:shd w:val="clear" w:color="auto" w:fill="auto"/>
            <w:hideMark/>
          </w:tcPr>
          <w:p w14:paraId="437F51E5" w14:textId="774B8152"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231 628 415</w:t>
            </w:r>
          </w:p>
        </w:tc>
        <w:tc>
          <w:tcPr>
            <w:tcW w:w="1125" w:type="dxa"/>
            <w:shd w:val="clear" w:color="auto" w:fill="auto"/>
            <w:hideMark/>
          </w:tcPr>
          <w:p w14:paraId="668D3124" w14:textId="5BFFCD1F" w:rsidR="007A7964" w:rsidRPr="007A7964" w:rsidRDefault="007A7964" w:rsidP="007A7964">
            <w:pPr>
              <w:spacing w:before="0" w:after="0"/>
              <w:jc w:val="right"/>
              <w:rPr>
                <w:rFonts w:eastAsia="Times New Roman"/>
                <w:sz w:val="14"/>
                <w:szCs w:val="14"/>
                <w:lang w:eastAsia="en-GB" w:bidi="ne-NP"/>
              </w:rPr>
            </w:pPr>
            <w:r w:rsidRPr="007A7964">
              <w:rPr>
                <w:sz w:val="14"/>
                <w:szCs w:val="14"/>
              </w:rPr>
              <w:t>188 875 601</w:t>
            </w:r>
          </w:p>
        </w:tc>
        <w:tc>
          <w:tcPr>
            <w:tcW w:w="1125" w:type="dxa"/>
            <w:shd w:val="clear" w:color="auto" w:fill="auto"/>
            <w:hideMark/>
          </w:tcPr>
          <w:p w14:paraId="51A30E8A" w14:textId="11C77702" w:rsidR="007A7964" w:rsidRPr="007A7964" w:rsidRDefault="007A7964" w:rsidP="007A7964">
            <w:pPr>
              <w:spacing w:before="0" w:after="0"/>
              <w:jc w:val="right"/>
              <w:rPr>
                <w:rFonts w:eastAsia="Times New Roman"/>
                <w:sz w:val="14"/>
                <w:szCs w:val="14"/>
                <w:lang w:eastAsia="en-GB" w:bidi="ne-NP"/>
              </w:rPr>
            </w:pPr>
            <w:r w:rsidRPr="007A7964">
              <w:rPr>
                <w:sz w:val="14"/>
                <w:szCs w:val="14"/>
              </w:rPr>
              <w:t>6 850 410</w:t>
            </w:r>
          </w:p>
        </w:tc>
        <w:tc>
          <w:tcPr>
            <w:tcW w:w="1142" w:type="dxa"/>
            <w:shd w:val="clear" w:color="auto" w:fill="auto"/>
            <w:hideMark/>
          </w:tcPr>
          <w:p w14:paraId="7771A383" w14:textId="6164279C" w:rsidR="007A7964" w:rsidRPr="007A7964" w:rsidRDefault="007A7964" w:rsidP="007A7964">
            <w:pPr>
              <w:spacing w:before="0" w:after="0"/>
              <w:jc w:val="right"/>
              <w:rPr>
                <w:rFonts w:eastAsia="Times New Roman"/>
                <w:sz w:val="14"/>
                <w:szCs w:val="14"/>
                <w:lang w:eastAsia="en-GB" w:bidi="ne-NP"/>
              </w:rPr>
            </w:pPr>
            <w:r w:rsidRPr="007A7964">
              <w:rPr>
                <w:sz w:val="14"/>
                <w:szCs w:val="14"/>
              </w:rPr>
              <w:t>34 645 820</w:t>
            </w:r>
          </w:p>
        </w:tc>
        <w:tc>
          <w:tcPr>
            <w:tcW w:w="1008" w:type="dxa"/>
            <w:shd w:val="clear" w:color="auto" w:fill="auto"/>
            <w:hideMark/>
          </w:tcPr>
          <w:p w14:paraId="5D9AE18F" w14:textId="5A0B1BFC" w:rsidR="007A7964" w:rsidRPr="007A7964" w:rsidRDefault="007A7964" w:rsidP="007A7964">
            <w:pPr>
              <w:spacing w:before="0" w:after="0"/>
              <w:jc w:val="right"/>
              <w:rPr>
                <w:rFonts w:eastAsia="Times New Roman"/>
                <w:sz w:val="14"/>
                <w:szCs w:val="14"/>
                <w:lang w:eastAsia="en-GB" w:bidi="ne-NP"/>
              </w:rPr>
            </w:pPr>
            <w:r w:rsidRPr="007A7964">
              <w:rPr>
                <w:sz w:val="14"/>
                <w:szCs w:val="14"/>
              </w:rPr>
              <w:t>1 256 584</w:t>
            </w:r>
          </w:p>
        </w:tc>
        <w:tc>
          <w:tcPr>
            <w:tcW w:w="1134" w:type="dxa"/>
            <w:shd w:val="clear" w:color="auto" w:fill="auto"/>
            <w:noWrap/>
            <w:hideMark/>
          </w:tcPr>
          <w:p w14:paraId="19CC064A" w14:textId="0B1A9C24"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40 875 603</w:t>
            </w:r>
          </w:p>
        </w:tc>
        <w:tc>
          <w:tcPr>
            <w:tcW w:w="1276" w:type="dxa"/>
            <w:shd w:val="clear" w:color="000000" w:fill="FFFFFF"/>
            <w:hideMark/>
          </w:tcPr>
          <w:p w14:paraId="431A0878" w14:textId="5FF0DD4B"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20 437 801</w:t>
            </w:r>
          </w:p>
        </w:tc>
        <w:tc>
          <w:tcPr>
            <w:tcW w:w="1134" w:type="dxa"/>
            <w:shd w:val="clear" w:color="000000" w:fill="FFFFFF"/>
            <w:hideMark/>
          </w:tcPr>
          <w:p w14:paraId="58C3B74A" w14:textId="1247293C"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20 437 801</w:t>
            </w:r>
          </w:p>
        </w:tc>
        <w:tc>
          <w:tcPr>
            <w:tcW w:w="1276" w:type="dxa"/>
            <w:shd w:val="clear" w:color="auto" w:fill="auto"/>
            <w:noWrap/>
            <w:hideMark/>
          </w:tcPr>
          <w:p w14:paraId="675B6799" w14:textId="2479CC12"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272 504 018</w:t>
            </w:r>
          </w:p>
        </w:tc>
        <w:tc>
          <w:tcPr>
            <w:tcW w:w="992" w:type="dxa"/>
            <w:shd w:val="clear" w:color="auto" w:fill="auto"/>
            <w:noWrap/>
            <w:hideMark/>
          </w:tcPr>
          <w:p w14:paraId="38A250FE" w14:textId="7CC45C96" w:rsidR="007A7964" w:rsidRPr="007A7964" w:rsidRDefault="007A7964" w:rsidP="007A7964">
            <w:pPr>
              <w:spacing w:before="0" w:after="0"/>
              <w:jc w:val="center"/>
              <w:rPr>
                <w:rFonts w:eastAsia="Times New Roman"/>
                <w:color w:val="000000"/>
                <w:sz w:val="14"/>
                <w:szCs w:val="14"/>
                <w:lang w:eastAsia="en-GB" w:bidi="ne-NP"/>
              </w:rPr>
            </w:pPr>
            <w:r w:rsidRPr="007A7964">
              <w:rPr>
                <w:sz w:val="14"/>
                <w:szCs w:val="14"/>
              </w:rPr>
              <w:t>0,85</w:t>
            </w:r>
          </w:p>
        </w:tc>
      </w:tr>
      <w:tr w:rsidR="007A7964" w:rsidRPr="007A7964" w14:paraId="7C8FC6D0" w14:textId="77777777" w:rsidTr="003155B0">
        <w:trPr>
          <w:trHeight w:val="315"/>
        </w:trPr>
        <w:tc>
          <w:tcPr>
            <w:tcW w:w="855" w:type="dxa"/>
            <w:shd w:val="clear" w:color="000000" w:fill="D9D9D9"/>
            <w:vAlign w:val="center"/>
            <w:hideMark/>
          </w:tcPr>
          <w:p w14:paraId="0734A311" w14:textId="77777777" w:rsidR="007A7964" w:rsidRPr="007A7964" w:rsidRDefault="007A7964" w:rsidP="007A7964">
            <w:pPr>
              <w:spacing w:before="0" w:after="0"/>
              <w:rPr>
                <w:rFonts w:eastAsia="Times New Roman"/>
                <w:b/>
                <w:bCs/>
                <w:sz w:val="14"/>
                <w:szCs w:val="14"/>
                <w:lang w:eastAsia="en-GB" w:bidi="ne-NP"/>
              </w:rPr>
            </w:pPr>
            <w:r w:rsidRPr="007A7964">
              <w:rPr>
                <w:rFonts w:eastAsia="Times New Roman"/>
                <w:b/>
                <w:bCs/>
                <w:sz w:val="14"/>
                <w:szCs w:val="14"/>
                <w:lang w:eastAsia="en-GB" w:bidi="ne-NP"/>
              </w:rPr>
              <w:t>kopā</w:t>
            </w:r>
          </w:p>
        </w:tc>
        <w:tc>
          <w:tcPr>
            <w:tcW w:w="778" w:type="dxa"/>
            <w:shd w:val="clear" w:color="000000" w:fill="D9D9D9"/>
            <w:vAlign w:val="center"/>
            <w:hideMark/>
          </w:tcPr>
          <w:p w14:paraId="09606A71" w14:textId="77777777" w:rsidR="007A7964" w:rsidRPr="007A7964" w:rsidRDefault="007A7964" w:rsidP="007A7964">
            <w:pPr>
              <w:spacing w:before="0" w:after="0"/>
              <w:rPr>
                <w:rFonts w:eastAsia="Times New Roman"/>
                <w:b/>
                <w:bCs/>
                <w:sz w:val="14"/>
                <w:szCs w:val="14"/>
                <w:lang w:eastAsia="en-GB" w:bidi="ne-NP"/>
              </w:rPr>
            </w:pPr>
            <w:r w:rsidRPr="007A7964">
              <w:rPr>
                <w:rFonts w:eastAsia="Times New Roman"/>
                <w:b/>
                <w:bCs/>
                <w:sz w:val="14"/>
                <w:szCs w:val="14"/>
                <w:lang w:eastAsia="en-GB" w:bidi="ne-NP"/>
              </w:rPr>
              <w:t>k</w:t>
            </w:r>
          </w:p>
        </w:tc>
        <w:tc>
          <w:tcPr>
            <w:tcW w:w="722" w:type="dxa"/>
            <w:shd w:val="clear" w:color="000000" w:fill="D9D9D9"/>
            <w:vAlign w:val="center"/>
            <w:hideMark/>
          </w:tcPr>
          <w:p w14:paraId="52E02B6B" w14:textId="77777777" w:rsidR="007A7964" w:rsidRPr="007A7964" w:rsidRDefault="007A7964" w:rsidP="007A7964">
            <w:pPr>
              <w:spacing w:before="0" w:after="0"/>
              <w:jc w:val="left"/>
              <w:rPr>
                <w:rFonts w:eastAsia="Times New Roman"/>
                <w:b/>
                <w:bCs/>
                <w:sz w:val="14"/>
                <w:szCs w:val="14"/>
                <w:lang w:eastAsia="en-GB" w:bidi="ne-NP"/>
              </w:rPr>
            </w:pPr>
            <w:r w:rsidRPr="007A7964">
              <w:rPr>
                <w:rFonts w:eastAsia="Times New Roman"/>
                <w:b/>
                <w:bCs/>
                <w:sz w:val="14"/>
                <w:szCs w:val="14"/>
                <w:lang w:eastAsia="en-GB" w:bidi="ne-NP"/>
              </w:rPr>
              <w:t>JTF pavisam kopā</w:t>
            </w:r>
          </w:p>
        </w:tc>
        <w:tc>
          <w:tcPr>
            <w:tcW w:w="831" w:type="dxa"/>
            <w:shd w:val="clear" w:color="000000" w:fill="D9D9D9"/>
            <w:vAlign w:val="center"/>
            <w:hideMark/>
          </w:tcPr>
          <w:p w14:paraId="7CEE94D0" w14:textId="77777777" w:rsidR="007A7964" w:rsidRPr="007A7964" w:rsidRDefault="007A7964" w:rsidP="007A7964">
            <w:pPr>
              <w:spacing w:before="0" w:after="0"/>
              <w:rPr>
                <w:rFonts w:eastAsia="Times New Roman"/>
                <w:b/>
                <w:bCs/>
                <w:sz w:val="14"/>
                <w:szCs w:val="14"/>
                <w:lang w:eastAsia="en-GB" w:bidi="ne-NP"/>
              </w:rPr>
            </w:pPr>
            <w:r w:rsidRPr="007A7964">
              <w:rPr>
                <w:rFonts w:eastAsia="Times New Roman"/>
                <w:b/>
                <w:bCs/>
                <w:sz w:val="14"/>
                <w:szCs w:val="14"/>
                <w:lang w:eastAsia="en-GB" w:bidi="ne-NP"/>
              </w:rPr>
              <w:t>Mazāk attīstīts</w:t>
            </w:r>
          </w:p>
        </w:tc>
        <w:tc>
          <w:tcPr>
            <w:tcW w:w="1056" w:type="dxa"/>
            <w:shd w:val="clear" w:color="000000" w:fill="D9D9D9"/>
            <w:hideMark/>
          </w:tcPr>
          <w:p w14:paraId="67CFF3CF" w14:textId="4CA99323"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191 606 819</w:t>
            </w:r>
          </w:p>
        </w:tc>
        <w:tc>
          <w:tcPr>
            <w:tcW w:w="1125" w:type="dxa"/>
            <w:shd w:val="clear" w:color="000000" w:fill="D9D9D9"/>
            <w:hideMark/>
          </w:tcPr>
          <w:p w14:paraId="5634B7BB" w14:textId="2E88EC6D"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171 458 288</w:t>
            </w:r>
          </w:p>
        </w:tc>
        <w:tc>
          <w:tcPr>
            <w:tcW w:w="1125" w:type="dxa"/>
            <w:shd w:val="clear" w:color="000000" w:fill="D9D9D9"/>
            <w:hideMark/>
          </w:tcPr>
          <w:p w14:paraId="3F795F45" w14:textId="7A138006"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7 144 095</w:t>
            </w:r>
          </w:p>
        </w:tc>
        <w:tc>
          <w:tcPr>
            <w:tcW w:w="1142" w:type="dxa"/>
            <w:shd w:val="clear" w:color="000000" w:fill="D9D9D9"/>
            <w:hideMark/>
          </w:tcPr>
          <w:p w14:paraId="2E48A7D8" w14:textId="3EB9A850"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12 484 258</w:t>
            </w:r>
          </w:p>
        </w:tc>
        <w:tc>
          <w:tcPr>
            <w:tcW w:w="1008" w:type="dxa"/>
            <w:shd w:val="clear" w:color="000000" w:fill="D9D9D9"/>
            <w:hideMark/>
          </w:tcPr>
          <w:p w14:paraId="345BD1C7" w14:textId="4892DA73"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520 177</w:t>
            </w:r>
          </w:p>
        </w:tc>
        <w:tc>
          <w:tcPr>
            <w:tcW w:w="1134" w:type="dxa"/>
            <w:shd w:val="clear" w:color="000000" w:fill="D9D9D9"/>
            <w:hideMark/>
          </w:tcPr>
          <w:p w14:paraId="418B7DA2" w14:textId="762AA431"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33 812 968</w:t>
            </w:r>
          </w:p>
        </w:tc>
        <w:tc>
          <w:tcPr>
            <w:tcW w:w="1276" w:type="dxa"/>
            <w:shd w:val="clear" w:color="000000" w:fill="D9D9D9"/>
            <w:hideMark/>
          </w:tcPr>
          <w:p w14:paraId="1F5F8E7D" w14:textId="1343C8CE"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16 906 484</w:t>
            </w:r>
          </w:p>
        </w:tc>
        <w:tc>
          <w:tcPr>
            <w:tcW w:w="1134" w:type="dxa"/>
            <w:shd w:val="clear" w:color="000000" w:fill="D9D9D9"/>
            <w:hideMark/>
          </w:tcPr>
          <w:p w14:paraId="2FEA14B2" w14:textId="5686E911"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16 906 484</w:t>
            </w:r>
          </w:p>
        </w:tc>
        <w:tc>
          <w:tcPr>
            <w:tcW w:w="1276" w:type="dxa"/>
            <w:shd w:val="clear" w:color="000000" w:fill="D9D9D9"/>
            <w:hideMark/>
          </w:tcPr>
          <w:p w14:paraId="4228CED9" w14:textId="1BA13445"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225 419 787</w:t>
            </w:r>
          </w:p>
        </w:tc>
        <w:tc>
          <w:tcPr>
            <w:tcW w:w="992" w:type="dxa"/>
            <w:shd w:val="clear" w:color="000000" w:fill="D9D9D9"/>
            <w:noWrap/>
            <w:hideMark/>
          </w:tcPr>
          <w:p w14:paraId="32944109" w14:textId="63BD84F2" w:rsidR="007A7964" w:rsidRPr="007A7964" w:rsidRDefault="007A7964" w:rsidP="007A7964">
            <w:pPr>
              <w:spacing w:before="0" w:after="0"/>
              <w:jc w:val="center"/>
              <w:rPr>
                <w:rFonts w:eastAsia="Times New Roman"/>
                <w:b/>
                <w:bCs/>
                <w:color w:val="000000"/>
                <w:sz w:val="14"/>
                <w:szCs w:val="14"/>
                <w:lang w:eastAsia="en-GB" w:bidi="ne-NP"/>
              </w:rPr>
            </w:pPr>
            <w:r w:rsidRPr="007A7964">
              <w:rPr>
                <w:sz w:val="14"/>
                <w:szCs w:val="14"/>
              </w:rPr>
              <w:t>0,85</w:t>
            </w:r>
          </w:p>
        </w:tc>
      </w:tr>
      <w:tr w:rsidR="007A7964" w:rsidRPr="007A7964" w14:paraId="4569E6AB" w14:textId="77777777" w:rsidTr="003155B0">
        <w:trPr>
          <w:trHeight w:val="315"/>
        </w:trPr>
        <w:tc>
          <w:tcPr>
            <w:tcW w:w="855" w:type="dxa"/>
            <w:shd w:val="clear" w:color="auto" w:fill="auto"/>
            <w:vAlign w:val="center"/>
            <w:hideMark/>
          </w:tcPr>
          <w:p w14:paraId="32CB23E2" w14:textId="77777777" w:rsidR="007A7964" w:rsidRPr="007A7964" w:rsidRDefault="007A7964" w:rsidP="007A7964">
            <w:pPr>
              <w:spacing w:before="0" w:after="0"/>
              <w:rPr>
                <w:rFonts w:eastAsia="Times New Roman"/>
                <w:sz w:val="14"/>
                <w:szCs w:val="14"/>
                <w:lang w:eastAsia="en-GB" w:bidi="ne-NP"/>
              </w:rPr>
            </w:pPr>
            <w:r w:rsidRPr="007A7964">
              <w:rPr>
                <w:rFonts w:eastAsia="Times New Roman"/>
                <w:sz w:val="14"/>
                <w:szCs w:val="14"/>
                <w:lang w:eastAsia="en-GB" w:bidi="ne-NP"/>
              </w:rPr>
              <w:t>6.1.</w:t>
            </w:r>
          </w:p>
        </w:tc>
        <w:tc>
          <w:tcPr>
            <w:tcW w:w="778" w:type="dxa"/>
            <w:shd w:val="clear" w:color="auto" w:fill="auto"/>
            <w:vAlign w:val="center"/>
            <w:hideMark/>
          </w:tcPr>
          <w:p w14:paraId="362C5491" w14:textId="77777777" w:rsidR="007A7964" w:rsidRPr="007A7964" w:rsidRDefault="007A7964" w:rsidP="007A7964">
            <w:pPr>
              <w:spacing w:before="0" w:after="0"/>
              <w:rPr>
                <w:rFonts w:eastAsia="Times New Roman"/>
                <w:sz w:val="14"/>
                <w:szCs w:val="14"/>
                <w:lang w:eastAsia="en-GB" w:bidi="ne-NP"/>
              </w:rPr>
            </w:pPr>
            <w:r w:rsidRPr="007A7964">
              <w:rPr>
                <w:rFonts w:eastAsia="Times New Roman"/>
                <w:sz w:val="14"/>
                <w:szCs w:val="14"/>
                <w:lang w:eastAsia="en-GB" w:bidi="ne-NP"/>
              </w:rPr>
              <w:t>k</w:t>
            </w:r>
          </w:p>
        </w:tc>
        <w:tc>
          <w:tcPr>
            <w:tcW w:w="722" w:type="dxa"/>
            <w:shd w:val="clear" w:color="auto" w:fill="auto"/>
            <w:vAlign w:val="center"/>
            <w:hideMark/>
          </w:tcPr>
          <w:p w14:paraId="5DB512BE" w14:textId="77777777" w:rsidR="007A7964" w:rsidRPr="007A7964" w:rsidRDefault="007A7964" w:rsidP="007A7964">
            <w:pPr>
              <w:spacing w:before="0" w:after="0"/>
              <w:jc w:val="left"/>
              <w:rPr>
                <w:rFonts w:eastAsia="Times New Roman"/>
                <w:sz w:val="14"/>
                <w:szCs w:val="14"/>
                <w:lang w:eastAsia="en-GB" w:bidi="ne-NP"/>
              </w:rPr>
            </w:pPr>
            <w:r w:rsidRPr="007A7964">
              <w:rPr>
                <w:rFonts w:eastAsia="Times New Roman"/>
                <w:sz w:val="14"/>
                <w:szCs w:val="14"/>
                <w:lang w:eastAsia="en-GB" w:bidi="ne-NP"/>
              </w:rPr>
              <w:t>JTF (MFF)</w:t>
            </w:r>
          </w:p>
        </w:tc>
        <w:tc>
          <w:tcPr>
            <w:tcW w:w="831" w:type="dxa"/>
            <w:shd w:val="clear" w:color="auto" w:fill="auto"/>
            <w:vAlign w:val="center"/>
            <w:hideMark/>
          </w:tcPr>
          <w:p w14:paraId="069CFB96" w14:textId="77777777" w:rsidR="007A7964" w:rsidRPr="007A7964" w:rsidRDefault="007A7964" w:rsidP="007A7964">
            <w:pPr>
              <w:spacing w:before="0" w:after="0"/>
              <w:rPr>
                <w:rFonts w:eastAsia="Times New Roman"/>
                <w:sz w:val="14"/>
                <w:szCs w:val="14"/>
                <w:lang w:eastAsia="en-GB" w:bidi="ne-NP"/>
              </w:rPr>
            </w:pPr>
            <w:r w:rsidRPr="007A7964">
              <w:rPr>
                <w:rFonts w:eastAsia="Times New Roman"/>
                <w:sz w:val="14"/>
                <w:szCs w:val="14"/>
                <w:lang w:eastAsia="en-GB" w:bidi="ne-NP"/>
              </w:rPr>
              <w:t>Mazāk attīstīts</w:t>
            </w:r>
          </w:p>
        </w:tc>
        <w:tc>
          <w:tcPr>
            <w:tcW w:w="1056" w:type="dxa"/>
            <w:shd w:val="clear" w:color="auto" w:fill="auto"/>
            <w:hideMark/>
          </w:tcPr>
          <w:p w14:paraId="4F6C66EF" w14:textId="7D3F42E5" w:rsidR="007A7964" w:rsidRPr="007A7964" w:rsidRDefault="007A7964" w:rsidP="007A7964">
            <w:pPr>
              <w:spacing w:before="0" w:after="0"/>
              <w:jc w:val="right"/>
              <w:rPr>
                <w:rFonts w:eastAsia="Times New Roman"/>
                <w:sz w:val="14"/>
                <w:szCs w:val="14"/>
                <w:lang w:eastAsia="en-GB" w:bidi="ne-NP"/>
              </w:rPr>
            </w:pPr>
            <w:r w:rsidRPr="007A7964">
              <w:rPr>
                <w:sz w:val="14"/>
                <w:szCs w:val="14"/>
              </w:rPr>
              <w:t>83 899 584</w:t>
            </w:r>
          </w:p>
        </w:tc>
        <w:tc>
          <w:tcPr>
            <w:tcW w:w="1125" w:type="dxa"/>
            <w:shd w:val="clear" w:color="auto" w:fill="auto"/>
            <w:hideMark/>
          </w:tcPr>
          <w:p w14:paraId="3229A70D" w14:textId="467B58AF" w:rsidR="007A7964" w:rsidRPr="007A7964" w:rsidRDefault="007A7964" w:rsidP="007A7964">
            <w:pPr>
              <w:spacing w:before="0" w:after="0"/>
              <w:jc w:val="right"/>
              <w:rPr>
                <w:rFonts w:eastAsia="Times New Roman"/>
                <w:sz w:val="14"/>
                <w:szCs w:val="14"/>
                <w:lang w:eastAsia="en-GB" w:bidi="ne-NP"/>
              </w:rPr>
            </w:pPr>
            <w:r w:rsidRPr="007A7964">
              <w:rPr>
                <w:sz w:val="14"/>
                <w:szCs w:val="14"/>
              </w:rPr>
              <w:t>68 059 343</w:t>
            </w:r>
          </w:p>
        </w:tc>
        <w:tc>
          <w:tcPr>
            <w:tcW w:w="1125" w:type="dxa"/>
            <w:shd w:val="clear" w:color="auto" w:fill="auto"/>
            <w:hideMark/>
          </w:tcPr>
          <w:p w14:paraId="02FA776A" w14:textId="5491ABF0" w:rsidR="007A7964" w:rsidRPr="007A7964" w:rsidRDefault="007A7964" w:rsidP="007A7964">
            <w:pPr>
              <w:spacing w:before="0" w:after="0"/>
              <w:jc w:val="right"/>
              <w:rPr>
                <w:rFonts w:eastAsia="Times New Roman"/>
                <w:sz w:val="14"/>
                <w:szCs w:val="14"/>
                <w:lang w:eastAsia="en-GB" w:bidi="ne-NP"/>
              </w:rPr>
            </w:pPr>
            <w:r w:rsidRPr="007A7964">
              <w:rPr>
                <w:sz w:val="14"/>
                <w:szCs w:val="14"/>
              </w:rPr>
              <w:t>2 835 806</w:t>
            </w:r>
          </w:p>
        </w:tc>
        <w:tc>
          <w:tcPr>
            <w:tcW w:w="1142" w:type="dxa"/>
            <w:shd w:val="clear" w:color="auto" w:fill="auto"/>
            <w:hideMark/>
          </w:tcPr>
          <w:p w14:paraId="5DC3E13E" w14:textId="4145D007" w:rsidR="007A7964" w:rsidRPr="007A7964" w:rsidRDefault="007A7964" w:rsidP="007A7964">
            <w:pPr>
              <w:spacing w:before="0" w:after="0"/>
              <w:jc w:val="right"/>
              <w:rPr>
                <w:rFonts w:eastAsia="Times New Roman"/>
                <w:sz w:val="14"/>
                <w:szCs w:val="14"/>
                <w:lang w:eastAsia="en-GB" w:bidi="ne-NP"/>
              </w:rPr>
            </w:pPr>
            <w:r w:rsidRPr="007A7964">
              <w:rPr>
                <w:sz w:val="14"/>
                <w:szCs w:val="14"/>
              </w:rPr>
              <w:t>12 484 258</w:t>
            </w:r>
          </w:p>
        </w:tc>
        <w:tc>
          <w:tcPr>
            <w:tcW w:w="1008" w:type="dxa"/>
            <w:shd w:val="clear" w:color="auto" w:fill="auto"/>
            <w:hideMark/>
          </w:tcPr>
          <w:p w14:paraId="3EA4E928" w14:textId="76C100E5" w:rsidR="007A7964" w:rsidRPr="007A7964" w:rsidRDefault="007A7964" w:rsidP="007A7964">
            <w:pPr>
              <w:spacing w:before="0" w:after="0"/>
              <w:jc w:val="right"/>
              <w:rPr>
                <w:rFonts w:eastAsia="Times New Roman"/>
                <w:sz w:val="14"/>
                <w:szCs w:val="14"/>
                <w:lang w:eastAsia="en-GB" w:bidi="ne-NP"/>
              </w:rPr>
            </w:pPr>
            <w:r w:rsidRPr="007A7964">
              <w:rPr>
                <w:sz w:val="14"/>
                <w:szCs w:val="14"/>
              </w:rPr>
              <w:t>520 177</w:t>
            </w:r>
          </w:p>
        </w:tc>
        <w:tc>
          <w:tcPr>
            <w:tcW w:w="1134" w:type="dxa"/>
            <w:shd w:val="clear" w:color="auto" w:fill="auto"/>
            <w:noWrap/>
            <w:hideMark/>
          </w:tcPr>
          <w:p w14:paraId="57918802" w14:textId="3B62A6DF" w:rsidR="007A7964" w:rsidRPr="007A7964" w:rsidRDefault="007A7964" w:rsidP="007A7964">
            <w:pPr>
              <w:spacing w:before="0" w:after="0"/>
              <w:jc w:val="right"/>
              <w:rPr>
                <w:rFonts w:eastAsia="Times New Roman"/>
                <w:sz w:val="14"/>
                <w:szCs w:val="14"/>
                <w:lang w:eastAsia="en-GB" w:bidi="ne-NP"/>
              </w:rPr>
            </w:pPr>
            <w:r w:rsidRPr="007A7964">
              <w:rPr>
                <w:sz w:val="14"/>
                <w:szCs w:val="14"/>
              </w:rPr>
              <w:t>14 805 809</w:t>
            </w:r>
          </w:p>
        </w:tc>
        <w:tc>
          <w:tcPr>
            <w:tcW w:w="1276" w:type="dxa"/>
            <w:shd w:val="clear" w:color="auto" w:fill="auto"/>
            <w:hideMark/>
          </w:tcPr>
          <w:p w14:paraId="051BA4D3" w14:textId="2641FBF3" w:rsidR="007A7964" w:rsidRPr="007A7964" w:rsidRDefault="007A7964" w:rsidP="007A7964">
            <w:pPr>
              <w:spacing w:before="0" w:after="0"/>
              <w:jc w:val="right"/>
              <w:rPr>
                <w:rFonts w:eastAsia="Times New Roman"/>
                <w:sz w:val="14"/>
                <w:szCs w:val="14"/>
                <w:lang w:eastAsia="en-GB" w:bidi="ne-NP"/>
              </w:rPr>
            </w:pPr>
            <w:r w:rsidRPr="007A7964">
              <w:rPr>
                <w:sz w:val="14"/>
                <w:szCs w:val="14"/>
              </w:rPr>
              <w:t>7 402 904</w:t>
            </w:r>
          </w:p>
        </w:tc>
        <w:tc>
          <w:tcPr>
            <w:tcW w:w="1134" w:type="dxa"/>
            <w:shd w:val="clear" w:color="auto" w:fill="auto"/>
            <w:hideMark/>
          </w:tcPr>
          <w:p w14:paraId="108EDBF1" w14:textId="4E4958CE" w:rsidR="007A7964" w:rsidRPr="007A7964" w:rsidRDefault="007A7964" w:rsidP="007A7964">
            <w:pPr>
              <w:spacing w:before="0" w:after="0"/>
              <w:jc w:val="right"/>
              <w:rPr>
                <w:rFonts w:eastAsia="Times New Roman"/>
                <w:sz w:val="14"/>
                <w:szCs w:val="14"/>
                <w:lang w:eastAsia="en-GB" w:bidi="ne-NP"/>
              </w:rPr>
            </w:pPr>
            <w:r w:rsidRPr="007A7964">
              <w:rPr>
                <w:sz w:val="14"/>
                <w:szCs w:val="14"/>
              </w:rPr>
              <w:t>7 402 904</w:t>
            </w:r>
          </w:p>
        </w:tc>
        <w:tc>
          <w:tcPr>
            <w:tcW w:w="1276" w:type="dxa"/>
            <w:shd w:val="clear" w:color="auto" w:fill="auto"/>
            <w:noWrap/>
            <w:hideMark/>
          </w:tcPr>
          <w:p w14:paraId="5398633F" w14:textId="40536713" w:rsidR="007A7964" w:rsidRPr="007A7964" w:rsidRDefault="007A7964" w:rsidP="007A7964">
            <w:pPr>
              <w:spacing w:before="0" w:after="0"/>
              <w:jc w:val="right"/>
              <w:rPr>
                <w:rFonts w:eastAsia="Times New Roman"/>
                <w:sz w:val="14"/>
                <w:szCs w:val="14"/>
                <w:lang w:eastAsia="en-GB" w:bidi="ne-NP"/>
              </w:rPr>
            </w:pPr>
            <w:r w:rsidRPr="007A7964">
              <w:rPr>
                <w:sz w:val="14"/>
                <w:szCs w:val="14"/>
              </w:rPr>
              <w:t>98 705 393</w:t>
            </w:r>
          </w:p>
        </w:tc>
        <w:tc>
          <w:tcPr>
            <w:tcW w:w="992" w:type="dxa"/>
            <w:shd w:val="clear" w:color="auto" w:fill="auto"/>
            <w:noWrap/>
            <w:hideMark/>
          </w:tcPr>
          <w:p w14:paraId="182458A8" w14:textId="331D44B2" w:rsidR="007A7964" w:rsidRPr="007A7964" w:rsidRDefault="007A7964" w:rsidP="007A7964">
            <w:pPr>
              <w:spacing w:before="0" w:after="0"/>
              <w:jc w:val="center"/>
              <w:rPr>
                <w:rFonts w:eastAsia="Times New Roman"/>
                <w:color w:val="000000"/>
                <w:sz w:val="14"/>
                <w:szCs w:val="14"/>
                <w:lang w:eastAsia="en-GB" w:bidi="ne-NP"/>
              </w:rPr>
            </w:pPr>
            <w:r w:rsidRPr="007A7964">
              <w:rPr>
                <w:sz w:val="14"/>
                <w:szCs w:val="14"/>
              </w:rPr>
              <w:t>0,85</w:t>
            </w:r>
          </w:p>
        </w:tc>
      </w:tr>
      <w:tr w:rsidR="007A7964" w:rsidRPr="007A7964" w14:paraId="4F1C0206" w14:textId="77777777" w:rsidTr="003155B0">
        <w:trPr>
          <w:trHeight w:val="315"/>
        </w:trPr>
        <w:tc>
          <w:tcPr>
            <w:tcW w:w="855" w:type="dxa"/>
            <w:shd w:val="clear" w:color="auto" w:fill="auto"/>
            <w:vAlign w:val="center"/>
            <w:hideMark/>
          </w:tcPr>
          <w:p w14:paraId="0AC30C76" w14:textId="77777777" w:rsidR="007A7964" w:rsidRPr="007A7964" w:rsidRDefault="007A7964" w:rsidP="007A7964">
            <w:pPr>
              <w:spacing w:before="0" w:after="0"/>
              <w:rPr>
                <w:rFonts w:eastAsia="Times New Roman"/>
                <w:sz w:val="14"/>
                <w:szCs w:val="14"/>
                <w:lang w:eastAsia="en-GB" w:bidi="ne-NP"/>
              </w:rPr>
            </w:pPr>
            <w:r w:rsidRPr="007A7964">
              <w:rPr>
                <w:rFonts w:eastAsia="Times New Roman"/>
                <w:sz w:val="14"/>
                <w:szCs w:val="14"/>
                <w:lang w:eastAsia="en-GB" w:bidi="ne-NP"/>
              </w:rPr>
              <w:t>6.1.</w:t>
            </w:r>
          </w:p>
        </w:tc>
        <w:tc>
          <w:tcPr>
            <w:tcW w:w="778" w:type="dxa"/>
            <w:shd w:val="clear" w:color="auto" w:fill="auto"/>
            <w:vAlign w:val="center"/>
            <w:hideMark/>
          </w:tcPr>
          <w:p w14:paraId="77C1B247" w14:textId="77777777" w:rsidR="007A7964" w:rsidRPr="007A7964" w:rsidRDefault="007A7964" w:rsidP="007A7964">
            <w:pPr>
              <w:spacing w:before="0" w:after="0"/>
              <w:rPr>
                <w:rFonts w:eastAsia="Times New Roman"/>
                <w:sz w:val="14"/>
                <w:szCs w:val="14"/>
                <w:lang w:eastAsia="en-GB" w:bidi="ne-NP"/>
              </w:rPr>
            </w:pPr>
            <w:r w:rsidRPr="007A7964">
              <w:rPr>
                <w:rFonts w:eastAsia="Times New Roman"/>
                <w:sz w:val="14"/>
                <w:szCs w:val="14"/>
                <w:lang w:eastAsia="en-GB" w:bidi="ne-NP"/>
              </w:rPr>
              <w:t>k</w:t>
            </w:r>
          </w:p>
        </w:tc>
        <w:tc>
          <w:tcPr>
            <w:tcW w:w="722" w:type="dxa"/>
            <w:shd w:val="clear" w:color="auto" w:fill="auto"/>
            <w:vAlign w:val="center"/>
            <w:hideMark/>
          </w:tcPr>
          <w:p w14:paraId="5CE13C76" w14:textId="77777777" w:rsidR="007A7964" w:rsidRPr="007A7964" w:rsidRDefault="007A7964" w:rsidP="007A7964">
            <w:pPr>
              <w:spacing w:before="0" w:after="0"/>
              <w:jc w:val="left"/>
              <w:rPr>
                <w:rFonts w:eastAsia="Times New Roman"/>
                <w:sz w:val="14"/>
                <w:szCs w:val="14"/>
                <w:lang w:eastAsia="en-GB" w:bidi="ne-NP"/>
              </w:rPr>
            </w:pPr>
            <w:r w:rsidRPr="007A7964">
              <w:rPr>
                <w:rFonts w:eastAsia="Times New Roman"/>
                <w:sz w:val="14"/>
                <w:szCs w:val="14"/>
                <w:lang w:eastAsia="en-GB" w:bidi="ne-NP"/>
              </w:rPr>
              <w:t>JTR NextGen</w:t>
            </w:r>
          </w:p>
        </w:tc>
        <w:tc>
          <w:tcPr>
            <w:tcW w:w="831" w:type="dxa"/>
            <w:shd w:val="clear" w:color="auto" w:fill="auto"/>
            <w:vAlign w:val="center"/>
            <w:hideMark/>
          </w:tcPr>
          <w:p w14:paraId="47D95FA5" w14:textId="77777777" w:rsidR="007A7964" w:rsidRPr="007A7964" w:rsidRDefault="007A7964" w:rsidP="007A7964">
            <w:pPr>
              <w:spacing w:before="0" w:after="0"/>
              <w:rPr>
                <w:rFonts w:eastAsia="Times New Roman"/>
                <w:sz w:val="14"/>
                <w:szCs w:val="14"/>
                <w:lang w:eastAsia="en-GB" w:bidi="ne-NP"/>
              </w:rPr>
            </w:pPr>
            <w:r w:rsidRPr="007A7964">
              <w:rPr>
                <w:rFonts w:eastAsia="Times New Roman"/>
                <w:sz w:val="14"/>
                <w:szCs w:val="14"/>
                <w:lang w:eastAsia="en-GB" w:bidi="ne-NP"/>
              </w:rPr>
              <w:t>Mazāk attīstīts</w:t>
            </w:r>
          </w:p>
        </w:tc>
        <w:tc>
          <w:tcPr>
            <w:tcW w:w="1056" w:type="dxa"/>
            <w:shd w:val="clear" w:color="auto" w:fill="auto"/>
            <w:hideMark/>
          </w:tcPr>
          <w:p w14:paraId="7937228A" w14:textId="4CD697D5" w:rsidR="007A7964" w:rsidRPr="007A7964" w:rsidRDefault="007A7964" w:rsidP="007A7964">
            <w:pPr>
              <w:spacing w:before="0" w:after="0"/>
              <w:jc w:val="right"/>
              <w:rPr>
                <w:rFonts w:eastAsia="Times New Roman"/>
                <w:sz w:val="14"/>
                <w:szCs w:val="14"/>
                <w:lang w:eastAsia="en-GB" w:bidi="ne-NP"/>
              </w:rPr>
            </w:pPr>
            <w:r w:rsidRPr="007A7964">
              <w:rPr>
                <w:sz w:val="14"/>
                <w:szCs w:val="14"/>
              </w:rPr>
              <w:t>107 707 235</w:t>
            </w:r>
          </w:p>
        </w:tc>
        <w:tc>
          <w:tcPr>
            <w:tcW w:w="1125" w:type="dxa"/>
            <w:shd w:val="clear" w:color="auto" w:fill="auto"/>
            <w:hideMark/>
          </w:tcPr>
          <w:p w14:paraId="364E08D1" w14:textId="0A77570E" w:rsidR="007A7964" w:rsidRPr="007A7964" w:rsidRDefault="007A7964" w:rsidP="007A7964">
            <w:pPr>
              <w:spacing w:before="0" w:after="0"/>
              <w:jc w:val="right"/>
              <w:rPr>
                <w:rFonts w:eastAsia="Times New Roman"/>
                <w:sz w:val="14"/>
                <w:szCs w:val="14"/>
                <w:lang w:eastAsia="en-GB" w:bidi="ne-NP"/>
              </w:rPr>
            </w:pPr>
            <w:r w:rsidRPr="007A7964">
              <w:rPr>
                <w:sz w:val="14"/>
                <w:szCs w:val="14"/>
              </w:rPr>
              <w:t>103 398 946</w:t>
            </w:r>
          </w:p>
        </w:tc>
        <w:tc>
          <w:tcPr>
            <w:tcW w:w="1125" w:type="dxa"/>
            <w:shd w:val="clear" w:color="auto" w:fill="auto"/>
            <w:hideMark/>
          </w:tcPr>
          <w:p w14:paraId="6AB4FD36" w14:textId="5CD89B12" w:rsidR="007A7964" w:rsidRPr="007A7964" w:rsidRDefault="007A7964" w:rsidP="007A7964">
            <w:pPr>
              <w:spacing w:before="0" w:after="0"/>
              <w:jc w:val="right"/>
              <w:rPr>
                <w:rFonts w:eastAsia="Times New Roman"/>
                <w:sz w:val="14"/>
                <w:szCs w:val="14"/>
                <w:lang w:eastAsia="en-GB" w:bidi="ne-NP"/>
              </w:rPr>
            </w:pPr>
            <w:r w:rsidRPr="007A7964">
              <w:rPr>
                <w:sz w:val="14"/>
                <w:szCs w:val="14"/>
              </w:rPr>
              <w:t>4 308 289</w:t>
            </w:r>
          </w:p>
        </w:tc>
        <w:tc>
          <w:tcPr>
            <w:tcW w:w="1142" w:type="dxa"/>
            <w:shd w:val="clear" w:color="auto" w:fill="auto"/>
            <w:hideMark/>
          </w:tcPr>
          <w:p w14:paraId="3C62DECD" w14:textId="36265199" w:rsidR="007A7964" w:rsidRPr="007A7964" w:rsidRDefault="007A7964" w:rsidP="007A7964">
            <w:pPr>
              <w:spacing w:before="0" w:after="0"/>
              <w:jc w:val="right"/>
              <w:rPr>
                <w:rFonts w:eastAsia="Times New Roman"/>
                <w:sz w:val="14"/>
                <w:szCs w:val="14"/>
                <w:lang w:eastAsia="en-GB" w:bidi="ne-NP"/>
              </w:rPr>
            </w:pPr>
            <w:r w:rsidRPr="007A7964">
              <w:rPr>
                <w:sz w:val="14"/>
                <w:szCs w:val="14"/>
              </w:rPr>
              <w:t>0</w:t>
            </w:r>
          </w:p>
        </w:tc>
        <w:tc>
          <w:tcPr>
            <w:tcW w:w="1008" w:type="dxa"/>
            <w:shd w:val="clear" w:color="auto" w:fill="auto"/>
            <w:hideMark/>
          </w:tcPr>
          <w:p w14:paraId="380A44AD" w14:textId="025DF25C" w:rsidR="007A7964" w:rsidRPr="007A7964" w:rsidRDefault="007A7964" w:rsidP="007A7964">
            <w:pPr>
              <w:spacing w:before="0" w:after="0"/>
              <w:jc w:val="right"/>
              <w:rPr>
                <w:rFonts w:eastAsia="Times New Roman"/>
                <w:sz w:val="14"/>
                <w:szCs w:val="14"/>
                <w:lang w:eastAsia="en-GB" w:bidi="ne-NP"/>
              </w:rPr>
            </w:pPr>
            <w:r w:rsidRPr="007A7964">
              <w:rPr>
                <w:sz w:val="14"/>
                <w:szCs w:val="14"/>
              </w:rPr>
              <w:t>0</w:t>
            </w:r>
          </w:p>
        </w:tc>
        <w:tc>
          <w:tcPr>
            <w:tcW w:w="1134" w:type="dxa"/>
            <w:shd w:val="clear" w:color="auto" w:fill="auto"/>
            <w:noWrap/>
            <w:hideMark/>
          </w:tcPr>
          <w:p w14:paraId="7CF97164" w14:textId="2894CC5E" w:rsidR="007A7964" w:rsidRPr="007A7964" w:rsidRDefault="007A7964" w:rsidP="007A7964">
            <w:pPr>
              <w:spacing w:before="0" w:after="0"/>
              <w:jc w:val="right"/>
              <w:rPr>
                <w:rFonts w:eastAsia="Times New Roman"/>
                <w:sz w:val="14"/>
                <w:szCs w:val="14"/>
                <w:lang w:eastAsia="en-GB" w:bidi="ne-NP"/>
              </w:rPr>
            </w:pPr>
            <w:r w:rsidRPr="007A7964">
              <w:rPr>
                <w:sz w:val="14"/>
                <w:szCs w:val="14"/>
              </w:rPr>
              <w:t>19 007 159</w:t>
            </w:r>
          </w:p>
        </w:tc>
        <w:tc>
          <w:tcPr>
            <w:tcW w:w="1276" w:type="dxa"/>
            <w:shd w:val="clear" w:color="auto" w:fill="auto"/>
            <w:hideMark/>
          </w:tcPr>
          <w:p w14:paraId="088013A6" w14:textId="5C64B76C" w:rsidR="007A7964" w:rsidRPr="007A7964" w:rsidRDefault="007A7964" w:rsidP="007A7964">
            <w:pPr>
              <w:spacing w:before="0" w:after="0"/>
              <w:jc w:val="right"/>
              <w:rPr>
                <w:rFonts w:eastAsia="Times New Roman"/>
                <w:sz w:val="14"/>
                <w:szCs w:val="14"/>
                <w:lang w:eastAsia="en-GB" w:bidi="ne-NP"/>
              </w:rPr>
            </w:pPr>
            <w:r w:rsidRPr="007A7964">
              <w:rPr>
                <w:sz w:val="14"/>
                <w:szCs w:val="14"/>
              </w:rPr>
              <w:t>9 503 580</w:t>
            </w:r>
          </w:p>
        </w:tc>
        <w:tc>
          <w:tcPr>
            <w:tcW w:w="1134" w:type="dxa"/>
            <w:shd w:val="clear" w:color="auto" w:fill="auto"/>
            <w:hideMark/>
          </w:tcPr>
          <w:p w14:paraId="347E86C5" w14:textId="32D02232" w:rsidR="007A7964" w:rsidRPr="007A7964" w:rsidRDefault="007A7964" w:rsidP="007A7964">
            <w:pPr>
              <w:spacing w:before="0" w:after="0"/>
              <w:jc w:val="right"/>
              <w:rPr>
                <w:rFonts w:eastAsia="Times New Roman"/>
                <w:sz w:val="14"/>
                <w:szCs w:val="14"/>
                <w:lang w:eastAsia="en-GB" w:bidi="ne-NP"/>
              </w:rPr>
            </w:pPr>
            <w:r w:rsidRPr="007A7964">
              <w:rPr>
                <w:sz w:val="14"/>
                <w:szCs w:val="14"/>
              </w:rPr>
              <w:t>9 503 580</w:t>
            </w:r>
          </w:p>
        </w:tc>
        <w:tc>
          <w:tcPr>
            <w:tcW w:w="1276" w:type="dxa"/>
            <w:shd w:val="clear" w:color="auto" w:fill="auto"/>
            <w:noWrap/>
            <w:hideMark/>
          </w:tcPr>
          <w:p w14:paraId="750507A2" w14:textId="62FFE24B" w:rsidR="007A7964" w:rsidRPr="007A7964" w:rsidRDefault="007A7964" w:rsidP="007A7964">
            <w:pPr>
              <w:spacing w:before="0" w:after="0"/>
              <w:jc w:val="right"/>
              <w:rPr>
                <w:rFonts w:eastAsia="Times New Roman"/>
                <w:sz w:val="14"/>
                <w:szCs w:val="14"/>
                <w:lang w:eastAsia="en-GB" w:bidi="ne-NP"/>
              </w:rPr>
            </w:pPr>
            <w:r w:rsidRPr="007A7964">
              <w:rPr>
                <w:sz w:val="14"/>
                <w:szCs w:val="14"/>
              </w:rPr>
              <w:t>126 714 394</w:t>
            </w:r>
          </w:p>
        </w:tc>
        <w:tc>
          <w:tcPr>
            <w:tcW w:w="992" w:type="dxa"/>
            <w:shd w:val="clear" w:color="auto" w:fill="auto"/>
            <w:noWrap/>
            <w:hideMark/>
          </w:tcPr>
          <w:p w14:paraId="5D02CA69" w14:textId="4A27DD37" w:rsidR="007A7964" w:rsidRPr="007A7964" w:rsidRDefault="007A7964" w:rsidP="007A7964">
            <w:pPr>
              <w:spacing w:before="0" w:after="0"/>
              <w:jc w:val="center"/>
              <w:rPr>
                <w:rFonts w:eastAsia="Times New Roman"/>
                <w:color w:val="000000"/>
                <w:sz w:val="14"/>
                <w:szCs w:val="14"/>
                <w:lang w:eastAsia="en-GB" w:bidi="ne-NP"/>
              </w:rPr>
            </w:pPr>
            <w:r w:rsidRPr="007A7964">
              <w:rPr>
                <w:sz w:val="14"/>
                <w:szCs w:val="14"/>
              </w:rPr>
              <w:t>0,85</w:t>
            </w:r>
          </w:p>
        </w:tc>
      </w:tr>
      <w:tr w:rsidR="002B6651" w:rsidRPr="007A7964" w14:paraId="10FAF1F2" w14:textId="77777777" w:rsidTr="003155B0">
        <w:trPr>
          <w:trHeight w:val="315"/>
        </w:trPr>
        <w:tc>
          <w:tcPr>
            <w:tcW w:w="855" w:type="dxa"/>
            <w:shd w:val="clear" w:color="auto" w:fill="auto"/>
            <w:vAlign w:val="center"/>
          </w:tcPr>
          <w:p w14:paraId="07684EC0" w14:textId="7E818CD9" w:rsidR="002B6651" w:rsidRPr="007A7964" w:rsidRDefault="002B6651" w:rsidP="002B6651">
            <w:pPr>
              <w:spacing w:before="0" w:after="0"/>
              <w:rPr>
                <w:rFonts w:eastAsia="Times New Roman"/>
                <w:sz w:val="14"/>
                <w:szCs w:val="14"/>
                <w:lang w:eastAsia="en-GB" w:bidi="ne-NP"/>
              </w:rPr>
            </w:pPr>
            <w:r w:rsidRPr="007A7964">
              <w:rPr>
                <w:rFonts w:eastAsia="Times New Roman"/>
                <w:sz w:val="14"/>
                <w:szCs w:val="14"/>
                <w:lang w:eastAsia="en-GB" w:bidi="ne-NP"/>
              </w:rPr>
              <w:t>TP 32.pants</w:t>
            </w:r>
          </w:p>
        </w:tc>
        <w:tc>
          <w:tcPr>
            <w:tcW w:w="778" w:type="dxa"/>
            <w:shd w:val="clear" w:color="auto" w:fill="auto"/>
            <w:vAlign w:val="center"/>
          </w:tcPr>
          <w:p w14:paraId="47A1C363" w14:textId="77777777" w:rsidR="002B6651" w:rsidRPr="007A7964" w:rsidRDefault="002B6651" w:rsidP="002B6651">
            <w:pPr>
              <w:spacing w:before="0" w:after="0"/>
              <w:rPr>
                <w:rFonts w:eastAsia="Times New Roman"/>
                <w:sz w:val="14"/>
                <w:szCs w:val="14"/>
                <w:lang w:eastAsia="en-GB" w:bidi="ne-NP"/>
              </w:rPr>
            </w:pPr>
          </w:p>
        </w:tc>
        <w:tc>
          <w:tcPr>
            <w:tcW w:w="722" w:type="dxa"/>
            <w:shd w:val="clear" w:color="auto" w:fill="auto"/>
            <w:vAlign w:val="center"/>
          </w:tcPr>
          <w:p w14:paraId="23D18A2D" w14:textId="77777777" w:rsidR="002B6651" w:rsidRPr="007A7964" w:rsidRDefault="002B6651" w:rsidP="002B6651">
            <w:pPr>
              <w:spacing w:before="0" w:after="0"/>
              <w:jc w:val="left"/>
              <w:rPr>
                <w:rFonts w:eastAsia="Times New Roman"/>
                <w:sz w:val="14"/>
                <w:szCs w:val="14"/>
                <w:lang w:eastAsia="en-GB" w:bidi="ne-NP"/>
              </w:rPr>
            </w:pPr>
          </w:p>
        </w:tc>
        <w:tc>
          <w:tcPr>
            <w:tcW w:w="831" w:type="dxa"/>
            <w:shd w:val="clear" w:color="auto" w:fill="auto"/>
            <w:vAlign w:val="center"/>
          </w:tcPr>
          <w:p w14:paraId="38AEB8B0" w14:textId="77777777" w:rsidR="002B6651" w:rsidRPr="007A7964" w:rsidRDefault="002B6651" w:rsidP="002B6651">
            <w:pPr>
              <w:spacing w:before="0" w:after="0"/>
              <w:rPr>
                <w:rFonts w:eastAsia="Times New Roman"/>
                <w:sz w:val="14"/>
                <w:szCs w:val="14"/>
                <w:lang w:eastAsia="en-GB" w:bidi="ne-NP"/>
              </w:rPr>
            </w:pPr>
          </w:p>
        </w:tc>
        <w:tc>
          <w:tcPr>
            <w:tcW w:w="1056" w:type="dxa"/>
            <w:shd w:val="clear" w:color="auto" w:fill="auto"/>
          </w:tcPr>
          <w:p w14:paraId="21F017B3" w14:textId="31DA906C" w:rsidR="002B6651" w:rsidRPr="007A7964" w:rsidRDefault="002B6651" w:rsidP="002B6651">
            <w:pPr>
              <w:spacing w:before="0" w:after="0"/>
              <w:jc w:val="right"/>
              <w:rPr>
                <w:rFonts w:eastAsia="Times New Roman"/>
                <w:sz w:val="14"/>
                <w:szCs w:val="14"/>
                <w:lang w:eastAsia="en-GB" w:bidi="ne-NP"/>
              </w:rPr>
            </w:pPr>
            <w:r w:rsidRPr="007A7964">
              <w:rPr>
                <w:sz w:val="14"/>
                <w:szCs w:val="14"/>
              </w:rPr>
              <w:t>0</w:t>
            </w:r>
          </w:p>
        </w:tc>
        <w:tc>
          <w:tcPr>
            <w:tcW w:w="1125" w:type="dxa"/>
            <w:shd w:val="clear" w:color="auto" w:fill="auto"/>
          </w:tcPr>
          <w:p w14:paraId="12C9E6C0" w14:textId="28E34CA3" w:rsidR="002B6651" w:rsidRPr="007A7964" w:rsidRDefault="002B6651" w:rsidP="002B6651">
            <w:pPr>
              <w:spacing w:before="0" w:after="0"/>
              <w:jc w:val="right"/>
              <w:rPr>
                <w:rFonts w:eastAsia="Times New Roman"/>
                <w:sz w:val="14"/>
                <w:szCs w:val="14"/>
                <w:lang w:eastAsia="en-GB" w:bidi="ne-NP"/>
              </w:rPr>
            </w:pPr>
            <w:r w:rsidRPr="007A7964">
              <w:rPr>
                <w:sz w:val="14"/>
                <w:szCs w:val="14"/>
              </w:rPr>
              <w:t>0</w:t>
            </w:r>
          </w:p>
        </w:tc>
        <w:tc>
          <w:tcPr>
            <w:tcW w:w="1125" w:type="dxa"/>
            <w:shd w:val="clear" w:color="auto" w:fill="auto"/>
          </w:tcPr>
          <w:p w14:paraId="66A61A7B" w14:textId="32FFD50B" w:rsidR="002B6651" w:rsidRPr="007A7964" w:rsidRDefault="002B6651" w:rsidP="002B6651">
            <w:pPr>
              <w:spacing w:before="0" w:after="0"/>
              <w:jc w:val="right"/>
              <w:rPr>
                <w:rFonts w:eastAsia="Times New Roman"/>
                <w:sz w:val="14"/>
                <w:szCs w:val="14"/>
                <w:lang w:eastAsia="en-GB" w:bidi="ne-NP"/>
              </w:rPr>
            </w:pPr>
            <w:r w:rsidRPr="007A7964">
              <w:rPr>
                <w:sz w:val="14"/>
                <w:szCs w:val="14"/>
              </w:rPr>
              <w:t>0</w:t>
            </w:r>
          </w:p>
        </w:tc>
        <w:tc>
          <w:tcPr>
            <w:tcW w:w="1142" w:type="dxa"/>
            <w:shd w:val="clear" w:color="auto" w:fill="auto"/>
          </w:tcPr>
          <w:p w14:paraId="0D52CC82" w14:textId="1B9CD9F2" w:rsidR="002B6651" w:rsidRPr="007A7964" w:rsidRDefault="002B6651" w:rsidP="002B6651">
            <w:pPr>
              <w:spacing w:before="0" w:after="0"/>
              <w:jc w:val="right"/>
              <w:rPr>
                <w:rFonts w:eastAsia="Times New Roman"/>
                <w:sz w:val="14"/>
                <w:szCs w:val="14"/>
                <w:lang w:eastAsia="en-GB" w:bidi="ne-NP"/>
              </w:rPr>
            </w:pPr>
            <w:r w:rsidRPr="007A7964">
              <w:rPr>
                <w:sz w:val="14"/>
                <w:szCs w:val="14"/>
              </w:rPr>
              <w:t>0</w:t>
            </w:r>
          </w:p>
        </w:tc>
        <w:tc>
          <w:tcPr>
            <w:tcW w:w="1008" w:type="dxa"/>
            <w:shd w:val="clear" w:color="auto" w:fill="auto"/>
          </w:tcPr>
          <w:p w14:paraId="3C7C5950" w14:textId="77777777" w:rsidR="002B6651" w:rsidRPr="007A7964" w:rsidRDefault="002B6651" w:rsidP="002B6651">
            <w:pPr>
              <w:spacing w:before="0" w:after="0"/>
              <w:jc w:val="right"/>
              <w:rPr>
                <w:rFonts w:eastAsia="Times New Roman"/>
                <w:sz w:val="14"/>
                <w:szCs w:val="14"/>
                <w:lang w:eastAsia="en-GB" w:bidi="ne-NP"/>
              </w:rPr>
            </w:pPr>
          </w:p>
        </w:tc>
        <w:tc>
          <w:tcPr>
            <w:tcW w:w="1134" w:type="dxa"/>
            <w:shd w:val="clear" w:color="auto" w:fill="auto"/>
            <w:noWrap/>
          </w:tcPr>
          <w:p w14:paraId="097B33D9" w14:textId="6B61CF4F" w:rsidR="002B6651" w:rsidRPr="007A7964" w:rsidRDefault="002B6651" w:rsidP="002B6651">
            <w:pPr>
              <w:spacing w:before="0" w:after="0"/>
              <w:jc w:val="right"/>
              <w:rPr>
                <w:rFonts w:eastAsia="Times New Roman"/>
                <w:sz w:val="14"/>
                <w:szCs w:val="14"/>
                <w:lang w:eastAsia="en-GB" w:bidi="ne-NP"/>
              </w:rPr>
            </w:pPr>
            <w:r w:rsidRPr="007A7964">
              <w:rPr>
                <w:sz w:val="14"/>
                <w:szCs w:val="14"/>
              </w:rPr>
              <w:t>0</w:t>
            </w:r>
          </w:p>
        </w:tc>
        <w:tc>
          <w:tcPr>
            <w:tcW w:w="1276" w:type="dxa"/>
            <w:shd w:val="clear" w:color="auto" w:fill="auto"/>
          </w:tcPr>
          <w:p w14:paraId="5680C0E1" w14:textId="225B04F5" w:rsidR="002B6651" w:rsidRPr="007A7964" w:rsidRDefault="002B6651" w:rsidP="002B6651">
            <w:pPr>
              <w:spacing w:before="0" w:after="0"/>
              <w:jc w:val="right"/>
              <w:rPr>
                <w:rFonts w:eastAsia="Times New Roman"/>
                <w:sz w:val="14"/>
                <w:szCs w:val="14"/>
                <w:lang w:eastAsia="en-GB" w:bidi="ne-NP"/>
              </w:rPr>
            </w:pPr>
            <w:r w:rsidRPr="007A7964">
              <w:rPr>
                <w:sz w:val="14"/>
                <w:szCs w:val="14"/>
              </w:rPr>
              <w:t>0</w:t>
            </w:r>
          </w:p>
        </w:tc>
        <w:tc>
          <w:tcPr>
            <w:tcW w:w="1134" w:type="dxa"/>
            <w:shd w:val="clear" w:color="auto" w:fill="auto"/>
          </w:tcPr>
          <w:p w14:paraId="247468A8" w14:textId="18D9FD34" w:rsidR="002B6651" w:rsidRPr="007A7964" w:rsidRDefault="002B6651" w:rsidP="002B6651">
            <w:pPr>
              <w:spacing w:before="0" w:after="0"/>
              <w:jc w:val="right"/>
              <w:rPr>
                <w:rFonts w:eastAsia="Times New Roman"/>
                <w:sz w:val="14"/>
                <w:szCs w:val="14"/>
                <w:lang w:eastAsia="en-GB" w:bidi="ne-NP"/>
              </w:rPr>
            </w:pPr>
            <w:r w:rsidRPr="007A7964">
              <w:rPr>
                <w:sz w:val="14"/>
                <w:szCs w:val="14"/>
              </w:rPr>
              <w:t>0</w:t>
            </w:r>
          </w:p>
        </w:tc>
        <w:tc>
          <w:tcPr>
            <w:tcW w:w="1276" w:type="dxa"/>
            <w:shd w:val="clear" w:color="auto" w:fill="auto"/>
            <w:noWrap/>
          </w:tcPr>
          <w:p w14:paraId="20DFC49B" w14:textId="7DD37154" w:rsidR="002B6651" w:rsidRPr="007A7964" w:rsidRDefault="002B6651" w:rsidP="002B6651">
            <w:pPr>
              <w:spacing w:before="0" w:after="0"/>
              <w:jc w:val="right"/>
              <w:rPr>
                <w:rFonts w:eastAsia="Times New Roman"/>
                <w:sz w:val="14"/>
                <w:szCs w:val="14"/>
                <w:lang w:eastAsia="en-GB" w:bidi="ne-NP"/>
              </w:rPr>
            </w:pPr>
            <w:r w:rsidRPr="007A7964">
              <w:rPr>
                <w:sz w:val="14"/>
                <w:szCs w:val="14"/>
              </w:rPr>
              <w:t>0</w:t>
            </w:r>
          </w:p>
        </w:tc>
        <w:tc>
          <w:tcPr>
            <w:tcW w:w="992" w:type="dxa"/>
            <w:shd w:val="clear" w:color="auto" w:fill="auto"/>
            <w:noWrap/>
          </w:tcPr>
          <w:p w14:paraId="43864467" w14:textId="57264543" w:rsidR="002B6651" w:rsidRPr="007A7964" w:rsidRDefault="002B6651" w:rsidP="002B6651">
            <w:pPr>
              <w:spacing w:before="0" w:after="0"/>
              <w:jc w:val="center"/>
              <w:rPr>
                <w:rFonts w:eastAsia="Times New Roman"/>
                <w:color w:val="000000"/>
                <w:sz w:val="14"/>
                <w:szCs w:val="14"/>
                <w:lang w:eastAsia="en-GB" w:bidi="ne-NP"/>
              </w:rPr>
            </w:pPr>
            <w:r w:rsidRPr="007A7964">
              <w:rPr>
                <w:sz w:val="14"/>
                <w:szCs w:val="14"/>
              </w:rPr>
              <w:t>0</w:t>
            </w:r>
          </w:p>
        </w:tc>
      </w:tr>
      <w:tr w:rsidR="007A7964" w:rsidRPr="007A7964" w14:paraId="6EC45CDE" w14:textId="77777777" w:rsidTr="003155B0">
        <w:trPr>
          <w:trHeight w:val="315"/>
        </w:trPr>
        <w:tc>
          <w:tcPr>
            <w:tcW w:w="855" w:type="dxa"/>
            <w:shd w:val="clear" w:color="000000" w:fill="D9D9D9"/>
            <w:vAlign w:val="center"/>
            <w:hideMark/>
          </w:tcPr>
          <w:p w14:paraId="5510D50C" w14:textId="77777777" w:rsidR="007A7964" w:rsidRPr="007A7964" w:rsidRDefault="007A7964" w:rsidP="007A7964">
            <w:pPr>
              <w:spacing w:before="0" w:after="0"/>
              <w:rPr>
                <w:rFonts w:eastAsia="Times New Roman"/>
                <w:b/>
                <w:bCs/>
                <w:sz w:val="14"/>
                <w:szCs w:val="14"/>
                <w:lang w:eastAsia="en-GB" w:bidi="ne-NP"/>
              </w:rPr>
            </w:pPr>
            <w:r w:rsidRPr="007A7964">
              <w:rPr>
                <w:rFonts w:eastAsia="Times New Roman"/>
                <w:b/>
                <w:bCs/>
                <w:sz w:val="14"/>
                <w:szCs w:val="14"/>
                <w:lang w:eastAsia="en-GB" w:bidi="ne-NP"/>
              </w:rPr>
              <w:t> </w:t>
            </w:r>
          </w:p>
        </w:tc>
        <w:tc>
          <w:tcPr>
            <w:tcW w:w="778" w:type="dxa"/>
            <w:shd w:val="clear" w:color="000000" w:fill="D9D9D9"/>
            <w:vAlign w:val="center"/>
            <w:hideMark/>
          </w:tcPr>
          <w:p w14:paraId="01CA2074" w14:textId="77777777" w:rsidR="007A7964" w:rsidRPr="007A7964" w:rsidRDefault="007A7964" w:rsidP="007A7964">
            <w:pPr>
              <w:spacing w:before="0" w:after="0"/>
              <w:rPr>
                <w:rFonts w:eastAsia="Times New Roman"/>
                <w:b/>
                <w:bCs/>
                <w:color w:val="000000"/>
                <w:sz w:val="14"/>
                <w:szCs w:val="14"/>
                <w:lang w:eastAsia="en-GB" w:bidi="ne-NP"/>
              </w:rPr>
            </w:pPr>
            <w:r w:rsidRPr="007A7964">
              <w:rPr>
                <w:rFonts w:eastAsia="Times New Roman"/>
                <w:b/>
                <w:bCs/>
                <w:color w:val="000000"/>
                <w:sz w:val="14"/>
                <w:szCs w:val="14"/>
                <w:lang w:eastAsia="en-GB" w:bidi="ne-NP"/>
              </w:rPr>
              <w:t> </w:t>
            </w:r>
          </w:p>
        </w:tc>
        <w:tc>
          <w:tcPr>
            <w:tcW w:w="722" w:type="dxa"/>
            <w:shd w:val="clear" w:color="000000" w:fill="D9D9D9"/>
            <w:vAlign w:val="center"/>
            <w:hideMark/>
          </w:tcPr>
          <w:p w14:paraId="424BB59E" w14:textId="77777777" w:rsidR="007A7964" w:rsidRPr="007A7964" w:rsidRDefault="007A7964" w:rsidP="007A7964">
            <w:pPr>
              <w:spacing w:before="0" w:after="0"/>
              <w:jc w:val="left"/>
              <w:rPr>
                <w:rFonts w:eastAsia="Times New Roman"/>
                <w:b/>
                <w:bCs/>
                <w:color w:val="000000"/>
                <w:sz w:val="14"/>
                <w:szCs w:val="14"/>
                <w:lang w:eastAsia="en-GB" w:bidi="ne-NP"/>
              </w:rPr>
            </w:pPr>
            <w:r w:rsidRPr="007A7964">
              <w:rPr>
                <w:rFonts w:eastAsia="Times New Roman"/>
                <w:b/>
                <w:bCs/>
                <w:color w:val="000000"/>
                <w:sz w:val="14"/>
                <w:szCs w:val="14"/>
                <w:lang w:eastAsia="en-GB" w:bidi="ne-NP"/>
              </w:rPr>
              <w:t>ERAF</w:t>
            </w:r>
          </w:p>
        </w:tc>
        <w:tc>
          <w:tcPr>
            <w:tcW w:w="831" w:type="dxa"/>
            <w:shd w:val="clear" w:color="000000" w:fill="D9D9D9"/>
            <w:vAlign w:val="center"/>
            <w:hideMark/>
          </w:tcPr>
          <w:p w14:paraId="6D834012"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Mazāk attīstīts</w:t>
            </w:r>
          </w:p>
        </w:tc>
        <w:tc>
          <w:tcPr>
            <w:tcW w:w="1056" w:type="dxa"/>
            <w:shd w:val="clear" w:color="000000" w:fill="D9D9D9"/>
            <w:hideMark/>
          </w:tcPr>
          <w:p w14:paraId="5F3DE2EE" w14:textId="654D3435"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2 481 192 225</w:t>
            </w:r>
          </w:p>
        </w:tc>
        <w:tc>
          <w:tcPr>
            <w:tcW w:w="1125" w:type="dxa"/>
            <w:shd w:val="clear" w:color="auto" w:fill="D9D9D9" w:themeFill="background1" w:themeFillShade="D9"/>
            <w:hideMark/>
          </w:tcPr>
          <w:p w14:paraId="47672320" w14:textId="5DECEFF0"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2 023 226 170</w:t>
            </w:r>
          </w:p>
        </w:tc>
        <w:tc>
          <w:tcPr>
            <w:tcW w:w="1125" w:type="dxa"/>
            <w:shd w:val="clear" w:color="auto" w:fill="D9D9D9" w:themeFill="background1" w:themeFillShade="D9"/>
            <w:hideMark/>
          </w:tcPr>
          <w:p w14:paraId="5ABB4E87" w14:textId="3BFBFC28"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73 381 260</w:t>
            </w:r>
          </w:p>
        </w:tc>
        <w:tc>
          <w:tcPr>
            <w:tcW w:w="1142" w:type="dxa"/>
            <w:shd w:val="clear" w:color="auto" w:fill="D9D9D9" w:themeFill="background1" w:themeFillShade="D9"/>
            <w:hideMark/>
          </w:tcPr>
          <w:p w14:paraId="5EC06AF5" w14:textId="6366DC7E"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371 033 639</w:t>
            </w:r>
          </w:p>
        </w:tc>
        <w:tc>
          <w:tcPr>
            <w:tcW w:w="1008" w:type="dxa"/>
            <w:shd w:val="clear" w:color="auto" w:fill="D9D9D9" w:themeFill="background1" w:themeFillShade="D9"/>
            <w:hideMark/>
          </w:tcPr>
          <w:p w14:paraId="16D411A6" w14:textId="4D1D3260"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13 551 156</w:t>
            </w:r>
          </w:p>
        </w:tc>
        <w:tc>
          <w:tcPr>
            <w:tcW w:w="1134" w:type="dxa"/>
            <w:shd w:val="clear" w:color="000000" w:fill="D9D9D9"/>
            <w:hideMark/>
          </w:tcPr>
          <w:p w14:paraId="60B5BC35" w14:textId="6A3524D6"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437 857 452</w:t>
            </w:r>
          </w:p>
        </w:tc>
        <w:tc>
          <w:tcPr>
            <w:tcW w:w="1276" w:type="dxa"/>
            <w:shd w:val="clear" w:color="000000" w:fill="D9D9D9"/>
            <w:hideMark/>
          </w:tcPr>
          <w:p w14:paraId="37023238" w14:textId="2292328F"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218 928 726</w:t>
            </w:r>
          </w:p>
        </w:tc>
        <w:tc>
          <w:tcPr>
            <w:tcW w:w="1134" w:type="dxa"/>
            <w:shd w:val="clear" w:color="000000" w:fill="D9D9D9"/>
            <w:hideMark/>
          </w:tcPr>
          <w:p w14:paraId="6A4D5693" w14:textId="6C0D8462"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218 928 726</w:t>
            </w:r>
          </w:p>
        </w:tc>
        <w:tc>
          <w:tcPr>
            <w:tcW w:w="1276" w:type="dxa"/>
            <w:shd w:val="clear" w:color="000000" w:fill="D9D9D9"/>
            <w:hideMark/>
          </w:tcPr>
          <w:p w14:paraId="33FF2324" w14:textId="5C5EF1ED"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2 919 049 677</w:t>
            </w:r>
          </w:p>
        </w:tc>
        <w:tc>
          <w:tcPr>
            <w:tcW w:w="992" w:type="dxa"/>
            <w:shd w:val="clear" w:color="auto" w:fill="auto"/>
            <w:noWrap/>
            <w:hideMark/>
          </w:tcPr>
          <w:p w14:paraId="5DF3D878" w14:textId="5D332B53" w:rsidR="007A7964" w:rsidRPr="007A7964" w:rsidRDefault="007A7964" w:rsidP="007A7964">
            <w:pPr>
              <w:spacing w:before="0" w:after="0"/>
              <w:jc w:val="center"/>
              <w:rPr>
                <w:rFonts w:eastAsia="Times New Roman"/>
                <w:color w:val="000000"/>
                <w:sz w:val="14"/>
                <w:szCs w:val="14"/>
                <w:lang w:eastAsia="en-GB" w:bidi="ne-NP"/>
              </w:rPr>
            </w:pPr>
            <w:r w:rsidRPr="007A7964">
              <w:rPr>
                <w:sz w:val="14"/>
                <w:szCs w:val="14"/>
              </w:rPr>
              <w:t>0,85</w:t>
            </w:r>
          </w:p>
        </w:tc>
      </w:tr>
      <w:tr w:rsidR="007A7964" w:rsidRPr="007A7964" w14:paraId="7890EDEB" w14:textId="77777777" w:rsidTr="003155B0">
        <w:trPr>
          <w:trHeight w:val="315"/>
        </w:trPr>
        <w:tc>
          <w:tcPr>
            <w:tcW w:w="855" w:type="dxa"/>
            <w:shd w:val="clear" w:color="000000" w:fill="D9D9D9"/>
            <w:vAlign w:val="center"/>
            <w:hideMark/>
          </w:tcPr>
          <w:p w14:paraId="7E2B925A" w14:textId="77777777" w:rsidR="007A7964" w:rsidRPr="007A7964" w:rsidRDefault="007A7964" w:rsidP="007A7964">
            <w:pPr>
              <w:spacing w:before="0" w:after="0"/>
              <w:rPr>
                <w:rFonts w:eastAsia="Times New Roman"/>
                <w:b/>
                <w:bCs/>
                <w:sz w:val="14"/>
                <w:szCs w:val="14"/>
                <w:lang w:eastAsia="en-GB" w:bidi="ne-NP"/>
              </w:rPr>
            </w:pPr>
            <w:r w:rsidRPr="007A7964">
              <w:rPr>
                <w:rFonts w:eastAsia="Times New Roman"/>
                <w:b/>
                <w:bCs/>
                <w:sz w:val="14"/>
                <w:szCs w:val="14"/>
                <w:lang w:eastAsia="en-GB" w:bidi="ne-NP"/>
              </w:rPr>
              <w:t> </w:t>
            </w:r>
          </w:p>
        </w:tc>
        <w:tc>
          <w:tcPr>
            <w:tcW w:w="778" w:type="dxa"/>
            <w:shd w:val="clear" w:color="000000" w:fill="D9D9D9"/>
            <w:vAlign w:val="center"/>
            <w:hideMark/>
          </w:tcPr>
          <w:p w14:paraId="689A8180" w14:textId="77777777" w:rsidR="007A7964" w:rsidRPr="007A7964" w:rsidRDefault="007A7964" w:rsidP="007A7964">
            <w:pPr>
              <w:spacing w:before="0" w:after="0"/>
              <w:rPr>
                <w:rFonts w:eastAsia="Times New Roman"/>
                <w:b/>
                <w:bCs/>
                <w:color w:val="000000"/>
                <w:sz w:val="14"/>
                <w:szCs w:val="14"/>
                <w:lang w:eastAsia="en-GB" w:bidi="ne-NP"/>
              </w:rPr>
            </w:pPr>
            <w:r w:rsidRPr="007A7964">
              <w:rPr>
                <w:rFonts w:eastAsia="Times New Roman"/>
                <w:b/>
                <w:bCs/>
                <w:color w:val="000000"/>
                <w:sz w:val="14"/>
                <w:szCs w:val="14"/>
                <w:lang w:eastAsia="en-GB" w:bidi="ne-NP"/>
              </w:rPr>
              <w:t> </w:t>
            </w:r>
          </w:p>
        </w:tc>
        <w:tc>
          <w:tcPr>
            <w:tcW w:w="722" w:type="dxa"/>
            <w:shd w:val="clear" w:color="000000" w:fill="D9D9D9"/>
            <w:vAlign w:val="center"/>
            <w:hideMark/>
          </w:tcPr>
          <w:p w14:paraId="0A67009E" w14:textId="77777777" w:rsidR="007A7964" w:rsidRPr="007A7964" w:rsidRDefault="007A7964" w:rsidP="007A7964">
            <w:pPr>
              <w:spacing w:before="0" w:after="0"/>
              <w:jc w:val="left"/>
              <w:rPr>
                <w:rFonts w:eastAsia="Times New Roman"/>
                <w:b/>
                <w:bCs/>
                <w:color w:val="000000"/>
                <w:sz w:val="14"/>
                <w:szCs w:val="14"/>
                <w:lang w:eastAsia="en-GB" w:bidi="ne-NP"/>
              </w:rPr>
            </w:pPr>
            <w:r w:rsidRPr="007A7964">
              <w:rPr>
                <w:rFonts w:eastAsia="Times New Roman"/>
                <w:b/>
                <w:bCs/>
                <w:color w:val="000000"/>
                <w:sz w:val="14"/>
                <w:szCs w:val="14"/>
                <w:lang w:eastAsia="en-GB" w:bidi="ne-NP"/>
              </w:rPr>
              <w:t>KF</w:t>
            </w:r>
          </w:p>
        </w:tc>
        <w:tc>
          <w:tcPr>
            <w:tcW w:w="831" w:type="dxa"/>
            <w:shd w:val="clear" w:color="000000" w:fill="D9D9D9"/>
            <w:vAlign w:val="center"/>
            <w:hideMark/>
          </w:tcPr>
          <w:p w14:paraId="2C8F5D34"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N/A</w:t>
            </w:r>
          </w:p>
        </w:tc>
        <w:tc>
          <w:tcPr>
            <w:tcW w:w="1056" w:type="dxa"/>
            <w:shd w:val="clear" w:color="000000" w:fill="D9D9D9"/>
            <w:hideMark/>
          </w:tcPr>
          <w:p w14:paraId="12F76963" w14:textId="1B6CB84C"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1 027 542 092</w:t>
            </w:r>
          </w:p>
        </w:tc>
        <w:tc>
          <w:tcPr>
            <w:tcW w:w="1125" w:type="dxa"/>
            <w:shd w:val="clear" w:color="auto" w:fill="D9D9D9" w:themeFill="background1" w:themeFillShade="D9"/>
            <w:hideMark/>
          </w:tcPr>
          <w:p w14:paraId="6FADC609" w14:textId="1A5AD192"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846 566 241</w:t>
            </w:r>
          </w:p>
        </w:tc>
        <w:tc>
          <w:tcPr>
            <w:tcW w:w="1125" w:type="dxa"/>
            <w:shd w:val="clear" w:color="auto" w:fill="D9D9D9" w:themeFill="background1" w:themeFillShade="D9"/>
            <w:hideMark/>
          </w:tcPr>
          <w:p w14:paraId="78934C7D" w14:textId="4984E59C"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21 706 827</w:t>
            </w:r>
          </w:p>
        </w:tc>
        <w:tc>
          <w:tcPr>
            <w:tcW w:w="1142" w:type="dxa"/>
            <w:shd w:val="clear" w:color="auto" w:fill="D9D9D9" w:themeFill="background1" w:themeFillShade="D9"/>
            <w:hideMark/>
          </w:tcPr>
          <w:p w14:paraId="45EA561D" w14:textId="0AE3A008"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158 704 729</w:t>
            </w:r>
          </w:p>
        </w:tc>
        <w:tc>
          <w:tcPr>
            <w:tcW w:w="1008" w:type="dxa"/>
            <w:shd w:val="clear" w:color="auto" w:fill="D9D9D9" w:themeFill="background1" w:themeFillShade="D9"/>
            <w:hideMark/>
          </w:tcPr>
          <w:p w14:paraId="49F6765E" w14:textId="783BD9BF"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564 295</w:t>
            </w:r>
          </w:p>
        </w:tc>
        <w:tc>
          <w:tcPr>
            <w:tcW w:w="1134" w:type="dxa"/>
            <w:shd w:val="clear" w:color="000000" w:fill="D9D9D9"/>
            <w:hideMark/>
          </w:tcPr>
          <w:p w14:paraId="0F27DA34" w14:textId="22458B18"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181 330 957</w:t>
            </w:r>
          </w:p>
        </w:tc>
        <w:tc>
          <w:tcPr>
            <w:tcW w:w="1276" w:type="dxa"/>
            <w:shd w:val="clear" w:color="000000" w:fill="D9D9D9"/>
            <w:hideMark/>
          </w:tcPr>
          <w:p w14:paraId="06EABF81" w14:textId="50E5AA4F"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90 665 479</w:t>
            </w:r>
          </w:p>
        </w:tc>
        <w:tc>
          <w:tcPr>
            <w:tcW w:w="1134" w:type="dxa"/>
            <w:shd w:val="clear" w:color="000000" w:fill="D9D9D9"/>
            <w:hideMark/>
          </w:tcPr>
          <w:p w14:paraId="76C17DB2" w14:textId="075E3AAD"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90 665 479</w:t>
            </w:r>
          </w:p>
        </w:tc>
        <w:tc>
          <w:tcPr>
            <w:tcW w:w="1276" w:type="dxa"/>
            <w:shd w:val="clear" w:color="000000" w:fill="D9D9D9"/>
            <w:hideMark/>
          </w:tcPr>
          <w:p w14:paraId="77FFFA97" w14:textId="5618F005"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1 208 873 049</w:t>
            </w:r>
          </w:p>
        </w:tc>
        <w:tc>
          <w:tcPr>
            <w:tcW w:w="992" w:type="dxa"/>
            <w:shd w:val="clear" w:color="auto" w:fill="auto"/>
            <w:noWrap/>
            <w:hideMark/>
          </w:tcPr>
          <w:p w14:paraId="323D6679" w14:textId="7E53034D" w:rsidR="007A7964" w:rsidRPr="007A7964" w:rsidRDefault="007A7964" w:rsidP="007A7964">
            <w:pPr>
              <w:spacing w:before="0" w:after="0"/>
              <w:jc w:val="center"/>
              <w:rPr>
                <w:rFonts w:eastAsia="Times New Roman"/>
                <w:color w:val="000000"/>
                <w:sz w:val="14"/>
                <w:szCs w:val="14"/>
                <w:lang w:eastAsia="en-GB" w:bidi="ne-NP"/>
              </w:rPr>
            </w:pPr>
            <w:r w:rsidRPr="007A7964">
              <w:rPr>
                <w:sz w:val="14"/>
                <w:szCs w:val="14"/>
              </w:rPr>
              <w:t>0,85</w:t>
            </w:r>
          </w:p>
        </w:tc>
      </w:tr>
      <w:tr w:rsidR="007A7964" w:rsidRPr="007A7964" w14:paraId="0B326D50" w14:textId="77777777" w:rsidTr="003155B0">
        <w:trPr>
          <w:trHeight w:val="315"/>
        </w:trPr>
        <w:tc>
          <w:tcPr>
            <w:tcW w:w="855" w:type="dxa"/>
            <w:shd w:val="clear" w:color="000000" w:fill="D9D9D9"/>
            <w:vAlign w:val="center"/>
            <w:hideMark/>
          </w:tcPr>
          <w:p w14:paraId="6B0458E3" w14:textId="77777777" w:rsidR="007A7964" w:rsidRPr="007A7964" w:rsidRDefault="007A7964" w:rsidP="007A7964">
            <w:pPr>
              <w:spacing w:before="0" w:after="0"/>
              <w:rPr>
                <w:rFonts w:eastAsia="Times New Roman"/>
                <w:b/>
                <w:bCs/>
                <w:sz w:val="14"/>
                <w:szCs w:val="14"/>
                <w:lang w:eastAsia="en-GB" w:bidi="ne-NP"/>
              </w:rPr>
            </w:pPr>
            <w:r w:rsidRPr="007A7964">
              <w:rPr>
                <w:rFonts w:eastAsia="Times New Roman"/>
                <w:b/>
                <w:bCs/>
                <w:sz w:val="14"/>
                <w:szCs w:val="14"/>
                <w:lang w:eastAsia="en-GB" w:bidi="ne-NP"/>
              </w:rPr>
              <w:t> </w:t>
            </w:r>
          </w:p>
        </w:tc>
        <w:tc>
          <w:tcPr>
            <w:tcW w:w="778" w:type="dxa"/>
            <w:shd w:val="clear" w:color="000000" w:fill="D9D9D9"/>
            <w:vAlign w:val="center"/>
            <w:hideMark/>
          </w:tcPr>
          <w:p w14:paraId="20D2FADF" w14:textId="77777777" w:rsidR="007A7964" w:rsidRPr="007A7964" w:rsidRDefault="007A7964" w:rsidP="007A7964">
            <w:pPr>
              <w:spacing w:before="0" w:after="0"/>
              <w:rPr>
                <w:rFonts w:eastAsia="Times New Roman"/>
                <w:b/>
                <w:bCs/>
                <w:color w:val="000000"/>
                <w:sz w:val="14"/>
                <w:szCs w:val="14"/>
                <w:lang w:eastAsia="en-GB" w:bidi="ne-NP"/>
              </w:rPr>
            </w:pPr>
            <w:r w:rsidRPr="007A7964">
              <w:rPr>
                <w:rFonts w:eastAsia="Times New Roman"/>
                <w:b/>
                <w:bCs/>
                <w:color w:val="000000"/>
                <w:sz w:val="14"/>
                <w:szCs w:val="14"/>
                <w:lang w:eastAsia="en-GB" w:bidi="ne-NP"/>
              </w:rPr>
              <w:t> </w:t>
            </w:r>
          </w:p>
        </w:tc>
        <w:tc>
          <w:tcPr>
            <w:tcW w:w="722" w:type="dxa"/>
            <w:shd w:val="clear" w:color="000000" w:fill="D9D9D9"/>
            <w:vAlign w:val="center"/>
            <w:hideMark/>
          </w:tcPr>
          <w:p w14:paraId="58EF00F8" w14:textId="77777777" w:rsidR="007A7964" w:rsidRPr="007A7964" w:rsidRDefault="007A7964" w:rsidP="007A7964">
            <w:pPr>
              <w:spacing w:before="0" w:after="0"/>
              <w:jc w:val="left"/>
              <w:rPr>
                <w:rFonts w:eastAsia="Times New Roman"/>
                <w:b/>
                <w:bCs/>
                <w:color w:val="000000"/>
                <w:sz w:val="14"/>
                <w:szCs w:val="14"/>
                <w:lang w:eastAsia="en-GB" w:bidi="ne-NP"/>
              </w:rPr>
            </w:pPr>
            <w:r w:rsidRPr="007A7964">
              <w:rPr>
                <w:rFonts w:eastAsia="Times New Roman"/>
                <w:b/>
                <w:bCs/>
                <w:color w:val="000000"/>
                <w:sz w:val="14"/>
                <w:szCs w:val="14"/>
                <w:lang w:eastAsia="en-GB" w:bidi="ne-NP"/>
              </w:rPr>
              <w:t>ESF+</w:t>
            </w:r>
          </w:p>
        </w:tc>
        <w:tc>
          <w:tcPr>
            <w:tcW w:w="831" w:type="dxa"/>
            <w:shd w:val="clear" w:color="000000" w:fill="D9D9D9"/>
            <w:vAlign w:val="center"/>
            <w:hideMark/>
          </w:tcPr>
          <w:p w14:paraId="640520A1"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Mazāk attīstīts</w:t>
            </w:r>
          </w:p>
        </w:tc>
        <w:tc>
          <w:tcPr>
            <w:tcW w:w="1056" w:type="dxa"/>
            <w:shd w:val="clear" w:color="000000" w:fill="D9D9D9"/>
            <w:hideMark/>
          </w:tcPr>
          <w:p w14:paraId="33C1A7F7" w14:textId="05F2EAD2"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691 857 535</w:t>
            </w:r>
          </w:p>
        </w:tc>
        <w:tc>
          <w:tcPr>
            <w:tcW w:w="1125" w:type="dxa"/>
            <w:shd w:val="clear" w:color="auto" w:fill="D9D9D9" w:themeFill="background1" w:themeFillShade="D9"/>
            <w:hideMark/>
          </w:tcPr>
          <w:p w14:paraId="168204EE" w14:textId="207B30BB"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561 234 832</w:t>
            </w:r>
          </w:p>
        </w:tc>
        <w:tc>
          <w:tcPr>
            <w:tcW w:w="1125" w:type="dxa"/>
            <w:shd w:val="clear" w:color="auto" w:fill="D9D9D9" w:themeFill="background1" w:themeFillShade="D9"/>
            <w:hideMark/>
          </w:tcPr>
          <w:p w14:paraId="1503E426" w14:textId="4B71A5AE"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23 384 785</w:t>
            </w:r>
          </w:p>
        </w:tc>
        <w:tc>
          <w:tcPr>
            <w:tcW w:w="1142" w:type="dxa"/>
            <w:shd w:val="clear" w:color="auto" w:fill="D9D9D9" w:themeFill="background1" w:themeFillShade="D9"/>
            <w:hideMark/>
          </w:tcPr>
          <w:p w14:paraId="5154366F" w14:textId="0049696C"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103 699 609</w:t>
            </w:r>
          </w:p>
        </w:tc>
        <w:tc>
          <w:tcPr>
            <w:tcW w:w="1008" w:type="dxa"/>
            <w:shd w:val="clear" w:color="auto" w:fill="D9D9D9" w:themeFill="background1" w:themeFillShade="D9"/>
            <w:hideMark/>
          </w:tcPr>
          <w:p w14:paraId="26B915BF" w14:textId="7F079D8F"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3 538 308</w:t>
            </w:r>
          </w:p>
        </w:tc>
        <w:tc>
          <w:tcPr>
            <w:tcW w:w="1134" w:type="dxa"/>
            <w:shd w:val="clear" w:color="000000" w:fill="D9D9D9"/>
            <w:hideMark/>
          </w:tcPr>
          <w:p w14:paraId="2583F690" w14:textId="0F7E9F81"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122 092 506</w:t>
            </w:r>
          </w:p>
        </w:tc>
        <w:tc>
          <w:tcPr>
            <w:tcW w:w="1276" w:type="dxa"/>
            <w:shd w:val="clear" w:color="000000" w:fill="D9D9D9"/>
            <w:hideMark/>
          </w:tcPr>
          <w:p w14:paraId="5296B24D" w14:textId="7FDFA193"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61 046 253</w:t>
            </w:r>
          </w:p>
        </w:tc>
        <w:tc>
          <w:tcPr>
            <w:tcW w:w="1134" w:type="dxa"/>
            <w:shd w:val="clear" w:color="000000" w:fill="D9D9D9"/>
            <w:hideMark/>
          </w:tcPr>
          <w:p w14:paraId="7A431274" w14:textId="464F0307"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61 046 253</w:t>
            </w:r>
          </w:p>
        </w:tc>
        <w:tc>
          <w:tcPr>
            <w:tcW w:w="1276" w:type="dxa"/>
            <w:shd w:val="clear" w:color="000000" w:fill="D9D9D9"/>
            <w:hideMark/>
          </w:tcPr>
          <w:p w14:paraId="7A27EE37" w14:textId="461F03AE"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813 950 041</w:t>
            </w:r>
          </w:p>
        </w:tc>
        <w:tc>
          <w:tcPr>
            <w:tcW w:w="992" w:type="dxa"/>
            <w:shd w:val="clear" w:color="auto" w:fill="auto"/>
            <w:noWrap/>
            <w:hideMark/>
          </w:tcPr>
          <w:p w14:paraId="68EA9A68" w14:textId="068C5C13" w:rsidR="007A7964" w:rsidRPr="007A7964" w:rsidRDefault="007A7964" w:rsidP="007A7964">
            <w:pPr>
              <w:spacing w:before="0" w:after="0"/>
              <w:jc w:val="center"/>
              <w:rPr>
                <w:rFonts w:eastAsia="Times New Roman"/>
                <w:color w:val="000000"/>
                <w:sz w:val="14"/>
                <w:szCs w:val="14"/>
                <w:lang w:eastAsia="en-GB" w:bidi="ne-NP"/>
              </w:rPr>
            </w:pPr>
            <w:r w:rsidRPr="007A7964">
              <w:rPr>
                <w:sz w:val="14"/>
                <w:szCs w:val="14"/>
              </w:rPr>
              <w:t>0,85</w:t>
            </w:r>
          </w:p>
        </w:tc>
      </w:tr>
      <w:tr w:rsidR="007A7964" w:rsidRPr="007A7964" w14:paraId="293ED4E6" w14:textId="77777777" w:rsidTr="003155B0">
        <w:trPr>
          <w:trHeight w:val="300"/>
        </w:trPr>
        <w:tc>
          <w:tcPr>
            <w:tcW w:w="855" w:type="dxa"/>
            <w:shd w:val="clear" w:color="auto" w:fill="auto"/>
            <w:vAlign w:val="center"/>
            <w:hideMark/>
          </w:tcPr>
          <w:p w14:paraId="28984E43" w14:textId="77777777" w:rsidR="007A7964" w:rsidRPr="007A7964" w:rsidRDefault="007A7964" w:rsidP="007A7964">
            <w:pPr>
              <w:spacing w:before="0" w:after="0"/>
              <w:rPr>
                <w:rFonts w:eastAsia="Times New Roman"/>
                <w:sz w:val="14"/>
                <w:szCs w:val="14"/>
                <w:lang w:eastAsia="en-GB" w:bidi="ne-NP"/>
              </w:rPr>
            </w:pPr>
            <w:r w:rsidRPr="007A7964">
              <w:rPr>
                <w:rFonts w:eastAsia="Times New Roman"/>
                <w:sz w:val="14"/>
                <w:szCs w:val="14"/>
                <w:lang w:eastAsia="en-GB" w:bidi="ne-NP"/>
              </w:rPr>
              <w:t> </w:t>
            </w:r>
          </w:p>
        </w:tc>
        <w:tc>
          <w:tcPr>
            <w:tcW w:w="778" w:type="dxa"/>
            <w:shd w:val="clear" w:color="auto" w:fill="auto"/>
            <w:vAlign w:val="center"/>
            <w:hideMark/>
          </w:tcPr>
          <w:p w14:paraId="75FF1CA7"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 </w:t>
            </w:r>
          </w:p>
        </w:tc>
        <w:tc>
          <w:tcPr>
            <w:tcW w:w="722" w:type="dxa"/>
            <w:shd w:val="clear" w:color="auto" w:fill="auto"/>
            <w:vAlign w:val="center"/>
            <w:hideMark/>
          </w:tcPr>
          <w:p w14:paraId="56FB3B56" w14:textId="77777777" w:rsidR="007A7964" w:rsidRPr="007A7964" w:rsidRDefault="007A7964" w:rsidP="007A7964">
            <w:pPr>
              <w:spacing w:before="0" w:after="0"/>
              <w:jc w:val="left"/>
              <w:rPr>
                <w:rFonts w:eastAsia="Times New Roman"/>
                <w:color w:val="000000"/>
                <w:sz w:val="14"/>
                <w:szCs w:val="14"/>
                <w:lang w:eastAsia="en-GB" w:bidi="ne-NP"/>
              </w:rPr>
            </w:pPr>
            <w:r w:rsidRPr="007A7964">
              <w:rPr>
                <w:rFonts w:eastAsia="Times New Roman"/>
                <w:color w:val="000000"/>
                <w:sz w:val="14"/>
                <w:szCs w:val="14"/>
                <w:lang w:eastAsia="en-GB" w:bidi="ne-NP"/>
              </w:rPr>
              <w:t> </w:t>
            </w:r>
          </w:p>
        </w:tc>
        <w:tc>
          <w:tcPr>
            <w:tcW w:w="831" w:type="dxa"/>
            <w:shd w:val="clear" w:color="000000" w:fill="D9D9D9"/>
            <w:vAlign w:val="center"/>
            <w:hideMark/>
          </w:tcPr>
          <w:p w14:paraId="7F203811" w14:textId="44F7C12F" w:rsidR="007A7964" w:rsidRPr="007A7964" w:rsidRDefault="007A7964" w:rsidP="007A7964">
            <w:pPr>
              <w:spacing w:before="0" w:after="0"/>
              <w:jc w:val="left"/>
              <w:rPr>
                <w:rFonts w:eastAsia="Times New Roman"/>
                <w:b/>
                <w:bCs/>
                <w:color w:val="000000"/>
                <w:sz w:val="14"/>
                <w:szCs w:val="14"/>
                <w:lang w:eastAsia="en-GB" w:bidi="ne-NP"/>
              </w:rPr>
            </w:pPr>
            <w:r w:rsidRPr="007A7964">
              <w:rPr>
                <w:rFonts w:eastAsia="Times New Roman"/>
                <w:b/>
                <w:bCs/>
                <w:color w:val="000000"/>
                <w:sz w:val="14"/>
                <w:szCs w:val="14"/>
                <w:lang w:eastAsia="en-GB" w:bidi="ne-NP"/>
              </w:rPr>
              <w:t>Pavisam kopā (ERAF, KF, ESF+)</w:t>
            </w:r>
          </w:p>
        </w:tc>
        <w:tc>
          <w:tcPr>
            <w:tcW w:w="1056" w:type="dxa"/>
            <w:shd w:val="clear" w:color="000000" w:fill="D9D9D9"/>
            <w:hideMark/>
          </w:tcPr>
          <w:p w14:paraId="1213DE9D" w14:textId="6D1FB8DA" w:rsidR="007A7964" w:rsidRPr="007A7964" w:rsidRDefault="007A7964" w:rsidP="007A7964">
            <w:pPr>
              <w:spacing w:before="0" w:after="0"/>
              <w:jc w:val="left"/>
              <w:rPr>
                <w:rFonts w:eastAsia="Times New Roman"/>
                <w:b/>
                <w:bCs/>
                <w:color w:val="000000"/>
                <w:sz w:val="14"/>
                <w:szCs w:val="14"/>
                <w:lang w:eastAsia="en-GB" w:bidi="ne-NP"/>
              </w:rPr>
            </w:pPr>
            <w:r w:rsidRPr="007A7964">
              <w:rPr>
                <w:sz w:val="14"/>
                <w:szCs w:val="14"/>
              </w:rPr>
              <w:t>4 200 591 852</w:t>
            </w:r>
          </w:p>
        </w:tc>
        <w:tc>
          <w:tcPr>
            <w:tcW w:w="1125" w:type="dxa"/>
            <w:shd w:val="clear" w:color="auto" w:fill="D9D9D9" w:themeFill="background1" w:themeFillShade="D9"/>
            <w:hideMark/>
          </w:tcPr>
          <w:p w14:paraId="55456031" w14:textId="228CD51D" w:rsidR="007A7964" w:rsidRPr="007A7964" w:rsidRDefault="007A7964" w:rsidP="007A7964">
            <w:pPr>
              <w:spacing w:before="0" w:after="0"/>
              <w:jc w:val="left"/>
              <w:rPr>
                <w:rFonts w:eastAsia="Times New Roman"/>
                <w:b/>
                <w:bCs/>
                <w:color w:val="000000"/>
                <w:sz w:val="14"/>
                <w:szCs w:val="14"/>
                <w:lang w:eastAsia="en-GB" w:bidi="ne-NP"/>
              </w:rPr>
            </w:pPr>
            <w:r w:rsidRPr="007A7964">
              <w:rPr>
                <w:sz w:val="14"/>
                <w:szCs w:val="14"/>
              </w:rPr>
              <w:t>3 431 027 244</w:t>
            </w:r>
          </w:p>
        </w:tc>
        <w:tc>
          <w:tcPr>
            <w:tcW w:w="1125" w:type="dxa"/>
            <w:shd w:val="clear" w:color="auto" w:fill="D9D9D9" w:themeFill="background1" w:themeFillShade="D9"/>
            <w:hideMark/>
          </w:tcPr>
          <w:p w14:paraId="61882DA9" w14:textId="7D145B2C" w:rsidR="007A7964" w:rsidRPr="007A7964" w:rsidRDefault="007A7964" w:rsidP="007A7964">
            <w:pPr>
              <w:spacing w:before="0" w:after="0"/>
              <w:jc w:val="left"/>
              <w:rPr>
                <w:rFonts w:eastAsia="Times New Roman"/>
                <w:b/>
                <w:bCs/>
                <w:color w:val="000000"/>
                <w:sz w:val="14"/>
                <w:szCs w:val="14"/>
                <w:lang w:eastAsia="en-GB" w:bidi="ne-NP"/>
              </w:rPr>
            </w:pPr>
            <w:r w:rsidRPr="007A7964">
              <w:rPr>
                <w:sz w:val="14"/>
                <w:szCs w:val="14"/>
              </w:rPr>
              <w:t>118 472 871</w:t>
            </w:r>
          </w:p>
        </w:tc>
        <w:tc>
          <w:tcPr>
            <w:tcW w:w="1142" w:type="dxa"/>
            <w:shd w:val="clear" w:color="auto" w:fill="D9D9D9" w:themeFill="background1" w:themeFillShade="D9"/>
            <w:hideMark/>
          </w:tcPr>
          <w:p w14:paraId="404CA1E2" w14:textId="7A00F8C9" w:rsidR="007A7964" w:rsidRPr="007A7964" w:rsidRDefault="007A7964" w:rsidP="007A7964">
            <w:pPr>
              <w:spacing w:before="0" w:after="0"/>
              <w:jc w:val="left"/>
              <w:rPr>
                <w:rFonts w:eastAsia="Times New Roman"/>
                <w:b/>
                <w:bCs/>
                <w:color w:val="000000"/>
                <w:sz w:val="14"/>
                <w:szCs w:val="14"/>
                <w:lang w:eastAsia="en-GB" w:bidi="ne-NP"/>
              </w:rPr>
            </w:pPr>
            <w:r w:rsidRPr="007A7964">
              <w:rPr>
                <w:sz w:val="14"/>
                <w:szCs w:val="14"/>
              </w:rPr>
              <w:t>633 437 977</w:t>
            </w:r>
          </w:p>
        </w:tc>
        <w:tc>
          <w:tcPr>
            <w:tcW w:w="1008" w:type="dxa"/>
            <w:shd w:val="clear" w:color="auto" w:fill="D9D9D9" w:themeFill="background1" w:themeFillShade="D9"/>
            <w:hideMark/>
          </w:tcPr>
          <w:p w14:paraId="56EB2DBF" w14:textId="6A14B8CD" w:rsidR="007A7964" w:rsidRPr="007A7964" w:rsidRDefault="007A7964" w:rsidP="007A7964">
            <w:pPr>
              <w:spacing w:before="0" w:after="0"/>
              <w:jc w:val="left"/>
              <w:rPr>
                <w:rFonts w:eastAsia="Times New Roman"/>
                <w:b/>
                <w:bCs/>
                <w:color w:val="000000"/>
                <w:sz w:val="14"/>
                <w:szCs w:val="14"/>
                <w:lang w:eastAsia="en-GB" w:bidi="ne-NP"/>
              </w:rPr>
            </w:pPr>
            <w:r w:rsidRPr="007A7964">
              <w:rPr>
                <w:sz w:val="14"/>
                <w:szCs w:val="14"/>
              </w:rPr>
              <w:t>17 653 760</w:t>
            </w:r>
          </w:p>
        </w:tc>
        <w:tc>
          <w:tcPr>
            <w:tcW w:w="1134" w:type="dxa"/>
            <w:shd w:val="clear" w:color="000000" w:fill="D9D9D9"/>
            <w:hideMark/>
          </w:tcPr>
          <w:p w14:paraId="1746DFA4" w14:textId="50AF657B" w:rsidR="007A7964" w:rsidRPr="007A7964" w:rsidRDefault="007A7964" w:rsidP="007A7964">
            <w:pPr>
              <w:spacing w:before="0" w:after="0"/>
              <w:jc w:val="left"/>
              <w:rPr>
                <w:rFonts w:eastAsia="Times New Roman"/>
                <w:b/>
                <w:bCs/>
                <w:color w:val="000000"/>
                <w:sz w:val="14"/>
                <w:szCs w:val="14"/>
                <w:lang w:eastAsia="en-GB" w:bidi="ne-NP"/>
              </w:rPr>
            </w:pPr>
            <w:r w:rsidRPr="007A7964">
              <w:rPr>
                <w:sz w:val="14"/>
                <w:szCs w:val="14"/>
              </w:rPr>
              <w:t>741 280 915</w:t>
            </w:r>
          </w:p>
        </w:tc>
        <w:tc>
          <w:tcPr>
            <w:tcW w:w="1276" w:type="dxa"/>
            <w:shd w:val="clear" w:color="000000" w:fill="D9D9D9"/>
            <w:hideMark/>
          </w:tcPr>
          <w:p w14:paraId="14FE5599" w14:textId="502710CD" w:rsidR="007A7964" w:rsidRPr="007A7964" w:rsidRDefault="007A7964" w:rsidP="007A7964">
            <w:pPr>
              <w:spacing w:before="0" w:after="0"/>
              <w:jc w:val="left"/>
              <w:rPr>
                <w:rFonts w:eastAsia="Times New Roman"/>
                <w:b/>
                <w:bCs/>
                <w:color w:val="000000"/>
                <w:sz w:val="14"/>
                <w:szCs w:val="14"/>
                <w:lang w:eastAsia="en-GB" w:bidi="ne-NP"/>
              </w:rPr>
            </w:pPr>
            <w:r w:rsidRPr="007A7964">
              <w:rPr>
                <w:sz w:val="14"/>
                <w:szCs w:val="14"/>
              </w:rPr>
              <w:t>370 640 458</w:t>
            </w:r>
          </w:p>
        </w:tc>
        <w:tc>
          <w:tcPr>
            <w:tcW w:w="1134" w:type="dxa"/>
            <w:shd w:val="clear" w:color="000000" w:fill="D9D9D9"/>
            <w:hideMark/>
          </w:tcPr>
          <w:p w14:paraId="7C2678D7" w14:textId="2ACEBDCD" w:rsidR="007A7964" w:rsidRPr="007A7964" w:rsidRDefault="007A7964" w:rsidP="007A7964">
            <w:pPr>
              <w:spacing w:before="0" w:after="0"/>
              <w:jc w:val="left"/>
              <w:rPr>
                <w:rFonts w:eastAsia="Times New Roman"/>
                <w:b/>
                <w:bCs/>
                <w:color w:val="000000"/>
                <w:sz w:val="14"/>
                <w:szCs w:val="14"/>
                <w:lang w:eastAsia="en-GB" w:bidi="ne-NP"/>
              </w:rPr>
            </w:pPr>
            <w:r w:rsidRPr="007A7964">
              <w:rPr>
                <w:sz w:val="14"/>
                <w:szCs w:val="14"/>
              </w:rPr>
              <w:t>370 640 458</w:t>
            </w:r>
          </w:p>
        </w:tc>
        <w:tc>
          <w:tcPr>
            <w:tcW w:w="1276" w:type="dxa"/>
            <w:shd w:val="clear" w:color="000000" w:fill="D9D9D9"/>
            <w:hideMark/>
          </w:tcPr>
          <w:p w14:paraId="6AF6BB07" w14:textId="2E91AA7C" w:rsidR="007A7964" w:rsidRPr="007A7964" w:rsidRDefault="007A7964" w:rsidP="007A7964">
            <w:pPr>
              <w:spacing w:before="0" w:after="0"/>
              <w:jc w:val="left"/>
              <w:rPr>
                <w:rFonts w:eastAsia="Times New Roman"/>
                <w:b/>
                <w:bCs/>
                <w:color w:val="000000"/>
                <w:sz w:val="14"/>
                <w:szCs w:val="14"/>
                <w:lang w:eastAsia="en-GB" w:bidi="ne-NP"/>
              </w:rPr>
            </w:pPr>
            <w:r w:rsidRPr="007A7964">
              <w:rPr>
                <w:sz w:val="14"/>
                <w:szCs w:val="14"/>
              </w:rPr>
              <w:t>4 941 872 767</w:t>
            </w:r>
          </w:p>
        </w:tc>
        <w:tc>
          <w:tcPr>
            <w:tcW w:w="992" w:type="dxa"/>
            <w:shd w:val="clear" w:color="auto" w:fill="auto"/>
            <w:noWrap/>
            <w:hideMark/>
          </w:tcPr>
          <w:p w14:paraId="1671DD2D" w14:textId="71B0EA5D" w:rsidR="007A7964" w:rsidRPr="007A7964" w:rsidRDefault="007A7964" w:rsidP="007A7964">
            <w:pPr>
              <w:spacing w:before="0" w:after="0"/>
              <w:jc w:val="center"/>
              <w:rPr>
                <w:rFonts w:eastAsia="Times New Roman"/>
                <w:color w:val="000000"/>
                <w:sz w:val="14"/>
                <w:szCs w:val="14"/>
                <w:lang w:eastAsia="en-GB" w:bidi="ne-NP"/>
              </w:rPr>
            </w:pPr>
            <w:r w:rsidRPr="007A7964">
              <w:rPr>
                <w:sz w:val="14"/>
                <w:szCs w:val="14"/>
              </w:rPr>
              <w:t>0,85</w:t>
            </w:r>
          </w:p>
        </w:tc>
      </w:tr>
      <w:tr w:rsidR="007A7964" w:rsidRPr="007A7964" w14:paraId="0F1863F3" w14:textId="77777777" w:rsidTr="00291BA4">
        <w:trPr>
          <w:trHeight w:val="300"/>
        </w:trPr>
        <w:tc>
          <w:tcPr>
            <w:tcW w:w="855" w:type="dxa"/>
            <w:shd w:val="clear" w:color="auto" w:fill="auto"/>
            <w:vAlign w:val="center"/>
          </w:tcPr>
          <w:p w14:paraId="45C877A8" w14:textId="77777777" w:rsidR="007A7964" w:rsidRPr="007A7964" w:rsidRDefault="007A7964" w:rsidP="007A7964">
            <w:pPr>
              <w:spacing w:before="0" w:after="0"/>
              <w:rPr>
                <w:rFonts w:eastAsia="Times New Roman"/>
                <w:sz w:val="14"/>
                <w:szCs w:val="14"/>
                <w:lang w:eastAsia="en-GB" w:bidi="ne-NP"/>
              </w:rPr>
            </w:pPr>
          </w:p>
        </w:tc>
        <w:tc>
          <w:tcPr>
            <w:tcW w:w="778" w:type="dxa"/>
            <w:shd w:val="clear" w:color="auto" w:fill="auto"/>
            <w:vAlign w:val="center"/>
          </w:tcPr>
          <w:p w14:paraId="36A3410C" w14:textId="77777777" w:rsidR="007A7964" w:rsidRPr="007A7964" w:rsidRDefault="007A7964" w:rsidP="007A7964">
            <w:pPr>
              <w:spacing w:before="0" w:after="0"/>
              <w:rPr>
                <w:rFonts w:eastAsia="Times New Roman"/>
                <w:color w:val="000000"/>
                <w:sz w:val="14"/>
                <w:szCs w:val="14"/>
                <w:lang w:eastAsia="en-GB" w:bidi="ne-NP"/>
              </w:rPr>
            </w:pPr>
          </w:p>
        </w:tc>
        <w:tc>
          <w:tcPr>
            <w:tcW w:w="722" w:type="dxa"/>
            <w:shd w:val="clear" w:color="auto" w:fill="auto"/>
            <w:vAlign w:val="center"/>
          </w:tcPr>
          <w:p w14:paraId="30033B1C" w14:textId="77777777" w:rsidR="007A7964" w:rsidRPr="007A7964" w:rsidRDefault="007A7964" w:rsidP="007A7964">
            <w:pPr>
              <w:spacing w:before="0" w:after="0"/>
              <w:jc w:val="left"/>
              <w:rPr>
                <w:rFonts w:eastAsia="Times New Roman"/>
                <w:color w:val="000000"/>
                <w:sz w:val="14"/>
                <w:szCs w:val="14"/>
                <w:lang w:eastAsia="en-GB" w:bidi="ne-NP"/>
              </w:rPr>
            </w:pPr>
          </w:p>
        </w:tc>
        <w:tc>
          <w:tcPr>
            <w:tcW w:w="831" w:type="dxa"/>
            <w:shd w:val="clear" w:color="000000" w:fill="D9D9D9"/>
            <w:vAlign w:val="center"/>
          </w:tcPr>
          <w:p w14:paraId="06FF5B2C" w14:textId="57D31FC3" w:rsidR="007A7964" w:rsidRPr="007A7964" w:rsidRDefault="007A7964" w:rsidP="007A7964">
            <w:pPr>
              <w:spacing w:before="0" w:after="0"/>
              <w:jc w:val="left"/>
              <w:rPr>
                <w:rFonts w:eastAsia="Times New Roman"/>
                <w:b/>
                <w:bCs/>
                <w:color w:val="000000"/>
                <w:sz w:val="14"/>
                <w:szCs w:val="14"/>
                <w:lang w:eastAsia="en-GB" w:bidi="ne-NP"/>
              </w:rPr>
            </w:pPr>
            <w:r w:rsidRPr="007A7964">
              <w:rPr>
                <w:rFonts w:eastAsia="Times New Roman"/>
                <w:b/>
                <w:bCs/>
                <w:color w:val="000000"/>
                <w:sz w:val="14"/>
                <w:szCs w:val="14"/>
                <w:lang w:eastAsia="en-GB" w:bidi="ne-NP"/>
              </w:rPr>
              <w:t>Pavisam kopā</w:t>
            </w:r>
          </w:p>
        </w:tc>
        <w:tc>
          <w:tcPr>
            <w:tcW w:w="1056" w:type="dxa"/>
            <w:shd w:val="clear" w:color="000000" w:fill="D9D9D9"/>
          </w:tcPr>
          <w:p w14:paraId="0D594ABB" w14:textId="5314D736" w:rsidR="007A7964" w:rsidRPr="007A7964" w:rsidRDefault="007A7964" w:rsidP="007A7964">
            <w:pPr>
              <w:spacing w:before="0" w:after="0"/>
              <w:jc w:val="left"/>
              <w:rPr>
                <w:rFonts w:eastAsia="Times New Roman"/>
                <w:b/>
                <w:bCs/>
                <w:color w:val="000000"/>
                <w:sz w:val="14"/>
                <w:szCs w:val="14"/>
                <w:lang w:eastAsia="en-GB" w:bidi="ne-NP"/>
              </w:rPr>
            </w:pPr>
            <w:r w:rsidRPr="007A7964">
              <w:rPr>
                <w:sz w:val="14"/>
                <w:szCs w:val="14"/>
              </w:rPr>
              <w:t>4 392 198 671</w:t>
            </w:r>
          </w:p>
        </w:tc>
        <w:tc>
          <w:tcPr>
            <w:tcW w:w="1125" w:type="dxa"/>
            <w:shd w:val="clear" w:color="auto" w:fill="D9D9D9" w:themeFill="background1" w:themeFillShade="D9"/>
          </w:tcPr>
          <w:p w14:paraId="35948DB3" w14:textId="157ACBF6" w:rsidR="007A7964" w:rsidRPr="007A7964" w:rsidRDefault="007A7964" w:rsidP="007A7964">
            <w:pPr>
              <w:spacing w:before="0" w:after="0"/>
              <w:jc w:val="left"/>
              <w:rPr>
                <w:rFonts w:eastAsia="Times New Roman"/>
                <w:b/>
                <w:bCs/>
                <w:color w:val="000000"/>
                <w:sz w:val="14"/>
                <w:szCs w:val="14"/>
                <w:lang w:eastAsia="en-GB" w:bidi="ne-NP"/>
              </w:rPr>
            </w:pPr>
            <w:r w:rsidRPr="007A7964">
              <w:rPr>
                <w:sz w:val="14"/>
                <w:szCs w:val="14"/>
              </w:rPr>
              <w:t>3 602 485 532</w:t>
            </w:r>
          </w:p>
        </w:tc>
        <w:tc>
          <w:tcPr>
            <w:tcW w:w="1125" w:type="dxa"/>
            <w:shd w:val="clear" w:color="auto" w:fill="D9D9D9" w:themeFill="background1" w:themeFillShade="D9"/>
          </w:tcPr>
          <w:p w14:paraId="1F0CD47C" w14:textId="54B9A1E7" w:rsidR="007A7964" w:rsidRPr="007A7964" w:rsidRDefault="007A7964" w:rsidP="007A7964">
            <w:pPr>
              <w:spacing w:before="0" w:after="0"/>
              <w:jc w:val="left"/>
              <w:rPr>
                <w:rFonts w:eastAsia="Times New Roman"/>
                <w:b/>
                <w:bCs/>
                <w:color w:val="000000"/>
                <w:sz w:val="14"/>
                <w:szCs w:val="14"/>
                <w:lang w:eastAsia="en-GB" w:bidi="ne-NP"/>
              </w:rPr>
            </w:pPr>
            <w:r w:rsidRPr="007A7964">
              <w:rPr>
                <w:sz w:val="14"/>
                <w:szCs w:val="14"/>
              </w:rPr>
              <w:t>125 616 967</w:t>
            </w:r>
          </w:p>
        </w:tc>
        <w:tc>
          <w:tcPr>
            <w:tcW w:w="1142" w:type="dxa"/>
            <w:shd w:val="clear" w:color="auto" w:fill="D9D9D9" w:themeFill="background1" w:themeFillShade="D9"/>
          </w:tcPr>
          <w:p w14:paraId="4A406553" w14:textId="39DF0EEE" w:rsidR="007A7964" w:rsidRPr="007A7964" w:rsidRDefault="007A7964" w:rsidP="007A7964">
            <w:pPr>
              <w:spacing w:before="0" w:after="0"/>
              <w:jc w:val="left"/>
              <w:rPr>
                <w:rFonts w:eastAsia="Times New Roman"/>
                <w:b/>
                <w:bCs/>
                <w:color w:val="000000"/>
                <w:sz w:val="14"/>
                <w:szCs w:val="14"/>
                <w:lang w:eastAsia="en-GB" w:bidi="ne-NP"/>
              </w:rPr>
            </w:pPr>
            <w:r w:rsidRPr="007A7964">
              <w:rPr>
                <w:sz w:val="14"/>
                <w:szCs w:val="14"/>
              </w:rPr>
              <w:t>645 922 235</w:t>
            </w:r>
          </w:p>
        </w:tc>
        <w:tc>
          <w:tcPr>
            <w:tcW w:w="1008" w:type="dxa"/>
            <w:shd w:val="clear" w:color="auto" w:fill="D9D9D9" w:themeFill="background1" w:themeFillShade="D9"/>
          </w:tcPr>
          <w:p w14:paraId="237BF78C" w14:textId="3F078ACD" w:rsidR="007A7964" w:rsidRPr="007A7964" w:rsidRDefault="007A7964" w:rsidP="007A7964">
            <w:pPr>
              <w:spacing w:before="0" w:after="0"/>
              <w:jc w:val="left"/>
              <w:rPr>
                <w:rFonts w:eastAsia="Times New Roman"/>
                <w:b/>
                <w:bCs/>
                <w:color w:val="000000"/>
                <w:sz w:val="14"/>
                <w:szCs w:val="14"/>
                <w:lang w:eastAsia="en-GB" w:bidi="ne-NP"/>
              </w:rPr>
            </w:pPr>
            <w:r w:rsidRPr="007A7964">
              <w:rPr>
                <w:sz w:val="14"/>
                <w:szCs w:val="14"/>
              </w:rPr>
              <w:t>18 173 937</w:t>
            </w:r>
          </w:p>
        </w:tc>
        <w:tc>
          <w:tcPr>
            <w:tcW w:w="1134" w:type="dxa"/>
            <w:shd w:val="clear" w:color="000000" w:fill="D9D9D9"/>
          </w:tcPr>
          <w:p w14:paraId="65D479E4" w14:textId="733E4B90" w:rsidR="007A7964" w:rsidRPr="007A7964" w:rsidRDefault="007A7964" w:rsidP="007A7964">
            <w:pPr>
              <w:spacing w:before="0" w:after="0"/>
              <w:jc w:val="left"/>
              <w:rPr>
                <w:rFonts w:eastAsia="Times New Roman"/>
                <w:b/>
                <w:bCs/>
                <w:color w:val="000000"/>
                <w:sz w:val="14"/>
                <w:szCs w:val="14"/>
                <w:lang w:eastAsia="en-GB" w:bidi="ne-NP"/>
              </w:rPr>
            </w:pPr>
            <w:r w:rsidRPr="007A7964">
              <w:rPr>
                <w:sz w:val="14"/>
                <w:szCs w:val="14"/>
              </w:rPr>
              <w:t>775 093 883</w:t>
            </w:r>
          </w:p>
        </w:tc>
        <w:tc>
          <w:tcPr>
            <w:tcW w:w="1276" w:type="dxa"/>
            <w:shd w:val="clear" w:color="000000" w:fill="D9D9D9"/>
          </w:tcPr>
          <w:p w14:paraId="23551D56" w14:textId="04B71A4F" w:rsidR="007A7964" w:rsidRPr="007A7964" w:rsidRDefault="007A7964" w:rsidP="007A7964">
            <w:pPr>
              <w:spacing w:before="0" w:after="0"/>
              <w:jc w:val="left"/>
              <w:rPr>
                <w:rFonts w:eastAsia="Times New Roman"/>
                <w:b/>
                <w:bCs/>
                <w:color w:val="000000"/>
                <w:sz w:val="14"/>
                <w:szCs w:val="14"/>
                <w:lang w:eastAsia="en-GB" w:bidi="ne-NP"/>
              </w:rPr>
            </w:pPr>
            <w:r w:rsidRPr="007A7964">
              <w:rPr>
                <w:sz w:val="14"/>
                <w:szCs w:val="14"/>
              </w:rPr>
              <w:t>387 546 942</w:t>
            </w:r>
          </w:p>
        </w:tc>
        <w:tc>
          <w:tcPr>
            <w:tcW w:w="1134" w:type="dxa"/>
            <w:shd w:val="clear" w:color="000000" w:fill="D9D9D9"/>
          </w:tcPr>
          <w:p w14:paraId="1353293D" w14:textId="61F5DEEB" w:rsidR="007A7964" w:rsidRPr="007A7964" w:rsidRDefault="007A7964" w:rsidP="007A7964">
            <w:pPr>
              <w:spacing w:before="0" w:after="0"/>
              <w:jc w:val="left"/>
              <w:rPr>
                <w:rFonts w:eastAsia="Times New Roman"/>
                <w:b/>
                <w:bCs/>
                <w:color w:val="000000"/>
                <w:sz w:val="14"/>
                <w:szCs w:val="14"/>
                <w:lang w:eastAsia="en-GB" w:bidi="ne-NP"/>
              </w:rPr>
            </w:pPr>
            <w:r w:rsidRPr="007A7964">
              <w:rPr>
                <w:sz w:val="14"/>
                <w:szCs w:val="14"/>
              </w:rPr>
              <w:t>387 546 942</w:t>
            </w:r>
          </w:p>
        </w:tc>
        <w:tc>
          <w:tcPr>
            <w:tcW w:w="1276" w:type="dxa"/>
            <w:shd w:val="clear" w:color="000000" w:fill="D9D9D9"/>
          </w:tcPr>
          <w:p w14:paraId="7861B717" w14:textId="33B9ADF9" w:rsidR="007A7964" w:rsidRPr="007A7964" w:rsidRDefault="007A7964" w:rsidP="007A7964">
            <w:pPr>
              <w:spacing w:before="0" w:after="0"/>
              <w:jc w:val="left"/>
              <w:rPr>
                <w:rFonts w:eastAsia="Times New Roman"/>
                <w:b/>
                <w:bCs/>
                <w:color w:val="000000"/>
                <w:sz w:val="14"/>
                <w:szCs w:val="14"/>
                <w:lang w:eastAsia="en-GB" w:bidi="ne-NP"/>
              </w:rPr>
            </w:pPr>
            <w:r w:rsidRPr="007A7964">
              <w:rPr>
                <w:sz w:val="14"/>
                <w:szCs w:val="14"/>
              </w:rPr>
              <w:t>5 167 292 554</w:t>
            </w:r>
          </w:p>
        </w:tc>
        <w:tc>
          <w:tcPr>
            <w:tcW w:w="992" w:type="dxa"/>
            <w:shd w:val="clear" w:color="auto" w:fill="auto"/>
            <w:noWrap/>
          </w:tcPr>
          <w:p w14:paraId="57B9D475" w14:textId="14D78D0D" w:rsidR="007A7964" w:rsidRPr="007A7964" w:rsidRDefault="007A7964" w:rsidP="007A7964">
            <w:pPr>
              <w:spacing w:before="0" w:after="0"/>
              <w:jc w:val="center"/>
              <w:rPr>
                <w:rFonts w:eastAsia="Times New Roman"/>
                <w:b/>
                <w:bCs/>
                <w:color w:val="000000"/>
                <w:sz w:val="14"/>
                <w:szCs w:val="14"/>
                <w:lang w:eastAsia="en-GB" w:bidi="ne-NP"/>
              </w:rPr>
            </w:pPr>
            <w:r w:rsidRPr="007A7964">
              <w:rPr>
                <w:sz w:val="14"/>
                <w:szCs w:val="14"/>
              </w:rPr>
              <w:t>0,85</w:t>
            </w:r>
          </w:p>
        </w:tc>
      </w:tr>
    </w:tbl>
    <w:p w14:paraId="43D01118" w14:textId="40836D1D" w:rsidR="00AC212B" w:rsidRPr="009C429C" w:rsidRDefault="00AC212B" w:rsidP="007545BD">
      <w:pPr>
        <w:pStyle w:val="ListParagraph"/>
        <w:numPr>
          <w:ilvl w:val="0"/>
          <w:numId w:val="60"/>
        </w:numPr>
        <w:spacing w:after="0"/>
        <w:ind w:left="567" w:hanging="567"/>
        <w:rPr>
          <w:rFonts w:ascii="Times New Roman" w:eastAsia="Times New Roman" w:hAnsi="Times New Roman" w:cs="Times New Roman"/>
          <w:iCs/>
          <w:sz w:val="24"/>
          <w:szCs w:val="24"/>
        </w:rPr>
      </w:pPr>
      <w:r w:rsidRPr="009C429C">
        <w:rPr>
          <w:rFonts w:ascii="Times New Roman" w:eastAsia="Times New Roman" w:hAnsi="Times New Roman" w:cs="Times New Roman"/>
          <w:iCs/>
          <w:sz w:val="24"/>
          <w:szCs w:val="24"/>
        </w:rPr>
        <w:br w:type="page"/>
      </w:r>
    </w:p>
    <w:p w14:paraId="202C8FFA" w14:textId="77777777" w:rsidR="00AC212B" w:rsidRPr="00930237" w:rsidRDefault="00AC212B" w:rsidP="00AC212B">
      <w:pPr>
        <w:spacing w:before="0" w:after="0"/>
        <w:rPr>
          <w:rFonts w:eastAsia="Times New Roman"/>
          <w:sz w:val="20"/>
        </w:rPr>
      </w:pPr>
    </w:p>
    <w:p w14:paraId="689C1D85" w14:textId="40D1E38D" w:rsidR="00AC212B" w:rsidRPr="00930237" w:rsidRDefault="00AC212B" w:rsidP="007545BD">
      <w:pPr>
        <w:pStyle w:val="Heading2"/>
        <w:numPr>
          <w:ilvl w:val="0"/>
          <w:numId w:val="41"/>
        </w:numPr>
        <w:spacing w:after="0"/>
        <w:rPr>
          <w:iCs/>
          <w:noProof/>
          <w:szCs w:val="24"/>
        </w:rPr>
      </w:pPr>
      <w:bookmarkStart w:id="56" w:name="_Toc69125431"/>
      <w:r w:rsidRPr="00930237">
        <w:rPr>
          <w:noProof/>
          <w:szCs w:val="24"/>
        </w:rPr>
        <w:t>Ieguldījumu priekšnosacījumi</w:t>
      </w:r>
      <w:bookmarkEnd w:id="56"/>
    </w:p>
    <w:p w14:paraId="48255DE5" w14:textId="77777777" w:rsidR="00AC212B" w:rsidRPr="00930237" w:rsidRDefault="00AC212B" w:rsidP="00AC212B">
      <w:pPr>
        <w:spacing w:before="0" w:after="0"/>
        <w:rPr>
          <w:rFonts w:eastAsia="Times New Roman"/>
          <w:b/>
          <w:i/>
          <w:iCs/>
          <w:noProof/>
          <w:sz w:val="20"/>
        </w:rPr>
      </w:pPr>
    </w:p>
    <w:p w14:paraId="5C8FE737" w14:textId="77A359C0" w:rsidR="00AC212B" w:rsidRPr="00930237" w:rsidRDefault="00187D78" w:rsidP="00AC212B">
      <w:pPr>
        <w:pStyle w:val="Heading4"/>
        <w:numPr>
          <w:ilvl w:val="0"/>
          <w:numId w:val="0"/>
        </w:numPr>
        <w:spacing w:after="0"/>
        <w:rPr>
          <w:b/>
          <w:noProof/>
          <w:szCs w:val="24"/>
        </w:rPr>
      </w:pPr>
      <w:r>
        <w:rPr>
          <w:b/>
          <w:noProof/>
          <w:szCs w:val="24"/>
        </w:rPr>
        <w:t>28.tabula (</w:t>
      </w:r>
      <w:r w:rsidR="00AC212B" w:rsidRPr="00930237">
        <w:rPr>
          <w:b/>
          <w:noProof/>
          <w:szCs w:val="24"/>
        </w:rPr>
        <w:t>12</w:t>
      </w:r>
      <w:r>
        <w:rPr>
          <w:b/>
          <w:noProof/>
          <w:szCs w:val="24"/>
        </w:rPr>
        <w:t>)</w:t>
      </w:r>
      <w:r w:rsidR="00AC212B" w:rsidRPr="00930237">
        <w:rPr>
          <w:b/>
          <w:noProof/>
          <w:szCs w:val="24"/>
        </w:rPr>
        <w:t xml:space="preserve"> Ieguldījumu priekšnosacījumi</w:t>
      </w:r>
    </w:p>
    <w:p w14:paraId="5AF453DA" w14:textId="5F9CEE5A" w:rsidR="00AC212B" w:rsidRDefault="00AC212B" w:rsidP="00AC212B">
      <w:pPr>
        <w:spacing w:before="0" w:after="0"/>
        <w:rPr>
          <w:color w:val="FF0000"/>
          <w:sz w:val="20"/>
        </w:rPr>
      </w:pPr>
    </w:p>
    <w:p w14:paraId="2270E6E9" w14:textId="77777777" w:rsidR="007545BD" w:rsidRPr="00930237" w:rsidRDefault="007545BD" w:rsidP="00AC212B">
      <w:pPr>
        <w:spacing w:before="0" w:after="0"/>
        <w:rPr>
          <w:color w:val="FF0000"/>
          <w:sz w:val="20"/>
        </w:rPr>
      </w:pPr>
    </w:p>
    <w:tbl>
      <w:tblPr>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851"/>
        <w:gridCol w:w="1134"/>
        <w:gridCol w:w="850"/>
        <w:gridCol w:w="2410"/>
        <w:gridCol w:w="1134"/>
        <w:gridCol w:w="2410"/>
        <w:gridCol w:w="3686"/>
      </w:tblGrid>
      <w:tr w:rsidR="007545BD" w:rsidRPr="00C41EB8" w14:paraId="0F7F2B56" w14:textId="77777777" w:rsidTr="00A73208">
        <w:trPr>
          <w:tblHeader/>
        </w:trPr>
        <w:tc>
          <w:tcPr>
            <w:tcW w:w="562" w:type="dxa"/>
            <w:shd w:val="clear" w:color="auto" w:fill="D9D9D9" w:themeFill="background1" w:themeFillShade="D9"/>
            <w:vAlign w:val="center"/>
          </w:tcPr>
          <w:p w14:paraId="0522EFF8" w14:textId="77777777" w:rsidR="007545BD" w:rsidRPr="00C41EB8" w:rsidRDefault="007545BD" w:rsidP="00A73208">
            <w:pPr>
              <w:spacing w:before="0" w:after="0"/>
              <w:jc w:val="center"/>
              <w:rPr>
                <w:b/>
                <w:noProof/>
                <w:sz w:val="20"/>
              </w:rPr>
            </w:pPr>
            <w:r w:rsidRPr="00C41EB8">
              <w:rPr>
                <w:b/>
                <w:noProof/>
                <w:sz w:val="20"/>
              </w:rPr>
              <w:t>Nr. p.k.</w:t>
            </w:r>
          </w:p>
        </w:tc>
        <w:tc>
          <w:tcPr>
            <w:tcW w:w="1843" w:type="dxa"/>
            <w:shd w:val="clear" w:color="auto" w:fill="D9D9D9" w:themeFill="background1" w:themeFillShade="D9"/>
            <w:vAlign w:val="center"/>
          </w:tcPr>
          <w:p w14:paraId="285CB538" w14:textId="77777777" w:rsidR="007545BD" w:rsidRPr="00C41EB8" w:rsidRDefault="007545BD" w:rsidP="00A73208">
            <w:pPr>
              <w:spacing w:before="0" w:after="0"/>
              <w:jc w:val="center"/>
              <w:rPr>
                <w:rFonts w:eastAsia="Times New Roman"/>
                <w:b/>
                <w:iCs/>
                <w:noProof/>
                <w:sz w:val="20"/>
              </w:rPr>
            </w:pPr>
            <w:r w:rsidRPr="00C41EB8">
              <w:rPr>
                <w:b/>
                <w:noProof/>
                <w:sz w:val="20"/>
              </w:rPr>
              <w:t>Ieguldījumu priekšnosacījums</w:t>
            </w:r>
          </w:p>
        </w:tc>
        <w:tc>
          <w:tcPr>
            <w:tcW w:w="851" w:type="dxa"/>
            <w:shd w:val="clear" w:color="auto" w:fill="D9D9D9" w:themeFill="background1" w:themeFillShade="D9"/>
            <w:vAlign w:val="center"/>
          </w:tcPr>
          <w:p w14:paraId="07A0DAB2" w14:textId="77777777" w:rsidR="007545BD" w:rsidRPr="00C41EB8" w:rsidRDefault="007545BD" w:rsidP="00A73208">
            <w:pPr>
              <w:spacing w:before="0" w:after="0"/>
              <w:jc w:val="center"/>
              <w:rPr>
                <w:rFonts w:eastAsia="Times New Roman"/>
                <w:b/>
                <w:iCs/>
                <w:noProof/>
                <w:sz w:val="20"/>
              </w:rPr>
            </w:pPr>
            <w:r w:rsidRPr="00C41EB8">
              <w:rPr>
                <w:b/>
                <w:noProof/>
                <w:sz w:val="20"/>
              </w:rPr>
              <w:t>Fonds</w:t>
            </w:r>
          </w:p>
        </w:tc>
        <w:tc>
          <w:tcPr>
            <w:tcW w:w="1134" w:type="dxa"/>
            <w:shd w:val="clear" w:color="auto" w:fill="D9D9D9" w:themeFill="background1" w:themeFillShade="D9"/>
            <w:vAlign w:val="center"/>
          </w:tcPr>
          <w:p w14:paraId="40F29EBA" w14:textId="77777777" w:rsidR="007545BD" w:rsidRPr="00C41EB8" w:rsidRDefault="007545BD" w:rsidP="00A73208">
            <w:pPr>
              <w:spacing w:before="0" w:after="0"/>
              <w:jc w:val="center"/>
              <w:rPr>
                <w:rFonts w:eastAsia="Times New Roman"/>
                <w:b/>
                <w:iCs/>
                <w:noProof/>
                <w:sz w:val="20"/>
              </w:rPr>
            </w:pPr>
            <w:r w:rsidRPr="00C41EB8">
              <w:rPr>
                <w:b/>
                <w:noProof/>
                <w:sz w:val="20"/>
              </w:rPr>
              <w:t>SAM</w:t>
            </w:r>
          </w:p>
          <w:p w14:paraId="36C02B06" w14:textId="77777777" w:rsidR="007545BD" w:rsidRPr="00C41EB8" w:rsidRDefault="007545BD" w:rsidP="00A73208">
            <w:pPr>
              <w:spacing w:before="0" w:after="0"/>
              <w:jc w:val="center"/>
              <w:rPr>
                <w:rFonts w:eastAsia="Times New Roman"/>
                <w:b/>
                <w:iCs/>
                <w:noProof/>
                <w:sz w:val="20"/>
              </w:rPr>
            </w:pPr>
          </w:p>
        </w:tc>
        <w:tc>
          <w:tcPr>
            <w:tcW w:w="850" w:type="dxa"/>
            <w:shd w:val="clear" w:color="auto" w:fill="D9D9D9" w:themeFill="background1" w:themeFillShade="D9"/>
            <w:vAlign w:val="center"/>
          </w:tcPr>
          <w:p w14:paraId="053F5CC6" w14:textId="77777777" w:rsidR="007545BD" w:rsidRPr="00C41EB8" w:rsidRDefault="007545BD" w:rsidP="00A73208">
            <w:pPr>
              <w:spacing w:before="0" w:after="0"/>
              <w:jc w:val="center"/>
              <w:rPr>
                <w:rFonts w:eastAsia="Times New Roman"/>
                <w:b/>
                <w:iCs/>
                <w:noProof/>
                <w:sz w:val="20"/>
              </w:rPr>
            </w:pPr>
            <w:r w:rsidRPr="00C41EB8">
              <w:rPr>
                <w:b/>
                <w:noProof/>
                <w:sz w:val="20"/>
              </w:rPr>
              <w:t xml:space="preserve">Nosac. izpilde </w:t>
            </w:r>
            <w:r w:rsidRPr="00C41EB8">
              <w:rPr>
                <w:noProof/>
                <w:sz w:val="20"/>
              </w:rPr>
              <w:t>(Jā/Nē)</w:t>
            </w:r>
          </w:p>
        </w:tc>
        <w:tc>
          <w:tcPr>
            <w:tcW w:w="2410" w:type="dxa"/>
            <w:shd w:val="clear" w:color="auto" w:fill="D9D9D9" w:themeFill="background1" w:themeFillShade="D9"/>
            <w:vAlign w:val="center"/>
          </w:tcPr>
          <w:p w14:paraId="6AD6D85E" w14:textId="77777777" w:rsidR="007545BD" w:rsidRPr="00C41EB8" w:rsidRDefault="007545BD" w:rsidP="00A73208">
            <w:pPr>
              <w:spacing w:before="0" w:after="0"/>
              <w:jc w:val="center"/>
              <w:rPr>
                <w:rFonts w:eastAsia="Times New Roman"/>
                <w:b/>
                <w:iCs/>
                <w:noProof/>
                <w:sz w:val="20"/>
              </w:rPr>
            </w:pPr>
            <w:r w:rsidRPr="00C41EB8">
              <w:rPr>
                <w:b/>
                <w:noProof/>
                <w:sz w:val="20"/>
              </w:rPr>
              <w:t>Kritēriji</w:t>
            </w:r>
          </w:p>
        </w:tc>
        <w:tc>
          <w:tcPr>
            <w:tcW w:w="1134" w:type="dxa"/>
            <w:shd w:val="clear" w:color="auto" w:fill="D9D9D9" w:themeFill="background1" w:themeFillShade="D9"/>
            <w:vAlign w:val="center"/>
          </w:tcPr>
          <w:p w14:paraId="4F377014" w14:textId="77777777" w:rsidR="007545BD" w:rsidRPr="00C41EB8" w:rsidRDefault="007545BD" w:rsidP="00A73208">
            <w:pPr>
              <w:spacing w:before="0" w:after="0"/>
              <w:jc w:val="center"/>
              <w:rPr>
                <w:rFonts w:eastAsia="Times New Roman"/>
                <w:b/>
                <w:iCs/>
                <w:noProof/>
                <w:sz w:val="20"/>
              </w:rPr>
            </w:pPr>
            <w:r w:rsidRPr="00C41EB8">
              <w:rPr>
                <w:b/>
                <w:noProof/>
                <w:sz w:val="20"/>
              </w:rPr>
              <w:t xml:space="preserve">Kritēriju izpilde </w:t>
            </w:r>
            <w:r w:rsidRPr="00C41EB8">
              <w:rPr>
                <w:noProof/>
                <w:sz w:val="20"/>
              </w:rPr>
              <w:t>(Jā/Nē)</w:t>
            </w:r>
          </w:p>
        </w:tc>
        <w:tc>
          <w:tcPr>
            <w:tcW w:w="2410" w:type="dxa"/>
            <w:shd w:val="clear" w:color="auto" w:fill="D9D9D9" w:themeFill="background1" w:themeFillShade="D9"/>
            <w:vAlign w:val="center"/>
          </w:tcPr>
          <w:p w14:paraId="1CD398B1" w14:textId="77777777" w:rsidR="007545BD" w:rsidRPr="00C41EB8" w:rsidRDefault="007545BD" w:rsidP="00A73208">
            <w:pPr>
              <w:spacing w:before="0" w:after="0"/>
              <w:jc w:val="center"/>
              <w:rPr>
                <w:rFonts w:eastAsia="Times New Roman"/>
                <w:b/>
                <w:iCs/>
                <w:noProof/>
                <w:sz w:val="20"/>
              </w:rPr>
            </w:pPr>
            <w:r w:rsidRPr="00C41EB8">
              <w:rPr>
                <w:b/>
                <w:noProof/>
                <w:sz w:val="20"/>
              </w:rPr>
              <w:t xml:space="preserve">Atsauce uz attiecīgajiem dokumentiem </w:t>
            </w:r>
            <w:r w:rsidRPr="00C41EB8">
              <w:rPr>
                <w:noProof/>
                <w:color w:val="FF0000"/>
                <w:sz w:val="20"/>
              </w:rPr>
              <w:t>[500]</w:t>
            </w:r>
          </w:p>
        </w:tc>
        <w:tc>
          <w:tcPr>
            <w:tcW w:w="3686" w:type="dxa"/>
            <w:shd w:val="clear" w:color="auto" w:fill="D9D9D9" w:themeFill="background1" w:themeFillShade="D9"/>
            <w:vAlign w:val="center"/>
          </w:tcPr>
          <w:p w14:paraId="7C958794" w14:textId="77777777" w:rsidR="007545BD" w:rsidRPr="00C41EB8" w:rsidRDefault="007545BD" w:rsidP="00A73208">
            <w:pPr>
              <w:spacing w:before="0" w:after="0"/>
              <w:jc w:val="center"/>
              <w:rPr>
                <w:rFonts w:eastAsia="Times New Roman"/>
                <w:b/>
                <w:iCs/>
                <w:noProof/>
                <w:sz w:val="20"/>
              </w:rPr>
            </w:pPr>
            <w:r w:rsidRPr="00C41EB8">
              <w:rPr>
                <w:b/>
                <w:noProof/>
                <w:sz w:val="20"/>
              </w:rPr>
              <w:t xml:space="preserve">Pamatojums </w:t>
            </w:r>
            <w:r w:rsidRPr="00C41EB8">
              <w:rPr>
                <w:noProof/>
                <w:color w:val="FF0000"/>
                <w:sz w:val="20"/>
              </w:rPr>
              <w:t>[1000]</w:t>
            </w:r>
          </w:p>
        </w:tc>
      </w:tr>
      <w:tr w:rsidR="007545BD" w:rsidRPr="00C41EB8" w14:paraId="5BF0925A" w14:textId="77777777" w:rsidTr="00A73208">
        <w:tc>
          <w:tcPr>
            <w:tcW w:w="562" w:type="dxa"/>
          </w:tcPr>
          <w:p w14:paraId="1CAE2B61"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val="restart"/>
          </w:tcPr>
          <w:p w14:paraId="60C2F75C" w14:textId="77777777" w:rsidR="007545BD" w:rsidRPr="00C41EB8" w:rsidRDefault="007545BD" w:rsidP="00A73208">
            <w:pPr>
              <w:spacing w:before="0" w:after="0"/>
              <w:jc w:val="left"/>
              <w:rPr>
                <w:rFonts w:eastAsia="Times New Roman"/>
                <w:iCs/>
                <w:noProof/>
                <w:sz w:val="20"/>
              </w:rPr>
            </w:pPr>
            <w:r w:rsidRPr="00C41EB8">
              <w:rPr>
                <w:noProof/>
                <w:sz w:val="20"/>
              </w:rPr>
              <w:t xml:space="preserve">Horizontālais ieguldījumu priekšnosacījums Nr.1 – </w:t>
            </w:r>
            <w:r w:rsidRPr="00C41EB8">
              <w:rPr>
                <w:b/>
                <w:noProof/>
                <w:sz w:val="20"/>
              </w:rPr>
              <w:t>Efektīvi publiskā iepirkuma tirgus uzraudzības mehānismi</w:t>
            </w:r>
          </w:p>
        </w:tc>
        <w:tc>
          <w:tcPr>
            <w:tcW w:w="851" w:type="dxa"/>
            <w:vMerge w:val="restart"/>
          </w:tcPr>
          <w:p w14:paraId="32987D6F"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ERAF, ESF+, KF</w:t>
            </w:r>
          </w:p>
        </w:tc>
        <w:tc>
          <w:tcPr>
            <w:tcW w:w="1134" w:type="dxa"/>
            <w:vMerge w:val="restart"/>
          </w:tcPr>
          <w:p w14:paraId="1F10CC37"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Visi</w:t>
            </w:r>
          </w:p>
        </w:tc>
        <w:tc>
          <w:tcPr>
            <w:tcW w:w="850" w:type="dxa"/>
            <w:vMerge w:val="restart"/>
          </w:tcPr>
          <w:p w14:paraId="627718FE" w14:textId="77777777" w:rsidR="007545BD" w:rsidRPr="00C41EB8" w:rsidRDefault="007545BD" w:rsidP="00A73208">
            <w:pPr>
              <w:spacing w:before="0" w:after="0"/>
              <w:jc w:val="left"/>
              <w:rPr>
                <w:rFonts w:eastAsia="Times New Roman"/>
                <w:b/>
                <w:bCs/>
                <w:iCs/>
                <w:noProof/>
                <w:sz w:val="20"/>
              </w:rPr>
            </w:pPr>
            <w:r w:rsidRPr="00C41EB8">
              <w:rPr>
                <w:rFonts w:eastAsia="Times New Roman"/>
                <w:b/>
                <w:bCs/>
                <w:iCs/>
                <w:noProof/>
                <w:sz w:val="20"/>
              </w:rPr>
              <w:t>Jā</w:t>
            </w:r>
          </w:p>
        </w:tc>
        <w:tc>
          <w:tcPr>
            <w:tcW w:w="2410" w:type="dxa"/>
          </w:tcPr>
          <w:p w14:paraId="0E06BF43" w14:textId="77777777" w:rsidR="007545BD" w:rsidRPr="00C41EB8" w:rsidRDefault="007545BD" w:rsidP="00A73208">
            <w:pPr>
              <w:spacing w:before="0" w:after="0"/>
              <w:ind w:left="3"/>
              <w:jc w:val="left"/>
              <w:rPr>
                <w:noProof/>
                <w:sz w:val="20"/>
              </w:rPr>
            </w:pPr>
            <w:r w:rsidRPr="00C41EB8">
              <w:rPr>
                <w:noProof/>
                <w:sz w:val="20"/>
              </w:rPr>
              <w:t>Ir izveidoti uzraudzības mehānismi, kas aptver visas procedūras saskaņā ar valsts tiesību aktiem publiskā iepirkuma jomā un ietver:</w:t>
            </w:r>
          </w:p>
          <w:p w14:paraId="33E431E6" w14:textId="77777777" w:rsidR="007545BD" w:rsidRPr="00C41EB8" w:rsidRDefault="007545BD" w:rsidP="00A73208">
            <w:pPr>
              <w:spacing w:before="0" w:after="0"/>
              <w:ind w:left="3"/>
              <w:jc w:val="left"/>
              <w:rPr>
                <w:noProof/>
                <w:sz w:val="20"/>
              </w:rPr>
            </w:pPr>
            <w:r w:rsidRPr="00C41EB8">
              <w:rPr>
                <w:noProof/>
                <w:sz w:val="20"/>
              </w:rPr>
              <w:t xml:space="preserve">1.Kārtību, kas nodrošina efektīvu, uzticamu datu un rādītāju ziņošanu atbilstoši Direktīvas 2014/24/ES 83. un 84. pantam un Direktīvas 2014/25/ES 99. un 100. pantam. </w:t>
            </w:r>
          </w:p>
          <w:p w14:paraId="545B261C" w14:textId="77777777" w:rsidR="007545BD" w:rsidRPr="00C41EB8" w:rsidRDefault="007545BD" w:rsidP="00A73208">
            <w:pPr>
              <w:pStyle w:val="ListParagraph"/>
              <w:spacing w:after="0" w:line="240" w:lineRule="auto"/>
              <w:ind w:left="319"/>
              <w:rPr>
                <w:rFonts w:ascii="Times New Roman" w:hAnsi="Times New Roman" w:cs="Times New Roman"/>
                <w:noProof/>
                <w:sz w:val="20"/>
                <w:szCs w:val="20"/>
              </w:rPr>
            </w:pPr>
          </w:p>
        </w:tc>
        <w:tc>
          <w:tcPr>
            <w:tcW w:w="1134" w:type="dxa"/>
          </w:tcPr>
          <w:p w14:paraId="47D1ED0B" w14:textId="77777777" w:rsidR="007545BD" w:rsidRPr="00C41EB8" w:rsidRDefault="007545BD" w:rsidP="00A73208">
            <w:pPr>
              <w:spacing w:before="0" w:after="0"/>
              <w:jc w:val="left"/>
              <w:rPr>
                <w:b/>
                <w:bCs/>
                <w:noProof/>
                <w:sz w:val="20"/>
              </w:rPr>
            </w:pPr>
            <w:r w:rsidRPr="00C41EB8">
              <w:rPr>
                <w:b/>
                <w:bCs/>
                <w:noProof/>
                <w:sz w:val="20"/>
              </w:rPr>
              <w:t>Jā</w:t>
            </w:r>
          </w:p>
        </w:tc>
        <w:tc>
          <w:tcPr>
            <w:tcW w:w="2410" w:type="dxa"/>
          </w:tcPr>
          <w:p w14:paraId="5B7F95E9" w14:textId="77777777" w:rsidR="007545BD" w:rsidRPr="00C41EB8" w:rsidRDefault="009A507A" w:rsidP="00A73208">
            <w:pPr>
              <w:pStyle w:val="ListParagraph"/>
              <w:numPr>
                <w:ilvl w:val="0"/>
                <w:numId w:val="34"/>
              </w:numPr>
              <w:spacing w:after="0" w:line="240" w:lineRule="auto"/>
              <w:ind w:left="311"/>
              <w:rPr>
                <w:rFonts w:ascii="Times New Roman" w:eastAsia="Calibri" w:hAnsi="Times New Roman" w:cs="Times New Roman"/>
                <w:noProof/>
                <w:sz w:val="20"/>
                <w:szCs w:val="20"/>
              </w:rPr>
            </w:pPr>
            <w:hyperlink r:id="rId13" w:history="1">
              <w:r w:rsidR="007545BD" w:rsidRPr="00C41EB8">
                <w:rPr>
                  <w:rStyle w:val="Hyperlink"/>
                  <w:rFonts w:ascii="Times New Roman" w:eastAsia="Calibri" w:hAnsi="Times New Roman" w:cs="Times New Roman"/>
                  <w:noProof/>
                  <w:sz w:val="20"/>
                  <w:szCs w:val="20"/>
                </w:rPr>
                <w:t>PIL</w:t>
              </w:r>
            </w:hyperlink>
            <w:r w:rsidR="007545BD" w:rsidRPr="00C41EB8">
              <w:rPr>
                <w:rFonts w:ascii="Times New Roman" w:eastAsia="Calibri" w:hAnsi="Times New Roman" w:cs="Times New Roman"/>
                <w:noProof/>
                <w:sz w:val="20"/>
                <w:szCs w:val="20"/>
              </w:rPr>
              <w:t xml:space="preserve"> (01.03.2017.), </w:t>
            </w:r>
          </w:p>
          <w:p w14:paraId="48A70075" w14:textId="77777777" w:rsidR="007545BD" w:rsidRPr="00C41EB8" w:rsidRDefault="009A507A" w:rsidP="00A73208">
            <w:pPr>
              <w:pStyle w:val="ListParagraph"/>
              <w:numPr>
                <w:ilvl w:val="0"/>
                <w:numId w:val="34"/>
              </w:numPr>
              <w:spacing w:after="0" w:line="240" w:lineRule="auto"/>
              <w:ind w:left="311"/>
              <w:rPr>
                <w:rFonts w:ascii="Times New Roman" w:eastAsia="Calibri" w:hAnsi="Times New Roman" w:cs="Times New Roman"/>
                <w:noProof/>
                <w:sz w:val="20"/>
                <w:szCs w:val="20"/>
              </w:rPr>
            </w:pPr>
            <w:hyperlink r:id="rId14" w:history="1">
              <w:r w:rsidR="007545BD" w:rsidRPr="00C41EB8">
                <w:rPr>
                  <w:rStyle w:val="Hyperlink"/>
                  <w:rFonts w:ascii="Times New Roman" w:eastAsia="Calibri" w:hAnsi="Times New Roman" w:cs="Times New Roman"/>
                  <w:noProof/>
                  <w:sz w:val="20"/>
                  <w:szCs w:val="20"/>
                </w:rPr>
                <w:t>SPSIL</w:t>
              </w:r>
            </w:hyperlink>
            <w:r w:rsidR="007545BD" w:rsidRPr="00C41EB8">
              <w:rPr>
                <w:rFonts w:ascii="Times New Roman" w:eastAsia="Calibri" w:hAnsi="Times New Roman" w:cs="Times New Roman"/>
                <w:noProof/>
                <w:sz w:val="20"/>
                <w:szCs w:val="20"/>
              </w:rPr>
              <w:t xml:space="preserve"> (01.04.2017.),</w:t>
            </w:r>
          </w:p>
          <w:p w14:paraId="49C96929" w14:textId="77777777" w:rsidR="007545BD" w:rsidRPr="00C41EB8" w:rsidRDefault="007545BD" w:rsidP="00A73208">
            <w:pPr>
              <w:pStyle w:val="ListParagraph"/>
              <w:numPr>
                <w:ilvl w:val="0"/>
                <w:numId w:val="34"/>
              </w:numPr>
              <w:spacing w:after="0" w:line="240" w:lineRule="auto"/>
              <w:ind w:left="311"/>
              <w:rPr>
                <w:rFonts w:ascii="Times New Roman" w:eastAsia="Calibri" w:hAnsi="Times New Roman" w:cs="Times New Roman"/>
                <w:noProof/>
                <w:sz w:val="20"/>
                <w:szCs w:val="20"/>
              </w:rPr>
            </w:pPr>
            <w:r w:rsidRPr="00C41EB8">
              <w:rPr>
                <w:rFonts w:ascii="Times New Roman" w:eastAsia="Calibri" w:hAnsi="Times New Roman" w:cs="Times New Roman"/>
                <w:noProof/>
                <w:sz w:val="20"/>
                <w:szCs w:val="20"/>
              </w:rPr>
              <w:t>MK 28.02.2017. noteikumi Nr.107 “</w:t>
            </w:r>
            <w:hyperlink r:id="rId15" w:history="1">
              <w:r w:rsidRPr="00C41EB8">
                <w:rPr>
                  <w:rStyle w:val="Hyperlink"/>
                  <w:rFonts w:ascii="Times New Roman" w:eastAsia="Calibri" w:hAnsi="Times New Roman" w:cs="Times New Roman"/>
                  <w:noProof/>
                  <w:sz w:val="20"/>
                  <w:szCs w:val="20"/>
                </w:rPr>
                <w:t>Iepirkumu procedūru un metu konkursu norises kārtība</w:t>
              </w:r>
            </w:hyperlink>
            <w:r w:rsidRPr="00C41EB8">
              <w:rPr>
                <w:rFonts w:ascii="Times New Roman" w:eastAsia="Calibri" w:hAnsi="Times New Roman" w:cs="Times New Roman"/>
                <w:noProof/>
                <w:sz w:val="20"/>
                <w:szCs w:val="20"/>
              </w:rPr>
              <w:t>”,</w:t>
            </w:r>
          </w:p>
          <w:p w14:paraId="4ED42FDF" w14:textId="77777777" w:rsidR="007545BD" w:rsidRPr="00C41EB8" w:rsidRDefault="007545BD" w:rsidP="00A73208">
            <w:pPr>
              <w:pStyle w:val="ListParagraph"/>
              <w:numPr>
                <w:ilvl w:val="0"/>
                <w:numId w:val="34"/>
              </w:numPr>
              <w:spacing w:after="0" w:line="240" w:lineRule="auto"/>
              <w:ind w:left="311"/>
              <w:rPr>
                <w:rFonts w:ascii="Times New Roman" w:eastAsia="Calibri" w:hAnsi="Times New Roman" w:cs="Times New Roman"/>
                <w:noProof/>
                <w:sz w:val="20"/>
                <w:szCs w:val="20"/>
              </w:rPr>
            </w:pPr>
            <w:r w:rsidRPr="00C41EB8">
              <w:rPr>
                <w:rFonts w:ascii="Times New Roman" w:eastAsia="Calibri" w:hAnsi="Times New Roman" w:cs="Times New Roman"/>
                <w:noProof/>
                <w:sz w:val="20"/>
                <w:szCs w:val="20"/>
              </w:rPr>
              <w:t>MK 28.03.2017. noteikumi Nr.187 “</w:t>
            </w:r>
            <w:hyperlink r:id="rId16" w:history="1">
              <w:r w:rsidRPr="00C41EB8">
                <w:rPr>
                  <w:rStyle w:val="Hyperlink"/>
                  <w:rFonts w:ascii="Times New Roman" w:eastAsia="Calibri" w:hAnsi="Times New Roman" w:cs="Times New Roman"/>
                  <w:noProof/>
                  <w:sz w:val="20"/>
                  <w:szCs w:val="20"/>
                </w:rPr>
                <w:t>Sabiedrisko pakalpojumu sniedzēju iepirkuma procedūru un metu konkursu norises kārtība</w:t>
              </w:r>
            </w:hyperlink>
            <w:r w:rsidRPr="00C41EB8">
              <w:rPr>
                <w:rFonts w:ascii="Times New Roman" w:eastAsia="Calibri" w:hAnsi="Times New Roman" w:cs="Times New Roman"/>
                <w:noProof/>
                <w:sz w:val="20"/>
                <w:szCs w:val="20"/>
              </w:rPr>
              <w:t>”,</w:t>
            </w:r>
          </w:p>
          <w:p w14:paraId="3D3D6005" w14:textId="77777777" w:rsidR="007545BD" w:rsidRPr="00C41EB8" w:rsidRDefault="007545BD" w:rsidP="00A73208">
            <w:pPr>
              <w:pStyle w:val="ListParagraph"/>
              <w:numPr>
                <w:ilvl w:val="0"/>
                <w:numId w:val="34"/>
              </w:numPr>
              <w:spacing w:after="0" w:line="240" w:lineRule="auto"/>
              <w:ind w:left="311"/>
              <w:rPr>
                <w:rFonts w:ascii="Times New Roman" w:eastAsia="Times New Roman" w:hAnsi="Times New Roman" w:cs="Times New Roman"/>
                <w:iCs/>
                <w:noProof/>
                <w:sz w:val="20"/>
                <w:szCs w:val="20"/>
              </w:rPr>
            </w:pPr>
            <w:r w:rsidRPr="00C41EB8">
              <w:rPr>
                <w:rFonts w:ascii="Times New Roman" w:eastAsia="Calibri" w:hAnsi="Times New Roman" w:cs="Times New Roman"/>
                <w:noProof/>
                <w:sz w:val="20"/>
                <w:szCs w:val="20"/>
              </w:rPr>
              <w:t>MK 28.02.2017. noteikumi Nr.103 “</w:t>
            </w:r>
            <w:hyperlink r:id="rId17" w:history="1">
              <w:r w:rsidRPr="00C41EB8">
                <w:rPr>
                  <w:rStyle w:val="Hyperlink"/>
                  <w:rFonts w:ascii="Times New Roman" w:eastAsia="Calibri" w:hAnsi="Times New Roman" w:cs="Times New Roman"/>
                  <w:noProof/>
                  <w:sz w:val="20"/>
                  <w:szCs w:val="20"/>
                </w:rPr>
                <w:t>Publisko iepirkumu paziņojumi un to sagatavošanas kārtība</w:t>
              </w:r>
            </w:hyperlink>
            <w:r w:rsidRPr="00C41EB8">
              <w:rPr>
                <w:rFonts w:ascii="Times New Roman" w:eastAsia="Calibri" w:hAnsi="Times New Roman" w:cs="Times New Roman"/>
                <w:noProof/>
                <w:sz w:val="20"/>
                <w:szCs w:val="20"/>
              </w:rPr>
              <w:t>”,</w:t>
            </w:r>
          </w:p>
          <w:p w14:paraId="769969C5" w14:textId="77777777" w:rsidR="007545BD" w:rsidRPr="00C41EB8" w:rsidRDefault="007545BD" w:rsidP="00A73208">
            <w:pPr>
              <w:pStyle w:val="ListParagraph"/>
              <w:numPr>
                <w:ilvl w:val="0"/>
                <w:numId w:val="34"/>
              </w:numPr>
              <w:spacing w:after="0" w:line="240" w:lineRule="auto"/>
              <w:ind w:left="311"/>
              <w:rPr>
                <w:rFonts w:ascii="Times New Roman" w:eastAsia="Times New Roman" w:hAnsi="Times New Roman" w:cs="Times New Roman"/>
                <w:iCs/>
                <w:noProof/>
                <w:sz w:val="20"/>
                <w:szCs w:val="20"/>
              </w:rPr>
            </w:pPr>
            <w:r w:rsidRPr="00C41EB8">
              <w:rPr>
                <w:rFonts w:ascii="Times New Roman" w:eastAsia="Calibri" w:hAnsi="Times New Roman" w:cs="Times New Roman"/>
                <w:noProof/>
                <w:sz w:val="20"/>
                <w:szCs w:val="20"/>
              </w:rPr>
              <w:t>MK 28.03.2017. noteikumi Nr.182 “</w:t>
            </w:r>
            <w:hyperlink r:id="rId18" w:history="1">
              <w:r w:rsidRPr="00C41EB8">
                <w:rPr>
                  <w:rStyle w:val="Hyperlink"/>
                  <w:rFonts w:ascii="Times New Roman" w:eastAsia="Calibri" w:hAnsi="Times New Roman" w:cs="Times New Roman"/>
                  <w:noProof/>
                  <w:sz w:val="20"/>
                  <w:szCs w:val="20"/>
                </w:rPr>
                <w:t>Sabiedrisko pakalpojumu sniedzēju iepirkumu paziņojumi un to sagatavošanas kārtība</w:t>
              </w:r>
            </w:hyperlink>
            <w:r w:rsidRPr="00C41EB8">
              <w:rPr>
                <w:rFonts w:ascii="Times New Roman" w:eastAsia="Calibri" w:hAnsi="Times New Roman" w:cs="Times New Roman"/>
                <w:noProof/>
                <w:sz w:val="20"/>
                <w:szCs w:val="20"/>
              </w:rPr>
              <w:t xml:space="preserve">” </w:t>
            </w:r>
          </w:p>
        </w:tc>
        <w:tc>
          <w:tcPr>
            <w:tcW w:w="3686" w:type="dxa"/>
          </w:tcPr>
          <w:p w14:paraId="767B8F1E" w14:textId="77777777" w:rsidR="007545BD" w:rsidRPr="00C41EB8" w:rsidRDefault="007545BD" w:rsidP="00A73208">
            <w:pPr>
              <w:spacing w:before="0" w:after="0"/>
              <w:rPr>
                <w:noProof/>
                <w:sz w:val="20"/>
              </w:rPr>
            </w:pPr>
            <w:r w:rsidRPr="00C41EB8">
              <w:rPr>
                <w:noProof/>
                <w:sz w:val="20"/>
              </w:rPr>
              <w:t>Publiskais iepirkumsatbilstoši PIL un SPSIL noteikumiem, uzraudzības funkcijas nodrošina IUB.</w:t>
            </w:r>
          </w:p>
          <w:p w14:paraId="7D2E691B" w14:textId="77777777" w:rsidR="007545BD" w:rsidRPr="00C41EB8" w:rsidRDefault="007545BD" w:rsidP="00A73208">
            <w:pPr>
              <w:spacing w:before="0" w:after="0"/>
              <w:rPr>
                <w:noProof/>
                <w:sz w:val="20"/>
              </w:rPr>
            </w:pPr>
            <w:r w:rsidRPr="00C41EB8">
              <w:rPr>
                <w:noProof/>
                <w:sz w:val="20"/>
              </w:rPr>
              <w:t xml:space="preserve">PIL 29.pants, SPSIL 38.pants nosaka paziņojuma par līguma slēgšanas tiesību piešķiršanu sagatavošanas pienākumu pasūtītājiem un SPS. MK noteikumi Nr.103, MK noteikumi Nr.182 nosaka šī paziņojumu saturu un sagatavošanas kārtību. Saskaņā ar PIL 34.panta otro daļu, SPSIL 40.panta otro daļu šo paziņojumu pasūtītājs vai SPS ieniedz IUB Publikāciju vadības sistēmā, un IUB triju darbdienu laikā pēc tā saņemšanas pārbauda tā satura atbilstību PIL vai SPSIL prasībām un publicē to IUB tīmekļvietnē vai nosūta paziņojumu ES Publikāciju birojam publicēšanai ES Oficiālajā Vēstnesī. </w:t>
            </w:r>
          </w:p>
          <w:p w14:paraId="788330B5" w14:textId="77777777" w:rsidR="007545BD" w:rsidRPr="00C41EB8" w:rsidRDefault="007545BD" w:rsidP="00A73208">
            <w:pPr>
              <w:spacing w:before="0" w:after="0"/>
              <w:rPr>
                <w:rFonts w:eastAsia="Times New Roman"/>
                <w:iCs/>
                <w:noProof/>
                <w:sz w:val="20"/>
              </w:rPr>
            </w:pPr>
            <w:r w:rsidRPr="00C41EB8">
              <w:rPr>
                <w:noProof/>
                <w:sz w:val="20"/>
              </w:rPr>
              <w:t>PIL 40.panta otrā daļa, SPSIL 45.panta otrā daļa nosaka, ka attiecīgi  pasūtītājs un SPS pēc lēmuma par iepirkuma procedūras rezultātiem pieņemšanas pircēja profilā sagatavo un publicē iepirkuma procedūras ziņojumu. MK noteikumos Nr.107, MK Noteikumos Nr.187 ir noteikts minētā ziņojuma saturs attiecībā uz katru iepirkuma procedūras veidu.</w:t>
            </w:r>
          </w:p>
        </w:tc>
      </w:tr>
      <w:tr w:rsidR="007545BD" w:rsidRPr="00C41EB8" w14:paraId="70444A39" w14:textId="77777777" w:rsidTr="00A73208">
        <w:trPr>
          <w:trHeight w:val="5819"/>
        </w:trPr>
        <w:tc>
          <w:tcPr>
            <w:tcW w:w="562" w:type="dxa"/>
          </w:tcPr>
          <w:p w14:paraId="372B779D"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1998919D" w14:textId="77777777" w:rsidR="007545BD" w:rsidRPr="00C41EB8" w:rsidRDefault="007545BD" w:rsidP="00A73208">
            <w:pPr>
              <w:spacing w:before="0" w:after="0"/>
              <w:jc w:val="left"/>
              <w:rPr>
                <w:noProof/>
                <w:sz w:val="20"/>
              </w:rPr>
            </w:pPr>
          </w:p>
        </w:tc>
        <w:tc>
          <w:tcPr>
            <w:tcW w:w="851" w:type="dxa"/>
            <w:vMerge/>
          </w:tcPr>
          <w:p w14:paraId="0D16E3C5" w14:textId="77777777" w:rsidR="007545BD" w:rsidRPr="00C41EB8" w:rsidRDefault="007545BD" w:rsidP="00A73208">
            <w:pPr>
              <w:spacing w:before="0" w:after="0"/>
              <w:jc w:val="left"/>
              <w:rPr>
                <w:rFonts w:eastAsia="Times New Roman"/>
                <w:iCs/>
                <w:noProof/>
                <w:sz w:val="20"/>
              </w:rPr>
            </w:pPr>
          </w:p>
        </w:tc>
        <w:tc>
          <w:tcPr>
            <w:tcW w:w="1134" w:type="dxa"/>
            <w:vMerge/>
          </w:tcPr>
          <w:p w14:paraId="422CA4BA" w14:textId="77777777" w:rsidR="007545BD" w:rsidRPr="00C41EB8" w:rsidRDefault="007545BD" w:rsidP="00A73208">
            <w:pPr>
              <w:spacing w:before="0" w:after="0"/>
              <w:jc w:val="left"/>
              <w:rPr>
                <w:rFonts w:eastAsia="Times New Roman"/>
                <w:iCs/>
                <w:noProof/>
                <w:sz w:val="20"/>
              </w:rPr>
            </w:pPr>
          </w:p>
        </w:tc>
        <w:tc>
          <w:tcPr>
            <w:tcW w:w="850" w:type="dxa"/>
            <w:vMerge/>
          </w:tcPr>
          <w:p w14:paraId="45B85B32" w14:textId="77777777" w:rsidR="007545BD" w:rsidRPr="00C41EB8" w:rsidRDefault="007545BD" w:rsidP="00A73208">
            <w:pPr>
              <w:spacing w:before="0" w:after="0"/>
              <w:jc w:val="left"/>
              <w:rPr>
                <w:rFonts w:eastAsia="Times New Roman"/>
                <w:b/>
                <w:bCs/>
                <w:iCs/>
                <w:noProof/>
                <w:sz w:val="20"/>
              </w:rPr>
            </w:pPr>
          </w:p>
        </w:tc>
        <w:tc>
          <w:tcPr>
            <w:tcW w:w="2410" w:type="dxa"/>
          </w:tcPr>
          <w:p w14:paraId="4C8F6F05" w14:textId="77777777" w:rsidR="007545BD" w:rsidRPr="00C41EB8" w:rsidRDefault="007545BD" w:rsidP="00A73208">
            <w:pPr>
              <w:spacing w:before="0" w:after="0"/>
              <w:ind w:left="3"/>
              <w:jc w:val="left"/>
              <w:rPr>
                <w:noProof/>
                <w:sz w:val="20"/>
              </w:rPr>
            </w:pPr>
            <w:r w:rsidRPr="00C41EB8">
              <w:rPr>
                <w:noProof/>
                <w:sz w:val="20"/>
              </w:rPr>
              <w:t>2.Uzkrātajiem datiem un rādītājiem jāietver vismaz šādi elementi:</w:t>
            </w:r>
          </w:p>
          <w:p w14:paraId="35A2F533" w14:textId="77777777" w:rsidR="007545BD" w:rsidRPr="00C41EB8" w:rsidRDefault="007545BD" w:rsidP="00A73208">
            <w:pPr>
              <w:pStyle w:val="ListParagraph"/>
              <w:numPr>
                <w:ilvl w:val="0"/>
                <w:numId w:val="68"/>
              </w:numPr>
              <w:spacing w:after="0" w:line="240" w:lineRule="auto"/>
              <w:rPr>
                <w:rFonts w:ascii="Times New Roman" w:hAnsi="Times New Roman" w:cs="Times New Roman"/>
                <w:noProof/>
                <w:sz w:val="20"/>
                <w:szCs w:val="20"/>
              </w:rPr>
            </w:pPr>
            <w:r w:rsidRPr="00C41EB8">
              <w:rPr>
                <w:rFonts w:ascii="Times New Roman" w:hAnsi="Times New Roman" w:cs="Times New Roman"/>
                <w:noProof/>
                <w:sz w:val="20"/>
                <w:szCs w:val="20"/>
              </w:rPr>
              <w:t>Konkurences kvalitāti un intensitāti: konkursa uzvarētāju pretendentu nosaukumi, sākotnējo pretendentu skaits, gadījumos, kad no nacionālām IS var iegūt šādu informāciju;</w:t>
            </w:r>
          </w:p>
          <w:p w14:paraId="47A56BF6" w14:textId="77777777" w:rsidR="007545BD" w:rsidRPr="00C41EB8" w:rsidRDefault="007545BD" w:rsidP="00A73208">
            <w:pPr>
              <w:pStyle w:val="ListParagraph"/>
              <w:numPr>
                <w:ilvl w:val="0"/>
                <w:numId w:val="68"/>
              </w:numPr>
              <w:spacing w:after="0" w:line="240" w:lineRule="auto"/>
              <w:rPr>
                <w:rFonts w:ascii="Times New Roman" w:hAnsi="Times New Roman" w:cs="Times New Roman"/>
                <w:noProof/>
                <w:sz w:val="20"/>
                <w:szCs w:val="20"/>
              </w:rPr>
            </w:pPr>
            <w:r w:rsidRPr="00C41EB8">
              <w:rPr>
                <w:rFonts w:ascii="Times New Roman" w:hAnsi="Times New Roman" w:cs="Times New Roman"/>
                <w:noProof/>
                <w:sz w:val="20"/>
                <w:szCs w:val="20"/>
              </w:rPr>
              <w:t>Informāciju par līgumcenu un mazo un vidējo uzņēmēju kā tiešo pretendentu dalību, gadījumos, kad no nacionālām IS var iegūt šādu informāciju.</w:t>
            </w:r>
          </w:p>
        </w:tc>
        <w:tc>
          <w:tcPr>
            <w:tcW w:w="1134" w:type="dxa"/>
          </w:tcPr>
          <w:p w14:paraId="302B8C51" w14:textId="77777777" w:rsidR="007545BD" w:rsidRPr="00640C62" w:rsidRDefault="007545BD" w:rsidP="00A73208">
            <w:pPr>
              <w:spacing w:before="0" w:after="0"/>
              <w:jc w:val="left"/>
              <w:rPr>
                <w:b/>
                <w:bCs/>
                <w:noProof/>
                <w:sz w:val="20"/>
              </w:rPr>
            </w:pPr>
            <w:r w:rsidRPr="00640C62">
              <w:rPr>
                <w:rFonts w:eastAsia="Times New Roman"/>
                <w:b/>
                <w:bCs/>
                <w:iCs/>
                <w:noProof/>
                <w:sz w:val="20"/>
              </w:rPr>
              <w:t>Jā</w:t>
            </w:r>
          </w:p>
        </w:tc>
        <w:tc>
          <w:tcPr>
            <w:tcW w:w="2410" w:type="dxa"/>
          </w:tcPr>
          <w:p w14:paraId="11B2D200" w14:textId="77777777" w:rsidR="007545BD" w:rsidRPr="00640C62" w:rsidRDefault="007545BD" w:rsidP="00A73208">
            <w:pPr>
              <w:pStyle w:val="ListParagraph"/>
              <w:numPr>
                <w:ilvl w:val="0"/>
                <w:numId w:val="70"/>
              </w:numPr>
              <w:spacing w:after="0" w:line="240" w:lineRule="auto"/>
              <w:ind w:left="313" w:hanging="313"/>
              <w:rPr>
                <w:rFonts w:ascii="Times New Roman" w:eastAsia="Times New Roman" w:hAnsi="Times New Roman" w:cs="Times New Roman"/>
                <w:iCs/>
                <w:noProof/>
                <w:sz w:val="20"/>
                <w:szCs w:val="20"/>
              </w:rPr>
            </w:pPr>
            <w:r w:rsidRPr="00640C62">
              <w:rPr>
                <w:rFonts w:ascii="Times New Roman" w:eastAsia="Times New Roman" w:hAnsi="Times New Roman" w:cs="Times New Roman"/>
                <w:iCs/>
                <w:noProof/>
                <w:sz w:val="20"/>
                <w:szCs w:val="20"/>
              </w:rPr>
              <w:t>MK 28.02.2017. noteikumi Nr. 103 “Publisko iepirkumu paziņojumi un to sagatavošanas kārtība”</w:t>
            </w:r>
          </w:p>
          <w:p w14:paraId="142F03EC" w14:textId="77777777" w:rsidR="007545BD" w:rsidRPr="00640C62" w:rsidRDefault="007545BD" w:rsidP="00A73208">
            <w:pPr>
              <w:pStyle w:val="ListParagraph"/>
              <w:numPr>
                <w:ilvl w:val="0"/>
                <w:numId w:val="70"/>
              </w:numPr>
              <w:spacing w:after="0" w:line="240" w:lineRule="auto"/>
              <w:ind w:left="313" w:hanging="313"/>
              <w:rPr>
                <w:rFonts w:ascii="Times New Roman" w:eastAsia="Times New Roman" w:hAnsi="Times New Roman" w:cs="Times New Roman"/>
                <w:iCs/>
                <w:noProof/>
                <w:sz w:val="20"/>
                <w:szCs w:val="20"/>
              </w:rPr>
            </w:pPr>
            <w:r w:rsidRPr="00640C62">
              <w:rPr>
                <w:rFonts w:ascii="Times New Roman" w:eastAsia="Times New Roman" w:hAnsi="Times New Roman" w:cs="Times New Roman"/>
                <w:iCs/>
                <w:noProof/>
                <w:sz w:val="20"/>
                <w:szCs w:val="20"/>
              </w:rPr>
              <w:t>MK 28.03.2017. noteikumi Nr.182 “Sabiedrisko pakalpojumu sniedzēju iepirkumu paziņojumi un to sagatavošanas kārtība”</w:t>
            </w:r>
          </w:p>
          <w:p w14:paraId="6AB637DE" w14:textId="77777777" w:rsidR="007545BD" w:rsidRPr="00640C62" w:rsidRDefault="007545BD" w:rsidP="00A73208">
            <w:pPr>
              <w:pStyle w:val="ListParagraph"/>
              <w:numPr>
                <w:ilvl w:val="0"/>
                <w:numId w:val="70"/>
              </w:numPr>
              <w:spacing w:after="0" w:line="240" w:lineRule="auto"/>
              <w:ind w:left="313" w:hanging="313"/>
              <w:rPr>
                <w:rFonts w:ascii="Times New Roman" w:eastAsia="Times New Roman" w:hAnsi="Times New Roman" w:cs="Times New Roman"/>
                <w:iCs/>
                <w:noProof/>
                <w:sz w:val="20"/>
                <w:szCs w:val="20"/>
              </w:rPr>
            </w:pPr>
            <w:r w:rsidRPr="00640C62">
              <w:rPr>
                <w:rFonts w:ascii="Times New Roman" w:eastAsia="Times New Roman" w:hAnsi="Times New Roman" w:cs="Times New Roman"/>
                <w:iCs/>
                <w:noProof/>
                <w:sz w:val="20"/>
                <w:szCs w:val="20"/>
              </w:rPr>
              <w:t>MK 28.02.2017. noteikumi Nr.107 “Iepirkumu procedūru un metu konkursu norises kārtība”,</w:t>
            </w:r>
          </w:p>
          <w:p w14:paraId="6B8A3642" w14:textId="77777777" w:rsidR="007545BD" w:rsidRPr="00640C62" w:rsidRDefault="007545BD" w:rsidP="00A73208">
            <w:pPr>
              <w:pStyle w:val="ListParagraph"/>
              <w:numPr>
                <w:ilvl w:val="0"/>
                <w:numId w:val="70"/>
              </w:numPr>
              <w:spacing w:after="0" w:line="240" w:lineRule="auto"/>
              <w:ind w:left="313" w:hanging="313"/>
              <w:rPr>
                <w:rFonts w:ascii="Times New Roman" w:eastAsia="Times New Roman" w:hAnsi="Times New Roman" w:cs="Times New Roman"/>
                <w:iCs/>
                <w:noProof/>
                <w:sz w:val="20"/>
                <w:szCs w:val="20"/>
              </w:rPr>
            </w:pPr>
            <w:r w:rsidRPr="00640C62">
              <w:rPr>
                <w:rFonts w:ascii="Times New Roman" w:eastAsia="Times New Roman" w:hAnsi="Times New Roman" w:cs="Times New Roman"/>
                <w:iCs/>
                <w:noProof/>
                <w:sz w:val="20"/>
                <w:szCs w:val="20"/>
              </w:rPr>
              <w:t>MK 28.03.2017. noteikumi Nr.187 “Sabiedrisko pakalpojumu sniedzēju iepirkuma procedūru un metu konkursu norises kārtība”.</w:t>
            </w:r>
          </w:p>
        </w:tc>
        <w:tc>
          <w:tcPr>
            <w:tcW w:w="3686" w:type="dxa"/>
          </w:tcPr>
          <w:p w14:paraId="3050706C" w14:textId="77777777" w:rsidR="007545BD" w:rsidRPr="00640C62" w:rsidRDefault="007545BD" w:rsidP="00A73208">
            <w:pPr>
              <w:pStyle w:val="ListParagraph"/>
              <w:spacing w:after="0" w:line="240" w:lineRule="auto"/>
              <w:ind w:left="0"/>
              <w:jc w:val="both"/>
              <w:rPr>
                <w:rFonts w:ascii="Times New Roman" w:eastAsia="Times New Roman" w:hAnsi="Times New Roman" w:cs="Times New Roman"/>
                <w:iCs/>
                <w:noProof/>
                <w:sz w:val="20"/>
                <w:szCs w:val="20"/>
              </w:rPr>
            </w:pPr>
            <w:r w:rsidRPr="00640C62">
              <w:rPr>
                <w:rFonts w:ascii="Times New Roman" w:eastAsia="Times New Roman" w:hAnsi="Times New Roman" w:cs="Times New Roman"/>
                <w:iCs/>
                <w:noProof/>
                <w:sz w:val="20"/>
                <w:szCs w:val="20"/>
              </w:rPr>
              <w:t xml:space="preserve">MK noteikumu Nr. 107 un MK noteikumu Nr. 187 noteic iepirkuma procedūras ziņojuma saturā iekļaut informāciju par pretendentu vai pretendentiem, kuriem ir piešķirtas iepirkuma līguma slēgšanas tiesības, un informāciju par piegādātājiem, kuri ir iesnieguši piedāvājumus un to piedāvātās cenas. </w:t>
            </w:r>
          </w:p>
          <w:p w14:paraId="18F5AF30" w14:textId="77777777" w:rsidR="007545BD" w:rsidRPr="00640C62" w:rsidRDefault="007545BD" w:rsidP="00A73208">
            <w:pPr>
              <w:pStyle w:val="ListParagraph"/>
              <w:spacing w:after="0" w:line="240" w:lineRule="auto"/>
              <w:ind w:left="0"/>
              <w:jc w:val="both"/>
              <w:rPr>
                <w:rFonts w:ascii="Times New Roman" w:eastAsia="Times New Roman" w:hAnsi="Times New Roman" w:cs="Times New Roman"/>
                <w:iCs/>
                <w:noProof/>
                <w:sz w:val="20"/>
                <w:szCs w:val="20"/>
              </w:rPr>
            </w:pPr>
            <w:r w:rsidRPr="00640C62">
              <w:rPr>
                <w:rFonts w:ascii="Times New Roman" w:eastAsia="Times New Roman" w:hAnsi="Times New Roman" w:cs="Times New Roman"/>
                <w:iCs/>
                <w:noProof/>
                <w:sz w:val="20"/>
                <w:szCs w:val="20"/>
              </w:rPr>
              <w:t xml:space="preserve">MK noteikumu Nr. 103 </w:t>
            </w:r>
            <w:r w:rsidRPr="00640C62">
              <w:rPr>
                <w:rFonts w:ascii="Times New Roman" w:eastAsia="Times New Roman" w:hAnsi="Times New Roman" w:cs="Times New Roman"/>
                <w:iCs/>
                <w:noProof/>
                <w:sz w:val="20"/>
                <w:szCs w:val="20"/>
              </w:rPr>
              <w:br/>
              <w:t xml:space="preserve">4. pielikums “Paziņojums par līguma slēgšanas tiesību piešķiršanu” un MK noteikumu Nr. 182 10. pielikums “Paziņojums par līguma slēgšanas tiesību piešķiršanu (sabiedriskie pakalpojumi)” paziņojumu saturos ir iestrādāta pozīcija, kurā jānorāda informācija par uzvarējušo pretendentu, līgumcenu, kā arī informācija par iesniegto piedāvājumu skaitu. </w:t>
            </w:r>
          </w:p>
          <w:p w14:paraId="244E70A6" w14:textId="77777777" w:rsidR="007545BD" w:rsidRPr="00640C62" w:rsidRDefault="007545BD" w:rsidP="00A73208">
            <w:pPr>
              <w:spacing w:before="0" w:after="0"/>
              <w:rPr>
                <w:noProof/>
                <w:sz w:val="20"/>
              </w:rPr>
            </w:pPr>
            <w:r w:rsidRPr="00640C62">
              <w:rPr>
                <w:rFonts w:eastAsia="Times New Roman"/>
                <w:iCs/>
                <w:noProof/>
                <w:sz w:val="20"/>
              </w:rPr>
              <w:t>MK noteikumu Nr. 103 un MK noteikumu Nr. 182 paziņojumu saturā ir paredzēts sniegt informāciju par saņemto MVU piedāvājumu skaitu.</w:t>
            </w:r>
          </w:p>
        </w:tc>
      </w:tr>
      <w:tr w:rsidR="007545BD" w:rsidRPr="00C41EB8" w14:paraId="09A2C88C" w14:textId="77777777" w:rsidTr="00A73208">
        <w:tc>
          <w:tcPr>
            <w:tcW w:w="562" w:type="dxa"/>
          </w:tcPr>
          <w:p w14:paraId="06E05636"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6757FF80" w14:textId="77777777" w:rsidR="007545BD" w:rsidRPr="00C41EB8" w:rsidRDefault="007545BD" w:rsidP="00A73208">
            <w:pPr>
              <w:spacing w:before="0" w:after="0"/>
              <w:jc w:val="left"/>
              <w:rPr>
                <w:noProof/>
                <w:sz w:val="20"/>
              </w:rPr>
            </w:pPr>
          </w:p>
        </w:tc>
        <w:tc>
          <w:tcPr>
            <w:tcW w:w="851" w:type="dxa"/>
            <w:vMerge/>
          </w:tcPr>
          <w:p w14:paraId="35F1BFF2" w14:textId="77777777" w:rsidR="007545BD" w:rsidRPr="00C41EB8" w:rsidRDefault="007545BD" w:rsidP="00A73208">
            <w:pPr>
              <w:spacing w:before="0" w:after="0"/>
              <w:jc w:val="left"/>
              <w:rPr>
                <w:rFonts w:eastAsia="Times New Roman"/>
                <w:iCs/>
                <w:noProof/>
                <w:sz w:val="20"/>
              </w:rPr>
            </w:pPr>
          </w:p>
        </w:tc>
        <w:tc>
          <w:tcPr>
            <w:tcW w:w="1134" w:type="dxa"/>
            <w:vMerge/>
          </w:tcPr>
          <w:p w14:paraId="165D76B7" w14:textId="77777777" w:rsidR="007545BD" w:rsidRPr="00C41EB8" w:rsidRDefault="007545BD" w:rsidP="00A73208">
            <w:pPr>
              <w:spacing w:before="0" w:after="0"/>
              <w:jc w:val="left"/>
              <w:rPr>
                <w:rFonts w:eastAsia="Times New Roman"/>
                <w:iCs/>
                <w:noProof/>
                <w:sz w:val="20"/>
              </w:rPr>
            </w:pPr>
          </w:p>
        </w:tc>
        <w:tc>
          <w:tcPr>
            <w:tcW w:w="850" w:type="dxa"/>
            <w:vMerge/>
          </w:tcPr>
          <w:p w14:paraId="1AA00F1E" w14:textId="77777777" w:rsidR="007545BD" w:rsidRPr="00C41EB8" w:rsidRDefault="007545BD" w:rsidP="00A73208">
            <w:pPr>
              <w:spacing w:before="0" w:after="0"/>
              <w:jc w:val="left"/>
              <w:rPr>
                <w:rFonts w:eastAsia="Times New Roman"/>
                <w:b/>
                <w:bCs/>
                <w:iCs/>
                <w:noProof/>
                <w:sz w:val="20"/>
              </w:rPr>
            </w:pPr>
          </w:p>
        </w:tc>
        <w:tc>
          <w:tcPr>
            <w:tcW w:w="2410" w:type="dxa"/>
          </w:tcPr>
          <w:p w14:paraId="0970B410" w14:textId="77777777" w:rsidR="007545BD" w:rsidRPr="00C41EB8" w:rsidRDefault="007545BD" w:rsidP="00A73208">
            <w:pPr>
              <w:spacing w:before="0" w:after="0"/>
              <w:ind w:left="3"/>
              <w:jc w:val="left"/>
              <w:rPr>
                <w:noProof/>
                <w:sz w:val="20"/>
              </w:rPr>
            </w:pPr>
            <w:r w:rsidRPr="00C41EB8">
              <w:rPr>
                <w:noProof/>
                <w:sz w:val="20"/>
              </w:rPr>
              <w:t>3.</w:t>
            </w:r>
            <w:r w:rsidRPr="00C41EB8">
              <w:rPr>
                <w:sz w:val="20"/>
              </w:rPr>
              <w:t xml:space="preserve"> Pasākumi, kas nodrošina </w:t>
            </w:r>
            <w:r w:rsidRPr="00C41EB8">
              <w:rPr>
                <w:noProof/>
                <w:sz w:val="20"/>
              </w:rPr>
              <w:t>kompetento valsts iestāžu veikto datu uzraudzību un analīzi saskaņā ar Direktīvas 2014/24 / ES 83. panta 2. punktu un Direktīvas 2014/25 / ES 99. panta 2. punktu.</w:t>
            </w:r>
          </w:p>
        </w:tc>
        <w:tc>
          <w:tcPr>
            <w:tcW w:w="1134" w:type="dxa"/>
          </w:tcPr>
          <w:p w14:paraId="43B88C33" w14:textId="77777777" w:rsidR="007545BD" w:rsidRPr="00640C62" w:rsidRDefault="007545BD" w:rsidP="00A73208">
            <w:pPr>
              <w:spacing w:before="0" w:after="0"/>
              <w:jc w:val="left"/>
              <w:rPr>
                <w:b/>
                <w:bCs/>
                <w:sz w:val="20"/>
              </w:rPr>
            </w:pPr>
            <w:r w:rsidRPr="00640C62">
              <w:rPr>
                <w:rFonts w:eastAsia="Times New Roman"/>
                <w:b/>
                <w:bCs/>
                <w:iCs/>
                <w:noProof/>
                <w:sz w:val="20"/>
              </w:rPr>
              <w:t>Jā</w:t>
            </w:r>
          </w:p>
        </w:tc>
        <w:tc>
          <w:tcPr>
            <w:tcW w:w="2410" w:type="dxa"/>
          </w:tcPr>
          <w:p w14:paraId="19E757D2" w14:textId="77777777" w:rsidR="007545BD" w:rsidRPr="00640C62" w:rsidRDefault="009A507A" w:rsidP="00A73208">
            <w:pPr>
              <w:pStyle w:val="ListParagraph"/>
              <w:numPr>
                <w:ilvl w:val="0"/>
                <w:numId w:val="73"/>
              </w:numPr>
              <w:spacing w:after="0" w:line="240" w:lineRule="auto"/>
              <w:rPr>
                <w:rFonts w:ascii="Times New Roman" w:hAnsi="Times New Roman" w:cs="Times New Roman"/>
                <w:sz w:val="20"/>
                <w:szCs w:val="20"/>
              </w:rPr>
            </w:pPr>
            <w:hyperlink r:id="rId19" w:history="1">
              <w:r w:rsidR="007545BD" w:rsidRPr="00640C62">
                <w:rPr>
                  <w:rStyle w:val="Hyperlink"/>
                  <w:rFonts w:ascii="Times New Roman" w:eastAsia="Calibri" w:hAnsi="Times New Roman" w:cs="Times New Roman"/>
                  <w:noProof/>
                  <w:sz w:val="20"/>
                  <w:szCs w:val="20"/>
                </w:rPr>
                <w:t>PIL</w:t>
              </w:r>
            </w:hyperlink>
            <w:r w:rsidR="007545BD" w:rsidRPr="00640C62">
              <w:rPr>
                <w:rFonts w:ascii="Times New Roman" w:eastAsia="Calibri" w:hAnsi="Times New Roman" w:cs="Times New Roman"/>
                <w:noProof/>
                <w:sz w:val="20"/>
                <w:szCs w:val="20"/>
              </w:rPr>
              <w:t xml:space="preserve"> (01.03.2017.), </w:t>
            </w:r>
          </w:p>
          <w:p w14:paraId="5B20DE37" w14:textId="77777777" w:rsidR="007545BD" w:rsidRPr="00640C62" w:rsidRDefault="009A507A" w:rsidP="00A73208">
            <w:pPr>
              <w:pStyle w:val="ListParagraph"/>
              <w:numPr>
                <w:ilvl w:val="0"/>
                <w:numId w:val="73"/>
              </w:numPr>
              <w:spacing w:after="0" w:line="240" w:lineRule="auto"/>
              <w:rPr>
                <w:rFonts w:ascii="Times New Roman" w:hAnsi="Times New Roman" w:cs="Times New Roman"/>
                <w:sz w:val="20"/>
                <w:szCs w:val="20"/>
              </w:rPr>
            </w:pPr>
            <w:hyperlink r:id="rId20" w:history="1">
              <w:r w:rsidR="007545BD" w:rsidRPr="00C41EB8">
                <w:rPr>
                  <w:rStyle w:val="Hyperlink"/>
                  <w:rFonts w:ascii="Times New Roman" w:eastAsia="Calibri" w:hAnsi="Times New Roman" w:cs="Times New Roman"/>
                  <w:noProof/>
                  <w:sz w:val="20"/>
                  <w:szCs w:val="20"/>
                </w:rPr>
                <w:t>SPSIL</w:t>
              </w:r>
            </w:hyperlink>
            <w:r w:rsidR="007545BD" w:rsidRPr="00C41EB8">
              <w:rPr>
                <w:rFonts w:ascii="Times New Roman" w:eastAsia="Calibri" w:hAnsi="Times New Roman" w:cs="Times New Roman"/>
                <w:noProof/>
                <w:sz w:val="20"/>
                <w:szCs w:val="20"/>
              </w:rPr>
              <w:t xml:space="preserve"> (01.04.2017.)</w:t>
            </w:r>
          </w:p>
        </w:tc>
        <w:tc>
          <w:tcPr>
            <w:tcW w:w="3686" w:type="dxa"/>
          </w:tcPr>
          <w:p w14:paraId="16F9D666" w14:textId="77777777" w:rsidR="007545BD" w:rsidRPr="00640C62" w:rsidRDefault="007545BD" w:rsidP="00A73208">
            <w:pPr>
              <w:spacing w:before="0" w:after="0"/>
              <w:rPr>
                <w:sz w:val="20"/>
              </w:rPr>
            </w:pPr>
            <w:bookmarkStart w:id="57" w:name="_Hlk66882238"/>
            <w:r w:rsidRPr="00640C62">
              <w:rPr>
                <w:rFonts w:eastAsia="Times New Roman"/>
                <w:iCs/>
                <w:noProof/>
                <w:sz w:val="20"/>
              </w:rPr>
              <w:t>PIL VIII, IX, XIV un SPSIL XI, XII, XVIII nodaļās noteiktas IUB funkcijas attiecībā uz iepirkuma procedūru uzraudzīšanu, iesniegumu izskatīšanu par iepirkuma procedūru pārkāpumiem, kā arī noteikti administratīvie parkāpumi publisko iepirkumu un sabiedrisko pakalpojumu sniedzēju iepirkumu jomā</w:t>
            </w:r>
            <w:r w:rsidRPr="00640C62">
              <w:rPr>
                <w:rFonts w:eastAsia="Times New Roman"/>
                <w:b/>
                <w:bCs/>
                <w:iCs/>
                <w:noProof/>
                <w:sz w:val="20"/>
              </w:rPr>
              <w:t> </w:t>
            </w:r>
            <w:r w:rsidRPr="00640C62">
              <w:rPr>
                <w:rFonts w:eastAsia="Times New Roman"/>
                <w:iCs/>
                <w:noProof/>
                <w:sz w:val="20"/>
              </w:rPr>
              <w:t xml:space="preserve"> un IUB funkcijas un kompetence attiecībā uz administratīvo pārkāpumu lietu izskatīšanu un sodu piemērošanu.</w:t>
            </w:r>
            <w:bookmarkEnd w:id="57"/>
          </w:p>
        </w:tc>
      </w:tr>
      <w:tr w:rsidR="007545BD" w:rsidRPr="00640C62" w14:paraId="746B6FEE" w14:textId="77777777" w:rsidTr="00A73208">
        <w:tc>
          <w:tcPr>
            <w:tcW w:w="562" w:type="dxa"/>
          </w:tcPr>
          <w:p w14:paraId="44F44CE5" w14:textId="77777777" w:rsidR="007545BD" w:rsidRPr="00640C62"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6B36C335" w14:textId="77777777" w:rsidR="007545BD" w:rsidRPr="00640C62" w:rsidRDefault="007545BD" w:rsidP="00A73208">
            <w:pPr>
              <w:spacing w:before="0" w:after="0"/>
              <w:jc w:val="left"/>
              <w:rPr>
                <w:noProof/>
                <w:sz w:val="20"/>
              </w:rPr>
            </w:pPr>
          </w:p>
        </w:tc>
        <w:tc>
          <w:tcPr>
            <w:tcW w:w="851" w:type="dxa"/>
            <w:vMerge/>
          </w:tcPr>
          <w:p w14:paraId="2EEBB62D" w14:textId="77777777" w:rsidR="007545BD" w:rsidRPr="00640C62" w:rsidRDefault="007545BD" w:rsidP="00A73208">
            <w:pPr>
              <w:spacing w:before="0" w:after="0"/>
              <w:jc w:val="left"/>
              <w:rPr>
                <w:rFonts w:eastAsia="Times New Roman"/>
                <w:iCs/>
                <w:noProof/>
                <w:sz w:val="20"/>
              </w:rPr>
            </w:pPr>
          </w:p>
        </w:tc>
        <w:tc>
          <w:tcPr>
            <w:tcW w:w="1134" w:type="dxa"/>
            <w:vMerge/>
          </w:tcPr>
          <w:p w14:paraId="23B8A1CF" w14:textId="77777777" w:rsidR="007545BD" w:rsidRPr="00640C62" w:rsidRDefault="007545BD" w:rsidP="00A73208">
            <w:pPr>
              <w:spacing w:before="0" w:after="0"/>
              <w:jc w:val="left"/>
              <w:rPr>
                <w:rFonts w:eastAsia="Times New Roman"/>
                <w:iCs/>
                <w:noProof/>
                <w:sz w:val="20"/>
              </w:rPr>
            </w:pPr>
          </w:p>
        </w:tc>
        <w:tc>
          <w:tcPr>
            <w:tcW w:w="850" w:type="dxa"/>
            <w:vMerge/>
          </w:tcPr>
          <w:p w14:paraId="7D244448" w14:textId="77777777" w:rsidR="007545BD" w:rsidRPr="00640C62" w:rsidRDefault="007545BD" w:rsidP="00A73208">
            <w:pPr>
              <w:spacing w:before="0" w:after="0"/>
              <w:jc w:val="left"/>
              <w:rPr>
                <w:rFonts w:eastAsia="Times New Roman"/>
                <w:b/>
                <w:bCs/>
                <w:iCs/>
                <w:noProof/>
                <w:sz w:val="20"/>
              </w:rPr>
            </w:pPr>
          </w:p>
        </w:tc>
        <w:tc>
          <w:tcPr>
            <w:tcW w:w="2410" w:type="dxa"/>
          </w:tcPr>
          <w:p w14:paraId="735C864C" w14:textId="77777777" w:rsidR="007545BD" w:rsidRPr="00640C62" w:rsidRDefault="007545BD" w:rsidP="00A73208">
            <w:pPr>
              <w:spacing w:before="0" w:after="0"/>
              <w:ind w:left="3"/>
              <w:jc w:val="left"/>
              <w:rPr>
                <w:noProof/>
                <w:sz w:val="20"/>
              </w:rPr>
            </w:pPr>
            <w:r w:rsidRPr="00640C62">
              <w:rPr>
                <w:noProof/>
                <w:sz w:val="20"/>
              </w:rPr>
              <w:t>4.</w:t>
            </w:r>
            <w:r w:rsidRPr="00640C62">
              <w:rPr>
                <w:sz w:val="20"/>
              </w:rPr>
              <w:t xml:space="preserve"> </w:t>
            </w:r>
            <w:r w:rsidRPr="00640C62">
              <w:rPr>
                <w:noProof/>
                <w:sz w:val="20"/>
              </w:rPr>
              <w:t>Veiktie pasākumi, lai analīzes rezultātus padarītu pieejamus sabiedrībai saskaņā ar Direktīvas 2003/83 / EK 83. Panta 3. Punktu</w:t>
            </w:r>
          </w:p>
          <w:p w14:paraId="3F991376" w14:textId="77777777" w:rsidR="007545BD" w:rsidRPr="00640C62" w:rsidRDefault="007545BD" w:rsidP="00A73208">
            <w:pPr>
              <w:spacing w:before="0" w:after="0"/>
              <w:ind w:left="3"/>
              <w:jc w:val="left"/>
              <w:rPr>
                <w:noProof/>
                <w:sz w:val="20"/>
              </w:rPr>
            </w:pPr>
            <w:r w:rsidRPr="00640C62">
              <w:rPr>
                <w:noProof/>
                <w:sz w:val="20"/>
              </w:rPr>
              <w:t>6180/21 ADD 1 AFG / MP / sh 37</w:t>
            </w:r>
          </w:p>
          <w:p w14:paraId="6E8C6776" w14:textId="77777777" w:rsidR="007545BD" w:rsidRPr="00640C62" w:rsidRDefault="007545BD" w:rsidP="00A73208">
            <w:pPr>
              <w:spacing w:before="0" w:after="0"/>
              <w:ind w:left="3"/>
              <w:jc w:val="left"/>
              <w:rPr>
                <w:noProof/>
                <w:sz w:val="20"/>
              </w:rPr>
            </w:pPr>
            <w:r w:rsidRPr="00640C62">
              <w:rPr>
                <w:noProof/>
                <w:sz w:val="20"/>
              </w:rPr>
              <w:t>PIELIKUMS ECOMP.2 LV</w:t>
            </w:r>
          </w:p>
          <w:p w14:paraId="1B6A12A7" w14:textId="77777777" w:rsidR="007545BD" w:rsidRPr="00640C62" w:rsidRDefault="007545BD" w:rsidP="00A73208">
            <w:pPr>
              <w:spacing w:before="0" w:after="0"/>
              <w:ind w:left="3"/>
              <w:jc w:val="left"/>
              <w:rPr>
                <w:noProof/>
                <w:sz w:val="20"/>
              </w:rPr>
            </w:pPr>
            <w:r w:rsidRPr="00640C62">
              <w:rPr>
                <w:noProof/>
                <w:sz w:val="20"/>
              </w:rPr>
              <w:t>2014/24 / ES un Direktīvas 2014/25 / ES 99. panta 3. punktu.</w:t>
            </w:r>
          </w:p>
        </w:tc>
        <w:tc>
          <w:tcPr>
            <w:tcW w:w="1134" w:type="dxa"/>
          </w:tcPr>
          <w:p w14:paraId="4F5A6303" w14:textId="77777777" w:rsidR="007545BD" w:rsidRPr="00640C62" w:rsidRDefault="007545BD" w:rsidP="00A73208">
            <w:pPr>
              <w:spacing w:before="0" w:after="0"/>
              <w:jc w:val="left"/>
              <w:rPr>
                <w:b/>
                <w:bCs/>
                <w:sz w:val="20"/>
              </w:rPr>
            </w:pPr>
            <w:r w:rsidRPr="00640C62">
              <w:rPr>
                <w:rFonts w:eastAsia="Times New Roman"/>
                <w:b/>
                <w:bCs/>
                <w:iCs/>
                <w:noProof/>
                <w:sz w:val="20"/>
              </w:rPr>
              <w:t>Jā</w:t>
            </w:r>
          </w:p>
        </w:tc>
        <w:tc>
          <w:tcPr>
            <w:tcW w:w="2410" w:type="dxa"/>
          </w:tcPr>
          <w:p w14:paraId="59955BD4" w14:textId="77777777" w:rsidR="007545BD" w:rsidRPr="00640C62" w:rsidRDefault="009A507A" w:rsidP="00A73208">
            <w:pPr>
              <w:pStyle w:val="ListParagraph"/>
              <w:numPr>
                <w:ilvl w:val="0"/>
                <w:numId w:val="74"/>
              </w:numPr>
              <w:spacing w:after="0" w:line="240" w:lineRule="auto"/>
              <w:rPr>
                <w:rFonts w:ascii="Times New Roman" w:hAnsi="Times New Roman" w:cs="Times New Roman"/>
                <w:sz w:val="20"/>
                <w:szCs w:val="20"/>
              </w:rPr>
            </w:pPr>
            <w:hyperlink r:id="rId21" w:history="1">
              <w:r w:rsidR="007545BD" w:rsidRPr="00640C62">
                <w:rPr>
                  <w:rStyle w:val="Hyperlink"/>
                  <w:rFonts w:ascii="Times New Roman" w:eastAsia="Calibri" w:hAnsi="Times New Roman" w:cs="Times New Roman"/>
                  <w:noProof/>
                  <w:sz w:val="20"/>
                  <w:szCs w:val="20"/>
                </w:rPr>
                <w:t>PIL</w:t>
              </w:r>
            </w:hyperlink>
            <w:r w:rsidR="007545BD" w:rsidRPr="00640C62">
              <w:rPr>
                <w:rFonts w:ascii="Times New Roman" w:eastAsia="Calibri" w:hAnsi="Times New Roman" w:cs="Times New Roman"/>
                <w:noProof/>
                <w:sz w:val="20"/>
                <w:szCs w:val="20"/>
              </w:rPr>
              <w:t xml:space="preserve"> (01.03.2017.),</w:t>
            </w:r>
          </w:p>
          <w:p w14:paraId="51F0C9E1" w14:textId="77777777" w:rsidR="007545BD" w:rsidRPr="00640C62" w:rsidRDefault="009A507A" w:rsidP="00A73208">
            <w:pPr>
              <w:pStyle w:val="ListParagraph"/>
              <w:numPr>
                <w:ilvl w:val="0"/>
                <w:numId w:val="74"/>
              </w:numPr>
              <w:spacing w:after="0" w:line="240" w:lineRule="auto"/>
              <w:rPr>
                <w:rFonts w:ascii="Times New Roman" w:hAnsi="Times New Roman" w:cs="Times New Roman"/>
                <w:sz w:val="20"/>
                <w:szCs w:val="20"/>
              </w:rPr>
            </w:pPr>
            <w:hyperlink r:id="rId22" w:history="1">
              <w:r w:rsidR="007545BD" w:rsidRPr="00640C62">
                <w:rPr>
                  <w:rStyle w:val="Hyperlink"/>
                  <w:rFonts w:ascii="Times New Roman" w:eastAsia="Calibri" w:hAnsi="Times New Roman" w:cs="Times New Roman"/>
                  <w:noProof/>
                  <w:sz w:val="20"/>
                  <w:szCs w:val="20"/>
                </w:rPr>
                <w:t>SPSIL</w:t>
              </w:r>
            </w:hyperlink>
            <w:r w:rsidR="007545BD" w:rsidRPr="00640C62">
              <w:rPr>
                <w:rFonts w:ascii="Times New Roman" w:eastAsia="Calibri" w:hAnsi="Times New Roman" w:cs="Times New Roman"/>
                <w:noProof/>
                <w:sz w:val="20"/>
                <w:szCs w:val="20"/>
              </w:rPr>
              <w:t xml:space="preserve"> (01.04.2017.)</w:t>
            </w:r>
          </w:p>
        </w:tc>
        <w:tc>
          <w:tcPr>
            <w:tcW w:w="3686" w:type="dxa"/>
          </w:tcPr>
          <w:p w14:paraId="1D7D8BDD" w14:textId="77777777" w:rsidR="007545BD" w:rsidRPr="00640C62" w:rsidRDefault="007545BD" w:rsidP="00A73208">
            <w:pPr>
              <w:spacing w:before="0" w:after="0"/>
              <w:rPr>
                <w:sz w:val="20"/>
              </w:rPr>
            </w:pPr>
            <w:r w:rsidRPr="00640C62">
              <w:rPr>
                <w:rFonts w:eastAsia="Times New Roman"/>
                <w:iCs/>
                <w:noProof/>
                <w:sz w:val="20"/>
              </w:rPr>
              <w:t>PIL 66. panta pirmās daļas 2. punkta noteiktās funkcijas ietvaros IUB atbilstoši PIL 68. panta sestajai daļai</w:t>
            </w:r>
            <w:r w:rsidRPr="00640C62">
              <w:rPr>
                <w:sz w:val="20"/>
              </w:rPr>
              <w:t xml:space="preserve"> </w:t>
            </w:r>
            <w:r w:rsidRPr="00640C62">
              <w:rPr>
                <w:rFonts w:eastAsia="Times New Roman"/>
                <w:iCs/>
                <w:noProof/>
                <w:sz w:val="20"/>
              </w:rPr>
              <w:t>vienas darbdienas laikā pēc tam, kad saņemts iesniegums par iepirkuma procedūras pārkāpumiem, ievieto ziņas par to savā tīmekļvietnē, norādot iesnieguma iesniedzēju, pasūtītāju un iepirkuma procedūru, kuras likumību apstrīd iesnieguma iesniedzējs, un atbilstoši PIL 71.panta septītajai daļai ievieto pieņemto lēmumu IUB tīmekļvietnē, tādējādi gan sākotnējo informāciju, gan rezultātus padarot pieejamus ikvienam. Analoģisks regulējums iekļauts arī SPSIL 72. panta sestajā daļā un SPSIL 75. panta septītajā daļā. IUB kopsavilkuma veidā sniedz informāciju iekļaušanai pārraudzības ziņojumā.</w:t>
            </w:r>
          </w:p>
        </w:tc>
      </w:tr>
      <w:tr w:rsidR="007545BD" w:rsidRPr="00640C62" w14:paraId="05922649" w14:textId="77777777" w:rsidTr="00A73208">
        <w:tc>
          <w:tcPr>
            <w:tcW w:w="562" w:type="dxa"/>
          </w:tcPr>
          <w:p w14:paraId="58B1E4B6" w14:textId="77777777" w:rsidR="007545BD" w:rsidRPr="00640C62"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3B9FFFA5" w14:textId="77777777" w:rsidR="007545BD" w:rsidRPr="00640C62" w:rsidRDefault="007545BD" w:rsidP="00A73208">
            <w:pPr>
              <w:spacing w:before="0" w:after="0"/>
              <w:jc w:val="left"/>
              <w:rPr>
                <w:noProof/>
                <w:sz w:val="20"/>
              </w:rPr>
            </w:pPr>
          </w:p>
        </w:tc>
        <w:tc>
          <w:tcPr>
            <w:tcW w:w="851" w:type="dxa"/>
            <w:vMerge/>
          </w:tcPr>
          <w:p w14:paraId="041F3B81" w14:textId="77777777" w:rsidR="007545BD" w:rsidRPr="00640C62" w:rsidRDefault="007545BD" w:rsidP="00A73208">
            <w:pPr>
              <w:spacing w:before="0" w:after="0"/>
              <w:jc w:val="left"/>
              <w:rPr>
                <w:rFonts w:eastAsia="Times New Roman"/>
                <w:iCs/>
                <w:noProof/>
                <w:sz w:val="20"/>
              </w:rPr>
            </w:pPr>
          </w:p>
        </w:tc>
        <w:tc>
          <w:tcPr>
            <w:tcW w:w="1134" w:type="dxa"/>
            <w:vMerge/>
          </w:tcPr>
          <w:p w14:paraId="3D3A802E" w14:textId="77777777" w:rsidR="007545BD" w:rsidRPr="00640C62" w:rsidRDefault="007545BD" w:rsidP="00A73208">
            <w:pPr>
              <w:spacing w:before="0" w:after="0"/>
              <w:jc w:val="left"/>
              <w:rPr>
                <w:rFonts w:eastAsia="Times New Roman"/>
                <w:iCs/>
                <w:noProof/>
                <w:sz w:val="20"/>
              </w:rPr>
            </w:pPr>
          </w:p>
        </w:tc>
        <w:tc>
          <w:tcPr>
            <w:tcW w:w="850" w:type="dxa"/>
            <w:vMerge/>
          </w:tcPr>
          <w:p w14:paraId="08544705" w14:textId="77777777" w:rsidR="007545BD" w:rsidRPr="00640C62" w:rsidRDefault="007545BD" w:rsidP="00A73208">
            <w:pPr>
              <w:spacing w:before="0" w:after="0"/>
              <w:jc w:val="left"/>
              <w:rPr>
                <w:rFonts w:eastAsia="Times New Roman"/>
                <w:b/>
                <w:bCs/>
                <w:iCs/>
                <w:noProof/>
                <w:sz w:val="20"/>
              </w:rPr>
            </w:pPr>
          </w:p>
        </w:tc>
        <w:tc>
          <w:tcPr>
            <w:tcW w:w="2410" w:type="dxa"/>
          </w:tcPr>
          <w:p w14:paraId="24354A48" w14:textId="77777777" w:rsidR="007545BD" w:rsidRPr="00640C62" w:rsidRDefault="007545BD" w:rsidP="00A73208">
            <w:pPr>
              <w:spacing w:before="0" w:after="0"/>
              <w:ind w:left="3"/>
              <w:jc w:val="left"/>
              <w:rPr>
                <w:noProof/>
                <w:sz w:val="20"/>
              </w:rPr>
            </w:pPr>
            <w:r w:rsidRPr="00640C62">
              <w:rPr>
                <w:noProof/>
                <w:sz w:val="20"/>
              </w:rPr>
              <w:t>5.</w:t>
            </w:r>
            <w:r w:rsidRPr="00640C62">
              <w:rPr>
                <w:sz w:val="20"/>
              </w:rPr>
              <w:t xml:space="preserve"> </w:t>
            </w:r>
            <w:r w:rsidRPr="00640C62">
              <w:rPr>
                <w:noProof/>
                <w:sz w:val="20"/>
              </w:rPr>
              <w:t>Pasākumi, lai nodrošinātu, ka visa informācija, kas norāda uz iespējamām cenu noteikšanas situācijām, tiek paziņota kompetentajām valsts iestādēm saskaņā ar Direktīvas 2014/24/ES 83. panta 2. punktu un Direktīvas 2014/25/ES 99. panta 2. punktu.</w:t>
            </w:r>
          </w:p>
        </w:tc>
        <w:tc>
          <w:tcPr>
            <w:tcW w:w="1134" w:type="dxa"/>
          </w:tcPr>
          <w:p w14:paraId="2B6F803A" w14:textId="77777777" w:rsidR="007545BD" w:rsidRPr="00640C62" w:rsidRDefault="007545BD" w:rsidP="00A73208">
            <w:pPr>
              <w:spacing w:before="0" w:after="0"/>
              <w:jc w:val="left"/>
              <w:rPr>
                <w:b/>
                <w:bCs/>
                <w:sz w:val="20"/>
              </w:rPr>
            </w:pPr>
            <w:r w:rsidRPr="00640C62">
              <w:rPr>
                <w:rFonts w:eastAsia="Times New Roman"/>
                <w:b/>
                <w:bCs/>
                <w:iCs/>
                <w:noProof/>
                <w:sz w:val="20"/>
              </w:rPr>
              <w:t>Jā</w:t>
            </w:r>
          </w:p>
        </w:tc>
        <w:tc>
          <w:tcPr>
            <w:tcW w:w="2410" w:type="dxa"/>
          </w:tcPr>
          <w:p w14:paraId="6F970344" w14:textId="77777777" w:rsidR="007545BD" w:rsidRPr="00640C62" w:rsidRDefault="007545BD" w:rsidP="00A73208">
            <w:pPr>
              <w:pStyle w:val="ListParagraph"/>
              <w:numPr>
                <w:ilvl w:val="0"/>
                <w:numId w:val="71"/>
              </w:numPr>
              <w:spacing w:after="0" w:line="240" w:lineRule="auto"/>
              <w:ind w:left="313" w:hanging="283"/>
              <w:rPr>
                <w:rFonts w:ascii="Times New Roman" w:hAnsi="Times New Roman" w:cs="Times New Roman"/>
                <w:sz w:val="20"/>
                <w:szCs w:val="20"/>
              </w:rPr>
            </w:pPr>
            <w:r w:rsidRPr="00640C62">
              <w:rPr>
                <w:rFonts w:ascii="Times New Roman" w:hAnsi="Times New Roman" w:cs="Times New Roman"/>
                <w:sz w:val="20"/>
                <w:szCs w:val="20"/>
              </w:rPr>
              <w:t>PIL (01.03.2017.),</w:t>
            </w:r>
          </w:p>
          <w:p w14:paraId="0F652B83" w14:textId="77777777" w:rsidR="007545BD" w:rsidRPr="00640C62" w:rsidRDefault="007545BD" w:rsidP="00A73208">
            <w:pPr>
              <w:spacing w:before="0" w:after="0"/>
              <w:ind w:left="313" w:hanging="283"/>
              <w:jc w:val="left"/>
              <w:rPr>
                <w:sz w:val="20"/>
              </w:rPr>
            </w:pPr>
            <w:r w:rsidRPr="00640C62">
              <w:rPr>
                <w:sz w:val="20"/>
              </w:rPr>
              <w:t>2)</w:t>
            </w:r>
            <w:r w:rsidRPr="00640C62">
              <w:rPr>
                <w:sz w:val="20"/>
              </w:rPr>
              <w:tab/>
              <w:t>SPSIL (01.04.2017.)</w:t>
            </w:r>
          </w:p>
          <w:p w14:paraId="3742F1F8" w14:textId="77777777" w:rsidR="007545BD" w:rsidRPr="00640C62" w:rsidRDefault="007545BD" w:rsidP="00A73208">
            <w:pPr>
              <w:spacing w:before="0" w:after="0"/>
              <w:ind w:left="313" w:hanging="283"/>
              <w:jc w:val="left"/>
              <w:rPr>
                <w:sz w:val="20"/>
              </w:rPr>
            </w:pPr>
          </w:p>
        </w:tc>
        <w:tc>
          <w:tcPr>
            <w:tcW w:w="3686" w:type="dxa"/>
          </w:tcPr>
          <w:p w14:paraId="1E498579" w14:textId="77777777" w:rsidR="007545BD" w:rsidRPr="00640C62" w:rsidRDefault="007545BD" w:rsidP="00A73208">
            <w:pPr>
              <w:spacing w:before="0" w:after="0"/>
              <w:rPr>
                <w:sz w:val="20"/>
              </w:rPr>
            </w:pPr>
            <w:r w:rsidRPr="00640C62">
              <w:rPr>
                <w:iCs/>
                <w:sz w:val="20"/>
              </w:rPr>
              <w:t>PIL VIII, IX, XIV un SPSIL XI, XII, XVIII nodaļās paredzētas IUB funkcijas attiecībā uz iepirkuma procedūru uzraudzīšanu, iesniegumu izskatīšanu par iepirkuma procedūru pārkāpumiem, kā arī noteikti administratīvie parkāpumi publisko iepirkumu un sabiedrisko pakalpojumu sniedzēju iepirkumu jomā</w:t>
            </w:r>
            <w:r w:rsidRPr="00640C62">
              <w:rPr>
                <w:b/>
                <w:bCs/>
                <w:iCs/>
                <w:sz w:val="20"/>
              </w:rPr>
              <w:t> </w:t>
            </w:r>
            <w:r w:rsidRPr="00640C62">
              <w:rPr>
                <w:iCs/>
                <w:sz w:val="20"/>
              </w:rPr>
              <w:t xml:space="preserve"> un IUB funkcijas un kompetence attiecībā uz administratīvo pārkāpumu lietu izskatīšanu un sodu piemērošanu.</w:t>
            </w:r>
          </w:p>
        </w:tc>
      </w:tr>
      <w:tr w:rsidR="007545BD" w:rsidRPr="00C41EB8" w14:paraId="6C5D4858" w14:textId="77777777" w:rsidTr="00A73208">
        <w:trPr>
          <w:trHeight w:val="470"/>
        </w:trPr>
        <w:tc>
          <w:tcPr>
            <w:tcW w:w="562" w:type="dxa"/>
            <w:shd w:val="clear" w:color="auto" w:fill="D9D9D9" w:themeFill="background1" w:themeFillShade="D9"/>
          </w:tcPr>
          <w:p w14:paraId="52D38241"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val="restart"/>
            <w:shd w:val="clear" w:color="auto" w:fill="D9D9D9" w:themeFill="background1" w:themeFillShade="D9"/>
          </w:tcPr>
          <w:p w14:paraId="1738D93F" w14:textId="77777777" w:rsidR="007545BD" w:rsidRPr="00C41EB8" w:rsidRDefault="007545BD" w:rsidP="00A73208">
            <w:pPr>
              <w:spacing w:before="0" w:after="0"/>
              <w:jc w:val="left"/>
              <w:rPr>
                <w:noProof/>
                <w:sz w:val="20"/>
              </w:rPr>
            </w:pPr>
            <w:r w:rsidRPr="00C41EB8">
              <w:rPr>
                <w:noProof/>
                <w:sz w:val="20"/>
              </w:rPr>
              <w:t xml:space="preserve">Horizontālais ieguldījumu priekšnosacījums Nr.2 - </w:t>
            </w:r>
            <w:r w:rsidRPr="00C41EB8">
              <w:rPr>
                <w:b/>
                <w:noProof/>
                <w:sz w:val="20"/>
              </w:rPr>
              <w:t>Rīki un instrumenti valsts atbalsta noteikumu efektīvai piemērošanai</w:t>
            </w:r>
          </w:p>
        </w:tc>
        <w:tc>
          <w:tcPr>
            <w:tcW w:w="851" w:type="dxa"/>
            <w:vMerge w:val="restart"/>
            <w:shd w:val="clear" w:color="auto" w:fill="D9D9D9" w:themeFill="background1" w:themeFillShade="D9"/>
          </w:tcPr>
          <w:p w14:paraId="7AF3135C"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ERAF, ESF+, KF</w:t>
            </w:r>
          </w:p>
        </w:tc>
        <w:tc>
          <w:tcPr>
            <w:tcW w:w="1134" w:type="dxa"/>
            <w:vMerge w:val="restart"/>
            <w:shd w:val="clear" w:color="auto" w:fill="D9D9D9" w:themeFill="background1" w:themeFillShade="D9"/>
          </w:tcPr>
          <w:p w14:paraId="5A3AA994"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Visi</w:t>
            </w:r>
          </w:p>
        </w:tc>
        <w:tc>
          <w:tcPr>
            <w:tcW w:w="850" w:type="dxa"/>
            <w:vMerge w:val="restart"/>
            <w:shd w:val="clear" w:color="auto" w:fill="D9D9D9" w:themeFill="background1" w:themeFillShade="D9"/>
          </w:tcPr>
          <w:p w14:paraId="17888808" w14:textId="77777777" w:rsidR="007545BD" w:rsidRPr="00C41EB8" w:rsidRDefault="007545BD" w:rsidP="00A73208">
            <w:pPr>
              <w:spacing w:before="0" w:after="0"/>
              <w:jc w:val="left"/>
              <w:rPr>
                <w:rFonts w:eastAsia="Times New Roman"/>
                <w:b/>
                <w:bCs/>
                <w:iCs/>
                <w:noProof/>
                <w:sz w:val="20"/>
              </w:rPr>
            </w:pPr>
            <w:r w:rsidRPr="00C41EB8">
              <w:rPr>
                <w:rFonts w:eastAsia="Times New Roman"/>
                <w:b/>
                <w:bCs/>
                <w:iCs/>
                <w:noProof/>
                <w:sz w:val="20"/>
              </w:rPr>
              <w:t>Jā</w:t>
            </w:r>
          </w:p>
        </w:tc>
        <w:tc>
          <w:tcPr>
            <w:tcW w:w="2410" w:type="dxa"/>
            <w:shd w:val="clear" w:color="auto" w:fill="D9D9D9" w:themeFill="background1" w:themeFillShade="D9"/>
          </w:tcPr>
          <w:p w14:paraId="6BD758A5" w14:textId="77777777" w:rsidR="007545BD" w:rsidRPr="00C41EB8" w:rsidRDefault="007545BD" w:rsidP="00A73208">
            <w:pPr>
              <w:spacing w:before="0" w:after="0"/>
              <w:jc w:val="left"/>
              <w:rPr>
                <w:noProof/>
                <w:sz w:val="20"/>
              </w:rPr>
            </w:pPr>
            <w:r w:rsidRPr="00C41EB8">
              <w:rPr>
                <w:noProof/>
                <w:sz w:val="20"/>
              </w:rPr>
              <w:t>Vadošajai iestādei ir mehānismi un spējas, lai pārliecinātos par valsts atbalsta noteikumu ievērošanu, izmantojot:</w:t>
            </w:r>
          </w:p>
          <w:p w14:paraId="3F70A58E" w14:textId="77777777" w:rsidR="007545BD" w:rsidRPr="00C41EB8" w:rsidRDefault="007545BD" w:rsidP="00A73208">
            <w:pPr>
              <w:spacing w:before="0" w:after="0"/>
              <w:ind w:left="360" w:hanging="360"/>
              <w:jc w:val="left"/>
              <w:rPr>
                <w:noProof/>
                <w:sz w:val="20"/>
              </w:rPr>
            </w:pPr>
            <w:r w:rsidRPr="00C41EB8">
              <w:rPr>
                <w:noProof/>
                <w:sz w:val="20"/>
              </w:rPr>
              <w:t>1.</w:t>
            </w:r>
            <w:r w:rsidRPr="00C41EB8">
              <w:rPr>
                <w:noProof/>
                <w:sz w:val="20"/>
              </w:rPr>
              <w:tab/>
              <w:t>informāciju par uzņēmumiem, kuri nonākuši grūtībās un pret kuriem piemēro atgūšanas prasības.</w:t>
            </w:r>
          </w:p>
          <w:p w14:paraId="5F8C1CEA" w14:textId="77777777" w:rsidR="007545BD" w:rsidRPr="00C41EB8" w:rsidRDefault="007545BD" w:rsidP="00A73208">
            <w:pPr>
              <w:spacing w:before="0" w:after="0"/>
              <w:ind w:left="360" w:hanging="360"/>
              <w:jc w:val="left"/>
              <w:rPr>
                <w:noProof/>
                <w:sz w:val="20"/>
              </w:rPr>
            </w:pPr>
          </w:p>
        </w:tc>
        <w:tc>
          <w:tcPr>
            <w:tcW w:w="1134" w:type="dxa"/>
            <w:shd w:val="clear" w:color="auto" w:fill="D9D9D9" w:themeFill="background1" w:themeFillShade="D9"/>
          </w:tcPr>
          <w:p w14:paraId="1D3E1F2B" w14:textId="77777777" w:rsidR="007545BD" w:rsidRPr="00C41EB8" w:rsidRDefault="007545BD" w:rsidP="00A73208">
            <w:pPr>
              <w:spacing w:before="0" w:after="0"/>
              <w:jc w:val="left"/>
              <w:rPr>
                <w:b/>
                <w:bCs/>
                <w:noProof/>
                <w:sz w:val="20"/>
              </w:rPr>
            </w:pPr>
            <w:r w:rsidRPr="00C41EB8">
              <w:rPr>
                <w:b/>
                <w:bCs/>
                <w:noProof/>
                <w:sz w:val="20"/>
              </w:rPr>
              <w:t>Jā</w:t>
            </w:r>
          </w:p>
        </w:tc>
        <w:tc>
          <w:tcPr>
            <w:tcW w:w="2410" w:type="dxa"/>
            <w:shd w:val="clear" w:color="auto" w:fill="D9D9D9" w:themeFill="background1" w:themeFillShade="D9"/>
          </w:tcPr>
          <w:p w14:paraId="733E6625" w14:textId="77777777" w:rsidR="007545BD" w:rsidRPr="00C41EB8" w:rsidRDefault="007545BD" w:rsidP="00A73208">
            <w:pPr>
              <w:pStyle w:val="ListParagraph"/>
              <w:numPr>
                <w:ilvl w:val="0"/>
                <w:numId w:val="36"/>
              </w:numPr>
              <w:spacing w:after="0" w:line="240" w:lineRule="auto"/>
              <w:rPr>
                <w:rFonts w:ascii="Times New Roman" w:hAnsi="Times New Roman" w:cs="Times New Roman"/>
                <w:noProof/>
                <w:sz w:val="20"/>
                <w:szCs w:val="20"/>
              </w:rPr>
            </w:pPr>
            <w:r w:rsidRPr="00C41EB8">
              <w:rPr>
                <w:rFonts w:ascii="Times New Roman" w:hAnsi="Times New Roman" w:cs="Times New Roman"/>
                <w:noProof/>
                <w:sz w:val="20"/>
                <w:szCs w:val="20"/>
              </w:rPr>
              <w:t>Attiecīgās atbalsta programmas vai individuālo atbalstu projekti (MK noteikumi, nolikums),</w:t>
            </w:r>
          </w:p>
          <w:p w14:paraId="3BE19C1E" w14:textId="77777777" w:rsidR="007545BD" w:rsidRPr="00C41EB8" w:rsidRDefault="007545BD" w:rsidP="00A73208">
            <w:pPr>
              <w:pStyle w:val="ListParagraph"/>
              <w:numPr>
                <w:ilvl w:val="0"/>
                <w:numId w:val="36"/>
              </w:numPr>
              <w:spacing w:after="0" w:line="240" w:lineRule="auto"/>
              <w:rPr>
                <w:rFonts w:ascii="Times New Roman" w:hAnsi="Times New Roman" w:cs="Times New Roman"/>
                <w:noProof/>
                <w:sz w:val="20"/>
                <w:szCs w:val="20"/>
              </w:rPr>
            </w:pPr>
            <w:r w:rsidRPr="00C41EB8">
              <w:rPr>
                <w:rFonts w:ascii="Times New Roman" w:hAnsi="Times New Roman" w:cs="Times New Roman"/>
                <w:noProof/>
                <w:sz w:val="20"/>
                <w:szCs w:val="20"/>
              </w:rPr>
              <w:t>FM reglaments,</w:t>
            </w:r>
          </w:p>
          <w:p w14:paraId="592EFC58" w14:textId="77777777" w:rsidR="007545BD" w:rsidRPr="00C41EB8" w:rsidRDefault="007545BD" w:rsidP="00A73208">
            <w:pPr>
              <w:pStyle w:val="ListParagraph"/>
              <w:numPr>
                <w:ilvl w:val="0"/>
                <w:numId w:val="36"/>
              </w:numPr>
              <w:spacing w:after="0" w:line="240" w:lineRule="auto"/>
              <w:rPr>
                <w:rFonts w:ascii="Times New Roman" w:hAnsi="Times New Roman" w:cs="Times New Roman"/>
                <w:noProof/>
                <w:sz w:val="20"/>
                <w:szCs w:val="20"/>
              </w:rPr>
            </w:pPr>
            <w:r w:rsidRPr="00C41EB8">
              <w:rPr>
                <w:rFonts w:ascii="Times New Roman" w:hAnsi="Times New Roman" w:cs="Times New Roman"/>
                <w:noProof/>
                <w:sz w:val="20"/>
                <w:szCs w:val="20"/>
              </w:rPr>
              <w:t xml:space="preserve">MK 29.04.2003. noteikumi Nr.239 “Finanšu ministrijas nolikums” </w:t>
            </w:r>
          </w:p>
          <w:p w14:paraId="7A93A6D0" w14:textId="77777777" w:rsidR="007545BD" w:rsidRPr="00C41EB8" w:rsidRDefault="007545BD" w:rsidP="00A73208">
            <w:pPr>
              <w:pStyle w:val="ListParagraph"/>
              <w:numPr>
                <w:ilvl w:val="0"/>
                <w:numId w:val="36"/>
              </w:numPr>
              <w:spacing w:after="0" w:line="240" w:lineRule="auto"/>
              <w:rPr>
                <w:rFonts w:ascii="Times New Roman" w:hAnsi="Times New Roman" w:cs="Times New Roman"/>
                <w:noProof/>
                <w:sz w:val="20"/>
                <w:szCs w:val="20"/>
              </w:rPr>
            </w:pPr>
            <w:r w:rsidRPr="00C41EB8">
              <w:rPr>
                <w:rFonts w:ascii="Times New Roman" w:hAnsi="Times New Roman" w:cs="Times New Roman"/>
                <w:noProof/>
                <w:sz w:val="20"/>
                <w:szCs w:val="20"/>
              </w:rPr>
              <w:t xml:space="preserve">Informācija par saimnieciskās darbības veicējiem, uz kuriem attiecas (neizpildīts) līdzekļu atgūšanas lēmums: (publicēta FM tīmekļvietnē). </w:t>
            </w:r>
          </w:p>
        </w:tc>
        <w:tc>
          <w:tcPr>
            <w:tcW w:w="3686" w:type="dxa"/>
            <w:shd w:val="clear" w:color="auto" w:fill="D9D9D9" w:themeFill="background1" w:themeFillShade="D9"/>
          </w:tcPr>
          <w:p w14:paraId="0D737A84" w14:textId="77777777" w:rsidR="007545BD" w:rsidRPr="00C41EB8" w:rsidRDefault="007545BD" w:rsidP="00A73208">
            <w:pPr>
              <w:spacing w:before="0" w:after="0"/>
              <w:rPr>
                <w:rFonts w:eastAsia="Times New Roman"/>
                <w:iCs/>
                <w:noProof/>
                <w:sz w:val="20"/>
              </w:rPr>
            </w:pPr>
            <w:r w:rsidRPr="00C41EB8">
              <w:rPr>
                <w:rFonts w:eastAsia="Times New Roman"/>
                <w:iCs/>
                <w:noProof/>
                <w:sz w:val="20"/>
              </w:rPr>
              <w:t>Katrā atbalsta programmā, kur tas attiecināms, tiek ietverti nosacījumi par atbalsta pretendentu atbilstību prasībām, t.sk. aizliegums piešķirt atbalstu pretendentam, kurš ir grūtībās nonācis uzņēmums (GNU). Atbalsta pretendentam  jāiesniedz apliecinājums, ka tas nav GNU. Atbalsta sniedzējs pārliecinās, ka atbalsts netiks piešķirts GNU, pārbaudot šādos veidos: maksātnespējas reģistrā, uzņēmuma reģistrā, kā arī var pieprasīt gada pārskatus.</w:t>
            </w:r>
          </w:p>
          <w:p w14:paraId="222FE4A9" w14:textId="77777777" w:rsidR="007545BD" w:rsidRPr="00C41EB8" w:rsidRDefault="007545BD" w:rsidP="00A73208">
            <w:pPr>
              <w:spacing w:before="0" w:after="0"/>
              <w:rPr>
                <w:rFonts w:eastAsia="Times New Roman"/>
                <w:iCs/>
                <w:noProof/>
                <w:sz w:val="20"/>
              </w:rPr>
            </w:pPr>
            <w:r w:rsidRPr="00C41EB8">
              <w:rPr>
                <w:rFonts w:eastAsia="Times New Roman"/>
                <w:iCs/>
                <w:noProof/>
                <w:sz w:val="20"/>
              </w:rPr>
              <w:t>FM tīmekļvietnē ir informācija par saimnieciskās darbības veicējiem, uz kuriem attiecas neizpildīts līdzekļu atgūšanas lēmums.</w:t>
            </w:r>
          </w:p>
          <w:p w14:paraId="2263DE8B" w14:textId="77777777" w:rsidR="007545BD" w:rsidRPr="00C41EB8" w:rsidRDefault="007545BD" w:rsidP="00A73208">
            <w:pPr>
              <w:spacing w:before="0" w:after="0"/>
              <w:rPr>
                <w:rFonts w:eastAsia="Times New Roman"/>
                <w:iCs/>
                <w:noProof/>
                <w:sz w:val="20"/>
              </w:rPr>
            </w:pPr>
            <w:r w:rsidRPr="00C41EB8">
              <w:rPr>
                <w:rFonts w:eastAsia="Times New Roman"/>
                <w:iCs/>
                <w:noProof/>
                <w:sz w:val="20"/>
              </w:rPr>
              <w:t>Atbilstoši KAKL FM KAKD un ZM  ir nacionālās kontroles institūcijas komercdarbības atbalsta kontroles jomā, tās veic plānoto atbalsta pasākumu sākotnējo izvērtēšanu un nodrošina arī procesuālo normu ievērošanu. Latvijā ir tikai nacionāla līmeņa komercdarbības atbalsta kontroles institūcijas. Atbilstoši KAKL atbalsta sniedzējiem ir pienākums tām iesniegt plānotos atbalsta pasākumus sākotnējai izvērtēšanai.</w:t>
            </w:r>
          </w:p>
        </w:tc>
      </w:tr>
      <w:tr w:rsidR="007545BD" w:rsidRPr="00C41EB8" w14:paraId="30E51739" w14:textId="77777777" w:rsidTr="00A73208">
        <w:tc>
          <w:tcPr>
            <w:tcW w:w="562" w:type="dxa"/>
            <w:shd w:val="clear" w:color="auto" w:fill="D9D9D9" w:themeFill="background1" w:themeFillShade="D9"/>
          </w:tcPr>
          <w:p w14:paraId="51AD4D9B"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D9D9D9" w:themeFill="background1" w:themeFillShade="D9"/>
          </w:tcPr>
          <w:p w14:paraId="0087140C" w14:textId="77777777" w:rsidR="007545BD" w:rsidRPr="00C41EB8" w:rsidRDefault="007545BD" w:rsidP="00A73208">
            <w:pPr>
              <w:spacing w:before="0" w:after="0"/>
              <w:jc w:val="left"/>
              <w:rPr>
                <w:noProof/>
                <w:sz w:val="20"/>
              </w:rPr>
            </w:pPr>
          </w:p>
        </w:tc>
        <w:tc>
          <w:tcPr>
            <w:tcW w:w="851" w:type="dxa"/>
            <w:vMerge/>
            <w:shd w:val="clear" w:color="auto" w:fill="D9D9D9" w:themeFill="background1" w:themeFillShade="D9"/>
          </w:tcPr>
          <w:p w14:paraId="5918B094" w14:textId="77777777" w:rsidR="007545BD" w:rsidRPr="00C41EB8" w:rsidRDefault="007545BD" w:rsidP="00A73208">
            <w:pPr>
              <w:spacing w:before="0" w:after="0"/>
              <w:jc w:val="left"/>
              <w:rPr>
                <w:rFonts w:eastAsia="Times New Roman"/>
                <w:iCs/>
                <w:noProof/>
                <w:sz w:val="20"/>
              </w:rPr>
            </w:pPr>
          </w:p>
        </w:tc>
        <w:tc>
          <w:tcPr>
            <w:tcW w:w="1134" w:type="dxa"/>
            <w:vMerge/>
            <w:shd w:val="clear" w:color="auto" w:fill="D9D9D9" w:themeFill="background1" w:themeFillShade="D9"/>
          </w:tcPr>
          <w:p w14:paraId="233AFBA7" w14:textId="77777777" w:rsidR="007545BD" w:rsidRPr="00C41EB8" w:rsidRDefault="007545BD" w:rsidP="00A73208">
            <w:pPr>
              <w:spacing w:before="0" w:after="0"/>
              <w:jc w:val="left"/>
              <w:rPr>
                <w:rFonts w:eastAsia="Times New Roman"/>
                <w:iCs/>
                <w:noProof/>
                <w:sz w:val="20"/>
              </w:rPr>
            </w:pPr>
          </w:p>
        </w:tc>
        <w:tc>
          <w:tcPr>
            <w:tcW w:w="850" w:type="dxa"/>
            <w:vMerge/>
            <w:shd w:val="clear" w:color="auto" w:fill="D9D9D9" w:themeFill="background1" w:themeFillShade="D9"/>
          </w:tcPr>
          <w:p w14:paraId="28D50B76" w14:textId="77777777" w:rsidR="007545BD" w:rsidRPr="00C41EB8" w:rsidRDefault="007545BD" w:rsidP="00A73208">
            <w:pPr>
              <w:spacing w:before="0" w:after="0"/>
              <w:jc w:val="left"/>
              <w:rPr>
                <w:rFonts w:eastAsia="Times New Roman"/>
                <w:iCs/>
                <w:noProof/>
                <w:sz w:val="20"/>
              </w:rPr>
            </w:pPr>
          </w:p>
        </w:tc>
        <w:tc>
          <w:tcPr>
            <w:tcW w:w="2410" w:type="dxa"/>
            <w:shd w:val="clear" w:color="auto" w:fill="D9D9D9" w:themeFill="background1" w:themeFillShade="D9"/>
          </w:tcPr>
          <w:p w14:paraId="102586E3" w14:textId="77777777" w:rsidR="007545BD" w:rsidRPr="00C41EB8" w:rsidRDefault="007545BD" w:rsidP="00A73208">
            <w:pPr>
              <w:spacing w:before="0" w:after="0"/>
              <w:ind w:left="37"/>
              <w:jc w:val="left"/>
              <w:rPr>
                <w:noProof/>
                <w:sz w:val="20"/>
              </w:rPr>
            </w:pPr>
            <w:r w:rsidRPr="00C41EB8">
              <w:rPr>
                <w:noProof/>
                <w:sz w:val="20"/>
              </w:rPr>
              <w:t>2.piekļuvi tādām ekspertu konsultācijām un vadlīnijām valsts atbalsta jautājumos, ko nodrošina vietēja vai valsts līmeņa ekspertu centrs.</w:t>
            </w:r>
          </w:p>
        </w:tc>
        <w:tc>
          <w:tcPr>
            <w:tcW w:w="1134" w:type="dxa"/>
            <w:shd w:val="clear" w:color="auto" w:fill="D9D9D9" w:themeFill="background1" w:themeFillShade="D9"/>
          </w:tcPr>
          <w:p w14:paraId="0AB45DDA" w14:textId="77777777" w:rsidR="007545BD" w:rsidRPr="00C41EB8" w:rsidRDefault="007545BD" w:rsidP="00A73208">
            <w:pPr>
              <w:pStyle w:val="ListParagraph"/>
              <w:spacing w:after="0" w:line="240" w:lineRule="auto"/>
              <w:ind w:left="317"/>
              <w:rPr>
                <w:rFonts w:ascii="Times New Roman" w:hAnsi="Times New Roman" w:cs="Times New Roman"/>
                <w:b/>
                <w:bCs/>
                <w:noProof/>
                <w:sz w:val="20"/>
                <w:szCs w:val="20"/>
              </w:rPr>
            </w:pPr>
            <w:r w:rsidRPr="00C41EB8">
              <w:rPr>
                <w:rFonts w:ascii="Times New Roman" w:hAnsi="Times New Roman" w:cs="Times New Roman"/>
                <w:b/>
                <w:bCs/>
                <w:noProof/>
                <w:sz w:val="20"/>
                <w:szCs w:val="20"/>
              </w:rPr>
              <w:t>Jā</w:t>
            </w:r>
          </w:p>
        </w:tc>
        <w:tc>
          <w:tcPr>
            <w:tcW w:w="2410" w:type="dxa"/>
            <w:shd w:val="clear" w:color="auto" w:fill="D9D9D9" w:themeFill="background1" w:themeFillShade="D9"/>
          </w:tcPr>
          <w:p w14:paraId="44812E31" w14:textId="77777777" w:rsidR="007545BD" w:rsidRPr="00C41EB8" w:rsidRDefault="007545BD" w:rsidP="00A73208">
            <w:pPr>
              <w:pStyle w:val="ListParagraph"/>
              <w:numPr>
                <w:ilvl w:val="0"/>
                <w:numId w:val="35"/>
              </w:numPr>
              <w:spacing w:after="0" w:line="240" w:lineRule="auto"/>
              <w:rPr>
                <w:rFonts w:ascii="Times New Roman" w:hAnsi="Times New Roman" w:cs="Times New Roman"/>
                <w:noProof/>
                <w:sz w:val="20"/>
                <w:szCs w:val="20"/>
              </w:rPr>
            </w:pPr>
            <w:r w:rsidRPr="00C41EB8">
              <w:rPr>
                <w:rFonts w:ascii="Times New Roman" w:hAnsi="Times New Roman" w:cs="Times New Roman"/>
                <w:noProof/>
                <w:sz w:val="20"/>
                <w:szCs w:val="20"/>
              </w:rPr>
              <w:t xml:space="preserve">Komercdarbības atbalsta kontroles likums (KAKL); </w:t>
            </w:r>
          </w:p>
          <w:p w14:paraId="2AD5D7E8" w14:textId="77777777" w:rsidR="007545BD" w:rsidRPr="00C41EB8" w:rsidRDefault="007545BD" w:rsidP="00A73208">
            <w:pPr>
              <w:pStyle w:val="ListParagraph"/>
              <w:numPr>
                <w:ilvl w:val="0"/>
                <w:numId w:val="35"/>
              </w:numPr>
              <w:spacing w:after="0" w:line="240" w:lineRule="auto"/>
              <w:rPr>
                <w:rFonts w:ascii="Times New Roman" w:hAnsi="Times New Roman" w:cs="Times New Roman"/>
                <w:noProof/>
                <w:sz w:val="20"/>
                <w:szCs w:val="20"/>
              </w:rPr>
            </w:pPr>
            <w:r w:rsidRPr="00C41EB8">
              <w:rPr>
                <w:rFonts w:ascii="Times New Roman" w:hAnsi="Times New Roman" w:cs="Times New Roman"/>
                <w:noProof/>
                <w:sz w:val="20"/>
                <w:szCs w:val="20"/>
              </w:rPr>
              <w:t>MK 29.04.2003. noteikumi Nr.239 “Finanšu ministrijas nolikums”;</w:t>
            </w:r>
          </w:p>
          <w:p w14:paraId="68C8AB68" w14:textId="77777777" w:rsidR="007545BD" w:rsidRPr="00C41EB8" w:rsidRDefault="007545BD" w:rsidP="00A73208">
            <w:pPr>
              <w:pStyle w:val="ListParagraph"/>
              <w:spacing w:after="0" w:line="240" w:lineRule="auto"/>
              <w:ind w:left="502"/>
              <w:rPr>
                <w:rFonts w:ascii="Times New Roman" w:hAnsi="Times New Roman" w:cs="Times New Roman"/>
                <w:noProof/>
                <w:sz w:val="20"/>
                <w:szCs w:val="20"/>
              </w:rPr>
            </w:pPr>
            <w:r w:rsidRPr="00C41EB8">
              <w:rPr>
                <w:rFonts w:ascii="Times New Roman" w:hAnsi="Times New Roman" w:cs="Times New Roman"/>
                <w:noProof/>
                <w:sz w:val="20"/>
                <w:szCs w:val="20"/>
              </w:rPr>
              <w:t>Finanšu ministrijas reglaments.</w:t>
            </w:r>
          </w:p>
        </w:tc>
        <w:tc>
          <w:tcPr>
            <w:tcW w:w="3686" w:type="dxa"/>
            <w:shd w:val="clear" w:color="auto" w:fill="D9D9D9" w:themeFill="background1" w:themeFillShade="D9"/>
          </w:tcPr>
          <w:p w14:paraId="7564A399" w14:textId="77777777" w:rsidR="007545BD" w:rsidRPr="00C41EB8" w:rsidRDefault="007545BD" w:rsidP="00A73208">
            <w:pPr>
              <w:spacing w:before="0" w:after="0"/>
              <w:rPr>
                <w:rFonts w:eastAsia="Times New Roman"/>
                <w:iCs/>
                <w:noProof/>
                <w:sz w:val="20"/>
              </w:rPr>
            </w:pPr>
            <w:r w:rsidRPr="00C41EB8">
              <w:rPr>
                <w:rFonts w:eastAsia="Times New Roman"/>
                <w:iCs/>
                <w:noProof/>
                <w:sz w:val="20"/>
              </w:rPr>
              <w:t>FM KAKD eksperti pēc nepieciešamības sagatavo un publicē skaidrojošus materiālus par dažādiem valsts atbalsta jautājumiem, kā arī organizē gan apmācību seminārus, gan informatīvus pasākumus par komercdarbības atbalsta jautājumiem (gan par vispārīgiem, gan specifiskiem) gan valsts, gan pašvaldības iestāžu darbiniekiem (atbalsta sniedzējinstitūcijām), lai nodrošinātu korektu izpratni par komercdarbības atbalsta noteikumu ievērošanu.</w:t>
            </w:r>
          </w:p>
        </w:tc>
      </w:tr>
      <w:tr w:rsidR="00C322EE" w:rsidRPr="00C41EB8" w14:paraId="54526D3C" w14:textId="77777777" w:rsidTr="00A73208">
        <w:tc>
          <w:tcPr>
            <w:tcW w:w="562" w:type="dxa"/>
          </w:tcPr>
          <w:p w14:paraId="5FB8BC3F" w14:textId="77777777" w:rsidR="00C322EE" w:rsidRPr="00C41EB8" w:rsidRDefault="00C322EE" w:rsidP="00C322EE">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val="restart"/>
          </w:tcPr>
          <w:p w14:paraId="4D1AB539" w14:textId="77777777" w:rsidR="00C322EE" w:rsidRPr="00C41EB8" w:rsidRDefault="00C322EE" w:rsidP="00C322EE">
            <w:pPr>
              <w:spacing w:before="0" w:after="0"/>
              <w:jc w:val="left"/>
              <w:rPr>
                <w:noProof/>
                <w:sz w:val="20"/>
              </w:rPr>
            </w:pPr>
            <w:r w:rsidRPr="00C41EB8">
              <w:rPr>
                <w:noProof/>
                <w:sz w:val="20"/>
              </w:rPr>
              <w:t xml:space="preserve">Horizontālais ieguldījumu priekšnosacījums Nr.3 -  </w:t>
            </w:r>
            <w:r w:rsidRPr="00C41EB8">
              <w:rPr>
                <w:b/>
                <w:noProof/>
                <w:sz w:val="20"/>
              </w:rPr>
              <w:t>ES Pamattiesību hartas efektīva piemērošana un īstenošana</w:t>
            </w:r>
          </w:p>
        </w:tc>
        <w:tc>
          <w:tcPr>
            <w:tcW w:w="851" w:type="dxa"/>
            <w:vMerge w:val="restart"/>
          </w:tcPr>
          <w:p w14:paraId="14A71A9C" w14:textId="77777777" w:rsidR="00C322EE" w:rsidRPr="00C41EB8" w:rsidRDefault="00C322EE" w:rsidP="00C322EE">
            <w:pPr>
              <w:spacing w:before="0" w:after="0"/>
              <w:jc w:val="left"/>
              <w:rPr>
                <w:rFonts w:eastAsia="Times New Roman"/>
                <w:iCs/>
                <w:noProof/>
                <w:sz w:val="20"/>
              </w:rPr>
            </w:pPr>
            <w:r w:rsidRPr="00C41EB8">
              <w:rPr>
                <w:rFonts w:eastAsia="Times New Roman"/>
                <w:iCs/>
                <w:noProof/>
                <w:sz w:val="20"/>
              </w:rPr>
              <w:t>ERAF, ESF+, KF</w:t>
            </w:r>
          </w:p>
        </w:tc>
        <w:tc>
          <w:tcPr>
            <w:tcW w:w="1134" w:type="dxa"/>
            <w:vMerge w:val="restart"/>
          </w:tcPr>
          <w:p w14:paraId="69B49069" w14:textId="77777777" w:rsidR="00C322EE" w:rsidRPr="00C41EB8" w:rsidRDefault="00C322EE" w:rsidP="00C322EE">
            <w:pPr>
              <w:spacing w:before="0" w:after="0"/>
              <w:jc w:val="left"/>
              <w:rPr>
                <w:rFonts w:eastAsia="Times New Roman"/>
                <w:iCs/>
                <w:noProof/>
                <w:sz w:val="20"/>
              </w:rPr>
            </w:pPr>
            <w:r w:rsidRPr="00C41EB8">
              <w:rPr>
                <w:rFonts w:eastAsia="Times New Roman"/>
                <w:iCs/>
                <w:noProof/>
                <w:sz w:val="20"/>
              </w:rPr>
              <w:t>Visi</w:t>
            </w:r>
          </w:p>
        </w:tc>
        <w:tc>
          <w:tcPr>
            <w:tcW w:w="850" w:type="dxa"/>
            <w:vMerge w:val="restart"/>
          </w:tcPr>
          <w:p w14:paraId="4F14FFC2" w14:textId="77777777" w:rsidR="00C322EE" w:rsidRPr="00C41EB8" w:rsidRDefault="00C322EE" w:rsidP="00C322EE">
            <w:pPr>
              <w:spacing w:before="0" w:after="0"/>
              <w:jc w:val="left"/>
              <w:rPr>
                <w:rFonts w:eastAsia="Times New Roman"/>
                <w:iCs/>
                <w:noProof/>
                <w:sz w:val="20"/>
              </w:rPr>
            </w:pPr>
            <w:r w:rsidRPr="00C41EB8">
              <w:rPr>
                <w:rFonts w:eastAsia="Times New Roman"/>
                <w:iCs/>
                <w:noProof/>
                <w:sz w:val="20"/>
              </w:rPr>
              <w:t>Nē</w:t>
            </w:r>
          </w:p>
        </w:tc>
        <w:tc>
          <w:tcPr>
            <w:tcW w:w="2410" w:type="dxa"/>
          </w:tcPr>
          <w:p w14:paraId="663F2CA8" w14:textId="77777777" w:rsidR="00AF7E79" w:rsidRPr="00216FF0" w:rsidRDefault="00AF7E79" w:rsidP="00AF7E79">
            <w:pPr>
              <w:spacing w:after="0"/>
              <w:ind w:left="181" w:hanging="283"/>
              <w:rPr>
                <w:noProof/>
                <w:sz w:val="20"/>
              </w:rPr>
            </w:pPr>
            <w:r>
              <w:rPr>
                <w:noProof/>
                <w:sz w:val="20"/>
              </w:rPr>
              <w:t>Vadošā iestāde, Labklājības ministrija un citas nozaru ministrijas nodrošina:</w:t>
            </w:r>
          </w:p>
          <w:p w14:paraId="20A114B5" w14:textId="77777777" w:rsidR="00AF7E79" w:rsidRDefault="00AF7E79" w:rsidP="00AF7E79">
            <w:pPr>
              <w:pStyle w:val="ListParagraph"/>
              <w:spacing w:after="0" w:line="240" w:lineRule="auto"/>
              <w:ind w:left="181"/>
              <w:rPr>
                <w:rFonts w:ascii="Times New Roman" w:hAnsi="Times New Roman" w:cs="Times New Roman"/>
                <w:noProof/>
                <w:sz w:val="20"/>
                <w:szCs w:val="20"/>
              </w:rPr>
            </w:pPr>
          </w:p>
          <w:p w14:paraId="02825F5A" w14:textId="261AFE66" w:rsidR="00C322EE" w:rsidRPr="00C41EB8" w:rsidRDefault="00AF7E79" w:rsidP="00AF7E79">
            <w:pPr>
              <w:pStyle w:val="ListParagraph"/>
              <w:numPr>
                <w:ilvl w:val="0"/>
                <w:numId w:val="75"/>
              </w:numPr>
              <w:spacing w:after="0" w:line="240" w:lineRule="auto"/>
              <w:rPr>
                <w:rFonts w:ascii="Times New Roman" w:hAnsi="Times New Roman" w:cs="Times New Roman"/>
                <w:noProof/>
                <w:sz w:val="20"/>
                <w:szCs w:val="20"/>
              </w:rPr>
            </w:pPr>
            <w:r w:rsidRPr="00216FF0">
              <w:rPr>
                <w:rFonts w:ascii="Times New Roman" w:hAnsi="Times New Roman" w:cs="Times New Roman"/>
                <w:noProof/>
                <w:sz w:val="20"/>
                <w:szCs w:val="20"/>
              </w:rPr>
              <w:t>Mehānism</w:t>
            </w:r>
            <w:r>
              <w:rPr>
                <w:rFonts w:ascii="Times New Roman" w:hAnsi="Times New Roman" w:cs="Times New Roman"/>
                <w:noProof/>
                <w:sz w:val="20"/>
                <w:szCs w:val="20"/>
              </w:rPr>
              <w:t>us</w:t>
            </w:r>
            <w:r w:rsidRPr="00216FF0">
              <w:rPr>
                <w:rFonts w:ascii="Times New Roman" w:hAnsi="Times New Roman" w:cs="Times New Roman"/>
                <w:noProof/>
                <w:sz w:val="20"/>
                <w:szCs w:val="20"/>
              </w:rPr>
              <w:t xml:space="preserve">, kas nodrošina </w:t>
            </w:r>
            <w:r>
              <w:rPr>
                <w:rFonts w:ascii="Times New Roman" w:hAnsi="Times New Roman" w:cs="Times New Roman"/>
                <w:noProof/>
                <w:sz w:val="20"/>
                <w:szCs w:val="20"/>
              </w:rPr>
              <w:t xml:space="preserve">programmu un to ieviešanas </w:t>
            </w:r>
            <w:r w:rsidRPr="00216FF0">
              <w:rPr>
                <w:rFonts w:ascii="Times New Roman" w:hAnsi="Times New Roman" w:cs="Times New Roman"/>
                <w:noProof/>
                <w:sz w:val="20"/>
                <w:szCs w:val="20"/>
              </w:rPr>
              <w:t>atbilstību ES Pamattiesību hartai;</w:t>
            </w:r>
          </w:p>
        </w:tc>
        <w:tc>
          <w:tcPr>
            <w:tcW w:w="1134" w:type="dxa"/>
          </w:tcPr>
          <w:p w14:paraId="5E90BC3C" w14:textId="3E43A1FE" w:rsidR="00C322EE" w:rsidRPr="00C41EB8" w:rsidRDefault="00AF7E79" w:rsidP="00C322EE">
            <w:pPr>
              <w:pStyle w:val="ListParagraph"/>
              <w:spacing w:after="0" w:line="240" w:lineRule="auto"/>
              <w:ind w:left="317"/>
              <w:rPr>
                <w:rFonts w:ascii="Times New Roman" w:hAnsi="Times New Roman" w:cs="Times New Roman"/>
                <w:noProof/>
                <w:sz w:val="20"/>
                <w:szCs w:val="20"/>
              </w:rPr>
            </w:pPr>
            <w:r>
              <w:rPr>
                <w:rFonts w:ascii="Times New Roman" w:hAnsi="Times New Roman" w:cs="Times New Roman"/>
                <w:noProof/>
                <w:sz w:val="20"/>
                <w:szCs w:val="20"/>
              </w:rPr>
              <w:t>Nē</w:t>
            </w:r>
          </w:p>
          <w:p w14:paraId="71924102" w14:textId="77777777" w:rsidR="00C322EE" w:rsidRPr="00C41EB8" w:rsidRDefault="00C322EE" w:rsidP="00C322EE">
            <w:pPr>
              <w:spacing w:before="0" w:after="0"/>
              <w:ind w:left="317" w:hanging="322"/>
              <w:jc w:val="left"/>
              <w:rPr>
                <w:noProof/>
                <w:sz w:val="20"/>
              </w:rPr>
            </w:pPr>
          </w:p>
          <w:p w14:paraId="12D4DA32" w14:textId="77777777" w:rsidR="00C322EE" w:rsidRPr="00C41EB8" w:rsidRDefault="00C322EE" w:rsidP="00C322EE">
            <w:pPr>
              <w:spacing w:before="0" w:after="0"/>
              <w:ind w:left="317" w:hanging="322"/>
              <w:jc w:val="left"/>
              <w:rPr>
                <w:noProof/>
                <w:sz w:val="20"/>
              </w:rPr>
            </w:pPr>
          </w:p>
          <w:p w14:paraId="0AC37C5F" w14:textId="77777777" w:rsidR="00C322EE" w:rsidRPr="00C41EB8" w:rsidRDefault="00C322EE" w:rsidP="00C322EE">
            <w:pPr>
              <w:spacing w:before="0" w:after="0"/>
              <w:ind w:left="317" w:hanging="322"/>
              <w:jc w:val="left"/>
              <w:rPr>
                <w:noProof/>
                <w:sz w:val="20"/>
              </w:rPr>
            </w:pPr>
          </w:p>
          <w:p w14:paraId="0886F193" w14:textId="77777777" w:rsidR="00C322EE" w:rsidRPr="00C41EB8" w:rsidRDefault="00C322EE" w:rsidP="00C322EE">
            <w:pPr>
              <w:spacing w:before="0" w:after="0"/>
              <w:jc w:val="left"/>
              <w:rPr>
                <w:noProof/>
                <w:sz w:val="20"/>
              </w:rPr>
            </w:pPr>
          </w:p>
        </w:tc>
        <w:tc>
          <w:tcPr>
            <w:tcW w:w="2410" w:type="dxa"/>
          </w:tcPr>
          <w:p w14:paraId="5DD3D7B7" w14:textId="77777777" w:rsidR="00C322EE" w:rsidRPr="00897B8C" w:rsidRDefault="00C322EE" w:rsidP="00C322EE">
            <w:pPr>
              <w:spacing w:before="0" w:after="0"/>
              <w:rPr>
                <w:noProof/>
                <w:sz w:val="20"/>
              </w:rPr>
            </w:pPr>
            <w:r w:rsidRPr="00897B8C">
              <w:rPr>
                <w:noProof/>
                <w:sz w:val="20"/>
              </w:rPr>
              <w:t>1.kritērija izpilde:</w:t>
            </w:r>
          </w:p>
          <w:p w14:paraId="23075F86" w14:textId="77777777" w:rsidR="00C322EE" w:rsidRPr="00897B8C" w:rsidRDefault="009A507A" w:rsidP="00C322EE">
            <w:pPr>
              <w:pStyle w:val="ListParagraph"/>
              <w:numPr>
                <w:ilvl w:val="0"/>
                <w:numId w:val="63"/>
              </w:numPr>
              <w:spacing w:after="0" w:line="240" w:lineRule="auto"/>
              <w:ind w:left="320"/>
              <w:rPr>
                <w:rFonts w:ascii="Times New Roman" w:hAnsi="Times New Roman" w:cs="Times New Roman"/>
                <w:noProof/>
                <w:sz w:val="20"/>
                <w:szCs w:val="20"/>
              </w:rPr>
            </w:pPr>
            <w:hyperlink r:id="rId23" w:history="1">
              <w:r w:rsidR="00C322EE" w:rsidRPr="00897B8C">
                <w:rPr>
                  <w:rStyle w:val="Hyperlink"/>
                  <w:rFonts w:ascii="Times New Roman" w:hAnsi="Times New Roman" w:cs="Times New Roman"/>
                  <w:noProof/>
                  <w:sz w:val="20"/>
                </w:rPr>
                <w:t>Satversme</w:t>
              </w:r>
            </w:hyperlink>
            <w:r w:rsidR="00C322EE" w:rsidRPr="00897B8C">
              <w:rPr>
                <w:rFonts w:ascii="Times New Roman" w:hAnsi="Times New Roman" w:cs="Times New Roman"/>
                <w:noProof/>
                <w:sz w:val="20"/>
                <w:szCs w:val="20"/>
              </w:rPr>
              <w:t>;</w:t>
            </w:r>
          </w:p>
          <w:p w14:paraId="6CE85B90" w14:textId="78A4B16D" w:rsidR="00C322EE" w:rsidRPr="00897B8C" w:rsidRDefault="009F52A2" w:rsidP="00C322EE">
            <w:pPr>
              <w:pStyle w:val="ListParagraph"/>
              <w:numPr>
                <w:ilvl w:val="0"/>
                <w:numId w:val="63"/>
              </w:numPr>
              <w:spacing w:after="0" w:line="240" w:lineRule="auto"/>
              <w:ind w:left="320"/>
              <w:rPr>
                <w:rFonts w:ascii="Times New Roman" w:hAnsi="Times New Roman" w:cs="Times New Roman"/>
                <w:noProof/>
                <w:sz w:val="20"/>
                <w:szCs w:val="20"/>
              </w:rPr>
            </w:pPr>
            <w:r>
              <w:rPr>
                <w:rFonts w:ascii="Times New Roman" w:hAnsi="Times New Roman" w:cs="Times New Roman"/>
                <w:noProof/>
                <w:sz w:val="20"/>
                <w:szCs w:val="20"/>
              </w:rPr>
              <w:t>MK 07.04.</w:t>
            </w:r>
            <w:r w:rsidR="00C322EE" w:rsidRPr="00897B8C">
              <w:rPr>
                <w:rFonts w:ascii="Times New Roman" w:hAnsi="Times New Roman" w:cs="Times New Roman"/>
                <w:noProof/>
                <w:sz w:val="20"/>
                <w:szCs w:val="20"/>
              </w:rPr>
              <w:t>2009. noteikumi Nr.300 “</w:t>
            </w:r>
            <w:hyperlink r:id="rId24" w:history="1">
              <w:r w:rsidR="00C322EE" w:rsidRPr="00897B8C">
                <w:rPr>
                  <w:rStyle w:val="Hyperlink"/>
                  <w:rFonts w:ascii="Times New Roman" w:hAnsi="Times New Roman" w:cs="Times New Roman"/>
                  <w:noProof/>
                  <w:sz w:val="20"/>
                </w:rPr>
                <w:t>Ministru kabineta kārtības rullis</w:t>
              </w:r>
            </w:hyperlink>
            <w:r w:rsidR="00C322EE" w:rsidRPr="00897B8C">
              <w:rPr>
                <w:rFonts w:ascii="Times New Roman" w:hAnsi="Times New Roman" w:cs="Times New Roman"/>
                <w:noProof/>
                <w:sz w:val="20"/>
                <w:szCs w:val="20"/>
              </w:rPr>
              <w:t>”;</w:t>
            </w:r>
          </w:p>
          <w:p w14:paraId="290D92E2" w14:textId="1186C9ED" w:rsidR="00C322EE" w:rsidRPr="00897B8C" w:rsidRDefault="00C322EE" w:rsidP="00C322EE">
            <w:pPr>
              <w:pStyle w:val="ListParagraph"/>
              <w:numPr>
                <w:ilvl w:val="0"/>
                <w:numId w:val="63"/>
              </w:numPr>
              <w:spacing w:after="0" w:line="240" w:lineRule="auto"/>
              <w:ind w:left="320"/>
              <w:rPr>
                <w:rFonts w:ascii="Times New Roman" w:hAnsi="Times New Roman" w:cs="Times New Roman"/>
                <w:noProof/>
                <w:sz w:val="20"/>
                <w:szCs w:val="20"/>
              </w:rPr>
            </w:pPr>
            <w:r>
              <w:rPr>
                <w:rFonts w:ascii="Times New Roman" w:hAnsi="Times New Roman" w:cs="Times New Roman"/>
                <w:noProof/>
                <w:sz w:val="20"/>
                <w:szCs w:val="20"/>
              </w:rPr>
              <w:t>MK</w:t>
            </w:r>
            <w:r w:rsidRPr="00897B8C">
              <w:rPr>
                <w:rFonts w:ascii="Times New Roman" w:hAnsi="Times New Roman" w:cs="Times New Roman"/>
                <w:noProof/>
                <w:sz w:val="20"/>
                <w:szCs w:val="20"/>
              </w:rPr>
              <w:t xml:space="preserve"> </w:t>
            </w:r>
            <w:r w:rsidR="009F52A2">
              <w:rPr>
                <w:rFonts w:ascii="Times New Roman" w:hAnsi="Times New Roman" w:cs="Times New Roman"/>
                <w:noProof/>
                <w:sz w:val="20"/>
                <w:szCs w:val="20"/>
              </w:rPr>
              <w:t>15.12.</w:t>
            </w:r>
            <w:r w:rsidRPr="00897B8C">
              <w:rPr>
                <w:rFonts w:ascii="Times New Roman" w:hAnsi="Times New Roman" w:cs="Times New Roman"/>
                <w:noProof/>
                <w:sz w:val="20"/>
                <w:szCs w:val="20"/>
              </w:rPr>
              <w:t>2009. instrukcija Nr.19 “</w:t>
            </w:r>
            <w:hyperlink r:id="rId25" w:history="1">
              <w:r w:rsidRPr="00897B8C">
                <w:rPr>
                  <w:rStyle w:val="Hyperlink"/>
                  <w:rFonts w:ascii="Times New Roman" w:hAnsi="Times New Roman" w:cs="Times New Roman"/>
                  <w:noProof/>
                  <w:sz w:val="20"/>
                </w:rPr>
                <w:t>Tiesību akta projekta sākotnējās ietekmes izvērtēšanas kārtība</w:t>
              </w:r>
            </w:hyperlink>
            <w:r w:rsidRPr="00897B8C">
              <w:rPr>
                <w:rFonts w:ascii="Times New Roman" w:hAnsi="Times New Roman" w:cs="Times New Roman"/>
                <w:noProof/>
                <w:sz w:val="20"/>
                <w:szCs w:val="20"/>
              </w:rPr>
              <w:t>”;</w:t>
            </w:r>
          </w:p>
          <w:p w14:paraId="08C8AD6A" w14:textId="77777777" w:rsidR="00C322EE" w:rsidRPr="00897B8C" w:rsidRDefault="00C322EE" w:rsidP="00C322EE">
            <w:pPr>
              <w:pStyle w:val="ListParagraph"/>
              <w:numPr>
                <w:ilvl w:val="0"/>
                <w:numId w:val="63"/>
              </w:numPr>
              <w:spacing w:after="0" w:line="240" w:lineRule="auto"/>
              <w:ind w:left="320"/>
              <w:rPr>
                <w:rFonts w:ascii="Times New Roman" w:hAnsi="Times New Roman" w:cs="Times New Roman"/>
                <w:noProof/>
                <w:sz w:val="20"/>
                <w:szCs w:val="20"/>
              </w:rPr>
            </w:pPr>
            <w:r w:rsidRPr="00897B8C">
              <w:rPr>
                <w:rFonts w:ascii="Times New Roman" w:hAnsi="Times New Roman" w:cs="Times New Roman"/>
                <w:noProof/>
                <w:sz w:val="20"/>
                <w:szCs w:val="20"/>
              </w:rPr>
              <w:t>Eiropas Savienības struktūrfondu un Kohēzijas fonda 2021.—2027.gada plānošanas perioda vadības likums (projekts) un no tā izrietošie normatīvie akti, t.sk.:</w:t>
            </w:r>
          </w:p>
          <w:p w14:paraId="15B16FA9" w14:textId="77777777" w:rsidR="00C322EE" w:rsidRPr="00897B8C" w:rsidRDefault="00C322EE" w:rsidP="00C322EE">
            <w:pPr>
              <w:pStyle w:val="ListParagraph"/>
              <w:spacing w:after="0" w:line="240" w:lineRule="auto"/>
              <w:ind w:left="320"/>
              <w:rPr>
                <w:rFonts w:ascii="Times New Roman" w:hAnsi="Times New Roman" w:cs="Times New Roman"/>
                <w:noProof/>
                <w:sz w:val="20"/>
                <w:szCs w:val="20"/>
              </w:rPr>
            </w:pPr>
            <w:r w:rsidRPr="00897B8C">
              <w:rPr>
                <w:rFonts w:ascii="Times New Roman" w:hAnsi="Times New Roman" w:cs="Times New Roman"/>
                <w:sz w:val="20"/>
                <w:szCs w:val="20"/>
              </w:rPr>
              <w:t>- MK noteikumi “Kārtība, kādā Eiropas Savienības struktūrfondu un Kohēzijas fonda vadībā iesaistītās institūcijas nodrošina plānošanas dokumentu sagatavošanu un šo fondu ieviešanu 2021.–2027.gada plānošanas periodā” (projekts);</w:t>
            </w:r>
          </w:p>
          <w:p w14:paraId="53156A0E" w14:textId="77777777" w:rsidR="00C322EE" w:rsidRPr="00897B8C" w:rsidRDefault="00C322EE" w:rsidP="00C322EE">
            <w:pPr>
              <w:pStyle w:val="ListParagraph"/>
              <w:spacing w:after="0" w:line="240" w:lineRule="auto"/>
              <w:ind w:left="320"/>
              <w:rPr>
                <w:rFonts w:ascii="Times New Roman" w:hAnsi="Times New Roman" w:cs="Times New Roman"/>
                <w:sz w:val="20"/>
                <w:szCs w:val="20"/>
              </w:rPr>
            </w:pPr>
            <w:r w:rsidRPr="00897B8C">
              <w:rPr>
                <w:rFonts w:ascii="Times New Roman" w:hAnsi="Times New Roman" w:cs="Times New Roman"/>
                <w:sz w:val="20"/>
                <w:szCs w:val="20"/>
              </w:rPr>
              <w:t>- Eiropas Reģionālās attīstības fonda, Eiropas Sociālā fonda plus, Kohēzijas fonda un Taisnīgās pārkārtošanās fonda projektu iesniegumu atlases metodika 2021.–2027.gadam</w:t>
            </w:r>
            <w:r>
              <w:rPr>
                <w:rFonts w:ascii="Times New Roman" w:hAnsi="Times New Roman" w:cs="Times New Roman"/>
                <w:sz w:val="20"/>
                <w:szCs w:val="20"/>
              </w:rPr>
              <w:t xml:space="preserve"> (projekts)</w:t>
            </w:r>
            <w:r w:rsidRPr="00897B8C">
              <w:rPr>
                <w:rFonts w:ascii="Times New Roman" w:hAnsi="Times New Roman" w:cs="Times New Roman"/>
                <w:sz w:val="20"/>
                <w:szCs w:val="20"/>
              </w:rPr>
              <w:t>;</w:t>
            </w:r>
          </w:p>
          <w:p w14:paraId="779275BF" w14:textId="77777777" w:rsidR="00C322EE" w:rsidRPr="00897B8C" w:rsidRDefault="00C322EE" w:rsidP="00C322EE">
            <w:pPr>
              <w:pStyle w:val="Default"/>
              <w:spacing w:after="0" w:line="240" w:lineRule="auto"/>
              <w:ind w:left="320"/>
              <w:rPr>
                <w:rFonts w:eastAsiaTheme="minorHAnsi"/>
                <w:color w:val="auto"/>
                <w:sz w:val="20"/>
                <w:szCs w:val="20"/>
              </w:rPr>
            </w:pPr>
            <w:r w:rsidRPr="00897B8C">
              <w:rPr>
                <w:rFonts w:eastAsiaTheme="minorHAnsi"/>
                <w:color w:val="auto"/>
                <w:sz w:val="20"/>
                <w:szCs w:val="20"/>
              </w:rPr>
              <w:t>- Eiropas Savienības struktūrfondu, Kohēzijas un Taisnīgās pārkārtošanās fondu 2021. - 2027. gada plānošanas perioda Uzraudzības komitejas reglaments (projekts) – noteikts dalībnieku sastāvs;</w:t>
            </w:r>
            <w:r>
              <w:rPr>
                <w:rFonts w:eastAsiaTheme="minorHAnsi"/>
                <w:color w:val="auto"/>
                <w:sz w:val="20"/>
                <w:szCs w:val="20"/>
              </w:rPr>
              <w:t xml:space="preserve"> </w:t>
            </w:r>
          </w:p>
          <w:p w14:paraId="48BC1859" w14:textId="77777777" w:rsidR="00C322EE" w:rsidRPr="00897B8C" w:rsidRDefault="00C322EE" w:rsidP="00C322EE">
            <w:pPr>
              <w:pStyle w:val="Default"/>
              <w:numPr>
                <w:ilvl w:val="0"/>
                <w:numId w:val="63"/>
              </w:numPr>
              <w:spacing w:after="0" w:line="240" w:lineRule="auto"/>
              <w:ind w:left="320"/>
              <w:rPr>
                <w:rFonts w:eastAsiaTheme="minorHAnsi"/>
                <w:color w:val="auto"/>
                <w:sz w:val="20"/>
                <w:szCs w:val="20"/>
              </w:rPr>
            </w:pPr>
            <w:r w:rsidRPr="00897B8C">
              <w:rPr>
                <w:rFonts w:eastAsiaTheme="minorHAnsi"/>
                <w:color w:val="auto"/>
                <w:sz w:val="20"/>
                <w:szCs w:val="20"/>
              </w:rPr>
              <w:t>Centrālās finanšu un līgumu aģentūras nolikums (projekts);</w:t>
            </w:r>
          </w:p>
          <w:p w14:paraId="72FEE0D3" w14:textId="77777777" w:rsidR="00C322EE" w:rsidRPr="00897B8C" w:rsidRDefault="009A507A" w:rsidP="00C322EE">
            <w:pPr>
              <w:pStyle w:val="Default"/>
              <w:numPr>
                <w:ilvl w:val="0"/>
                <w:numId w:val="63"/>
              </w:numPr>
              <w:spacing w:after="0" w:line="240" w:lineRule="auto"/>
              <w:ind w:left="320"/>
              <w:rPr>
                <w:rFonts w:eastAsiaTheme="minorHAnsi"/>
                <w:color w:val="auto"/>
                <w:sz w:val="20"/>
                <w:szCs w:val="20"/>
              </w:rPr>
            </w:pPr>
            <w:hyperlink r:id="rId26" w:history="1">
              <w:r w:rsidR="00C322EE" w:rsidRPr="00C72BF6">
                <w:rPr>
                  <w:rStyle w:val="Hyperlink"/>
                  <w:rFonts w:eastAsiaTheme="minorHAnsi"/>
                  <w:sz w:val="20"/>
                  <w:szCs w:val="20"/>
                </w:rPr>
                <w:t>Iesniegumu likums</w:t>
              </w:r>
            </w:hyperlink>
            <w:r w:rsidR="00C322EE" w:rsidRPr="00897B8C">
              <w:rPr>
                <w:rFonts w:eastAsiaTheme="minorHAnsi"/>
                <w:color w:val="auto"/>
                <w:sz w:val="20"/>
                <w:szCs w:val="20"/>
              </w:rPr>
              <w:t>;</w:t>
            </w:r>
          </w:p>
          <w:p w14:paraId="3703FE55" w14:textId="77777777" w:rsidR="00C322EE" w:rsidRPr="00897B8C" w:rsidRDefault="009A507A" w:rsidP="00C322EE">
            <w:pPr>
              <w:pStyle w:val="Default"/>
              <w:numPr>
                <w:ilvl w:val="0"/>
                <w:numId w:val="63"/>
              </w:numPr>
              <w:spacing w:after="0" w:line="240" w:lineRule="auto"/>
              <w:ind w:left="320"/>
              <w:rPr>
                <w:rFonts w:eastAsiaTheme="minorHAnsi"/>
                <w:color w:val="auto"/>
                <w:sz w:val="20"/>
                <w:szCs w:val="20"/>
              </w:rPr>
            </w:pPr>
            <w:hyperlink r:id="rId27" w:history="1">
              <w:r w:rsidR="00C322EE" w:rsidRPr="00C72BF6">
                <w:rPr>
                  <w:rStyle w:val="Hyperlink"/>
                  <w:rFonts w:eastAsiaTheme="minorHAnsi"/>
                  <w:sz w:val="20"/>
                  <w:szCs w:val="20"/>
                </w:rPr>
                <w:t>Tiesībsarga likums</w:t>
              </w:r>
            </w:hyperlink>
            <w:r w:rsidR="00C322EE" w:rsidRPr="00897B8C">
              <w:rPr>
                <w:rFonts w:eastAsiaTheme="minorHAnsi"/>
                <w:color w:val="auto"/>
                <w:sz w:val="20"/>
                <w:szCs w:val="20"/>
              </w:rPr>
              <w:t>;</w:t>
            </w:r>
          </w:p>
          <w:p w14:paraId="2F40CA23" w14:textId="77777777" w:rsidR="00C322EE" w:rsidRPr="00897B8C" w:rsidRDefault="009A507A" w:rsidP="00C322EE">
            <w:pPr>
              <w:pStyle w:val="Default"/>
              <w:numPr>
                <w:ilvl w:val="0"/>
                <w:numId w:val="63"/>
              </w:numPr>
              <w:spacing w:after="0" w:line="240" w:lineRule="auto"/>
              <w:ind w:left="320"/>
              <w:rPr>
                <w:rFonts w:eastAsiaTheme="minorHAnsi"/>
                <w:color w:val="auto"/>
                <w:sz w:val="20"/>
                <w:szCs w:val="20"/>
              </w:rPr>
            </w:pPr>
            <w:hyperlink r:id="rId28" w:history="1">
              <w:r w:rsidR="00C322EE" w:rsidRPr="00C72BF6">
                <w:rPr>
                  <w:rStyle w:val="Hyperlink"/>
                  <w:rFonts w:eastAsiaTheme="minorHAnsi"/>
                  <w:sz w:val="20"/>
                  <w:szCs w:val="20"/>
                </w:rPr>
                <w:t>Trauksmes celšanas likums</w:t>
              </w:r>
            </w:hyperlink>
            <w:r w:rsidR="00C322EE" w:rsidRPr="00897B8C">
              <w:rPr>
                <w:rFonts w:eastAsiaTheme="minorHAnsi"/>
                <w:color w:val="auto"/>
                <w:sz w:val="20"/>
                <w:szCs w:val="20"/>
              </w:rPr>
              <w:t>.</w:t>
            </w:r>
          </w:p>
          <w:p w14:paraId="7C302E52" w14:textId="77777777" w:rsidR="00C322EE" w:rsidRPr="00897B8C" w:rsidRDefault="00C322EE" w:rsidP="00C322EE">
            <w:pPr>
              <w:pStyle w:val="ListParagraph"/>
              <w:spacing w:after="0" w:line="240" w:lineRule="auto"/>
              <w:ind w:left="320"/>
              <w:rPr>
                <w:rFonts w:ascii="Times New Roman" w:hAnsi="Times New Roman" w:cs="Times New Roman"/>
                <w:noProof/>
                <w:sz w:val="20"/>
                <w:szCs w:val="20"/>
              </w:rPr>
            </w:pPr>
          </w:p>
        </w:tc>
        <w:tc>
          <w:tcPr>
            <w:tcW w:w="3686" w:type="dxa"/>
          </w:tcPr>
          <w:p w14:paraId="43C71C75" w14:textId="7A82AE44" w:rsidR="00C322EE" w:rsidRPr="00897B8C" w:rsidRDefault="00C322EE" w:rsidP="00C322EE">
            <w:pPr>
              <w:spacing w:before="0" w:after="0"/>
              <w:rPr>
                <w:sz w:val="20"/>
              </w:rPr>
            </w:pPr>
            <w:r w:rsidRPr="00897B8C">
              <w:rPr>
                <w:sz w:val="20"/>
              </w:rPr>
              <w:t xml:space="preserve">1. Atbilstoši </w:t>
            </w:r>
            <w:r>
              <w:rPr>
                <w:sz w:val="20"/>
              </w:rPr>
              <w:t>MK</w:t>
            </w:r>
            <w:r w:rsidRPr="00897B8C">
              <w:rPr>
                <w:sz w:val="20"/>
              </w:rPr>
              <w:t xml:space="preserve"> pieņemtajam konceptuālajam lēmumam 2021.–2027. gada ES fondu plānošanas perioda ietvaros plānots turpināt līdzšinējo ES fondu ieviešanas mehānismu, attiecīgi Pamattiesību hartas principi tāpat kā līdz šim tiek ņemti vērā un integrēti ES fondu ieviešanas sistēmā jau plānošanas stadijā, izstrādājot attiecīgos katras nozares SAM MK noteikumus un  ieviešanas kritērijus, kas tiek saskaņoti UK ietvaros, kur pārstāvētas gan attiecīgās atbildīgās valsts pārvaldes institūcijas (</w:t>
            </w:r>
            <w:r w:rsidR="00A64C5F">
              <w:rPr>
                <w:sz w:val="20"/>
              </w:rPr>
              <w:t>TM</w:t>
            </w:r>
            <w:r w:rsidRPr="00897B8C">
              <w:rPr>
                <w:sz w:val="20"/>
              </w:rPr>
              <w:t>, Ie</w:t>
            </w:r>
            <w:r w:rsidR="00A64C5F">
              <w:rPr>
                <w:sz w:val="20"/>
              </w:rPr>
              <w:t>M</w:t>
            </w:r>
            <w:r w:rsidRPr="00897B8C">
              <w:rPr>
                <w:sz w:val="20"/>
              </w:rPr>
              <w:t xml:space="preserve">, Korupcijas novēršanas un apkarošanas birojs), gan arī nevalstiskā sektora pārstāvji. Tāpat, papildus jau minētajam SAM kritēriju izstrādes mehānismam, spēkā esošajā ES fondu vadības likumā, gan arī jaunajā ES fondu plānošanas periodā  - likumā plānots saglabāt ES fondu projekta iesnieguma izslēgšanas kritērijus, kas nosaka, ka ES fondu projekts ir noraidāms un tā vērtēšana netiek veikta, ja attiecīgā projekta iesniedzējs ir veicis prettiesiskas darbības, tai skaitā nelegālas nodarbinātības jomā. Tāpat likuma līmenī ir nostiprināts terminēts aizliegums uz laiku aizliegt piedalīties projektu iesniegumu atlasē, ja projekta iesniedzējs sniedzis apzināti maldinošu informāciju vai citādi apzināti ļaunprātīgi rīkojies ES fondu projekta īstenošanas ietvaros. </w:t>
            </w:r>
          </w:p>
          <w:p w14:paraId="489B98E8" w14:textId="2DB7A5DF" w:rsidR="00C322EE" w:rsidRPr="00897B8C" w:rsidRDefault="00C322EE" w:rsidP="00C322EE">
            <w:pPr>
              <w:spacing w:before="0" w:after="0"/>
              <w:rPr>
                <w:sz w:val="20"/>
              </w:rPr>
            </w:pPr>
            <w:r w:rsidRPr="00897B8C">
              <w:rPr>
                <w:sz w:val="20"/>
              </w:rPr>
              <w:t xml:space="preserve">Projekta īstenošanas fāzē kontroles funkcija pār projekta īstenošanu atbilstoši normatīvajos aktos noteiktajam ir nostiprināta </w:t>
            </w:r>
            <w:r w:rsidR="009F52A2">
              <w:rPr>
                <w:sz w:val="20"/>
              </w:rPr>
              <w:t>CFLA</w:t>
            </w:r>
            <w:r w:rsidRPr="00897B8C">
              <w:rPr>
                <w:sz w:val="20"/>
              </w:rPr>
              <w:t xml:space="preserve"> kā sadarbības iestādes atbildībā. Minētā institūcija ir kompetentā institūcija par ES fondu projektu īstenošanas līguma slēgšanu ar attiecīgo projekta īstenotāju. </w:t>
            </w:r>
            <w:r w:rsidR="009F52A2">
              <w:rPr>
                <w:sz w:val="20"/>
              </w:rPr>
              <w:t>CFLA</w:t>
            </w:r>
            <w:r w:rsidRPr="00897B8C">
              <w:rPr>
                <w:sz w:val="20"/>
              </w:rPr>
              <w:t xml:space="preserve"> gan maksājumu pieprasījumu pārbaudes ietvaros (dokumentu pārbaudes), gan arī pārbaudes ietvaros projekta īstenošanas vietā veic visaptverošu pārbaudi par projekta īstenošanas nosacījumu ievērošanu un konstatējot pamatotas atkāpes no īstenošanas nosacījumu ievērošanas nosacījumiem ir tiesīga atkāpties no turpmākas līguma īstenošanas un atprasīt neatbilstoši veikto izdevumu atmaksu no finansējuma saņēmēja. Atbilstoši </w:t>
            </w:r>
            <w:r>
              <w:rPr>
                <w:sz w:val="20"/>
              </w:rPr>
              <w:t>Latvijā</w:t>
            </w:r>
            <w:r w:rsidRPr="00897B8C">
              <w:rPr>
                <w:sz w:val="20"/>
              </w:rPr>
              <w:t xml:space="preserve"> nostiprinātajiem nozares kompetences nosacījumiem CFLA šo secinājumu pamatotības pārbaudē sadarbojas ar attiecīgajām kompetentajām institūcijām.</w:t>
            </w:r>
          </w:p>
          <w:p w14:paraId="1445E569" w14:textId="77777777" w:rsidR="00C322EE" w:rsidRPr="00897B8C" w:rsidRDefault="00C322EE" w:rsidP="00C322EE">
            <w:pPr>
              <w:spacing w:before="0" w:after="0"/>
              <w:rPr>
                <w:sz w:val="20"/>
              </w:rPr>
            </w:pPr>
            <w:r w:rsidRPr="00897B8C">
              <w:rPr>
                <w:sz w:val="20"/>
              </w:rPr>
              <w:t>Tāpat minētās pārbaudes neizslēdz un saglabā iespēju jebkurai fiziskai vai juridiskai personai ar iesniegumu vērsties kompetentajās institūcijās arī nepastarpināti un tiešā veidā neesot saistītam ar ES fondu projekta īstenošanu, bet pastāvot aizdomām, vai bažām par kādu ar projekta īstenošanu saistītu nosacījumu nepietiekamu vai neatbilstošu ievērošanu, tai skaitā pie Tiesībsarga.</w:t>
            </w:r>
          </w:p>
          <w:p w14:paraId="3DD94C57" w14:textId="587E9A8D" w:rsidR="00C322EE" w:rsidRPr="00897B8C" w:rsidRDefault="00C322EE" w:rsidP="00C322EE">
            <w:pPr>
              <w:spacing w:before="0" w:after="0"/>
              <w:rPr>
                <w:rFonts w:eastAsia="Times New Roman"/>
                <w:iCs/>
                <w:noProof/>
                <w:sz w:val="20"/>
              </w:rPr>
            </w:pPr>
            <w:r w:rsidRPr="00897B8C">
              <w:rPr>
                <w:sz w:val="20"/>
              </w:rPr>
              <w:t xml:space="preserve">2) </w:t>
            </w:r>
            <w:r w:rsidRPr="00897B8C">
              <w:t> </w:t>
            </w:r>
            <w:r w:rsidRPr="00897B8C">
              <w:rPr>
                <w:sz w:val="20"/>
              </w:rPr>
              <w:t>HP VI koordinēšanas ietvarā LM eksperti pēc nepieciešamības sagatavos un publicēs skaidrojošus materiālus par dažādiem vienlīdzīgu iespēju jautājumiem, kā arī organizēs apmācību seminārus un informatīvus pasākumus par vienlīdzīgu iespēju jautājumiem (gan par vispārīgiem, gan specifiskiem) valsts un pašvaldību iestāžu darbiniekiem, ES fondu finansējuma saņēmējiem u.c. mērķa grupām, lai nodrošinātu korektu izpratni par vienlīdzīgu iespēju principu  ievērošanu.</w:t>
            </w:r>
            <w:r w:rsidRPr="00897B8C">
              <w:rPr>
                <w:bCs/>
                <w:sz w:val="20"/>
              </w:rPr>
              <w:t xml:space="preserve"> Hartas principu pārkāpumi tiks skatīti HP VI ietvaros tiktāl, ciktāl tas saistīts ar ES fondu ieguldījumiem, sniedzot viedokli par projektā konstatētām iespējamām neatbilstībām</w:t>
            </w:r>
            <w:r w:rsidRPr="00897B8C">
              <w:rPr>
                <w:b/>
                <w:sz w:val="20"/>
              </w:rPr>
              <w:t>.</w:t>
            </w:r>
          </w:p>
        </w:tc>
      </w:tr>
      <w:tr w:rsidR="00C322EE" w:rsidRPr="00C41EB8" w14:paraId="5606FB6C" w14:textId="77777777" w:rsidTr="00A73208">
        <w:tc>
          <w:tcPr>
            <w:tcW w:w="562" w:type="dxa"/>
          </w:tcPr>
          <w:p w14:paraId="79358982" w14:textId="77777777" w:rsidR="00C322EE" w:rsidRPr="00C41EB8" w:rsidRDefault="00C322EE" w:rsidP="00C322EE">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15E943F4" w14:textId="77777777" w:rsidR="00C322EE" w:rsidRPr="00C41EB8" w:rsidRDefault="00C322EE" w:rsidP="00C322EE">
            <w:pPr>
              <w:spacing w:before="0" w:after="0"/>
              <w:jc w:val="left"/>
              <w:rPr>
                <w:noProof/>
                <w:sz w:val="20"/>
              </w:rPr>
            </w:pPr>
          </w:p>
        </w:tc>
        <w:tc>
          <w:tcPr>
            <w:tcW w:w="851" w:type="dxa"/>
            <w:vMerge/>
          </w:tcPr>
          <w:p w14:paraId="30E0A7B5" w14:textId="77777777" w:rsidR="00C322EE" w:rsidRPr="00C41EB8" w:rsidRDefault="00C322EE" w:rsidP="00C322EE">
            <w:pPr>
              <w:spacing w:before="0" w:after="0"/>
              <w:jc w:val="left"/>
              <w:rPr>
                <w:rFonts w:eastAsia="Times New Roman"/>
                <w:iCs/>
                <w:noProof/>
                <w:sz w:val="20"/>
              </w:rPr>
            </w:pPr>
          </w:p>
        </w:tc>
        <w:tc>
          <w:tcPr>
            <w:tcW w:w="1134" w:type="dxa"/>
            <w:vMerge/>
          </w:tcPr>
          <w:p w14:paraId="358E89D8" w14:textId="77777777" w:rsidR="00C322EE" w:rsidRPr="00C41EB8" w:rsidRDefault="00C322EE" w:rsidP="00C322EE">
            <w:pPr>
              <w:spacing w:before="0" w:after="0"/>
              <w:jc w:val="left"/>
              <w:rPr>
                <w:rFonts w:eastAsia="Times New Roman"/>
                <w:iCs/>
                <w:noProof/>
                <w:sz w:val="20"/>
              </w:rPr>
            </w:pPr>
          </w:p>
        </w:tc>
        <w:tc>
          <w:tcPr>
            <w:tcW w:w="850" w:type="dxa"/>
            <w:vMerge/>
          </w:tcPr>
          <w:p w14:paraId="384AFB10" w14:textId="77777777" w:rsidR="00C322EE" w:rsidRPr="00C41EB8" w:rsidRDefault="00C322EE" w:rsidP="00C322EE">
            <w:pPr>
              <w:spacing w:before="0" w:after="0"/>
              <w:jc w:val="left"/>
              <w:rPr>
                <w:rFonts w:eastAsia="Times New Roman"/>
                <w:iCs/>
                <w:noProof/>
                <w:sz w:val="20"/>
              </w:rPr>
            </w:pPr>
          </w:p>
        </w:tc>
        <w:tc>
          <w:tcPr>
            <w:tcW w:w="2410" w:type="dxa"/>
          </w:tcPr>
          <w:p w14:paraId="2F8E5541" w14:textId="77777777" w:rsidR="00C322EE" w:rsidRPr="00C41EB8" w:rsidRDefault="00C322EE" w:rsidP="00C322EE">
            <w:pPr>
              <w:spacing w:before="0" w:after="0"/>
              <w:ind w:left="3"/>
              <w:jc w:val="left"/>
              <w:rPr>
                <w:noProof/>
                <w:sz w:val="20"/>
              </w:rPr>
            </w:pPr>
            <w:r w:rsidRPr="00C41EB8">
              <w:rPr>
                <w:noProof/>
                <w:sz w:val="20"/>
              </w:rPr>
              <w:t>2.Ziņošanas kārtību uzraudzības komitejai par attiecīgajām lietām saistībā ar ES Pamattiesību hartas ievērošanu</w:t>
            </w:r>
          </w:p>
        </w:tc>
        <w:tc>
          <w:tcPr>
            <w:tcW w:w="1134" w:type="dxa"/>
          </w:tcPr>
          <w:p w14:paraId="02695A2F" w14:textId="77777777" w:rsidR="00C322EE" w:rsidRPr="00C41EB8" w:rsidRDefault="00C322EE" w:rsidP="00C322EE">
            <w:pPr>
              <w:pStyle w:val="ListParagraph"/>
              <w:spacing w:after="0" w:line="240" w:lineRule="auto"/>
              <w:ind w:left="317"/>
              <w:rPr>
                <w:rFonts w:ascii="Times New Roman" w:hAnsi="Times New Roman" w:cs="Times New Roman"/>
                <w:noProof/>
                <w:sz w:val="20"/>
                <w:szCs w:val="20"/>
              </w:rPr>
            </w:pPr>
            <w:r w:rsidRPr="00C41EB8">
              <w:rPr>
                <w:rFonts w:ascii="Times New Roman" w:hAnsi="Times New Roman" w:cs="Times New Roman"/>
                <w:noProof/>
                <w:sz w:val="20"/>
                <w:szCs w:val="20"/>
              </w:rPr>
              <w:t>Nē</w:t>
            </w:r>
          </w:p>
        </w:tc>
        <w:tc>
          <w:tcPr>
            <w:tcW w:w="2410" w:type="dxa"/>
          </w:tcPr>
          <w:p w14:paraId="37A2CD8B" w14:textId="77777777" w:rsidR="00C322EE" w:rsidRPr="00A4471D" w:rsidRDefault="00C322EE" w:rsidP="00C322EE">
            <w:pPr>
              <w:spacing w:before="0" w:after="0"/>
              <w:rPr>
                <w:noProof/>
                <w:sz w:val="20"/>
              </w:rPr>
            </w:pPr>
            <w:r w:rsidRPr="00A4471D">
              <w:rPr>
                <w:noProof/>
                <w:sz w:val="20"/>
              </w:rPr>
              <w:t>2.</w:t>
            </w:r>
            <w:r>
              <w:rPr>
                <w:noProof/>
                <w:sz w:val="20"/>
              </w:rPr>
              <w:t xml:space="preserve"> </w:t>
            </w:r>
            <w:r w:rsidRPr="00A4471D">
              <w:rPr>
                <w:noProof/>
                <w:sz w:val="20"/>
              </w:rPr>
              <w:t>kritērija izpilde:</w:t>
            </w:r>
          </w:p>
          <w:p w14:paraId="7BB42AB5" w14:textId="77777777" w:rsidR="00C322EE" w:rsidRPr="00A4471D" w:rsidRDefault="00C322EE" w:rsidP="00C322EE">
            <w:pPr>
              <w:spacing w:before="0" w:after="0"/>
              <w:rPr>
                <w:noProof/>
                <w:sz w:val="20"/>
              </w:rPr>
            </w:pPr>
            <w:r w:rsidRPr="00A4471D">
              <w:rPr>
                <w:noProof/>
                <w:sz w:val="20"/>
              </w:rPr>
              <w:t>a) Vadības un kontroles sistēmas  apraksts</w:t>
            </w:r>
            <w:r>
              <w:rPr>
                <w:noProof/>
                <w:sz w:val="20"/>
              </w:rPr>
              <w:t xml:space="preserve"> (projekts)</w:t>
            </w:r>
            <w:r w:rsidRPr="00A4471D">
              <w:rPr>
                <w:noProof/>
                <w:sz w:val="20"/>
              </w:rPr>
              <w:t>;</w:t>
            </w:r>
          </w:p>
          <w:p w14:paraId="4B84BAF3" w14:textId="49D75119" w:rsidR="00C322EE" w:rsidRPr="00C41EB8" w:rsidRDefault="00C322EE" w:rsidP="00C322EE">
            <w:pPr>
              <w:spacing w:before="0" w:after="0"/>
              <w:jc w:val="left"/>
              <w:rPr>
                <w:noProof/>
                <w:sz w:val="20"/>
              </w:rPr>
            </w:pPr>
            <w:r w:rsidRPr="00A4471D">
              <w:rPr>
                <w:sz w:val="20"/>
              </w:rPr>
              <w:t>b) Kārtība, kādā sūdzību izskatošās iestādes gadījumos, kad pārkāpumi saistīti ar ES fondu ieguldījumiem, ziņo LM un kādā LM sniedz informāciju uzraudzības komitejai par ES fondu atbalstīto darbību neatbilstību Pamattiesību hartā ietverto vienlīdzīgu iespēju principiem un sūdzības par ES Pamattiesību hartas pārkāpumiem</w:t>
            </w:r>
            <w:r>
              <w:rPr>
                <w:sz w:val="20"/>
              </w:rPr>
              <w:t xml:space="preserve"> (tiks izstrādāta)</w:t>
            </w:r>
            <w:r w:rsidRPr="00A4471D">
              <w:rPr>
                <w:sz w:val="20"/>
              </w:rPr>
              <w:t>.</w:t>
            </w:r>
          </w:p>
        </w:tc>
        <w:tc>
          <w:tcPr>
            <w:tcW w:w="3686" w:type="dxa"/>
          </w:tcPr>
          <w:p w14:paraId="46300594" w14:textId="77777777" w:rsidR="00C322EE" w:rsidRPr="00A4471D" w:rsidRDefault="00C322EE" w:rsidP="00C322EE">
            <w:pPr>
              <w:spacing w:before="0" w:after="0"/>
              <w:rPr>
                <w:sz w:val="20"/>
              </w:rPr>
            </w:pPr>
            <w:r w:rsidRPr="00A4471D">
              <w:rPr>
                <w:sz w:val="20"/>
              </w:rPr>
              <w:t>LM sagatavos kārtību, kādā sūdzību izskatošās iestādes gadījumos, kad pārkāpumi saistīti ar ES fondu ieguldījumiem, ziņo LM un kādā LM sniedz informāciju Uzraudzības komitejai par ES fondu atbalstīto darbību neatbilstību ES Pamattiesību hartā ietverto vienlīdzīgu iespēju principiem un sūdzības par ES Pamattiesību hartas pārkāpumiem.</w:t>
            </w:r>
          </w:p>
          <w:p w14:paraId="5D5D0EA0" w14:textId="3B52E38B" w:rsidR="00C322EE" w:rsidRPr="00EB4B3B" w:rsidRDefault="00C322EE" w:rsidP="00C322EE">
            <w:pPr>
              <w:spacing w:before="0" w:after="0"/>
              <w:rPr>
                <w:rFonts w:eastAsia="Times New Roman"/>
                <w:iCs/>
                <w:noProof/>
                <w:sz w:val="20"/>
              </w:rPr>
            </w:pPr>
            <w:r w:rsidRPr="00A4471D">
              <w:rPr>
                <w:sz w:val="20"/>
              </w:rPr>
              <w:t>Minētā kārtība tiks izstrādāta vienlaikus ar ES fondu 2021.–2027. gada plānošanas perioda normatīvo regulējumu, tostarp kārtība tiks ietverta LM kā par horizontālā principa “Vienlīdzība, iekļaušana un nediskriminācija” koordinējošās institūcijas horizontālā principa ieviešanas metodoloģijā, paredzot kārtību, kā notiek ziņošana UK, sadarbība un sūdzību izskatīšana par  iespējamām neatbilstībām (LM, TM, T</w:t>
            </w:r>
            <w:r>
              <w:rPr>
                <w:sz w:val="20"/>
              </w:rPr>
              <w:t>iesībsargs</w:t>
            </w:r>
            <w:r w:rsidRPr="00A4471D">
              <w:rPr>
                <w:sz w:val="20"/>
              </w:rPr>
              <w:t>, UK).</w:t>
            </w:r>
          </w:p>
        </w:tc>
      </w:tr>
      <w:tr w:rsidR="007545BD" w:rsidRPr="00C41EB8" w14:paraId="1ACAC979" w14:textId="77777777" w:rsidTr="00A73208">
        <w:tc>
          <w:tcPr>
            <w:tcW w:w="562" w:type="dxa"/>
            <w:shd w:val="clear" w:color="auto" w:fill="D9D9D9" w:themeFill="background1" w:themeFillShade="D9"/>
          </w:tcPr>
          <w:p w14:paraId="64E83C44"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val="restart"/>
            <w:shd w:val="clear" w:color="auto" w:fill="D9D9D9" w:themeFill="background1" w:themeFillShade="D9"/>
          </w:tcPr>
          <w:p w14:paraId="3C5CFB55" w14:textId="77777777" w:rsidR="007545BD" w:rsidRPr="00C41EB8" w:rsidRDefault="007545BD" w:rsidP="00A73208">
            <w:pPr>
              <w:spacing w:before="0" w:after="0"/>
              <w:jc w:val="left"/>
              <w:rPr>
                <w:noProof/>
                <w:sz w:val="20"/>
              </w:rPr>
            </w:pPr>
            <w:r w:rsidRPr="00C41EB8">
              <w:rPr>
                <w:noProof/>
                <w:sz w:val="20"/>
              </w:rPr>
              <w:t xml:space="preserve">Horizontālais ieguldījumu priekšnosacījums Nr.4 - </w:t>
            </w:r>
            <w:r w:rsidRPr="00C41EB8">
              <w:rPr>
                <w:b/>
                <w:noProof/>
                <w:sz w:val="20"/>
              </w:rPr>
              <w:t>ANO Konvencijas par personu ar invaliditāti tiesībām (UNCRPD) īstenošana un piemērošana atbilstoši Padomes Lēmumam 2010/48/EK</w:t>
            </w:r>
          </w:p>
        </w:tc>
        <w:tc>
          <w:tcPr>
            <w:tcW w:w="851" w:type="dxa"/>
            <w:vMerge w:val="restart"/>
            <w:shd w:val="clear" w:color="auto" w:fill="D9D9D9" w:themeFill="background1" w:themeFillShade="D9"/>
          </w:tcPr>
          <w:p w14:paraId="5622C4AB"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ERAF, ESF+, KF</w:t>
            </w:r>
          </w:p>
        </w:tc>
        <w:tc>
          <w:tcPr>
            <w:tcW w:w="1134" w:type="dxa"/>
            <w:vMerge w:val="restart"/>
            <w:shd w:val="clear" w:color="auto" w:fill="D9D9D9" w:themeFill="background1" w:themeFillShade="D9"/>
          </w:tcPr>
          <w:p w14:paraId="0EDFB754"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Visi</w:t>
            </w:r>
          </w:p>
        </w:tc>
        <w:tc>
          <w:tcPr>
            <w:tcW w:w="850" w:type="dxa"/>
            <w:vMerge w:val="restart"/>
            <w:shd w:val="clear" w:color="auto" w:fill="D9D9D9" w:themeFill="background1" w:themeFillShade="D9"/>
          </w:tcPr>
          <w:p w14:paraId="3788D7E0"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Nē</w:t>
            </w:r>
          </w:p>
        </w:tc>
        <w:tc>
          <w:tcPr>
            <w:tcW w:w="2410" w:type="dxa"/>
            <w:shd w:val="clear" w:color="auto" w:fill="D9D9D9" w:themeFill="background1" w:themeFillShade="D9"/>
          </w:tcPr>
          <w:p w14:paraId="17CE755C" w14:textId="77777777" w:rsidR="007545BD" w:rsidRPr="00C41EB8" w:rsidRDefault="007545BD" w:rsidP="00A73208">
            <w:pPr>
              <w:spacing w:before="0" w:after="0"/>
              <w:ind w:left="3"/>
              <w:jc w:val="left"/>
              <w:rPr>
                <w:noProof/>
                <w:sz w:val="20"/>
              </w:rPr>
            </w:pPr>
            <w:r w:rsidRPr="00C41EB8">
              <w:rPr>
                <w:noProof/>
                <w:sz w:val="20"/>
              </w:rPr>
              <w:t xml:space="preserve">Ir sagatavots valsts regulējums ANO Konvencijas par personu ar invaliditāti tiesībām īstenošanai, tostarp: </w:t>
            </w:r>
          </w:p>
          <w:p w14:paraId="6678FAC0" w14:textId="77777777" w:rsidR="007545BD" w:rsidRPr="00C41EB8" w:rsidRDefault="007545BD" w:rsidP="00A73208">
            <w:pPr>
              <w:spacing w:before="0" w:after="0"/>
              <w:ind w:left="182" w:hanging="182"/>
              <w:jc w:val="left"/>
              <w:rPr>
                <w:noProof/>
                <w:sz w:val="20"/>
              </w:rPr>
            </w:pPr>
            <w:r w:rsidRPr="00C41EB8">
              <w:rPr>
                <w:noProof/>
                <w:sz w:val="20"/>
              </w:rPr>
              <w:t xml:space="preserve">1. Mērķi ar izmērāmiem sasniedzamiem rezultātiem, datu vākšanas un uzraudzības mehānisms; </w:t>
            </w:r>
          </w:p>
          <w:p w14:paraId="4A3877A8" w14:textId="77777777" w:rsidR="007545BD" w:rsidRPr="00C41EB8" w:rsidRDefault="007545BD" w:rsidP="00A73208">
            <w:pPr>
              <w:spacing w:before="0" w:after="0"/>
              <w:ind w:left="182" w:hanging="182"/>
              <w:jc w:val="left"/>
              <w:rPr>
                <w:noProof/>
                <w:sz w:val="20"/>
              </w:rPr>
            </w:pPr>
          </w:p>
          <w:p w14:paraId="7353550D" w14:textId="77777777" w:rsidR="007545BD" w:rsidRPr="00C41EB8" w:rsidRDefault="007545BD" w:rsidP="00A73208">
            <w:pPr>
              <w:spacing w:before="0" w:after="0"/>
              <w:ind w:left="3"/>
              <w:jc w:val="left"/>
              <w:rPr>
                <w:noProof/>
                <w:sz w:val="20"/>
              </w:rPr>
            </w:pPr>
          </w:p>
        </w:tc>
        <w:tc>
          <w:tcPr>
            <w:tcW w:w="1134" w:type="dxa"/>
            <w:shd w:val="clear" w:color="auto" w:fill="D9D9D9" w:themeFill="background1" w:themeFillShade="D9"/>
          </w:tcPr>
          <w:p w14:paraId="5EF2B893" w14:textId="77777777" w:rsidR="007545BD" w:rsidRPr="00C41EB8" w:rsidRDefault="007545BD" w:rsidP="00A73208">
            <w:pPr>
              <w:spacing w:before="0" w:after="0"/>
              <w:jc w:val="left"/>
              <w:rPr>
                <w:noProof/>
                <w:sz w:val="20"/>
              </w:rPr>
            </w:pPr>
            <w:r w:rsidRPr="00C41EB8">
              <w:rPr>
                <w:noProof/>
                <w:sz w:val="20"/>
              </w:rPr>
              <w:t>Nē</w:t>
            </w:r>
          </w:p>
          <w:p w14:paraId="209FCC20" w14:textId="77777777" w:rsidR="007545BD" w:rsidRPr="00C41EB8" w:rsidRDefault="007545BD" w:rsidP="00A73208">
            <w:pPr>
              <w:spacing w:before="0" w:after="0"/>
              <w:jc w:val="left"/>
              <w:rPr>
                <w:noProof/>
                <w:sz w:val="20"/>
              </w:rPr>
            </w:pPr>
          </w:p>
        </w:tc>
        <w:tc>
          <w:tcPr>
            <w:tcW w:w="2410" w:type="dxa"/>
            <w:shd w:val="clear" w:color="auto" w:fill="D9D9D9" w:themeFill="background1" w:themeFillShade="D9"/>
          </w:tcPr>
          <w:p w14:paraId="2D66B09B" w14:textId="77777777" w:rsidR="007545BD" w:rsidRPr="00C41EB8" w:rsidRDefault="007545BD" w:rsidP="00A73208">
            <w:pPr>
              <w:spacing w:before="0" w:after="0"/>
              <w:jc w:val="left"/>
              <w:rPr>
                <w:noProof/>
                <w:sz w:val="20"/>
              </w:rPr>
            </w:pPr>
            <w:r w:rsidRPr="00C41EB8">
              <w:rPr>
                <w:noProof/>
                <w:sz w:val="20"/>
              </w:rPr>
              <w:t>1.kritērija izpilde:</w:t>
            </w:r>
          </w:p>
          <w:p w14:paraId="57920100" w14:textId="77777777" w:rsidR="007545BD" w:rsidRPr="00C41EB8" w:rsidRDefault="007545BD" w:rsidP="00A73208">
            <w:pPr>
              <w:pStyle w:val="ListParagraph"/>
              <w:numPr>
                <w:ilvl w:val="0"/>
                <w:numId w:val="37"/>
              </w:numPr>
              <w:spacing w:after="0" w:line="240" w:lineRule="auto"/>
              <w:rPr>
                <w:rFonts w:ascii="Times New Roman" w:hAnsi="Times New Roman" w:cs="Times New Roman"/>
                <w:noProof/>
                <w:sz w:val="20"/>
                <w:szCs w:val="20"/>
              </w:rPr>
            </w:pPr>
            <w:r w:rsidRPr="00C41EB8">
              <w:rPr>
                <w:rFonts w:ascii="Times New Roman" w:hAnsi="Times New Roman" w:cs="Times New Roman"/>
                <w:noProof/>
                <w:sz w:val="20"/>
                <w:szCs w:val="20"/>
              </w:rPr>
              <w:t>Plāns ANO Konvencijas par personu ar invaliditāti tiesībām īstenošanai Latvijā 2021.–2023.gadam;</w:t>
            </w:r>
          </w:p>
          <w:p w14:paraId="173D3CE9" w14:textId="6A29B1DB" w:rsidR="007545BD" w:rsidRPr="00C41EB8" w:rsidRDefault="00F03C60" w:rsidP="00A73208">
            <w:pPr>
              <w:pStyle w:val="ListParagraph"/>
              <w:numPr>
                <w:ilvl w:val="0"/>
                <w:numId w:val="37"/>
              </w:num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MK 20.08.2019. noteikumi Nr.381 “</w:t>
            </w:r>
            <w:r w:rsidR="007545BD" w:rsidRPr="00C41EB8">
              <w:rPr>
                <w:rFonts w:ascii="Times New Roman" w:hAnsi="Times New Roman" w:cs="Times New Roman"/>
                <w:noProof/>
                <w:sz w:val="20"/>
                <w:szCs w:val="20"/>
              </w:rPr>
              <w:t>Invaliditātes informatīvās sistēmas noteikumi</w:t>
            </w:r>
            <w:r>
              <w:rPr>
                <w:rFonts w:ascii="Times New Roman" w:hAnsi="Times New Roman" w:cs="Times New Roman"/>
                <w:noProof/>
                <w:sz w:val="20"/>
                <w:szCs w:val="20"/>
              </w:rPr>
              <w:t>”</w:t>
            </w:r>
          </w:p>
        </w:tc>
        <w:tc>
          <w:tcPr>
            <w:tcW w:w="3686" w:type="dxa"/>
            <w:shd w:val="clear" w:color="auto" w:fill="D9D9D9" w:themeFill="background1" w:themeFillShade="D9"/>
          </w:tcPr>
          <w:p w14:paraId="23567D4E" w14:textId="77777777" w:rsidR="007545BD" w:rsidRPr="00C41EB8" w:rsidRDefault="007545BD" w:rsidP="00A73208">
            <w:pPr>
              <w:pStyle w:val="ListParagraph"/>
              <w:spacing w:after="0" w:line="240" w:lineRule="auto"/>
              <w:ind w:left="360"/>
              <w:jc w:val="both"/>
              <w:rPr>
                <w:rFonts w:ascii="Times New Roman" w:eastAsia="Times New Roman" w:hAnsi="Times New Roman" w:cs="Times New Roman"/>
                <w:iCs/>
                <w:noProof/>
                <w:sz w:val="20"/>
                <w:szCs w:val="20"/>
              </w:rPr>
            </w:pPr>
            <w:r w:rsidRPr="00C41EB8">
              <w:rPr>
                <w:rFonts w:ascii="Times New Roman" w:eastAsia="Times New Roman" w:hAnsi="Times New Roman" w:cs="Times New Roman"/>
                <w:iCs/>
                <w:noProof/>
                <w:sz w:val="20"/>
                <w:szCs w:val="20"/>
              </w:rPr>
              <w:t xml:space="preserve">1) 1. un 2.apakškritērija īstenošana tiks veikta atbilstoši Plānā ANO Konvencijas par personu ar invaliditāti tiesībām īstenošanai Latvijā 2021.– 2023.gadam noteiktajam. </w:t>
            </w:r>
          </w:p>
          <w:p w14:paraId="4811D7D3" w14:textId="77777777" w:rsidR="007545BD" w:rsidRPr="00C41EB8" w:rsidRDefault="007545BD" w:rsidP="00A73208">
            <w:pPr>
              <w:pStyle w:val="ListParagraph"/>
              <w:spacing w:after="0" w:line="240" w:lineRule="auto"/>
              <w:ind w:left="360"/>
              <w:jc w:val="both"/>
              <w:rPr>
                <w:rFonts w:ascii="Times New Roman" w:eastAsia="Times New Roman" w:hAnsi="Times New Roman" w:cs="Times New Roman"/>
                <w:iCs/>
                <w:noProof/>
                <w:sz w:val="20"/>
                <w:szCs w:val="20"/>
              </w:rPr>
            </w:pPr>
            <w:r w:rsidRPr="00C41EB8">
              <w:rPr>
                <w:rFonts w:ascii="Times New Roman" w:eastAsia="Times New Roman" w:hAnsi="Times New Roman" w:cs="Times New Roman"/>
                <w:iCs/>
                <w:noProof/>
                <w:sz w:val="20"/>
                <w:szCs w:val="20"/>
              </w:rPr>
              <w:t>LM 2021.gada sākumā izstrādā politikas plānošanas dokumentu invaliditātes politikas attīstībai Plāns invaliditātes politikas pilnveidošanai un attīstībai 2021.-2023.gadam (nosaukums, iespējams, vēl var tikt precizēts) (turpmāk – Plāns), kas tostarp paredz ANO Konvencijā par personu ar invaliditāti tiesībām noteikto principu pakāpenisku ieviešanu. Plāns paredz dažādus pasākumus invaliditātes noteikšanas sistēmas pilnveidošanai, personu ar invaliditāti nodarbinātības veicināšanai, atbalsta pasākumus invaliditātes seku mazināšanai (gan finansiālo, gan pakalpojumu) pilnveidošanu, pasākumus vides pieejamības veicināšanai un stereotipu mazināšanai, kā arī pasākumus starpnozaru līmenī vienlīdzīgu iespēju stiprināšanai. Plānu paredzēts apstiprināt 2021.gada 1.pusgadā.</w:t>
            </w:r>
          </w:p>
          <w:p w14:paraId="6F91A639" w14:textId="77777777" w:rsidR="007545BD" w:rsidRPr="00C41EB8" w:rsidRDefault="007545BD" w:rsidP="00A73208">
            <w:pPr>
              <w:pStyle w:val="ListParagraph"/>
              <w:spacing w:after="0" w:line="240" w:lineRule="auto"/>
              <w:ind w:left="360"/>
              <w:jc w:val="both"/>
              <w:rPr>
                <w:rFonts w:ascii="Times New Roman" w:eastAsia="Times New Roman" w:hAnsi="Times New Roman" w:cs="Times New Roman"/>
                <w:iCs/>
                <w:noProof/>
                <w:sz w:val="20"/>
                <w:szCs w:val="20"/>
              </w:rPr>
            </w:pPr>
            <w:r w:rsidRPr="00C41EB8">
              <w:rPr>
                <w:rFonts w:ascii="Times New Roman" w:eastAsia="Times New Roman" w:hAnsi="Times New Roman" w:cs="Times New Roman"/>
                <w:iCs/>
                <w:noProof/>
                <w:sz w:val="20"/>
                <w:szCs w:val="20"/>
              </w:rPr>
              <w:t>2) 1. un 2.apakškritērija īstenošana tiek veikta atbilstoši MK noteikumos Nr.381 “Invaliditātes informatīvās sistēmas noteikumi” noteiktajam. Invaliditātes informatīvās sistēmas mērķis ir nodrošināt personu ar prognozējamu invaliditāti un personu ar invaliditāti uzskaiti, kas nepieciešama sociālās drošības sistēmas maksājumu un citu valsts noteikto atvieglojumu piešķiršanai, palīdzības sniegšanai personām ar invaliditāti, invaliditātes riska un invaliditātes seku mazināšanai, kā arī veidot statistiku, lai plānotu, izstrādātu un novērtētu valsts politiku invaliditātes jomā un nodrošinātu citu Veselības un darbspēju ekspertīzes ārstu valsts komisijas funkciju izpildi.</w:t>
            </w:r>
          </w:p>
          <w:p w14:paraId="41A2BA1D" w14:textId="77777777" w:rsidR="007545BD" w:rsidRPr="00C41EB8" w:rsidRDefault="007545BD" w:rsidP="00A73208">
            <w:pPr>
              <w:pStyle w:val="ListParagraph"/>
              <w:spacing w:after="0" w:line="240" w:lineRule="auto"/>
              <w:ind w:left="360"/>
              <w:jc w:val="both"/>
              <w:rPr>
                <w:rFonts w:ascii="Times New Roman" w:eastAsia="Times New Roman" w:hAnsi="Times New Roman" w:cs="Times New Roman"/>
                <w:iCs/>
                <w:noProof/>
                <w:sz w:val="20"/>
                <w:szCs w:val="20"/>
              </w:rPr>
            </w:pPr>
          </w:p>
        </w:tc>
      </w:tr>
      <w:tr w:rsidR="007545BD" w:rsidRPr="00C41EB8" w14:paraId="76E36FDC" w14:textId="77777777" w:rsidTr="00A73208">
        <w:tc>
          <w:tcPr>
            <w:tcW w:w="562" w:type="dxa"/>
            <w:shd w:val="clear" w:color="auto" w:fill="D9D9D9" w:themeFill="background1" w:themeFillShade="D9"/>
          </w:tcPr>
          <w:p w14:paraId="709FDFC0"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D9D9D9" w:themeFill="background1" w:themeFillShade="D9"/>
          </w:tcPr>
          <w:p w14:paraId="4057BCD0" w14:textId="77777777" w:rsidR="007545BD" w:rsidRPr="00C41EB8" w:rsidRDefault="007545BD" w:rsidP="00A73208">
            <w:pPr>
              <w:spacing w:before="0" w:after="0"/>
              <w:jc w:val="left"/>
              <w:rPr>
                <w:noProof/>
                <w:sz w:val="20"/>
              </w:rPr>
            </w:pPr>
          </w:p>
        </w:tc>
        <w:tc>
          <w:tcPr>
            <w:tcW w:w="851" w:type="dxa"/>
            <w:vMerge/>
            <w:shd w:val="clear" w:color="auto" w:fill="D9D9D9" w:themeFill="background1" w:themeFillShade="D9"/>
          </w:tcPr>
          <w:p w14:paraId="00F35F58" w14:textId="77777777" w:rsidR="007545BD" w:rsidRPr="00C41EB8" w:rsidRDefault="007545BD" w:rsidP="00A73208">
            <w:pPr>
              <w:spacing w:before="0" w:after="0"/>
              <w:jc w:val="left"/>
              <w:rPr>
                <w:rFonts w:eastAsia="Times New Roman"/>
                <w:iCs/>
                <w:noProof/>
                <w:sz w:val="20"/>
              </w:rPr>
            </w:pPr>
          </w:p>
        </w:tc>
        <w:tc>
          <w:tcPr>
            <w:tcW w:w="1134" w:type="dxa"/>
            <w:vMerge/>
            <w:shd w:val="clear" w:color="auto" w:fill="D9D9D9" w:themeFill="background1" w:themeFillShade="D9"/>
          </w:tcPr>
          <w:p w14:paraId="139D560A" w14:textId="77777777" w:rsidR="007545BD" w:rsidRPr="00C41EB8" w:rsidRDefault="007545BD" w:rsidP="00A73208">
            <w:pPr>
              <w:spacing w:before="0" w:after="0"/>
              <w:jc w:val="left"/>
              <w:rPr>
                <w:rFonts w:eastAsia="Times New Roman"/>
                <w:iCs/>
                <w:noProof/>
                <w:sz w:val="20"/>
              </w:rPr>
            </w:pPr>
          </w:p>
        </w:tc>
        <w:tc>
          <w:tcPr>
            <w:tcW w:w="850" w:type="dxa"/>
            <w:vMerge/>
            <w:shd w:val="clear" w:color="auto" w:fill="D9D9D9" w:themeFill="background1" w:themeFillShade="D9"/>
          </w:tcPr>
          <w:p w14:paraId="15FA716A" w14:textId="77777777" w:rsidR="007545BD" w:rsidRPr="00C41EB8" w:rsidRDefault="007545BD" w:rsidP="00A73208">
            <w:pPr>
              <w:spacing w:before="0" w:after="0"/>
              <w:jc w:val="left"/>
              <w:rPr>
                <w:rFonts w:eastAsia="Times New Roman"/>
                <w:iCs/>
                <w:noProof/>
                <w:sz w:val="20"/>
              </w:rPr>
            </w:pPr>
          </w:p>
        </w:tc>
        <w:tc>
          <w:tcPr>
            <w:tcW w:w="2410" w:type="dxa"/>
            <w:shd w:val="clear" w:color="auto" w:fill="D9D9D9" w:themeFill="background1" w:themeFillShade="D9"/>
          </w:tcPr>
          <w:p w14:paraId="43DD9BD4" w14:textId="77777777" w:rsidR="007545BD" w:rsidRPr="00C41EB8" w:rsidRDefault="007545BD" w:rsidP="00A73208">
            <w:pPr>
              <w:spacing w:before="0" w:after="0"/>
              <w:ind w:left="3"/>
              <w:jc w:val="left"/>
              <w:rPr>
                <w:noProof/>
                <w:sz w:val="20"/>
              </w:rPr>
            </w:pPr>
            <w:r w:rsidRPr="00C41EB8">
              <w:rPr>
                <w:noProof/>
                <w:sz w:val="20"/>
              </w:rPr>
              <w:t>2.Kārtība, kas nodrošina, ka pieejamības politika, tiesību akti un standarti ir pienācīgi atspoguļoti programmu sagatavošanā un īstenošanā.</w:t>
            </w:r>
          </w:p>
        </w:tc>
        <w:tc>
          <w:tcPr>
            <w:tcW w:w="1134" w:type="dxa"/>
            <w:shd w:val="clear" w:color="auto" w:fill="D9D9D9" w:themeFill="background1" w:themeFillShade="D9"/>
          </w:tcPr>
          <w:p w14:paraId="27AFEB92" w14:textId="77777777" w:rsidR="007545BD" w:rsidRPr="00C41EB8" w:rsidRDefault="007545BD" w:rsidP="00A73208">
            <w:pPr>
              <w:spacing w:before="0" w:after="0"/>
              <w:jc w:val="left"/>
              <w:rPr>
                <w:noProof/>
                <w:sz w:val="20"/>
              </w:rPr>
            </w:pPr>
            <w:r w:rsidRPr="00C41EB8">
              <w:rPr>
                <w:noProof/>
                <w:sz w:val="20"/>
              </w:rPr>
              <w:t>Nē</w:t>
            </w:r>
          </w:p>
        </w:tc>
        <w:tc>
          <w:tcPr>
            <w:tcW w:w="2410" w:type="dxa"/>
            <w:shd w:val="clear" w:color="auto" w:fill="D9D9D9" w:themeFill="background1" w:themeFillShade="D9"/>
          </w:tcPr>
          <w:p w14:paraId="22ED1037" w14:textId="77777777" w:rsidR="007545BD" w:rsidRPr="00C41EB8" w:rsidRDefault="007545BD" w:rsidP="00A73208">
            <w:pPr>
              <w:spacing w:before="0" w:after="0"/>
              <w:jc w:val="left"/>
              <w:rPr>
                <w:noProof/>
                <w:sz w:val="20"/>
              </w:rPr>
            </w:pPr>
            <w:r w:rsidRPr="00C41EB8">
              <w:rPr>
                <w:noProof/>
                <w:sz w:val="20"/>
              </w:rPr>
              <w:t>2.kritērija izpilde:</w:t>
            </w:r>
          </w:p>
          <w:p w14:paraId="7B93CF17" w14:textId="77777777" w:rsidR="007545BD" w:rsidRPr="00C41EB8" w:rsidRDefault="007545BD" w:rsidP="00A73208">
            <w:pPr>
              <w:pStyle w:val="ListParagraph"/>
              <w:numPr>
                <w:ilvl w:val="0"/>
                <w:numId w:val="38"/>
              </w:numPr>
              <w:spacing w:after="0" w:line="240" w:lineRule="auto"/>
              <w:rPr>
                <w:rFonts w:ascii="Times New Roman" w:hAnsi="Times New Roman" w:cs="Times New Roman"/>
                <w:noProof/>
                <w:sz w:val="20"/>
                <w:szCs w:val="20"/>
              </w:rPr>
            </w:pPr>
            <w:r w:rsidRPr="00C41EB8">
              <w:rPr>
                <w:rFonts w:ascii="Times New Roman" w:hAnsi="Times New Roman" w:cs="Times New Roman"/>
                <w:noProof/>
                <w:sz w:val="20"/>
                <w:szCs w:val="20"/>
              </w:rPr>
              <w:t>Plāns ANO Konvencijas par personu ar invaliditāti tiesībām īstenošanai Latvijā 2021.–2023.gadam (Labklājības ministrija;</w:t>
            </w:r>
          </w:p>
          <w:p w14:paraId="707C9FA3" w14:textId="1576FCD7" w:rsidR="007545BD" w:rsidRPr="00C41EB8" w:rsidRDefault="006F42D6" w:rsidP="00A73208">
            <w:pPr>
              <w:pStyle w:val="ListParagraph"/>
              <w:numPr>
                <w:ilvl w:val="0"/>
                <w:numId w:val="38"/>
              </w:num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MK 20.08.2019. noteikumi Nr.381 “</w:t>
            </w:r>
            <w:r w:rsidRPr="00C41EB8">
              <w:rPr>
                <w:rFonts w:ascii="Times New Roman" w:hAnsi="Times New Roman" w:cs="Times New Roman"/>
                <w:noProof/>
                <w:sz w:val="20"/>
                <w:szCs w:val="20"/>
              </w:rPr>
              <w:t>Invaliditātes informatīvās sistēmas noteikumi</w:t>
            </w:r>
            <w:r>
              <w:rPr>
                <w:rFonts w:ascii="Times New Roman" w:hAnsi="Times New Roman" w:cs="Times New Roman"/>
                <w:noProof/>
                <w:sz w:val="20"/>
                <w:szCs w:val="20"/>
              </w:rPr>
              <w:t>”</w:t>
            </w:r>
          </w:p>
        </w:tc>
        <w:tc>
          <w:tcPr>
            <w:tcW w:w="3686" w:type="dxa"/>
            <w:shd w:val="clear" w:color="auto" w:fill="D9D9D9" w:themeFill="background1" w:themeFillShade="D9"/>
          </w:tcPr>
          <w:p w14:paraId="78051AD6" w14:textId="77777777" w:rsidR="007545BD" w:rsidRPr="00C41EB8" w:rsidRDefault="007545BD" w:rsidP="00A73208">
            <w:pPr>
              <w:pStyle w:val="ListParagraph"/>
              <w:spacing w:after="0" w:line="240" w:lineRule="auto"/>
              <w:ind w:left="360"/>
              <w:jc w:val="both"/>
              <w:rPr>
                <w:rFonts w:ascii="Times New Roman" w:eastAsia="Times New Roman" w:hAnsi="Times New Roman" w:cs="Times New Roman"/>
                <w:iCs/>
                <w:noProof/>
                <w:sz w:val="20"/>
                <w:szCs w:val="20"/>
              </w:rPr>
            </w:pPr>
            <w:r w:rsidRPr="00C41EB8">
              <w:rPr>
                <w:rFonts w:ascii="Times New Roman" w:eastAsia="Times New Roman" w:hAnsi="Times New Roman" w:cs="Times New Roman"/>
                <w:iCs/>
                <w:noProof/>
                <w:sz w:val="20"/>
                <w:szCs w:val="20"/>
              </w:rPr>
              <w:t>1) un 2) skat. informāciju augstāk.</w:t>
            </w:r>
          </w:p>
        </w:tc>
      </w:tr>
      <w:tr w:rsidR="007545BD" w:rsidRPr="00E937D8" w14:paraId="4E6B2EAF" w14:textId="77777777" w:rsidTr="00A73208">
        <w:tc>
          <w:tcPr>
            <w:tcW w:w="562" w:type="dxa"/>
            <w:shd w:val="clear" w:color="auto" w:fill="D9D9D9" w:themeFill="background1" w:themeFillShade="D9"/>
          </w:tcPr>
          <w:p w14:paraId="0E474F53" w14:textId="77777777" w:rsidR="007545BD" w:rsidRPr="00E937D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D9D9D9" w:themeFill="background1" w:themeFillShade="D9"/>
          </w:tcPr>
          <w:p w14:paraId="60BAD521" w14:textId="77777777" w:rsidR="007545BD" w:rsidRPr="00E937D8" w:rsidRDefault="007545BD" w:rsidP="00A73208">
            <w:pPr>
              <w:spacing w:before="0" w:after="0"/>
              <w:jc w:val="left"/>
              <w:rPr>
                <w:sz w:val="20"/>
              </w:rPr>
            </w:pPr>
          </w:p>
        </w:tc>
        <w:tc>
          <w:tcPr>
            <w:tcW w:w="851" w:type="dxa"/>
            <w:vMerge/>
            <w:shd w:val="clear" w:color="auto" w:fill="D9D9D9" w:themeFill="background1" w:themeFillShade="D9"/>
          </w:tcPr>
          <w:p w14:paraId="7A8F32BE" w14:textId="77777777" w:rsidR="007545BD" w:rsidRPr="00E937D8" w:rsidRDefault="007545BD" w:rsidP="00A73208">
            <w:pPr>
              <w:spacing w:before="0" w:after="0"/>
              <w:jc w:val="left"/>
              <w:rPr>
                <w:sz w:val="20"/>
              </w:rPr>
            </w:pPr>
          </w:p>
        </w:tc>
        <w:tc>
          <w:tcPr>
            <w:tcW w:w="1134" w:type="dxa"/>
            <w:vMerge/>
            <w:shd w:val="clear" w:color="auto" w:fill="D9D9D9" w:themeFill="background1" w:themeFillShade="D9"/>
          </w:tcPr>
          <w:p w14:paraId="629AA878" w14:textId="77777777" w:rsidR="007545BD" w:rsidRPr="00E937D8" w:rsidRDefault="007545BD" w:rsidP="00A73208">
            <w:pPr>
              <w:spacing w:before="0" w:after="0"/>
              <w:jc w:val="left"/>
              <w:rPr>
                <w:sz w:val="20"/>
              </w:rPr>
            </w:pPr>
          </w:p>
        </w:tc>
        <w:tc>
          <w:tcPr>
            <w:tcW w:w="850" w:type="dxa"/>
            <w:vMerge/>
            <w:shd w:val="clear" w:color="auto" w:fill="D9D9D9" w:themeFill="background1" w:themeFillShade="D9"/>
          </w:tcPr>
          <w:p w14:paraId="623DF0C3" w14:textId="77777777" w:rsidR="007545BD" w:rsidRPr="00E937D8" w:rsidRDefault="007545BD" w:rsidP="00A73208">
            <w:pPr>
              <w:spacing w:before="0" w:after="0"/>
              <w:jc w:val="left"/>
              <w:rPr>
                <w:sz w:val="20"/>
              </w:rPr>
            </w:pPr>
          </w:p>
        </w:tc>
        <w:tc>
          <w:tcPr>
            <w:tcW w:w="2410" w:type="dxa"/>
            <w:shd w:val="clear" w:color="auto" w:fill="D9D9D9" w:themeFill="background1" w:themeFillShade="D9"/>
          </w:tcPr>
          <w:p w14:paraId="7D4A5BA0" w14:textId="77777777" w:rsidR="007545BD" w:rsidRPr="00E937D8" w:rsidRDefault="007545BD" w:rsidP="00A73208">
            <w:pPr>
              <w:spacing w:before="0" w:after="0"/>
              <w:jc w:val="left"/>
              <w:rPr>
                <w:sz w:val="20"/>
              </w:rPr>
            </w:pPr>
            <w:r w:rsidRPr="00E937D8">
              <w:rPr>
                <w:sz w:val="20"/>
              </w:rPr>
              <w:t>2.a Ziņojumu sniegšanas kārtība uzraudzības komitejai par fondu atbalstīto darbību neatbilstību ANO Konvencijas par personu ar invaliditāti tiesībām un sūdzības par ANO Konvencijas par personu ar invaliditāti tiesībām pārkāpumiem, kas iesniegtas saskaņā ar pasākumiem, kuri veikti saskaņā ar KNR 63. panta 6. punktu.</w:t>
            </w:r>
          </w:p>
        </w:tc>
        <w:tc>
          <w:tcPr>
            <w:tcW w:w="1134" w:type="dxa"/>
            <w:shd w:val="clear" w:color="auto" w:fill="D9D9D9" w:themeFill="background1" w:themeFillShade="D9"/>
          </w:tcPr>
          <w:p w14:paraId="28AA13D2" w14:textId="77777777" w:rsidR="007545BD" w:rsidRPr="00E937D8" w:rsidRDefault="007545BD" w:rsidP="00A73208">
            <w:pPr>
              <w:spacing w:before="0" w:after="0"/>
              <w:jc w:val="left"/>
              <w:rPr>
                <w:sz w:val="20"/>
              </w:rPr>
            </w:pPr>
            <w:r w:rsidRPr="00E937D8">
              <w:rPr>
                <w:rFonts w:eastAsia="Times New Roman"/>
                <w:iCs/>
                <w:noProof/>
                <w:sz w:val="20"/>
              </w:rPr>
              <w:t xml:space="preserve"> Nē</w:t>
            </w:r>
          </w:p>
        </w:tc>
        <w:tc>
          <w:tcPr>
            <w:tcW w:w="2410" w:type="dxa"/>
            <w:shd w:val="clear" w:color="auto" w:fill="D9D9D9" w:themeFill="background1" w:themeFillShade="D9"/>
          </w:tcPr>
          <w:p w14:paraId="1FC71B29" w14:textId="77777777" w:rsidR="007545BD" w:rsidRPr="00E937D8" w:rsidRDefault="007545BD" w:rsidP="00A73208">
            <w:pPr>
              <w:spacing w:before="0" w:after="0"/>
              <w:jc w:val="left"/>
              <w:rPr>
                <w:rFonts w:eastAsia="Times New Roman"/>
                <w:iCs/>
                <w:noProof/>
                <w:sz w:val="20"/>
              </w:rPr>
            </w:pPr>
            <w:r w:rsidRPr="00E937D8">
              <w:rPr>
                <w:rFonts w:eastAsia="Times New Roman"/>
                <w:iCs/>
                <w:noProof/>
                <w:sz w:val="20"/>
              </w:rPr>
              <w:t>1) ES fondu 2021-2027.gada plānošanas perioda normatīvais regulējums;</w:t>
            </w:r>
          </w:p>
          <w:p w14:paraId="3469AC64" w14:textId="1A421479" w:rsidR="007545BD" w:rsidRPr="00E937D8" w:rsidRDefault="007545BD" w:rsidP="00A73208">
            <w:pPr>
              <w:spacing w:before="0" w:after="0"/>
              <w:jc w:val="left"/>
              <w:rPr>
                <w:sz w:val="20"/>
              </w:rPr>
            </w:pPr>
            <w:r w:rsidRPr="00E937D8">
              <w:rPr>
                <w:sz w:val="20"/>
              </w:rPr>
              <w:t xml:space="preserve">2) Saskaņā ar </w:t>
            </w:r>
            <w:r w:rsidR="006F42D6">
              <w:rPr>
                <w:sz w:val="20"/>
              </w:rPr>
              <w:t>17.02.</w:t>
            </w:r>
            <w:r w:rsidRPr="00E937D8">
              <w:rPr>
                <w:sz w:val="20"/>
              </w:rPr>
              <w:t>2010. likumu “Par</w:t>
            </w:r>
          </w:p>
          <w:p w14:paraId="55075085" w14:textId="77777777" w:rsidR="007545BD" w:rsidRPr="00E937D8" w:rsidRDefault="007545BD" w:rsidP="00A73208">
            <w:pPr>
              <w:spacing w:before="0" w:after="0"/>
              <w:jc w:val="left"/>
              <w:rPr>
                <w:sz w:val="20"/>
              </w:rPr>
            </w:pPr>
            <w:r w:rsidRPr="00E937D8">
              <w:rPr>
                <w:sz w:val="20"/>
              </w:rPr>
              <w:t>Konvenciju par personu ar invaliditāti tiesībām” konvencijas ieviešanu koordinē LM, bet tās</w:t>
            </w:r>
          </w:p>
          <w:p w14:paraId="14A8D024" w14:textId="77777777" w:rsidR="007545BD" w:rsidRPr="00E937D8" w:rsidRDefault="007545BD" w:rsidP="00A73208">
            <w:pPr>
              <w:spacing w:before="0" w:after="0"/>
              <w:jc w:val="left"/>
              <w:rPr>
                <w:sz w:val="20"/>
              </w:rPr>
            </w:pPr>
            <w:r w:rsidRPr="00E937D8">
              <w:rPr>
                <w:sz w:val="20"/>
              </w:rPr>
              <w:t>īstenošanu pārrauga Tiesībsarga birojs, tostarp izskata sūdzības par ANO Konvencijas par personu ar invaliditāti tiesībām pārkāpumiem.</w:t>
            </w:r>
          </w:p>
        </w:tc>
        <w:tc>
          <w:tcPr>
            <w:tcW w:w="3686" w:type="dxa"/>
            <w:shd w:val="clear" w:color="auto" w:fill="D9D9D9" w:themeFill="background1" w:themeFillShade="D9"/>
          </w:tcPr>
          <w:p w14:paraId="2B45B60B" w14:textId="77777777" w:rsidR="007545BD" w:rsidRPr="00E937D8" w:rsidRDefault="007545BD" w:rsidP="00A73208">
            <w:pPr>
              <w:spacing w:before="0" w:after="0"/>
              <w:rPr>
                <w:rFonts w:eastAsia="Times New Roman"/>
                <w:iCs/>
                <w:noProof/>
                <w:sz w:val="20"/>
              </w:rPr>
            </w:pPr>
            <w:r w:rsidRPr="00E937D8">
              <w:rPr>
                <w:rFonts w:eastAsia="Times New Roman"/>
                <w:iCs/>
                <w:noProof/>
                <w:sz w:val="20"/>
              </w:rPr>
              <w:t>Ziņojumu sniegšanas kārtība uzraudzības komitejai par ES fondu atbalstīto darbību neatbilstību ANO Konvencijas par personu ar invaliditāti tiesībām un sūdzības par ANO Konvencijas par personu ar invaliditāti tiesībām pārkāpumiem tiks izstrādāta vienlaikus ar ES fondu 2021-2027 normatīvo regulējumu, tostarp kārtība tiks ietverta LM kā par horizontālā principa “Vienlīdzība, iekļaušana, nediskriminācija un pamattiesību ievērošana” koordinējošās institūcijas horizontālā principa ieviešanas metodloģijā.</w:t>
            </w:r>
          </w:p>
          <w:p w14:paraId="2C6589FB" w14:textId="77777777" w:rsidR="007545BD" w:rsidRPr="00E937D8" w:rsidRDefault="007545BD" w:rsidP="00A73208">
            <w:pPr>
              <w:spacing w:before="0" w:after="0"/>
              <w:rPr>
                <w:bCs/>
                <w:sz w:val="20"/>
              </w:rPr>
            </w:pPr>
            <w:r w:rsidRPr="00E937D8">
              <w:rPr>
                <w:rFonts w:eastAsia="Times New Roman"/>
                <w:iCs/>
                <w:noProof/>
                <w:sz w:val="20"/>
              </w:rPr>
              <w:t>2014.-2020. periodā ir izstrādāt LM iekšējā kārtība, kā HP koordinējošā instirtūcija ziņo par iespējamām neatbilstībām CFLA.</w:t>
            </w:r>
          </w:p>
        </w:tc>
      </w:tr>
      <w:tr w:rsidR="007545BD" w:rsidRPr="00C41EB8" w14:paraId="006291CE" w14:textId="77777777" w:rsidTr="00A73208">
        <w:tc>
          <w:tcPr>
            <w:tcW w:w="562" w:type="dxa"/>
          </w:tcPr>
          <w:p w14:paraId="00EADAE0"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val="restart"/>
            <w:shd w:val="clear" w:color="auto" w:fill="auto"/>
          </w:tcPr>
          <w:p w14:paraId="4CDB7B0C" w14:textId="77777777" w:rsidR="007545BD" w:rsidRPr="00C41EB8" w:rsidRDefault="007545BD" w:rsidP="00A73208">
            <w:pPr>
              <w:spacing w:before="0" w:after="0"/>
              <w:jc w:val="left"/>
              <w:rPr>
                <w:sz w:val="20"/>
              </w:rPr>
            </w:pPr>
            <w:r w:rsidRPr="00C41EB8">
              <w:rPr>
                <w:sz w:val="20"/>
              </w:rPr>
              <w:t>Tematiskais priekšnosacījums Nr.1</w:t>
            </w:r>
          </w:p>
          <w:p w14:paraId="1B0C53A1" w14:textId="77777777" w:rsidR="007545BD" w:rsidRPr="00C41EB8" w:rsidRDefault="007545BD" w:rsidP="00A73208">
            <w:pPr>
              <w:spacing w:before="0" w:after="0"/>
              <w:jc w:val="left"/>
              <w:rPr>
                <w:sz w:val="20"/>
              </w:rPr>
            </w:pPr>
            <w:r w:rsidRPr="00C41EB8">
              <w:rPr>
                <w:sz w:val="20"/>
              </w:rPr>
              <w:t xml:space="preserve">Labas pārvaldības valsts vai reģionālā </w:t>
            </w:r>
            <w:r w:rsidRPr="00C41EB8">
              <w:rPr>
                <w:b/>
                <w:bCs/>
                <w:sz w:val="20"/>
              </w:rPr>
              <w:t>viedās specializācijas stratēģija</w:t>
            </w:r>
          </w:p>
        </w:tc>
        <w:tc>
          <w:tcPr>
            <w:tcW w:w="851" w:type="dxa"/>
            <w:vMerge w:val="restart"/>
            <w:shd w:val="clear" w:color="auto" w:fill="auto"/>
          </w:tcPr>
          <w:p w14:paraId="42F10561" w14:textId="77777777" w:rsidR="007545BD" w:rsidRPr="00C41EB8" w:rsidRDefault="007545BD" w:rsidP="00A73208">
            <w:pPr>
              <w:spacing w:before="0" w:after="0"/>
              <w:jc w:val="left"/>
              <w:rPr>
                <w:sz w:val="20"/>
              </w:rPr>
            </w:pPr>
            <w:r w:rsidRPr="00C41EB8">
              <w:rPr>
                <w:sz w:val="20"/>
              </w:rPr>
              <w:t>ERAF</w:t>
            </w:r>
          </w:p>
        </w:tc>
        <w:tc>
          <w:tcPr>
            <w:tcW w:w="1134" w:type="dxa"/>
            <w:vMerge w:val="restart"/>
            <w:shd w:val="clear" w:color="auto" w:fill="auto"/>
          </w:tcPr>
          <w:p w14:paraId="3368356D" w14:textId="77777777" w:rsidR="007545BD" w:rsidRPr="00C41EB8" w:rsidRDefault="007545BD" w:rsidP="00A73208">
            <w:pPr>
              <w:spacing w:before="0" w:after="0"/>
              <w:jc w:val="left"/>
              <w:rPr>
                <w:sz w:val="20"/>
              </w:rPr>
            </w:pPr>
            <w:r w:rsidRPr="00C41EB8">
              <w:rPr>
                <w:sz w:val="20"/>
              </w:rPr>
              <w:t>Visi PO1 SAM</w:t>
            </w:r>
          </w:p>
        </w:tc>
        <w:tc>
          <w:tcPr>
            <w:tcW w:w="850" w:type="dxa"/>
            <w:vMerge w:val="restart"/>
            <w:shd w:val="clear" w:color="auto" w:fill="auto"/>
          </w:tcPr>
          <w:p w14:paraId="3FD6729C" w14:textId="77777777" w:rsidR="007545BD" w:rsidRPr="00C41EB8" w:rsidRDefault="007545BD" w:rsidP="00A73208">
            <w:pPr>
              <w:spacing w:before="0" w:after="0"/>
              <w:jc w:val="left"/>
              <w:rPr>
                <w:sz w:val="20"/>
              </w:rPr>
            </w:pPr>
            <w:r w:rsidRPr="00C41EB8">
              <w:rPr>
                <w:sz w:val="20"/>
              </w:rPr>
              <w:t>Nē</w:t>
            </w:r>
          </w:p>
        </w:tc>
        <w:tc>
          <w:tcPr>
            <w:tcW w:w="2410" w:type="dxa"/>
            <w:shd w:val="clear" w:color="auto" w:fill="auto"/>
          </w:tcPr>
          <w:p w14:paraId="20F7A69C" w14:textId="77777777" w:rsidR="007545BD" w:rsidRPr="00C41EB8" w:rsidRDefault="007545BD" w:rsidP="00A73208">
            <w:pPr>
              <w:spacing w:before="0" w:after="0"/>
              <w:jc w:val="left"/>
              <w:rPr>
                <w:sz w:val="20"/>
              </w:rPr>
            </w:pPr>
            <w:r w:rsidRPr="00C41EB8">
              <w:rPr>
                <w:sz w:val="20"/>
              </w:rPr>
              <w:t>Viedās specializācijas stratēģiju (-as) jābalsta uz:</w:t>
            </w:r>
          </w:p>
          <w:p w14:paraId="57BF83A4" w14:textId="77777777" w:rsidR="007545BD" w:rsidRPr="00C41EB8" w:rsidRDefault="007545BD" w:rsidP="00A73208">
            <w:pPr>
              <w:spacing w:before="0" w:after="0"/>
              <w:jc w:val="left"/>
              <w:rPr>
                <w:sz w:val="20"/>
              </w:rPr>
            </w:pPr>
            <w:r w:rsidRPr="00C41EB8">
              <w:rPr>
                <w:sz w:val="20"/>
              </w:rPr>
              <w:t>1.</w:t>
            </w:r>
            <w:r w:rsidRPr="00C41EB8">
              <w:rPr>
                <w:sz w:val="20"/>
              </w:rPr>
              <w:tab/>
              <w:t xml:space="preserve">Izaicinājumu analīzi, tostarp trūkumiem inovāciju izplatīšanā; </w:t>
            </w:r>
          </w:p>
          <w:p w14:paraId="692A03AA" w14:textId="77777777" w:rsidR="007545BD" w:rsidRPr="00C41EB8" w:rsidRDefault="007545BD" w:rsidP="00A73208">
            <w:pPr>
              <w:spacing w:before="0" w:after="0"/>
              <w:jc w:val="left"/>
              <w:rPr>
                <w:sz w:val="20"/>
              </w:rPr>
            </w:pPr>
            <w:r w:rsidRPr="00C41EB8">
              <w:rPr>
                <w:sz w:val="20"/>
              </w:rPr>
              <w:tab/>
              <w:t xml:space="preserve"> </w:t>
            </w:r>
          </w:p>
          <w:p w14:paraId="0BDB8FD7" w14:textId="77777777" w:rsidR="007545BD" w:rsidRPr="00C41EB8" w:rsidRDefault="007545BD" w:rsidP="00A73208">
            <w:pPr>
              <w:spacing w:before="0" w:after="0"/>
              <w:jc w:val="left"/>
              <w:rPr>
                <w:sz w:val="20"/>
              </w:rPr>
            </w:pPr>
          </w:p>
          <w:p w14:paraId="0129E0FC" w14:textId="77777777" w:rsidR="007545BD" w:rsidRPr="00C41EB8" w:rsidRDefault="007545BD" w:rsidP="00A73208">
            <w:pPr>
              <w:spacing w:before="0" w:after="0"/>
              <w:jc w:val="left"/>
              <w:rPr>
                <w:sz w:val="20"/>
              </w:rPr>
            </w:pPr>
            <w:r w:rsidRPr="00C41EB8">
              <w:rPr>
                <w:sz w:val="20"/>
              </w:rPr>
              <w:t xml:space="preserve"> </w:t>
            </w:r>
          </w:p>
          <w:p w14:paraId="3EA8C7AA" w14:textId="77777777" w:rsidR="007545BD" w:rsidRPr="00C41EB8" w:rsidRDefault="007545BD" w:rsidP="00A73208">
            <w:pPr>
              <w:spacing w:before="0" w:after="0"/>
              <w:jc w:val="left"/>
              <w:rPr>
                <w:sz w:val="20"/>
              </w:rPr>
            </w:pPr>
          </w:p>
          <w:p w14:paraId="6C008D5D" w14:textId="77777777" w:rsidR="007545BD" w:rsidRPr="00C41EB8" w:rsidRDefault="007545BD" w:rsidP="00A73208">
            <w:pPr>
              <w:spacing w:before="0" w:after="0"/>
              <w:jc w:val="left"/>
              <w:rPr>
                <w:sz w:val="20"/>
              </w:rPr>
            </w:pPr>
            <w:r w:rsidRPr="00C41EB8">
              <w:rPr>
                <w:sz w:val="20"/>
              </w:rPr>
              <w:t xml:space="preserve"> </w:t>
            </w:r>
          </w:p>
          <w:p w14:paraId="6C3C0E76" w14:textId="77777777" w:rsidR="007545BD" w:rsidRPr="00C41EB8" w:rsidRDefault="007545BD" w:rsidP="00A73208">
            <w:pPr>
              <w:spacing w:before="0" w:after="0"/>
              <w:jc w:val="left"/>
              <w:rPr>
                <w:sz w:val="20"/>
              </w:rPr>
            </w:pPr>
          </w:p>
        </w:tc>
        <w:tc>
          <w:tcPr>
            <w:tcW w:w="1134" w:type="dxa"/>
            <w:shd w:val="clear" w:color="auto" w:fill="auto"/>
          </w:tcPr>
          <w:p w14:paraId="5703B170" w14:textId="77777777" w:rsidR="007545BD" w:rsidRPr="00C41EB8" w:rsidRDefault="007545BD" w:rsidP="00A73208">
            <w:pPr>
              <w:spacing w:before="0" w:after="0"/>
              <w:jc w:val="left"/>
              <w:rPr>
                <w:sz w:val="20"/>
              </w:rPr>
            </w:pPr>
            <w:r w:rsidRPr="00C41EB8">
              <w:rPr>
                <w:sz w:val="20"/>
              </w:rPr>
              <w:t>Nē</w:t>
            </w:r>
          </w:p>
        </w:tc>
        <w:tc>
          <w:tcPr>
            <w:tcW w:w="2410" w:type="dxa"/>
            <w:shd w:val="clear" w:color="auto" w:fill="auto"/>
          </w:tcPr>
          <w:p w14:paraId="43BAF72B" w14:textId="77777777" w:rsidR="007545BD" w:rsidRPr="00C41EB8" w:rsidRDefault="007545BD" w:rsidP="00A73208">
            <w:pPr>
              <w:spacing w:before="0" w:after="0"/>
              <w:jc w:val="left"/>
              <w:rPr>
                <w:sz w:val="20"/>
              </w:rPr>
            </w:pPr>
            <w:r w:rsidRPr="00C41EB8">
              <w:rPr>
                <w:sz w:val="20"/>
              </w:rPr>
              <w:t xml:space="preserve">1.kritērija izpilde: </w:t>
            </w:r>
          </w:p>
          <w:p w14:paraId="76A91285" w14:textId="77777777" w:rsidR="007545BD" w:rsidRPr="00C41EB8" w:rsidRDefault="007545BD" w:rsidP="00A73208">
            <w:pPr>
              <w:spacing w:before="0" w:after="0"/>
              <w:jc w:val="left"/>
              <w:rPr>
                <w:sz w:val="20"/>
              </w:rPr>
            </w:pPr>
            <w:r w:rsidRPr="00C41EB8">
              <w:rPr>
                <w:sz w:val="20"/>
              </w:rPr>
              <w:t>Nacionālās industriālās politikas pamatnostādnes 2021.-2027.gadam (ietverot</w:t>
            </w:r>
          </w:p>
          <w:p w14:paraId="4F3879B8" w14:textId="77777777" w:rsidR="007545BD" w:rsidRPr="00C41EB8" w:rsidRDefault="007545BD" w:rsidP="00A73208">
            <w:pPr>
              <w:spacing w:before="0" w:after="0"/>
              <w:jc w:val="left"/>
              <w:rPr>
                <w:sz w:val="20"/>
              </w:rPr>
            </w:pPr>
            <w:r w:rsidRPr="00C41EB8">
              <w:rPr>
                <w:sz w:val="20"/>
              </w:rPr>
              <w:t>Viedās specializācijas stratēģiju), kuras stratēģisko uzstādījumu pārnese tiks ietverta:</w:t>
            </w:r>
          </w:p>
          <w:p w14:paraId="44A255FE" w14:textId="77777777" w:rsidR="007545BD" w:rsidRPr="00C41EB8" w:rsidRDefault="007545BD" w:rsidP="00A73208">
            <w:pPr>
              <w:spacing w:before="0" w:after="0"/>
              <w:jc w:val="left"/>
              <w:rPr>
                <w:sz w:val="20"/>
              </w:rPr>
            </w:pPr>
          </w:p>
          <w:p w14:paraId="22C9DC6C" w14:textId="77777777" w:rsidR="007545BD" w:rsidRPr="00C41EB8" w:rsidRDefault="007545BD" w:rsidP="00A73208">
            <w:pPr>
              <w:spacing w:before="0" w:after="0"/>
              <w:jc w:val="left"/>
              <w:rPr>
                <w:sz w:val="20"/>
              </w:rPr>
            </w:pPr>
            <w:r w:rsidRPr="00C41EB8">
              <w:rPr>
                <w:sz w:val="20"/>
              </w:rPr>
              <w:t>1) Zinātnes, tehnoloģijas attīstības un inovācijas pamatnostādnes 2021.-2027.gadam;</w:t>
            </w:r>
          </w:p>
          <w:p w14:paraId="3519EB55" w14:textId="77777777" w:rsidR="007545BD" w:rsidRPr="00C41EB8" w:rsidRDefault="007545BD" w:rsidP="00A73208">
            <w:pPr>
              <w:spacing w:before="0" w:after="0"/>
              <w:jc w:val="left"/>
              <w:rPr>
                <w:sz w:val="20"/>
                <w:highlight w:val="yellow"/>
              </w:rPr>
            </w:pPr>
          </w:p>
          <w:p w14:paraId="3E65FC63" w14:textId="77777777" w:rsidR="007545BD" w:rsidRPr="00C41EB8" w:rsidRDefault="007545BD" w:rsidP="00A73208">
            <w:pPr>
              <w:spacing w:before="0" w:after="0"/>
              <w:jc w:val="left"/>
              <w:rPr>
                <w:sz w:val="20"/>
              </w:rPr>
            </w:pPr>
            <w:r w:rsidRPr="00C41EB8">
              <w:rPr>
                <w:sz w:val="20"/>
              </w:rPr>
              <w:t xml:space="preserve">2) </w:t>
            </w:r>
            <w:hyperlink r:id="rId29" w:history="1">
              <w:r w:rsidRPr="00C41EB8">
                <w:rPr>
                  <w:rStyle w:val="Hyperlink"/>
                  <w:sz w:val="20"/>
                </w:rPr>
                <w:t>Reģionālās politikas pamatnostādnes 2021.-2027.gadam</w:t>
              </w:r>
            </w:hyperlink>
            <w:r w:rsidRPr="00C41EB8">
              <w:rPr>
                <w:sz w:val="20"/>
              </w:rPr>
              <w:t>;</w:t>
            </w:r>
          </w:p>
          <w:p w14:paraId="69903A01" w14:textId="77777777" w:rsidR="007545BD" w:rsidRPr="00C41EB8" w:rsidRDefault="007545BD" w:rsidP="00A73208">
            <w:pPr>
              <w:spacing w:before="0" w:after="0"/>
              <w:jc w:val="left"/>
              <w:rPr>
                <w:sz w:val="20"/>
                <w:highlight w:val="yellow"/>
              </w:rPr>
            </w:pPr>
          </w:p>
          <w:p w14:paraId="5D0E229C" w14:textId="77777777" w:rsidR="007545BD" w:rsidRPr="00C41EB8" w:rsidRDefault="007545BD" w:rsidP="00A73208">
            <w:pPr>
              <w:spacing w:before="0" w:after="0"/>
              <w:jc w:val="left"/>
              <w:rPr>
                <w:sz w:val="20"/>
              </w:rPr>
            </w:pPr>
            <w:r w:rsidRPr="00C41EB8">
              <w:rPr>
                <w:sz w:val="20"/>
              </w:rPr>
              <w:t xml:space="preserve">3) </w:t>
            </w:r>
            <w:hyperlink r:id="rId30" w:history="1">
              <w:r w:rsidRPr="00C41EB8">
                <w:rPr>
                  <w:rStyle w:val="Hyperlink"/>
                  <w:sz w:val="20"/>
                </w:rPr>
                <w:t>Digitālās transformācijas pamatnostādnes 2021.-2027.gadam</w:t>
              </w:r>
            </w:hyperlink>
          </w:p>
          <w:p w14:paraId="0252AA3F" w14:textId="77777777" w:rsidR="007545BD" w:rsidRPr="00C41EB8" w:rsidRDefault="007545BD" w:rsidP="00A73208">
            <w:pPr>
              <w:spacing w:before="0" w:after="0"/>
              <w:jc w:val="left"/>
              <w:rPr>
                <w:sz w:val="20"/>
              </w:rPr>
            </w:pPr>
          </w:p>
          <w:p w14:paraId="3859D1C2" w14:textId="77777777" w:rsidR="007545BD" w:rsidRPr="00C41EB8" w:rsidRDefault="009A507A" w:rsidP="00A73208">
            <w:pPr>
              <w:spacing w:before="0" w:after="0"/>
              <w:jc w:val="left"/>
              <w:rPr>
                <w:sz w:val="20"/>
              </w:rPr>
            </w:pPr>
            <w:hyperlink r:id="rId31" w:history="1">
              <w:r w:rsidR="007545BD" w:rsidRPr="00C41EB8">
                <w:rPr>
                  <w:rStyle w:val="Hyperlink"/>
                  <w:sz w:val="20"/>
                </w:rPr>
                <w:t>4) Kultūrpolitikas pamatnostādnes 2021. -2027</w:t>
              </w:r>
            </w:hyperlink>
            <w:r w:rsidR="007545BD" w:rsidRPr="00C41EB8">
              <w:rPr>
                <w:sz w:val="20"/>
              </w:rPr>
              <w:t>.gadam (projekts - 08.03.2021.uzsākta publiskā apspriešana)</w:t>
            </w:r>
          </w:p>
        </w:tc>
        <w:tc>
          <w:tcPr>
            <w:tcW w:w="3686" w:type="dxa"/>
            <w:shd w:val="clear" w:color="auto" w:fill="auto"/>
          </w:tcPr>
          <w:p w14:paraId="68D0D306" w14:textId="77777777" w:rsidR="007545BD" w:rsidRPr="00C41EB8" w:rsidRDefault="007545BD" w:rsidP="00A73208">
            <w:pPr>
              <w:spacing w:before="0" w:after="0"/>
              <w:ind w:firstLine="467"/>
              <w:rPr>
                <w:bCs/>
                <w:sz w:val="20"/>
              </w:rPr>
            </w:pPr>
            <w:r w:rsidRPr="00C41EB8">
              <w:rPr>
                <w:bCs/>
                <w:sz w:val="20"/>
              </w:rPr>
              <w:t>1.kritērija izpilde:</w:t>
            </w:r>
          </w:p>
          <w:p w14:paraId="2E3C6BF7" w14:textId="77777777" w:rsidR="007545BD" w:rsidRPr="00C41EB8" w:rsidRDefault="007545BD" w:rsidP="00A73208">
            <w:pPr>
              <w:spacing w:before="0" w:after="0"/>
              <w:ind w:firstLine="467"/>
              <w:rPr>
                <w:sz w:val="20"/>
              </w:rPr>
            </w:pPr>
            <w:r w:rsidRPr="00C41EB8">
              <w:rPr>
                <w:sz w:val="20"/>
              </w:rPr>
              <w:t>Nacionālās industriālās politikas pamatnostādnes 2021.-2027.gadam (turpmāk – NIP), 2.sadaļa “Makroekonomiskais ietvars”, t.sk. digitālais aspekts caurvijas visiem NIP pamatnostādņu rīcības virzieniem un uzdevumiem.</w:t>
            </w:r>
          </w:p>
          <w:p w14:paraId="5F06B3F3" w14:textId="77777777" w:rsidR="007545BD" w:rsidRPr="00C41EB8" w:rsidRDefault="007545BD" w:rsidP="00A73208">
            <w:pPr>
              <w:spacing w:before="0" w:after="0"/>
              <w:ind w:firstLine="467"/>
              <w:rPr>
                <w:sz w:val="20"/>
              </w:rPr>
            </w:pPr>
            <w:r w:rsidRPr="00C41EB8">
              <w:rPr>
                <w:sz w:val="20"/>
              </w:rPr>
              <w:t xml:space="preserve">Digitālās transformācijas pamatnostādnes 2021.-2027.gadam) – 3.sadaļa “Nākotnes scenāriji un izaicinājumi” un 4.sadaļa “Mērķis un rīcība tā sasniegšanai” . </w:t>
            </w:r>
          </w:p>
          <w:p w14:paraId="1F326D96" w14:textId="77777777" w:rsidR="007545BD" w:rsidRPr="00C41EB8" w:rsidRDefault="007545BD" w:rsidP="00A73208">
            <w:pPr>
              <w:spacing w:before="0" w:after="0"/>
              <w:ind w:firstLine="467"/>
              <w:rPr>
                <w:sz w:val="20"/>
              </w:rPr>
            </w:pPr>
            <w:r w:rsidRPr="00C41EB8">
              <w:rPr>
                <w:sz w:val="20"/>
              </w:rPr>
              <w:t>Zinātnes, tehnoloģijas attīstības un inovācijas pamatnostādnes 2021.-2027.gadam (turpmāk – ZTAIP) – 2.1.sadaļa “Globālās attīstības tendences un izaicinājumi” un 4.sadaļa “Sasaiste ar nacionāliem un starptautiskiem politikas plānošanas dokumentiem” – sasaiste ar NIP veidojas attiecībā uz savstarpēji salāgotas zināšanu un tehnoloģiju pārneses sistēmas attīstīšanu, lai sekmētu sekmīgu augstskolās un zinātniskajās institūcijās radīto zināšanu un tehnoloģiju pārnesi uzņēmējdarbības sektorā  inovāciju un augstākas pievienotas vērtības produktu radīšanai, t.sk. Viedās specializācijas stratēģijas īstenošanas kontekstā.</w:t>
            </w:r>
          </w:p>
          <w:p w14:paraId="6CA2D414" w14:textId="77777777" w:rsidR="007545BD" w:rsidRPr="00C41EB8" w:rsidRDefault="007545BD" w:rsidP="00A73208">
            <w:pPr>
              <w:spacing w:before="0" w:after="0"/>
              <w:ind w:firstLine="467"/>
              <w:rPr>
                <w:sz w:val="20"/>
              </w:rPr>
            </w:pPr>
            <w:r w:rsidRPr="00C41EB8">
              <w:rPr>
                <w:sz w:val="20"/>
              </w:rPr>
              <w:t xml:space="preserve">Atbilstoši Kultūrpolitikas pamatnostādnēs 2021.-2027.gadam apakšmērķī </w:t>
            </w:r>
            <w:r>
              <w:rPr>
                <w:sz w:val="20"/>
              </w:rPr>
              <w:t>“</w:t>
            </w:r>
            <w:r w:rsidRPr="00C41EB8">
              <w:rPr>
                <w:sz w:val="20"/>
              </w:rPr>
              <w:t>4.3. Kultūras nozaru ilgtspējīga attīstība</w:t>
            </w:r>
            <w:r>
              <w:rPr>
                <w:sz w:val="20"/>
              </w:rPr>
              <w:t>”</w:t>
            </w:r>
            <w:r w:rsidRPr="00C41EB8">
              <w:rPr>
                <w:sz w:val="20"/>
              </w:rPr>
              <w:t xml:space="preserve"> noteiktajam  nepieciešams stiprināt izpratni par kultūru un radošajām industrijām kā vitālu tautsaimniecības nozari, kurai ir gan tieša, gan pastarpināta ietekme uz ekonomiku, radot nepieciešamos priekšnosacījumus ilgtspējai un attīstībai.</w:t>
            </w:r>
          </w:p>
          <w:p w14:paraId="3DAEF322" w14:textId="77777777" w:rsidR="007545BD" w:rsidRPr="00C41EB8" w:rsidRDefault="007545BD" w:rsidP="00A73208">
            <w:pPr>
              <w:spacing w:before="0" w:after="0"/>
              <w:ind w:firstLine="467"/>
              <w:rPr>
                <w:sz w:val="20"/>
              </w:rPr>
            </w:pPr>
          </w:p>
          <w:p w14:paraId="7BB24088" w14:textId="77777777" w:rsidR="007545BD" w:rsidRPr="00C41EB8" w:rsidRDefault="007545BD" w:rsidP="00A73208">
            <w:pPr>
              <w:spacing w:before="0" w:after="0"/>
              <w:ind w:firstLine="467"/>
              <w:rPr>
                <w:sz w:val="20"/>
              </w:rPr>
            </w:pPr>
            <w:r w:rsidRPr="00C41EB8">
              <w:rPr>
                <w:sz w:val="20"/>
              </w:rPr>
              <w:t xml:space="preserve">Latvijas Dizaina stratēģija 2021.-2027. gadam ir </w:t>
            </w:r>
            <w:hyperlink r:id="rId32" w:history="1">
              <w:r w:rsidRPr="00C41EB8">
                <w:rPr>
                  <w:rStyle w:val="Hyperlink"/>
                  <w:sz w:val="20"/>
                </w:rPr>
                <w:t>Kultūrpolitikas pamatnostādnes 2021. -2027</w:t>
              </w:r>
            </w:hyperlink>
            <w:r w:rsidRPr="00C41EB8">
              <w:rPr>
                <w:sz w:val="20"/>
              </w:rPr>
              <w:t>.gadam papildinošs plānošanas dokuments, kas tiks izstrādāts kā nozares detalizētāks rīcības plāns pamatnostādņu īstenošanai .</w:t>
            </w:r>
          </w:p>
        </w:tc>
      </w:tr>
      <w:tr w:rsidR="007545BD" w:rsidRPr="00C41EB8" w14:paraId="1E5A99A1" w14:textId="77777777" w:rsidTr="00A73208">
        <w:tc>
          <w:tcPr>
            <w:tcW w:w="562" w:type="dxa"/>
          </w:tcPr>
          <w:p w14:paraId="60802AA1"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2FF0556E" w14:textId="77777777" w:rsidR="007545BD" w:rsidRPr="00C41EB8" w:rsidRDefault="007545BD" w:rsidP="00A73208">
            <w:pPr>
              <w:spacing w:before="0" w:after="0"/>
              <w:jc w:val="left"/>
              <w:rPr>
                <w:sz w:val="20"/>
              </w:rPr>
            </w:pPr>
          </w:p>
        </w:tc>
        <w:tc>
          <w:tcPr>
            <w:tcW w:w="851" w:type="dxa"/>
            <w:vMerge/>
          </w:tcPr>
          <w:p w14:paraId="320A3740" w14:textId="77777777" w:rsidR="007545BD" w:rsidRPr="00C41EB8" w:rsidRDefault="007545BD" w:rsidP="00A73208">
            <w:pPr>
              <w:spacing w:before="0" w:after="0"/>
              <w:jc w:val="left"/>
              <w:rPr>
                <w:rFonts w:eastAsia="Times New Roman"/>
                <w:iCs/>
                <w:noProof/>
                <w:sz w:val="20"/>
              </w:rPr>
            </w:pPr>
          </w:p>
        </w:tc>
        <w:tc>
          <w:tcPr>
            <w:tcW w:w="1134" w:type="dxa"/>
            <w:vMerge/>
          </w:tcPr>
          <w:p w14:paraId="4CF6675E" w14:textId="77777777" w:rsidR="007545BD" w:rsidRPr="00C41EB8" w:rsidRDefault="007545BD" w:rsidP="00A73208">
            <w:pPr>
              <w:spacing w:before="0" w:after="0"/>
              <w:jc w:val="left"/>
              <w:rPr>
                <w:rFonts w:eastAsia="Times New Roman"/>
                <w:iCs/>
                <w:noProof/>
                <w:sz w:val="20"/>
              </w:rPr>
            </w:pPr>
          </w:p>
        </w:tc>
        <w:tc>
          <w:tcPr>
            <w:tcW w:w="850" w:type="dxa"/>
            <w:vMerge/>
          </w:tcPr>
          <w:p w14:paraId="23E8682D" w14:textId="77777777" w:rsidR="007545BD" w:rsidRPr="00C41EB8" w:rsidRDefault="007545BD" w:rsidP="00A73208">
            <w:pPr>
              <w:spacing w:before="0" w:after="0"/>
              <w:jc w:val="left"/>
              <w:rPr>
                <w:rFonts w:eastAsia="Times New Roman"/>
                <w:iCs/>
                <w:noProof/>
                <w:sz w:val="20"/>
              </w:rPr>
            </w:pPr>
          </w:p>
        </w:tc>
        <w:tc>
          <w:tcPr>
            <w:tcW w:w="2410" w:type="dxa"/>
          </w:tcPr>
          <w:p w14:paraId="25F156D3" w14:textId="77777777" w:rsidR="007545BD" w:rsidRPr="00C41EB8" w:rsidRDefault="007545BD" w:rsidP="00A73208">
            <w:pPr>
              <w:spacing w:before="0" w:after="0"/>
              <w:jc w:val="left"/>
              <w:rPr>
                <w:noProof/>
                <w:sz w:val="20"/>
              </w:rPr>
            </w:pPr>
            <w:r w:rsidRPr="00C41EB8">
              <w:rPr>
                <w:sz w:val="20"/>
              </w:rPr>
              <w:t xml:space="preserve">2.Tādas reģionālās/nacionālās kompetentās iestādes vai struktūras pastāvēšanu, kas ir atbildīga par viedās specializācijas stratēģijas pārvaldību; </w:t>
            </w:r>
          </w:p>
        </w:tc>
        <w:tc>
          <w:tcPr>
            <w:tcW w:w="1134" w:type="dxa"/>
          </w:tcPr>
          <w:p w14:paraId="369C9347" w14:textId="77777777" w:rsidR="007545BD" w:rsidRPr="00C41EB8" w:rsidRDefault="007545BD" w:rsidP="00A73208">
            <w:pPr>
              <w:spacing w:before="0" w:after="0"/>
              <w:jc w:val="left"/>
              <w:rPr>
                <w:noProof/>
                <w:sz w:val="20"/>
              </w:rPr>
            </w:pPr>
            <w:r w:rsidRPr="00C41EB8">
              <w:rPr>
                <w:noProof/>
                <w:sz w:val="20"/>
              </w:rPr>
              <w:t>Nē</w:t>
            </w:r>
          </w:p>
        </w:tc>
        <w:tc>
          <w:tcPr>
            <w:tcW w:w="2410" w:type="dxa"/>
          </w:tcPr>
          <w:p w14:paraId="2FCACE3B" w14:textId="77777777" w:rsidR="007545BD" w:rsidRPr="00C41EB8" w:rsidRDefault="007545BD" w:rsidP="00A73208">
            <w:pPr>
              <w:spacing w:before="0" w:after="0"/>
              <w:jc w:val="left"/>
              <w:rPr>
                <w:bCs/>
                <w:noProof/>
                <w:sz w:val="20"/>
              </w:rPr>
            </w:pPr>
            <w:r w:rsidRPr="00C41EB8">
              <w:rPr>
                <w:bCs/>
                <w:noProof/>
                <w:sz w:val="20"/>
              </w:rPr>
              <w:t xml:space="preserve">2.kritērija izpilde: </w:t>
            </w:r>
          </w:p>
          <w:p w14:paraId="12567332" w14:textId="77777777" w:rsidR="007545BD" w:rsidRPr="00C41EB8" w:rsidRDefault="009A507A" w:rsidP="00A73208">
            <w:pPr>
              <w:spacing w:before="0" w:after="0"/>
              <w:jc w:val="left"/>
              <w:rPr>
                <w:bCs/>
                <w:noProof/>
                <w:sz w:val="20"/>
              </w:rPr>
            </w:pPr>
            <w:hyperlink r:id="rId33" w:history="1">
              <w:r w:rsidR="007545BD" w:rsidRPr="00C41EB8">
                <w:rPr>
                  <w:rStyle w:val="Hyperlink"/>
                  <w:bCs/>
                  <w:noProof/>
                  <w:sz w:val="20"/>
                </w:rPr>
                <w:t>Nacionālās industriālās politikas pamatnostādnes 2021.-2027. gadam</w:t>
              </w:r>
            </w:hyperlink>
          </w:p>
        </w:tc>
        <w:tc>
          <w:tcPr>
            <w:tcW w:w="3686" w:type="dxa"/>
          </w:tcPr>
          <w:p w14:paraId="198DFCC3" w14:textId="77777777" w:rsidR="007545BD" w:rsidRPr="00C41EB8" w:rsidRDefault="007545BD" w:rsidP="00A73208">
            <w:pPr>
              <w:spacing w:before="0" w:after="0"/>
              <w:rPr>
                <w:rFonts w:eastAsia="Times New Roman"/>
                <w:iCs/>
                <w:noProof/>
                <w:sz w:val="20"/>
              </w:rPr>
            </w:pPr>
            <w:r w:rsidRPr="00C41EB8">
              <w:rPr>
                <w:rFonts w:eastAsia="Times New Roman"/>
                <w:iCs/>
                <w:noProof/>
                <w:sz w:val="20"/>
              </w:rPr>
              <w:t>2.kritērija izpilde:</w:t>
            </w:r>
          </w:p>
          <w:p w14:paraId="77269622" w14:textId="77777777" w:rsidR="007545BD" w:rsidRPr="00C41EB8" w:rsidRDefault="007545BD" w:rsidP="00A73208">
            <w:pPr>
              <w:spacing w:before="0" w:after="0"/>
              <w:ind w:firstLine="467"/>
              <w:rPr>
                <w:rFonts w:eastAsia="Times New Roman"/>
                <w:iCs/>
                <w:noProof/>
                <w:sz w:val="20"/>
              </w:rPr>
            </w:pPr>
            <w:r w:rsidRPr="00C41EB8">
              <w:rPr>
                <w:sz w:val="20"/>
              </w:rPr>
              <w:t xml:space="preserve">NIP 3.2.sadaļa “RIS3 īstenošana un pārvaldība 2021.-2027.g. plānošanas periodā”. ZTAIP 2.3.sadaļa “P&amp;A sistēmas attīstība RIS3 kontekstā”, 6.sadaļas 1.2.rīcības virziens “P&amp;A infrastruktūra pētniecības izcilībai un inovācijai". un 1.4.rīcības virziens “P&amp;A sistēmas finansēšana, pārvaldība, monitorings”. </w:t>
            </w:r>
          </w:p>
        </w:tc>
      </w:tr>
      <w:tr w:rsidR="007545BD" w:rsidRPr="00C41EB8" w14:paraId="4B7F87F0" w14:textId="77777777" w:rsidTr="00A73208">
        <w:tc>
          <w:tcPr>
            <w:tcW w:w="562" w:type="dxa"/>
          </w:tcPr>
          <w:p w14:paraId="14C471F5"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4F548DE2" w14:textId="77777777" w:rsidR="007545BD" w:rsidRPr="00C41EB8" w:rsidRDefault="007545BD" w:rsidP="00A73208">
            <w:pPr>
              <w:spacing w:before="0" w:after="0"/>
              <w:jc w:val="left"/>
              <w:rPr>
                <w:sz w:val="20"/>
              </w:rPr>
            </w:pPr>
          </w:p>
        </w:tc>
        <w:tc>
          <w:tcPr>
            <w:tcW w:w="851" w:type="dxa"/>
            <w:vMerge/>
          </w:tcPr>
          <w:p w14:paraId="79D3F4AF" w14:textId="77777777" w:rsidR="007545BD" w:rsidRPr="00C41EB8" w:rsidRDefault="007545BD" w:rsidP="00A73208">
            <w:pPr>
              <w:spacing w:before="0" w:after="0"/>
              <w:jc w:val="left"/>
              <w:rPr>
                <w:rFonts w:eastAsia="Times New Roman"/>
                <w:iCs/>
                <w:noProof/>
                <w:sz w:val="20"/>
              </w:rPr>
            </w:pPr>
          </w:p>
        </w:tc>
        <w:tc>
          <w:tcPr>
            <w:tcW w:w="1134" w:type="dxa"/>
            <w:vMerge/>
          </w:tcPr>
          <w:p w14:paraId="535ED8C1" w14:textId="77777777" w:rsidR="007545BD" w:rsidRPr="00C41EB8" w:rsidRDefault="007545BD" w:rsidP="00A73208">
            <w:pPr>
              <w:spacing w:before="0" w:after="0"/>
              <w:jc w:val="left"/>
              <w:rPr>
                <w:rFonts w:eastAsia="Times New Roman"/>
                <w:iCs/>
                <w:noProof/>
                <w:sz w:val="20"/>
              </w:rPr>
            </w:pPr>
          </w:p>
        </w:tc>
        <w:tc>
          <w:tcPr>
            <w:tcW w:w="850" w:type="dxa"/>
            <w:vMerge/>
          </w:tcPr>
          <w:p w14:paraId="78AE55A0" w14:textId="77777777" w:rsidR="007545BD" w:rsidRPr="00C41EB8" w:rsidRDefault="007545BD" w:rsidP="00A73208">
            <w:pPr>
              <w:spacing w:before="0" w:after="0"/>
              <w:jc w:val="left"/>
              <w:rPr>
                <w:rFonts w:eastAsia="Times New Roman"/>
                <w:iCs/>
                <w:noProof/>
                <w:sz w:val="20"/>
              </w:rPr>
            </w:pPr>
          </w:p>
        </w:tc>
        <w:tc>
          <w:tcPr>
            <w:tcW w:w="2410" w:type="dxa"/>
          </w:tcPr>
          <w:p w14:paraId="5317E272" w14:textId="77777777" w:rsidR="007545BD" w:rsidRPr="00C41EB8" w:rsidRDefault="007545BD" w:rsidP="00A73208">
            <w:pPr>
              <w:spacing w:before="0" w:after="0"/>
              <w:ind w:left="177" w:hanging="141"/>
              <w:jc w:val="left"/>
              <w:rPr>
                <w:noProof/>
                <w:sz w:val="20"/>
              </w:rPr>
            </w:pPr>
            <w:r w:rsidRPr="00C41EB8">
              <w:rPr>
                <w:sz w:val="20"/>
              </w:rPr>
              <w:t>3.Uzraudzības un novērtēšanas rīkiem, kas paredzēti, lai vērtētu virzību uz stratēģijas mērķu sasniegšanu;</w:t>
            </w:r>
          </w:p>
        </w:tc>
        <w:tc>
          <w:tcPr>
            <w:tcW w:w="1134" w:type="dxa"/>
          </w:tcPr>
          <w:p w14:paraId="56570B0D" w14:textId="77777777" w:rsidR="007545BD" w:rsidRPr="00C41EB8" w:rsidRDefault="007545BD" w:rsidP="00A73208">
            <w:pPr>
              <w:spacing w:before="0" w:after="0"/>
              <w:jc w:val="left"/>
              <w:rPr>
                <w:noProof/>
                <w:sz w:val="20"/>
              </w:rPr>
            </w:pPr>
            <w:r w:rsidRPr="00C41EB8">
              <w:rPr>
                <w:noProof/>
                <w:sz w:val="20"/>
              </w:rPr>
              <w:t>Nē</w:t>
            </w:r>
          </w:p>
        </w:tc>
        <w:tc>
          <w:tcPr>
            <w:tcW w:w="2410" w:type="dxa"/>
          </w:tcPr>
          <w:p w14:paraId="644FD12E" w14:textId="77777777" w:rsidR="007545BD" w:rsidRPr="00C41EB8" w:rsidRDefault="007545BD" w:rsidP="00A73208">
            <w:pPr>
              <w:spacing w:before="0" w:after="0"/>
              <w:jc w:val="left"/>
              <w:rPr>
                <w:bCs/>
                <w:noProof/>
                <w:sz w:val="20"/>
              </w:rPr>
            </w:pPr>
            <w:r w:rsidRPr="00C41EB8">
              <w:rPr>
                <w:bCs/>
                <w:noProof/>
                <w:sz w:val="20"/>
              </w:rPr>
              <w:t xml:space="preserve">3.kritērija izpilde: </w:t>
            </w:r>
            <w:hyperlink r:id="rId34" w:history="1">
              <w:r w:rsidRPr="00C41EB8">
                <w:rPr>
                  <w:rStyle w:val="Hyperlink"/>
                  <w:bCs/>
                  <w:noProof/>
                  <w:sz w:val="20"/>
                </w:rPr>
                <w:t>Nacionālās industriālās politikas pamatnostādnes 2021.-2027. gadam</w:t>
              </w:r>
            </w:hyperlink>
          </w:p>
        </w:tc>
        <w:tc>
          <w:tcPr>
            <w:tcW w:w="3686" w:type="dxa"/>
          </w:tcPr>
          <w:p w14:paraId="6518BB48" w14:textId="77777777" w:rsidR="007545BD" w:rsidRPr="00C41EB8" w:rsidRDefault="007545BD" w:rsidP="00A73208">
            <w:pPr>
              <w:spacing w:before="0" w:after="0"/>
              <w:rPr>
                <w:rFonts w:eastAsia="Times New Roman"/>
                <w:iCs/>
                <w:noProof/>
                <w:sz w:val="20"/>
              </w:rPr>
            </w:pPr>
            <w:r w:rsidRPr="00C41EB8">
              <w:rPr>
                <w:rFonts w:eastAsia="Times New Roman"/>
                <w:iCs/>
                <w:noProof/>
                <w:sz w:val="20"/>
              </w:rPr>
              <w:t>3.kritērija izpilde:</w:t>
            </w:r>
          </w:p>
          <w:p w14:paraId="00D5B6BE" w14:textId="77777777" w:rsidR="007545BD" w:rsidRPr="00C41EB8" w:rsidRDefault="007545BD" w:rsidP="00A73208">
            <w:pPr>
              <w:spacing w:before="0" w:after="0"/>
              <w:ind w:firstLine="467"/>
              <w:rPr>
                <w:sz w:val="20"/>
              </w:rPr>
            </w:pPr>
            <w:r w:rsidRPr="00C41EB8">
              <w:rPr>
                <w:sz w:val="20"/>
              </w:rPr>
              <w:t>NIP 3.sadaļa ”Viedās specializācijas stratēģija”, jo īpaši 3.3.sadaļa “RIS3 monitorings” attiecībā uz privāto sektoru</w:t>
            </w:r>
          </w:p>
          <w:p w14:paraId="21D0349F" w14:textId="77777777" w:rsidR="007545BD" w:rsidRPr="00C41EB8" w:rsidRDefault="007545BD" w:rsidP="00A73208">
            <w:pPr>
              <w:spacing w:before="0" w:after="0"/>
              <w:ind w:firstLine="467"/>
              <w:rPr>
                <w:rFonts w:eastAsia="Times New Roman"/>
                <w:iCs/>
                <w:noProof/>
                <w:sz w:val="20"/>
              </w:rPr>
            </w:pPr>
            <w:r w:rsidRPr="00C41EB8">
              <w:rPr>
                <w:sz w:val="20"/>
              </w:rPr>
              <w:t xml:space="preserve">ZTAIP 6.sadaļas 1.4. Rīcības virziens “P&amp;A sistēmas finansēšana, pārvaldība, monitorings” </w:t>
            </w:r>
          </w:p>
        </w:tc>
      </w:tr>
      <w:tr w:rsidR="007545BD" w:rsidRPr="00C41EB8" w14:paraId="2FBEA97D" w14:textId="77777777" w:rsidTr="00A73208">
        <w:tc>
          <w:tcPr>
            <w:tcW w:w="562" w:type="dxa"/>
          </w:tcPr>
          <w:p w14:paraId="768ECECC"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5FA07114" w14:textId="77777777" w:rsidR="007545BD" w:rsidRPr="00C41EB8" w:rsidRDefault="007545BD" w:rsidP="00A73208">
            <w:pPr>
              <w:spacing w:before="0" w:after="0"/>
              <w:jc w:val="left"/>
              <w:rPr>
                <w:sz w:val="20"/>
              </w:rPr>
            </w:pPr>
          </w:p>
        </w:tc>
        <w:tc>
          <w:tcPr>
            <w:tcW w:w="851" w:type="dxa"/>
            <w:vMerge/>
          </w:tcPr>
          <w:p w14:paraId="291EE79B" w14:textId="77777777" w:rsidR="007545BD" w:rsidRPr="00C41EB8" w:rsidRDefault="007545BD" w:rsidP="00A73208">
            <w:pPr>
              <w:spacing w:before="0" w:after="0"/>
              <w:jc w:val="left"/>
              <w:rPr>
                <w:rFonts w:eastAsia="Times New Roman"/>
                <w:iCs/>
                <w:noProof/>
                <w:sz w:val="20"/>
              </w:rPr>
            </w:pPr>
          </w:p>
        </w:tc>
        <w:tc>
          <w:tcPr>
            <w:tcW w:w="1134" w:type="dxa"/>
            <w:vMerge/>
          </w:tcPr>
          <w:p w14:paraId="21A7E8E5" w14:textId="77777777" w:rsidR="007545BD" w:rsidRPr="00C41EB8" w:rsidRDefault="007545BD" w:rsidP="00A73208">
            <w:pPr>
              <w:spacing w:before="0" w:after="0"/>
              <w:jc w:val="left"/>
              <w:rPr>
                <w:rFonts w:eastAsia="Times New Roman"/>
                <w:iCs/>
                <w:noProof/>
                <w:sz w:val="20"/>
              </w:rPr>
            </w:pPr>
          </w:p>
        </w:tc>
        <w:tc>
          <w:tcPr>
            <w:tcW w:w="850" w:type="dxa"/>
            <w:vMerge/>
          </w:tcPr>
          <w:p w14:paraId="419E6CE3" w14:textId="77777777" w:rsidR="007545BD" w:rsidRPr="00C41EB8" w:rsidRDefault="007545BD" w:rsidP="00A73208">
            <w:pPr>
              <w:spacing w:before="0" w:after="0"/>
              <w:jc w:val="left"/>
              <w:rPr>
                <w:rFonts w:eastAsia="Times New Roman"/>
                <w:iCs/>
                <w:noProof/>
                <w:sz w:val="20"/>
              </w:rPr>
            </w:pPr>
          </w:p>
        </w:tc>
        <w:tc>
          <w:tcPr>
            <w:tcW w:w="2410" w:type="dxa"/>
          </w:tcPr>
          <w:p w14:paraId="75C4162E" w14:textId="77777777" w:rsidR="007545BD" w:rsidRPr="00C41EB8" w:rsidRDefault="007545BD" w:rsidP="00A73208">
            <w:pPr>
              <w:spacing w:before="0" w:after="0"/>
              <w:ind w:left="177" w:hanging="141"/>
              <w:jc w:val="left"/>
              <w:rPr>
                <w:noProof/>
                <w:sz w:val="20"/>
              </w:rPr>
            </w:pPr>
            <w:r w:rsidRPr="00C41EB8">
              <w:rPr>
                <w:sz w:val="20"/>
              </w:rPr>
              <w:t>4.Ieinteresēto personu/organizāciju sadarbību (“uzņēmējdarbības atklājuma princips”);</w:t>
            </w:r>
          </w:p>
        </w:tc>
        <w:tc>
          <w:tcPr>
            <w:tcW w:w="1134" w:type="dxa"/>
          </w:tcPr>
          <w:p w14:paraId="7E93DB1E" w14:textId="77777777" w:rsidR="007545BD" w:rsidRPr="00C41EB8" w:rsidRDefault="007545BD" w:rsidP="00A73208">
            <w:pPr>
              <w:spacing w:before="0" w:after="0"/>
              <w:jc w:val="left"/>
              <w:rPr>
                <w:noProof/>
                <w:sz w:val="20"/>
              </w:rPr>
            </w:pPr>
            <w:r w:rsidRPr="00C41EB8">
              <w:rPr>
                <w:noProof/>
                <w:sz w:val="20"/>
              </w:rPr>
              <w:t>Nē</w:t>
            </w:r>
          </w:p>
        </w:tc>
        <w:tc>
          <w:tcPr>
            <w:tcW w:w="2410" w:type="dxa"/>
          </w:tcPr>
          <w:p w14:paraId="094A0A35" w14:textId="77777777" w:rsidR="007545BD" w:rsidRPr="00C41EB8" w:rsidRDefault="007545BD" w:rsidP="00A73208">
            <w:pPr>
              <w:spacing w:before="0" w:after="0"/>
              <w:jc w:val="left"/>
              <w:rPr>
                <w:rStyle w:val="Hyperlink"/>
                <w:bCs/>
                <w:noProof/>
                <w:sz w:val="20"/>
              </w:rPr>
            </w:pPr>
            <w:r w:rsidRPr="00C41EB8">
              <w:rPr>
                <w:bCs/>
                <w:noProof/>
                <w:sz w:val="20"/>
              </w:rPr>
              <w:t xml:space="preserve">4.kritērija izpilde: </w:t>
            </w:r>
            <w:hyperlink r:id="rId35" w:history="1">
              <w:r w:rsidRPr="00C41EB8">
                <w:rPr>
                  <w:rStyle w:val="Hyperlink"/>
                  <w:bCs/>
                  <w:noProof/>
                  <w:sz w:val="20"/>
                </w:rPr>
                <w:t>Nacionālās industriālās politikas pamatnostādnes 2021.-2027. gadam</w:t>
              </w:r>
            </w:hyperlink>
          </w:p>
          <w:p w14:paraId="787653EA" w14:textId="77777777" w:rsidR="007545BD" w:rsidRPr="00C41EB8" w:rsidRDefault="007545BD" w:rsidP="00A73208">
            <w:pPr>
              <w:spacing w:before="0" w:after="0"/>
              <w:jc w:val="left"/>
              <w:rPr>
                <w:rStyle w:val="Hyperlink"/>
                <w:sz w:val="20"/>
              </w:rPr>
            </w:pPr>
            <w:r w:rsidRPr="00C41EB8">
              <w:rPr>
                <w:sz w:val="20"/>
              </w:rPr>
              <w:fldChar w:fldCharType="begin"/>
            </w:r>
            <w:r w:rsidRPr="00C41EB8">
              <w:rPr>
                <w:sz w:val="20"/>
              </w:rPr>
              <w:instrText xml:space="preserve"> HYPERLINK "https://www.km.gov.lv/lv/pazinojums-08032021" </w:instrText>
            </w:r>
            <w:r w:rsidRPr="00C41EB8">
              <w:rPr>
                <w:sz w:val="20"/>
              </w:rPr>
              <w:fldChar w:fldCharType="separate"/>
            </w:r>
          </w:p>
          <w:p w14:paraId="6E7E2ED7" w14:textId="77777777" w:rsidR="007545BD" w:rsidRPr="00C41EB8" w:rsidRDefault="007545BD" w:rsidP="00A73208">
            <w:pPr>
              <w:spacing w:before="0" w:after="0"/>
              <w:jc w:val="left"/>
              <w:rPr>
                <w:bCs/>
                <w:noProof/>
                <w:sz w:val="20"/>
              </w:rPr>
            </w:pPr>
            <w:r w:rsidRPr="00C41EB8">
              <w:rPr>
                <w:rStyle w:val="Hyperlink"/>
                <w:sz w:val="20"/>
              </w:rPr>
              <w:t>Kultūrpolitikas pamatnostādnes 2021. -2027</w:t>
            </w:r>
            <w:r w:rsidRPr="00C41EB8">
              <w:rPr>
                <w:sz w:val="20"/>
              </w:rPr>
              <w:fldChar w:fldCharType="end"/>
            </w:r>
            <w:r w:rsidRPr="00C41EB8">
              <w:rPr>
                <w:sz w:val="20"/>
              </w:rPr>
              <w:t>.gadam (projekts - 08.03.2021.uzsākta publiskā apspriešana)</w:t>
            </w:r>
          </w:p>
        </w:tc>
        <w:tc>
          <w:tcPr>
            <w:tcW w:w="3686" w:type="dxa"/>
          </w:tcPr>
          <w:p w14:paraId="79D7F19A" w14:textId="77777777" w:rsidR="007545BD" w:rsidRPr="00C41EB8" w:rsidRDefault="007545BD" w:rsidP="00A73208">
            <w:pPr>
              <w:spacing w:before="0" w:after="0"/>
              <w:rPr>
                <w:rFonts w:eastAsia="Times New Roman"/>
                <w:iCs/>
                <w:noProof/>
                <w:sz w:val="20"/>
              </w:rPr>
            </w:pPr>
            <w:r w:rsidRPr="00C41EB8">
              <w:rPr>
                <w:rFonts w:eastAsia="Times New Roman"/>
                <w:iCs/>
                <w:noProof/>
                <w:sz w:val="20"/>
              </w:rPr>
              <w:t>4.kritērija izpilde:</w:t>
            </w:r>
          </w:p>
          <w:p w14:paraId="6C5C98C1" w14:textId="77777777" w:rsidR="007545BD" w:rsidRPr="00C41EB8" w:rsidRDefault="007545BD" w:rsidP="00A73208">
            <w:pPr>
              <w:spacing w:before="0" w:after="0"/>
              <w:ind w:firstLine="467"/>
              <w:rPr>
                <w:sz w:val="20"/>
              </w:rPr>
            </w:pPr>
            <w:r w:rsidRPr="00C41EB8">
              <w:rPr>
                <w:sz w:val="20"/>
              </w:rPr>
              <w:t>NIP 3.1.sadaļa “Stratēģiskais ietvars” un 3.2. sadaļa “RIS3 īstenošana un pārvaldība 2021.-2027.g. plānošanas periodā”.  ZTAIP</w:t>
            </w:r>
            <w:r w:rsidRPr="00C41EB8">
              <w:rPr>
                <w:b/>
                <w:sz w:val="20"/>
              </w:rPr>
              <w:t xml:space="preserve"> </w:t>
            </w:r>
            <w:r w:rsidRPr="00C41EB8">
              <w:rPr>
                <w:sz w:val="20"/>
              </w:rPr>
              <w:t xml:space="preserve">2.2. Rīcības virziens” Zināšanu un tehnoloģiju pārnese inovācijas attīstīšanai” </w:t>
            </w:r>
          </w:p>
          <w:p w14:paraId="375D0F09" w14:textId="77777777" w:rsidR="007545BD" w:rsidRPr="00C41EB8" w:rsidRDefault="007545BD" w:rsidP="00A73208">
            <w:pPr>
              <w:spacing w:before="0" w:after="0"/>
              <w:ind w:firstLine="467"/>
              <w:rPr>
                <w:sz w:val="20"/>
              </w:rPr>
            </w:pPr>
            <w:r w:rsidRPr="00C41EB8">
              <w:rPr>
                <w:sz w:val="20"/>
              </w:rPr>
              <w:t xml:space="preserve">Latvijas Dizaina stratēģija 2021.-2027. gadam ir </w:t>
            </w:r>
            <w:hyperlink r:id="rId36" w:history="1">
              <w:r w:rsidRPr="00C41EB8">
                <w:rPr>
                  <w:rStyle w:val="Hyperlink"/>
                  <w:sz w:val="20"/>
                </w:rPr>
                <w:t>Kultūrpolitikas pamatnostādnes 2021.-2027</w:t>
              </w:r>
            </w:hyperlink>
            <w:r w:rsidRPr="00C41EB8">
              <w:rPr>
                <w:sz w:val="20"/>
              </w:rPr>
              <w:t>.gadam papildinošs plānošanas dokuments, kas tiks izstrādāts kā nozares detalizētāks rīcības plāns pamatnostādņu īstenošanai .</w:t>
            </w:r>
          </w:p>
          <w:p w14:paraId="0816ADE8" w14:textId="77777777" w:rsidR="007545BD" w:rsidRPr="00C41EB8" w:rsidRDefault="007545BD" w:rsidP="00A73208">
            <w:pPr>
              <w:spacing w:before="0" w:after="0"/>
              <w:ind w:firstLine="467"/>
              <w:rPr>
                <w:sz w:val="20"/>
              </w:rPr>
            </w:pPr>
          </w:p>
          <w:p w14:paraId="691A4464" w14:textId="77777777" w:rsidR="007545BD" w:rsidRPr="00C41EB8" w:rsidRDefault="007545BD" w:rsidP="00A73208">
            <w:pPr>
              <w:spacing w:before="0" w:after="0"/>
              <w:ind w:firstLine="467"/>
              <w:rPr>
                <w:rFonts w:eastAsia="Times New Roman"/>
                <w:iCs/>
                <w:noProof/>
                <w:sz w:val="20"/>
              </w:rPr>
            </w:pPr>
            <w:r w:rsidRPr="00C41EB8">
              <w:rPr>
                <w:sz w:val="20"/>
              </w:rPr>
              <w:t>Latvijas Dizaina stratēģija 2021.-2027 virzieni uzņēmējdarbības jomā paredz stiprināt dizaina komponenti, lai radītu vairāk cilvēkcentrētus produktus un pakalpojumus; stiprināt uzņēmumu konkurētspēju; radīt spēcīgus uzņēmumu zīmolus un izcilu komunikāciju, radīt aprites ekonomikas vērtības ķēdes u.c.</w:t>
            </w:r>
          </w:p>
        </w:tc>
      </w:tr>
      <w:tr w:rsidR="007545BD" w:rsidRPr="00C41EB8" w14:paraId="643BB5C8" w14:textId="77777777" w:rsidTr="00A73208">
        <w:tc>
          <w:tcPr>
            <w:tcW w:w="562" w:type="dxa"/>
          </w:tcPr>
          <w:p w14:paraId="4078EF3C"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7A7EADEE" w14:textId="77777777" w:rsidR="007545BD" w:rsidRPr="00C41EB8" w:rsidRDefault="007545BD" w:rsidP="00A73208">
            <w:pPr>
              <w:spacing w:before="0" w:after="0"/>
              <w:jc w:val="left"/>
              <w:rPr>
                <w:sz w:val="20"/>
              </w:rPr>
            </w:pPr>
          </w:p>
        </w:tc>
        <w:tc>
          <w:tcPr>
            <w:tcW w:w="851" w:type="dxa"/>
            <w:vMerge/>
          </w:tcPr>
          <w:p w14:paraId="68E37B32" w14:textId="77777777" w:rsidR="007545BD" w:rsidRPr="00C41EB8" w:rsidRDefault="007545BD" w:rsidP="00A73208">
            <w:pPr>
              <w:spacing w:before="0" w:after="0"/>
              <w:jc w:val="left"/>
              <w:rPr>
                <w:rFonts w:eastAsia="Times New Roman"/>
                <w:iCs/>
                <w:noProof/>
                <w:sz w:val="20"/>
              </w:rPr>
            </w:pPr>
          </w:p>
        </w:tc>
        <w:tc>
          <w:tcPr>
            <w:tcW w:w="1134" w:type="dxa"/>
            <w:vMerge/>
          </w:tcPr>
          <w:p w14:paraId="79FA1131" w14:textId="77777777" w:rsidR="007545BD" w:rsidRPr="00C41EB8" w:rsidRDefault="007545BD" w:rsidP="00A73208">
            <w:pPr>
              <w:spacing w:before="0" w:after="0"/>
              <w:jc w:val="left"/>
              <w:rPr>
                <w:rFonts w:eastAsia="Times New Roman"/>
                <w:iCs/>
                <w:noProof/>
                <w:sz w:val="20"/>
              </w:rPr>
            </w:pPr>
          </w:p>
        </w:tc>
        <w:tc>
          <w:tcPr>
            <w:tcW w:w="850" w:type="dxa"/>
            <w:vMerge/>
          </w:tcPr>
          <w:p w14:paraId="09727173" w14:textId="77777777" w:rsidR="007545BD" w:rsidRPr="00C41EB8" w:rsidRDefault="007545BD" w:rsidP="00A73208">
            <w:pPr>
              <w:spacing w:before="0" w:after="0"/>
              <w:jc w:val="left"/>
              <w:rPr>
                <w:rFonts w:eastAsia="Times New Roman"/>
                <w:iCs/>
                <w:noProof/>
                <w:sz w:val="20"/>
              </w:rPr>
            </w:pPr>
          </w:p>
        </w:tc>
        <w:tc>
          <w:tcPr>
            <w:tcW w:w="2410" w:type="dxa"/>
          </w:tcPr>
          <w:p w14:paraId="06770AF1" w14:textId="77777777" w:rsidR="007545BD" w:rsidRPr="00C41EB8" w:rsidRDefault="007545BD" w:rsidP="00A73208">
            <w:pPr>
              <w:spacing w:before="0" w:after="0"/>
              <w:ind w:left="177" w:hanging="141"/>
              <w:jc w:val="left"/>
              <w:rPr>
                <w:noProof/>
                <w:sz w:val="20"/>
              </w:rPr>
            </w:pPr>
            <w:r w:rsidRPr="00C41EB8">
              <w:rPr>
                <w:sz w:val="20"/>
              </w:rPr>
              <w:t>5.Darbībām, kas nepieciešamas, lai uzlabotu nacionālās vai reģionālās pētniecības un inovācijas sistēmas, ja tas ir nepieciešams;</w:t>
            </w:r>
          </w:p>
        </w:tc>
        <w:tc>
          <w:tcPr>
            <w:tcW w:w="1134" w:type="dxa"/>
          </w:tcPr>
          <w:p w14:paraId="1FEB81F1" w14:textId="77777777" w:rsidR="007545BD" w:rsidRPr="00C41EB8" w:rsidRDefault="007545BD" w:rsidP="00A73208">
            <w:pPr>
              <w:spacing w:before="0" w:after="0"/>
              <w:jc w:val="left"/>
              <w:rPr>
                <w:noProof/>
                <w:sz w:val="20"/>
              </w:rPr>
            </w:pPr>
            <w:r w:rsidRPr="00C41EB8">
              <w:rPr>
                <w:noProof/>
                <w:sz w:val="20"/>
              </w:rPr>
              <w:t>Nē</w:t>
            </w:r>
          </w:p>
        </w:tc>
        <w:tc>
          <w:tcPr>
            <w:tcW w:w="2410" w:type="dxa"/>
          </w:tcPr>
          <w:p w14:paraId="28E4AB7B" w14:textId="77777777" w:rsidR="007545BD" w:rsidRPr="00C41EB8" w:rsidRDefault="007545BD" w:rsidP="00A73208">
            <w:pPr>
              <w:spacing w:before="0" w:after="0"/>
              <w:jc w:val="left"/>
              <w:rPr>
                <w:rStyle w:val="Hyperlink"/>
                <w:bCs/>
                <w:noProof/>
                <w:sz w:val="20"/>
              </w:rPr>
            </w:pPr>
            <w:r w:rsidRPr="00C41EB8">
              <w:rPr>
                <w:bCs/>
                <w:noProof/>
                <w:sz w:val="20"/>
              </w:rPr>
              <w:t xml:space="preserve">5.kritērija izpilde: </w:t>
            </w:r>
            <w:hyperlink r:id="rId37" w:history="1">
              <w:r w:rsidRPr="00C41EB8">
                <w:rPr>
                  <w:rStyle w:val="Hyperlink"/>
                  <w:bCs/>
                  <w:noProof/>
                  <w:sz w:val="20"/>
                </w:rPr>
                <w:t>Nacionālās industriālās politikas pamatnostādnes 2021.-2027. gadam</w:t>
              </w:r>
            </w:hyperlink>
          </w:p>
          <w:p w14:paraId="6793589C" w14:textId="77777777" w:rsidR="007545BD" w:rsidRPr="00C41EB8" w:rsidRDefault="007545BD" w:rsidP="00A73208">
            <w:pPr>
              <w:spacing w:before="0" w:after="0"/>
              <w:jc w:val="left"/>
              <w:rPr>
                <w:bCs/>
                <w:noProof/>
                <w:color w:val="0000FF"/>
                <w:sz w:val="20"/>
                <w:u w:val="single"/>
              </w:rPr>
            </w:pPr>
          </w:p>
          <w:p w14:paraId="1ABB4B17" w14:textId="77777777" w:rsidR="007545BD" w:rsidRPr="00C41EB8" w:rsidRDefault="009A507A" w:rsidP="00A73208">
            <w:pPr>
              <w:spacing w:before="0" w:after="0"/>
              <w:jc w:val="left"/>
              <w:rPr>
                <w:bCs/>
                <w:noProof/>
                <w:sz w:val="20"/>
              </w:rPr>
            </w:pPr>
            <w:hyperlink r:id="rId38" w:history="1">
              <w:r w:rsidR="007545BD" w:rsidRPr="00C41EB8">
                <w:rPr>
                  <w:rStyle w:val="Hyperlink"/>
                  <w:sz w:val="20"/>
                </w:rPr>
                <w:t>Kultūrpolitikas pamatnostādnes 2021. -2027</w:t>
              </w:r>
            </w:hyperlink>
            <w:r w:rsidR="007545BD" w:rsidRPr="00C41EB8">
              <w:rPr>
                <w:sz w:val="20"/>
              </w:rPr>
              <w:t>.gadam (projekts - 08.03.2021.uzsākta publiskā apspriešana)</w:t>
            </w:r>
          </w:p>
        </w:tc>
        <w:tc>
          <w:tcPr>
            <w:tcW w:w="3686" w:type="dxa"/>
          </w:tcPr>
          <w:p w14:paraId="1E3C72D8" w14:textId="77777777" w:rsidR="007545BD" w:rsidRPr="00C41EB8" w:rsidRDefault="007545BD" w:rsidP="00A73208">
            <w:pPr>
              <w:spacing w:before="0" w:after="0"/>
              <w:rPr>
                <w:rFonts w:eastAsia="Times New Roman"/>
                <w:iCs/>
                <w:noProof/>
                <w:sz w:val="20"/>
              </w:rPr>
            </w:pPr>
            <w:r w:rsidRPr="00C41EB8">
              <w:rPr>
                <w:rFonts w:eastAsia="Times New Roman"/>
                <w:iCs/>
                <w:noProof/>
                <w:sz w:val="20"/>
              </w:rPr>
              <w:t>5.kritērija izpilde:</w:t>
            </w:r>
          </w:p>
          <w:p w14:paraId="100E98DF" w14:textId="77777777" w:rsidR="007545BD" w:rsidRPr="00C41EB8" w:rsidRDefault="007545BD" w:rsidP="00A73208">
            <w:pPr>
              <w:spacing w:before="0" w:after="0"/>
              <w:ind w:firstLine="467"/>
              <w:rPr>
                <w:sz w:val="20"/>
              </w:rPr>
            </w:pPr>
            <w:r w:rsidRPr="00C41EB8">
              <w:rPr>
                <w:sz w:val="20"/>
              </w:rPr>
              <w:t>NIP 4.4.sadaļa “Rīcības virziens: Inovācijas”, kā arī 3.2.sadaļa “RIS3 īstenošana un pārvaldība 2021.-2027.g. plānošanas periodā”. ZTAIP  6.sadaļas 1.1. Rīcības virziens “P&amp;A cilvēkkapitāla attīstība”. un 1.2. rīcības virziens "P&amp;A infrastruktūra pētniecības izcilībai un inovācijai". un 2.1.rīcības virziens „P&amp;A sistēmas digitālā transformācija un atvērtā zinātne”  un 2.2. rīcības virziens” Zināšanu un tehnoloģiju pārnese inovācijas attīstīšanai”. Papildus RIS3 īstenošanā ir iesaistīta VARAM gan attiecībā uz reģionu līdzsvarotas attīstības un reģionālās specializācijas veicināšanu reģionālo inovācijas un zināšanu platformu ietvaros, gan digitālās transformācijas īstenošanu (Reģionālās politikas pamatnostādnes 2021.-2027.gadam), kā arī ZM saistībā ar Bioekonomikas stratēģijas īstenošanu.</w:t>
            </w:r>
          </w:p>
          <w:p w14:paraId="1B0B52AB" w14:textId="77777777" w:rsidR="007545BD" w:rsidRPr="00C41EB8" w:rsidRDefault="007545BD" w:rsidP="00A73208">
            <w:pPr>
              <w:spacing w:before="0" w:after="0"/>
              <w:ind w:firstLine="467"/>
              <w:rPr>
                <w:sz w:val="20"/>
              </w:rPr>
            </w:pPr>
            <w:r w:rsidRPr="00C41EB8">
              <w:rPr>
                <w:sz w:val="20"/>
              </w:rPr>
              <w:t>ZTAIP 2.2. rīcības virziens “Zināšanu un tehnoloģiju pārnese inovācijas attīstīšanai” paredz attīstību gan RIS3 specializācijas jomās un jomās ar horizontālu ietekmi.</w:t>
            </w:r>
          </w:p>
          <w:p w14:paraId="1C6F31AE" w14:textId="77777777" w:rsidR="007545BD" w:rsidRPr="00C41EB8" w:rsidRDefault="009A507A" w:rsidP="00A73208">
            <w:pPr>
              <w:spacing w:before="0" w:after="0"/>
              <w:ind w:firstLine="467"/>
              <w:rPr>
                <w:sz w:val="20"/>
              </w:rPr>
            </w:pPr>
            <w:hyperlink r:id="rId39" w:tgtFrame="_blank" w:history="1">
              <w:r w:rsidR="007545BD" w:rsidRPr="00C41EB8">
                <w:rPr>
                  <w:rStyle w:val="Hyperlink"/>
                  <w:sz w:val="20"/>
                </w:rPr>
                <w:t>Kultūrpolitikas pamatnostādnes 2021. -2027</w:t>
              </w:r>
            </w:hyperlink>
            <w:r w:rsidR="007545BD" w:rsidRPr="00C41EB8">
              <w:rPr>
                <w:sz w:val="20"/>
              </w:rPr>
              <w:t>.gadam  4.rīcības virziens "Kultūrizglīgtība" paredz, ka specifiski uzdevumi risināmi augstākās izglītības jomā, tostarp doktorantūras studiju un pētniecības attīstībā  kultūras nozares, radošo industriju un citu tautsaimniecības nozaru vajadzībām, saistībā ar Kultūrizglītības nozares stratēģiju, kas tiks izstrādāta pēc </w:t>
            </w:r>
            <w:hyperlink r:id="rId40" w:tgtFrame="_blank" w:history="1">
              <w:r w:rsidR="007545BD" w:rsidRPr="00C41EB8">
                <w:rPr>
                  <w:rStyle w:val="Hyperlink"/>
                  <w:sz w:val="20"/>
                </w:rPr>
                <w:t>Kultūrpolitikas pamatnostādnes 2021. -2027</w:t>
              </w:r>
            </w:hyperlink>
            <w:r w:rsidR="007545BD" w:rsidRPr="00C41EB8">
              <w:rPr>
                <w:sz w:val="20"/>
              </w:rPr>
              <w:t>.gadam apstiprināšanas MK.</w:t>
            </w:r>
          </w:p>
          <w:p w14:paraId="70D1A598" w14:textId="77777777" w:rsidR="007545BD" w:rsidRPr="00C41EB8" w:rsidRDefault="007545BD" w:rsidP="00A73208">
            <w:pPr>
              <w:spacing w:before="0" w:after="0"/>
              <w:ind w:firstLine="467"/>
              <w:rPr>
                <w:sz w:val="20"/>
              </w:rPr>
            </w:pPr>
            <w:r w:rsidRPr="00C41EB8">
              <w:rPr>
                <w:sz w:val="20"/>
              </w:rPr>
              <w:t xml:space="preserve">Latvijas Dizaina stratēģija 2021.-2027. gadam ir </w:t>
            </w:r>
            <w:hyperlink r:id="rId41" w:history="1">
              <w:r w:rsidRPr="00C41EB8">
                <w:rPr>
                  <w:rStyle w:val="Hyperlink"/>
                  <w:sz w:val="20"/>
                </w:rPr>
                <w:t>Kultūrpolitikas pamatnostādnes 2021. -2027</w:t>
              </w:r>
            </w:hyperlink>
            <w:r w:rsidRPr="00C41EB8">
              <w:rPr>
                <w:sz w:val="20"/>
              </w:rPr>
              <w:t>.gadam papildinošs plānošanas dokuments, kas tiks izstrādāts kā nozares detalizētāks rīcības plāns pamatnostādņu īstenošanai.</w:t>
            </w:r>
          </w:p>
          <w:p w14:paraId="35CA99B4" w14:textId="77777777" w:rsidR="007545BD" w:rsidRPr="00C41EB8" w:rsidRDefault="007545BD" w:rsidP="00A73208">
            <w:pPr>
              <w:spacing w:before="0" w:after="0"/>
              <w:ind w:firstLine="467"/>
              <w:rPr>
                <w:rFonts w:eastAsia="Times New Roman"/>
                <w:iCs/>
                <w:noProof/>
                <w:sz w:val="20"/>
              </w:rPr>
            </w:pPr>
            <w:r w:rsidRPr="00C41EB8">
              <w:rPr>
                <w:rFonts w:eastAsia="Times New Roman"/>
                <w:iCs/>
                <w:noProof/>
                <w:sz w:val="20"/>
              </w:rPr>
              <w:t>Latvijas Dizaina stratēģija 2021.-2027.g paredz stiprināt dizaina komponenti zinātnē un inovācijās un veicināt  pētniecību dizainā un dizaina starpdisciplināro potenciālu, paredzot šādus rīcības virzienus:</w:t>
            </w:r>
          </w:p>
          <w:p w14:paraId="38774E01" w14:textId="77777777" w:rsidR="007545BD" w:rsidRPr="00C41EB8" w:rsidRDefault="007545BD" w:rsidP="00A73208">
            <w:pPr>
              <w:pStyle w:val="ListParagraph"/>
              <w:numPr>
                <w:ilvl w:val="0"/>
                <w:numId w:val="72"/>
              </w:numPr>
              <w:spacing w:after="0" w:line="240" w:lineRule="auto"/>
              <w:jc w:val="both"/>
              <w:rPr>
                <w:rFonts w:ascii="Times New Roman" w:eastAsia="Times New Roman" w:hAnsi="Times New Roman" w:cs="Times New Roman"/>
                <w:iCs/>
                <w:noProof/>
                <w:sz w:val="20"/>
                <w:szCs w:val="20"/>
              </w:rPr>
            </w:pPr>
            <w:r w:rsidRPr="00C41EB8">
              <w:rPr>
                <w:rFonts w:ascii="Times New Roman" w:eastAsia="Times New Roman" w:hAnsi="Times New Roman" w:cs="Times New Roman"/>
                <w:iCs/>
                <w:noProof/>
                <w:sz w:val="20"/>
                <w:szCs w:val="20"/>
              </w:rPr>
              <w:t>Praktiskās pētniecības attīstība, lai sekmētu būtisku vērtības pieaugumu ar jau esošajiem resursiem, zināšanām, izejvielām, iestrādēm, īpaši jauno tehnoloģiju un viedās specializācijas jomās.</w:t>
            </w:r>
          </w:p>
          <w:p w14:paraId="53F85E5E" w14:textId="77777777" w:rsidR="007545BD" w:rsidRPr="00C41EB8" w:rsidRDefault="007545BD" w:rsidP="00A73208">
            <w:pPr>
              <w:numPr>
                <w:ilvl w:val="0"/>
                <w:numId w:val="72"/>
              </w:numPr>
              <w:spacing w:before="0" w:after="0"/>
              <w:rPr>
                <w:rFonts w:eastAsia="Times New Roman"/>
                <w:iCs/>
                <w:noProof/>
                <w:sz w:val="20"/>
              </w:rPr>
            </w:pPr>
            <w:r w:rsidRPr="00C41EB8">
              <w:rPr>
                <w:rFonts w:eastAsia="Times New Roman"/>
                <w:iCs/>
                <w:noProof/>
                <w:sz w:val="20"/>
              </w:rPr>
              <w:t>Pieejami resursi un attīstīta infrastruktūra inovatīvu produktu un pakalpojumu attīstībai ar mērķi veidot starptautisko sadarbību inovāciju jomā.</w:t>
            </w:r>
          </w:p>
          <w:p w14:paraId="7A492C76" w14:textId="77777777" w:rsidR="007545BD" w:rsidRPr="00C41EB8" w:rsidRDefault="007545BD" w:rsidP="00A73208">
            <w:pPr>
              <w:numPr>
                <w:ilvl w:val="0"/>
                <w:numId w:val="72"/>
              </w:numPr>
              <w:spacing w:before="0" w:after="0"/>
              <w:rPr>
                <w:rFonts w:eastAsia="Times New Roman"/>
                <w:iCs/>
                <w:noProof/>
                <w:sz w:val="20"/>
              </w:rPr>
            </w:pPr>
            <w:r w:rsidRPr="00C41EB8">
              <w:rPr>
                <w:rFonts w:eastAsia="Times New Roman"/>
                <w:iCs/>
                <w:noProof/>
                <w:sz w:val="20"/>
              </w:rPr>
              <w:t xml:space="preserve">Sadarbība un jaunas partnerības, tīklošanās, dalība starpdisciplināros pētījumos, dizaineru iesaiste starpnozaru projektos. </w:t>
            </w:r>
          </w:p>
        </w:tc>
      </w:tr>
      <w:tr w:rsidR="007545BD" w:rsidRPr="00C41EB8" w14:paraId="2E3FDD51" w14:textId="77777777" w:rsidTr="00A73208">
        <w:tc>
          <w:tcPr>
            <w:tcW w:w="562" w:type="dxa"/>
          </w:tcPr>
          <w:p w14:paraId="61B9B0DE"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2BC30E1D" w14:textId="77777777" w:rsidR="007545BD" w:rsidRPr="00C41EB8" w:rsidRDefault="007545BD" w:rsidP="00A73208">
            <w:pPr>
              <w:spacing w:before="0" w:after="0"/>
              <w:jc w:val="left"/>
              <w:rPr>
                <w:sz w:val="20"/>
              </w:rPr>
            </w:pPr>
          </w:p>
        </w:tc>
        <w:tc>
          <w:tcPr>
            <w:tcW w:w="851" w:type="dxa"/>
            <w:vMerge/>
          </w:tcPr>
          <w:p w14:paraId="750143BA" w14:textId="77777777" w:rsidR="007545BD" w:rsidRPr="00C41EB8" w:rsidRDefault="007545BD" w:rsidP="00A73208">
            <w:pPr>
              <w:spacing w:before="0" w:after="0"/>
              <w:jc w:val="left"/>
              <w:rPr>
                <w:rFonts w:eastAsia="Times New Roman"/>
                <w:iCs/>
                <w:noProof/>
                <w:sz w:val="20"/>
              </w:rPr>
            </w:pPr>
          </w:p>
        </w:tc>
        <w:tc>
          <w:tcPr>
            <w:tcW w:w="1134" w:type="dxa"/>
            <w:vMerge/>
          </w:tcPr>
          <w:p w14:paraId="4C902491" w14:textId="77777777" w:rsidR="007545BD" w:rsidRPr="00C41EB8" w:rsidRDefault="007545BD" w:rsidP="00A73208">
            <w:pPr>
              <w:spacing w:before="0" w:after="0"/>
              <w:jc w:val="left"/>
              <w:rPr>
                <w:rFonts w:eastAsia="Times New Roman"/>
                <w:iCs/>
                <w:noProof/>
                <w:sz w:val="20"/>
              </w:rPr>
            </w:pPr>
          </w:p>
        </w:tc>
        <w:tc>
          <w:tcPr>
            <w:tcW w:w="850" w:type="dxa"/>
            <w:vMerge/>
          </w:tcPr>
          <w:p w14:paraId="50D79B07" w14:textId="77777777" w:rsidR="007545BD" w:rsidRPr="00C41EB8" w:rsidRDefault="007545BD" w:rsidP="00A73208">
            <w:pPr>
              <w:spacing w:before="0" w:after="0"/>
              <w:jc w:val="left"/>
              <w:rPr>
                <w:rFonts w:eastAsia="Times New Roman"/>
                <w:iCs/>
                <w:noProof/>
                <w:sz w:val="20"/>
              </w:rPr>
            </w:pPr>
          </w:p>
        </w:tc>
        <w:tc>
          <w:tcPr>
            <w:tcW w:w="2410" w:type="dxa"/>
          </w:tcPr>
          <w:p w14:paraId="7A6338E6" w14:textId="77777777" w:rsidR="007545BD" w:rsidRPr="00C41EB8" w:rsidRDefault="007545BD" w:rsidP="00A73208">
            <w:pPr>
              <w:spacing w:before="0" w:after="0"/>
              <w:jc w:val="left"/>
              <w:rPr>
                <w:noProof/>
                <w:sz w:val="20"/>
              </w:rPr>
            </w:pPr>
            <w:r w:rsidRPr="00C41EB8">
              <w:rPr>
                <w:sz w:val="20"/>
              </w:rPr>
              <w:t>6.Ja nepieciešams, rūpniecības restrukturizācijas darbībām;</w:t>
            </w:r>
          </w:p>
        </w:tc>
        <w:tc>
          <w:tcPr>
            <w:tcW w:w="1134" w:type="dxa"/>
          </w:tcPr>
          <w:p w14:paraId="4B8ADC32" w14:textId="77777777" w:rsidR="007545BD" w:rsidRPr="00C41EB8" w:rsidRDefault="007545BD" w:rsidP="00A73208">
            <w:pPr>
              <w:spacing w:before="0" w:after="0"/>
              <w:jc w:val="left"/>
              <w:rPr>
                <w:noProof/>
                <w:sz w:val="20"/>
              </w:rPr>
            </w:pPr>
            <w:r w:rsidRPr="00C41EB8">
              <w:rPr>
                <w:noProof/>
                <w:sz w:val="20"/>
              </w:rPr>
              <w:t>Nē</w:t>
            </w:r>
          </w:p>
        </w:tc>
        <w:tc>
          <w:tcPr>
            <w:tcW w:w="2410" w:type="dxa"/>
          </w:tcPr>
          <w:p w14:paraId="292E41C2" w14:textId="77777777" w:rsidR="007545BD" w:rsidRPr="00C41EB8" w:rsidRDefault="007545BD" w:rsidP="00A73208">
            <w:pPr>
              <w:spacing w:before="0" w:after="0"/>
              <w:jc w:val="left"/>
              <w:rPr>
                <w:bCs/>
                <w:noProof/>
                <w:sz w:val="20"/>
              </w:rPr>
            </w:pPr>
            <w:r w:rsidRPr="00C41EB8">
              <w:rPr>
                <w:bCs/>
                <w:noProof/>
                <w:sz w:val="20"/>
              </w:rPr>
              <w:t xml:space="preserve">6.kritērija izpilde: </w:t>
            </w:r>
            <w:hyperlink r:id="rId42" w:history="1">
              <w:r w:rsidRPr="00C41EB8">
                <w:rPr>
                  <w:rStyle w:val="Hyperlink"/>
                  <w:bCs/>
                  <w:noProof/>
                  <w:sz w:val="20"/>
                </w:rPr>
                <w:t>Nacionālās industriālās politikas pamatnostādnes 2021.-2027. gadam</w:t>
              </w:r>
            </w:hyperlink>
          </w:p>
        </w:tc>
        <w:tc>
          <w:tcPr>
            <w:tcW w:w="3686" w:type="dxa"/>
          </w:tcPr>
          <w:p w14:paraId="6E9D6FEA" w14:textId="77777777" w:rsidR="007545BD" w:rsidRPr="00C41EB8" w:rsidRDefault="007545BD" w:rsidP="00A73208">
            <w:pPr>
              <w:spacing w:before="0" w:after="0"/>
              <w:rPr>
                <w:rFonts w:eastAsia="Times New Roman"/>
                <w:iCs/>
                <w:noProof/>
                <w:sz w:val="20"/>
              </w:rPr>
            </w:pPr>
            <w:r w:rsidRPr="00C41EB8">
              <w:rPr>
                <w:rFonts w:eastAsia="Times New Roman"/>
                <w:iCs/>
                <w:noProof/>
                <w:sz w:val="20"/>
              </w:rPr>
              <w:t>6.kritērija izpilde:</w:t>
            </w:r>
          </w:p>
          <w:p w14:paraId="28DB45F1" w14:textId="77777777" w:rsidR="007545BD" w:rsidRPr="00C41EB8" w:rsidRDefault="007545BD" w:rsidP="00A73208">
            <w:pPr>
              <w:spacing w:before="0" w:after="0"/>
              <w:ind w:firstLine="467"/>
              <w:rPr>
                <w:sz w:val="20"/>
              </w:rPr>
            </w:pPr>
            <w:r w:rsidRPr="00C41EB8">
              <w:rPr>
                <w:sz w:val="20"/>
              </w:rPr>
              <w:t xml:space="preserve">NIP 3.sadaļa </w:t>
            </w:r>
            <w:r>
              <w:rPr>
                <w:sz w:val="20"/>
              </w:rPr>
              <w:t>“</w:t>
            </w:r>
            <w:r w:rsidRPr="00C41EB8">
              <w:rPr>
                <w:sz w:val="20"/>
              </w:rPr>
              <w:t>Viedās specializācijas stratēģija” attiecībā uz ekonomikas transformāciju ar Viedās specializācijas stratēģijas īstenošanu un ekosistēmu pieeju un 4.sadaļa “Politikas rīcības virzieni un uzdevumi”</w:t>
            </w:r>
          </w:p>
          <w:p w14:paraId="7F16F19C" w14:textId="77777777" w:rsidR="007545BD" w:rsidRPr="00C41EB8" w:rsidRDefault="007545BD" w:rsidP="00A73208">
            <w:pPr>
              <w:spacing w:before="0" w:after="0"/>
              <w:ind w:firstLine="467"/>
              <w:rPr>
                <w:rFonts w:eastAsia="Times New Roman"/>
                <w:iCs/>
                <w:noProof/>
                <w:sz w:val="20"/>
              </w:rPr>
            </w:pPr>
            <w:r w:rsidRPr="00C41EB8">
              <w:rPr>
                <w:sz w:val="20"/>
              </w:rPr>
              <w:t>Digitālās transformācijas pamatnostādnes 2021.-2027.gadam – 4.sadaļa “Mērķis un rīcība tā sasniegšanai” attiecībā uz digitalizāciju kā ekonomikas transformāciju veicinošu elementu.</w:t>
            </w:r>
          </w:p>
        </w:tc>
      </w:tr>
      <w:tr w:rsidR="007545BD" w:rsidRPr="00C41EB8" w14:paraId="311A0435" w14:textId="77777777" w:rsidTr="00A73208">
        <w:tc>
          <w:tcPr>
            <w:tcW w:w="562" w:type="dxa"/>
          </w:tcPr>
          <w:p w14:paraId="631A38C7"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000107A8" w14:textId="77777777" w:rsidR="007545BD" w:rsidRPr="00C41EB8" w:rsidRDefault="007545BD" w:rsidP="00A73208">
            <w:pPr>
              <w:spacing w:before="0" w:after="0"/>
              <w:jc w:val="left"/>
              <w:rPr>
                <w:sz w:val="20"/>
              </w:rPr>
            </w:pPr>
          </w:p>
        </w:tc>
        <w:tc>
          <w:tcPr>
            <w:tcW w:w="851" w:type="dxa"/>
            <w:vMerge/>
          </w:tcPr>
          <w:p w14:paraId="428F77F2" w14:textId="77777777" w:rsidR="007545BD" w:rsidRPr="00C41EB8" w:rsidRDefault="007545BD" w:rsidP="00A73208">
            <w:pPr>
              <w:spacing w:before="0" w:after="0"/>
              <w:jc w:val="left"/>
              <w:rPr>
                <w:rFonts w:eastAsia="Times New Roman"/>
                <w:iCs/>
                <w:noProof/>
                <w:sz w:val="20"/>
              </w:rPr>
            </w:pPr>
          </w:p>
        </w:tc>
        <w:tc>
          <w:tcPr>
            <w:tcW w:w="1134" w:type="dxa"/>
            <w:vMerge/>
          </w:tcPr>
          <w:p w14:paraId="14F9566F" w14:textId="77777777" w:rsidR="007545BD" w:rsidRPr="00C41EB8" w:rsidRDefault="007545BD" w:rsidP="00A73208">
            <w:pPr>
              <w:spacing w:before="0" w:after="0"/>
              <w:jc w:val="left"/>
              <w:rPr>
                <w:rFonts w:eastAsia="Times New Roman"/>
                <w:iCs/>
                <w:noProof/>
                <w:sz w:val="20"/>
              </w:rPr>
            </w:pPr>
          </w:p>
        </w:tc>
        <w:tc>
          <w:tcPr>
            <w:tcW w:w="850" w:type="dxa"/>
            <w:vMerge/>
          </w:tcPr>
          <w:p w14:paraId="3C75A7A8" w14:textId="77777777" w:rsidR="007545BD" w:rsidRPr="00C41EB8" w:rsidRDefault="007545BD" w:rsidP="00A73208">
            <w:pPr>
              <w:spacing w:before="0" w:after="0"/>
              <w:jc w:val="left"/>
              <w:rPr>
                <w:rFonts w:eastAsia="Times New Roman"/>
                <w:iCs/>
                <w:noProof/>
                <w:sz w:val="20"/>
              </w:rPr>
            </w:pPr>
          </w:p>
        </w:tc>
        <w:tc>
          <w:tcPr>
            <w:tcW w:w="2410" w:type="dxa"/>
          </w:tcPr>
          <w:p w14:paraId="08ADAEE0" w14:textId="77777777" w:rsidR="007545BD" w:rsidRPr="00C41EB8" w:rsidRDefault="007545BD" w:rsidP="00A73208">
            <w:pPr>
              <w:spacing w:before="0" w:after="0"/>
              <w:ind w:left="177" w:hanging="141"/>
              <w:jc w:val="left"/>
              <w:rPr>
                <w:noProof/>
                <w:sz w:val="20"/>
              </w:rPr>
            </w:pPr>
            <w:r w:rsidRPr="00C41EB8">
              <w:rPr>
                <w:sz w:val="20"/>
              </w:rPr>
              <w:t>7.Starptautiskās sadarbības pasākumiem.</w:t>
            </w:r>
          </w:p>
        </w:tc>
        <w:tc>
          <w:tcPr>
            <w:tcW w:w="1134" w:type="dxa"/>
          </w:tcPr>
          <w:p w14:paraId="0A1A8EDC" w14:textId="77777777" w:rsidR="007545BD" w:rsidRPr="00C41EB8" w:rsidRDefault="007545BD" w:rsidP="00A73208">
            <w:pPr>
              <w:spacing w:before="0" w:after="0"/>
              <w:jc w:val="left"/>
              <w:rPr>
                <w:noProof/>
                <w:sz w:val="20"/>
              </w:rPr>
            </w:pPr>
            <w:r w:rsidRPr="00C41EB8">
              <w:rPr>
                <w:noProof/>
                <w:sz w:val="20"/>
              </w:rPr>
              <w:t>Nē</w:t>
            </w:r>
          </w:p>
        </w:tc>
        <w:tc>
          <w:tcPr>
            <w:tcW w:w="2410" w:type="dxa"/>
          </w:tcPr>
          <w:p w14:paraId="37E74C57" w14:textId="77777777" w:rsidR="007545BD" w:rsidRPr="00C41EB8" w:rsidRDefault="007545BD" w:rsidP="00A73208">
            <w:pPr>
              <w:spacing w:before="0" w:after="0"/>
              <w:jc w:val="left"/>
              <w:rPr>
                <w:rStyle w:val="Hyperlink"/>
                <w:bCs/>
                <w:noProof/>
                <w:sz w:val="20"/>
              </w:rPr>
            </w:pPr>
            <w:r w:rsidRPr="00C41EB8">
              <w:rPr>
                <w:bCs/>
                <w:noProof/>
                <w:sz w:val="20"/>
              </w:rPr>
              <w:t xml:space="preserve">7.kritērija izpilde: </w:t>
            </w:r>
            <w:hyperlink r:id="rId43" w:history="1">
              <w:r w:rsidRPr="00C41EB8">
                <w:rPr>
                  <w:rStyle w:val="Hyperlink"/>
                  <w:bCs/>
                  <w:noProof/>
                  <w:sz w:val="20"/>
                </w:rPr>
                <w:t>Nacionālās industriālās politikas pamatnostādnes 2021.-2027. gadam</w:t>
              </w:r>
            </w:hyperlink>
          </w:p>
          <w:p w14:paraId="3F6864D8" w14:textId="77777777" w:rsidR="007545BD" w:rsidRPr="00C41EB8" w:rsidRDefault="007545BD" w:rsidP="00A73208">
            <w:pPr>
              <w:spacing w:before="0" w:after="0"/>
              <w:jc w:val="left"/>
              <w:rPr>
                <w:bCs/>
                <w:noProof/>
                <w:color w:val="0000FF"/>
                <w:sz w:val="20"/>
                <w:u w:val="single"/>
              </w:rPr>
            </w:pPr>
          </w:p>
          <w:p w14:paraId="22F19800" w14:textId="77777777" w:rsidR="007545BD" w:rsidRPr="00C41EB8" w:rsidRDefault="009A507A" w:rsidP="00A73208">
            <w:pPr>
              <w:spacing w:before="0" w:after="0"/>
              <w:jc w:val="left"/>
              <w:rPr>
                <w:bCs/>
                <w:noProof/>
                <w:sz w:val="20"/>
              </w:rPr>
            </w:pPr>
            <w:hyperlink r:id="rId44" w:history="1">
              <w:r w:rsidR="007545BD" w:rsidRPr="00C41EB8">
                <w:rPr>
                  <w:rStyle w:val="Hyperlink"/>
                  <w:sz w:val="20"/>
                </w:rPr>
                <w:t>Kultūrpolitikas pamatnostādnes 2021. -2027</w:t>
              </w:r>
            </w:hyperlink>
            <w:r w:rsidR="007545BD" w:rsidRPr="00C41EB8">
              <w:rPr>
                <w:sz w:val="20"/>
              </w:rPr>
              <w:t>.gadam (projekts - 08.03.2021.uzsākta publiskā apspriešana)</w:t>
            </w:r>
          </w:p>
        </w:tc>
        <w:tc>
          <w:tcPr>
            <w:tcW w:w="3686" w:type="dxa"/>
          </w:tcPr>
          <w:p w14:paraId="2960F033" w14:textId="77777777" w:rsidR="007545BD" w:rsidRPr="00C41EB8" w:rsidRDefault="007545BD" w:rsidP="00A73208">
            <w:pPr>
              <w:spacing w:before="0" w:after="0"/>
              <w:rPr>
                <w:rFonts w:eastAsia="Times New Roman"/>
                <w:iCs/>
                <w:noProof/>
                <w:sz w:val="20"/>
              </w:rPr>
            </w:pPr>
            <w:r w:rsidRPr="00C41EB8">
              <w:rPr>
                <w:rFonts w:eastAsia="Times New Roman"/>
                <w:iCs/>
                <w:noProof/>
                <w:sz w:val="20"/>
              </w:rPr>
              <w:t>7.kritērija izpilde:</w:t>
            </w:r>
          </w:p>
          <w:p w14:paraId="06EB90D9" w14:textId="77777777" w:rsidR="007545BD" w:rsidRPr="00C41EB8" w:rsidRDefault="007545BD" w:rsidP="00A73208">
            <w:pPr>
              <w:pStyle w:val="CommentText"/>
              <w:spacing w:after="0"/>
              <w:jc w:val="both"/>
              <w:rPr>
                <w:rFonts w:ascii="Times New Roman" w:hAnsi="Times New Roman" w:cs="Times New Roman"/>
              </w:rPr>
            </w:pPr>
            <w:r w:rsidRPr="00C41EB8">
              <w:rPr>
                <w:rFonts w:ascii="Times New Roman" w:hAnsi="Times New Roman" w:cs="Times New Roman"/>
              </w:rPr>
              <w:t xml:space="preserve">NIP 3.2.1.sadaļa “Internacionalizācija”, t.sk starptautiskā sadarbība kā viens no būtiskiem aspektiem minēts viscaur NIP. ZTAIP 6.sadaļas  1.3. Rīcības virziens “Starptautiskā mobilitāte, izcilības piesaiste un sadarbība” </w:t>
            </w:r>
          </w:p>
          <w:p w14:paraId="162090C7" w14:textId="77777777" w:rsidR="007545BD" w:rsidRPr="00C41EB8" w:rsidRDefault="007545BD" w:rsidP="00A73208">
            <w:pPr>
              <w:spacing w:before="0" w:after="0"/>
              <w:ind w:firstLine="467"/>
              <w:rPr>
                <w:sz w:val="20"/>
              </w:rPr>
            </w:pPr>
            <w:r w:rsidRPr="00C41EB8">
              <w:rPr>
                <w:sz w:val="20"/>
              </w:rPr>
              <w:t>Digitālās transformācijas pamatnostādnes 2021.-2027.gadam rīcības virzienā: „Tautsaimniecības (t.sk valsts pārvaldes) digitālā transformācija” sadaļas: Pakalpojumu platformas, Datu pārvaldība, atvēršana un analīze, Finanses un nodokļi, Vides pārvaldības digitalizācija, Sabiedriskā drošība, kārtība un tieslietas, Sabiedrības sociālā labklājība un veselība, Mašīntulkošana un valodu tehnoloģijas, Kultūras mantojuma saglabāšana un attīstība digitālajā vidē, Racionāls valsts pārvaldes tehnoloģiju atbalsts, Komercdarbības digitalizācijas veicināšana, Vides pārvaldības digitalizācija, Moderna un atvērta valsts pārvalde, Zinātnes procesu digitālā transformācija, Izglītības procesu digitalizācija.</w:t>
            </w:r>
          </w:p>
          <w:p w14:paraId="7A5EE1C1" w14:textId="77777777" w:rsidR="007545BD" w:rsidRPr="00C41EB8" w:rsidRDefault="007545BD" w:rsidP="00A73208">
            <w:pPr>
              <w:spacing w:before="0" w:after="0"/>
              <w:rPr>
                <w:rFonts w:eastAsia="Times New Roman"/>
                <w:iCs/>
                <w:noProof/>
                <w:sz w:val="20"/>
              </w:rPr>
            </w:pPr>
            <w:r w:rsidRPr="00C41EB8">
              <w:rPr>
                <w:rFonts w:eastAsia="Times New Roman"/>
                <w:iCs/>
                <w:noProof/>
                <w:sz w:val="20"/>
              </w:rPr>
              <w:t xml:space="preserve">Atbilstoši Kultūrpolitikas pamatnostādnēs 2021.-2027.gadam 3.rīcības virziens </w:t>
            </w:r>
            <w:r>
              <w:rPr>
                <w:rFonts w:eastAsia="Times New Roman"/>
                <w:iCs/>
                <w:noProof/>
                <w:sz w:val="20"/>
              </w:rPr>
              <w:t>“</w:t>
            </w:r>
            <w:r w:rsidRPr="00C41EB8">
              <w:rPr>
                <w:rFonts w:eastAsia="Times New Roman"/>
                <w:iCs/>
                <w:noProof/>
                <w:sz w:val="20"/>
              </w:rPr>
              <w:t>Kultūras procesu attīstība</w:t>
            </w:r>
            <w:r>
              <w:rPr>
                <w:rFonts w:eastAsia="Times New Roman"/>
                <w:iCs/>
                <w:noProof/>
                <w:sz w:val="20"/>
              </w:rPr>
              <w:t>”</w:t>
            </w:r>
            <w:r w:rsidRPr="00C41EB8">
              <w:rPr>
                <w:rFonts w:eastAsia="Times New Roman"/>
                <w:iCs/>
                <w:noProof/>
                <w:sz w:val="20"/>
              </w:rPr>
              <w:t xml:space="preserve"> paredz stiprināt kultūras eksportspēju un starptautisko atpazīstamību Latvijas tēla veidošanā.</w:t>
            </w:r>
          </w:p>
          <w:p w14:paraId="2507A38C" w14:textId="77777777" w:rsidR="007545BD" w:rsidRPr="00C41EB8" w:rsidRDefault="007545BD" w:rsidP="00A73208">
            <w:pPr>
              <w:spacing w:before="0" w:after="0"/>
              <w:rPr>
                <w:rFonts w:eastAsia="Times New Roman"/>
                <w:iCs/>
                <w:noProof/>
                <w:sz w:val="20"/>
              </w:rPr>
            </w:pPr>
            <w:r w:rsidRPr="00C41EB8">
              <w:rPr>
                <w:rFonts w:eastAsia="Times New Roman"/>
                <w:iCs/>
                <w:noProof/>
                <w:sz w:val="20"/>
              </w:rPr>
              <w:t xml:space="preserve">Latvijas Dizaina stratēģija 2021.-2027. gadam ir </w:t>
            </w:r>
            <w:hyperlink r:id="rId45" w:history="1">
              <w:r w:rsidRPr="00C41EB8">
                <w:rPr>
                  <w:rStyle w:val="Hyperlink"/>
                  <w:rFonts w:eastAsia="Times New Roman"/>
                  <w:iCs/>
                  <w:noProof/>
                  <w:sz w:val="20"/>
                </w:rPr>
                <w:t>Kultūrpolitikas pamatnostādnes 2021. -2027</w:t>
              </w:r>
            </w:hyperlink>
            <w:r w:rsidRPr="00C41EB8">
              <w:rPr>
                <w:rFonts w:eastAsia="Times New Roman"/>
                <w:iCs/>
                <w:noProof/>
                <w:sz w:val="20"/>
              </w:rPr>
              <w:t>.gadam papildinošs plānošanas dokuments, kas tiks izstrādāts kā nozares detalizētāks rīcības plāns pamatnostādņu īstenošanai, paredzot arī rīcības virzienus dizaina lomas stiprināšanai digitalizācijas transformācijā un radot priekšnoteikumus digitālās vides tostarp, digitālo pakalpojumu pieejamībai ikvienam lietotājam (sadaļa Dizaina digitālai nākotnei), kā arī profesionālo  dizaineru starptautisko mobilitāti.</w:t>
            </w:r>
          </w:p>
        </w:tc>
      </w:tr>
      <w:tr w:rsidR="007545BD" w:rsidRPr="00C41EB8" w14:paraId="728D3D88" w14:textId="77777777" w:rsidTr="00A73208">
        <w:tc>
          <w:tcPr>
            <w:tcW w:w="562" w:type="dxa"/>
            <w:shd w:val="clear" w:color="auto" w:fill="D9D9D9" w:themeFill="background1" w:themeFillShade="D9"/>
          </w:tcPr>
          <w:p w14:paraId="4E2030A2"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val="restart"/>
            <w:shd w:val="clear" w:color="auto" w:fill="D9D9D9" w:themeFill="background1" w:themeFillShade="D9"/>
          </w:tcPr>
          <w:p w14:paraId="43F6865A" w14:textId="77777777" w:rsidR="007545BD" w:rsidRPr="00C41EB8" w:rsidRDefault="007545BD" w:rsidP="00A73208">
            <w:pPr>
              <w:spacing w:before="0" w:after="0"/>
              <w:jc w:val="left"/>
              <w:rPr>
                <w:sz w:val="20"/>
              </w:rPr>
            </w:pPr>
            <w:r w:rsidRPr="00C41EB8">
              <w:rPr>
                <w:sz w:val="20"/>
              </w:rPr>
              <w:t>Tematiskais priekšnosacījums Nr.2</w:t>
            </w:r>
          </w:p>
          <w:p w14:paraId="638CF9D1" w14:textId="77777777" w:rsidR="007545BD" w:rsidRPr="00C41EB8" w:rsidRDefault="007545BD" w:rsidP="00A73208">
            <w:pPr>
              <w:spacing w:before="0" w:after="0"/>
              <w:jc w:val="left"/>
              <w:rPr>
                <w:noProof/>
                <w:sz w:val="20"/>
              </w:rPr>
            </w:pPr>
            <w:r w:rsidRPr="00C41EB8">
              <w:rPr>
                <w:noProof/>
                <w:sz w:val="20"/>
              </w:rPr>
              <w:t xml:space="preserve">Stratēģiskās politikas satvars, kas atbalsta dzīvojamo un nedzīvojamo ēku renovēšanu </w:t>
            </w:r>
            <w:r w:rsidRPr="00C41EB8">
              <w:rPr>
                <w:b/>
                <w:bCs/>
                <w:noProof/>
                <w:sz w:val="20"/>
              </w:rPr>
              <w:t>energoefektivitātes uzlabošanai</w:t>
            </w:r>
          </w:p>
        </w:tc>
        <w:tc>
          <w:tcPr>
            <w:tcW w:w="851" w:type="dxa"/>
            <w:vMerge w:val="restart"/>
            <w:shd w:val="clear" w:color="auto" w:fill="D9D9D9" w:themeFill="background1" w:themeFillShade="D9"/>
          </w:tcPr>
          <w:p w14:paraId="3258BFF0"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ERAF</w:t>
            </w:r>
          </w:p>
        </w:tc>
        <w:tc>
          <w:tcPr>
            <w:tcW w:w="1134" w:type="dxa"/>
            <w:vMerge w:val="restart"/>
            <w:shd w:val="clear" w:color="auto" w:fill="D9D9D9" w:themeFill="background1" w:themeFillShade="D9"/>
          </w:tcPr>
          <w:p w14:paraId="11C81B14"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2.1.1.SAM</w:t>
            </w:r>
          </w:p>
        </w:tc>
        <w:tc>
          <w:tcPr>
            <w:tcW w:w="850" w:type="dxa"/>
            <w:vMerge w:val="restart"/>
            <w:shd w:val="clear" w:color="auto" w:fill="D9D9D9" w:themeFill="background1" w:themeFillShade="D9"/>
          </w:tcPr>
          <w:p w14:paraId="44C38D48" w14:textId="77777777" w:rsidR="007545BD" w:rsidRPr="00C41EB8" w:rsidRDefault="007545BD" w:rsidP="00A73208">
            <w:pPr>
              <w:spacing w:before="0" w:after="0"/>
              <w:jc w:val="left"/>
              <w:rPr>
                <w:rFonts w:eastAsia="Times New Roman"/>
                <w:b/>
                <w:bCs/>
                <w:iCs/>
                <w:noProof/>
                <w:sz w:val="20"/>
              </w:rPr>
            </w:pPr>
            <w:r w:rsidRPr="00C41EB8">
              <w:rPr>
                <w:rFonts w:eastAsia="Times New Roman"/>
                <w:b/>
                <w:bCs/>
                <w:iCs/>
                <w:noProof/>
                <w:sz w:val="20"/>
              </w:rPr>
              <w:t>Jā</w:t>
            </w:r>
          </w:p>
        </w:tc>
        <w:tc>
          <w:tcPr>
            <w:tcW w:w="2410" w:type="dxa"/>
            <w:shd w:val="clear" w:color="auto" w:fill="D9D9D9" w:themeFill="background1" w:themeFillShade="D9"/>
          </w:tcPr>
          <w:p w14:paraId="1D0FD3C8" w14:textId="77777777" w:rsidR="007545BD" w:rsidRPr="00C41EB8" w:rsidRDefault="007545BD" w:rsidP="00A73208">
            <w:pPr>
              <w:spacing w:before="0" w:after="0"/>
              <w:ind w:left="177" w:hanging="141"/>
              <w:jc w:val="left"/>
              <w:rPr>
                <w:noProof/>
                <w:sz w:val="20"/>
              </w:rPr>
            </w:pPr>
            <w:r w:rsidRPr="00C41EB8">
              <w:rPr>
                <w:noProof/>
                <w:sz w:val="20"/>
              </w:rPr>
              <w:t>1. Saskaņā ar Direktīvas 2018/844 ar ko grozīta Direktīva 2010/31/ES par ēku energoefektivitāti noteikto, lai atbalstītu valsts dzīvojamo un nedzīvojamo ēku fonda energoefektivitātes uzlabošanu, ir pieņemta valsts ilgtermiņa ēku atjaunošanas stratēģija, kas:</w:t>
            </w:r>
          </w:p>
          <w:p w14:paraId="033C6438" w14:textId="77777777" w:rsidR="007545BD" w:rsidRPr="00C41EB8" w:rsidRDefault="007545BD" w:rsidP="00A73208">
            <w:pPr>
              <w:spacing w:before="0" w:after="0"/>
              <w:ind w:left="461" w:hanging="284"/>
              <w:jc w:val="left"/>
              <w:rPr>
                <w:noProof/>
                <w:sz w:val="20"/>
              </w:rPr>
            </w:pPr>
            <w:r w:rsidRPr="00C41EB8">
              <w:rPr>
                <w:noProof/>
                <w:sz w:val="20"/>
              </w:rPr>
              <w:t>a.</w:t>
            </w:r>
            <w:r w:rsidRPr="00C41EB8">
              <w:rPr>
                <w:noProof/>
                <w:sz w:val="20"/>
              </w:rPr>
              <w:tab/>
              <w:t>satur indikatīvus atskaites punktus attiecībā uz 2030. un 2040. gadu un mērķus 2050. gadam;</w:t>
            </w:r>
          </w:p>
          <w:p w14:paraId="3EDD738A" w14:textId="77777777" w:rsidR="007545BD" w:rsidRPr="00C41EB8" w:rsidRDefault="007545BD" w:rsidP="00A73208">
            <w:pPr>
              <w:spacing w:before="0" w:after="0"/>
              <w:ind w:left="461" w:hanging="284"/>
              <w:jc w:val="left"/>
              <w:rPr>
                <w:noProof/>
                <w:sz w:val="20"/>
              </w:rPr>
            </w:pPr>
            <w:r w:rsidRPr="00C41EB8">
              <w:rPr>
                <w:noProof/>
                <w:sz w:val="20"/>
              </w:rPr>
              <w:t>b.</w:t>
            </w:r>
            <w:r w:rsidRPr="00C41EB8">
              <w:rPr>
                <w:noProof/>
                <w:sz w:val="20"/>
              </w:rPr>
              <w:tab/>
              <w:t>sniedz indikatīvu finanšu resursu izklāstu stratēģijas īstenošanas atbalstam;</w:t>
            </w:r>
          </w:p>
          <w:p w14:paraId="50A63BA4" w14:textId="77777777" w:rsidR="007545BD" w:rsidRPr="00C41EB8" w:rsidRDefault="007545BD" w:rsidP="00A73208">
            <w:pPr>
              <w:spacing w:before="0" w:after="0"/>
              <w:ind w:left="461" w:hanging="284"/>
              <w:jc w:val="left"/>
              <w:rPr>
                <w:noProof/>
                <w:sz w:val="20"/>
              </w:rPr>
            </w:pPr>
            <w:r w:rsidRPr="00C41EB8">
              <w:rPr>
                <w:noProof/>
                <w:sz w:val="20"/>
              </w:rPr>
              <w:t>c.</w:t>
            </w:r>
            <w:r w:rsidRPr="00C41EB8">
              <w:rPr>
                <w:noProof/>
                <w:sz w:val="20"/>
              </w:rPr>
              <w:tab/>
              <w:t>nosaka efektīvus mehānismus, kas paredzēti, lai veicinātu investīcijas ēku energoefektivitātes paaugstināšanā.</w:t>
            </w:r>
          </w:p>
        </w:tc>
        <w:tc>
          <w:tcPr>
            <w:tcW w:w="1134" w:type="dxa"/>
            <w:shd w:val="clear" w:color="auto" w:fill="D9D9D9" w:themeFill="background1" w:themeFillShade="D9"/>
          </w:tcPr>
          <w:p w14:paraId="144AF080" w14:textId="77777777" w:rsidR="007545BD" w:rsidRPr="00C41EB8" w:rsidRDefault="007545BD" w:rsidP="00A73208">
            <w:pPr>
              <w:spacing w:before="0" w:after="0"/>
              <w:jc w:val="left"/>
              <w:rPr>
                <w:b/>
                <w:bCs/>
                <w:noProof/>
                <w:sz w:val="20"/>
              </w:rPr>
            </w:pPr>
            <w:r w:rsidRPr="00C41EB8">
              <w:rPr>
                <w:b/>
                <w:bCs/>
                <w:noProof/>
                <w:sz w:val="20"/>
              </w:rPr>
              <w:t>Jā</w:t>
            </w:r>
          </w:p>
        </w:tc>
        <w:tc>
          <w:tcPr>
            <w:tcW w:w="2410" w:type="dxa"/>
            <w:shd w:val="clear" w:color="auto" w:fill="D9D9D9" w:themeFill="background1" w:themeFillShade="D9"/>
          </w:tcPr>
          <w:p w14:paraId="19F923E3" w14:textId="77777777" w:rsidR="007545BD" w:rsidRPr="00C41EB8" w:rsidRDefault="007545BD" w:rsidP="00A73208">
            <w:pPr>
              <w:spacing w:before="0" w:after="0"/>
              <w:jc w:val="left"/>
              <w:rPr>
                <w:bCs/>
                <w:noProof/>
                <w:sz w:val="20"/>
              </w:rPr>
            </w:pPr>
            <w:r w:rsidRPr="00C41EB8">
              <w:rPr>
                <w:bCs/>
                <w:noProof/>
                <w:sz w:val="20"/>
              </w:rPr>
              <w:t>1.kritērija izpilde:</w:t>
            </w:r>
          </w:p>
          <w:p w14:paraId="05E27696" w14:textId="77777777" w:rsidR="007545BD" w:rsidRPr="00C41EB8" w:rsidRDefault="009A507A" w:rsidP="00A73208">
            <w:pPr>
              <w:spacing w:before="0" w:after="0"/>
              <w:jc w:val="left"/>
              <w:rPr>
                <w:noProof/>
                <w:sz w:val="20"/>
              </w:rPr>
            </w:pPr>
            <w:hyperlink r:id="rId46" w:history="1">
              <w:r w:rsidR="007545BD" w:rsidRPr="00C41EB8">
                <w:rPr>
                  <w:rStyle w:val="Hyperlink"/>
                  <w:noProof/>
                  <w:sz w:val="20"/>
                </w:rPr>
                <w:t>Ēku atjaunošanas ilgtermiņa stratēģija</w:t>
              </w:r>
            </w:hyperlink>
            <w:r w:rsidR="007545BD" w:rsidRPr="00C41EB8">
              <w:rPr>
                <w:noProof/>
                <w:sz w:val="20"/>
              </w:rPr>
              <w:t>.</w:t>
            </w:r>
          </w:p>
          <w:p w14:paraId="5BEC1808" w14:textId="77777777" w:rsidR="007545BD" w:rsidRPr="00C41EB8" w:rsidRDefault="007545BD" w:rsidP="00A73208">
            <w:pPr>
              <w:spacing w:before="0" w:after="0"/>
              <w:jc w:val="left"/>
              <w:rPr>
                <w:noProof/>
                <w:sz w:val="20"/>
              </w:rPr>
            </w:pPr>
          </w:p>
        </w:tc>
        <w:tc>
          <w:tcPr>
            <w:tcW w:w="3686" w:type="dxa"/>
            <w:shd w:val="clear" w:color="auto" w:fill="D9D9D9" w:themeFill="background1" w:themeFillShade="D9"/>
          </w:tcPr>
          <w:p w14:paraId="0B62C5F3" w14:textId="77777777" w:rsidR="007545BD" w:rsidRPr="00ED21F8" w:rsidRDefault="007545BD" w:rsidP="00A73208">
            <w:pPr>
              <w:spacing w:before="0" w:after="0"/>
              <w:rPr>
                <w:rFonts w:eastAsia="Times New Roman"/>
                <w:iCs/>
                <w:noProof/>
                <w:sz w:val="20"/>
              </w:rPr>
            </w:pPr>
            <w:r w:rsidRPr="00ED21F8">
              <w:rPr>
                <w:rFonts w:eastAsia="Times New Roman"/>
                <w:iCs/>
                <w:noProof/>
                <w:sz w:val="20"/>
              </w:rPr>
              <w:t>Ēku atjaunošanas ilgtermiņa stratēģija ir pieņemta 10.11.2020 MK sēdē (MK sēdes protokols Nr.70 25.§) un iesniegta Eiropas Komisijā.</w:t>
            </w:r>
          </w:p>
          <w:p w14:paraId="6750A2FD" w14:textId="77777777" w:rsidR="007545BD" w:rsidRPr="00ED21F8" w:rsidRDefault="007545BD" w:rsidP="00A73208">
            <w:pPr>
              <w:spacing w:before="0" w:after="0"/>
              <w:rPr>
                <w:rFonts w:eastAsia="Times New Roman"/>
                <w:iCs/>
                <w:noProof/>
                <w:sz w:val="20"/>
              </w:rPr>
            </w:pPr>
            <w:r w:rsidRPr="00ED21F8">
              <w:rPr>
                <w:rFonts w:eastAsia="Times New Roman"/>
                <w:iCs/>
                <w:noProof/>
                <w:sz w:val="20"/>
              </w:rPr>
              <w:t>Stratēģijas 3.sadaļa satur prognozes un mērķus 2030., 2040., 2050.gadam.</w:t>
            </w:r>
          </w:p>
          <w:p w14:paraId="1B89A818" w14:textId="77777777" w:rsidR="007545BD" w:rsidRPr="00ED21F8" w:rsidRDefault="007545BD" w:rsidP="00A73208">
            <w:pPr>
              <w:spacing w:before="0" w:after="0"/>
              <w:rPr>
                <w:rFonts w:eastAsia="Times New Roman"/>
                <w:iCs/>
                <w:noProof/>
                <w:sz w:val="20"/>
              </w:rPr>
            </w:pPr>
            <w:r w:rsidRPr="00ED21F8">
              <w:rPr>
                <w:rFonts w:eastAsia="Times New Roman"/>
                <w:iCs/>
                <w:noProof/>
                <w:sz w:val="20"/>
              </w:rPr>
              <w:t>Stratēģijas 3.1.sadalā ir sniegts indikatīvs finanšu resursu izklāsts stratēģijas īstenošanas atbalstam.</w:t>
            </w:r>
          </w:p>
          <w:p w14:paraId="0B024E94" w14:textId="77777777" w:rsidR="007545BD" w:rsidRPr="00C41EB8" w:rsidRDefault="007545BD" w:rsidP="00A73208">
            <w:pPr>
              <w:spacing w:before="0" w:after="0"/>
              <w:rPr>
                <w:rFonts w:eastAsia="Times New Roman"/>
                <w:iCs/>
                <w:noProof/>
                <w:sz w:val="20"/>
              </w:rPr>
            </w:pPr>
            <w:r w:rsidRPr="00ED21F8">
              <w:rPr>
                <w:rFonts w:eastAsia="Times New Roman"/>
                <w:iCs/>
                <w:noProof/>
                <w:sz w:val="20"/>
              </w:rPr>
              <w:t xml:space="preserve">Stratēģijas 3.1.1.sadaļā ir norādīti atbalsta mehānismi ēku energoefektivitātes mērķu sasniegšanai. </w:t>
            </w:r>
          </w:p>
        </w:tc>
      </w:tr>
      <w:tr w:rsidR="007545BD" w:rsidRPr="00C41EB8" w14:paraId="0FDD5D5C" w14:textId="77777777" w:rsidTr="00A73208">
        <w:tc>
          <w:tcPr>
            <w:tcW w:w="562" w:type="dxa"/>
            <w:shd w:val="clear" w:color="auto" w:fill="D9D9D9" w:themeFill="background1" w:themeFillShade="D9"/>
          </w:tcPr>
          <w:p w14:paraId="2F7E8C55"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D9D9D9" w:themeFill="background1" w:themeFillShade="D9"/>
          </w:tcPr>
          <w:p w14:paraId="24DA7185" w14:textId="77777777" w:rsidR="007545BD" w:rsidRPr="00C41EB8" w:rsidRDefault="007545BD" w:rsidP="00A73208">
            <w:pPr>
              <w:spacing w:before="0" w:after="0"/>
              <w:jc w:val="left"/>
              <w:rPr>
                <w:sz w:val="20"/>
              </w:rPr>
            </w:pPr>
          </w:p>
        </w:tc>
        <w:tc>
          <w:tcPr>
            <w:tcW w:w="851" w:type="dxa"/>
            <w:vMerge/>
            <w:shd w:val="clear" w:color="auto" w:fill="D9D9D9" w:themeFill="background1" w:themeFillShade="D9"/>
          </w:tcPr>
          <w:p w14:paraId="6B41D095" w14:textId="77777777" w:rsidR="007545BD" w:rsidRPr="00C41EB8" w:rsidRDefault="007545BD" w:rsidP="00A73208">
            <w:pPr>
              <w:spacing w:before="0" w:after="0"/>
              <w:jc w:val="left"/>
              <w:rPr>
                <w:noProof/>
                <w:sz w:val="20"/>
              </w:rPr>
            </w:pPr>
          </w:p>
        </w:tc>
        <w:tc>
          <w:tcPr>
            <w:tcW w:w="1134" w:type="dxa"/>
            <w:vMerge/>
            <w:shd w:val="clear" w:color="auto" w:fill="D9D9D9" w:themeFill="background1" w:themeFillShade="D9"/>
          </w:tcPr>
          <w:p w14:paraId="56EBD917" w14:textId="77777777" w:rsidR="007545BD" w:rsidRPr="00C41EB8" w:rsidRDefault="007545BD" w:rsidP="00A73208">
            <w:pPr>
              <w:spacing w:before="0" w:after="0"/>
              <w:jc w:val="left"/>
              <w:rPr>
                <w:rFonts w:eastAsia="Times New Roman"/>
                <w:iCs/>
                <w:noProof/>
                <w:sz w:val="20"/>
              </w:rPr>
            </w:pPr>
          </w:p>
        </w:tc>
        <w:tc>
          <w:tcPr>
            <w:tcW w:w="850" w:type="dxa"/>
            <w:vMerge/>
            <w:shd w:val="clear" w:color="auto" w:fill="D9D9D9" w:themeFill="background1" w:themeFillShade="D9"/>
          </w:tcPr>
          <w:p w14:paraId="30F43607" w14:textId="77777777" w:rsidR="007545BD" w:rsidRPr="00C41EB8" w:rsidRDefault="007545BD" w:rsidP="00A73208">
            <w:pPr>
              <w:spacing w:before="0" w:after="0"/>
              <w:jc w:val="left"/>
              <w:rPr>
                <w:rFonts w:eastAsia="Times New Roman"/>
                <w:iCs/>
                <w:noProof/>
                <w:sz w:val="20"/>
              </w:rPr>
            </w:pPr>
          </w:p>
        </w:tc>
        <w:tc>
          <w:tcPr>
            <w:tcW w:w="2410" w:type="dxa"/>
            <w:shd w:val="clear" w:color="auto" w:fill="D9D9D9" w:themeFill="background1" w:themeFillShade="D9"/>
          </w:tcPr>
          <w:p w14:paraId="23C968E3" w14:textId="77777777" w:rsidR="007545BD" w:rsidRPr="00C41EB8" w:rsidRDefault="007545BD" w:rsidP="00A73208">
            <w:pPr>
              <w:spacing w:before="0" w:after="0"/>
              <w:jc w:val="left"/>
              <w:rPr>
                <w:noProof/>
                <w:sz w:val="20"/>
              </w:rPr>
            </w:pPr>
            <w:r w:rsidRPr="00C41EB8">
              <w:rPr>
                <w:noProof/>
                <w:sz w:val="20"/>
              </w:rPr>
              <w:t>2.Energoefektivitātes uzlabošanas pasākumi nepieciešamo enerģijas ietaupījumu panākšanai.</w:t>
            </w:r>
          </w:p>
        </w:tc>
        <w:tc>
          <w:tcPr>
            <w:tcW w:w="1134" w:type="dxa"/>
            <w:shd w:val="clear" w:color="auto" w:fill="D9D9D9" w:themeFill="background1" w:themeFillShade="D9"/>
          </w:tcPr>
          <w:p w14:paraId="00C984BD" w14:textId="77777777" w:rsidR="007545BD" w:rsidRPr="00C41EB8" w:rsidRDefault="007545BD" w:rsidP="00A73208">
            <w:pPr>
              <w:spacing w:before="0" w:after="0"/>
              <w:jc w:val="left"/>
              <w:rPr>
                <w:b/>
                <w:bCs/>
                <w:noProof/>
                <w:sz w:val="20"/>
              </w:rPr>
            </w:pPr>
            <w:r w:rsidRPr="00C41EB8">
              <w:rPr>
                <w:b/>
                <w:bCs/>
                <w:noProof/>
                <w:sz w:val="20"/>
              </w:rPr>
              <w:t>Jā</w:t>
            </w:r>
          </w:p>
        </w:tc>
        <w:tc>
          <w:tcPr>
            <w:tcW w:w="2410" w:type="dxa"/>
            <w:shd w:val="clear" w:color="auto" w:fill="D9D9D9" w:themeFill="background1" w:themeFillShade="D9"/>
          </w:tcPr>
          <w:p w14:paraId="4DF609F2" w14:textId="77777777" w:rsidR="007545BD" w:rsidRPr="00C41EB8" w:rsidRDefault="007545BD" w:rsidP="00A73208">
            <w:pPr>
              <w:spacing w:before="0" w:after="0"/>
              <w:jc w:val="left"/>
              <w:rPr>
                <w:bCs/>
                <w:noProof/>
                <w:sz w:val="20"/>
              </w:rPr>
            </w:pPr>
            <w:r w:rsidRPr="00C41EB8">
              <w:rPr>
                <w:bCs/>
                <w:noProof/>
                <w:sz w:val="20"/>
              </w:rPr>
              <w:t>2.kritērija izpilde:</w:t>
            </w:r>
          </w:p>
          <w:p w14:paraId="72E86719" w14:textId="77777777" w:rsidR="007545BD" w:rsidRPr="00C41EB8" w:rsidRDefault="009A507A" w:rsidP="00A73208">
            <w:pPr>
              <w:spacing w:before="0" w:after="0"/>
              <w:jc w:val="left"/>
              <w:rPr>
                <w:noProof/>
                <w:sz w:val="20"/>
              </w:rPr>
            </w:pPr>
            <w:hyperlink r:id="rId47" w:history="1">
              <w:r w:rsidR="007545BD" w:rsidRPr="00C41EB8">
                <w:rPr>
                  <w:rStyle w:val="Hyperlink"/>
                  <w:noProof/>
                  <w:sz w:val="20"/>
                </w:rPr>
                <w:t>Nacionālais enerģētikas un klimata plāns 2021. - 2030.gadam</w:t>
              </w:r>
            </w:hyperlink>
          </w:p>
        </w:tc>
        <w:tc>
          <w:tcPr>
            <w:tcW w:w="3686" w:type="dxa"/>
            <w:shd w:val="clear" w:color="auto" w:fill="D9D9D9" w:themeFill="background1" w:themeFillShade="D9"/>
          </w:tcPr>
          <w:p w14:paraId="58C81BBF" w14:textId="77777777" w:rsidR="007545BD" w:rsidRPr="00C41EB8" w:rsidRDefault="007545BD" w:rsidP="00A73208">
            <w:pPr>
              <w:spacing w:before="0" w:after="0"/>
              <w:rPr>
                <w:rFonts w:eastAsia="Times New Roman"/>
                <w:iCs/>
                <w:noProof/>
                <w:sz w:val="20"/>
              </w:rPr>
            </w:pPr>
            <w:r w:rsidRPr="00EA7AB9">
              <w:rPr>
                <w:rFonts w:eastAsia="Times New Roman"/>
                <w:iCs/>
                <w:noProof/>
                <w:sz w:val="20"/>
              </w:rPr>
              <w:t>Nacionālais enerģētikas un klimata plāns 2021. - 2030.gadam ir pieņemts 28.01.2020 Ministru kabineta sēdē (MK sēdes protokols Nr.4 27.§) un iesniegts Eiropas Komisijā. Plāna 4.pielikumā ir sniegts energoefektivitātes uzlabošanas pasākumiem paredzētais finanšu resursu un ieviešanas mehānismu indikatīvs izklāsts</w:t>
            </w:r>
          </w:p>
        </w:tc>
      </w:tr>
      <w:tr w:rsidR="007545BD" w:rsidRPr="00C41EB8" w14:paraId="040B7F01" w14:textId="77777777" w:rsidTr="00A73208">
        <w:tc>
          <w:tcPr>
            <w:tcW w:w="562" w:type="dxa"/>
          </w:tcPr>
          <w:p w14:paraId="3A534646"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val="restart"/>
          </w:tcPr>
          <w:p w14:paraId="27BBB995" w14:textId="77777777" w:rsidR="007545BD" w:rsidRPr="00C41EB8" w:rsidRDefault="007545BD" w:rsidP="00A73208">
            <w:pPr>
              <w:spacing w:before="0" w:after="0"/>
              <w:jc w:val="left"/>
              <w:rPr>
                <w:sz w:val="20"/>
              </w:rPr>
            </w:pPr>
            <w:r w:rsidRPr="00C41EB8">
              <w:rPr>
                <w:sz w:val="20"/>
              </w:rPr>
              <w:t>Tematiskais priekšnosacījums Nr.3</w:t>
            </w:r>
          </w:p>
          <w:p w14:paraId="67CB4DE9" w14:textId="77777777" w:rsidR="007545BD" w:rsidRPr="00C41EB8" w:rsidRDefault="007545BD" w:rsidP="00A73208">
            <w:pPr>
              <w:spacing w:before="0" w:after="0"/>
              <w:jc w:val="left"/>
              <w:rPr>
                <w:noProof/>
                <w:sz w:val="20"/>
              </w:rPr>
            </w:pPr>
            <w:r w:rsidRPr="00C41EB8">
              <w:rPr>
                <w:b/>
                <w:bCs/>
                <w:noProof/>
                <w:sz w:val="20"/>
              </w:rPr>
              <w:t>Enerģētikas nozares</w:t>
            </w:r>
            <w:r w:rsidRPr="00C41EB8">
              <w:rPr>
                <w:noProof/>
                <w:sz w:val="20"/>
              </w:rPr>
              <w:t xml:space="preserve"> pārvaldība</w:t>
            </w:r>
          </w:p>
        </w:tc>
        <w:tc>
          <w:tcPr>
            <w:tcW w:w="851" w:type="dxa"/>
            <w:vMerge w:val="restart"/>
          </w:tcPr>
          <w:p w14:paraId="7D78DA1A" w14:textId="77777777" w:rsidR="007545BD" w:rsidRPr="00C41EB8" w:rsidRDefault="007545BD" w:rsidP="00A73208">
            <w:pPr>
              <w:spacing w:before="0" w:after="0"/>
              <w:jc w:val="left"/>
              <w:rPr>
                <w:rFonts w:eastAsia="Times New Roman"/>
                <w:iCs/>
                <w:noProof/>
                <w:sz w:val="20"/>
              </w:rPr>
            </w:pPr>
            <w:r w:rsidRPr="00C41EB8">
              <w:rPr>
                <w:noProof/>
                <w:sz w:val="20"/>
              </w:rPr>
              <w:t>ERAF</w:t>
            </w:r>
          </w:p>
        </w:tc>
        <w:tc>
          <w:tcPr>
            <w:tcW w:w="1134" w:type="dxa"/>
            <w:vMerge w:val="restart"/>
          </w:tcPr>
          <w:p w14:paraId="20541E52"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2.1.1.SAM; 2.1.2.SAM</w:t>
            </w:r>
          </w:p>
        </w:tc>
        <w:tc>
          <w:tcPr>
            <w:tcW w:w="850" w:type="dxa"/>
            <w:vMerge w:val="restart"/>
          </w:tcPr>
          <w:p w14:paraId="561BE177" w14:textId="77777777" w:rsidR="007545BD" w:rsidRPr="00C41EB8" w:rsidRDefault="007545BD" w:rsidP="00A73208">
            <w:pPr>
              <w:spacing w:before="0" w:after="0"/>
              <w:jc w:val="left"/>
              <w:rPr>
                <w:rFonts w:eastAsia="Times New Roman"/>
                <w:b/>
                <w:bCs/>
                <w:iCs/>
                <w:noProof/>
                <w:sz w:val="20"/>
              </w:rPr>
            </w:pPr>
            <w:r w:rsidRPr="00C41EB8">
              <w:rPr>
                <w:rFonts w:eastAsia="Times New Roman"/>
                <w:b/>
                <w:bCs/>
                <w:iCs/>
                <w:noProof/>
                <w:sz w:val="20"/>
              </w:rPr>
              <w:t>Jā</w:t>
            </w:r>
          </w:p>
        </w:tc>
        <w:tc>
          <w:tcPr>
            <w:tcW w:w="2410" w:type="dxa"/>
          </w:tcPr>
          <w:p w14:paraId="06A57C7C" w14:textId="77777777" w:rsidR="007545BD" w:rsidRPr="00C41EB8" w:rsidRDefault="007545BD" w:rsidP="00A73208">
            <w:pPr>
              <w:spacing w:before="0" w:after="0"/>
              <w:jc w:val="left"/>
              <w:rPr>
                <w:noProof/>
                <w:sz w:val="20"/>
              </w:rPr>
            </w:pPr>
            <w:r w:rsidRPr="00C41EB8">
              <w:rPr>
                <w:noProof/>
                <w:sz w:val="20"/>
              </w:rPr>
              <w:t>Ir pieņemts un iesniegts EK valsts Enerģētikas un Klimata plāns, atbilstoši regulas par Enerģētikas savienības pārvaldību</w:t>
            </w:r>
            <w:r w:rsidRPr="00C41EB8">
              <w:rPr>
                <w:rStyle w:val="FootnoteReference"/>
                <w:noProof/>
                <w:sz w:val="20"/>
              </w:rPr>
              <w:footnoteReference w:id="142"/>
            </w:r>
            <w:r w:rsidRPr="00C41EB8">
              <w:rPr>
                <w:noProof/>
                <w:sz w:val="20"/>
              </w:rPr>
              <w:t xml:space="preserve"> 3. pantam, </w:t>
            </w:r>
            <w:r w:rsidRPr="00C41EB8">
              <w:rPr>
                <w:b/>
                <w:bCs/>
                <w:noProof/>
                <w:sz w:val="20"/>
              </w:rPr>
              <w:t xml:space="preserve"> </w:t>
            </w:r>
            <w:r w:rsidRPr="00C41EB8">
              <w:rPr>
                <w:noProof/>
                <w:sz w:val="20"/>
              </w:rPr>
              <w:t xml:space="preserve">un tas ietver </w:t>
            </w:r>
          </w:p>
          <w:p w14:paraId="15A543E4" w14:textId="77777777" w:rsidR="007545BD" w:rsidRPr="00C41EB8" w:rsidRDefault="007545BD" w:rsidP="00A73208">
            <w:pPr>
              <w:spacing w:before="0" w:after="0"/>
              <w:ind w:left="317" w:hanging="360"/>
              <w:jc w:val="left"/>
              <w:rPr>
                <w:noProof/>
                <w:sz w:val="20"/>
              </w:rPr>
            </w:pPr>
            <w:r w:rsidRPr="00C41EB8">
              <w:rPr>
                <w:noProof/>
                <w:sz w:val="20"/>
              </w:rPr>
              <w:t>1.</w:t>
            </w:r>
            <w:r w:rsidRPr="00C41EB8">
              <w:rPr>
                <w:noProof/>
                <w:sz w:val="20"/>
              </w:rPr>
              <w:tab/>
              <w:t>visus regulas par Enerģētikas savienības un Klimata pārmaiņu pārvaldību I pielikuma veidnē  norādītos elementus;</w:t>
            </w:r>
          </w:p>
        </w:tc>
        <w:tc>
          <w:tcPr>
            <w:tcW w:w="1134" w:type="dxa"/>
          </w:tcPr>
          <w:p w14:paraId="002A4711" w14:textId="77777777" w:rsidR="007545BD" w:rsidRPr="00C41EB8" w:rsidRDefault="007545BD" w:rsidP="00A73208">
            <w:pPr>
              <w:spacing w:before="0" w:after="0"/>
              <w:jc w:val="left"/>
              <w:rPr>
                <w:b/>
                <w:bCs/>
                <w:noProof/>
                <w:sz w:val="20"/>
              </w:rPr>
            </w:pPr>
            <w:r w:rsidRPr="00C41EB8">
              <w:rPr>
                <w:b/>
                <w:bCs/>
                <w:noProof/>
                <w:sz w:val="20"/>
              </w:rPr>
              <w:t>Jā</w:t>
            </w:r>
          </w:p>
        </w:tc>
        <w:tc>
          <w:tcPr>
            <w:tcW w:w="2410" w:type="dxa"/>
          </w:tcPr>
          <w:p w14:paraId="70F5045B" w14:textId="77777777" w:rsidR="007545BD" w:rsidRPr="00C41EB8" w:rsidRDefault="009A507A" w:rsidP="00A73208">
            <w:pPr>
              <w:spacing w:before="0" w:after="0"/>
              <w:jc w:val="left"/>
              <w:rPr>
                <w:noProof/>
                <w:sz w:val="20"/>
              </w:rPr>
            </w:pPr>
            <w:hyperlink r:id="rId48" w:history="1">
              <w:r w:rsidR="007545BD" w:rsidRPr="00C41EB8">
                <w:rPr>
                  <w:rStyle w:val="Hyperlink"/>
                  <w:noProof/>
                  <w:sz w:val="20"/>
                </w:rPr>
                <w:t>Nacionālais enerģētikas un klimata plāns 2021. - 2030.gadam</w:t>
              </w:r>
            </w:hyperlink>
          </w:p>
          <w:p w14:paraId="02B50535" w14:textId="77777777" w:rsidR="007545BD" w:rsidRPr="00C41EB8" w:rsidRDefault="007545BD" w:rsidP="00A73208">
            <w:pPr>
              <w:spacing w:before="0" w:after="0"/>
              <w:jc w:val="left"/>
              <w:rPr>
                <w:noProof/>
                <w:sz w:val="20"/>
              </w:rPr>
            </w:pPr>
          </w:p>
        </w:tc>
        <w:tc>
          <w:tcPr>
            <w:tcW w:w="3686" w:type="dxa"/>
          </w:tcPr>
          <w:p w14:paraId="75958490" w14:textId="77777777" w:rsidR="007545BD" w:rsidRPr="00EA7AB9" w:rsidRDefault="007545BD" w:rsidP="00A73208">
            <w:pPr>
              <w:spacing w:before="0" w:after="0"/>
              <w:rPr>
                <w:rFonts w:eastAsia="Times New Roman"/>
                <w:iCs/>
                <w:noProof/>
                <w:sz w:val="20"/>
              </w:rPr>
            </w:pPr>
            <w:r w:rsidRPr="00EA7AB9">
              <w:rPr>
                <w:rFonts w:eastAsia="Times New Roman"/>
                <w:iCs/>
                <w:noProof/>
                <w:sz w:val="20"/>
              </w:rPr>
              <w:t>Nacionālais enerģētikas un klimata plāns 2021. - 2030.gadam ir pieņemts 28.01.2020 Ministru kabineta sēdē (MK sēdes protokols Nr.4 27.§) un iesniegts Eiropas Komisijā.</w:t>
            </w:r>
          </w:p>
        </w:tc>
      </w:tr>
      <w:tr w:rsidR="007545BD" w:rsidRPr="00C41EB8" w14:paraId="7EF70715" w14:textId="77777777" w:rsidTr="00A73208">
        <w:tc>
          <w:tcPr>
            <w:tcW w:w="562" w:type="dxa"/>
          </w:tcPr>
          <w:p w14:paraId="48140921"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43AF0091" w14:textId="77777777" w:rsidR="007545BD" w:rsidRPr="00C41EB8" w:rsidRDefault="007545BD" w:rsidP="00A73208">
            <w:pPr>
              <w:spacing w:before="0" w:after="0"/>
              <w:jc w:val="left"/>
              <w:rPr>
                <w:sz w:val="20"/>
              </w:rPr>
            </w:pPr>
          </w:p>
        </w:tc>
        <w:tc>
          <w:tcPr>
            <w:tcW w:w="851" w:type="dxa"/>
            <w:vMerge/>
          </w:tcPr>
          <w:p w14:paraId="2BB5A2C1" w14:textId="77777777" w:rsidR="007545BD" w:rsidRPr="00C41EB8" w:rsidRDefault="007545BD" w:rsidP="00A73208">
            <w:pPr>
              <w:spacing w:before="0" w:after="0"/>
              <w:jc w:val="left"/>
              <w:rPr>
                <w:noProof/>
                <w:sz w:val="20"/>
              </w:rPr>
            </w:pPr>
          </w:p>
        </w:tc>
        <w:tc>
          <w:tcPr>
            <w:tcW w:w="1134" w:type="dxa"/>
            <w:vMerge/>
          </w:tcPr>
          <w:p w14:paraId="7231850D" w14:textId="77777777" w:rsidR="007545BD" w:rsidRPr="00C41EB8" w:rsidRDefault="007545BD" w:rsidP="00A73208">
            <w:pPr>
              <w:spacing w:before="0" w:after="0"/>
              <w:jc w:val="left"/>
              <w:rPr>
                <w:rFonts w:eastAsia="Times New Roman"/>
                <w:iCs/>
                <w:noProof/>
                <w:sz w:val="20"/>
              </w:rPr>
            </w:pPr>
          </w:p>
        </w:tc>
        <w:tc>
          <w:tcPr>
            <w:tcW w:w="850" w:type="dxa"/>
            <w:vMerge/>
          </w:tcPr>
          <w:p w14:paraId="70CA33BD" w14:textId="77777777" w:rsidR="007545BD" w:rsidRPr="00C41EB8" w:rsidRDefault="007545BD" w:rsidP="00A73208">
            <w:pPr>
              <w:spacing w:before="0" w:after="0"/>
              <w:jc w:val="left"/>
              <w:rPr>
                <w:rFonts w:eastAsia="Times New Roman"/>
                <w:iCs/>
                <w:noProof/>
                <w:sz w:val="20"/>
              </w:rPr>
            </w:pPr>
          </w:p>
        </w:tc>
        <w:tc>
          <w:tcPr>
            <w:tcW w:w="2410" w:type="dxa"/>
          </w:tcPr>
          <w:p w14:paraId="182FC8C8" w14:textId="77777777" w:rsidR="007545BD" w:rsidRPr="00C41EB8" w:rsidRDefault="007545BD" w:rsidP="00A73208">
            <w:pPr>
              <w:widowControl w:val="0"/>
              <w:spacing w:before="0" w:after="0"/>
              <w:jc w:val="left"/>
              <w:rPr>
                <w:sz w:val="20"/>
              </w:rPr>
            </w:pPr>
            <w:r w:rsidRPr="00C41EB8">
              <w:rPr>
                <w:noProof/>
                <w:sz w:val="20"/>
              </w:rPr>
              <w:t>2.mazoglekļa enerģijas veicināšanas pasākumiem paredzēto finanšu resursu un ieviešanas mehānismu indikatīvu izklāstu.</w:t>
            </w:r>
          </w:p>
        </w:tc>
        <w:tc>
          <w:tcPr>
            <w:tcW w:w="1134" w:type="dxa"/>
          </w:tcPr>
          <w:p w14:paraId="7C366284" w14:textId="77777777" w:rsidR="007545BD" w:rsidRPr="00C41EB8" w:rsidRDefault="007545BD" w:rsidP="00A73208">
            <w:pPr>
              <w:spacing w:before="0" w:after="0"/>
              <w:jc w:val="left"/>
              <w:rPr>
                <w:noProof/>
                <w:sz w:val="20"/>
              </w:rPr>
            </w:pPr>
            <w:r w:rsidRPr="00C41EB8">
              <w:rPr>
                <w:b/>
                <w:bCs/>
                <w:noProof/>
                <w:sz w:val="20"/>
              </w:rPr>
              <w:t>Jā</w:t>
            </w:r>
          </w:p>
        </w:tc>
        <w:tc>
          <w:tcPr>
            <w:tcW w:w="2410" w:type="dxa"/>
          </w:tcPr>
          <w:p w14:paraId="4D6E5531" w14:textId="77777777" w:rsidR="007545BD" w:rsidRPr="00C41EB8" w:rsidRDefault="009A507A" w:rsidP="00A73208">
            <w:pPr>
              <w:spacing w:before="0" w:after="0"/>
              <w:jc w:val="left"/>
              <w:rPr>
                <w:noProof/>
                <w:sz w:val="20"/>
              </w:rPr>
            </w:pPr>
            <w:hyperlink r:id="rId49" w:history="1">
              <w:r w:rsidR="007545BD" w:rsidRPr="00C41EB8">
                <w:rPr>
                  <w:rStyle w:val="Hyperlink"/>
                  <w:noProof/>
                  <w:sz w:val="20"/>
                </w:rPr>
                <w:t>Nacionālais enerģētikas un klimata plāns 2021. - 2030.gadam</w:t>
              </w:r>
            </w:hyperlink>
          </w:p>
          <w:p w14:paraId="1CC720BB" w14:textId="77777777" w:rsidR="007545BD" w:rsidRPr="00C41EB8" w:rsidRDefault="007545BD" w:rsidP="00A73208">
            <w:pPr>
              <w:spacing w:before="0" w:after="0"/>
              <w:jc w:val="left"/>
              <w:rPr>
                <w:b/>
                <w:noProof/>
                <w:sz w:val="20"/>
              </w:rPr>
            </w:pPr>
          </w:p>
        </w:tc>
        <w:tc>
          <w:tcPr>
            <w:tcW w:w="3686" w:type="dxa"/>
          </w:tcPr>
          <w:p w14:paraId="1E3F56F0" w14:textId="77777777" w:rsidR="007545BD" w:rsidRPr="00EA7AB9" w:rsidRDefault="007545BD" w:rsidP="00A73208">
            <w:pPr>
              <w:spacing w:before="0" w:after="0"/>
              <w:rPr>
                <w:rFonts w:eastAsia="Times New Roman"/>
                <w:iCs/>
                <w:noProof/>
                <w:sz w:val="20"/>
              </w:rPr>
            </w:pPr>
            <w:r w:rsidRPr="00EA7AB9">
              <w:rPr>
                <w:rFonts w:eastAsia="Times New Roman"/>
                <w:iCs/>
                <w:noProof/>
                <w:sz w:val="20"/>
              </w:rPr>
              <w:t>Nacionālā enerģētikas un klimata plāna 2021. - 2030.gadam 4.pielikumā ir sniegts mazoglekļa enerģijas veicināšanas pasākumiem paredzēto finanšu resursu un ieviešanas mehānismu indikatīvs izklāsts.</w:t>
            </w:r>
          </w:p>
        </w:tc>
      </w:tr>
      <w:tr w:rsidR="007545BD" w:rsidRPr="00C41EB8" w14:paraId="7D62A34F" w14:textId="77777777" w:rsidTr="00A73208">
        <w:tc>
          <w:tcPr>
            <w:tcW w:w="562" w:type="dxa"/>
            <w:shd w:val="clear" w:color="auto" w:fill="D9D9D9" w:themeFill="background1" w:themeFillShade="D9"/>
          </w:tcPr>
          <w:p w14:paraId="65D79EEC"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val="restart"/>
            <w:shd w:val="clear" w:color="auto" w:fill="D9D9D9" w:themeFill="background1" w:themeFillShade="D9"/>
          </w:tcPr>
          <w:p w14:paraId="1BF8ABF6" w14:textId="77777777" w:rsidR="007545BD" w:rsidRPr="00C41EB8" w:rsidRDefault="007545BD" w:rsidP="00A73208">
            <w:pPr>
              <w:spacing w:before="0" w:after="0"/>
              <w:jc w:val="left"/>
              <w:rPr>
                <w:sz w:val="20"/>
              </w:rPr>
            </w:pPr>
            <w:r w:rsidRPr="00C41EB8">
              <w:rPr>
                <w:sz w:val="20"/>
              </w:rPr>
              <w:t>Tematiskais priekšnosacījums Nr.4</w:t>
            </w:r>
          </w:p>
          <w:p w14:paraId="2DE9C93F" w14:textId="77777777" w:rsidR="007545BD" w:rsidRPr="00C41EB8" w:rsidRDefault="007545BD" w:rsidP="00A73208">
            <w:pPr>
              <w:spacing w:before="0" w:after="0"/>
              <w:jc w:val="left"/>
              <w:rPr>
                <w:noProof/>
                <w:sz w:val="20"/>
              </w:rPr>
            </w:pPr>
            <w:r w:rsidRPr="00C41EB8">
              <w:rPr>
                <w:noProof/>
                <w:sz w:val="20"/>
              </w:rPr>
              <w:t xml:space="preserve">Efektīvi veicināt </w:t>
            </w:r>
            <w:r w:rsidRPr="00C41EB8">
              <w:rPr>
                <w:b/>
                <w:bCs/>
                <w:noProof/>
                <w:sz w:val="20"/>
              </w:rPr>
              <w:t xml:space="preserve">atjaunojamo energoresursu enerģijas </w:t>
            </w:r>
            <w:r w:rsidRPr="00C41EB8">
              <w:rPr>
                <w:noProof/>
                <w:sz w:val="20"/>
              </w:rPr>
              <w:t>izmantošanu dažādās nozarēs un visā ES</w:t>
            </w:r>
          </w:p>
        </w:tc>
        <w:tc>
          <w:tcPr>
            <w:tcW w:w="851" w:type="dxa"/>
            <w:vMerge w:val="restart"/>
            <w:shd w:val="clear" w:color="auto" w:fill="D9D9D9" w:themeFill="background1" w:themeFillShade="D9"/>
          </w:tcPr>
          <w:p w14:paraId="7CDA374C"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KF</w:t>
            </w:r>
          </w:p>
        </w:tc>
        <w:tc>
          <w:tcPr>
            <w:tcW w:w="1134" w:type="dxa"/>
            <w:vMerge w:val="restart"/>
            <w:shd w:val="clear" w:color="auto" w:fill="D9D9D9" w:themeFill="background1" w:themeFillShade="D9"/>
          </w:tcPr>
          <w:p w14:paraId="5A884E67"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2.1.2.SAM</w:t>
            </w:r>
          </w:p>
        </w:tc>
        <w:tc>
          <w:tcPr>
            <w:tcW w:w="850" w:type="dxa"/>
            <w:vMerge w:val="restart"/>
            <w:shd w:val="clear" w:color="auto" w:fill="D9D9D9" w:themeFill="background1" w:themeFillShade="D9"/>
          </w:tcPr>
          <w:p w14:paraId="3A349F8F" w14:textId="77777777" w:rsidR="007545BD" w:rsidRPr="00C41EB8" w:rsidRDefault="007545BD" w:rsidP="00A73208">
            <w:pPr>
              <w:spacing w:before="0" w:after="0"/>
              <w:jc w:val="left"/>
              <w:rPr>
                <w:rFonts w:eastAsia="Times New Roman"/>
                <w:iCs/>
                <w:noProof/>
                <w:sz w:val="20"/>
              </w:rPr>
            </w:pPr>
            <w:r w:rsidRPr="00C41EB8">
              <w:rPr>
                <w:rFonts w:eastAsia="Times New Roman"/>
                <w:b/>
                <w:bCs/>
                <w:iCs/>
                <w:noProof/>
                <w:sz w:val="20"/>
              </w:rPr>
              <w:t>Jā</w:t>
            </w:r>
          </w:p>
        </w:tc>
        <w:tc>
          <w:tcPr>
            <w:tcW w:w="2410" w:type="dxa"/>
            <w:shd w:val="clear" w:color="auto" w:fill="D9D9D9" w:themeFill="background1" w:themeFillShade="D9"/>
          </w:tcPr>
          <w:p w14:paraId="0FD9F822" w14:textId="77777777" w:rsidR="007545BD" w:rsidRPr="00C41EB8" w:rsidRDefault="007545BD" w:rsidP="00A73208">
            <w:pPr>
              <w:widowControl w:val="0"/>
              <w:spacing w:before="0" w:after="0"/>
              <w:jc w:val="left"/>
              <w:rPr>
                <w:sz w:val="20"/>
              </w:rPr>
            </w:pPr>
            <w:r w:rsidRPr="00C41EB8">
              <w:rPr>
                <w:sz w:val="20"/>
              </w:rPr>
              <w:t xml:space="preserve">Ir sagatavoti pasākumi, kas nodrošina: </w:t>
            </w:r>
          </w:p>
          <w:p w14:paraId="3810F942" w14:textId="77777777" w:rsidR="007545BD" w:rsidRPr="00C41EB8" w:rsidRDefault="007545BD" w:rsidP="00A73208">
            <w:pPr>
              <w:pStyle w:val="ListParagraph"/>
              <w:widowControl w:val="0"/>
              <w:numPr>
                <w:ilvl w:val="0"/>
                <w:numId w:val="46"/>
              </w:numPr>
              <w:spacing w:after="0" w:line="240" w:lineRule="auto"/>
              <w:rPr>
                <w:rFonts w:ascii="Times New Roman" w:hAnsi="Times New Roman" w:cs="Times New Roman"/>
                <w:noProof/>
                <w:sz w:val="20"/>
                <w:szCs w:val="20"/>
              </w:rPr>
            </w:pPr>
            <w:r w:rsidRPr="00C41EB8">
              <w:rPr>
                <w:rFonts w:ascii="Times New Roman" w:eastAsia="Calibri" w:hAnsi="Times New Roman" w:cs="Times New Roman"/>
                <w:sz w:val="20"/>
                <w:szCs w:val="20"/>
              </w:rPr>
              <w:t xml:space="preserve">Atbilstību 2020. gada saistošajam valsts atjaunojamās enerģijas mērķim un ar šo atjaunojamo energoresursu īpatsvaru līdz 2030. gadam vai papildu pasākumu veikšanu gadījumā, ja bāzes vērtība netiek saglabāta nevienā gada periodā saskaņā ar  Direktīvu 2018/2001 un Regulu 2018/1999. </w:t>
            </w:r>
          </w:p>
        </w:tc>
        <w:tc>
          <w:tcPr>
            <w:tcW w:w="1134" w:type="dxa"/>
            <w:shd w:val="clear" w:color="auto" w:fill="D9D9D9" w:themeFill="background1" w:themeFillShade="D9"/>
          </w:tcPr>
          <w:p w14:paraId="7E3728B2" w14:textId="77777777" w:rsidR="007545BD" w:rsidRPr="00C41EB8" w:rsidRDefault="007545BD" w:rsidP="00A73208">
            <w:pPr>
              <w:spacing w:before="0" w:after="0"/>
              <w:jc w:val="left"/>
              <w:rPr>
                <w:b/>
                <w:bCs/>
                <w:noProof/>
                <w:sz w:val="20"/>
              </w:rPr>
            </w:pPr>
            <w:r w:rsidRPr="00C41EB8">
              <w:rPr>
                <w:b/>
                <w:bCs/>
                <w:noProof/>
                <w:sz w:val="20"/>
              </w:rPr>
              <w:t>Jā</w:t>
            </w:r>
          </w:p>
        </w:tc>
        <w:tc>
          <w:tcPr>
            <w:tcW w:w="2410" w:type="dxa"/>
            <w:shd w:val="clear" w:color="auto" w:fill="D9D9D9" w:themeFill="background1" w:themeFillShade="D9"/>
          </w:tcPr>
          <w:p w14:paraId="25213F0F" w14:textId="77777777" w:rsidR="007545BD" w:rsidRPr="00C41EB8" w:rsidRDefault="007545BD" w:rsidP="00A73208">
            <w:pPr>
              <w:spacing w:before="0" w:after="0"/>
              <w:jc w:val="left"/>
              <w:rPr>
                <w:b/>
                <w:noProof/>
                <w:sz w:val="20"/>
              </w:rPr>
            </w:pPr>
            <w:r w:rsidRPr="00C41EB8">
              <w:rPr>
                <w:b/>
                <w:noProof/>
                <w:sz w:val="20"/>
              </w:rPr>
              <w:t xml:space="preserve">1.kritērijs </w:t>
            </w:r>
          </w:p>
          <w:p w14:paraId="077CE8D0" w14:textId="77777777" w:rsidR="007545BD" w:rsidRPr="00C41EB8" w:rsidRDefault="009A507A" w:rsidP="00A73208">
            <w:pPr>
              <w:spacing w:before="0" w:after="0"/>
              <w:jc w:val="left"/>
              <w:rPr>
                <w:noProof/>
                <w:sz w:val="20"/>
              </w:rPr>
            </w:pPr>
            <w:hyperlink r:id="rId50" w:history="1">
              <w:r w:rsidR="007545BD" w:rsidRPr="00C41EB8">
                <w:rPr>
                  <w:rStyle w:val="Hyperlink"/>
                  <w:noProof/>
                  <w:sz w:val="20"/>
                </w:rPr>
                <w:t>Nacionālais enerģētikas un klimata plāns 2021. - 2030.gadam</w:t>
              </w:r>
            </w:hyperlink>
            <w:r w:rsidR="007545BD" w:rsidRPr="00C41EB8">
              <w:rPr>
                <w:noProof/>
                <w:sz w:val="20"/>
              </w:rPr>
              <w:t>;</w:t>
            </w:r>
          </w:p>
          <w:p w14:paraId="5DFC162E" w14:textId="77777777" w:rsidR="007545BD" w:rsidRPr="00C41EB8" w:rsidRDefault="007545BD" w:rsidP="00A73208">
            <w:pPr>
              <w:spacing w:before="0" w:after="0"/>
              <w:jc w:val="left"/>
              <w:rPr>
                <w:noProof/>
                <w:sz w:val="20"/>
              </w:rPr>
            </w:pPr>
          </w:p>
          <w:p w14:paraId="2AEBB968" w14:textId="77777777" w:rsidR="007545BD" w:rsidRPr="00C41EB8" w:rsidRDefault="007545BD" w:rsidP="00A73208">
            <w:pPr>
              <w:spacing w:before="0" w:after="0"/>
              <w:jc w:val="left"/>
              <w:rPr>
                <w:noProof/>
                <w:sz w:val="20"/>
              </w:rPr>
            </w:pPr>
          </w:p>
          <w:p w14:paraId="30348454" w14:textId="77777777" w:rsidR="007545BD" w:rsidRPr="00C41EB8" w:rsidRDefault="007545BD" w:rsidP="00A73208">
            <w:pPr>
              <w:spacing w:before="0" w:after="0"/>
              <w:jc w:val="left"/>
              <w:rPr>
                <w:noProof/>
                <w:sz w:val="20"/>
              </w:rPr>
            </w:pPr>
          </w:p>
          <w:p w14:paraId="69C5512C" w14:textId="77777777" w:rsidR="007545BD" w:rsidRPr="00C41EB8" w:rsidRDefault="007545BD" w:rsidP="00A73208">
            <w:pPr>
              <w:spacing w:before="0" w:after="0"/>
              <w:jc w:val="left"/>
              <w:rPr>
                <w:noProof/>
                <w:sz w:val="20"/>
              </w:rPr>
            </w:pPr>
          </w:p>
        </w:tc>
        <w:tc>
          <w:tcPr>
            <w:tcW w:w="3686" w:type="dxa"/>
            <w:shd w:val="clear" w:color="auto" w:fill="D9D9D9" w:themeFill="background1" w:themeFillShade="D9"/>
          </w:tcPr>
          <w:p w14:paraId="51C7E9D6" w14:textId="77777777" w:rsidR="007545BD" w:rsidRPr="00C41EB8" w:rsidRDefault="007545BD" w:rsidP="00A73208">
            <w:pPr>
              <w:spacing w:before="0" w:after="0"/>
              <w:rPr>
                <w:rFonts w:eastAsia="Times New Roman"/>
                <w:iCs/>
                <w:noProof/>
                <w:sz w:val="20"/>
              </w:rPr>
            </w:pPr>
            <w:r w:rsidRPr="00722064">
              <w:rPr>
                <w:rFonts w:eastAsia="Times New Roman"/>
                <w:iCs/>
                <w:noProof/>
                <w:sz w:val="20"/>
              </w:rPr>
              <w:t>Nacionālais enerģētikas un klimata plāns 2021. - 2030.gadam ir pieņemts 28.01.2020 Ministru kabineta sēdē (MK sēdes protokols Nr.4 27.§) un iesniegts Eiropas Komisijā. Plāna 4.pielikumā ir sniegts  atjaunojamo energoresursu enerģijas izmantošanas atbalsta  pasākumiem paredzētais finanšu resursu un ieviešanas mehānismu indikatīvs izklāsts.</w:t>
            </w:r>
          </w:p>
        </w:tc>
      </w:tr>
      <w:tr w:rsidR="007545BD" w:rsidRPr="00C41EB8" w14:paraId="7CEB097A" w14:textId="77777777" w:rsidTr="00A73208">
        <w:tc>
          <w:tcPr>
            <w:tcW w:w="562" w:type="dxa"/>
            <w:shd w:val="clear" w:color="auto" w:fill="D9D9D9" w:themeFill="background1" w:themeFillShade="D9"/>
          </w:tcPr>
          <w:p w14:paraId="4C201578"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D9D9D9" w:themeFill="background1" w:themeFillShade="D9"/>
          </w:tcPr>
          <w:p w14:paraId="05E47B88" w14:textId="77777777" w:rsidR="007545BD" w:rsidRPr="00C41EB8" w:rsidRDefault="007545BD" w:rsidP="00A73208">
            <w:pPr>
              <w:spacing w:before="0" w:after="0"/>
              <w:jc w:val="left"/>
              <w:rPr>
                <w:noProof/>
                <w:sz w:val="20"/>
              </w:rPr>
            </w:pPr>
          </w:p>
        </w:tc>
        <w:tc>
          <w:tcPr>
            <w:tcW w:w="851" w:type="dxa"/>
            <w:vMerge/>
            <w:shd w:val="clear" w:color="auto" w:fill="D9D9D9" w:themeFill="background1" w:themeFillShade="D9"/>
          </w:tcPr>
          <w:p w14:paraId="2963C934" w14:textId="77777777" w:rsidR="007545BD" w:rsidRPr="00C41EB8" w:rsidRDefault="007545BD" w:rsidP="00A73208">
            <w:pPr>
              <w:spacing w:before="0" w:after="0"/>
              <w:jc w:val="left"/>
              <w:rPr>
                <w:rFonts w:eastAsia="Times New Roman"/>
                <w:iCs/>
                <w:noProof/>
                <w:sz w:val="20"/>
              </w:rPr>
            </w:pPr>
          </w:p>
        </w:tc>
        <w:tc>
          <w:tcPr>
            <w:tcW w:w="1134" w:type="dxa"/>
            <w:vMerge/>
            <w:shd w:val="clear" w:color="auto" w:fill="D9D9D9" w:themeFill="background1" w:themeFillShade="D9"/>
          </w:tcPr>
          <w:p w14:paraId="742A9D97" w14:textId="77777777" w:rsidR="007545BD" w:rsidRPr="00C41EB8" w:rsidRDefault="007545BD" w:rsidP="00A73208">
            <w:pPr>
              <w:spacing w:before="0" w:after="0"/>
              <w:jc w:val="left"/>
              <w:rPr>
                <w:rFonts w:eastAsia="Times New Roman"/>
                <w:iCs/>
                <w:noProof/>
                <w:sz w:val="20"/>
              </w:rPr>
            </w:pPr>
          </w:p>
        </w:tc>
        <w:tc>
          <w:tcPr>
            <w:tcW w:w="850" w:type="dxa"/>
            <w:vMerge/>
            <w:shd w:val="clear" w:color="auto" w:fill="D9D9D9" w:themeFill="background1" w:themeFillShade="D9"/>
          </w:tcPr>
          <w:p w14:paraId="21EC918F" w14:textId="77777777" w:rsidR="007545BD" w:rsidRPr="00C41EB8" w:rsidRDefault="007545BD" w:rsidP="00A73208">
            <w:pPr>
              <w:spacing w:before="0" w:after="0"/>
              <w:jc w:val="left"/>
              <w:rPr>
                <w:rFonts w:eastAsia="Times New Roman"/>
                <w:b/>
                <w:bCs/>
                <w:iCs/>
                <w:noProof/>
                <w:sz w:val="20"/>
              </w:rPr>
            </w:pPr>
          </w:p>
        </w:tc>
        <w:tc>
          <w:tcPr>
            <w:tcW w:w="2410" w:type="dxa"/>
            <w:shd w:val="clear" w:color="auto" w:fill="D9D9D9" w:themeFill="background1" w:themeFillShade="D9"/>
          </w:tcPr>
          <w:p w14:paraId="0B98DD6A" w14:textId="77777777" w:rsidR="007545BD" w:rsidRPr="00C41EB8" w:rsidRDefault="007545BD" w:rsidP="00A73208">
            <w:pPr>
              <w:pStyle w:val="ListParagraph"/>
              <w:numPr>
                <w:ilvl w:val="0"/>
                <w:numId w:val="46"/>
              </w:numPr>
              <w:spacing w:after="0" w:line="240" w:lineRule="auto"/>
              <w:rPr>
                <w:rFonts w:ascii="Times New Roman" w:hAnsi="Times New Roman" w:cs="Times New Roman"/>
                <w:noProof/>
                <w:sz w:val="20"/>
                <w:szCs w:val="20"/>
              </w:rPr>
            </w:pPr>
            <w:r w:rsidRPr="00C41EB8">
              <w:rPr>
                <w:rFonts w:ascii="Times New Roman" w:hAnsi="Times New Roman" w:cs="Times New Roman"/>
                <w:sz w:val="20"/>
                <w:szCs w:val="20"/>
              </w:rPr>
              <w:t>Saskaņā ar Direktīvā 2018/2001 un Regulā 2018/1999 izvirzītajām prasībām atjaunojamo energoresursu īpatsvara palielināšanu apkures un dzesēšanas nozarē saskaņā ar Eiropas Kopienas dibināšanas līguma 23. pantu. Direktīva 2018/2001.</w:t>
            </w:r>
          </w:p>
        </w:tc>
        <w:tc>
          <w:tcPr>
            <w:tcW w:w="1134" w:type="dxa"/>
            <w:shd w:val="clear" w:color="auto" w:fill="D9D9D9" w:themeFill="background1" w:themeFillShade="D9"/>
          </w:tcPr>
          <w:p w14:paraId="0272E369" w14:textId="77777777" w:rsidR="007545BD" w:rsidRPr="00C41EB8" w:rsidRDefault="007545BD" w:rsidP="00A73208">
            <w:pPr>
              <w:spacing w:before="0" w:after="0"/>
              <w:jc w:val="left"/>
              <w:rPr>
                <w:b/>
                <w:bCs/>
                <w:noProof/>
                <w:sz w:val="20"/>
              </w:rPr>
            </w:pPr>
            <w:r w:rsidRPr="00C41EB8">
              <w:rPr>
                <w:b/>
                <w:bCs/>
                <w:noProof/>
                <w:sz w:val="20"/>
              </w:rPr>
              <w:t>Jā</w:t>
            </w:r>
          </w:p>
        </w:tc>
        <w:tc>
          <w:tcPr>
            <w:tcW w:w="2410" w:type="dxa"/>
            <w:shd w:val="clear" w:color="auto" w:fill="D9D9D9" w:themeFill="background1" w:themeFillShade="D9"/>
          </w:tcPr>
          <w:p w14:paraId="0C8AD398" w14:textId="77777777" w:rsidR="007545BD" w:rsidRPr="00C41EB8" w:rsidRDefault="007545BD" w:rsidP="00A73208">
            <w:pPr>
              <w:spacing w:before="0" w:after="0"/>
              <w:jc w:val="left"/>
              <w:rPr>
                <w:noProof/>
                <w:sz w:val="20"/>
              </w:rPr>
            </w:pPr>
            <w:r w:rsidRPr="00C41EB8">
              <w:rPr>
                <w:b/>
                <w:noProof/>
                <w:sz w:val="20"/>
              </w:rPr>
              <w:t>2. kritērijs</w:t>
            </w:r>
            <w:r w:rsidRPr="00C41EB8">
              <w:rPr>
                <w:noProof/>
                <w:sz w:val="20"/>
              </w:rPr>
              <w:t xml:space="preserve">  </w:t>
            </w:r>
            <w:hyperlink r:id="rId51" w:history="1">
              <w:r w:rsidRPr="00C41EB8">
                <w:rPr>
                  <w:rStyle w:val="Hyperlink"/>
                  <w:noProof/>
                  <w:sz w:val="20"/>
                </w:rPr>
                <w:t>Nacionālais enerģētikas un klimata plāns 2021. - 2030.gadam</w:t>
              </w:r>
            </w:hyperlink>
          </w:p>
        </w:tc>
        <w:tc>
          <w:tcPr>
            <w:tcW w:w="3686" w:type="dxa"/>
            <w:shd w:val="clear" w:color="auto" w:fill="D9D9D9" w:themeFill="background1" w:themeFillShade="D9"/>
          </w:tcPr>
          <w:p w14:paraId="44E41449" w14:textId="77777777" w:rsidR="007545BD" w:rsidRPr="00C41EB8" w:rsidRDefault="007545BD" w:rsidP="00A73208">
            <w:pPr>
              <w:spacing w:before="0" w:after="0"/>
              <w:rPr>
                <w:rFonts w:eastAsia="Times New Roman"/>
                <w:iCs/>
                <w:noProof/>
                <w:sz w:val="20"/>
              </w:rPr>
            </w:pPr>
            <w:r w:rsidRPr="00C41EB8">
              <w:rPr>
                <w:rFonts w:eastAsia="Times New Roman"/>
                <w:iCs/>
                <w:noProof/>
                <w:sz w:val="20"/>
              </w:rPr>
              <w:t xml:space="preserve">Nacionālais enerģētikas un klimata plāns 2021. - 2030.gadam ir pieņemts 28.01.2020 Ministru kabineta sēdē (MK sēdes protokols Nr.4 27.§) un iesniegts Eiropas Komisijā. Plāna 4.pielikumā ir sniegts  atjaunojamo energoresursu enerģijas izmantošanas atbalsta  pasākumiem paredzētais finanšu resursu un ieviešanas mehānismu indikatīvs izklāsts. </w:t>
            </w:r>
          </w:p>
        </w:tc>
      </w:tr>
      <w:tr w:rsidR="007545BD" w:rsidRPr="00C41EB8" w14:paraId="076FE52B" w14:textId="77777777" w:rsidTr="00A73208">
        <w:tc>
          <w:tcPr>
            <w:tcW w:w="562" w:type="dxa"/>
          </w:tcPr>
          <w:p w14:paraId="5FD77D7D"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val="restart"/>
          </w:tcPr>
          <w:p w14:paraId="68F5FB1A" w14:textId="77777777" w:rsidR="007545BD" w:rsidRPr="00C41EB8" w:rsidRDefault="007545BD" w:rsidP="00A73208">
            <w:pPr>
              <w:spacing w:before="0" w:after="0"/>
              <w:jc w:val="left"/>
              <w:rPr>
                <w:noProof/>
                <w:sz w:val="20"/>
              </w:rPr>
            </w:pPr>
            <w:r w:rsidRPr="00C41EB8">
              <w:rPr>
                <w:noProof/>
                <w:sz w:val="20"/>
              </w:rPr>
              <w:t>Tematiskais priekšnosacījums Nr.5</w:t>
            </w:r>
          </w:p>
          <w:p w14:paraId="3FAEF45B" w14:textId="77777777" w:rsidR="007545BD" w:rsidRPr="00C41EB8" w:rsidRDefault="007545BD" w:rsidP="00A73208">
            <w:pPr>
              <w:spacing w:before="0" w:after="0"/>
              <w:jc w:val="left"/>
              <w:rPr>
                <w:b/>
                <w:bCs/>
                <w:noProof/>
                <w:sz w:val="20"/>
              </w:rPr>
            </w:pPr>
            <w:r w:rsidRPr="00C41EB8">
              <w:rPr>
                <w:noProof/>
                <w:sz w:val="20"/>
              </w:rPr>
              <w:t xml:space="preserve">Efektīvs </w:t>
            </w:r>
            <w:r w:rsidRPr="00C41EB8">
              <w:rPr>
                <w:b/>
                <w:bCs/>
                <w:noProof/>
                <w:sz w:val="20"/>
              </w:rPr>
              <w:t>katastrofu risku pārvaldības satvars</w:t>
            </w:r>
          </w:p>
        </w:tc>
        <w:tc>
          <w:tcPr>
            <w:tcW w:w="851" w:type="dxa"/>
            <w:vMerge w:val="restart"/>
          </w:tcPr>
          <w:p w14:paraId="35E10DB8"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ERAF</w:t>
            </w:r>
          </w:p>
        </w:tc>
        <w:tc>
          <w:tcPr>
            <w:tcW w:w="1134" w:type="dxa"/>
            <w:vMerge w:val="restart"/>
          </w:tcPr>
          <w:p w14:paraId="15D80A56"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2.1.3. SAM</w:t>
            </w:r>
          </w:p>
        </w:tc>
        <w:tc>
          <w:tcPr>
            <w:tcW w:w="850" w:type="dxa"/>
            <w:vMerge w:val="restart"/>
          </w:tcPr>
          <w:p w14:paraId="1C114B74" w14:textId="77777777" w:rsidR="007545BD" w:rsidRPr="00C41EB8" w:rsidRDefault="007545BD" w:rsidP="00A73208">
            <w:pPr>
              <w:spacing w:before="0" w:after="0"/>
              <w:jc w:val="left"/>
              <w:rPr>
                <w:rFonts w:eastAsia="Times New Roman"/>
                <w:b/>
                <w:bCs/>
                <w:iCs/>
                <w:noProof/>
                <w:sz w:val="20"/>
              </w:rPr>
            </w:pPr>
            <w:r>
              <w:rPr>
                <w:rFonts w:eastAsia="Times New Roman"/>
                <w:b/>
                <w:bCs/>
                <w:iCs/>
                <w:noProof/>
                <w:sz w:val="20"/>
              </w:rPr>
              <w:t>Jā</w:t>
            </w:r>
          </w:p>
        </w:tc>
        <w:tc>
          <w:tcPr>
            <w:tcW w:w="2410" w:type="dxa"/>
          </w:tcPr>
          <w:p w14:paraId="5E885C2F" w14:textId="77777777" w:rsidR="007545BD" w:rsidRPr="00C41EB8" w:rsidRDefault="007545BD" w:rsidP="00A73208">
            <w:pPr>
              <w:spacing w:before="0" w:after="0"/>
              <w:jc w:val="left"/>
              <w:rPr>
                <w:noProof/>
                <w:sz w:val="20"/>
              </w:rPr>
            </w:pPr>
            <w:r w:rsidRPr="00C41EB8">
              <w:rPr>
                <w:noProof/>
                <w:sz w:val="20"/>
              </w:rPr>
              <w:t>Ir sagatavots valsts vai reģionālais katastrofu risku pārvaldības plāns, kas atbilst spēkā esošajām stratēģijām attiecībā uz pielāgošanos klimata pārmaiņām un kas ietver:</w:t>
            </w:r>
          </w:p>
          <w:p w14:paraId="30455602" w14:textId="77777777" w:rsidR="007545BD" w:rsidRPr="00C41EB8" w:rsidRDefault="007545BD" w:rsidP="00A73208">
            <w:pPr>
              <w:pStyle w:val="Default"/>
              <w:numPr>
                <w:ilvl w:val="0"/>
                <w:numId w:val="47"/>
              </w:numPr>
              <w:spacing w:after="0" w:line="240" w:lineRule="auto"/>
              <w:ind w:left="334"/>
              <w:rPr>
                <w:noProof/>
                <w:sz w:val="20"/>
                <w:szCs w:val="20"/>
              </w:rPr>
            </w:pPr>
            <w:r w:rsidRPr="00C41EB8">
              <w:rPr>
                <w:color w:val="auto"/>
                <w:sz w:val="20"/>
                <w:szCs w:val="20"/>
              </w:rPr>
              <w:t>Galveno risku aprakstu, kas novērtēts saskaņā ar Lēmuma Nr. 1313/2013/ES 6. panta a) punktu, atspoguļojot pašreizējo un mainīgo riska profilu. Novērtējumā, ņemot vērā ar klimatu saistītos riskus, tiek izstrādātas klimata pārmaiņu prognozes un scenāriji.</w:t>
            </w:r>
          </w:p>
        </w:tc>
        <w:tc>
          <w:tcPr>
            <w:tcW w:w="1134" w:type="dxa"/>
          </w:tcPr>
          <w:p w14:paraId="6F0169E2" w14:textId="77777777" w:rsidR="007545BD" w:rsidRPr="00C41EB8" w:rsidRDefault="007545BD" w:rsidP="00A73208">
            <w:pPr>
              <w:spacing w:before="0" w:after="0"/>
              <w:jc w:val="left"/>
              <w:rPr>
                <w:b/>
                <w:bCs/>
                <w:noProof/>
                <w:sz w:val="20"/>
              </w:rPr>
            </w:pPr>
            <w:r>
              <w:rPr>
                <w:b/>
                <w:bCs/>
                <w:noProof/>
                <w:sz w:val="20"/>
              </w:rPr>
              <w:t>Jā</w:t>
            </w:r>
          </w:p>
        </w:tc>
        <w:tc>
          <w:tcPr>
            <w:tcW w:w="2410" w:type="dxa"/>
          </w:tcPr>
          <w:p w14:paraId="2447F72B" w14:textId="77777777" w:rsidR="007545BD" w:rsidRPr="00C41EB8" w:rsidRDefault="009A507A" w:rsidP="00A73208">
            <w:pPr>
              <w:spacing w:before="0" w:after="0"/>
              <w:jc w:val="left"/>
              <w:rPr>
                <w:noProof/>
                <w:sz w:val="20"/>
              </w:rPr>
            </w:pPr>
            <w:hyperlink r:id="rId52" w:history="1">
              <w:r w:rsidR="007545BD" w:rsidRPr="00C41EB8">
                <w:rPr>
                  <w:rStyle w:val="Hyperlink"/>
                  <w:noProof/>
                  <w:sz w:val="20"/>
                </w:rPr>
                <w:t>Valsts civilās aizsardzības plāns</w:t>
              </w:r>
            </w:hyperlink>
          </w:p>
        </w:tc>
        <w:tc>
          <w:tcPr>
            <w:tcW w:w="3686" w:type="dxa"/>
          </w:tcPr>
          <w:p w14:paraId="77E1EE08" w14:textId="77777777" w:rsidR="007545BD" w:rsidRDefault="007545BD" w:rsidP="00A73208">
            <w:pPr>
              <w:spacing w:before="0" w:after="0"/>
              <w:rPr>
                <w:rFonts w:eastAsia="Times New Roman"/>
                <w:sz w:val="20"/>
              </w:rPr>
            </w:pPr>
            <w:r w:rsidRPr="00C41EB8">
              <w:rPr>
                <w:rFonts w:eastAsia="Times New Roman"/>
                <w:iCs/>
                <w:noProof/>
                <w:sz w:val="20"/>
              </w:rPr>
              <w:t xml:space="preserve">Civilās aizsardzības plāns satur </w:t>
            </w:r>
            <w:r w:rsidRPr="00C41EB8">
              <w:rPr>
                <w:rFonts w:eastAsia="Times New Roman"/>
                <w:sz w:val="20"/>
              </w:rPr>
              <w:t xml:space="preserve">vairāku apdraudējumu riska novērtējuma rezultātus attiecībā uz iespējamiem apdraudējumiem/ riskiem, kurus ir identificējušas un novērtējušas atbildīgās katastrofu pārvaldības iestādes attiecīgajā kompetences jomā (ministrijas), kā arī visus saistītos katastrofu riska pārvaldības pasākumus. Katra ministrija, balstoties uz saviem pienākumiem, šos novērtētos riskus uzskata par būtiskiem riskiem. </w:t>
            </w:r>
          </w:p>
          <w:p w14:paraId="317598B3" w14:textId="77777777" w:rsidR="007545BD" w:rsidRPr="00107C4D" w:rsidRDefault="007545BD" w:rsidP="00A73208">
            <w:pPr>
              <w:spacing w:before="0" w:after="0"/>
              <w:rPr>
                <w:rFonts w:eastAsia="Times New Roman"/>
                <w:sz w:val="20"/>
              </w:rPr>
            </w:pPr>
            <w:r w:rsidRPr="000D5B95">
              <w:rPr>
                <w:rFonts w:eastAsia="Times New Roman"/>
                <w:sz w:val="20"/>
              </w:rPr>
              <w:t>Latvija ir veikta priekšizpēte par katastrofu postījumu un zaudējumu datubāzes izstrādi</w:t>
            </w:r>
            <w:r w:rsidRPr="000D5B95">
              <w:rPr>
                <w:rFonts w:eastAsia="Times New Roman"/>
                <w:sz w:val="20"/>
                <w:vertAlign w:val="superscript"/>
              </w:rPr>
              <w:footnoteReference w:id="143"/>
            </w:r>
            <w:r w:rsidRPr="000D5B95">
              <w:rPr>
                <w:rFonts w:eastAsia="Times New Roman"/>
                <w:sz w:val="20"/>
              </w:rPr>
              <w:t xml:space="preserve"> (kas atbilst Valsts civilās aizsardzības plānā noteiktajam pasākumam), lai noteiktu ieviešanas potenciālos risinājumus un to izmaksas. Šādas sistēmas/risinājuma ieviešana  mazinātu  riska varbūtības un seku nenoteiktību un iestādes daudz efektīvāk spētu īstenot katastrofu riska novērtēšanu. Tas ļaus noteikt prioritāros riskus, iedalīt īstermiņa, vidēja termiņa vai ilgtermiņa apdraudējumos.</w:t>
            </w:r>
          </w:p>
        </w:tc>
      </w:tr>
      <w:tr w:rsidR="007545BD" w:rsidRPr="00C41EB8" w14:paraId="28DB0D25" w14:textId="77777777" w:rsidTr="00A73208">
        <w:tc>
          <w:tcPr>
            <w:tcW w:w="562" w:type="dxa"/>
          </w:tcPr>
          <w:p w14:paraId="6AB769CD"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1962CCBE" w14:textId="77777777" w:rsidR="007545BD" w:rsidRPr="00C41EB8" w:rsidRDefault="007545BD" w:rsidP="00A73208">
            <w:pPr>
              <w:spacing w:before="0" w:after="0"/>
              <w:jc w:val="left"/>
              <w:rPr>
                <w:noProof/>
                <w:sz w:val="20"/>
              </w:rPr>
            </w:pPr>
          </w:p>
        </w:tc>
        <w:tc>
          <w:tcPr>
            <w:tcW w:w="851" w:type="dxa"/>
            <w:vMerge/>
          </w:tcPr>
          <w:p w14:paraId="7E5564BE" w14:textId="77777777" w:rsidR="007545BD" w:rsidRPr="00C41EB8" w:rsidRDefault="007545BD" w:rsidP="00A73208">
            <w:pPr>
              <w:spacing w:before="0" w:after="0"/>
              <w:jc w:val="left"/>
              <w:rPr>
                <w:rFonts w:eastAsia="Times New Roman"/>
                <w:iCs/>
                <w:noProof/>
                <w:sz w:val="20"/>
              </w:rPr>
            </w:pPr>
          </w:p>
        </w:tc>
        <w:tc>
          <w:tcPr>
            <w:tcW w:w="1134" w:type="dxa"/>
            <w:vMerge/>
          </w:tcPr>
          <w:p w14:paraId="2D06D76B" w14:textId="77777777" w:rsidR="007545BD" w:rsidRPr="00C41EB8" w:rsidRDefault="007545BD" w:rsidP="00A73208">
            <w:pPr>
              <w:spacing w:before="0" w:after="0"/>
              <w:jc w:val="left"/>
              <w:rPr>
                <w:rFonts w:eastAsia="Times New Roman"/>
                <w:iCs/>
                <w:noProof/>
                <w:sz w:val="20"/>
              </w:rPr>
            </w:pPr>
          </w:p>
        </w:tc>
        <w:tc>
          <w:tcPr>
            <w:tcW w:w="850" w:type="dxa"/>
            <w:vMerge/>
          </w:tcPr>
          <w:p w14:paraId="7A82EA3A" w14:textId="77777777" w:rsidR="007545BD" w:rsidRPr="00C41EB8" w:rsidRDefault="007545BD" w:rsidP="00A73208">
            <w:pPr>
              <w:spacing w:before="0" w:after="0"/>
              <w:jc w:val="left"/>
              <w:rPr>
                <w:rFonts w:eastAsia="Times New Roman"/>
                <w:b/>
                <w:bCs/>
                <w:iCs/>
                <w:noProof/>
                <w:sz w:val="20"/>
              </w:rPr>
            </w:pPr>
          </w:p>
        </w:tc>
        <w:tc>
          <w:tcPr>
            <w:tcW w:w="2410" w:type="dxa"/>
          </w:tcPr>
          <w:p w14:paraId="0B60A26B" w14:textId="77777777" w:rsidR="007545BD" w:rsidRPr="00C41EB8" w:rsidRDefault="007545BD" w:rsidP="00A73208">
            <w:pPr>
              <w:pStyle w:val="Default"/>
              <w:spacing w:after="0" w:line="240" w:lineRule="auto"/>
              <w:rPr>
                <w:noProof/>
                <w:sz w:val="20"/>
                <w:szCs w:val="20"/>
              </w:rPr>
            </w:pPr>
            <w:r w:rsidRPr="00C41EB8">
              <w:rPr>
                <w:color w:val="auto"/>
                <w:sz w:val="20"/>
                <w:szCs w:val="20"/>
              </w:rPr>
              <w:t>2.Katastrofu novēršanas, sagatavotības un reaģēšanas pasākumu apraksts, lai novērstu galvenos identificētos riskus. Pasākumus prioritāri nosaka proporcionāli riskiem un to ekonomiskajai ietekmei, jaudas</w:t>
            </w:r>
            <w:r>
              <w:rPr>
                <w:color w:val="auto"/>
                <w:sz w:val="20"/>
                <w:szCs w:val="20"/>
              </w:rPr>
              <w:t>/ spēju</w:t>
            </w:r>
            <w:r w:rsidRPr="00C41EB8">
              <w:rPr>
                <w:color w:val="auto"/>
                <w:sz w:val="20"/>
                <w:szCs w:val="20"/>
              </w:rPr>
              <w:t xml:space="preserve"> trūkumiem</w:t>
            </w:r>
            <w:r w:rsidRPr="00C41EB8">
              <w:rPr>
                <w:rStyle w:val="FootnoteReference"/>
                <w:color w:val="auto"/>
                <w:sz w:val="20"/>
                <w:szCs w:val="20"/>
              </w:rPr>
              <w:footnoteReference w:id="144"/>
            </w:r>
            <w:r w:rsidRPr="00C41EB8">
              <w:rPr>
                <w:color w:val="auto"/>
                <w:sz w:val="20"/>
                <w:szCs w:val="20"/>
              </w:rPr>
              <w:t xml:space="preserve">, efektivitātei un </w:t>
            </w:r>
            <w:r>
              <w:rPr>
                <w:color w:val="auto"/>
                <w:sz w:val="20"/>
                <w:szCs w:val="20"/>
              </w:rPr>
              <w:t>lietderībai</w:t>
            </w:r>
            <w:r w:rsidRPr="00C41EB8">
              <w:rPr>
                <w:color w:val="auto"/>
                <w:sz w:val="20"/>
                <w:szCs w:val="20"/>
              </w:rPr>
              <w:t>, ņemot vērā iespējamās alternatīvas.</w:t>
            </w:r>
          </w:p>
        </w:tc>
        <w:tc>
          <w:tcPr>
            <w:tcW w:w="1134" w:type="dxa"/>
          </w:tcPr>
          <w:p w14:paraId="1543935A" w14:textId="77777777" w:rsidR="007545BD" w:rsidRPr="004329A4" w:rsidRDefault="007545BD" w:rsidP="00A73208">
            <w:pPr>
              <w:spacing w:before="0" w:after="0"/>
              <w:jc w:val="left"/>
              <w:rPr>
                <w:noProof/>
                <w:sz w:val="20"/>
              </w:rPr>
            </w:pPr>
            <w:r w:rsidRPr="004329A4">
              <w:rPr>
                <w:noProof/>
                <w:sz w:val="20"/>
              </w:rPr>
              <w:t xml:space="preserve">Nē </w:t>
            </w:r>
          </w:p>
        </w:tc>
        <w:tc>
          <w:tcPr>
            <w:tcW w:w="2410" w:type="dxa"/>
          </w:tcPr>
          <w:p w14:paraId="5C78AB2D" w14:textId="77777777" w:rsidR="007545BD" w:rsidRPr="00C41EB8" w:rsidRDefault="009A507A" w:rsidP="00A73208">
            <w:pPr>
              <w:spacing w:before="0" w:after="0"/>
              <w:jc w:val="left"/>
              <w:rPr>
                <w:noProof/>
                <w:sz w:val="20"/>
              </w:rPr>
            </w:pPr>
            <w:hyperlink r:id="rId53" w:history="1">
              <w:r w:rsidR="007545BD" w:rsidRPr="00C41EB8">
                <w:rPr>
                  <w:rStyle w:val="Hyperlink"/>
                  <w:noProof/>
                  <w:sz w:val="20"/>
                </w:rPr>
                <w:t>Valsts civilās aizsardzības plāns</w:t>
              </w:r>
            </w:hyperlink>
          </w:p>
        </w:tc>
        <w:tc>
          <w:tcPr>
            <w:tcW w:w="3686" w:type="dxa"/>
          </w:tcPr>
          <w:p w14:paraId="1C4BC221" w14:textId="77777777" w:rsidR="007545BD" w:rsidRDefault="007545BD" w:rsidP="00A73208">
            <w:pPr>
              <w:spacing w:before="0" w:after="0"/>
              <w:rPr>
                <w:rFonts w:eastAsia="Times New Roman"/>
                <w:sz w:val="20"/>
              </w:rPr>
            </w:pPr>
            <w:r w:rsidRPr="00C41EB8">
              <w:rPr>
                <w:rFonts w:eastAsia="Times New Roman"/>
                <w:sz w:val="20"/>
              </w:rPr>
              <w:t xml:space="preserve">Ar klimatu saistītie riski tika analizēti vairākās projektu iniciatīvās ar Eiropas Ekonomikas zonas finanšu mehānisma un Norvēģijas finanšu mehānismu programmas atbalstu. Šie pētījumi sniedz sākotnējos priekšlikumus turpmākai valsts pielāgošanās stratēģijas izstrādei, tostarp zinātnisko datu un pasākumu identificēšanai attiecībā uz pielāgošanos klimata pārmaiņām, ietekmi un izmaksu novērtēšanu. Šajās projektu iniciatīvās tika analizēti dažādi klimata pārmaiņu scenāriji un raksturoti dažādie klimata rādītāji pagātnē (pamatojoties uz meteoroloģisko novērojumu staciju datiem par 50 gadiem), un nākotnes klimata pārmaiņu prognozes tika izstrādātas līdz 2100. gadam. Turpmākajam laika posmam klimata mainīgās izmaiņas tiek prognozētas saskaņā ar diviem siltumnīcefekta gāzu emisijas scenārijiem, kas pazīstami kā RCP4.5 un RCP8.5. </w:t>
            </w:r>
          </w:p>
          <w:p w14:paraId="21632B3B" w14:textId="3D8E0FC6" w:rsidR="007545BD" w:rsidRPr="00E515BE" w:rsidRDefault="007545BD" w:rsidP="00A73208">
            <w:pPr>
              <w:spacing w:before="0" w:after="0"/>
              <w:rPr>
                <w:rFonts w:eastAsia="Times New Roman"/>
                <w:sz w:val="20"/>
              </w:rPr>
            </w:pPr>
            <w:r w:rsidRPr="00E515BE">
              <w:rPr>
                <w:rFonts w:eastAsia="Times New Roman"/>
                <w:sz w:val="20"/>
              </w:rPr>
              <w:t xml:space="preserve">2021.gadā </w:t>
            </w:r>
            <w:r>
              <w:rPr>
                <w:rFonts w:eastAsia="Times New Roman"/>
                <w:sz w:val="20"/>
              </w:rPr>
              <w:t>VARAM</w:t>
            </w:r>
            <w:r w:rsidRPr="00E515BE">
              <w:rPr>
                <w:rFonts w:eastAsia="Times New Roman"/>
                <w:sz w:val="20"/>
              </w:rPr>
              <w:t xml:space="preserve"> ar sadarbības partneriem ir uzsākusi projekta īstenošu “Klimata pārmaiņu politikas integrācija nozaru un reģionālajā politikā” ar mērķi uzlabot klimata pārmaiņu politikas plānošanas konsekvenci un atbilstību valstiskā līmenī, kā arī palielināt tās integrāciju nozaru un reģionālajā politikā, t</w:t>
            </w:r>
            <w:r w:rsidR="00F65811">
              <w:rPr>
                <w:rFonts w:eastAsia="Times New Roman"/>
                <w:sz w:val="20"/>
              </w:rPr>
              <w:t>.sk.</w:t>
            </w:r>
            <w:r w:rsidRPr="00E515BE">
              <w:rPr>
                <w:rFonts w:eastAsia="Times New Roman"/>
                <w:sz w:val="20"/>
              </w:rPr>
              <w:t xml:space="preserve"> paredzot atjaunot un uzlabot Latvijas klimata pārmaiņu scenārijus līdz 2100. gadam, ņemot vērā Klimata pārmaiņu starpvaldību padomes sesto izvērtēšanas ziņojumu, lai nodrošinātu politikas plānošanu atbilstoši jaunākajām prognozēm</w:t>
            </w:r>
            <w:r w:rsidRPr="00E515BE">
              <w:rPr>
                <w:rFonts w:eastAsia="Times New Roman"/>
                <w:sz w:val="20"/>
                <w:vertAlign w:val="superscript"/>
              </w:rPr>
              <w:footnoteReference w:id="145"/>
            </w:r>
            <w:r w:rsidRPr="00E515BE">
              <w:rPr>
                <w:rFonts w:eastAsia="Times New Roman"/>
                <w:sz w:val="20"/>
              </w:rPr>
              <w:t xml:space="preserve">. </w:t>
            </w:r>
          </w:p>
          <w:p w14:paraId="747E3598" w14:textId="77777777" w:rsidR="007545BD" w:rsidRPr="00C41EB8" w:rsidRDefault="007545BD" w:rsidP="00A73208">
            <w:pPr>
              <w:spacing w:before="0" w:after="0"/>
              <w:rPr>
                <w:rFonts w:eastAsia="Times New Roman"/>
                <w:iCs/>
                <w:noProof/>
                <w:sz w:val="20"/>
              </w:rPr>
            </w:pPr>
            <w:r w:rsidRPr="00E515BE">
              <w:rPr>
                <w:rFonts w:eastAsia="Times New Roman"/>
                <w:sz w:val="20"/>
              </w:rPr>
              <w:t>Lai nodrošinātu priekšnosacījumu skaidrāku ieviešanu, IEM/VUGD ir izstrādājusi Valsts civilās aizsardzības plāna (VCAP) pielikuma projektu, kurā iekļauta metodika/pieeja, kas ļautu VCAP   novēršanas un sagatavotības pasākumus (katram apdraudējumam) sadalīt prioritāros īstenošanas pasākumos, ņemot vērā apdraudējumu ekonomisko ietekmi, jaudas/spēju trūkumus, pasākuma efektivitāti un ieviešanas lietderību</w:t>
            </w:r>
            <w:r w:rsidRPr="00E515BE">
              <w:rPr>
                <w:rFonts w:eastAsia="Times New Roman"/>
                <w:sz w:val="20"/>
                <w:vertAlign w:val="superscript"/>
              </w:rPr>
              <w:footnoteReference w:id="146"/>
            </w:r>
            <w:r w:rsidRPr="00E515BE">
              <w:rPr>
                <w:rFonts w:eastAsia="Times New Roman"/>
                <w:sz w:val="20"/>
              </w:rPr>
              <w:t>.</w:t>
            </w:r>
            <w:r>
              <w:rPr>
                <w:rFonts w:eastAsia="Times New Roman"/>
                <w:sz w:val="20"/>
              </w:rPr>
              <w:t xml:space="preserve"> </w:t>
            </w:r>
            <w:r w:rsidRPr="00C41EB8">
              <w:rPr>
                <w:rFonts w:eastAsia="Times New Roman"/>
                <w:sz w:val="20"/>
              </w:rPr>
              <w:t>Valsts civilās aizsardzības plāns (katastrofu riska pārvaldības plāns) ir saskaņots ar Valsts plānu pielāgošanai klimata pārmaiņām līdz 2030. gadam, un pasākumi tiks īstenoti sinerģijā un pilnīgā saskaņo</w:t>
            </w:r>
            <w:r>
              <w:rPr>
                <w:rFonts w:eastAsia="Times New Roman"/>
                <w:sz w:val="20"/>
              </w:rPr>
              <w:t>tībā</w:t>
            </w:r>
            <w:r w:rsidRPr="00C41EB8">
              <w:rPr>
                <w:rFonts w:eastAsia="Times New Roman"/>
                <w:sz w:val="20"/>
              </w:rPr>
              <w:t>.</w:t>
            </w:r>
          </w:p>
        </w:tc>
      </w:tr>
      <w:tr w:rsidR="007545BD" w:rsidRPr="00C41EB8" w14:paraId="73AEEF19" w14:textId="77777777" w:rsidTr="00A73208">
        <w:tc>
          <w:tcPr>
            <w:tcW w:w="562" w:type="dxa"/>
          </w:tcPr>
          <w:p w14:paraId="769400E8"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26F3B487" w14:textId="77777777" w:rsidR="007545BD" w:rsidRPr="00C41EB8" w:rsidRDefault="007545BD" w:rsidP="00A73208">
            <w:pPr>
              <w:spacing w:before="0" w:after="0"/>
              <w:jc w:val="left"/>
              <w:rPr>
                <w:noProof/>
                <w:sz w:val="20"/>
              </w:rPr>
            </w:pPr>
          </w:p>
        </w:tc>
        <w:tc>
          <w:tcPr>
            <w:tcW w:w="851" w:type="dxa"/>
            <w:vMerge/>
          </w:tcPr>
          <w:p w14:paraId="6E61566A" w14:textId="77777777" w:rsidR="007545BD" w:rsidRPr="00C41EB8" w:rsidRDefault="007545BD" w:rsidP="00A73208">
            <w:pPr>
              <w:spacing w:before="0" w:after="0"/>
              <w:jc w:val="left"/>
              <w:rPr>
                <w:rFonts w:eastAsia="Times New Roman"/>
                <w:iCs/>
                <w:noProof/>
                <w:sz w:val="20"/>
              </w:rPr>
            </w:pPr>
          </w:p>
        </w:tc>
        <w:tc>
          <w:tcPr>
            <w:tcW w:w="1134" w:type="dxa"/>
            <w:vMerge/>
          </w:tcPr>
          <w:p w14:paraId="273D0344" w14:textId="77777777" w:rsidR="007545BD" w:rsidRPr="00C41EB8" w:rsidRDefault="007545BD" w:rsidP="00A73208">
            <w:pPr>
              <w:spacing w:before="0" w:after="0"/>
              <w:jc w:val="left"/>
              <w:rPr>
                <w:rFonts w:eastAsia="Times New Roman"/>
                <w:iCs/>
                <w:noProof/>
                <w:sz w:val="20"/>
              </w:rPr>
            </w:pPr>
          </w:p>
        </w:tc>
        <w:tc>
          <w:tcPr>
            <w:tcW w:w="850" w:type="dxa"/>
            <w:vMerge/>
          </w:tcPr>
          <w:p w14:paraId="6AB30AC3" w14:textId="77777777" w:rsidR="007545BD" w:rsidRPr="00C41EB8" w:rsidRDefault="007545BD" w:rsidP="00A73208">
            <w:pPr>
              <w:spacing w:before="0" w:after="0"/>
              <w:jc w:val="left"/>
              <w:rPr>
                <w:rFonts w:eastAsia="Times New Roman"/>
                <w:b/>
                <w:bCs/>
                <w:iCs/>
                <w:noProof/>
                <w:sz w:val="20"/>
              </w:rPr>
            </w:pPr>
          </w:p>
        </w:tc>
        <w:tc>
          <w:tcPr>
            <w:tcW w:w="2410" w:type="dxa"/>
          </w:tcPr>
          <w:p w14:paraId="71B0CA7B" w14:textId="77777777" w:rsidR="007545BD" w:rsidRPr="00C41EB8" w:rsidRDefault="007545BD" w:rsidP="00A73208">
            <w:pPr>
              <w:spacing w:before="0" w:after="0"/>
              <w:jc w:val="left"/>
              <w:rPr>
                <w:noProof/>
                <w:sz w:val="20"/>
              </w:rPr>
            </w:pPr>
            <w:r w:rsidRPr="00C41EB8">
              <w:rPr>
                <w:sz w:val="20"/>
              </w:rPr>
              <w:t>3.Informācija par finansēšanas resursiem un mehānismiem, lai segtu darbības un uzturēšanas izmaksas, kas saistītas ar profilaksi, gatavību un reaģēšanu.</w:t>
            </w:r>
          </w:p>
        </w:tc>
        <w:tc>
          <w:tcPr>
            <w:tcW w:w="1134" w:type="dxa"/>
          </w:tcPr>
          <w:p w14:paraId="2654C340" w14:textId="77777777" w:rsidR="007545BD" w:rsidRPr="004329A4" w:rsidRDefault="007545BD" w:rsidP="00A73208">
            <w:pPr>
              <w:spacing w:before="0" w:after="0"/>
              <w:jc w:val="left"/>
              <w:rPr>
                <w:noProof/>
                <w:sz w:val="20"/>
              </w:rPr>
            </w:pPr>
            <w:r w:rsidRPr="004329A4">
              <w:rPr>
                <w:noProof/>
                <w:sz w:val="20"/>
              </w:rPr>
              <w:t>Nē</w:t>
            </w:r>
          </w:p>
        </w:tc>
        <w:tc>
          <w:tcPr>
            <w:tcW w:w="2410" w:type="dxa"/>
          </w:tcPr>
          <w:p w14:paraId="1CD33DC0" w14:textId="77777777" w:rsidR="007545BD" w:rsidRPr="00C41EB8" w:rsidRDefault="009A507A" w:rsidP="00A73208">
            <w:pPr>
              <w:spacing w:before="0" w:after="0"/>
              <w:jc w:val="left"/>
              <w:rPr>
                <w:noProof/>
                <w:sz w:val="20"/>
              </w:rPr>
            </w:pPr>
            <w:hyperlink r:id="rId54" w:history="1">
              <w:r w:rsidR="007545BD" w:rsidRPr="00C41EB8">
                <w:rPr>
                  <w:rStyle w:val="Hyperlink"/>
                  <w:noProof/>
                  <w:sz w:val="20"/>
                </w:rPr>
                <w:t>Valsts civilās aizsardzības plāns</w:t>
              </w:r>
            </w:hyperlink>
          </w:p>
        </w:tc>
        <w:tc>
          <w:tcPr>
            <w:tcW w:w="3686" w:type="dxa"/>
          </w:tcPr>
          <w:p w14:paraId="6EF4BDDF" w14:textId="77777777" w:rsidR="007545BD" w:rsidRPr="00C41EB8" w:rsidRDefault="007545BD" w:rsidP="00A73208">
            <w:pPr>
              <w:spacing w:before="0" w:after="0"/>
              <w:rPr>
                <w:rFonts w:eastAsia="Times New Roman"/>
                <w:sz w:val="20"/>
              </w:rPr>
            </w:pPr>
            <w:r w:rsidRPr="00C41EB8">
              <w:rPr>
                <w:rFonts w:eastAsia="Times New Roman"/>
                <w:sz w:val="20"/>
              </w:rPr>
              <w:t xml:space="preserve">Latvijas Republikas tiesību sistēmā ir noteikts finansējuma piešķiršanas process (noteikts Ministru kabineta kārtības noteikumos), kas tiks piemērots arī Valsts civilās aizsardzības plāna pasākumu īstenošanai. </w:t>
            </w:r>
          </w:p>
          <w:p w14:paraId="3E250D05" w14:textId="77777777" w:rsidR="007545BD" w:rsidRPr="00C41EB8" w:rsidRDefault="007545BD" w:rsidP="00A73208">
            <w:pPr>
              <w:spacing w:before="0" w:after="0"/>
              <w:rPr>
                <w:sz w:val="20"/>
              </w:rPr>
            </w:pPr>
            <w:r w:rsidRPr="00C41EB8">
              <w:rPr>
                <w:rFonts w:eastAsia="Times New Roman"/>
                <w:sz w:val="20"/>
              </w:rPr>
              <w:t>Tiesiskā regulējuma sistēmā noteiktais finanšu resursu piešķiršanas un pasākumu, darbību vai citu stimulu īstenošanas mehānisms tiks piemērots arī visu Civilās aizsardzības plānā definēto katastrofu pārvaldības pasākumu (prevencija, novēršana, sagatavotība, reaģēšana un seku likvidēšana) īstenošanu, kas paredzēti dažādos starpnozaru plānos un politikās. Ir valsts budžeta specializētas programmas, kas ir sadalītas starp ministriju nozarēm, un finanšu asignējumi ir paredzēti attīstībai, bet uzturēšanas izmaksas tiek iekļautas gada budžetā kā pamatizdevumi (attiecīgajā ministrijas budžetā).</w:t>
            </w:r>
          </w:p>
          <w:p w14:paraId="2E716025" w14:textId="77777777" w:rsidR="007545BD" w:rsidRPr="00C41EB8" w:rsidRDefault="007545BD" w:rsidP="00A73208">
            <w:pPr>
              <w:spacing w:before="0" w:after="0"/>
              <w:ind w:firstLine="720"/>
              <w:rPr>
                <w:sz w:val="20"/>
              </w:rPr>
            </w:pPr>
            <w:r w:rsidRPr="00C41EB8">
              <w:rPr>
                <w:sz w:val="20"/>
              </w:rPr>
              <w:t>Tas pats attiecas uz finansējuma piešķiršanu – ir nozaru un starpnozaru plāni, kas nosaka pasākumu apjomu, bet ne iespējamie finansējuma avoti, ne konkrētas summas pasākumiem, piemēram, Valsts plāns pielāgošanai klimata pārmaiņām līdz 2030. gadam</w:t>
            </w:r>
            <w:r w:rsidRPr="00C41EB8">
              <w:rPr>
                <w:rStyle w:val="FootnoteReference"/>
                <w:sz w:val="20"/>
              </w:rPr>
              <w:footnoteReference w:id="147"/>
            </w:r>
            <w:r w:rsidRPr="00C41EB8">
              <w:rPr>
                <w:sz w:val="20"/>
              </w:rPr>
              <w:t xml:space="preserve"> un Nacionālais enerģētikas un klimata plāns līdz 2030. gadam</w:t>
            </w:r>
            <w:r w:rsidRPr="00C41EB8">
              <w:rPr>
                <w:rStyle w:val="FootnoteReference"/>
                <w:sz w:val="20"/>
              </w:rPr>
              <w:footnoteReference w:id="148"/>
            </w:r>
            <w:r w:rsidRPr="00C41EB8">
              <w:rPr>
                <w:sz w:val="20"/>
              </w:rPr>
              <w:t xml:space="preserve">. </w:t>
            </w:r>
            <w:r w:rsidRPr="00C41EB8">
              <w:rPr>
                <w:sz w:val="20"/>
                <w:u w:val="single"/>
              </w:rPr>
              <w:t>Abi plāni tiesiskā regulējuma sistēmā ir uzskatāmi par attīstības plānošanas dokumentiem</w:t>
            </w:r>
            <w:r w:rsidRPr="00C41EB8">
              <w:rPr>
                <w:sz w:val="20"/>
              </w:rPr>
              <w:t xml:space="preserve"> - izstrādāti saskaņā ar Latvijas Republikas Ministru kabineta 2014. gada 2. decembra noteikumu Nr. 737 “Attīstības plānošanas dokumentu un ietekmes novērtējuma noteikumi”. Šajos plānos ir ierosināti tikai iespējamie finansēšanas avoti pasākumiem, kas iekļauti šajos plānos. Tomēr tikai dažos gadījumos (Valsts enerģētikas un klimata plāns līdz 2030. gadam) finansējums tiek sadalīts konkrētām darbībām un pasākumiem (rezultāti), bet šie finanšu piešķīrumi tiek uzskatīti par potenciālu vai vēlamu finansējumu.</w:t>
            </w:r>
          </w:p>
          <w:p w14:paraId="4E82316D" w14:textId="77777777" w:rsidR="007545BD" w:rsidRPr="00C41EB8" w:rsidRDefault="007545BD" w:rsidP="00A73208">
            <w:pPr>
              <w:spacing w:before="0" w:after="0"/>
              <w:rPr>
                <w:rFonts w:eastAsia="Times New Roman"/>
                <w:iCs/>
                <w:noProof/>
                <w:sz w:val="20"/>
              </w:rPr>
            </w:pPr>
            <w:r w:rsidRPr="005F2AFE">
              <w:rPr>
                <w:rFonts w:eastAsia="Times New Roman"/>
                <w:iCs/>
                <w:noProof/>
                <w:sz w:val="20"/>
              </w:rPr>
              <w:t xml:space="preserve">Lai nodrošinātu priekšnosacījumu skaidrāku ieviešanu attiecībā uz finansēšanas resursiem un mehānismiem, IEM/VUGD ir izstrādājusi Valsts civilās aizsardzības plāna (VCAP) pielikuma projektu, kurā preventīvajiem un gatavības pasākumiem tiks norādīti provizoriskie finansēšanas resursi un mehānismi. </w:t>
            </w:r>
            <w:r w:rsidRPr="005F2AFE">
              <w:rPr>
                <w:rFonts w:eastAsia="Times New Roman"/>
                <w:iCs/>
                <w:noProof/>
                <w:sz w:val="20"/>
                <w:vertAlign w:val="superscript"/>
              </w:rPr>
              <w:footnoteReference w:id="149"/>
            </w:r>
            <w:r>
              <w:rPr>
                <w:rFonts w:eastAsia="Times New Roman"/>
                <w:iCs/>
                <w:noProof/>
                <w:sz w:val="20"/>
              </w:rPr>
              <w:t xml:space="preserve"> </w:t>
            </w:r>
          </w:p>
        </w:tc>
      </w:tr>
      <w:tr w:rsidR="007545BD" w:rsidRPr="00C41EB8" w14:paraId="3FBBFD89" w14:textId="77777777" w:rsidTr="00A73208">
        <w:trPr>
          <w:trHeight w:val="60"/>
        </w:trPr>
        <w:tc>
          <w:tcPr>
            <w:tcW w:w="562" w:type="dxa"/>
            <w:shd w:val="clear" w:color="auto" w:fill="D9D9D9" w:themeFill="background1" w:themeFillShade="D9"/>
          </w:tcPr>
          <w:p w14:paraId="19177D62"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val="restart"/>
            <w:shd w:val="clear" w:color="auto" w:fill="D9D9D9" w:themeFill="background1" w:themeFillShade="D9"/>
          </w:tcPr>
          <w:p w14:paraId="3531D046" w14:textId="77777777" w:rsidR="007545BD" w:rsidRPr="00C41EB8" w:rsidRDefault="007545BD" w:rsidP="00A73208">
            <w:pPr>
              <w:spacing w:before="0" w:after="0"/>
              <w:jc w:val="left"/>
              <w:rPr>
                <w:noProof/>
                <w:sz w:val="20"/>
              </w:rPr>
            </w:pPr>
            <w:r w:rsidRPr="00C41EB8">
              <w:rPr>
                <w:noProof/>
                <w:sz w:val="20"/>
              </w:rPr>
              <w:t>Tematiskais priekšnosacījums Nr.6</w:t>
            </w:r>
          </w:p>
          <w:p w14:paraId="530FE5B2" w14:textId="77777777" w:rsidR="007545BD" w:rsidRPr="00C41EB8" w:rsidRDefault="007545BD" w:rsidP="00A73208">
            <w:pPr>
              <w:spacing w:before="0" w:after="0"/>
              <w:jc w:val="left"/>
              <w:rPr>
                <w:noProof/>
                <w:sz w:val="20"/>
              </w:rPr>
            </w:pPr>
            <w:r w:rsidRPr="00C41EB8">
              <w:rPr>
                <w:noProof/>
                <w:sz w:val="20"/>
              </w:rPr>
              <w:t xml:space="preserve">Atjaunināts plāns par nepieciešamajām investīcijām </w:t>
            </w:r>
            <w:r w:rsidRPr="00C41EB8">
              <w:rPr>
                <w:b/>
                <w:bCs/>
                <w:noProof/>
                <w:sz w:val="20"/>
              </w:rPr>
              <w:t>ūdensapgādes un notekūdeņu nozarēs</w:t>
            </w:r>
          </w:p>
        </w:tc>
        <w:tc>
          <w:tcPr>
            <w:tcW w:w="851" w:type="dxa"/>
            <w:vMerge w:val="restart"/>
            <w:shd w:val="clear" w:color="auto" w:fill="D9D9D9" w:themeFill="background1" w:themeFillShade="D9"/>
          </w:tcPr>
          <w:p w14:paraId="23EBB675"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ERAF</w:t>
            </w:r>
          </w:p>
        </w:tc>
        <w:tc>
          <w:tcPr>
            <w:tcW w:w="1134" w:type="dxa"/>
            <w:vMerge w:val="restart"/>
            <w:shd w:val="clear" w:color="auto" w:fill="D9D9D9" w:themeFill="background1" w:themeFillShade="D9"/>
          </w:tcPr>
          <w:p w14:paraId="24C36359"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2.2.1.SAM</w:t>
            </w:r>
          </w:p>
        </w:tc>
        <w:tc>
          <w:tcPr>
            <w:tcW w:w="850" w:type="dxa"/>
            <w:vMerge w:val="restart"/>
            <w:shd w:val="clear" w:color="auto" w:fill="D9D9D9" w:themeFill="background1" w:themeFillShade="D9"/>
          </w:tcPr>
          <w:p w14:paraId="76C713B0" w14:textId="77777777" w:rsidR="007545BD" w:rsidRPr="00C41EB8" w:rsidRDefault="007545BD" w:rsidP="00A73208">
            <w:pPr>
              <w:spacing w:before="0" w:after="0"/>
              <w:jc w:val="left"/>
              <w:rPr>
                <w:rFonts w:eastAsia="Times New Roman"/>
                <w:b/>
                <w:bCs/>
                <w:iCs/>
                <w:noProof/>
                <w:sz w:val="20"/>
              </w:rPr>
            </w:pPr>
            <w:r w:rsidRPr="00C41EB8">
              <w:rPr>
                <w:rFonts w:eastAsia="Times New Roman"/>
                <w:b/>
                <w:bCs/>
                <w:iCs/>
                <w:noProof/>
                <w:sz w:val="20"/>
              </w:rPr>
              <w:t>Jā</w:t>
            </w:r>
          </w:p>
        </w:tc>
        <w:tc>
          <w:tcPr>
            <w:tcW w:w="2410" w:type="dxa"/>
            <w:shd w:val="clear" w:color="auto" w:fill="D9D9D9" w:themeFill="background1" w:themeFillShade="D9"/>
          </w:tcPr>
          <w:p w14:paraId="4E4B3648" w14:textId="77777777" w:rsidR="007545BD" w:rsidRPr="00C41EB8" w:rsidRDefault="007545BD" w:rsidP="00A73208">
            <w:pPr>
              <w:spacing w:before="0" w:after="0"/>
              <w:jc w:val="left"/>
              <w:rPr>
                <w:noProof/>
                <w:sz w:val="20"/>
              </w:rPr>
            </w:pPr>
            <w:r w:rsidRPr="00C41EB8">
              <w:rPr>
                <w:noProof/>
                <w:sz w:val="20"/>
              </w:rPr>
              <w:t>Katram no abiem sektoriem ir sagatavots nacionāls investīciju plāns, kas ietver:</w:t>
            </w:r>
          </w:p>
          <w:p w14:paraId="366E3F00" w14:textId="77777777" w:rsidR="007545BD" w:rsidRPr="00C41EB8" w:rsidRDefault="007545BD" w:rsidP="00A73208">
            <w:pPr>
              <w:pStyle w:val="ListParagraph"/>
              <w:numPr>
                <w:ilvl w:val="0"/>
                <w:numId w:val="48"/>
              </w:numPr>
              <w:spacing w:after="0" w:line="240" w:lineRule="auto"/>
              <w:ind w:left="319" w:hanging="304"/>
              <w:rPr>
                <w:rFonts w:ascii="Times New Roman" w:hAnsi="Times New Roman" w:cs="Times New Roman"/>
                <w:sz w:val="20"/>
                <w:szCs w:val="20"/>
              </w:rPr>
            </w:pPr>
            <w:r w:rsidRPr="00C41EB8">
              <w:rPr>
                <w:rFonts w:ascii="Times New Roman" w:hAnsi="Times New Roman" w:cs="Times New Roman"/>
                <w:sz w:val="20"/>
                <w:szCs w:val="20"/>
              </w:rPr>
              <w:t>Pašvaldības notekūdeņu attīrīšanas direktīvas (UWWTD) 91/271/EEK [un dzeramā ūdens direktīvas (DWD) 98/83/EK pārstrādāšanas pašreizējā stāvokļa novērtējums].</w:t>
            </w:r>
          </w:p>
          <w:p w14:paraId="3E73AA7B" w14:textId="77777777" w:rsidR="007545BD" w:rsidRPr="00C41EB8" w:rsidRDefault="007545BD" w:rsidP="00A73208">
            <w:pPr>
              <w:pStyle w:val="ListParagraph"/>
              <w:spacing w:after="0" w:line="240" w:lineRule="auto"/>
              <w:ind w:left="319"/>
              <w:rPr>
                <w:rFonts w:ascii="Times New Roman" w:hAnsi="Times New Roman" w:cs="Times New Roman"/>
                <w:noProof/>
                <w:sz w:val="20"/>
                <w:szCs w:val="20"/>
              </w:rPr>
            </w:pPr>
          </w:p>
        </w:tc>
        <w:tc>
          <w:tcPr>
            <w:tcW w:w="1134" w:type="dxa"/>
            <w:shd w:val="clear" w:color="auto" w:fill="D9D9D9" w:themeFill="background1" w:themeFillShade="D9"/>
          </w:tcPr>
          <w:p w14:paraId="76601576" w14:textId="77777777" w:rsidR="007545BD" w:rsidRPr="00C41EB8" w:rsidRDefault="007545BD" w:rsidP="00A73208">
            <w:pPr>
              <w:spacing w:before="0" w:after="0"/>
              <w:jc w:val="left"/>
              <w:rPr>
                <w:b/>
                <w:bCs/>
                <w:noProof/>
                <w:sz w:val="20"/>
              </w:rPr>
            </w:pPr>
            <w:r w:rsidRPr="00C41EB8">
              <w:rPr>
                <w:b/>
                <w:bCs/>
                <w:noProof/>
                <w:sz w:val="20"/>
              </w:rPr>
              <w:t>Jā</w:t>
            </w:r>
          </w:p>
        </w:tc>
        <w:tc>
          <w:tcPr>
            <w:tcW w:w="2410" w:type="dxa"/>
            <w:shd w:val="clear" w:color="auto" w:fill="D9D9D9" w:themeFill="background1" w:themeFillShade="D9"/>
          </w:tcPr>
          <w:p w14:paraId="5F243578" w14:textId="77777777" w:rsidR="007545BD" w:rsidRPr="00C41EB8" w:rsidRDefault="007545BD" w:rsidP="00A73208">
            <w:pPr>
              <w:spacing w:before="0" w:after="0"/>
              <w:ind w:left="176" w:hanging="176"/>
              <w:jc w:val="left"/>
              <w:rPr>
                <w:noProof/>
                <w:sz w:val="20"/>
              </w:rPr>
            </w:pPr>
            <w:r w:rsidRPr="00C41EB8">
              <w:rPr>
                <w:noProof/>
                <w:sz w:val="20"/>
              </w:rPr>
              <w:t>1.kritērija izpilde:</w:t>
            </w:r>
          </w:p>
          <w:p w14:paraId="0B242220" w14:textId="77777777" w:rsidR="007545BD" w:rsidRPr="00C41EB8" w:rsidRDefault="007545BD" w:rsidP="00A73208">
            <w:pPr>
              <w:spacing w:before="0" w:after="0"/>
              <w:jc w:val="left"/>
              <w:rPr>
                <w:noProof/>
                <w:sz w:val="20"/>
              </w:rPr>
            </w:pPr>
          </w:p>
          <w:p w14:paraId="043DDDD3" w14:textId="77777777" w:rsidR="007545BD" w:rsidRPr="00C41EB8" w:rsidRDefault="007545BD" w:rsidP="00A73208">
            <w:pPr>
              <w:spacing w:before="0" w:after="0"/>
              <w:jc w:val="left"/>
              <w:rPr>
                <w:noProof/>
                <w:sz w:val="20"/>
              </w:rPr>
            </w:pPr>
            <w:r w:rsidRPr="00C41EB8">
              <w:rPr>
                <w:noProof/>
                <w:sz w:val="20"/>
              </w:rPr>
              <w:t xml:space="preserve">Attiecībā uz notekūdeņu un ūdenapgādes sektoru (nozari) </w:t>
            </w:r>
            <w:hyperlink r:id="rId55" w:history="1">
              <w:r w:rsidRPr="00C41EB8">
                <w:rPr>
                  <w:rStyle w:val="Hyperlink"/>
                  <w:noProof/>
                  <w:sz w:val="20"/>
                </w:rPr>
                <w:t>Notekūdeņu apsaimniekošanas investīciju plāns 2021.–2027.gadam</w:t>
              </w:r>
            </w:hyperlink>
          </w:p>
          <w:p w14:paraId="5473A3F8" w14:textId="77777777" w:rsidR="007545BD" w:rsidRPr="00C41EB8" w:rsidRDefault="007545BD" w:rsidP="00A73208">
            <w:pPr>
              <w:spacing w:before="0" w:after="0"/>
              <w:jc w:val="left"/>
              <w:rPr>
                <w:noProof/>
                <w:sz w:val="20"/>
              </w:rPr>
            </w:pPr>
          </w:p>
          <w:p w14:paraId="73664366" w14:textId="77777777" w:rsidR="007545BD" w:rsidRPr="00C41EB8" w:rsidRDefault="007545BD" w:rsidP="00A73208">
            <w:pPr>
              <w:spacing w:before="0" w:after="0"/>
              <w:jc w:val="left"/>
              <w:rPr>
                <w:noProof/>
                <w:sz w:val="20"/>
              </w:rPr>
            </w:pPr>
            <w:r w:rsidRPr="00C41EB8">
              <w:rPr>
                <w:noProof/>
                <w:sz w:val="20"/>
              </w:rPr>
              <w:t xml:space="preserve"> un </w:t>
            </w:r>
            <w:hyperlink r:id="rId56" w:history="1">
              <w:r w:rsidRPr="00C41EB8">
                <w:rPr>
                  <w:rStyle w:val="Hyperlink"/>
                  <w:bCs/>
                  <w:sz w:val="20"/>
                </w:rPr>
                <w:t>Ūdensapgādes investīciju plāns 2021-2027.gadam</w:t>
              </w:r>
            </w:hyperlink>
            <w:r w:rsidRPr="00C41EB8">
              <w:rPr>
                <w:bCs/>
                <w:sz w:val="20"/>
              </w:rPr>
              <w:t>.</w:t>
            </w:r>
          </w:p>
        </w:tc>
        <w:tc>
          <w:tcPr>
            <w:tcW w:w="3686" w:type="dxa"/>
            <w:shd w:val="clear" w:color="auto" w:fill="D9D9D9" w:themeFill="background1" w:themeFillShade="D9"/>
          </w:tcPr>
          <w:p w14:paraId="353485E2" w14:textId="77777777" w:rsidR="007545BD" w:rsidRPr="00C41EB8" w:rsidRDefault="007545BD" w:rsidP="00A73208">
            <w:pPr>
              <w:spacing w:before="0" w:after="0"/>
              <w:rPr>
                <w:rFonts w:eastAsia="Times New Roman"/>
                <w:noProof/>
                <w:sz w:val="20"/>
              </w:rPr>
            </w:pPr>
            <w:r w:rsidRPr="00C41EB8">
              <w:rPr>
                <w:rFonts w:eastAsia="Times New Roman"/>
                <w:noProof/>
                <w:sz w:val="20"/>
              </w:rPr>
              <w:t>1.kritērija izpilde:</w:t>
            </w:r>
          </w:p>
          <w:p w14:paraId="3B01033F" w14:textId="77777777" w:rsidR="007545BD" w:rsidRPr="00C41EB8" w:rsidRDefault="007545BD" w:rsidP="00A73208">
            <w:pPr>
              <w:spacing w:before="0" w:after="0"/>
              <w:rPr>
                <w:rFonts w:eastAsia="Times New Roman"/>
                <w:noProof/>
                <w:sz w:val="20"/>
              </w:rPr>
            </w:pPr>
            <w:r w:rsidRPr="00C41EB8">
              <w:rPr>
                <w:rFonts w:eastAsia="Times New Roman"/>
                <w:noProof/>
                <w:sz w:val="20"/>
              </w:rPr>
              <w:t>Plāni aptiprināti un pieejami:</w:t>
            </w:r>
          </w:p>
          <w:p w14:paraId="30E6610D" w14:textId="77777777" w:rsidR="007545BD" w:rsidRPr="00C41EB8" w:rsidRDefault="007545BD" w:rsidP="00A73208">
            <w:pPr>
              <w:spacing w:before="0" w:after="0"/>
              <w:rPr>
                <w:sz w:val="20"/>
              </w:rPr>
            </w:pPr>
            <w:r w:rsidRPr="00C41EB8">
              <w:rPr>
                <w:rFonts w:eastAsia="Times New Roman"/>
                <w:noProof/>
                <w:sz w:val="20"/>
              </w:rPr>
              <w:t xml:space="preserve"> </w:t>
            </w:r>
          </w:p>
          <w:p w14:paraId="11260F69" w14:textId="77777777" w:rsidR="007545BD" w:rsidRPr="00C41EB8" w:rsidRDefault="009A507A" w:rsidP="00A73208">
            <w:pPr>
              <w:spacing w:before="0" w:after="0"/>
              <w:rPr>
                <w:sz w:val="20"/>
              </w:rPr>
            </w:pPr>
            <w:hyperlink r:id="rId57" w:history="1">
              <w:r w:rsidR="007545BD" w:rsidRPr="00C41EB8">
                <w:rPr>
                  <w:rStyle w:val="Hyperlink"/>
                  <w:sz w:val="20"/>
                </w:rPr>
                <w:t>https://www.varam.gov.lv/lv/notekudenu-apsaimniekosanas-investiciju-plans-2021-2027-gadam</w:t>
              </w:r>
            </w:hyperlink>
          </w:p>
          <w:p w14:paraId="7C29E0E5" w14:textId="77777777" w:rsidR="007545BD" w:rsidRPr="00C41EB8" w:rsidRDefault="007545BD" w:rsidP="00A73208">
            <w:pPr>
              <w:spacing w:before="0" w:after="0"/>
              <w:rPr>
                <w:color w:val="2B579A"/>
                <w:sz w:val="20"/>
                <w:shd w:val="clear" w:color="auto" w:fill="E6E6E6"/>
              </w:rPr>
            </w:pPr>
            <w:r w:rsidRPr="00C41EB8">
              <w:rPr>
                <w:rFonts w:eastAsia="Times New Roman"/>
                <w:noProof/>
                <w:sz w:val="20"/>
              </w:rPr>
              <w:t xml:space="preserve"> </w:t>
            </w:r>
            <w:hyperlink r:id="rId58" w:history="1">
              <w:r w:rsidRPr="00C41EB8">
                <w:rPr>
                  <w:rStyle w:val="Hyperlink"/>
                  <w:bCs/>
                  <w:sz w:val="20"/>
                </w:rPr>
                <w:t>https://www.varam.gov.lv/lv/udensapgades-investiciju-plans-2021-2027-gadam</w:t>
              </w:r>
            </w:hyperlink>
          </w:p>
          <w:p w14:paraId="6DA5A268" w14:textId="77777777" w:rsidR="007545BD" w:rsidRPr="00C41EB8" w:rsidRDefault="007545BD" w:rsidP="00A73208">
            <w:pPr>
              <w:spacing w:before="0" w:after="0"/>
              <w:rPr>
                <w:color w:val="2B579A"/>
                <w:sz w:val="20"/>
                <w:shd w:val="clear" w:color="auto" w:fill="E6E6E6"/>
              </w:rPr>
            </w:pPr>
          </w:p>
          <w:p w14:paraId="06545B4F" w14:textId="77777777" w:rsidR="007545BD" w:rsidRPr="003E02E3" w:rsidRDefault="007545BD" w:rsidP="00A73208">
            <w:pPr>
              <w:spacing w:before="0" w:after="0"/>
              <w:rPr>
                <w:rFonts w:eastAsia="Times New Roman"/>
                <w:iCs/>
                <w:noProof/>
                <w:sz w:val="20"/>
              </w:rPr>
            </w:pPr>
            <w:r w:rsidRPr="003E02E3">
              <w:rPr>
                <w:rFonts w:eastAsia="Times New Roman"/>
                <w:iCs/>
                <w:noProof/>
                <w:sz w:val="20"/>
                <w:u w:val="single"/>
              </w:rPr>
              <w:t>Pašreizējā stāvokļa novērtējums</w:t>
            </w:r>
            <w:r w:rsidRPr="003E02E3">
              <w:rPr>
                <w:rFonts w:eastAsia="Times New Roman"/>
                <w:iCs/>
                <w:noProof/>
                <w:sz w:val="20"/>
              </w:rPr>
              <w:t xml:space="preserve"> par Komunālo notekūdeņu direktīvas 91/271/EEK prasību izpildi Notekūdeņu apsaimniekošanas investīciju plānā ir veikts par  katru no 74 notekūdeņu aglomerācijām, kā arī valstī kopumā. </w:t>
            </w:r>
          </w:p>
          <w:p w14:paraId="6D3F8BFC" w14:textId="77777777" w:rsidR="007545BD" w:rsidRPr="003E02E3" w:rsidRDefault="007545BD" w:rsidP="00A73208">
            <w:pPr>
              <w:spacing w:before="0" w:after="0"/>
              <w:rPr>
                <w:rFonts w:eastAsia="Times New Roman"/>
                <w:iCs/>
                <w:noProof/>
                <w:sz w:val="20"/>
              </w:rPr>
            </w:pPr>
            <w:r w:rsidRPr="003E02E3">
              <w:rPr>
                <w:rFonts w:eastAsia="Times New Roman"/>
                <w:iCs/>
                <w:noProof/>
                <w:sz w:val="20"/>
              </w:rPr>
              <w:t>Investīciju plāna 1.2.sadaļā “Situācija aglomerācijās saskaņā ar sabiedrisko pakalpojumu sniedzēju sākotnēji sniegtajiem datiem” veikts aglomerāciju izvērtējums sadalījumā pa aglomerāciju grupām (I grupa CE &gt; 100 00, II grupa CE &gt; 10 000 &lt; 100 000, III grupa CE &gt;2000 &lt;10 000) ievērojot pamatprasības: 1) centralizēto kanalizācijas pakalpojumu pieejamība esošajā aglomerācijā, 2) centralizēto kanalizācijas pakalpojumu faktiskā izmantošana, 3) notekūdeņu attīrīšanas kvalitāte, 4) aglomerācijas robežu paplašināšanas nepeiciešamība, 5) centralizēto kanalizācijas tīklu rekonstrukcijas nepieciešamība. Tāpat saistoša informācija sniegta arī citās sadaļās</w:t>
            </w:r>
          </w:p>
          <w:p w14:paraId="39EA3BC8" w14:textId="77777777" w:rsidR="007545BD" w:rsidRPr="003E02E3" w:rsidRDefault="007545BD" w:rsidP="00A73208">
            <w:pPr>
              <w:spacing w:before="0" w:after="0"/>
              <w:rPr>
                <w:rFonts w:eastAsia="Times New Roman"/>
                <w:iCs/>
                <w:noProof/>
                <w:sz w:val="20"/>
                <w:u w:val="single"/>
              </w:rPr>
            </w:pPr>
          </w:p>
          <w:p w14:paraId="6A043D99" w14:textId="77777777" w:rsidR="007545BD" w:rsidRPr="00C41EB8" w:rsidRDefault="007545BD" w:rsidP="00A73208">
            <w:pPr>
              <w:spacing w:before="0" w:after="0"/>
              <w:rPr>
                <w:rFonts w:eastAsia="Times New Roman"/>
                <w:iCs/>
                <w:noProof/>
                <w:sz w:val="20"/>
              </w:rPr>
            </w:pPr>
            <w:r w:rsidRPr="003E02E3">
              <w:rPr>
                <w:rFonts w:eastAsia="Times New Roman"/>
                <w:iCs/>
                <w:noProof/>
                <w:sz w:val="20"/>
                <w:u w:val="single"/>
              </w:rPr>
              <w:t>Pašreizējā stāvokļa novērtējums</w:t>
            </w:r>
            <w:r w:rsidRPr="003E02E3">
              <w:rPr>
                <w:rFonts w:eastAsia="Times New Roman"/>
                <w:iCs/>
                <w:noProof/>
                <w:sz w:val="20"/>
              </w:rPr>
              <w:t xml:space="preserve"> par Dzeramā ūdens direktīvas 98/83/EK prasību izpildi ir iekļauts Ūdensapgādes investīciju plāna 2.sadaļā “Ūdensapgādes pakalpojumu jomas investīciju novērtējums atbilstoši anketēšanas datiem”, nodrošinot 74 apdzīvoto vietu ūdensapgādes apgādes zonu esošās centralizētās ūdensapgādes sistēmas pieejamības un izmantošanas izvērtējumu. Tāpat saistoša informācija sniegta arī citās sadaļās</w:t>
            </w:r>
            <w:r>
              <w:rPr>
                <w:rFonts w:eastAsia="Times New Roman"/>
                <w:iCs/>
                <w:noProof/>
                <w:sz w:val="20"/>
              </w:rPr>
              <w:t xml:space="preserve">. </w:t>
            </w:r>
          </w:p>
        </w:tc>
      </w:tr>
      <w:tr w:rsidR="007545BD" w:rsidRPr="00C41EB8" w14:paraId="0DE08855" w14:textId="77777777" w:rsidTr="00A73208">
        <w:tc>
          <w:tcPr>
            <w:tcW w:w="562" w:type="dxa"/>
            <w:shd w:val="clear" w:color="auto" w:fill="D9D9D9" w:themeFill="background1" w:themeFillShade="D9"/>
          </w:tcPr>
          <w:p w14:paraId="29FA3A47"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D9D9D9" w:themeFill="background1" w:themeFillShade="D9"/>
          </w:tcPr>
          <w:p w14:paraId="7F9A7088" w14:textId="77777777" w:rsidR="007545BD" w:rsidRPr="00C41EB8" w:rsidRDefault="007545BD" w:rsidP="00A73208">
            <w:pPr>
              <w:spacing w:before="0" w:after="0"/>
              <w:jc w:val="left"/>
              <w:rPr>
                <w:noProof/>
                <w:sz w:val="20"/>
              </w:rPr>
            </w:pPr>
          </w:p>
        </w:tc>
        <w:tc>
          <w:tcPr>
            <w:tcW w:w="851" w:type="dxa"/>
            <w:vMerge/>
            <w:shd w:val="clear" w:color="auto" w:fill="D9D9D9" w:themeFill="background1" w:themeFillShade="D9"/>
          </w:tcPr>
          <w:p w14:paraId="62DC2131" w14:textId="77777777" w:rsidR="007545BD" w:rsidRPr="00C41EB8" w:rsidRDefault="007545BD" w:rsidP="00A73208">
            <w:pPr>
              <w:spacing w:before="0" w:after="0"/>
              <w:jc w:val="left"/>
              <w:rPr>
                <w:rFonts w:eastAsia="Times New Roman"/>
                <w:iCs/>
                <w:noProof/>
                <w:sz w:val="20"/>
              </w:rPr>
            </w:pPr>
          </w:p>
        </w:tc>
        <w:tc>
          <w:tcPr>
            <w:tcW w:w="1134" w:type="dxa"/>
            <w:vMerge/>
            <w:shd w:val="clear" w:color="auto" w:fill="D9D9D9" w:themeFill="background1" w:themeFillShade="D9"/>
          </w:tcPr>
          <w:p w14:paraId="31F24485" w14:textId="77777777" w:rsidR="007545BD" w:rsidRPr="00C41EB8" w:rsidRDefault="007545BD" w:rsidP="00A73208">
            <w:pPr>
              <w:spacing w:before="0" w:after="0"/>
              <w:jc w:val="left"/>
              <w:rPr>
                <w:rFonts w:eastAsia="Times New Roman"/>
                <w:iCs/>
                <w:noProof/>
                <w:sz w:val="20"/>
              </w:rPr>
            </w:pPr>
          </w:p>
        </w:tc>
        <w:tc>
          <w:tcPr>
            <w:tcW w:w="850" w:type="dxa"/>
            <w:vMerge/>
            <w:shd w:val="clear" w:color="auto" w:fill="D9D9D9" w:themeFill="background1" w:themeFillShade="D9"/>
          </w:tcPr>
          <w:p w14:paraId="363B757D" w14:textId="77777777" w:rsidR="007545BD" w:rsidRPr="00C41EB8" w:rsidRDefault="007545BD" w:rsidP="00A73208">
            <w:pPr>
              <w:spacing w:before="0" w:after="0"/>
              <w:jc w:val="left"/>
              <w:rPr>
                <w:rFonts w:eastAsia="Times New Roman"/>
                <w:iCs/>
                <w:noProof/>
                <w:sz w:val="20"/>
              </w:rPr>
            </w:pPr>
          </w:p>
        </w:tc>
        <w:tc>
          <w:tcPr>
            <w:tcW w:w="2410" w:type="dxa"/>
            <w:shd w:val="clear" w:color="auto" w:fill="D9D9D9" w:themeFill="background1" w:themeFillShade="D9"/>
          </w:tcPr>
          <w:p w14:paraId="221707B7" w14:textId="77777777" w:rsidR="007545BD" w:rsidRPr="00C41EB8" w:rsidRDefault="007545BD" w:rsidP="00A73208">
            <w:pPr>
              <w:spacing w:before="0" w:after="0"/>
              <w:jc w:val="left"/>
              <w:rPr>
                <w:sz w:val="20"/>
              </w:rPr>
            </w:pPr>
            <w:r w:rsidRPr="00C41EB8">
              <w:rPr>
                <w:sz w:val="20"/>
              </w:rPr>
              <w:t>2.Jebkuru valsts ieguldījumu identificēšanu un plānošanu, tostarp indikatīvu finanšu novērtējumu:</w:t>
            </w:r>
          </w:p>
          <w:p w14:paraId="688FC002" w14:textId="77777777" w:rsidR="007545BD" w:rsidRPr="00C41EB8" w:rsidRDefault="007545BD" w:rsidP="00A73208">
            <w:pPr>
              <w:pStyle w:val="ListParagraph"/>
              <w:numPr>
                <w:ilvl w:val="1"/>
                <w:numId w:val="64"/>
              </w:numPr>
              <w:spacing w:after="0" w:line="240" w:lineRule="auto"/>
              <w:ind w:left="319" w:hanging="162"/>
              <w:rPr>
                <w:rFonts w:ascii="Times New Roman" w:hAnsi="Times New Roman" w:cs="Times New Roman"/>
                <w:sz w:val="20"/>
                <w:szCs w:val="20"/>
              </w:rPr>
            </w:pPr>
            <w:r w:rsidRPr="00C41EB8">
              <w:rPr>
                <w:rFonts w:ascii="Times New Roman" w:hAnsi="Times New Roman" w:cs="Times New Roman"/>
                <w:sz w:val="20"/>
                <w:szCs w:val="20"/>
              </w:rPr>
              <w:t>Nepieciešamība ieviest UWWTD, tostarp prioritāšu noteikšanu attiecībā uz aglomerāciju lielumu un ietekmi uz vidi, ieguldījumiem sadalot katru notekūdeņu aglomerāciju;</w:t>
            </w:r>
          </w:p>
          <w:p w14:paraId="6DC60655" w14:textId="77777777" w:rsidR="007545BD" w:rsidRPr="00C41EB8" w:rsidRDefault="007545BD" w:rsidP="00A73208">
            <w:pPr>
              <w:pStyle w:val="ListParagraph"/>
              <w:numPr>
                <w:ilvl w:val="1"/>
                <w:numId w:val="64"/>
              </w:numPr>
              <w:spacing w:after="0" w:line="240" w:lineRule="auto"/>
              <w:ind w:left="319" w:hanging="162"/>
              <w:rPr>
                <w:rFonts w:ascii="Times New Roman" w:hAnsi="Times New Roman" w:cs="Times New Roman"/>
                <w:sz w:val="20"/>
                <w:szCs w:val="20"/>
              </w:rPr>
            </w:pPr>
            <w:r w:rsidRPr="00C41EB8">
              <w:rPr>
                <w:rFonts w:ascii="Times New Roman" w:hAnsi="Times New Roman" w:cs="Times New Roman"/>
                <w:sz w:val="20"/>
                <w:szCs w:val="20"/>
              </w:rPr>
              <w:t>Nepieciešamību ieviest DWD Direktīvu 98/83/EK;</w:t>
            </w:r>
          </w:p>
          <w:p w14:paraId="60EDE383" w14:textId="77777777" w:rsidR="007545BD" w:rsidRPr="00C41EB8" w:rsidRDefault="007545BD" w:rsidP="00A73208">
            <w:pPr>
              <w:pStyle w:val="ListParagraph"/>
              <w:numPr>
                <w:ilvl w:val="1"/>
                <w:numId w:val="64"/>
              </w:numPr>
              <w:spacing w:after="0" w:line="240" w:lineRule="auto"/>
              <w:ind w:left="319" w:hanging="162"/>
              <w:rPr>
                <w:rFonts w:ascii="Times New Roman" w:hAnsi="Times New Roman" w:cs="Times New Roman"/>
                <w:sz w:val="20"/>
                <w:szCs w:val="20"/>
              </w:rPr>
            </w:pPr>
            <w:r w:rsidRPr="00C41EB8">
              <w:rPr>
                <w:rFonts w:ascii="Times New Roman" w:hAnsi="Times New Roman" w:cs="Times New Roman"/>
                <w:sz w:val="20"/>
                <w:szCs w:val="20"/>
              </w:rPr>
              <w:t>Nepieciešamība nodrošināt atbilstību vajadzībām, kas izriet no ierosinātās pārstrādāšanas (COM (2017) 753 galīgā redakcija), jo īpaši attiecībā uz pārskatītajiem kvalitātes parametriem, kas izklāstīti I pielikumā].</w:t>
            </w:r>
          </w:p>
        </w:tc>
        <w:tc>
          <w:tcPr>
            <w:tcW w:w="1134" w:type="dxa"/>
            <w:shd w:val="clear" w:color="auto" w:fill="D9D9D9" w:themeFill="background1" w:themeFillShade="D9"/>
          </w:tcPr>
          <w:p w14:paraId="213E0384" w14:textId="77777777" w:rsidR="007545BD" w:rsidRPr="00C41EB8" w:rsidRDefault="007545BD" w:rsidP="00A73208">
            <w:pPr>
              <w:spacing w:before="0" w:after="0"/>
              <w:jc w:val="left"/>
              <w:rPr>
                <w:b/>
                <w:bCs/>
                <w:noProof/>
                <w:sz w:val="20"/>
              </w:rPr>
            </w:pPr>
            <w:r w:rsidRPr="00C41EB8">
              <w:rPr>
                <w:b/>
                <w:bCs/>
                <w:noProof/>
                <w:sz w:val="20"/>
              </w:rPr>
              <w:t>Jā</w:t>
            </w:r>
          </w:p>
        </w:tc>
        <w:tc>
          <w:tcPr>
            <w:tcW w:w="2410" w:type="dxa"/>
            <w:shd w:val="clear" w:color="auto" w:fill="D9D9D9" w:themeFill="background1" w:themeFillShade="D9"/>
          </w:tcPr>
          <w:p w14:paraId="63199A25" w14:textId="77777777" w:rsidR="007545BD" w:rsidRPr="00C41EB8" w:rsidRDefault="007545BD" w:rsidP="00A73208">
            <w:pPr>
              <w:spacing w:before="0" w:after="0"/>
              <w:jc w:val="left"/>
              <w:rPr>
                <w:noProof/>
                <w:sz w:val="20"/>
              </w:rPr>
            </w:pPr>
            <w:r w:rsidRPr="00C41EB8">
              <w:rPr>
                <w:noProof/>
                <w:sz w:val="20"/>
              </w:rPr>
              <w:t>2.kritērija izpilde:</w:t>
            </w:r>
          </w:p>
          <w:p w14:paraId="683B6A4F" w14:textId="77777777" w:rsidR="007545BD" w:rsidRPr="00301B12" w:rsidRDefault="007545BD" w:rsidP="00A73208">
            <w:pPr>
              <w:spacing w:before="0" w:after="0"/>
              <w:jc w:val="left"/>
              <w:rPr>
                <w:noProof/>
                <w:sz w:val="20"/>
              </w:rPr>
            </w:pPr>
            <w:r w:rsidRPr="00301B12">
              <w:rPr>
                <w:noProof/>
                <w:sz w:val="20"/>
              </w:rPr>
              <w:t>Attiecībā uz notekūdeņu un ūdenapgādes sektoru (nozari):</w:t>
            </w:r>
          </w:p>
          <w:p w14:paraId="4A6A55FB" w14:textId="77777777" w:rsidR="007545BD" w:rsidRPr="00301B12" w:rsidRDefault="009A507A" w:rsidP="00A73208">
            <w:pPr>
              <w:spacing w:before="0" w:after="0"/>
              <w:jc w:val="left"/>
              <w:rPr>
                <w:noProof/>
                <w:sz w:val="20"/>
              </w:rPr>
            </w:pPr>
            <w:hyperlink r:id="rId59">
              <w:r w:rsidR="007545BD" w:rsidRPr="00301B12">
                <w:rPr>
                  <w:rStyle w:val="Hyperlink"/>
                  <w:noProof/>
                  <w:sz w:val="20"/>
                </w:rPr>
                <w:t>Notekūdeņu apsaimniekošanas investīciju plāns 2021.–2027.gadam</w:t>
              </w:r>
            </w:hyperlink>
          </w:p>
          <w:p w14:paraId="6C714CA2" w14:textId="77777777" w:rsidR="007545BD" w:rsidRPr="00301B12" w:rsidRDefault="007545BD" w:rsidP="00A73208">
            <w:pPr>
              <w:spacing w:before="0" w:after="0"/>
              <w:jc w:val="left"/>
              <w:rPr>
                <w:noProof/>
                <w:sz w:val="20"/>
              </w:rPr>
            </w:pPr>
          </w:p>
          <w:p w14:paraId="5195C382" w14:textId="77777777" w:rsidR="007545BD" w:rsidRDefault="007545BD" w:rsidP="00A73208">
            <w:pPr>
              <w:spacing w:before="0" w:after="0"/>
              <w:jc w:val="left"/>
              <w:rPr>
                <w:noProof/>
                <w:sz w:val="20"/>
              </w:rPr>
            </w:pPr>
            <w:r w:rsidRPr="00301B12">
              <w:rPr>
                <w:noProof/>
                <w:sz w:val="20"/>
              </w:rPr>
              <w:t xml:space="preserve"> un </w:t>
            </w:r>
            <w:hyperlink r:id="rId60">
              <w:r w:rsidRPr="00301B12">
                <w:rPr>
                  <w:rStyle w:val="Hyperlink"/>
                  <w:noProof/>
                  <w:sz w:val="20"/>
                </w:rPr>
                <w:t>Ūdensapgādes investīciju plāns 2021-2027.gadam</w:t>
              </w:r>
            </w:hyperlink>
            <w:r w:rsidRPr="00301B12">
              <w:rPr>
                <w:noProof/>
                <w:sz w:val="20"/>
              </w:rPr>
              <w:t>.</w:t>
            </w:r>
            <w:r>
              <w:rPr>
                <w:noProof/>
                <w:sz w:val="20"/>
              </w:rPr>
              <w:t xml:space="preserve"> </w:t>
            </w:r>
          </w:p>
          <w:p w14:paraId="797A385A" w14:textId="77777777" w:rsidR="007545BD" w:rsidRPr="00C41EB8" w:rsidRDefault="009A507A" w:rsidP="00A73208">
            <w:pPr>
              <w:spacing w:before="0" w:after="0"/>
              <w:jc w:val="left"/>
              <w:rPr>
                <w:noProof/>
                <w:sz w:val="20"/>
              </w:rPr>
            </w:pPr>
            <w:hyperlink r:id="rId61" w:history="1">
              <w:r w:rsidR="007545BD" w:rsidRPr="000327C0">
                <w:rPr>
                  <w:rStyle w:val="Hyperlink"/>
                  <w:bCs/>
                  <w:noProof/>
                  <w:sz w:val="20"/>
                </w:rPr>
                <w:t>Ūdensapgādes investīciju plāns 2021-2027.gadam</w:t>
              </w:r>
            </w:hyperlink>
            <w:r w:rsidR="007545BD" w:rsidRPr="000327C0">
              <w:rPr>
                <w:bCs/>
                <w:noProof/>
                <w:sz w:val="20"/>
              </w:rPr>
              <w:t>.</w:t>
            </w:r>
          </w:p>
          <w:p w14:paraId="60D0C4A3" w14:textId="77777777" w:rsidR="007545BD" w:rsidRPr="00C41EB8" w:rsidRDefault="007545BD" w:rsidP="00A73208">
            <w:pPr>
              <w:spacing w:before="0" w:after="0"/>
              <w:jc w:val="left"/>
              <w:rPr>
                <w:noProof/>
                <w:sz w:val="20"/>
              </w:rPr>
            </w:pPr>
          </w:p>
          <w:p w14:paraId="44148971" w14:textId="77777777" w:rsidR="007545BD" w:rsidRPr="000327C0" w:rsidRDefault="007545BD" w:rsidP="00A73208">
            <w:pPr>
              <w:spacing w:before="0" w:after="0"/>
              <w:jc w:val="left"/>
              <w:rPr>
                <w:noProof/>
                <w:sz w:val="20"/>
              </w:rPr>
            </w:pPr>
            <w:r w:rsidRPr="000327C0">
              <w:rPr>
                <w:noProof/>
                <w:sz w:val="20"/>
              </w:rPr>
              <w:t>Informatīvais ziņojums  par dzeramā ūdens direktīvas (DWD) 98/83/EK pārstrādāšanas pašreizējā stāvokļa gaitu, jo īpaši attiecībā uz pārskatītajiem kvalitātes un nekaitīguma rādītājiem.</w:t>
            </w:r>
          </w:p>
          <w:p w14:paraId="62E980ED" w14:textId="77777777" w:rsidR="007545BD" w:rsidRPr="000327C0" w:rsidRDefault="007545BD" w:rsidP="00A73208">
            <w:pPr>
              <w:spacing w:before="0" w:after="0"/>
              <w:jc w:val="left"/>
              <w:rPr>
                <w:noProof/>
                <w:sz w:val="20"/>
              </w:rPr>
            </w:pPr>
            <w:r w:rsidRPr="000327C0">
              <w:rPr>
                <w:noProof/>
                <w:sz w:val="20"/>
              </w:rPr>
              <w:t>Informatīvais ziņojums apstiprināms un pieejams:</w:t>
            </w:r>
          </w:p>
          <w:p w14:paraId="3303EBE0" w14:textId="77777777" w:rsidR="007545BD" w:rsidRPr="000327C0" w:rsidRDefault="009A507A" w:rsidP="00A73208">
            <w:pPr>
              <w:spacing w:before="0" w:after="0"/>
              <w:jc w:val="left"/>
              <w:rPr>
                <w:noProof/>
                <w:sz w:val="20"/>
              </w:rPr>
            </w:pPr>
            <w:hyperlink r:id="rId62" w:history="1">
              <w:r w:rsidR="007545BD" w:rsidRPr="000327C0">
                <w:rPr>
                  <w:rStyle w:val="Hyperlink"/>
                  <w:noProof/>
                  <w:sz w:val="20"/>
                </w:rPr>
                <w:t>http://tap.mk.gov.lv/mk/tap/?pid=40490765</w:t>
              </w:r>
            </w:hyperlink>
          </w:p>
          <w:p w14:paraId="387CB9CE" w14:textId="77777777" w:rsidR="007545BD" w:rsidRPr="000327C0" w:rsidRDefault="007545BD" w:rsidP="00A73208">
            <w:pPr>
              <w:spacing w:before="0" w:after="0"/>
              <w:jc w:val="left"/>
              <w:rPr>
                <w:noProof/>
                <w:sz w:val="20"/>
              </w:rPr>
            </w:pPr>
          </w:p>
          <w:p w14:paraId="23F0EDFA" w14:textId="77777777" w:rsidR="007545BD" w:rsidRPr="00C41EB8" w:rsidRDefault="007545BD" w:rsidP="00A73208">
            <w:pPr>
              <w:spacing w:before="0" w:after="0"/>
              <w:jc w:val="left"/>
              <w:rPr>
                <w:noProof/>
                <w:sz w:val="20"/>
              </w:rPr>
            </w:pPr>
          </w:p>
        </w:tc>
        <w:tc>
          <w:tcPr>
            <w:tcW w:w="3686" w:type="dxa"/>
            <w:shd w:val="clear" w:color="auto" w:fill="D9D9D9" w:themeFill="background1" w:themeFillShade="D9"/>
          </w:tcPr>
          <w:p w14:paraId="6CE65700" w14:textId="77777777" w:rsidR="007545BD" w:rsidRPr="00C41EB8" w:rsidRDefault="007545BD" w:rsidP="00A73208">
            <w:pPr>
              <w:spacing w:before="0" w:after="0"/>
              <w:rPr>
                <w:sz w:val="20"/>
              </w:rPr>
            </w:pPr>
            <w:r w:rsidRPr="00C41EB8">
              <w:rPr>
                <w:sz w:val="20"/>
              </w:rPr>
              <w:t>2.kritērija izpilde:</w:t>
            </w:r>
          </w:p>
          <w:p w14:paraId="5BA48A44" w14:textId="77777777" w:rsidR="007545BD" w:rsidRPr="00301B12" w:rsidRDefault="007545BD" w:rsidP="00A73208">
            <w:pPr>
              <w:spacing w:before="0" w:after="0"/>
              <w:rPr>
                <w:rFonts w:eastAsia="Times New Roman"/>
                <w:iCs/>
                <w:noProof/>
                <w:sz w:val="20"/>
              </w:rPr>
            </w:pPr>
            <w:r w:rsidRPr="00301B12">
              <w:rPr>
                <w:rFonts w:eastAsia="Times New Roman"/>
                <w:iCs/>
                <w:noProof/>
                <w:sz w:val="20"/>
              </w:rPr>
              <w:t>Notekūdeņu apsaimniekošanas un ūdensapgādes investīciju plāni aptiprināti un pieejami:</w:t>
            </w:r>
          </w:p>
          <w:p w14:paraId="525948DD" w14:textId="77777777" w:rsidR="007545BD" w:rsidRPr="00301B12" w:rsidRDefault="007545BD" w:rsidP="00A73208">
            <w:pPr>
              <w:spacing w:before="0" w:after="0"/>
              <w:rPr>
                <w:rFonts w:eastAsia="Times New Roman"/>
                <w:iCs/>
                <w:noProof/>
                <w:sz w:val="20"/>
              </w:rPr>
            </w:pPr>
            <w:r w:rsidRPr="00301B12">
              <w:rPr>
                <w:rFonts w:eastAsia="Times New Roman"/>
                <w:iCs/>
                <w:noProof/>
                <w:sz w:val="20"/>
              </w:rPr>
              <w:t xml:space="preserve"> </w:t>
            </w:r>
          </w:p>
          <w:p w14:paraId="464D3148" w14:textId="77777777" w:rsidR="007545BD" w:rsidRPr="00301B12" w:rsidRDefault="009A507A" w:rsidP="00A73208">
            <w:pPr>
              <w:spacing w:before="0" w:after="0"/>
              <w:rPr>
                <w:rFonts w:eastAsia="Times New Roman"/>
                <w:iCs/>
                <w:noProof/>
                <w:sz w:val="20"/>
              </w:rPr>
            </w:pPr>
            <w:hyperlink r:id="rId63">
              <w:r w:rsidR="007545BD" w:rsidRPr="00301B12">
                <w:rPr>
                  <w:rStyle w:val="Hyperlink"/>
                  <w:rFonts w:eastAsia="Times New Roman"/>
                  <w:iCs/>
                  <w:noProof/>
                  <w:sz w:val="20"/>
                </w:rPr>
                <w:t>https://www.varam.gov.lv/lv/notekudenu-apsaimniekosanas-investiciju-plans-2021-2027-gadam</w:t>
              </w:r>
            </w:hyperlink>
          </w:p>
          <w:p w14:paraId="1A687FAF" w14:textId="77777777" w:rsidR="007545BD" w:rsidRPr="00301B12" w:rsidRDefault="007545BD" w:rsidP="00A73208">
            <w:pPr>
              <w:spacing w:before="0" w:after="0"/>
              <w:rPr>
                <w:rFonts w:eastAsia="Times New Roman"/>
                <w:iCs/>
                <w:noProof/>
                <w:sz w:val="20"/>
              </w:rPr>
            </w:pPr>
            <w:r w:rsidRPr="00301B12">
              <w:rPr>
                <w:rFonts w:eastAsia="Times New Roman"/>
                <w:iCs/>
                <w:noProof/>
                <w:sz w:val="20"/>
              </w:rPr>
              <w:t xml:space="preserve"> </w:t>
            </w:r>
            <w:hyperlink r:id="rId64">
              <w:r w:rsidRPr="00301B12">
                <w:rPr>
                  <w:rStyle w:val="Hyperlink"/>
                  <w:rFonts w:eastAsia="Times New Roman"/>
                  <w:iCs/>
                  <w:noProof/>
                  <w:sz w:val="20"/>
                </w:rPr>
                <w:t>https://www.varam.gov.lv/lv/udensapgades-investiciju-plans-2021-2027-gadam</w:t>
              </w:r>
            </w:hyperlink>
          </w:p>
          <w:p w14:paraId="35F71EF6" w14:textId="77777777" w:rsidR="007545BD" w:rsidRPr="00301B12" w:rsidRDefault="007545BD" w:rsidP="00A73208">
            <w:pPr>
              <w:spacing w:before="0" w:after="0"/>
              <w:rPr>
                <w:rFonts w:eastAsia="Times New Roman"/>
                <w:iCs/>
                <w:noProof/>
                <w:sz w:val="20"/>
              </w:rPr>
            </w:pPr>
          </w:p>
          <w:p w14:paraId="646B9AA8" w14:textId="77777777" w:rsidR="007545BD" w:rsidRPr="00301B12" w:rsidRDefault="007545BD" w:rsidP="00A73208">
            <w:pPr>
              <w:spacing w:before="0" w:after="0"/>
              <w:rPr>
                <w:rFonts w:eastAsia="Times New Roman"/>
                <w:iCs/>
                <w:noProof/>
                <w:sz w:val="20"/>
              </w:rPr>
            </w:pPr>
            <w:r w:rsidRPr="00301B12">
              <w:rPr>
                <w:rFonts w:eastAsia="Times New Roman"/>
                <w:iCs/>
                <w:noProof/>
                <w:sz w:val="20"/>
              </w:rPr>
              <w:t xml:space="preserve">Investīciju plānos ir ietverta informācija par visām </w:t>
            </w:r>
            <w:r w:rsidRPr="00301B12">
              <w:rPr>
                <w:rFonts w:eastAsia="Times New Roman"/>
                <w:iCs/>
                <w:noProof/>
                <w:sz w:val="20"/>
                <w:u w:val="single"/>
              </w:rPr>
              <w:t>nepieciešamām publiskām investīcijām un šādu investīciju plānu,</w:t>
            </w:r>
            <w:r w:rsidRPr="00301B12">
              <w:rPr>
                <w:rFonts w:eastAsia="Times New Roman"/>
                <w:iCs/>
                <w:noProof/>
                <w:sz w:val="20"/>
              </w:rPr>
              <w:t xml:space="preserve"> tostarp indikatīvu izmaksu aprēķinu, kas nepieciešamas, lai panāktu atbilstību direktīvas prasībām, iekļaujot prioritizāciju atkarībā no aglomerācijas izmēra un ietekmes uz vidi, investīciju aprēķinu norādot par katru aglomerāciju. Detalizēti par katru aglomerāciju ieguldījumu vajadzības, īpaši ekonomiski pamatotās investīciju vajadzības ir norādītas:</w:t>
            </w:r>
          </w:p>
          <w:p w14:paraId="0F191053" w14:textId="77777777" w:rsidR="007545BD" w:rsidRPr="00301B12" w:rsidRDefault="007545BD" w:rsidP="00A73208">
            <w:pPr>
              <w:spacing w:before="0" w:after="0"/>
              <w:rPr>
                <w:rFonts w:eastAsia="Times New Roman"/>
                <w:iCs/>
                <w:noProof/>
                <w:sz w:val="20"/>
              </w:rPr>
            </w:pPr>
            <w:r w:rsidRPr="00301B12">
              <w:rPr>
                <w:rFonts w:eastAsia="Times New Roman"/>
                <w:iCs/>
                <w:noProof/>
                <w:sz w:val="20"/>
              </w:rPr>
              <w:t>-Notekūdeņu apsaimniekošanas investīciju plāna 4.sadaļā “Aglomerāciju plānoto investīciju novērtējums”;</w:t>
            </w:r>
          </w:p>
          <w:p w14:paraId="4F940C34" w14:textId="77777777" w:rsidR="007545BD" w:rsidRPr="00301B12" w:rsidRDefault="007545BD" w:rsidP="00A73208">
            <w:pPr>
              <w:spacing w:before="0" w:after="0"/>
              <w:rPr>
                <w:rFonts w:eastAsia="Times New Roman"/>
                <w:iCs/>
                <w:noProof/>
                <w:sz w:val="20"/>
              </w:rPr>
            </w:pPr>
            <w:r w:rsidRPr="00301B12">
              <w:rPr>
                <w:rFonts w:eastAsia="Times New Roman"/>
                <w:iCs/>
                <w:noProof/>
                <w:sz w:val="20"/>
              </w:rPr>
              <w:t>-Ūdensapgādes investīciju plāna 2.5. sadaļā “Teritorijas, kurās ir nepieciešamas investīcijas ūdensapgādes tīklu izbūvei esošajā pakalpojumu sniegšanas zonā”.</w:t>
            </w:r>
          </w:p>
          <w:p w14:paraId="7DA50EBD" w14:textId="77777777" w:rsidR="007545BD" w:rsidRDefault="007545BD" w:rsidP="00A73208">
            <w:pPr>
              <w:spacing w:before="0" w:after="0"/>
              <w:rPr>
                <w:rFonts w:eastAsia="Times New Roman"/>
                <w:iCs/>
                <w:noProof/>
                <w:sz w:val="20"/>
              </w:rPr>
            </w:pPr>
            <w:r w:rsidRPr="00301B12">
              <w:rPr>
                <w:rFonts w:eastAsia="Times New Roman"/>
                <w:iCs/>
                <w:noProof/>
                <w:sz w:val="20"/>
              </w:rPr>
              <w:t>Tāpat saistoša informācija sniegta arī citās sadaļās.</w:t>
            </w:r>
          </w:p>
          <w:p w14:paraId="40335F6C" w14:textId="06D934EE" w:rsidR="007545BD" w:rsidRPr="00C41EB8" w:rsidRDefault="007545BD" w:rsidP="00A73208">
            <w:pPr>
              <w:spacing w:before="0" w:after="0"/>
              <w:rPr>
                <w:rFonts w:eastAsia="Times New Roman"/>
                <w:iCs/>
                <w:noProof/>
                <w:sz w:val="20"/>
              </w:rPr>
            </w:pPr>
            <w:r w:rsidRPr="00762EA2">
              <w:rPr>
                <w:rFonts w:eastAsia="Times New Roman"/>
                <w:iCs/>
                <w:noProof/>
                <w:sz w:val="20"/>
              </w:rPr>
              <w:t xml:space="preserve">Zemkopības ministrijas sagatavotajā “Informatīvajā ziņojumā Par Eiropas Parlamenta un Padomes dzeramā ūdens direktīvas priekšlikuma  pārstrādāšanas pašreizējā stāvokļa novērtējumu” ir iekļauta 4.sadaļa “Priekšlikumā minētās jaunās prasības, pašreizējā situācija un iespējamie problēmjautājumi” veikts </w:t>
            </w:r>
            <w:r w:rsidRPr="00762EA2">
              <w:rPr>
                <w:rFonts w:eastAsia="Times New Roman"/>
                <w:iCs/>
                <w:noProof/>
                <w:sz w:val="20"/>
                <w:u w:val="single"/>
              </w:rPr>
              <w:t>esošās situācijas izvērtējums katram pārskatītajam kvalitātes parametram, kā arī norādīti iespējamie īstenojamie pasākumi</w:t>
            </w:r>
            <w:r w:rsidRPr="00762EA2">
              <w:rPr>
                <w:rFonts w:eastAsia="Times New Roman"/>
                <w:iCs/>
                <w:noProof/>
                <w:sz w:val="20"/>
              </w:rPr>
              <w:t>, t</w:t>
            </w:r>
            <w:r w:rsidR="00F65811">
              <w:rPr>
                <w:rFonts w:eastAsia="Times New Roman"/>
                <w:iCs/>
                <w:noProof/>
                <w:sz w:val="20"/>
              </w:rPr>
              <w:t>.</w:t>
            </w:r>
            <w:r w:rsidRPr="00762EA2">
              <w:rPr>
                <w:rFonts w:eastAsia="Times New Roman"/>
                <w:iCs/>
                <w:noProof/>
                <w:sz w:val="20"/>
              </w:rPr>
              <w:t xml:space="preserve"> sk</w:t>
            </w:r>
            <w:r w:rsidR="00F65811">
              <w:rPr>
                <w:rFonts w:eastAsia="Times New Roman"/>
                <w:iCs/>
                <w:noProof/>
                <w:sz w:val="20"/>
              </w:rPr>
              <w:t>.</w:t>
            </w:r>
            <w:r w:rsidRPr="00762EA2">
              <w:rPr>
                <w:rFonts w:eastAsia="Times New Roman"/>
                <w:iCs/>
                <w:noProof/>
                <w:sz w:val="20"/>
              </w:rPr>
              <w:t>, piemēram, paredzot jaunā riska izvērtēšanā balstītu pieeju visam ciklam no ieguves vietas līdz patērētājam, nekaitīgu materiālu izmantošanu tīklu izbūvei. Tāpat viscaur informatīvajā ziņojumā sniegta informācija par aktuālajām citām no DwD un tās pārskatīšanas izrietošām prasībām.</w:t>
            </w:r>
          </w:p>
        </w:tc>
      </w:tr>
      <w:tr w:rsidR="007545BD" w:rsidRPr="00C41EB8" w14:paraId="2CEDDC92" w14:textId="77777777" w:rsidTr="00A73208">
        <w:tc>
          <w:tcPr>
            <w:tcW w:w="562" w:type="dxa"/>
            <w:shd w:val="clear" w:color="auto" w:fill="D9D9D9" w:themeFill="background1" w:themeFillShade="D9"/>
          </w:tcPr>
          <w:p w14:paraId="79DACD0A"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D9D9D9" w:themeFill="background1" w:themeFillShade="D9"/>
          </w:tcPr>
          <w:p w14:paraId="59F8E042" w14:textId="77777777" w:rsidR="007545BD" w:rsidRPr="00C41EB8" w:rsidRDefault="007545BD" w:rsidP="00A73208">
            <w:pPr>
              <w:spacing w:before="0" w:after="0"/>
              <w:jc w:val="left"/>
              <w:rPr>
                <w:noProof/>
                <w:sz w:val="20"/>
              </w:rPr>
            </w:pPr>
          </w:p>
        </w:tc>
        <w:tc>
          <w:tcPr>
            <w:tcW w:w="851" w:type="dxa"/>
            <w:vMerge/>
            <w:shd w:val="clear" w:color="auto" w:fill="D9D9D9" w:themeFill="background1" w:themeFillShade="D9"/>
          </w:tcPr>
          <w:p w14:paraId="3BC025E9" w14:textId="77777777" w:rsidR="007545BD" w:rsidRPr="00C41EB8" w:rsidRDefault="007545BD" w:rsidP="00A73208">
            <w:pPr>
              <w:spacing w:before="0" w:after="0"/>
              <w:jc w:val="left"/>
              <w:rPr>
                <w:rFonts w:eastAsia="Times New Roman"/>
                <w:iCs/>
                <w:noProof/>
                <w:sz w:val="20"/>
              </w:rPr>
            </w:pPr>
          </w:p>
        </w:tc>
        <w:tc>
          <w:tcPr>
            <w:tcW w:w="1134" w:type="dxa"/>
            <w:vMerge/>
            <w:shd w:val="clear" w:color="auto" w:fill="D9D9D9" w:themeFill="background1" w:themeFillShade="D9"/>
          </w:tcPr>
          <w:p w14:paraId="557B1EA1" w14:textId="77777777" w:rsidR="007545BD" w:rsidRPr="00C41EB8" w:rsidRDefault="007545BD" w:rsidP="00A73208">
            <w:pPr>
              <w:spacing w:before="0" w:after="0"/>
              <w:jc w:val="left"/>
              <w:rPr>
                <w:rFonts w:eastAsia="Times New Roman"/>
                <w:iCs/>
                <w:noProof/>
                <w:sz w:val="20"/>
              </w:rPr>
            </w:pPr>
          </w:p>
        </w:tc>
        <w:tc>
          <w:tcPr>
            <w:tcW w:w="850" w:type="dxa"/>
            <w:vMerge/>
            <w:shd w:val="clear" w:color="auto" w:fill="D9D9D9" w:themeFill="background1" w:themeFillShade="D9"/>
          </w:tcPr>
          <w:p w14:paraId="6F52EF29" w14:textId="77777777" w:rsidR="007545BD" w:rsidRPr="00C41EB8" w:rsidRDefault="007545BD" w:rsidP="00A73208">
            <w:pPr>
              <w:spacing w:before="0" w:after="0"/>
              <w:jc w:val="left"/>
              <w:rPr>
                <w:rFonts w:eastAsia="Times New Roman"/>
                <w:iCs/>
                <w:noProof/>
                <w:sz w:val="20"/>
              </w:rPr>
            </w:pPr>
          </w:p>
        </w:tc>
        <w:tc>
          <w:tcPr>
            <w:tcW w:w="2410" w:type="dxa"/>
            <w:shd w:val="clear" w:color="auto" w:fill="D9D9D9" w:themeFill="background1" w:themeFillShade="D9"/>
          </w:tcPr>
          <w:p w14:paraId="5BADEE94" w14:textId="77777777" w:rsidR="007545BD" w:rsidRPr="00C41EB8" w:rsidRDefault="007545BD" w:rsidP="00A73208">
            <w:pPr>
              <w:spacing w:before="0" w:after="0"/>
              <w:jc w:val="left"/>
              <w:rPr>
                <w:noProof/>
                <w:sz w:val="20"/>
              </w:rPr>
            </w:pPr>
            <w:r w:rsidRPr="00C41EB8">
              <w:rPr>
                <w:rFonts w:eastAsia="Times New Roman"/>
                <w:sz w:val="20"/>
              </w:rPr>
              <w:t>3.novērtējumu par ieguldījumiem, kas nepieciešami, lai atjaunotu esošo notekūdeņu un ūdensapgādes infrastruktūru, tai skaitā tīklus, pamatojoties uz to vecumu un nolietojuma plāniem;</w:t>
            </w:r>
          </w:p>
          <w:p w14:paraId="3AA6992E" w14:textId="77777777" w:rsidR="007545BD" w:rsidRPr="00C41EB8" w:rsidRDefault="007545BD" w:rsidP="00A73208">
            <w:pPr>
              <w:spacing w:before="0" w:after="0"/>
              <w:jc w:val="left"/>
              <w:rPr>
                <w:sz w:val="20"/>
              </w:rPr>
            </w:pPr>
          </w:p>
        </w:tc>
        <w:tc>
          <w:tcPr>
            <w:tcW w:w="1134" w:type="dxa"/>
            <w:shd w:val="clear" w:color="auto" w:fill="D9D9D9" w:themeFill="background1" w:themeFillShade="D9"/>
          </w:tcPr>
          <w:p w14:paraId="244F4564" w14:textId="77777777" w:rsidR="007545BD" w:rsidRPr="00C41EB8" w:rsidRDefault="007545BD" w:rsidP="00A73208">
            <w:pPr>
              <w:spacing w:before="0" w:after="0"/>
              <w:jc w:val="left"/>
              <w:rPr>
                <w:b/>
                <w:bCs/>
                <w:noProof/>
                <w:sz w:val="20"/>
              </w:rPr>
            </w:pPr>
            <w:r w:rsidRPr="00C41EB8">
              <w:rPr>
                <w:b/>
                <w:bCs/>
                <w:noProof/>
                <w:sz w:val="20"/>
              </w:rPr>
              <w:t>Jā</w:t>
            </w:r>
          </w:p>
        </w:tc>
        <w:tc>
          <w:tcPr>
            <w:tcW w:w="2410" w:type="dxa"/>
            <w:shd w:val="clear" w:color="auto" w:fill="D9D9D9" w:themeFill="background1" w:themeFillShade="D9"/>
          </w:tcPr>
          <w:p w14:paraId="1025D257" w14:textId="77777777" w:rsidR="007545BD" w:rsidRDefault="007545BD" w:rsidP="00A73208">
            <w:pPr>
              <w:spacing w:before="0" w:after="0"/>
              <w:jc w:val="left"/>
              <w:rPr>
                <w:noProof/>
                <w:sz w:val="20"/>
              </w:rPr>
            </w:pPr>
            <w:r w:rsidRPr="00C41EB8">
              <w:rPr>
                <w:noProof/>
                <w:sz w:val="20"/>
              </w:rPr>
              <w:t>3.kritērija izpilde:</w:t>
            </w:r>
          </w:p>
          <w:p w14:paraId="16031240" w14:textId="77777777" w:rsidR="007545BD" w:rsidRPr="00BB6316" w:rsidRDefault="007545BD" w:rsidP="00A73208">
            <w:pPr>
              <w:spacing w:before="0" w:after="0"/>
              <w:jc w:val="left"/>
              <w:rPr>
                <w:noProof/>
                <w:sz w:val="20"/>
              </w:rPr>
            </w:pPr>
            <w:r w:rsidRPr="00BB6316">
              <w:rPr>
                <w:noProof/>
                <w:sz w:val="20"/>
              </w:rPr>
              <w:t>Attiecībā uz notekūdeņu un ūdenapgādes sektoru (nozari):</w:t>
            </w:r>
          </w:p>
          <w:p w14:paraId="0EDFCF09" w14:textId="77777777" w:rsidR="007545BD" w:rsidRPr="00BB6316" w:rsidRDefault="009A507A" w:rsidP="00A73208">
            <w:pPr>
              <w:spacing w:before="0" w:after="0"/>
              <w:jc w:val="left"/>
              <w:rPr>
                <w:noProof/>
                <w:sz w:val="20"/>
              </w:rPr>
            </w:pPr>
            <w:hyperlink r:id="rId65">
              <w:r w:rsidR="007545BD" w:rsidRPr="00BB6316">
                <w:rPr>
                  <w:rStyle w:val="Hyperlink"/>
                  <w:noProof/>
                  <w:sz w:val="20"/>
                </w:rPr>
                <w:t>Notekūdeņu apsaimniekošanas investīciju plāns 2021.–2027.gadam</w:t>
              </w:r>
            </w:hyperlink>
          </w:p>
          <w:p w14:paraId="3B163F12" w14:textId="77777777" w:rsidR="007545BD" w:rsidRDefault="007545BD" w:rsidP="00A73208">
            <w:pPr>
              <w:spacing w:before="0" w:after="0"/>
              <w:jc w:val="left"/>
              <w:rPr>
                <w:noProof/>
                <w:sz w:val="20"/>
              </w:rPr>
            </w:pPr>
            <w:r w:rsidRPr="00BB6316">
              <w:rPr>
                <w:noProof/>
                <w:sz w:val="20"/>
              </w:rPr>
              <w:t xml:space="preserve"> un </w:t>
            </w:r>
            <w:hyperlink r:id="rId66">
              <w:r w:rsidRPr="00BB6316">
                <w:rPr>
                  <w:rStyle w:val="Hyperlink"/>
                  <w:noProof/>
                  <w:sz w:val="20"/>
                </w:rPr>
                <w:t>Ūdensapgādes investīciju plāns 2021-2027.gadam</w:t>
              </w:r>
            </w:hyperlink>
            <w:r w:rsidRPr="00BB6316">
              <w:rPr>
                <w:noProof/>
                <w:sz w:val="20"/>
              </w:rPr>
              <w:t>.</w:t>
            </w:r>
          </w:p>
          <w:p w14:paraId="5F7E7539" w14:textId="77777777" w:rsidR="007545BD" w:rsidRPr="00C41EB8" w:rsidRDefault="007545BD" w:rsidP="00A73208">
            <w:pPr>
              <w:spacing w:before="0" w:after="0"/>
              <w:jc w:val="left"/>
              <w:rPr>
                <w:noProof/>
                <w:sz w:val="20"/>
              </w:rPr>
            </w:pPr>
          </w:p>
          <w:p w14:paraId="1163E3D3" w14:textId="77777777" w:rsidR="007545BD" w:rsidRPr="00C41EB8" w:rsidRDefault="009A507A" w:rsidP="00A73208">
            <w:pPr>
              <w:spacing w:before="0" w:after="0"/>
              <w:jc w:val="left"/>
              <w:rPr>
                <w:noProof/>
                <w:sz w:val="20"/>
              </w:rPr>
            </w:pPr>
            <w:hyperlink r:id="rId67" w:history="1">
              <w:r w:rsidR="007545BD" w:rsidRPr="00B2300F">
                <w:rPr>
                  <w:rStyle w:val="Hyperlink"/>
                  <w:bCs/>
                  <w:noProof/>
                  <w:sz w:val="20"/>
                </w:rPr>
                <w:t>Ūdensapgādes investīciju plāns 2021-2027.gadam</w:t>
              </w:r>
            </w:hyperlink>
            <w:r w:rsidR="007545BD" w:rsidRPr="00B2300F">
              <w:rPr>
                <w:bCs/>
                <w:noProof/>
                <w:sz w:val="20"/>
              </w:rPr>
              <w:t>.</w:t>
            </w:r>
          </w:p>
          <w:p w14:paraId="4027E082" w14:textId="77777777" w:rsidR="007545BD" w:rsidRPr="00C41EB8" w:rsidRDefault="007545BD" w:rsidP="00A73208">
            <w:pPr>
              <w:spacing w:before="0" w:after="0"/>
              <w:jc w:val="left"/>
              <w:rPr>
                <w:noProof/>
                <w:sz w:val="20"/>
              </w:rPr>
            </w:pPr>
          </w:p>
        </w:tc>
        <w:tc>
          <w:tcPr>
            <w:tcW w:w="3686" w:type="dxa"/>
            <w:shd w:val="clear" w:color="auto" w:fill="D9D9D9" w:themeFill="background1" w:themeFillShade="D9"/>
          </w:tcPr>
          <w:p w14:paraId="54DCA04F" w14:textId="77777777" w:rsidR="007545BD" w:rsidRPr="00E937D8" w:rsidRDefault="007545BD" w:rsidP="00A73208">
            <w:pPr>
              <w:spacing w:before="0" w:after="0"/>
              <w:rPr>
                <w:rFonts w:eastAsia="Times New Roman"/>
                <w:noProof/>
                <w:sz w:val="20"/>
              </w:rPr>
            </w:pPr>
            <w:r w:rsidRPr="00E937D8">
              <w:rPr>
                <w:rFonts w:eastAsia="Times New Roman"/>
                <w:noProof/>
                <w:sz w:val="20"/>
              </w:rPr>
              <w:t>Notekūdeņu apsaimniekošanas un ūdensapgādes investīciju plāni aptiprināti un pieejami:</w:t>
            </w:r>
          </w:p>
          <w:p w14:paraId="2EFEE2AC" w14:textId="77777777" w:rsidR="007545BD" w:rsidRDefault="007545BD" w:rsidP="00A73208">
            <w:pPr>
              <w:spacing w:before="0" w:after="0"/>
              <w:rPr>
                <w:sz w:val="20"/>
              </w:rPr>
            </w:pPr>
            <w:r w:rsidRPr="0870950D">
              <w:rPr>
                <w:rFonts w:eastAsia="Times New Roman"/>
                <w:noProof/>
                <w:sz w:val="20"/>
              </w:rPr>
              <w:t xml:space="preserve"> </w:t>
            </w:r>
          </w:p>
          <w:p w14:paraId="034AB083" w14:textId="77777777" w:rsidR="007545BD" w:rsidRDefault="009A507A" w:rsidP="00A73208">
            <w:pPr>
              <w:spacing w:before="0" w:after="0"/>
              <w:rPr>
                <w:sz w:val="20"/>
              </w:rPr>
            </w:pPr>
            <w:hyperlink r:id="rId68">
              <w:r w:rsidR="007545BD" w:rsidRPr="0870950D">
                <w:rPr>
                  <w:rStyle w:val="Hyperlink"/>
                  <w:sz w:val="20"/>
                </w:rPr>
                <w:t>https://www.varam.gov.lv/lv/notekudenu-apsaimniekosanas-investiciju-plans-2021-2027-gadam</w:t>
              </w:r>
            </w:hyperlink>
          </w:p>
          <w:p w14:paraId="636244C4" w14:textId="77777777" w:rsidR="007545BD" w:rsidRDefault="007545BD" w:rsidP="00A73208">
            <w:pPr>
              <w:spacing w:before="0" w:after="0"/>
              <w:rPr>
                <w:color w:val="2B579A"/>
                <w:sz w:val="20"/>
              </w:rPr>
            </w:pPr>
            <w:r w:rsidRPr="0870950D">
              <w:rPr>
                <w:rFonts w:eastAsia="Times New Roman"/>
                <w:noProof/>
                <w:sz w:val="20"/>
              </w:rPr>
              <w:t xml:space="preserve"> </w:t>
            </w:r>
            <w:hyperlink r:id="rId69">
              <w:r w:rsidRPr="0870950D">
                <w:rPr>
                  <w:rStyle w:val="Hyperlink"/>
                  <w:sz w:val="20"/>
                </w:rPr>
                <w:t>https://www.varam.gov.lv/lv/udensapgades-investiciju-plans-2021-2027-gadam</w:t>
              </w:r>
            </w:hyperlink>
          </w:p>
          <w:p w14:paraId="4BF4EF5E" w14:textId="77777777" w:rsidR="007545BD" w:rsidRDefault="007545BD" w:rsidP="00A73208">
            <w:pPr>
              <w:spacing w:before="0" w:after="0"/>
              <w:rPr>
                <w:rFonts w:eastAsia="Times New Roman"/>
                <w:noProof/>
                <w:sz w:val="20"/>
              </w:rPr>
            </w:pPr>
          </w:p>
          <w:p w14:paraId="0E8FC3AA" w14:textId="77777777" w:rsidR="007545BD" w:rsidRPr="00E937D8" w:rsidRDefault="007545BD" w:rsidP="00A73208">
            <w:pPr>
              <w:spacing w:before="0" w:after="0"/>
              <w:rPr>
                <w:rFonts w:eastAsia="Times New Roman"/>
                <w:noProof/>
                <w:sz w:val="20"/>
              </w:rPr>
            </w:pPr>
            <w:r w:rsidRPr="00E937D8">
              <w:rPr>
                <w:rFonts w:eastAsia="Times New Roman"/>
                <w:noProof/>
                <w:sz w:val="20"/>
              </w:rPr>
              <w:t xml:space="preserve">Notekūdeņu apsaimniekošanas investīciju plāna 4.5.sadaļā “Ieguldījumu novērtējums kanalizācijas tīklu rekonstrukcijā esošās aglomerācijas robežās” kā arī Ūdensapgādes investīciju plāna 2.8.sadaļā “Teritorijas, kurās ir nepieciešamas investīcijas ūdensapgādes sistēmas tīklu rekonstrukcijai” ir iekļauta informācija par </w:t>
            </w:r>
            <w:r w:rsidRPr="00E937D8">
              <w:rPr>
                <w:rFonts w:eastAsia="Times New Roman"/>
                <w:noProof/>
                <w:sz w:val="20"/>
                <w:u w:val="single"/>
              </w:rPr>
              <w:t>esošās ūdenssaimniecības infrastruktūras, tostarp tīklu, atjaunošanai nepieciešamo investīciju aprēķinu, kas balstīts uz to vecumu un nolietojuma plāniem</w:t>
            </w:r>
            <w:r w:rsidRPr="00E937D8">
              <w:rPr>
                <w:rFonts w:eastAsia="Times New Roman"/>
                <w:noProof/>
                <w:sz w:val="20"/>
              </w:rPr>
              <w:t xml:space="preserve">. </w:t>
            </w:r>
          </w:p>
          <w:p w14:paraId="3C52146B" w14:textId="77777777" w:rsidR="007545BD" w:rsidRPr="00E937D8" w:rsidRDefault="007545BD" w:rsidP="00A73208">
            <w:pPr>
              <w:spacing w:before="0" w:after="0"/>
              <w:rPr>
                <w:rFonts w:eastAsia="Times New Roman"/>
                <w:noProof/>
                <w:sz w:val="20"/>
              </w:rPr>
            </w:pPr>
          </w:p>
          <w:p w14:paraId="33E62789" w14:textId="77777777" w:rsidR="007545BD" w:rsidRPr="00E937D8" w:rsidRDefault="007545BD" w:rsidP="00A73208">
            <w:pPr>
              <w:spacing w:before="0" w:after="0"/>
              <w:rPr>
                <w:rFonts w:eastAsia="Times New Roman"/>
                <w:iCs/>
                <w:noProof/>
                <w:sz w:val="20"/>
              </w:rPr>
            </w:pPr>
            <w:r w:rsidRPr="00E937D8">
              <w:rPr>
                <w:noProof/>
                <w:sz w:val="20"/>
              </w:rPr>
              <w:t xml:space="preserve">Attiecībā uz dzeramo ūdeni, arī informatīvais ziņojums  par dzeramā ūdens direktīvas (DWD) 98/83/EK pārstrādāšanas pašreizējā stāvokļa gaitu, jo īpaši attiecībā uz pārskatītajiem kvalitātes un nekaitīguma rādītājiem, sniedz papildu informāciju sadaļā “Pašreizējā situācija un iespējamie pasākumi” par dzeramā ūdens tīklu materiāliem. </w:t>
            </w:r>
          </w:p>
          <w:p w14:paraId="1F87845E" w14:textId="77777777" w:rsidR="007545BD" w:rsidRPr="00C41EB8" w:rsidRDefault="007545BD" w:rsidP="00A73208">
            <w:pPr>
              <w:spacing w:before="0" w:after="0"/>
              <w:rPr>
                <w:rFonts w:eastAsia="Times New Roman"/>
                <w:iCs/>
                <w:noProof/>
                <w:sz w:val="20"/>
              </w:rPr>
            </w:pPr>
          </w:p>
        </w:tc>
      </w:tr>
      <w:tr w:rsidR="007545BD" w:rsidRPr="00C41EB8" w14:paraId="0BE485BB" w14:textId="77777777" w:rsidTr="00A73208">
        <w:tc>
          <w:tcPr>
            <w:tcW w:w="562" w:type="dxa"/>
            <w:shd w:val="clear" w:color="auto" w:fill="D9D9D9" w:themeFill="background1" w:themeFillShade="D9"/>
          </w:tcPr>
          <w:p w14:paraId="3C339F63"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D9D9D9" w:themeFill="background1" w:themeFillShade="D9"/>
          </w:tcPr>
          <w:p w14:paraId="23766458" w14:textId="77777777" w:rsidR="007545BD" w:rsidRPr="00C41EB8" w:rsidRDefault="007545BD" w:rsidP="00A73208">
            <w:pPr>
              <w:spacing w:before="0" w:after="0"/>
              <w:jc w:val="left"/>
              <w:rPr>
                <w:noProof/>
                <w:sz w:val="20"/>
              </w:rPr>
            </w:pPr>
          </w:p>
        </w:tc>
        <w:tc>
          <w:tcPr>
            <w:tcW w:w="851" w:type="dxa"/>
            <w:vMerge/>
            <w:shd w:val="clear" w:color="auto" w:fill="D9D9D9" w:themeFill="background1" w:themeFillShade="D9"/>
          </w:tcPr>
          <w:p w14:paraId="0FF45379" w14:textId="77777777" w:rsidR="007545BD" w:rsidRPr="00C41EB8" w:rsidRDefault="007545BD" w:rsidP="00A73208">
            <w:pPr>
              <w:spacing w:before="0" w:after="0"/>
              <w:jc w:val="left"/>
              <w:rPr>
                <w:rFonts w:eastAsia="Times New Roman"/>
                <w:iCs/>
                <w:noProof/>
                <w:sz w:val="20"/>
              </w:rPr>
            </w:pPr>
          </w:p>
        </w:tc>
        <w:tc>
          <w:tcPr>
            <w:tcW w:w="1134" w:type="dxa"/>
            <w:vMerge/>
            <w:shd w:val="clear" w:color="auto" w:fill="D9D9D9" w:themeFill="background1" w:themeFillShade="D9"/>
          </w:tcPr>
          <w:p w14:paraId="2B32F1B8" w14:textId="77777777" w:rsidR="007545BD" w:rsidRPr="00C41EB8" w:rsidRDefault="007545BD" w:rsidP="00A73208">
            <w:pPr>
              <w:spacing w:before="0" w:after="0"/>
              <w:jc w:val="left"/>
              <w:rPr>
                <w:rFonts w:eastAsia="Times New Roman"/>
                <w:iCs/>
                <w:noProof/>
                <w:sz w:val="20"/>
              </w:rPr>
            </w:pPr>
          </w:p>
        </w:tc>
        <w:tc>
          <w:tcPr>
            <w:tcW w:w="850" w:type="dxa"/>
            <w:vMerge/>
            <w:shd w:val="clear" w:color="auto" w:fill="D9D9D9" w:themeFill="background1" w:themeFillShade="D9"/>
          </w:tcPr>
          <w:p w14:paraId="5C6FF27D" w14:textId="77777777" w:rsidR="007545BD" w:rsidRPr="00C41EB8" w:rsidRDefault="007545BD" w:rsidP="00A73208">
            <w:pPr>
              <w:spacing w:before="0" w:after="0"/>
              <w:jc w:val="left"/>
              <w:rPr>
                <w:rFonts w:eastAsia="Times New Roman"/>
                <w:iCs/>
                <w:noProof/>
                <w:sz w:val="20"/>
              </w:rPr>
            </w:pPr>
          </w:p>
        </w:tc>
        <w:tc>
          <w:tcPr>
            <w:tcW w:w="2410" w:type="dxa"/>
            <w:shd w:val="clear" w:color="auto" w:fill="D9D9D9" w:themeFill="background1" w:themeFillShade="D9"/>
          </w:tcPr>
          <w:p w14:paraId="4DB68CA9" w14:textId="77777777" w:rsidR="007545BD" w:rsidRPr="00C41EB8" w:rsidRDefault="007545BD" w:rsidP="00A73208">
            <w:pPr>
              <w:spacing w:before="0" w:after="0"/>
              <w:jc w:val="left"/>
              <w:rPr>
                <w:sz w:val="20"/>
              </w:rPr>
            </w:pPr>
            <w:r w:rsidRPr="00C41EB8">
              <w:rPr>
                <w:rFonts w:eastAsia="Times New Roman"/>
                <w:sz w:val="20"/>
              </w:rPr>
              <w:t>4.norādi par iespējamiem publiskā finansējuma avotiem, ja nepieciešams papildināt lietotājiem piemērotās maksas.</w:t>
            </w:r>
          </w:p>
        </w:tc>
        <w:tc>
          <w:tcPr>
            <w:tcW w:w="1134" w:type="dxa"/>
            <w:shd w:val="clear" w:color="auto" w:fill="D9D9D9" w:themeFill="background1" w:themeFillShade="D9"/>
          </w:tcPr>
          <w:p w14:paraId="6F3F14C5" w14:textId="77777777" w:rsidR="007545BD" w:rsidRPr="00C41EB8" w:rsidRDefault="007545BD" w:rsidP="00A73208">
            <w:pPr>
              <w:spacing w:before="0" w:after="0"/>
              <w:jc w:val="left"/>
              <w:rPr>
                <w:noProof/>
                <w:sz w:val="20"/>
              </w:rPr>
            </w:pPr>
            <w:r w:rsidRPr="00C41EB8">
              <w:rPr>
                <w:b/>
                <w:bCs/>
                <w:noProof/>
                <w:sz w:val="20"/>
              </w:rPr>
              <w:t>Jā</w:t>
            </w:r>
          </w:p>
        </w:tc>
        <w:tc>
          <w:tcPr>
            <w:tcW w:w="2410" w:type="dxa"/>
            <w:shd w:val="clear" w:color="auto" w:fill="D9D9D9" w:themeFill="background1" w:themeFillShade="D9"/>
          </w:tcPr>
          <w:p w14:paraId="620CC08D" w14:textId="77777777" w:rsidR="007545BD" w:rsidRPr="00C41EB8" w:rsidRDefault="007545BD" w:rsidP="00A73208">
            <w:pPr>
              <w:spacing w:before="0" w:after="0"/>
              <w:jc w:val="left"/>
              <w:rPr>
                <w:noProof/>
                <w:sz w:val="20"/>
              </w:rPr>
            </w:pPr>
            <w:r w:rsidRPr="0870950D">
              <w:rPr>
                <w:noProof/>
                <w:sz w:val="20"/>
              </w:rPr>
              <w:t>4.kritērija izpilde</w:t>
            </w:r>
          </w:p>
          <w:p w14:paraId="1E43CC26" w14:textId="77777777" w:rsidR="007545BD" w:rsidRPr="00E937D8" w:rsidRDefault="007545BD" w:rsidP="00A73208">
            <w:pPr>
              <w:spacing w:before="0" w:after="0"/>
              <w:jc w:val="left"/>
              <w:rPr>
                <w:noProof/>
                <w:sz w:val="20"/>
              </w:rPr>
            </w:pPr>
            <w:r w:rsidRPr="00E937D8">
              <w:rPr>
                <w:noProof/>
                <w:sz w:val="20"/>
              </w:rPr>
              <w:t>Attiecībā uz notekūdeņu un ūdenapgādes sektoru (nozari):</w:t>
            </w:r>
          </w:p>
          <w:p w14:paraId="29FB8900" w14:textId="77777777" w:rsidR="007545BD" w:rsidRDefault="007545BD" w:rsidP="00A73208">
            <w:pPr>
              <w:spacing w:before="0" w:after="0"/>
              <w:jc w:val="left"/>
              <w:rPr>
                <w:noProof/>
                <w:color w:val="538135" w:themeColor="accent6" w:themeShade="BF"/>
                <w:sz w:val="20"/>
              </w:rPr>
            </w:pPr>
          </w:p>
          <w:p w14:paraId="31C38B82" w14:textId="77777777" w:rsidR="007545BD" w:rsidRPr="00C41EB8" w:rsidRDefault="007545BD" w:rsidP="00A73208">
            <w:pPr>
              <w:spacing w:before="0" w:after="0"/>
              <w:jc w:val="left"/>
              <w:rPr>
                <w:noProof/>
                <w:sz w:val="20"/>
              </w:rPr>
            </w:pPr>
            <w:r w:rsidRPr="0870950D">
              <w:rPr>
                <w:noProof/>
                <w:sz w:val="20"/>
              </w:rPr>
              <w:t xml:space="preserve"> </w:t>
            </w:r>
            <w:hyperlink r:id="rId70">
              <w:r w:rsidRPr="0870950D">
                <w:rPr>
                  <w:rStyle w:val="Hyperlink"/>
                  <w:noProof/>
                  <w:sz w:val="20"/>
                </w:rPr>
                <w:t>Notekūdeņu apsaimniekošanas investīciju plāns 2021.–2027.gadam</w:t>
              </w:r>
            </w:hyperlink>
          </w:p>
          <w:p w14:paraId="35CBD125" w14:textId="77777777" w:rsidR="007545BD" w:rsidRPr="00C41EB8" w:rsidRDefault="007545BD" w:rsidP="00A73208">
            <w:pPr>
              <w:spacing w:before="0" w:after="0"/>
              <w:jc w:val="left"/>
              <w:rPr>
                <w:noProof/>
                <w:sz w:val="20"/>
              </w:rPr>
            </w:pPr>
            <w:r w:rsidRPr="0870950D">
              <w:rPr>
                <w:noProof/>
                <w:sz w:val="20"/>
              </w:rPr>
              <w:t xml:space="preserve"> un </w:t>
            </w:r>
            <w:hyperlink r:id="rId71">
              <w:r w:rsidRPr="0870950D">
                <w:rPr>
                  <w:rStyle w:val="Hyperlink"/>
                  <w:sz w:val="20"/>
                </w:rPr>
                <w:t>Ūdensapgādes investīciju plāns 2021-2027.gadam</w:t>
              </w:r>
            </w:hyperlink>
            <w:r w:rsidRPr="0870950D">
              <w:rPr>
                <w:sz w:val="20"/>
              </w:rPr>
              <w:t>.</w:t>
            </w:r>
          </w:p>
          <w:p w14:paraId="672346E4" w14:textId="77777777" w:rsidR="007545BD" w:rsidRPr="00C41EB8" w:rsidRDefault="007545BD" w:rsidP="00A73208">
            <w:pPr>
              <w:spacing w:before="0" w:after="0"/>
              <w:jc w:val="left"/>
              <w:rPr>
                <w:noProof/>
                <w:sz w:val="20"/>
              </w:rPr>
            </w:pPr>
          </w:p>
          <w:p w14:paraId="4F63797C" w14:textId="77777777" w:rsidR="007545BD" w:rsidRPr="00C41EB8" w:rsidRDefault="007545BD" w:rsidP="00A73208">
            <w:pPr>
              <w:spacing w:before="0" w:after="0"/>
              <w:jc w:val="left"/>
              <w:rPr>
                <w:noProof/>
                <w:sz w:val="20"/>
              </w:rPr>
            </w:pPr>
          </w:p>
        </w:tc>
        <w:tc>
          <w:tcPr>
            <w:tcW w:w="3686" w:type="dxa"/>
            <w:shd w:val="clear" w:color="auto" w:fill="D9D9D9" w:themeFill="background1" w:themeFillShade="D9"/>
          </w:tcPr>
          <w:p w14:paraId="36387006" w14:textId="77777777" w:rsidR="007545BD" w:rsidRPr="00E937D8" w:rsidRDefault="007545BD" w:rsidP="00A73208">
            <w:pPr>
              <w:spacing w:before="0" w:after="0"/>
              <w:rPr>
                <w:rFonts w:eastAsia="Times New Roman"/>
                <w:noProof/>
                <w:sz w:val="20"/>
              </w:rPr>
            </w:pPr>
            <w:r w:rsidRPr="00E937D8">
              <w:rPr>
                <w:rFonts w:eastAsia="Times New Roman"/>
                <w:noProof/>
                <w:sz w:val="20"/>
              </w:rPr>
              <w:t>Notekūdeņu apsaimniekošanas un ūdensapgādes investīciju plāni aptiprināti un pieejami:</w:t>
            </w:r>
          </w:p>
          <w:p w14:paraId="2E2E7830" w14:textId="77777777" w:rsidR="007545BD" w:rsidRPr="00E17EF9" w:rsidRDefault="007545BD" w:rsidP="00A73208">
            <w:pPr>
              <w:spacing w:before="0" w:after="0"/>
              <w:rPr>
                <w:color w:val="FF0000"/>
                <w:sz w:val="20"/>
              </w:rPr>
            </w:pPr>
            <w:r w:rsidRPr="00E17EF9">
              <w:rPr>
                <w:rFonts w:eastAsia="Times New Roman"/>
                <w:noProof/>
                <w:color w:val="FF0000"/>
                <w:sz w:val="20"/>
              </w:rPr>
              <w:t xml:space="preserve"> </w:t>
            </w:r>
          </w:p>
          <w:p w14:paraId="47C59364" w14:textId="77777777" w:rsidR="007545BD" w:rsidRDefault="009A507A" w:rsidP="00A73208">
            <w:pPr>
              <w:spacing w:before="0" w:after="0"/>
              <w:rPr>
                <w:sz w:val="20"/>
              </w:rPr>
            </w:pPr>
            <w:hyperlink r:id="rId72">
              <w:r w:rsidR="007545BD" w:rsidRPr="0870950D">
                <w:rPr>
                  <w:rStyle w:val="Hyperlink"/>
                  <w:sz w:val="20"/>
                </w:rPr>
                <w:t>https://www.varam.gov.lv/lv/notekudenu-apsaimniekosanas-investiciju-plans-2021-2027-gadam</w:t>
              </w:r>
            </w:hyperlink>
          </w:p>
          <w:p w14:paraId="01B447E3" w14:textId="77777777" w:rsidR="007545BD" w:rsidRDefault="007545BD" w:rsidP="00A73208">
            <w:pPr>
              <w:spacing w:before="0" w:after="0"/>
              <w:rPr>
                <w:color w:val="2B579A"/>
                <w:sz w:val="20"/>
              </w:rPr>
            </w:pPr>
            <w:r w:rsidRPr="0870950D">
              <w:rPr>
                <w:rFonts w:eastAsia="Times New Roman"/>
                <w:noProof/>
                <w:sz w:val="20"/>
              </w:rPr>
              <w:t xml:space="preserve"> </w:t>
            </w:r>
            <w:hyperlink r:id="rId73">
              <w:r w:rsidRPr="0870950D">
                <w:rPr>
                  <w:rStyle w:val="Hyperlink"/>
                  <w:sz w:val="20"/>
                </w:rPr>
                <w:t>https://www.varam.gov.lv/lv/udensapgades-investiciju-plans-2021-2027-gadam</w:t>
              </w:r>
            </w:hyperlink>
          </w:p>
          <w:p w14:paraId="7C3679CC" w14:textId="77777777" w:rsidR="007545BD" w:rsidRDefault="007545BD" w:rsidP="00A73208">
            <w:pPr>
              <w:spacing w:before="0" w:after="0"/>
              <w:rPr>
                <w:rFonts w:eastAsia="Times New Roman"/>
                <w:noProof/>
                <w:sz w:val="20"/>
              </w:rPr>
            </w:pPr>
          </w:p>
          <w:p w14:paraId="50EB7901" w14:textId="77777777" w:rsidR="007545BD" w:rsidRPr="00E937D8" w:rsidRDefault="007545BD" w:rsidP="00A73208">
            <w:pPr>
              <w:spacing w:before="0" w:after="0"/>
              <w:rPr>
                <w:rFonts w:eastAsia="Times New Roman"/>
                <w:noProof/>
                <w:sz w:val="20"/>
              </w:rPr>
            </w:pPr>
            <w:r w:rsidRPr="00E937D8">
              <w:rPr>
                <w:rFonts w:eastAsia="Times New Roman"/>
                <w:noProof/>
                <w:sz w:val="20"/>
              </w:rPr>
              <w:t>Informācija par iespējamiem publiskā finansējuma avotiem (ja nepieciešams papildus lietotāju maksai) ir norādīta:</w:t>
            </w:r>
          </w:p>
          <w:p w14:paraId="748DE983" w14:textId="77777777" w:rsidR="007545BD" w:rsidRPr="00E937D8" w:rsidRDefault="007545BD" w:rsidP="00A73208">
            <w:pPr>
              <w:spacing w:before="0" w:after="0"/>
              <w:rPr>
                <w:rFonts w:eastAsiaTheme="minorEastAsia"/>
                <w:sz w:val="20"/>
              </w:rPr>
            </w:pPr>
            <w:r w:rsidRPr="00E937D8">
              <w:rPr>
                <w:rFonts w:eastAsia="Times New Roman"/>
                <w:noProof/>
                <w:sz w:val="20"/>
              </w:rPr>
              <w:t xml:space="preserve">-Notekūdeņu apsaimniekošanas investīciju plāna 6.nodaļā “Investīciju ieguldījumu novērtēšana un prioritizācija”, īpaši 6.4.sadaļā “Ieguldījumu veidi infrastruktūras izbūves finansēšanā”, </w:t>
            </w:r>
          </w:p>
          <w:p w14:paraId="034431BE" w14:textId="77777777" w:rsidR="007545BD" w:rsidRPr="00E937D8" w:rsidRDefault="007545BD" w:rsidP="00A73208">
            <w:pPr>
              <w:spacing w:before="0" w:after="0"/>
              <w:rPr>
                <w:rFonts w:eastAsiaTheme="minorEastAsia"/>
                <w:sz w:val="20"/>
              </w:rPr>
            </w:pPr>
            <w:r w:rsidRPr="00E937D8">
              <w:rPr>
                <w:rFonts w:eastAsia="Times New Roman"/>
                <w:noProof/>
                <w:sz w:val="20"/>
              </w:rPr>
              <w:t>- Ūdensapgādes investīciju ziņojuma 3.1.sadaļā “Iespējamie ūdenssaimniecības pakalpojumu sniedzēju finanšu avoti”.</w:t>
            </w:r>
          </w:p>
          <w:p w14:paraId="6A34EFE8" w14:textId="77777777" w:rsidR="007545BD" w:rsidRPr="00C41EB8" w:rsidRDefault="007545BD" w:rsidP="00A73208">
            <w:pPr>
              <w:spacing w:before="0" w:after="0"/>
              <w:rPr>
                <w:rFonts w:eastAsia="Times New Roman"/>
                <w:iCs/>
                <w:noProof/>
                <w:sz w:val="20"/>
              </w:rPr>
            </w:pPr>
            <w:r w:rsidRPr="00E937D8">
              <w:rPr>
                <w:rFonts w:eastAsia="Times New Roman"/>
                <w:iCs/>
                <w:noProof/>
                <w:sz w:val="20"/>
              </w:rPr>
              <w:t>Tāpat saistoša informācija sniegta arī citās sadaļās.</w:t>
            </w:r>
          </w:p>
        </w:tc>
      </w:tr>
      <w:tr w:rsidR="007545BD" w:rsidRPr="00C41EB8" w14:paraId="6FB7B9ED" w14:textId="77777777" w:rsidTr="00A73208">
        <w:tc>
          <w:tcPr>
            <w:tcW w:w="562" w:type="dxa"/>
            <w:shd w:val="clear" w:color="auto" w:fill="auto"/>
          </w:tcPr>
          <w:p w14:paraId="58EB175F"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shd w:val="clear" w:color="auto" w:fill="auto"/>
          </w:tcPr>
          <w:p w14:paraId="4DEC7971" w14:textId="77777777" w:rsidR="007545BD" w:rsidRPr="00C41EB8" w:rsidRDefault="007545BD" w:rsidP="00A73208">
            <w:pPr>
              <w:spacing w:before="0" w:after="0"/>
              <w:jc w:val="left"/>
              <w:rPr>
                <w:noProof/>
                <w:sz w:val="20"/>
              </w:rPr>
            </w:pPr>
            <w:r w:rsidRPr="00C41EB8">
              <w:rPr>
                <w:noProof/>
                <w:sz w:val="20"/>
              </w:rPr>
              <w:t>Tematiskais priekšnosacījums Nr.7</w:t>
            </w:r>
          </w:p>
          <w:p w14:paraId="03FBCD67" w14:textId="77777777" w:rsidR="007545BD" w:rsidRPr="00C41EB8" w:rsidRDefault="007545BD" w:rsidP="00A73208">
            <w:pPr>
              <w:spacing w:before="0" w:after="0"/>
              <w:jc w:val="left"/>
              <w:rPr>
                <w:noProof/>
                <w:sz w:val="20"/>
              </w:rPr>
            </w:pPr>
            <w:r w:rsidRPr="00C41EB8">
              <w:rPr>
                <w:noProof/>
                <w:sz w:val="20"/>
              </w:rPr>
              <w:t xml:space="preserve">Atjaunināts </w:t>
            </w:r>
            <w:r w:rsidRPr="00C41EB8">
              <w:rPr>
                <w:b/>
                <w:bCs/>
                <w:noProof/>
                <w:sz w:val="20"/>
              </w:rPr>
              <w:t>atkritumu apsaimniekošanas</w:t>
            </w:r>
            <w:r w:rsidRPr="00C41EB8">
              <w:rPr>
                <w:noProof/>
                <w:sz w:val="20"/>
              </w:rPr>
              <w:t xml:space="preserve"> plāns</w:t>
            </w:r>
          </w:p>
        </w:tc>
        <w:tc>
          <w:tcPr>
            <w:tcW w:w="851" w:type="dxa"/>
            <w:shd w:val="clear" w:color="auto" w:fill="auto"/>
          </w:tcPr>
          <w:p w14:paraId="6E03AABA"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KF</w:t>
            </w:r>
          </w:p>
        </w:tc>
        <w:tc>
          <w:tcPr>
            <w:tcW w:w="1134" w:type="dxa"/>
            <w:shd w:val="clear" w:color="auto" w:fill="auto"/>
          </w:tcPr>
          <w:p w14:paraId="1DB99842"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2.2.2.SAM</w:t>
            </w:r>
          </w:p>
        </w:tc>
        <w:tc>
          <w:tcPr>
            <w:tcW w:w="850" w:type="dxa"/>
            <w:shd w:val="clear" w:color="auto" w:fill="auto"/>
          </w:tcPr>
          <w:p w14:paraId="7412EB06" w14:textId="77777777" w:rsidR="007545BD" w:rsidRPr="00865717" w:rsidRDefault="007545BD" w:rsidP="00A73208">
            <w:pPr>
              <w:spacing w:before="0" w:after="0"/>
              <w:jc w:val="left"/>
              <w:rPr>
                <w:rFonts w:eastAsia="Times New Roman"/>
                <w:b/>
                <w:bCs/>
                <w:iCs/>
                <w:noProof/>
                <w:sz w:val="20"/>
              </w:rPr>
            </w:pPr>
            <w:r w:rsidRPr="00865717">
              <w:rPr>
                <w:rFonts w:eastAsia="Times New Roman"/>
                <w:b/>
                <w:bCs/>
                <w:iCs/>
                <w:noProof/>
                <w:sz w:val="20"/>
              </w:rPr>
              <w:t>Jā</w:t>
            </w:r>
          </w:p>
        </w:tc>
        <w:tc>
          <w:tcPr>
            <w:tcW w:w="2410" w:type="dxa"/>
            <w:shd w:val="clear" w:color="auto" w:fill="auto"/>
          </w:tcPr>
          <w:p w14:paraId="14CF3739" w14:textId="77777777" w:rsidR="007545BD" w:rsidRPr="00C41EB8" w:rsidRDefault="007545BD" w:rsidP="00A73208">
            <w:pPr>
              <w:spacing w:before="0" w:after="0"/>
              <w:jc w:val="left"/>
              <w:rPr>
                <w:sz w:val="20"/>
              </w:rPr>
            </w:pPr>
            <w:r w:rsidRPr="00C41EB8">
              <w:rPr>
                <w:sz w:val="20"/>
              </w:rPr>
              <w:t xml:space="preserve">Nodrošināt, ka atkritumu apsaimniekošanas plāns (-i) ir spēkā saskaņā ar Direktīvas 2008/98/EK 28.pnatu, kurā grozījumi izdarīti ar Direktīvu ES 2018/851/ES un attiecas uz visu dalībvalsts teritoriju un ietver: </w:t>
            </w:r>
          </w:p>
          <w:p w14:paraId="6C864ADD" w14:textId="77777777" w:rsidR="007545BD" w:rsidRPr="00C41EB8" w:rsidRDefault="007545BD" w:rsidP="00A73208">
            <w:pPr>
              <w:spacing w:before="0" w:after="0"/>
              <w:jc w:val="left"/>
              <w:rPr>
                <w:sz w:val="20"/>
              </w:rPr>
            </w:pPr>
            <w:r w:rsidRPr="00C41EB8">
              <w:rPr>
                <w:sz w:val="20"/>
              </w:rPr>
              <w:t>1.Analīze par pašreizējo atkritumu apsaimniekošanas situāciju attiecīgajā ģeogrāfiskajā vienībā, tostarp radīto atkritumu veidu, daudzumu un avotu, kā arī to turpmākās attīstības novērtējumu, ņemot vērā izstrādātajā (-ās) atkritumu rašanās novēršanas programmā (-ās) paredzēto pasākumu paredzamo ietekmi saskaņā ar Direktīvas 2008/98/EK 29.pantu, kurā grozījumi izdarīti ar Direktīvu 2018/xx/ES.</w:t>
            </w:r>
          </w:p>
        </w:tc>
        <w:tc>
          <w:tcPr>
            <w:tcW w:w="1134" w:type="dxa"/>
            <w:shd w:val="clear" w:color="auto" w:fill="auto"/>
          </w:tcPr>
          <w:p w14:paraId="76F2F339" w14:textId="77777777" w:rsidR="007545BD" w:rsidRPr="00865717" w:rsidRDefault="007545BD" w:rsidP="00A73208">
            <w:pPr>
              <w:spacing w:before="0" w:after="0"/>
              <w:jc w:val="left"/>
              <w:rPr>
                <w:b/>
                <w:bCs/>
                <w:noProof/>
                <w:sz w:val="20"/>
              </w:rPr>
            </w:pPr>
            <w:r w:rsidRPr="00865717">
              <w:rPr>
                <w:b/>
                <w:bCs/>
                <w:noProof/>
                <w:sz w:val="20"/>
              </w:rPr>
              <w:t>Jā</w:t>
            </w:r>
          </w:p>
        </w:tc>
        <w:tc>
          <w:tcPr>
            <w:tcW w:w="2410" w:type="dxa"/>
            <w:shd w:val="clear" w:color="auto" w:fill="auto"/>
          </w:tcPr>
          <w:p w14:paraId="6169C41F" w14:textId="77777777" w:rsidR="007545BD" w:rsidRPr="00C41EB8" w:rsidRDefault="007545BD" w:rsidP="00A73208">
            <w:pPr>
              <w:spacing w:before="0" w:after="0"/>
              <w:jc w:val="left"/>
              <w:rPr>
                <w:noProof/>
                <w:sz w:val="20"/>
              </w:rPr>
            </w:pPr>
            <w:r w:rsidRPr="00C41EB8">
              <w:rPr>
                <w:noProof/>
                <w:sz w:val="20"/>
              </w:rPr>
              <w:t>1-4.kritērija izpilde:</w:t>
            </w:r>
          </w:p>
          <w:p w14:paraId="3195C130" w14:textId="77777777" w:rsidR="007545BD" w:rsidRPr="00C41EB8" w:rsidRDefault="009A507A" w:rsidP="00A73208">
            <w:pPr>
              <w:spacing w:before="0" w:after="0"/>
              <w:jc w:val="left"/>
              <w:rPr>
                <w:noProof/>
                <w:sz w:val="20"/>
              </w:rPr>
            </w:pPr>
            <w:hyperlink r:id="rId74" w:history="1">
              <w:r w:rsidR="007545BD" w:rsidRPr="00C41EB8">
                <w:rPr>
                  <w:rStyle w:val="Hyperlink"/>
                  <w:noProof/>
                  <w:sz w:val="20"/>
                </w:rPr>
                <w:t>Atkritumu apsaimniekošanas valsts plāns 2021.-2028.gadam</w:t>
              </w:r>
            </w:hyperlink>
          </w:p>
          <w:p w14:paraId="592125CD" w14:textId="77777777" w:rsidR="007545BD" w:rsidRPr="00C41EB8" w:rsidRDefault="007545BD" w:rsidP="00A73208">
            <w:pPr>
              <w:spacing w:before="0" w:after="0"/>
              <w:jc w:val="left"/>
              <w:rPr>
                <w:noProof/>
                <w:sz w:val="20"/>
              </w:rPr>
            </w:pPr>
          </w:p>
          <w:p w14:paraId="67B421BB" w14:textId="77777777" w:rsidR="007545BD" w:rsidRPr="00C41EB8" w:rsidRDefault="007545BD" w:rsidP="00A73208">
            <w:pPr>
              <w:spacing w:before="0" w:after="0"/>
              <w:jc w:val="left"/>
              <w:rPr>
                <w:noProof/>
                <w:sz w:val="20"/>
              </w:rPr>
            </w:pPr>
            <w:r w:rsidRPr="00C41EB8">
              <w:rPr>
                <w:noProof/>
                <w:sz w:val="20"/>
              </w:rPr>
              <w:t>Pētījums “</w:t>
            </w:r>
            <w:hyperlink r:id="rId75" w:history="1">
              <w:r w:rsidRPr="009F27FD">
                <w:rPr>
                  <w:rStyle w:val="Hyperlink"/>
                  <w:noProof/>
                  <w:sz w:val="20"/>
                </w:rPr>
                <w:t>Investīciju vajadzību izvērtējums Atkritumu apsaimniekošanas valsts plāna 2021. - 2028. gadam izstrādei</w:t>
              </w:r>
            </w:hyperlink>
            <w:r w:rsidRPr="00C41EB8">
              <w:rPr>
                <w:noProof/>
                <w:sz w:val="20"/>
              </w:rPr>
              <w:t>”</w:t>
            </w:r>
          </w:p>
          <w:p w14:paraId="047EF13B" w14:textId="77777777" w:rsidR="007545BD" w:rsidRPr="00C41EB8" w:rsidRDefault="007545BD" w:rsidP="00A73208">
            <w:pPr>
              <w:spacing w:before="0" w:after="0"/>
              <w:jc w:val="left"/>
              <w:rPr>
                <w:noProof/>
                <w:sz w:val="20"/>
              </w:rPr>
            </w:pPr>
          </w:p>
        </w:tc>
        <w:tc>
          <w:tcPr>
            <w:tcW w:w="3686" w:type="dxa"/>
            <w:shd w:val="clear" w:color="auto" w:fill="auto"/>
          </w:tcPr>
          <w:p w14:paraId="14F9264C" w14:textId="77777777" w:rsidR="007545BD" w:rsidRDefault="007545BD" w:rsidP="00A73208">
            <w:pPr>
              <w:spacing w:before="0" w:after="0"/>
              <w:rPr>
                <w:rFonts w:eastAsia="Times New Roman"/>
                <w:iCs/>
                <w:noProof/>
                <w:sz w:val="20"/>
              </w:rPr>
            </w:pPr>
            <w:r w:rsidRPr="00C41EB8">
              <w:rPr>
                <w:rFonts w:eastAsia="Times New Roman"/>
                <w:iCs/>
                <w:noProof/>
                <w:sz w:val="20"/>
              </w:rPr>
              <w:t>Dokumenti izstrādāti un apstip</w:t>
            </w:r>
            <w:r>
              <w:rPr>
                <w:rFonts w:eastAsia="Times New Roman"/>
                <w:iCs/>
                <w:noProof/>
                <w:sz w:val="20"/>
              </w:rPr>
              <w:t>r</w:t>
            </w:r>
            <w:r w:rsidRPr="00C41EB8">
              <w:rPr>
                <w:rFonts w:eastAsia="Times New Roman"/>
                <w:iCs/>
                <w:noProof/>
                <w:sz w:val="20"/>
              </w:rPr>
              <w:t>ināti:</w:t>
            </w:r>
          </w:p>
          <w:p w14:paraId="353EFE7D" w14:textId="77777777" w:rsidR="007545BD" w:rsidRPr="00C41EB8" w:rsidRDefault="007545BD" w:rsidP="00A73208">
            <w:pPr>
              <w:spacing w:before="0" w:after="0"/>
              <w:rPr>
                <w:rFonts w:eastAsia="Times New Roman"/>
                <w:iCs/>
                <w:noProof/>
                <w:sz w:val="20"/>
              </w:rPr>
            </w:pPr>
          </w:p>
          <w:p w14:paraId="4CB5C2D2" w14:textId="77777777" w:rsidR="007545BD" w:rsidRPr="00C41EB8" w:rsidRDefault="009A507A" w:rsidP="00A73208">
            <w:pPr>
              <w:spacing w:before="0" w:after="0"/>
              <w:rPr>
                <w:rFonts w:eastAsia="Times New Roman"/>
                <w:iCs/>
                <w:noProof/>
                <w:sz w:val="20"/>
              </w:rPr>
            </w:pPr>
            <w:hyperlink r:id="rId76" w:history="1">
              <w:r w:rsidR="007545BD" w:rsidRPr="0099334B">
                <w:rPr>
                  <w:rStyle w:val="Hyperlink"/>
                  <w:sz w:val="20"/>
                </w:rPr>
                <w:t>http://tap.mk.gov.lv/lv/mk/tap/?pid=40493683</w:t>
              </w:r>
            </w:hyperlink>
            <w:r w:rsidR="007545BD" w:rsidRPr="00C41EB8">
              <w:rPr>
                <w:rStyle w:val="Hyperlink"/>
                <w:noProof/>
                <w:sz w:val="20"/>
              </w:rPr>
              <w:t xml:space="preserve"> </w:t>
            </w:r>
            <w:r w:rsidR="007545BD" w:rsidRPr="00C41EB8">
              <w:rPr>
                <w:rFonts w:eastAsia="Times New Roman"/>
                <w:iCs/>
                <w:noProof/>
                <w:sz w:val="20"/>
              </w:rPr>
              <w:t xml:space="preserve"> (apstiprināts MK 21.01.2021.)</w:t>
            </w:r>
          </w:p>
          <w:p w14:paraId="73FFE214" w14:textId="77777777" w:rsidR="007545BD" w:rsidRPr="009F27FD" w:rsidRDefault="007545BD" w:rsidP="00A73208">
            <w:pPr>
              <w:spacing w:before="0" w:after="0"/>
              <w:rPr>
                <w:rFonts w:eastAsia="Times New Roman"/>
                <w:iCs/>
                <w:noProof/>
                <w:sz w:val="20"/>
              </w:rPr>
            </w:pPr>
            <w:r w:rsidRPr="009F27FD">
              <w:rPr>
                <w:rFonts w:eastAsia="Times New Roman"/>
                <w:iCs/>
                <w:noProof/>
                <w:sz w:val="20"/>
                <w:u w:val="single"/>
              </w:rPr>
              <w:t>Esošā situācija</w:t>
            </w:r>
            <w:r w:rsidRPr="009F27FD">
              <w:rPr>
                <w:rFonts w:eastAsia="Times New Roman"/>
                <w:iCs/>
                <w:noProof/>
                <w:sz w:val="20"/>
              </w:rPr>
              <w:t xml:space="preserve"> raksturota AAVP2028 2.</w:t>
            </w:r>
            <w:r w:rsidRPr="009F27FD">
              <w:rPr>
                <w:sz w:val="20"/>
              </w:rPr>
              <w:t xml:space="preserve"> nodaļā A</w:t>
            </w:r>
            <w:r w:rsidRPr="009F27FD">
              <w:rPr>
                <w:rFonts w:eastAsia="Times New Roman"/>
                <w:iCs/>
                <w:noProof/>
                <w:sz w:val="20"/>
              </w:rPr>
              <w:t>tkritumu apsaimniekošanas sistēmas raksturojums, iekļaujot tajā cita starpā apsaimniekošanas sistēmas darbības (savākšanu, sagatavošana atkārtotai izmantošanai, pārstrādi, atkritumu šķirošana, sagatavošana pārstrādei un apglabāšanai, blakusproduktus  un atkritumu beigu statusu, kompostēšanu, reģenerāciju, biogāzes ieguvi sadzīves atkritumu poligonos, apglabāšanu poligonos un rekultivēto izgāztuvju izmantošanas</w:t>
            </w:r>
            <w:r w:rsidRPr="009F27FD">
              <w:t xml:space="preserve"> </w:t>
            </w:r>
            <w:r w:rsidRPr="009F27FD">
              <w:rPr>
                <w:rFonts w:eastAsia="Times New Roman"/>
                <w:iCs/>
                <w:noProof/>
                <w:sz w:val="20"/>
              </w:rPr>
              <w:t>ierobežojumus), sastāvu un plūsmu apsaimniekošanu, atkritumu ievešanu un izvešanu. Tāpat saistoša informācija sniegta arī citās sadaļās.</w:t>
            </w:r>
          </w:p>
          <w:p w14:paraId="3A9119C5" w14:textId="77777777" w:rsidR="007545BD" w:rsidRPr="009F27FD" w:rsidRDefault="007545BD" w:rsidP="00A73208">
            <w:pPr>
              <w:spacing w:before="0" w:after="0"/>
              <w:rPr>
                <w:rFonts w:eastAsia="Times New Roman"/>
                <w:iCs/>
                <w:noProof/>
                <w:sz w:val="20"/>
              </w:rPr>
            </w:pPr>
            <w:r w:rsidRPr="009F27FD">
              <w:rPr>
                <w:rFonts w:eastAsia="Times New Roman"/>
                <w:iCs/>
                <w:noProof/>
                <w:sz w:val="20"/>
                <w:u w:val="single"/>
              </w:rPr>
              <w:t>Turpmākās attīstības novērtējums</w:t>
            </w:r>
            <w:r w:rsidRPr="009F27FD">
              <w:rPr>
                <w:rFonts w:eastAsia="Times New Roman"/>
                <w:iCs/>
                <w:noProof/>
                <w:sz w:val="20"/>
              </w:rPr>
              <w:t xml:space="preserve"> ir iekļauts AAVP2028 3.nodaļā Atkritumu plūsmu nākotnes attīstības tendences, 4.nodaļā Atkritumu apsaimniekošanas institucionālās sistēmas attīstība, 5.nodaļā Atkritumu apsaimniekošanas sistēmas attīstības virzieni, 6.nodaļā Atkritumu apsaimniekošanas valsts plānā paredzētie rīcības virzieni un pasākumi. Tāpat saistoša informācija sniegta arī citās sadaļās</w:t>
            </w:r>
          </w:p>
          <w:p w14:paraId="6B9661D2" w14:textId="77777777" w:rsidR="007545BD" w:rsidRPr="009F27FD" w:rsidRDefault="007545BD" w:rsidP="00A73208">
            <w:pPr>
              <w:spacing w:before="0" w:after="0"/>
              <w:rPr>
                <w:rFonts w:eastAsia="Times New Roman"/>
                <w:iCs/>
                <w:noProof/>
                <w:sz w:val="20"/>
                <w:u w:val="single"/>
              </w:rPr>
            </w:pPr>
          </w:p>
          <w:p w14:paraId="0333AB88" w14:textId="77777777" w:rsidR="007545BD" w:rsidRPr="009F27FD" w:rsidRDefault="007545BD" w:rsidP="00A73208">
            <w:pPr>
              <w:spacing w:before="0" w:after="0"/>
              <w:rPr>
                <w:rFonts w:eastAsia="Times New Roman"/>
                <w:iCs/>
                <w:noProof/>
                <w:sz w:val="20"/>
              </w:rPr>
            </w:pPr>
            <w:r w:rsidRPr="009F27FD">
              <w:rPr>
                <w:rFonts w:eastAsia="Times New Roman"/>
                <w:iCs/>
                <w:noProof/>
                <w:sz w:val="20"/>
                <w:u w:val="single"/>
              </w:rPr>
              <w:t>Atkritumu rašanās novēršanas programma</w:t>
            </w:r>
            <w:r w:rsidRPr="009F27FD">
              <w:rPr>
                <w:rFonts w:eastAsia="Times New Roman"/>
                <w:iCs/>
                <w:noProof/>
                <w:sz w:val="20"/>
              </w:rPr>
              <w:t xml:space="preserve"> ir iekļauta AAVP2028 9.nodaļā Atkritumu rašanās novēršanas valsts programma. Tāpat saistoša informācija sniegta arī citās sadaļās</w:t>
            </w:r>
          </w:p>
          <w:p w14:paraId="704825CB" w14:textId="77777777" w:rsidR="007545BD" w:rsidRDefault="009A507A" w:rsidP="00A73208">
            <w:pPr>
              <w:spacing w:before="0" w:after="0"/>
              <w:rPr>
                <w:rStyle w:val="Hyperlink"/>
                <w:noProof/>
                <w:sz w:val="20"/>
              </w:rPr>
            </w:pPr>
            <w:hyperlink r:id="rId77" w:history="1">
              <w:r w:rsidR="007545BD" w:rsidRPr="001A2139">
                <w:rPr>
                  <w:rStyle w:val="Hyperlink"/>
                  <w:sz w:val="20"/>
                </w:rPr>
                <w:t>https://www.varam.gov.lv/lv/petijumi-vides-un-dabas-joma</w:t>
              </w:r>
            </w:hyperlink>
            <w:r w:rsidR="007545BD" w:rsidRPr="00C41EB8">
              <w:rPr>
                <w:rStyle w:val="Hyperlink"/>
                <w:noProof/>
                <w:sz w:val="20"/>
              </w:rPr>
              <w:t xml:space="preserve"> </w:t>
            </w:r>
          </w:p>
          <w:p w14:paraId="1ADECF17" w14:textId="77777777" w:rsidR="007545BD" w:rsidRDefault="007545BD" w:rsidP="00A73208">
            <w:pPr>
              <w:spacing w:before="0" w:after="0"/>
              <w:rPr>
                <w:rFonts w:eastAsia="Times New Roman"/>
                <w:iCs/>
                <w:noProof/>
                <w:color w:val="FF0000"/>
                <w:sz w:val="20"/>
                <w:u w:val="single"/>
              </w:rPr>
            </w:pPr>
          </w:p>
          <w:p w14:paraId="70BB76F3" w14:textId="77777777" w:rsidR="007545BD" w:rsidRPr="009F27FD" w:rsidRDefault="007545BD" w:rsidP="00A73208">
            <w:pPr>
              <w:spacing w:before="0" w:after="0"/>
              <w:rPr>
                <w:rFonts w:eastAsia="Times New Roman"/>
                <w:iCs/>
                <w:noProof/>
                <w:sz w:val="20"/>
              </w:rPr>
            </w:pPr>
            <w:r w:rsidRPr="009F27FD">
              <w:rPr>
                <w:rFonts w:eastAsia="Times New Roman"/>
                <w:iCs/>
                <w:noProof/>
                <w:sz w:val="20"/>
                <w:u w:val="single"/>
              </w:rPr>
              <w:t>Esošā situācija</w:t>
            </w:r>
            <w:r w:rsidRPr="009F27FD">
              <w:rPr>
                <w:rFonts w:eastAsia="Times New Roman"/>
                <w:iCs/>
                <w:noProof/>
                <w:sz w:val="20"/>
              </w:rPr>
              <w:t xml:space="preserve"> ir raksturota IVZAAVP2028 2.nodaļā Izvērtējums par atkritumu apglabāšanas poligoniem, 3.1. apakšnodaļā Esošās situācijas novērtējums – apsaimniekotie atkritumu apjomi, 7.2.apakšnodaļā </w:t>
            </w:r>
            <w:r w:rsidRPr="009F27FD">
              <w:rPr>
                <w:rFonts w:eastAsia="Times New Roman"/>
                <w:iCs/>
                <w:noProof/>
                <w:sz w:val="20"/>
              </w:rPr>
              <w:tab/>
              <w:t>Esošās sistēmas potenciāls mērķu sasniegšanā un attīstības programmas īstenošanas sagaidāmie rezultāti. Tāpat saistoša informācija sniegta arī citās sadaļās</w:t>
            </w:r>
          </w:p>
          <w:p w14:paraId="62CF410F" w14:textId="77777777" w:rsidR="007545BD" w:rsidRPr="009F27FD" w:rsidRDefault="007545BD" w:rsidP="00A73208">
            <w:pPr>
              <w:spacing w:before="0" w:after="0"/>
              <w:rPr>
                <w:sz w:val="20"/>
              </w:rPr>
            </w:pPr>
            <w:r w:rsidRPr="009F27FD">
              <w:rPr>
                <w:rFonts w:eastAsia="Times New Roman"/>
                <w:iCs/>
                <w:noProof/>
                <w:sz w:val="20"/>
                <w:u w:val="single"/>
              </w:rPr>
              <w:t>Turpmākās attīstības novērtējums</w:t>
            </w:r>
            <w:r w:rsidRPr="009F27FD">
              <w:rPr>
                <w:rFonts w:eastAsia="Times New Roman"/>
                <w:iCs/>
                <w:noProof/>
                <w:sz w:val="20"/>
              </w:rPr>
              <w:t xml:space="preserve"> sniegts 3.2. apakšnodaļā </w:t>
            </w:r>
            <w:r w:rsidRPr="009F27FD">
              <w:rPr>
                <w:rFonts w:eastAsia="Times New Roman"/>
                <w:iCs/>
                <w:noProof/>
                <w:sz w:val="20"/>
              </w:rPr>
              <w:tab/>
            </w:r>
            <w:r w:rsidRPr="009F27FD">
              <w:rPr>
                <w:sz w:val="20"/>
              </w:rPr>
              <w:t xml:space="preserve">Atkritumu plūsmu nākotnes attīstības tendences, 4.nodaļā Atkritumu plūsmu modelēšana, 5.nodaļā novērtējums un priekšlikumu sagatavošana preču otrreizējas izmantošanas un labošanas pakalpojumu attīstībai, 6.nodaļā Priekšlikumi atkritumu apsaimniekošanas reģionu robežu pārskatīšanai, 7.2.apakšnodaļā </w:t>
            </w:r>
            <w:r w:rsidRPr="009F27FD">
              <w:rPr>
                <w:sz w:val="20"/>
              </w:rPr>
              <w:tab/>
              <w:t xml:space="preserve">Esošās sistēmas potenciāls mērķu sasniegšanā un attīstības programmas īstenošanas sagaidāmie rezultāti, 7.4.apakšnodaļā Rekomendācijas sistēmas funkcionālo posmu pilnveidošanai. </w:t>
            </w:r>
            <w:r w:rsidRPr="009F27FD">
              <w:rPr>
                <w:rFonts w:eastAsia="Times New Roman"/>
                <w:iCs/>
                <w:noProof/>
                <w:sz w:val="20"/>
              </w:rPr>
              <w:t>Tāpat saistoša informācija sniegta arī citās sadaļās</w:t>
            </w:r>
          </w:p>
          <w:p w14:paraId="43FFD529" w14:textId="77777777" w:rsidR="007545BD" w:rsidRPr="009F27FD" w:rsidRDefault="007545BD" w:rsidP="00A73208">
            <w:pPr>
              <w:spacing w:before="0" w:after="0"/>
              <w:rPr>
                <w:rFonts w:eastAsia="Times New Roman"/>
                <w:iCs/>
                <w:noProof/>
                <w:sz w:val="20"/>
              </w:rPr>
            </w:pPr>
            <w:r w:rsidRPr="009F27FD">
              <w:rPr>
                <w:rFonts w:eastAsia="Times New Roman"/>
                <w:iCs/>
                <w:noProof/>
                <w:sz w:val="20"/>
                <w:u w:val="single"/>
              </w:rPr>
              <w:t xml:space="preserve">Atkritumu rašanās novēršanas programma </w:t>
            </w:r>
            <w:r w:rsidRPr="009F27FD">
              <w:rPr>
                <w:rFonts w:eastAsia="Times New Roman"/>
                <w:iCs/>
                <w:noProof/>
                <w:sz w:val="20"/>
              </w:rPr>
              <w:t>IVZ AAVP2028 nav iekļauta, taču atkritumu rašanās novēršanas faktors ir ievērtēts atkritumu prognozē 5.nodaļā Atkritumu plūsmu modelēšana un citur ziņojuma tekstā.</w:t>
            </w:r>
            <w:r w:rsidRPr="009F27FD">
              <w:rPr>
                <w:rFonts w:eastAsia="Times New Roman"/>
                <w:iCs/>
                <w:noProof/>
                <w:sz w:val="20"/>
                <w:u w:val="single"/>
              </w:rPr>
              <w:t xml:space="preserve"> </w:t>
            </w:r>
            <w:r w:rsidRPr="009F27FD">
              <w:rPr>
                <w:rFonts w:eastAsia="Times New Roman"/>
                <w:iCs/>
                <w:noProof/>
                <w:sz w:val="20"/>
              </w:rPr>
              <w:t>Tāpat saistoša informācija sniegta arī citās sadaļās</w:t>
            </w:r>
            <w:r>
              <w:rPr>
                <w:rFonts w:eastAsia="Times New Roman"/>
                <w:iCs/>
                <w:noProof/>
                <w:sz w:val="20"/>
              </w:rPr>
              <w:t>.</w:t>
            </w:r>
          </w:p>
          <w:p w14:paraId="48A15146" w14:textId="77777777" w:rsidR="007545BD" w:rsidRPr="00C41EB8" w:rsidRDefault="007545BD" w:rsidP="00A73208">
            <w:pPr>
              <w:spacing w:before="0" w:after="0"/>
              <w:rPr>
                <w:rFonts w:eastAsia="Times New Roman"/>
                <w:iCs/>
                <w:noProof/>
                <w:sz w:val="20"/>
              </w:rPr>
            </w:pPr>
          </w:p>
        </w:tc>
      </w:tr>
      <w:tr w:rsidR="007545BD" w:rsidRPr="00C41EB8" w14:paraId="30C732B3" w14:textId="77777777" w:rsidTr="00A73208">
        <w:tc>
          <w:tcPr>
            <w:tcW w:w="562" w:type="dxa"/>
            <w:shd w:val="clear" w:color="auto" w:fill="auto"/>
          </w:tcPr>
          <w:p w14:paraId="7664AE95"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val="restart"/>
            <w:shd w:val="clear" w:color="auto" w:fill="auto"/>
          </w:tcPr>
          <w:p w14:paraId="0F8A8324" w14:textId="77777777" w:rsidR="007545BD" w:rsidRPr="00C41EB8" w:rsidRDefault="007545BD" w:rsidP="00A73208">
            <w:pPr>
              <w:spacing w:before="0" w:after="0"/>
              <w:jc w:val="left"/>
              <w:rPr>
                <w:noProof/>
                <w:sz w:val="20"/>
              </w:rPr>
            </w:pPr>
          </w:p>
        </w:tc>
        <w:tc>
          <w:tcPr>
            <w:tcW w:w="851" w:type="dxa"/>
            <w:vMerge w:val="restart"/>
            <w:shd w:val="clear" w:color="auto" w:fill="auto"/>
          </w:tcPr>
          <w:p w14:paraId="4FD5BD0A" w14:textId="77777777" w:rsidR="007545BD" w:rsidRPr="00C41EB8" w:rsidRDefault="007545BD" w:rsidP="00A73208">
            <w:pPr>
              <w:spacing w:before="0" w:after="0"/>
              <w:jc w:val="left"/>
              <w:rPr>
                <w:rFonts w:eastAsia="Times New Roman"/>
                <w:iCs/>
                <w:noProof/>
                <w:sz w:val="20"/>
              </w:rPr>
            </w:pPr>
          </w:p>
        </w:tc>
        <w:tc>
          <w:tcPr>
            <w:tcW w:w="1134" w:type="dxa"/>
            <w:vMerge w:val="restart"/>
            <w:shd w:val="clear" w:color="auto" w:fill="auto"/>
          </w:tcPr>
          <w:p w14:paraId="55C214FA" w14:textId="77777777" w:rsidR="007545BD" w:rsidRPr="00C41EB8" w:rsidRDefault="007545BD" w:rsidP="00A73208">
            <w:pPr>
              <w:spacing w:before="0" w:after="0"/>
              <w:jc w:val="left"/>
              <w:rPr>
                <w:rFonts w:eastAsia="Times New Roman"/>
                <w:iCs/>
                <w:noProof/>
                <w:sz w:val="20"/>
              </w:rPr>
            </w:pPr>
          </w:p>
        </w:tc>
        <w:tc>
          <w:tcPr>
            <w:tcW w:w="850" w:type="dxa"/>
            <w:vMerge w:val="restart"/>
            <w:shd w:val="clear" w:color="auto" w:fill="auto"/>
          </w:tcPr>
          <w:p w14:paraId="11ABADB0" w14:textId="77777777" w:rsidR="007545BD" w:rsidRPr="00C41EB8" w:rsidRDefault="007545BD" w:rsidP="00A73208">
            <w:pPr>
              <w:spacing w:before="0" w:after="0"/>
              <w:jc w:val="left"/>
              <w:rPr>
                <w:rFonts w:eastAsia="Times New Roman"/>
                <w:iCs/>
                <w:noProof/>
                <w:sz w:val="20"/>
              </w:rPr>
            </w:pPr>
          </w:p>
        </w:tc>
        <w:tc>
          <w:tcPr>
            <w:tcW w:w="2410" w:type="dxa"/>
            <w:shd w:val="clear" w:color="auto" w:fill="auto"/>
          </w:tcPr>
          <w:p w14:paraId="0232FDE0" w14:textId="77777777" w:rsidR="007545BD" w:rsidRPr="00C41EB8" w:rsidRDefault="007545BD" w:rsidP="00A73208">
            <w:pPr>
              <w:spacing w:before="0" w:after="0"/>
              <w:jc w:val="left"/>
              <w:rPr>
                <w:sz w:val="20"/>
              </w:rPr>
            </w:pPr>
            <w:r w:rsidRPr="00C41EB8">
              <w:rPr>
                <w:sz w:val="20"/>
              </w:rPr>
              <w:t>2.Esošo atkritumu savākšanas shēmu novērtējums, tostarp atsevišķas savākšanas materiālais un teritoriālais segums un pasākumi tās darbības uzlabošanai, kā arī vajadzība pēc jaunām savākšanas shēmām.</w:t>
            </w:r>
          </w:p>
        </w:tc>
        <w:tc>
          <w:tcPr>
            <w:tcW w:w="1134" w:type="dxa"/>
            <w:shd w:val="clear" w:color="auto" w:fill="auto"/>
          </w:tcPr>
          <w:p w14:paraId="7942320B" w14:textId="77777777" w:rsidR="007545BD" w:rsidRPr="00865717" w:rsidRDefault="007545BD" w:rsidP="00A73208">
            <w:pPr>
              <w:spacing w:before="0" w:after="0"/>
              <w:jc w:val="left"/>
              <w:rPr>
                <w:b/>
                <w:bCs/>
                <w:noProof/>
                <w:sz w:val="20"/>
              </w:rPr>
            </w:pPr>
            <w:r w:rsidRPr="00865717">
              <w:rPr>
                <w:b/>
                <w:bCs/>
                <w:noProof/>
                <w:sz w:val="20"/>
              </w:rPr>
              <w:t>Jā</w:t>
            </w:r>
          </w:p>
        </w:tc>
        <w:tc>
          <w:tcPr>
            <w:tcW w:w="2410" w:type="dxa"/>
            <w:shd w:val="clear" w:color="auto" w:fill="auto"/>
          </w:tcPr>
          <w:p w14:paraId="7B86CEA0" w14:textId="77777777" w:rsidR="007545BD" w:rsidRPr="00C41EB8" w:rsidRDefault="009A507A" w:rsidP="00A73208">
            <w:pPr>
              <w:spacing w:before="0" w:after="0"/>
              <w:jc w:val="left"/>
              <w:rPr>
                <w:noProof/>
                <w:sz w:val="20"/>
              </w:rPr>
            </w:pPr>
            <w:hyperlink r:id="rId78" w:history="1">
              <w:r w:rsidR="007545BD" w:rsidRPr="00C41EB8">
                <w:rPr>
                  <w:rStyle w:val="Hyperlink"/>
                  <w:noProof/>
                  <w:sz w:val="20"/>
                </w:rPr>
                <w:t>Atkritumu apsaimniekošanas valsts plāns 2021.-2028.gadam</w:t>
              </w:r>
            </w:hyperlink>
          </w:p>
          <w:p w14:paraId="7DB1BFFD" w14:textId="77777777" w:rsidR="007545BD" w:rsidRPr="00C41EB8" w:rsidRDefault="007545BD" w:rsidP="00A73208">
            <w:pPr>
              <w:spacing w:before="0" w:after="0"/>
              <w:jc w:val="left"/>
              <w:rPr>
                <w:noProof/>
                <w:sz w:val="20"/>
              </w:rPr>
            </w:pPr>
          </w:p>
          <w:p w14:paraId="271F5475" w14:textId="77777777" w:rsidR="007545BD" w:rsidRPr="00C41EB8" w:rsidRDefault="007545BD" w:rsidP="00A73208">
            <w:pPr>
              <w:spacing w:before="0" w:after="0"/>
              <w:jc w:val="left"/>
              <w:rPr>
                <w:noProof/>
                <w:sz w:val="20"/>
              </w:rPr>
            </w:pPr>
            <w:r w:rsidRPr="00C41EB8">
              <w:rPr>
                <w:noProof/>
                <w:sz w:val="20"/>
              </w:rPr>
              <w:t>Pētījums “Investīciju vajadzību izvērtējums Atkritumu apsaimniekošanas valsts plāna 2021. - 2028. gadam izstrādei”</w:t>
            </w:r>
          </w:p>
          <w:p w14:paraId="77F7D69B" w14:textId="77777777" w:rsidR="007545BD" w:rsidRPr="00C41EB8" w:rsidRDefault="007545BD" w:rsidP="00A73208">
            <w:pPr>
              <w:spacing w:before="0" w:after="0"/>
              <w:jc w:val="left"/>
              <w:rPr>
                <w:noProof/>
                <w:sz w:val="20"/>
              </w:rPr>
            </w:pPr>
          </w:p>
        </w:tc>
        <w:tc>
          <w:tcPr>
            <w:tcW w:w="3686" w:type="dxa"/>
            <w:shd w:val="clear" w:color="auto" w:fill="auto"/>
          </w:tcPr>
          <w:p w14:paraId="79F0EACC" w14:textId="77777777" w:rsidR="007545BD" w:rsidRPr="00C41EB8" w:rsidRDefault="007545BD" w:rsidP="00A73208">
            <w:pPr>
              <w:spacing w:before="0" w:after="0"/>
              <w:rPr>
                <w:rFonts w:eastAsia="Times New Roman"/>
                <w:iCs/>
                <w:noProof/>
                <w:sz w:val="20"/>
              </w:rPr>
            </w:pPr>
            <w:r w:rsidRPr="00C41EB8">
              <w:rPr>
                <w:rFonts w:eastAsia="Times New Roman"/>
                <w:iCs/>
                <w:noProof/>
                <w:sz w:val="20"/>
              </w:rPr>
              <w:t>Dokumenti izstrādāti un apstip</w:t>
            </w:r>
            <w:r>
              <w:rPr>
                <w:rFonts w:eastAsia="Times New Roman"/>
                <w:iCs/>
                <w:noProof/>
                <w:sz w:val="20"/>
              </w:rPr>
              <w:t>r</w:t>
            </w:r>
            <w:r w:rsidRPr="00C41EB8">
              <w:rPr>
                <w:rFonts w:eastAsia="Times New Roman"/>
                <w:iCs/>
                <w:noProof/>
                <w:sz w:val="20"/>
              </w:rPr>
              <w:t>ināti:</w:t>
            </w:r>
          </w:p>
          <w:p w14:paraId="2A6C82EE" w14:textId="77777777" w:rsidR="007545BD" w:rsidRPr="00C41EB8" w:rsidRDefault="007545BD" w:rsidP="00A73208">
            <w:pPr>
              <w:spacing w:before="0" w:after="0"/>
              <w:rPr>
                <w:rFonts w:eastAsia="Times New Roman"/>
                <w:iCs/>
                <w:noProof/>
                <w:sz w:val="20"/>
              </w:rPr>
            </w:pPr>
          </w:p>
          <w:p w14:paraId="1FE7B0D1" w14:textId="77777777" w:rsidR="007545BD" w:rsidRPr="00C41EB8" w:rsidRDefault="009A507A" w:rsidP="00A73208">
            <w:pPr>
              <w:spacing w:before="0" w:after="0"/>
              <w:rPr>
                <w:rFonts w:eastAsia="Times New Roman"/>
                <w:iCs/>
                <w:noProof/>
                <w:sz w:val="20"/>
              </w:rPr>
            </w:pPr>
            <w:hyperlink r:id="rId79" w:history="1">
              <w:r w:rsidR="007545BD" w:rsidRPr="005B0F39">
                <w:rPr>
                  <w:rStyle w:val="Hyperlink"/>
                  <w:sz w:val="20"/>
                </w:rPr>
                <w:t>http://tap.mk.gov.lv/lv/mk/tap/?pid=40493683</w:t>
              </w:r>
            </w:hyperlink>
            <w:r w:rsidR="007545BD" w:rsidRPr="00C41EB8">
              <w:rPr>
                <w:rStyle w:val="Hyperlink"/>
                <w:noProof/>
                <w:sz w:val="20"/>
              </w:rPr>
              <w:t xml:space="preserve"> </w:t>
            </w:r>
            <w:r w:rsidR="007545BD" w:rsidRPr="00C41EB8">
              <w:rPr>
                <w:rFonts w:eastAsia="Times New Roman"/>
                <w:iCs/>
                <w:noProof/>
                <w:sz w:val="20"/>
              </w:rPr>
              <w:t xml:space="preserve"> (apstiprināts MK 21.01.2021.)</w:t>
            </w:r>
          </w:p>
          <w:p w14:paraId="1676F8ED" w14:textId="77777777" w:rsidR="007545BD" w:rsidRPr="00C660F1" w:rsidRDefault="007545BD" w:rsidP="00A73208">
            <w:pPr>
              <w:spacing w:before="0" w:after="0"/>
              <w:rPr>
                <w:rFonts w:eastAsia="Times New Roman"/>
                <w:iCs/>
                <w:noProof/>
                <w:sz w:val="20"/>
              </w:rPr>
            </w:pPr>
            <w:r w:rsidRPr="00C660F1">
              <w:rPr>
                <w:rFonts w:eastAsia="Times New Roman"/>
                <w:iCs/>
                <w:noProof/>
                <w:sz w:val="20"/>
                <w:u w:val="single"/>
              </w:rPr>
              <w:t>Esošās savākšanas sistēmas</w:t>
            </w:r>
            <w:r w:rsidRPr="00C660F1">
              <w:rPr>
                <w:rFonts w:eastAsia="Times New Roman"/>
                <w:iCs/>
                <w:noProof/>
                <w:sz w:val="20"/>
              </w:rPr>
              <w:t xml:space="preserve"> novērtējums sniegts AAVP2028 2.5.1. apakšnodaļā Atkritumu savākšana. Tāpat saistoša informācija sniegta arī citās sadaļās</w:t>
            </w:r>
          </w:p>
          <w:p w14:paraId="6D385C02" w14:textId="77777777" w:rsidR="007545BD" w:rsidRPr="00C660F1" w:rsidRDefault="007545BD" w:rsidP="00A73208">
            <w:pPr>
              <w:spacing w:before="0" w:after="0"/>
              <w:rPr>
                <w:rFonts w:eastAsia="Times New Roman"/>
                <w:iCs/>
                <w:noProof/>
                <w:sz w:val="20"/>
              </w:rPr>
            </w:pPr>
            <w:r w:rsidRPr="00C660F1">
              <w:rPr>
                <w:rFonts w:eastAsia="Times New Roman"/>
                <w:iCs/>
                <w:noProof/>
                <w:sz w:val="20"/>
                <w:u w:val="single"/>
              </w:rPr>
              <w:t>Jauno savākšanas shēmu vajadzība</w:t>
            </w:r>
            <w:r w:rsidRPr="00C660F1">
              <w:rPr>
                <w:rFonts w:eastAsia="Times New Roman"/>
                <w:iCs/>
                <w:noProof/>
                <w:sz w:val="20"/>
              </w:rPr>
              <w:t xml:space="preserve"> iekļauta AAVP2028 3.nodaļā Atkritumu plūsmu nākotnes attīstības tendences, 4.nodaļā Atkritumu apsaimniekošanas institucionālās sistēmas attīstība, 5.1.1. apakšnodaļā Atkritumu dalītās vākšanas sistēmas attīstība, 6.nodaļā Atkritumu apsaimniekošanas valsts plānā paredzētie rīcības virzieni un pasākumi.  Tāpat saistoša informācija sniegta arī citās sadaļās.</w:t>
            </w:r>
          </w:p>
          <w:p w14:paraId="262EB69C" w14:textId="77777777" w:rsidR="007545BD" w:rsidRDefault="007545BD" w:rsidP="00A73208">
            <w:pPr>
              <w:spacing w:before="0" w:after="0"/>
              <w:rPr>
                <w:rFonts w:eastAsia="Times New Roman"/>
                <w:iCs/>
                <w:noProof/>
                <w:sz w:val="20"/>
              </w:rPr>
            </w:pPr>
          </w:p>
          <w:p w14:paraId="69203824" w14:textId="77777777" w:rsidR="007545BD" w:rsidRDefault="009A507A" w:rsidP="00A73208">
            <w:pPr>
              <w:spacing w:before="0" w:after="0"/>
              <w:rPr>
                <w:rStyle w:val="Hyperlink"/>
                <w:noProof/>
                <w:sz w:val="20"/>
              </w:rPr>
            </w:pPr>
            <w:hyperlink r:id="rId80" w:history="1">
              <w:r w:rsidR="007545BD" w:rsidRPr="005B0F39">
                <w:rPr>
                  <w:rStyle w:val="Hyperlink"/>
                  <w:sz w:val="20"/>
                </w:rPr>
                <w:t>https://www.varam.gov.lv/lv/petijumi-vides-un-dabas-joma</w:t>
              </w:r>
            </w:hyperlink>
            <w:r w:rsidR="007545BD" w:rsidRPr="00C41EB8">
              <w:rPr>
                <w:rStyle w:val="Hyperlink"/>
                <w:noProof/>
                <w:sz w:val="20"/>
              </w:rPr>
              <w:t xml:space="preserve"> </w:t>
            </w:r>
          </w:p>
          <w:p w14:paraId="1416A322" w14:textId="77777777" w:rsidR="007545BD" w:rsidRPr="00C660F1" w:rsidRDefault="007545BD" w:rsidP="00A73208">
            <w:pPr>
              <w:spacing w:before="0" w:after="0"/>
              <w:rPr>
                <w:rFonts w:eastAsia="Times New Roman"/>
                <w:iCs/>
                <w:noProof/>
                <w:sz w:val="20"/>
              </w:rPr>
            </w:pPr>
            <w:r w:rsidRPr="00C660F1">
              <w:rPr>
                <w:rFonts w:eastAsia="Times New Roman"/>
                <w:iCs/>
                <w:noProof/>
                <w:sz w:val="20"/>
                <w:u w:val="single"/>
              </w:rPr>
              <w:t>Esošās savākšanas sistēmas novērtējums</w:t>
            </w:r>
            <w:r w:rsidRPr="00C660F1">
              <w:rPr>
                <w:rFonts w:eastAsia="Times New Roman"/>
                <w:iCs/>
                <w:noProof/>
                <w:sz w:val="20"/>
              </w:rPr>
              <w:t xml:space="preserve"> iekļauts IVZ AAVP2028 3.1 apakšnodaļā Esošās situācijas novērtējums – apsaimniekotie atkritumu apjomi</w:t>
            </w:r>
          </w:p>
          <w:p w14:paraId="437D11F7" w14:textId="77777777" w:rsidR="007545BD" w:rsidRDefault="007545BD" w:rsidP="00A73208">
            <w:pPr>
              <w:pStyle w:val="Heading3"/>
              <w:keepLines/>
              <w:numPr>
                <w:ilvl w:val="0"/>
                <w:numId w:val="0"/>
              </w:numPr>
              <w:spacing w:after="0"/>
              <w:ind w:left="34"/>
              <w:rPr>
                <w:i w:val="0"/>
                <w:sz w:val="20"/>
                <w:u w:val="single"/>
              </w:rPr>
            </w:pPr>
            <w:bookmarkStart w:id="58" w:name="_Toc57626364"/>
          </w:p>
          <w:p w14:paraId="3026F691" w14:textId="77777777" w:rsidR="007545BD" w:rsidRPr="00C660F1" w:rsidRDefault="007545BD" w:rsidP="00A73208">
            <w:pPr>
              <w:pStyle w:val="Heading3"/>
              <w:keepLines/>
              <w:numPr>
                <w:ilvl w:val="0"/>
                <w:numId w:val="0"/>
              </w:numPr>
              <w:spacing w:after="0"/>
              <w:ind w:left="34"/>
              <w:rPr>
                <w:i w:val="0"/>
                <w:sz w:val="20"/>
              </w:rPr>
            </w:pPr>
            <w:bookmarkStart w:id="59" w:name="_Toc69125432"/>
            <w:r w:rsidRPr="00C660F1">
              <w:rPr>
                <w:i w:val="0"/>
                <w:sz w:val="20"/>
                <w:u w:val="single"/>
              </w:rPr>
              <w:t>Jauno savākšanas shēmu vajadzība</w:t>
            </w:r>
            <w:r w:rsidRPr="00C660F1">
              <w:rPr>
                <w:i w:val="0"/>
                <w:sz w:val="20"/>
              </w:rPr>
              <w:t xml:space="preserve"> iekļauta 7.4.2. apakšnodaļā Atkritumu dalītās vākšanas sistēmas attīstība</w:t>
            </w:r>
            <w:bookmarkEnd w:id="58"/>
            <w:r w:rsidRPr="00C660F1">
              <w:rPr>
                <w:i w:val="0"/>
                <w:sz w:val="20"/>
              </w:rPr>
              <w:t>; 7.5. apakšnodaļā Kopsavilkums - atkritumu apsaimniekošanas infrastruktūras izvietojums Latvijas teritorijā, esošās iekārtas un priekšlikumi jaunu iekārtu izvietojumam.</w:t>
            </w:r>
            <w:r w:rsidRPr="00C660F1">
              <w:rPr>
                <w:iCs/>
                <w:noProof/>
                <w:sz w:val="20"/>
              </w:rPr>
              <w:t xml:space="preserve"> </w:t>
            </w:r>
            <w:r w:rsidRPr="00C660F1">
              <w:rPr>
                <w:i w:val="0"/>
                <w:noProof/>
                <w:sz w:val="20"/>
              </w:rPr>
              <w:t>Tāpat saistoša informācija sniegta arī citās sadaļās</w:t>
            </w:r>
            <w:r>
              <w:rPr>
                <w:i w:val="0"/>
                <w:noProof/>
                <w:sz w:val="20"/>
              </w:rPr>
              <w:t>.</w:t>
            </w:r>
            <w:bookmarkEnd w:id="59"/>
          </w:p>
          <w:p w14:paraId="61CDD73D" w14:textId="77777777" w:rsidR="007545BD" w:rsidRPr="00C41EB8" w:rsidRDefault="007545BD" w:rsidP="00A73208">
            <w:pPr>
              <w:spacing w:before="0" w:after="0"/>
              <w:rPr>
                <w:rFonts w:eastAsia="Times New Roman"/>
                <w:iCs/>
                <w:noProof/>
                <w:sz w:val="20"/>
              </w:rPr>
            </w:pPr>
          </w:p>
        </w:tc>
      </w:tr>
      <w:tr w:rsidR="007545BD" w:rsidRPr="00C41EB8" w14:paraId="18513DF4" w14:textId="77777777" w:rsidTr="00A73208">
        <w:tc>
          <w:tcPr>
            <w:tcW w:w="562" w:type="dxa"/>
            <w:shd w:val="clear" w:color="auto" w:fill="auto"/>
          </w:tcPr>
          <w:p w14:paraId="64F0DA50"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auto"/>
          </w:tcPr>
          <w:p w14:paraId="06F40E60" w14:textId="77777777" w:rsidR="007545BD" w:rsidRPr="00C41EB8" w:rsidRDefault="007545BD" w:rsidP="00A73208">
            <w:pPr>
              <w:spacing w:before="0" w:after="0"/>
              <w:jc w:val="left"/>
              <w:rPr>
                <w:noProof/>
                <w:sz w:val="20"/>
              </w:rPr>
            </w:pPr>
          </w:p>
        </w:tc>
        <w:tc>
          <w:tcPr>
            <w:tcW w:w="851" w:type="dxa"/>
            <w:vMerge/>
            <w:shd w:val="clear" w:color="auto" w:fill="auto"/>
          </w:tcPr>
          <w:p w14:paraId="5BD82E26" w14:textId="77777777" w:rsidR="007545BD" w:rsidRPr="00C41EB8" w:rsidRDefault="007545BD" w:rsidP="00A73208">
            <w:pPr>
              <w:spacing w:before="0" w:after="0"/>
              <w:jc w:val="left"/>
              <w:rPr>
                <w:rFonts w:eastAsia="Times New Roman"/>
                <w:iCs/>
                <w:noProof/>
                <w:sz w:val="20"/>
              </w:rPr>
            </w:pPr>
          </w:p>
        </w:tc>
        <w:tc>
          <w:tcPr>
            <w:tcW w:w="1134" w:type="dxa"/>
            <w:vMerge/>
            <w:shd w:val="clear" w:color="auto" w:fill="auto"/>
          </w:tcPr>
          <w:p w14:paraId="0F6F4744" w14:textId="77777777" w:rsidR="007545BD" w:rsidRPr="00C41EB8" w:rsidRDefault="007545BD" w:rsidP="00A73208">
            <w:pPr>
              <w:spacing w:before="0" w:after="0"/>
              <w:jc w:val="left"/>
              <w:rPr>
                <w:rFonts w:eastAsia="Times New Roman"/>
                <w:iCs/>
                <w:noProof/>
                <w:sz w:val="20"/>
              </w:rPr>
            </w:pPr>
          </w:p>
        </w:tc>
        <w:tc>
          <w:tcPr>
            <w:tcW w:w="850" w:type="dxa"/>
            <w:vMerge/>
            <w:shd w:val="clear" w:color="auto" w:fill="auto"/>
          </w:tcPr>
          <w:p w14:paraId="3B0DBEEA" w14:textId="77777777" w:rsidR="007545BD" w:rsidRPr="00C41EB8" w:rsidRDefault="007545BD" w:rsidP="00A73208">
            <w:pPr>
              <w:spacing w:before="0" w:after="0"/>
              <w:jc w:val="left"/>
              <w:rPr>
                <w:rFonts w:eastAsia="Times New Roman"/>
                <w:iCs/>
                <w:noProof/>
                <w:sz w:val="20"/>
              </w:rPr>
            </w:pPr>
          </w:p>
        </w:tc>
        <w:tc>
          <w:tcPr>
            <w:tcW w:w="2410" w:type="dxa"/>
            <w:shd w:val="clear" w:color="auto" w:fill="auto"/>
          </w:tcPr>
          <w:p w14:paraId="1961EE3A" w14:textId="77777777" w:rsidR="007545BD" w:rsidRPr="00C41EB8" w:rsidRDefault="007545BD" w:rsidP="00A73208">
            <w:pPr>
              <w:spacing w:before="0" w:after="0"/>
              <w:jc w:val="left"/>
              <w:rPr>
                <w:sz w:val="20"/>
              </w:rPr>
            </w:pPr>
            <w:r w:rsidRPr="00C41EB8">
              <w:rPr>
                <w:sz w:val="20"/>
              </w:rPr>
              <w:t>3.Ieguldījumu trūkuma novērtējums, kas pamato vajadzību slēgt esošās atkritumu iekārtas un papildu vai modernizētu atkritumu infrastruktūru, sniedzot informāciju par pieejamiem ieņēmumu avotiem, lai segtu ekspluatācijas un uzturēšanas izmaksas.</w:t>
            </w:r>
          </w:p>
        </w:tc>
        <w:tc>
          <w:tcPr>
            <w:tcW w:w="1134" w:type="dxa"/>
            <w:shd w:val="clear" w:color="auto" w:fill="auto"/>
          </w:tcPr>
          <w:p w14:paraId="5CFCEB07" w14:textId="77777777" w:rsidR="007545BD" w:rsidRPr="00865717" w:rsidRDefault="007545BD" w:rsidP="00A73208">
            <w:pPr>
              <w:spacing w:before="0" w:after="0"/>
              <w:jc w:val="left"/>
              <w:rPr>
                <w:b/>
                <w:bCs/>
                <w:noProof/>
                <w:sz w:val="20"/>
              </w:rPr>
            </w:pPr>
            <w:r w:rsidRPr="00865717">
              <w:rPr>
                <w:b/>
                <w:bCs/>
                <w:noProof/>
                <w:sz w:val="20"/>
              </w:rPr>
              <w:t>Jā</w:t>
            </w:r>
          </w:p>
        </w:tc>
        <w:tc>
          <w:tcPr>
            <w:tcW w:w="2410" w:type="dxa"/>
            <w:shd w:val="clear" w:color="auto" w:fill="auto"/>
          </w:tcPr>
          <w:p w14:paraId="6DD16214" w14:textId="77777777" w:rsidR="007545BD" w:rsidRPr="00C41EB8" w:rsidRDefault="009A507A" w:rsidP="00A73208">
            <w:pPr>
              <w:spacing w:before="0" w:after="0"/>
              <w:jc w:val="left"/>
              <w:rPr>
                <w:noProof/>
                <w:sz w:val="20"/>
              </w:rPr>
            </w:pPr>
            <w:hyperlink r:id="rId81" w:history="1">
              <w:r w:rsidR="007545BD" w:rsidRPr="00C41EB8">
                <w:rPr>
                  <w:rStyle w:val="Hyperlink"/>
                  <w:noProof/>
                  <w:sz w:val="20"/>
                </w:rPr>
                <w:t>Atkritumu apsaimniekošanas valsts plāns 2021.-2028.gadam</w:t>
              </w:r>
            </w:hyperlink>
          </w:p>
          <w:p w14:paraId="14AC80BF" w14:textId="77777777" w:rsidR="007545BD" w:rsidRPr="00C41EB8" w:rsidRDefault="007545BD" w:rsidP="00A73208">
            <w:pPr>
              <w:spacing w:before="0" w:after="0"/>
              <w:jc w:val="left"/>
              <w:rPr>
                <w:noProof/>
                <w:sz w:val="20"/>
              </w:rPr>
            </w:pPr>
          </w:p>
          <w:p w14:paraId="38D3CD05" w14:textId="77777777" w:rsidR="007545BD" w:rsidRPr="00C41EB8" w:rsidRDefault="007545BD" w:rsidP="00A73208">
            <w:pPr>
              <w:spacing w:before="0" w:after="0"/>
              <w:jc w:val="left"/>
              <w:rPr>
                <w:noProof/>
                <w:sz w:val="20"/>
              </w:rPr>
            </w:pPr>
            <w:r w:rsidRPr="00C41EB8">
              <w:rPr>
                <w:noProof/>
                <w:sz w:val="20"/>
              </w:rPr>
              <w:t>Pētījums “Investīciju vajadzību izvērtējums Atkritumu apsaimniekošanas valsts plāna 2021. - 2028. gadam izstrādei”</w:t>
            </w:r>
          </w:p>
          <w:p w14:paraId="306D040C" w14:textId="77777777" w:rsidR="007545BD" w:rsidRPr="00C41EB8" w:rsidRDefault="007545BD" w:rsidP="00A73208">
            <w:pPr>
              <w:spacing w:before="0" w:after="0"/>
              <w:jc w:val="left"/>
              <w:rPr>
                <w:noProof/>
                <w:sz w:val="20"/>
              </w:rPr>
            </w:pPr>
          </w:p>
        </w:tc>
        <w:tc>
          <w:tcPr>
            <w:tcW w:w="3686" w:type="dxa"/>
            <w:shd w:val="clear" w:color="auto" w:fill="auto"/>
          </w:tcPr>
          <w:p w14:paraId="614101EC" w14:textId="77777777" w:rsidR="007545BD" w:rsidRPr="00C41EB8" w:rsidRDefault="007545BD" w:rsidP="00A73208">
            <w:pPr>
              <w:spacing w:before="0" w:after="0"/>
              <w:rPr>
                <w:rFonts w:eastAsia="Times New Roman"/>
                <w:iCs/>
                <w:noProof/>
                <w:sz w:val="20"/>
              </w:rPr>
            </w:pPr>
            <w:r w:rsidRPr="00C41EB8">
              <w:rPr>
                <w:rFonts w:eastAsia="Times New Roman"/>
                <w:iCs/>
                <w:noProof/>
                <w:sz w:val="20"/>
              </w:rPr>
              <w:t>Dokumenti izstrādāti un apstip</w:t>
            </w:r>
            <w:r>
              <w:rPr>
                <w:rFonts w:eastAsia="Times New Roman"/>
                <w:iCs/>
                <w:noProof/>
                <w:sz w:val="20"/>
              </w:rPr>
              <w:t>r</w:t>
            </w:r>
            <w:r w:rsidRPr="00C41EB8">
              <w:rPr>
                <w:rFonts w:eastAsia="Times New Roman"/>
                <w:iCs/>
                <w:noProof/>
                <w:sz w:val="20"/>
              </w:rPr>
              <w:t>ināti:</w:t>
            </w:r>
          </w:p>
          <w:p w14:paraId="15F3921B" w14:textId="77777777" w:rsidR="007545BD" w:rsidRPr="00C41EB8" w:rsidRDefault="007545BD" w:rsidP="00A73208">
            <w:pPr>
              <w:spacing w:before="0" w:after="0"/>
              <w:rPr>
                <w:rFonts w:eastAsia="Times New Roman"/>
                <w:iCs/>
                <w:noProof/>
                <w:sz w:val="20"/>
              </w:rPr>
            </w:pPr>
          </w:p>
          <w:p w14:paraId="3C38C158" w14:textId="77777777" w:rsidR="007545BD" w:rsidRPr="00C41EB8" w:rsidRDefault="009A507A" w:rsidP="00A73208">
            <w:pPr>
              <w:spacing w:before="0" w:after="0"/>
              <w:rPr>
                <w:rFonts w:eastAsia="Times New Roman"/>
                <w:iCs/>
                <w:noProof/>
                <w:sz w:val="20"/>
              </w:rPr>
            </w:pPr>
            <w:hyperlink r:id="rId82" w:history="1">
              <w:r w:rsidR="007545BD" w:rsidRPr="005B0F39">
                <w:rPr>
                  <w:rStyle w:val="Hyperlink"/>
                  <w:sz w:val="20"/>
                </w:rPr>
                <w:t>http://tap.mk.gov.lv/lv/mk/tap/?pid=40493683</w:t>
              </w:r>
            </w:hyperlink>
            <w:r w:rsidR="007545BD" w:rsidRPr="00C41EB8">
              <w:rPr>
                <w:rStyle w:val="Hyperlink"/>
                <w:noProof/>
                <w:sz w:val="20"/>
              </w:rPr>
              <w:t xml:space="preserve"> </w:t>
            </w:r>
            <w:r w:rsidR="007545BD" w:rsidRPr="00C41EB8">
              <w:rPr>
                <w:rFonts w:eastAsia="Times New Roman"/>
                <w:iCs/>
                <w:noProof/>
                <w:sz w:val="20"/>
              </w:rPr>
              <w:t xml:space="preserve"> (apstiprināts MK 21.01.2021.)</w:t>
            </w:r>
          </w:p>
          <w:p w14:paraId="685E14E6" w14:textId="77777777" w:rsidR="007545BD" w:rsidRPr="00297289" w:rsidRDefault="007545BD" w:rsidP="00A73208">
            <w:pPr>
              <w:spacing w:before="0" w:after="0"/>
              <w:rPr>
                <w:rFonts w:eastAsia="Times New Roman"/>
                <w:iCs/>
                <w:noProof/>
                <w:sz w:val="20"/>
              </w:rPr>
            </w:pPr>
            <w:r w:rsidRPr="00297289">
              <w:rPr>
                <w:rFonts w:eastAsia="Times New Roman"/>
                <w:iCs/>
                <w:noProof/>
                <w:sz w:val="20"/>
                <w:u w:val="single"/>
              </w:rPr>
              <w:t>Ieguldījumu trūkums</w:t>
            </w:r>
            <w:r w:rsidRPr="00297289">
              <w:rPr>
                <w:rFonts w:eastAsia="Times New Roman"/>
                <w:iCs/>
                <w:noProof/>
                <w:sz w:val="20"/>
              </w:rPr>
              <w:t xml:space="preserve"> iekļauts AAVP2028 7.nodaļā plānā paredzēto pasākumu īstenošanai nepieciešamais un pieejamais finansējums un tā avoti</w:t>
            </w:r>
          </w:p>
          <w:p w14:paraId="7C54A3C7" w14:textId="77777777" w:rsidR="007545BD" w:rsidRPr="00297289" w:rsidRDefault="007545BD" w:rsidP="00A73208">
            <w:pPr>
              <w:spacing w:before="0" w:after="0"/>
              <w:rPr>
                <w:rFonts w:eastAsia="Times New Roman"/>
                <w:iCs/>
                <w:noProof/>
                <w:sz w:val="20"/>
              </w:rPr>
            </w:pPr>
            <w:r w:rsidRPr="00297289">
              <w:rPr>
                <w:rFonts w:eastAsia="Times New Roman"/>
                <w:iCs/>
                <w:noProof/>
                <w:sz w:val="20"/>
                <w:u w:val="single"/>
              </w:rPr>
              <w:t>Pamatojums esošo infrastruktūras pārprofilēšanai</w:t>
            </w:r>
            <w:r w:rsidRPr="00297289">
              <w:rPr>
                <w:rFonts w:eastAsia="Times New Roman"/>
                <w:iCs/>
                <w:noProof/>
                <w:sz w:val="20"/>
              </w:rPr>
              <w:t xml:space="preserve"> sniegts 4.3. apakšnodaļā  Poligonu infrastruktūras optimizācija. Tāpat saistoša informācija sniegta arī citās sadaļās.</w:t>
            </w:r>
          </w:p>
          <w:p w14:paraId="561BFC88" w14:textId="77777777" w:rsidR="007545BD" w:rsidRPr="003F06FA" w:rsidRDefault="007545BD" w:rsidP="00A73208">
            <w:pPr>
              <w:spacing w:before="0" w:after="0"/>
              <w:rPr>
                <w:rFonts w:eastAsia="Times New Roman"/>
                <w:iCs/>
                <w:noProof/>
                <w:color w:val="FF0000"/>
                <w:sz w:val="20"/>
              </w:rPr>
            </w:pPr>
          </w:p>
          <w:p w14:paraId="0AB3D556" w14:textId="77777777" w:rsidR="007545BD" w:rsidRDefault="009A507A" w:rsidP="00A73208">
            <w:pPr>
              <w:spacing w:before="0" w:after="0"/>
              <w:rPr>
                <w:rStyle w:val="Hyperlink"/>
                <w:noProof/>
                <w:sz w:val="20"/>
              </w:rPr>
            </w:pPr>
            <w:hyperlink r:id="rId83" w:history="1">
              <w:r w:rsidR="007545BD" w:rsidRPr="005B0F39">
                <w:rPr>
                  <w:rStyle w:val="Hyperlink"/>
                  <w:sz w:val="20"/>
                </w:rPr>
                <w:t>https://www.varam.gov.lv/lv/petijumi-vides-un-dabas-joma</w:t>
              </w:r>
            </w:hyperlink>
            <w:r w:rsidR="007545BD" w:rsidRPr="00C41EB8">
              <w:rPr>
                <w:rStyle w:val="Hyperlink"/>
                <w:noProof/>
                <w:sz w:val="20"/>
              </w:rPr>
              <w:t xml:space="preserve"> </w:t>
            </w:r>
          </w:p>
          <w:p w14:paraId="300BF53F" w14:textId="77777777" w:rsidR="007545BD" w:rsidRPr="00297289" w:rsidRDefault="007545BD" w:rsidP="00A73208">
            <w:pPr>
              <w:spacing w:before="0" w:after="0"/>
              <w:rPr>
                <w:rFonts w:eastAsia="Times New Roman"/>
                <w:iCs/>
                <w:noProof/>
                <w:sz w:val="20"/>
              </w:rPr>
            </w:pPr>
            <w:r w:rsidRPr="00297289">
              <w:rPr>
                <w:rFonts w:eastAsia="Times New Roman"/>
                <w:iCs/>
                <w:noProof/>
                <w:sz w:val="20"/>
                <w:u w:val="single"/>
              </w:rPr>
              <w:t>Ieguldījumu trūkuma novērtējums</w:t>
            </w:r>
            <w:r w:rsidRPr="00297289">
              <w:rPr>
                <w:rFonts w:eastAsia="Times New Roman"/>
                <w:iCs/>
                <w:noProof/>
                <w:sz w:val="20"/>
              </w:rPr>
              <w:t xml:space="preserve"> sniegts IVZ AAVP2018 7.2. apakšnodaļā Esošās sistēmas potenciāls mērķu sasniegšanā un attīstības programmas īstenošanas sagaidāmie rezultāti, 8.nodaļā Atkritumu apsaimniekošanas sektora investīciju prioritātes, potenciālie finansēšanas avoti</w:t>
            </w:r>
          </w:p>
          <w:p w14:paraId="55CC43C8" w14:textId="77777777" w:rsidR="007545BD" w:rsidRPr="00C41EB8" w:rsidRDefault="007545BD" w:rsidP="00A73208">
            <w:pPr>
              <w:spacing w:before="0" w:after="0"/>
              <w:rPr>
                <w:rFonts w:eastAsia="Times New Roman"/>
                <w:iCs/>
                <w:noProof/>
                <w:sz w:val="20"/>
              </w:rPr>
            </w:pPr>
            <w:r w:rsidRPr="00297289">
              <w:rPr>
                <w:rFonts w:eastAsia="Times New Roman"/>
                <w:iCs/>
                <w:noProof/>
                <w:sz w:val="20"/>
                <w:u w:val="single"/>
              </w:rPr>
              <w:t>Pamatojums esošo infrastruktūras pārprofilēšanai</w:t>
            </w:r>
            <w:r w:rsidRPr="00297289">
              <w:rPr>
                <w:rFonts w:eastAsia="Times New Roman"/>
                <w:iCs/>
                <w:noProof/>
                <w:sz w:val="20"/>
              </w:rPr>
              <w:t xml:space="preserve"> iekļauts 6.nodaļā Priekšlikumi atkritumu apsaimniekošanas reģionu robežu pārskatīšanai. Tāpat saistoša informācija sniegta arī citās sadaļās</w:t>
            </w:r>
          </w:p>
        </w:tc>
      </w:tr>
      <w:tr w:rsidR="007545BD" w:rsidRPr="00C41EB8" w14:paraId="41BA016E" w14:textId="77777777" w:rsidTr="00A73208">
        <w:tc>
          <w:tcPr>
            <w:tcW w:w="562" w:type="dxa"/>
            <w:shd w:val="clear" w:color="auto" w:fill="auto"/>
          </w:tcPr>
          <w:p w14:paraId="7FC27B80"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auto"/>
          </w:tcPr>
          <w:p w14:paraId="6308D0BD" w14:textId="77777777" w:rsidR="007545BD" w:rsidRPr="00C41EB8" w:rsidRDefault="007545BD" w:rsidP="00A73208">
            <w:pPr>
              <w:spacing w:before="0" w:after="0"/>
              <w:jc w:val="left"/>
              <w:rPr>
                <w:noProof/>
                <w:sz w:val="20"/>
              </w:rPr>
            </w:pPr>
          </w:p>
        </w:tc>
        <w:tc>
          <w:tcPr>
            <w:tcW w:w="851" w:type="dxa"/>
            <w:vMerge/>
            <w:shd w:val="clear" w:color="auto" w:fill="auto"/>
          </w:tcPr>
          <w:p w14:paraId="643CCA95" w14:textId="77777777" w:rsidR="007545BD" w:rsidRPr="00C41EB8" w:rsidRDefault="007545BD" w:rsidP="00A73208">
            <w:pPr>
              <w:spacing w:before="0" w:after="0"/>
              <w:jc w:val="left"/>
              <w:rPr>
                <w:rFonts w:eastAsia="Times New Roman"/>
                <w:iCs/>
                <w:noProof/>
                <w:sz w:val="20"/>
              </w:rPr>
            </w:pPr>
          </w:p>
        </w:tc>
        <w:tc>
          <w:tcPr>
            <w:tcW w:w="1134" w:type="dxa"/>
            <w:vMerge/>
            <w:shd w:val="clear" w:color="auto" w:fill="auto"/>
          </w:tcPr>
          <w:p w14:paraId="0B34B3DD" w14:textId="77777777" w:rsidR="007545BD" w:rsidRPr="00C41EB8" w:rsidRDefault="007545BD" w:rsidP="00A73208">
            <w:pPr>
              <w:spacing w:before="0" w:after="0"/>
              <w:jc w:val="left"/>
              <w:rPr>
                <w:rFonts w:eastAsia="Times New Roman"/>
                <w:iCs/>
                <w:noProof/>
                <w:sz w:val="20"/>
              </w:rPr>
            </w:pPr>
          </w:p>
        </w:tc>
        <w:tc>
          <w:tcPr>
            <w:tcW w:w="850" w:type="dxa"/>
            <w:vMerge/>
            <w:shd w:val="clear" w:color="auto" w:fill="auto"/>
          </w:tcPr>
          <w:p w14:paraId="7FE4D0D1" w14:textId="77777777" w:rsidR="007545BD" w:rsidRPr="00C41EB8" w:rsidRDefault="007545BD" w:rsidP="00A73208">
            <w:pPr>
              <w:spacing w:before="0" w:after="0"/>
              <w:jc w:val="left"/>
              <w:rPr>
                <w:rFonts w:eastAsia="Times New Roman"/>
                <w:iCs/>
                <w:noProof/>
                <w:sz w:val="20"/>
              </w:rPr>
            </w:pPr>
          </w:p>
        </w:tc>
        <w:tc>
          <w:tcPr>
            <w:tcW w:w="2410" w:type="dxa"/>
            <w:shd w:val="clear" w:color="auto" w:fill="auto"/>
          </w:tcPr>
          <w:p w14:paraId="082BD039" w14:textId="77777777" w:rsidR="007545BD" w:rsidRPr="00C41EB8" w:rsidRDefault="007545BD" w:rsidP="00A73208">
            <w:pPr>
              <w:spacing w:before="0" w:after="0"/>
              <w:jc w:val="left"/>
              <w:rPr>
                <w:sz w:val="20"/>
              </w:rPr>
            </w:pPr>
            <w:r w:rsidRPr="00C41EB8">
              <w:rPr>
                <w:sz w:val="20"/>
              </w:rPr>
              <w:t>4.Informācija par to, kā tiks noteiktas nākotnes atkritumu apsaimniekošanas vietu atrašanās vietas, un par turpmāko atkritumu apstrādes iekārtu jaudu.</w:t>
            </w:r>
          </w:p>
        </w:tc>
        <w:tc>
          <w:tcPr>
            <w:tcW w:w="1134" w:type="dxa"/>
            <w:shd w:val="clear" w:color="auto" w:fill="auto"/>
          </w:tcPr>
          <w:p w14:paraId="13DFDC92" w14:textId="77777777" w:rsidR="007545BD" w:rsidRPr="00865717" w:rsidRDefault="007545BD" w:rsidP="00A73208">
            <w:pPr>
              <w:spacing w:before="0" w:after="0"/>
              <w:jc w:val="left"/>
              <w:rPr>
                <w:b/>
                <w:bCs/>
                <w:noProof/>
                <w:sz w:val="20"/>
              </w:rPr>
            </w:pPr>
            <w:r w:rsidRPr="00865717">
              <w:rPr>
                <w:b/>
                <w:bCs/>
                <w:noProof/>
                <w:sz w:val="20"/>
              </w:rPr>
              <w:t>Jā</w:t>
            </w:r>
          </w:p>
        </w:tc>
        <w:tc>
          <w:tcPr>
            <w:tcW w:w="2410" w:type="dxa"/>
            <w:shd w:val="clear" w:color="auto" w:fill="auto"/>
          </w:tcPr>
          <w:p w14:paraId="0E1D99EB" w14:textId="77777777" w:rsidR="007545BD" w:rsidRPr="00C41EB8" w:rsidRDefault="009A507A" w:rsidP="00A73208">
            <w:pPr>
              <w:spacing w:before="0" w:after="0"/>
              <w:jc w:val="left"/>
              <w:rPr>
                <w:noProof/>
                <w:sz w:val="20"/>
              </w:rPr>
            </w:pPr>
            <w:hyperlink r:id="rId84" w:history="1">
              <w:r w:rsidR="007545BD" w:rsidRPr="00C41EB8">
                <w:rPr>
                  <w:rStyle w:val="Hyperlink"/>
                  <w:noProof/>
                  <w:sz w:val="20"/>
                </w:rPr>
                <w:t>Atkritumu apsaimniekošanas valsts plāns 2021.-2028.gadam</w:t>
              </w:r>
            </w:hyperlink>
          </w:p>
          <w:p w14:paraId="20A68DC9" w14:textId="77777777" w:rsidR="007545BD" w:rsidRPr="00C41EB8" w:rsidRDefault="007545BD" w:rsidP="00A73208">
            <w:pPr>
              <w:spacing w:before="0" w:after="0"/>
              <w:jc w:val="left"/>
              <w:rPr>
                <w:noProof/>
                <w:sz w:val="20"/>
              </w:rPr>
            </w:pPr>
          </w:p>
          <w:p w14:paraId="309A2173" w14:textId="77777777" w:rsidR="007545BD" w:rsidRPr="00C41EB8" w:rsidRDefault="007545BD" w:rsidP="00A73208">
            <w:pPr>
              <w:spacing w:before="0" w:after="0"/>
              <w:jc w:val="left"/>
              <w:rPr>
                <w:noProof/>
                <w:sz w:val="20"/>
              </w:rPr>
            </w:pPr>
            <w:r w:rsidRPr="00C41EB8">
              <w:rPr>
                <w:noProof/>
                <w:sz w:val="20"/>
              </w:rPr>
              <w:t>Pētījums “Investīciju vajadzību izvērtējums Atkritumu apsaimniekošanas valsts plāna 2021. - 2028. gadam izstrādei”</w:t>
            </w:r>
          </w:p>
          <w:p w14:paraId="240212EB" w14:textId="77777777" w:rsidR="007545BD" w:rsidRPr="00C41EB8" w:rsidRDefault="007545BD" w:rsidP="00A73208">
            <w:pPr>
              <w:spacing w:before="0" w:after="0"/>
              <w:jc w:val="left"/>
              <w:rPr>
                <w:noProof/>
                <w:sz w:val="20"/>
              </w:rPr>
            </w:pPr>
          </w:p>
        </w:tc>
        <w:tc>
          <w:tcPr>
            <w:tcW w:w="3686" w:type="dxa"/>
            <w:shd w:val="clear" w:color="auto" w:fill="auto"/>
          </w:tcPr>
          <w:p w14:paraId="7E9C888D" w14:textId="77777777" w:rsidR="007545BD" w:rsidRPr="00C41EB8" w:rsidRDefault="007545BD" w:rsidP="00A73208">
            <w:pPr>
              <w:spacing w:before="0" w:after="0"/>
              <w:rPr>
                <w:rFonts w:eastAsia="Times New Roman"/>
                <w:iCs/>
                <w:noProof/>
                <w:sz w:val="20"/>
              </w:rPr>
            </w:pPr>
            <w:r w:rsidRPr="00C41EB8">
              <w:rPr>
                <w:rFonts w:eastAsia="Times New Roman"/>
                <w:iCs/>
                <w:noProof/>
                <w:sz w:val="20"/>
              </w:rPr>
              <w:t>Dokumenti izstrādāti un apstip</w:t>
            </w:r>
            <w:r>
              <w:rPr>
                <w:rFonts w:eastAsia="Times New Roman"/>
                <w:iCs/>
                <w:noProof/>
                <w:sz w:val="20"/>
              </w:rPr>
              <w:t>r</w:t>
            </w:r>
            <w:r w:rsidRPr="00C41EB8">
              <w:rPr>
                <w:rFonts w:eastAsia="Times New Roman"/>
                <w:iCs/>
                <w:noProof/>
                <w:sz w:val="20"/>
              </w:rPr>
              <w:t>ināti:</w:t>
            </w:r>
          </w:p>
          <w:p w14:paraId="562F787D" w14:textId="77777777" w:rsidR="007545BD" w:rsidRPr="00C41EB8" w:rsidRDefault="007545BD" w:rsidP="00A73208">
            <w:pPr>
              <w:spacing w:before="0" w:after="0"/>
              <w:rPr>
                <w:rFonts w:eastAsia="Times New Roman"/>
                <w:iCs/>
                <w:noProof/>
                <w:sz w:val="20"/>
              </w:rPr>
            </w:pPr>
          </w:p>
          <w:p w14:paraId="762E4992" w14:textId="77777777" w:rsidR="007545BD" w:rsidRPr="00C41EB8" w:rsidRDefault="009A507A" w:rsidP="00A73208">
            <w:pPr>
              <w:spacing w:before="0" w:after="0"/>
              <w:rPr>
                <w:rFonts w:eastAsia="Times New Roman"/>
                <w:iCs/>
                <w:noProof/>
                <w:sz w:val="20"/>
              </w:rPr>
            </w:pPr>
            <w:hyperlink r:id="rId85" w:history="1">
              <w:r w:rsidR="007545BD" w:rsidRPr="005B0F39">
                <w:rPr>
                  <w:rStyle w:val="Hyperlink"/>
                  <w:sz w:val="20"/>
                </w:rPr>
                <w:t>http://tap.mk.gov.lv/lv/mk/tap/?pid=40493683</w:t>
              </w:r>
            </w:hyperlink>
            <w:r w:rsidR="007545BD" w:rsidRPr="00C41EB8">
              <w:rPr>
                <w:rStyle w:val="Hyperlink"/>
                <w:noProof/>
                <w:sz w:val="20"/>
              </w:rPr>
              <w:t xml:space="preserve"> </w:t>
            </w:r>
            <w:r w:rsidR="007545BD" w:rsidRPr="00C41EB8">
              <w:rPr>
                <w:rFonts w:eastAsia="Times New Roman"/>
                <w:iCs/>
                <w:noProof/>
                <w:sz w:val="20"/>
              </w:rPr>
              <w:t xml:space="preserve"> (apstiprināts MK 21.01.2021.)</w:t>
            </w:r>
          </w:p>
          <w:p w14:paraId="68C95109" w14:textId="77777777" w:rsidR="007545BD" w:rsidRPr="00297289" w:rsidRDefault="007545BD" w:rsidP="00A73208">
            <w:pPr>
              <w:spacing w:before="0" w:after="0"/>
              <w:rPr>
                <w:rFonts w:eastAsia="Times New Roman"/>
                <w:iCs/>
                <w:noProof/>
                <w:sz w:val="20"/>
              </w:rPr>
            </w:pPr>
            <w:r w:rsidRPr="00297289">
              <w:rPr>
                <w:rFonts w:eastAsia="Times New Roman"/>
                <w:iCs/>
                <w:noProof/>
                <w:sz w:val="20"/>
                <w:u w:val="single"/>
              </w:rPr>
              <w:t>Atrašanās vietas un jaudas</w:t>
            </w:r>
            <w:r w:rsidRPr="00297289">
              <w:rPr>
                <w:rFonts w:eastAsia="Times New Roman"/>
                <w:iCs/>
                <w:noProof/>
                <w:sz w:val="20"/>
              </w:rPr>
              <w:t xml:space="preserve"> ir izskatītas AAVP2028 5.nodaļā Atkritumu apsaimniekošanas sistēmas attīstības virzieni. Tāpat saistoša informācija sniegta arī citās sadaļās</w:t>
            </w:r>
            <w:r>
              <w:rPr>
                <w:rFonts w:eastAsia="Times New Roman"/>
                <w:iCs/>
                <w:noProof/>
                <w:sz w:val="20"/>
              </w:rPr>
              <w:t>.</w:t>
            </w:r>
          </w:p>
          <w:p w14:paraId="0E36AECC" w14:textId="77777777" w:rsidR="007545BD" w:rsidRDefault="009A507A" w:rsidP="00A73208">
            <w:pPr>
              <w:spacing w:before="0" w:after="0"/>
              <w:rPr>
                <w:rStyle w:val="Hyperlink"/>
                <w:noProof/>
                <w:sz w:val="20"/>
              </w:rPr>
            </w:pPr>
            <w:hyperlink r:id="rId86" w:history="1">
              <w:r w:rsidR="007545BD" w:rsidRPr="005B0F39">
                <w:rPr>
                  <w:rStyle w:val="Hyperlink"/>
                  <w:sz w:val="20"/>
                </w:rPr>
                <w:t>https://www.varam.gov.lv/lv/petijumi-vides-un-dabas-joma</w:t>
              </w:r>
            </w:hyperlink>
            <w:r w:rsidR="007545BD" w:rsidRPr="00C41EB8">
              <w:rPr>
                <w:rStyle w:val="Hyperlink"/>
                <w:noProof/>
                <w:sz w:val="20"/>
              </w:rPr>
              <w:t xml:space="preserve"> </w:t>
            </w:r>
          </w:p>
          <w:p w14:paraId="62DC8A7E" w14:textId="77777777" w:rsidR="007545BD" w:rsidRPr="00C41EB8" w:rsidRDefault="007545BD" w:rsidP="00A73208">
            <w:pPr>
              <w:spacing w:before="0" w:after="0"/>
              <w:rPr>
                <w:rFonts w:eastAsia="Times New Roman"/>
                <w:iCs/>
                <w:noProof/>
                <w:sz w:val="20"/>
              </w:rPr>
            </w:pPr>
            <w:r w:rsidRPr="00762091">
              <w:rPr>
                <w:rFonts w:eastAsia="Times New Roman"/>
                <w:iCs/>
                <w:noProof/>
                <w:sz w:val="20"/>
              </w:rPr>
              <w:t xml:space="preserve">Atrašanās vietas un jaudas iekļautas IVZ AAVP2028 7.4 apakšadaļā rekomendācijas sistēmas funkcionālo posmu pilnveidošanai. Tāpat </w:t>
            </w:r>
            <w:r w:rsidRPr="00297289">
              <w:rPr>
                <w:rFonts w:eastAsia="Times New Roman"/>
                <w:iCs/>
                <w:noProof/>
                <w:sz w:val="20"/>
              </w:rPr>
              <w:t>saistoša informācija sniegta arī citās sadaļās.</w:t>
            </w:r>
          </w:p>
        </w:tc>
      </w:tr>
      <w:tr w:rsidR="007545BD" w:rsidRPr="00C41EB8" w14:paraId="1859479D" w14:textId="77777777" w:rsidTr="00A73208">
        <w:trPr>
          <w:trHeight w:val="4150"/>
        </w:trPr>
        <w:tc>
          <w:tcPr>
            <w:tcW w:w="562" w:type="dxa"/>
            <w:shd w:val="clear" w:color="auto" w:fill="D9D9D9" w:themeFill="background1" w:themeFillShade="D9"/>
          </w:tcPr>
          <w:p w14:paraId="17D5A3E4"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shd w:val="clear" w:color="auto" w:fill="D9D9D9" w:themeFill="background1" w:themeFillShade="D9"/>
          </w:tcPr>
          <w:p w14:paraId="79FD2DE1" w14:textId="77777777" w:rsidR="007545BD" w:rsidRPr="00C41EB8" w:rsidRDefault="007545BD" w:rsidP="00A73208">
            <w:pPr>
              <w:spacing w:before="0" w:after="0"/>
              <w:jc w:val="left"/>
              <w:rPr>
                <w:noProof/>
                <w:sz w:val="20"/>
              </w:rPr>
            </w:pPr>
            <w:r w:rsidRPr="00C41EB8">
              <w:rPr>
                <w:noProof/>
                <w:sz w:val="20"/>
              </w:rPr>
              <w:t xml:space="preserve">Tematiskais priekšnosacījums Nr. 7bis </w:t>
            </w:r>
          </w:p>
          <w:p w14:paraId="00D5F898" w14:textId="77777777" w:rsidR="007545BD" w:rsidRPr="00C41EB8" w:rsidRDefault="007545BD" w:rsidP="00A73208">
            <w:pPr>
              <w:spacing w:before="0" w:after="0"/>
              <w:jc w:val="left"/>
              <w:rPr>
                <w:noProof/>
                <w:sz w:val="20"/>
              </w:rPr>
            </w:pPr>
            <w:r w:rsidRPr="00C41EB8">
              <w:rPr>
                <w:b/>
                <w:bCs/>
                <w:noProof/>
                <w:sz w:val="20"/>
              </w:rPr>
              <w:t>Natura 2000 teritoriju</w:t>
            </w:r>
            <w:r w:rsidRPr="00C41EB8">
              <w:rPr>
                <w:noProof/>
                <w:sz w:val="20"/>
              </w:rPr>
              <w:t xml:space="preserve"> prioritāro rīcību programma </w:t>
            </w:r>
          </w:p>
        </w:tc>
        <w:tc>
          <w:tcPr>
            <w:tcW w:w="851" w:type="dxa"/>
            <w:shd w:val="clear" w:color="auto" w:fill="D9D9D9" w:themeFill="background1" w:themeFillShade="D9"/>
          </w:tcPr>
          <w:p w14:paraId="2BAE8968"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ERAF</w:t>
            </w:r>
          </w:p>
        </w:tc>
        <w:tc>
          <w:tcPr>
            <w:tcW w:w="1134" w:type="dxa"/>
            <w:shd w:val="clear" w:color="auto" w:fill="D9D9D9" w:themeFill="background1" w:themeFillShade="D9"/>
          </w:tcPr>
          <w:p w14:paraId="61DA185F"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2.2.3.SAM</w:t>
            </w:r>
          </w:p>
        </w:tc>
        <w:tc>
          <w:tcPr>
            <w:tcW w:w="850" w:type="dxa"/>
            <w:shd w:val="clear" w:color="auto" w:fill="D9D9D9" w:themeFill="background1" w:themeFillShade="D9"/>
          </w:tcPr>
          <w:p w14:paraId="06E5E5B2"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Nē</w:t>
            </w:r>
          </w:p>
        </w:tc>
        <w:tc>
          <w:tcPr>
            <w:tcW w:w="2410" w:type="dxa"/>
            <w:shd w:val="clear" w:color="auto" w:fill="D9D9D9" w:themeFill="background1" w:themeFillShade="D9"/>
          </w:tcPr>
          <w:p w14:paraId="3CA98C1F" w14:textId="77777777" w:rsidR="007545BD" w:rsidRPr="00C41EB8" w:rsidRDefault="007545BD" w:rsidP="00A73208">
            <w:pPr>
              <w:spacing w:before="0" w:after="0"/>
              <w:jc w:val="left"/>
              <w:rPr>
                <w:sz w:val="20"/>
              </w:rPr>
            </w:pPr>
            <w:r w:rsidRPr="00C41EB8">
              <w:rPr>
                <w:sz w:val="20"/>
              </w:rPr>
              <w:t>Ir sagatavota Natura 2000 teritoriju prioritāro rīcību programma 2021. – 2027.gadam, saskaņā ar Direktīvas 92/43 / EEK 8. pantu, kas ietver:</w:t>
            </w:r>
          </w:p>
          <w:p w14:paraId="4F714C6A" w14:textId="77777777" w:rsidR="007545BD" w:rsidRPr="00C41EB8" w:rsidRDefault="007545BD" w:rsidP="00A73208">
            <w:pPr>
              <w:pStyle w:val="ListParagraph"/>
              <w:numPr>
                <w:ilvl w:val="0"/>
                <w:numId w:val="62"/>
              </w:numPr>
              <w:spacing w:after="0" w:line="240" w:lineRule="auto"/>
              <w:ind w:left="179" w:hanging="141"/>
              <w:rPr>
                <w:rFonts w:ascii="Times New Roman" w:hAnsi="Times New Roman" w:cs="Times New Roman"/>
                <w:sz w:val="20"/>
                <w:szCs w:val="20"/>
              </w:rPr>
            </w:pPr>
            <w:r w:rsidRPr="00C41EB8">
              <w:rPr>
                <w:rFonts w:ascii="Times New Roman" w:hAnsi="Times New Roman" w:cs="Times New Roman"/>
                <w:sz w:val="20"/>
                <w:szCs w:val="20"/>
              </w:rPr>
              <w:t>visus elementus, kas iekļauti EK un ES dalībvalstu saskaņotajā prioritāšu rīcības programmas 2021. – 2027. gadam veidnē, tai skaitā prioritāro pasākumus un finansējuma vajadzību novērtējumu.</w:t>
            </w:r>
          </w:p>
        </w:tc>
        <w:tc>
          <w:tcPr>
            <w:tcW w:w="1134" w:type="dxa"/>
            <w:shd w:val="clear" w:color="auto" w:fill="D9D9D9" w:themeFill="background1" w:themeFillShade="D9"/>
          </w:tcPr>
          <w:p w14:paraId="488D5F77" w14:textId="77777777" w:rsidR="007545BD" w:rsidRPr="00C41EB8" w:rsidRDefault="007545BD" w:rsidP="00A73208">
            <w:pPr>
              <w:spacing w:before="0" w:after="0"/>
              <w:jc w:val="left"/>
              <w:rPr>
                <w:noProof/>
                <w:sz w:val="20"/>
              </w:rPr>
            </w:pPr>
            <w:r w:rsidRPr="00C41EB8">
              <w:rPr>
                <w:noProof/>
                <w:sz w:val="20"/>
              </w:rPr>
              <w:t>Nē</w:t>
            </w:r>
          </w:p>
        </w:tc>
        <w:tc>
          <w:tcPr>
            <w:tcW w:w="2410" w:type="dxa"/>
            <w:shd w:val="clear" w:color="auto" w:fill="D9D9D9" w:themeFill="background1" w:themeFillShade="D9"/>
          </w:tcPr>
          <w:p w14:paraId="729433B7" w14:textId="77777777" w:rsidR="007545BD" w:rsidRPr="00C41EB8" w:rsidRDefault="007545BD" w:rsidP="00A73208">
            <w:pPr>
              <w:spacing w:before="0" w:after="0"/>
              <w:jc w:val="left"/>
              <w:rPr>
                <w:noProof/>
                <w:sz w:val="20"/>
              </w:rPr>
            </w:pPr>
            <w:r w:rsidRPr="00C41EB8">
              <w:rPr>
                <w:noProof/>
                <w:sz w:val="20"/>
              </w:rPr>
              <w:t>1.kritērija izpilde:</w:t>
            </w:r>
          </w:p>
          <w:p w14:paraId="3A90EB5E" w14:textId="77777777" w:rsidR="007545BD" w:rsidRPr="00C41EB8" w:rsidRDefault="007545BD" w:rsidP="00A73208">
            <w:pPr>
              <w:spacing w:before="0" w:after="0"/>
              <w:jc w:val="left"/>
              <w:rPr>
                <w:noProof/>
                <w:sz w:val="20"/>
              </w:rPr>
            </w:pPr>
          </w:p>
          <w:p w14:paraId="64A24099" w14:textId="77777777" w:rsidR="007545BD" w:rsidRPr="00C41EB8" w:rsidRDefault="007545BD" w:rsidP="00A73208">
            <w:pPr>
              <w:spacing w:before="0" w:after="0"/>
              <w:jc w:val="left"/>
              <w:rPr>
                <w:noProof/>
                <w:sz w:val="20"/>
              </w:rPr>
            </w:pPr>
            <w:r w:rsidRPr="00C41EB8">
              <w:rPr>
                <w:noProof/>
                <w:sz w:val="20"/>
              </w:rPr>
              <w:t>Natura 2000 teritoriju prioritāro rīcību programma 2021.-2027.gadam</w:t>
            </w:r>
          </w:p>
        </w:tc>
        <w:tc>
          <w:tcPr>
            <w:tcW w:w="3686" w:type="dxa"/>
            <w:shd w:val="clear" w:color="auto" w:fill="D9D9D9" w:themeFill="background1" w:themeFillShade="D9"/>
          </w:tcPr>
          <w:p w14:paraId="3F952A6A" w14:textId="77777777" w:rsidR="007545BD" w:rsidRPr="00762091" w:rsidRDefault="007545BD" w:rsidP="00A73208">
            <w:pPr>
              <w:spacing w:before="0" w:after="0"/>
              <w:rPr>
                <w:rFonts w:eastAsia="Times New Roman"/>
                <w:iCs/>
                <w:noProof/>
                <w:sz w:val="20"/>
              </w:rPr>
            </w:pPr>
            <w:r w:rsidRPr="00C41EB8">
              <w:rPr>
                <w:rFonts w:eastAsia="Times New Roman"/>
                <w:iCs/>
                <w:noProof/>
                <w:sz w:val="20"/>
              </w:rPr>
              <w:t xml:space="preserve">Natura 2000 teritoriju prioritāro rīcību programmas 2021.-2027.gadam projekts 03.12.2020. iesniegts EK atkārtotai izvērtēšanai. Saņemti EK pieprasījumi pēc papildus informācijas iekļaušanas. Tā kā papildus informācijas pieprasījumi saistīti ar Dabas skaitīšanas datu analīzi, tad papildus </w:t>
            </w:r>
            <w:r w:rsidRPr="00762091">
              <w:rPr>
                <w:rFonts w:eastAsia="Times New Roman"/>
                <w:iCs/>
                <w:noProof/>
                <w:sz w:val="20"/>
              </w:rPr>
              <w:t>informāciju varēs sniegt ne ātrāk kā 2021. gada martā. 2021.gada PAF tiks iesniegts oficiāli EK pēc visu precizējumu un pieprasījumu sagatavošanas  neoficiālajā saskaņošanas procesā ar EK.</w:t>
            </w:r>
          </w:p>
          <w:p w14:paraId="5888EF83" w14:textId="77777777" w:rsidR="007545BD" w:rsidRPr="00C41EB8" w:rsidRDefault="007545BD" w:rsidP="00A73208">
            <w:pPr>
              <w:spacing w:before="0" w:after="0"/>
              <w:rPr>
                <w:rFonts w:eastAsia="Times New Roman"/>
                <w:iCs/>
                <w:noProof/>
                <w:sz w:val="20"/>
              </w:rPr>
            </w:pPr>
            <w:r w:rsidRPr="00762091">
              <w:rPr>
                <w:rFonts w:eastAsia="Times New Roman"/>
                <w:iCs/>
                <w:noProof/>
                <w:sz w:val="20"/>
              </w:rPr>
              <w:t xml:space="preserve"> Natura 2000 teritoriju prioritāro rīcību programmas 2021.-</w:t>
            </w:r>
            <w:r w:rsidRPr="00C41EB8">
              <w:rPr>
                <w:rFonts w:eastAsia="Times New Roman"/>
                <w:iCs/>
                <w:noProof/>
                <w:sz w:val="20"/>
              </w:rPr>
              <w:t>2027.gadam projektā iekļautas aplēses par prioritārajiem pasākumiem un to ieviešanai nepieciešamo finansējumu.</w:t>
            </w:r>
          </w:p>
        </w:tc>
      </w:tr>
      <w:tr w:rsidR="007545BD" w:rsidRPr="00C41EB8" w14:paraId="6575D813" w14:textId="77777777" w:rsidTr="00A73208">
        <w:tc>
          <w:tcPr>
            <w:tcW w:w="562" w:type="dxa"/>
          </w:tcPr>
          <w:p w14:paraId="341D0F67"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val="restart"/>
          </w:tcPr>
          <w:p w14:paraId="59E4B330" w14:textId="77777777" w:rsidR="007545BD" w:rsidRPr="00C41EB8" w:rsidRDefault="007545BD" w:rsidP="00A73208">
            <w:pPr>
              <w:spacing w:before="0" w:after="0"/>
              <w:jc w:val="left"/>
              <w:rPr>
                <w:noProof/>
                <w:sz w:val="20"/>
              </w:rPr>
            </w:pPr>
            <w:r w:rsidRPr="00C41EB8">
              <w:rPr>
                <w:noProof/>
                <w:sz w:val="20"/>
              </w:rPr>
              <w:t>Tematiskais priekšnosacījums Nr.8</w:t>
            </w:r>
          </w:p>
          <w:p w14:paraId="35BB314C" w14:textId="77777777" w:rsidR="007545BD" w:rsidRPr="00C41EB8" w:rsidRDefault="007545BD" w:rsidP="00A73208">
            <w:pPr>
              <w:spacing w:before="0" w:after="0"/>
              <w:jc w:val="left"/>
              <w:rPr>
                <w:noProof/>
                <w:sz w:val="20"/>
              </w:rPr>
            </w:pPr>
            <w:r w:rsidRPr="00C41EB8">
              <w:rPr>
                <w:noProof/>
                <w:sz w:val="20"/>
              </w:rPr>
              <w:t xml:space="preserve">Valsts vai reģionālais </w:t>
            </w:r>
            <w:r w:rsidRPr="00C41EB8">
              <w:rPr>
                <w:b/>
                <w:bCs/>
                <w:noProof/>
                <w:sz w:val="20"/>
              </w:rPr>
              <w:t>platjoslas plāns</w:t>
            </w:r>
          </w:p>
        </w:tc>
        <w:tc>
          <w:tcPr>
            <w:tcW w:w="851" w:type="dxa"/>
            <w:vMerge w:val="restart"/>
          </w:tcPr>
          <w:p w14:paraId="695F09EC"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ERAF</w:t>
            </w:r>
          </w:p>
        </w:tc>
        <w:tc>
          <w:tcPr>
            <w:tcW w:w="1134" w:type="dxa"/>
            <w:vMerge w:val="restart"/>
          </w:tcPr>
          <w:p w14:paraId="7E0C905A"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1.4.1.SAM</w:t>
            </w:r>
          </w:p>
        </w:tc>
        <w:tc>
          <w:tcPr>
            <w:tcW w:w="850" w:type="dxa"/>
            <w:vMerge w:val="restart"/>
          </w:tcPr>
          <w:p w14:paraId="430AC2EF"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Nē</w:t>
            </w:r>
          </w:p>
        </w:tc>
        <w:tc>
          <w:tcPr>
            <w:tcW w:w="2410" w:type="dxa"/>
          </w:tcPr>
          <w:p w14:paraId="0EE51694" w14:textId="77777777" w:rsidR="007545BD" w:rsidRPr="00C41EB8" w:rsidRDefault="007545BD" w:rsidP="00A73208">
            <w:pPr>
              <w:spacing w:before="0" w:after="0"/>
              <w:jc w:val="left"/>
              <w:rPr>
                <w:sz w:val="20"/>
              </w:rPr>
            </w:pPr>
            <w:r w:rsidRPr="00C41EB8">
              <w:rPr>
                <w:sz w:val="20"/>
              </w:rPr>
              <w:t>Ir sagatavots valsts vai reģionālais platjoslas plāns, kas ietver:</w:t>
            </w:r>
          </w:p>
          <w:p w14:paraId="059FF7BF" w14:textId="77777777" w:rsidR="007545BD" w:rsidRPr="00C41EB8" w:rsidRDefault="007545BD" w:rsidP="00A73208">
            <w:pPr>
              <w:pStyle w:val="ListParagraph"/>
              <w:numPr>
                <w:ilvl w:val="0"/>
                <w:numId w:val="49"/>
              </w:numPr>
              <w:spacing w:after="0" w:line="240" w:lineRule="auto"/>
              <w:ind w:left="177" w:hanging="183"/>
              <w:rPr>
                <w:rFonts w:ascii="Times New Roman" w:hAnsi="Times New Roman" w:cs="Times New Roman"/>
                <w:sz w:val="20"/>
                <w:szCs w:val="20"/>
              </w:rPr>
            </w:pPr>
            <w:r w:rsidRPr="00C41EB8">
              <w:rPr>
                <w:rFonts w:ascii="Times New Roman" w:hAnsi="Times New Roman" w:cs="Times New Roman"/>
                <w:sz w:val="20"/>
                <w:szCs w:val="20"/>
              </w:rPr>
              <w:t xml:space="preserve"> novērtējumu par investīciju nepietiekamību, kas jārisina, lai sasniegtu ES gigabitu savienojamības mērķus</w:t>
            </w:r>
            <w:r w:rsidRPr="00C41EB8">
              <w:rPr>
                <w:rStyle w:val="FootnoteReference"/>
                <w:rFonts w:ascii="Times New Roman" w:hAnsi="Times New Roman" w:cs="Times New Roman"/>
                <w:sz w:val="20"/>
                <w:szCs w:val="20"/>
              </w:rPr>
              <w:footnoteReference w:id="150"/>
            </w:r>
            <w:r w:rsidRPr="00C41EB8">
              <w:rPr>
                <w:rFonts w:ascii="Times New Roman" w:hAnsi="Times New Roman" w:cs="Times New Roman"/>
                <w:sz w:val="20"/>
                <w:szCs w:val="20"/>
              </w:rPr>
              <w:t>, kuri balstīti uz:</w:t>
            </w:r>
          </w:p>
          <w:p w14:paraId="64F014E7" w14:textId="77777777" w:rsidR="007545BD" w:rsidRPr="00C41EB8" w:rsidRDefault="007545BD" w:rsidP="00A73208">
            <w:pPr>
              <w:pStyle w:val="ListParagraph"/>
              <w:numPr>
                <w:ilvl w:val="0"/>
                <w:numId w:val="50"/>
              </w:numPr>
              <w:spacing w:after="0" w:line="240" w:lineRule="auto"/>
              <w:ind w:left="319" w:hanging="156"/>
              <w:rPr>
                <w:rFonts w:ascii="Times New Roman" w:hAnsi="Times New Roman" w:cs="Times New Roman"/>
                <w:sz w:val="20"/>
                <w:szCs w:val="20"/>
              </w:rPr>
            </w:pPr>
            <w:r w:rsidRPr="00C41EB8">
              <w:rPr>
                <w:rFonts w:ascii="Times New Roman" w:hAnsi="Times New Roman" w:cs="Times New Roman"/>
                <w:sz w:val="20"/>
                <w:szCs w:val="20"/>
              </w:rPr>
              <w:t>aktuālu esošās privātās un publiskās infrastruktūras un pakalpojumu kvalitātes kartējumu</w:t>
            </w:r>
            <w:r w:rsidRPr="00C41EB8">
              <w:rPr>
                <w:rStyle w:val="FootnoteReference"/>
                <w:rFonts w:ascii="Times New Roman" w:hAnsi="Times New Roman" w:cs="Times New Roman"/>
                <w:sz w:val="20"/>
                <w:szCs w:val="20"/>
              </w:rPr>
              <w:footnoteReference w:id="151"/>
            </w:r>
            <w:r w:rsidRPr="00C41EB8">
              <w:rPr>
                <w:rFonts w:ascii="Times New Roman" w:hAnsi="Times New Roman" w:cs="Times New Roman"/>
                <w:sz w:val="20"/>
                <w:szCs w:val="20"/>
              </w:rPr>
              <w:t>, izmantojot standarta platjoslas pārklājuma rādītājus;</w:t>
            </w:r>
          </w:p>
          <w:p w14:paraId="695EDCCC" w14:textId="77777777" w:rsidR="007545BD" w:rsidRPr="00C41EB8" w:rsidRDefault="007545BD" w:rsidP="00A73208">
            <w:pPr>
              <w:pStyle w:val="ListParagraph"/>
              <w:numPr>
                <w:ilvl w:val="0"/>
                <w:numId w:val="50"/>
              </w:numPr>
              <w:spacing w:after="0" w:line="240" w:lineRule="auto"/>
              <w:ind w:left="319" w:hanging="156"/>
              <w:rPr>
                <w:rFonts w:ascii="Times New Roman" w:hAnsi="Times New Roman" w:cs="Times New Roman"/>
                <w:noProof/>
                <w:sz w:val="20"/>
                <w:szCs w:val="20"/>
              </w:rPr>
            </w:pPr>
            <w:r w:rsidRPr="00C41EB8">
              <w:rPr>
                <w:rFonts w:ascii="Times New Roman" w:hAnsi="Times New Roman" w:cs="Times New Roman"/>
                <w:sz w:val="20"/>
                <w:szCs w:val="20"/>
              </w:rPr>
              <w:t>konsultācijām par plānotajiem ieguldījumiem saskaņā ar valsts atbalsta prasībām;</w:t>
            </w:r>
          </w:p>
        </w:tc>
        <w:tc>
          <w:tcPr>
            <w:tcW w:w="1134" w:type="dxa"/>
          </w:tcPr>
          <w:p w14:paraId="77497A1D" w14:textId="77777777" w:rsidR="007545BD" w:rsidRPr="00C41EB8" w:rsidRDefault="007545BD" w:rsidP="00A73208">
            <w:pPr>
              <w:spacing w:before="0" w:after="0"/>
              <w:jc w:val="left"/>
              <w:rPr>
                <w:noProof/>
                <w:sz w:val="20"/>
              </w:rPr>
            </w:pPr>
            <w:r w:rsidRPr="00C41EB8">
              <w:rPr>
                <w:noProof/>
                <w:sz w:val="20"/>
              </w:rPr>
              <w:t>Nē</w:t>
            </w:r>
          </w:p>
        </w:tc>
        <w:tc>
          <w:tcPr>
            <w:tcW w:w="2410" w:type="dxa"/>
          </w:tcPr>
          <w:p w14:paraId="58DE9BFA" w14:textId="77777777" w:rsidR="007545BD" w:rsidRPr="00C41EB8" w:rsidRDefault="007545BD" w:rsidP="00A73208">
            <w:pPr>
              <w:spacing w:before="0" w:after="0"/>
              <w:jc w:val="left"/>
              <w:rPr>
                <w:noProof/>
                <w:sz w:val="20"/>
              </w:rPr>
            </w:pPr>
            <w:r w:rsidRPr="00C41EB8">
              <w:rPr>
                <w:noProof/>
                <w:sz w:val="20"/>
              </w:rPr>
              <w:t>1.kritērija izpilde:</w:t>
            </w:r>
          </w:p>
          <w:p w14:paraId="6F129FF5" w14:textId="77777777" w:rsidR="007545BD" w:rsidRPr="00C41EB8" w:rsidRDefault="007545BD" w:rsidP="00A73208">
            <w:pPr>
              <w:spacing w:before="0" w:after="0"/>
              <w:jc w:val="left"/>
              <w:rPr>
                <w:noProof/>
                <w:sz w:val="20"/>
              </w:rPr>
            </w:pPr>
          </w:p>
          <w:p w14:paraId="388F678D" w14:textId="77777777" w:rsidR="007545BD" w:rsidRPr="00C41EB8" w:rsidRDefault="009A507A" w:rsidP="00A73208">
            <w:pPr>
              <w:spacing w:before="0" w:after="0"/>
              <w:jc w:val="left"/>
              <w:rPr>
                <w:noProof/>
                <w:sz w:val="20"/>
              </w:rPr>
            </w:pPr>
            <w:hyperlink r:id="rId87" w:history="1">
              <w:r w:rsidR="007545BD" w:rsidRPr="00C41EB8">
                <w:rPr>
                  <w:rStyle w:val="Hyperlink"/>
                  <w:noProof/>
                  <w:sz w:val="20"/>
                </w:rPr>
                <w:t>Elektronisko sakaru nozares attīstības plāns 2021.-2027.gadam (projekts)</w:t>
              </w:r>
            </w:hyperlink>
          </w:p>
        </w:tc>
        <w:tc>
          <w:tcPr>
            <w:tcW w:w="3686" w:type="dxa"/>
          </w:tcPr>
          <w:p w14:paraId="70845546" w14:textId="77777777" w:rsidR="007545BD" w:rsidRPr="00632378" w:rsidRDefault="007545BD" w:rsidP="00A73208">
            <w:pPr>
              <w:spacing w:before="0" w:after="0"/>
              <w:rPr>
                <w:noProof/>
                <w:sz w:val="20"/>
                <w:u w:val="single"/>
              </w:rPr>
            </w:pPr>
            <w:r w:rsidRPr="00632378">
              <w:rPr>
                <w:iCs/>
                <w:noProof/>
                <w:sz w:val="20"/>
              </w:rPr>
              <w:t>Progresā.</w:t>
            </w:r>
            <w:r w:rsidRPr="005B0F39">
              <w:rPr>
                <w:iCs/>
                <w:noProof/>
                <w:color w:val="FF0000"/>
                <w:sz w:val="20"/>
              </w:rPr>
              <w:t xml:space="preserve"> </w:t>
            </w:r>
            <w:hyperlink r:id="rId88" w:history="1">
              <w:r w:rsidRPr="005B0F39">
                <w:rPr>
                  <w:rStyle w:val="Hyperlink"/>
                  <w:noProof/>
                  <w:sz w:val="20"/>
                </w:rPr>
                <w:t>Elektronisko sakaru nozares attīstības plāna 2021. -2027. gadam projekts</w:t>
              </w:r>
            </w:hyperlink>
            <w:r w:rsidRPr="005B0F39">
              <w:rPr>
                <w:noProof/>
                <w:color w:val="FF0000"/>
                <w:sz w:val="20"/>
                <w:u w:val="single"/>
              </w:rPr>
              <w:t xml:space="preserve"> </w:t>
            </w:r>
            <w:r w:rsidRPr="00632378">
              <w:rPr>
                <w:noProof/>
                <w:sz w:val="20"/>
                <w:u w:val="single"/>
              </w:rPr>
              <w:t xml:space="preserve">nodots sabiedriskā apspriešanā līdz 31.03.2021. </w:t>
            </w:r>
          </w:p>
          <w:p w14:paraId="1FC86275" w14:textId="77777777" w:rsidR="007545BD" w:rsidRPr="005B0F39" w:rsidRDefault="007545BD" w:rsidP="00A73208">
            <w:pPr>
              <w:spacing w:before="0" w:after="0"/>
              <w:rPr>
                <w:rFonts w:eastAsia="Times New Roman"/>
                <w:iCs/>
                <w:noProof/>
                <w:color w:val="FF0000"/>
                <w:sz w:val="20"/>
              </w:rPr>
            </w:pPr>
            <w:r w:rsidRPr="00632378">
              <w:rPr>
                <w:rFonts w:eastAsia="Times New Roman"/>
                <w:iCs/>
                <w:noProof/>
                <w:sz w:val="20"/>
              </w:rPr>
              <w:t>Satiksmes ministrijas pasūtītajā “Pētījumu Eiropas Savienības fondu 2021. -2027. gada plānošanas perioda ieguldījumu priekšnosacījumu izpildei”</w:t>
            </w:r>
            <w:r w:rsidRPr="00632378">
              <w:rPr>
                <w:rFonts w:eastAsia="Times New Roman"/>
                <w:iCs/>
                <w:noProof/>
                <w:sz w:val="20"/>
                <w:vertAlign w:val="superscript"/>
              </w:rPr>
              <w:footnoteReference w:id="152"/>
            </w:r>
            <w:r w:rsidRPr="00632378">
              <w:rPr>
                <w:rFonts w:eastAsia="Times New Roman"/>
                <w:iCs/>
                <w:noProof/>
                <w:sz w:val="20"/>
              </w:rPr>
              <w:t xml:space="preserve"> sniegts novērtējums par investīciju nepietiekamību, kas jārisina, lai sasniegtu ES gigabitu savienojamības mērķus un plānotās valsts intervences pamatojums, pamatojoties uz ilgtspējīgiem ieguldījumu modeļiem, tas ir, 1. un 2. kritērija izpilde. Balstoties uz iepriekš minēto pētījumu, Elektronisko sakaru nozares attīstības plānā 2021.-2027.gadam (projekts) iekļauti galvenie secinājumi no pētījuma un sagatavoti attiecīgi atbalsta pasākumi (skat. plāna projekta sadaļu “1.rīcības virziens – Savienojamības paziņojumam atbilstošas platjoslas elektronisko sakaru infrastruktūras attīstīšana”, galvenie secinājumi sadaļā “1.3.</w:t>
            </w:r>
            <w:r w:rsidRPr="00632378">
              <w:rPr>
                <w:rFonts w:eastAsia="Times New Roman"/>
                <w:iCs/>
                <w:noProof/>
                <w:sz w:val="20"/>
              </w:rPr>
              <w:tab/>
              <w:t xml:space="preserve">Pasākums – “vidējās jūdzes” un “pēdējās jūdzes” elektronisko sakaru tīklu infrastruktūras attīstīšana”). </w:t>
            </w:r>
          </w:p>
        </w:tc>
      </w:tr>
      <w:tr w:rsidR="007545BD" w:rsidRPr="00C41EB8" w14:paraId="0E71ABBA" w14:textId="77777777" w:rsidTr="00A73208">
        <w:tc>
          <w:tcPr>
            <w:tcW w:w="562" w:type="dxa"/>
          </w:tcPr>
          <w:p w14:paraId="74EF4C3B"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1B4C72E4" w14:textId="77777777" w:rsidR="007545BD" w:rsidRPr="00C41EB8" w:rsidRDefault="007545BD" w:rsidP="00A73208">
            <w:pPr>
              <w:spacing w:before="0" w:after="0"/>
              <w:jc w:val="left"/>
              <w:rPr>
                <w:noProof/>
                <w:sz w:val="20"/>
              </w:rPr>
            </w:pPr>
          </w:p>
        </w:tc>
        <w:tc>
          <w:tcPr>
            <w:tcW w:w="851" w:type="dxa"/>
            <w:vMerge/>
          </w:tcPr>
          <w:p w14:paraId="5EE04741" w14:textId="77777777" w:rsidR="007545BD" w:rsidRPr="00C41EB8" w:rsidRDefault="007545BD" w:rsidP="00A73208">
            <w:pPr>
              <w:spacing w:before="0" w:after="0"/>
              <w:jc w:val="left"/>
              <w:rPr>
                <w:rFonts w:eastAsia="Times New Roman"/>
                <w:iCs/>
                <w:noProof/>
                <w:sz w:val="20"/>
              </w:rPr>
            </w:pPr>
          </w:p>
        </w:tc>
        <w:tc>
          <w:tcPr>
            <w:tcW w:w="1134" w:type="dxa"/>
            <w:vMerge/>
          </w:tcPr>
          <w:p w14:paraId="5D1A6BD1" w14:textId="77777777" w:rsidR="007545BD" w:rsidRPr="00C41EB8" w:rsidRDefault="007545BD" w:rsidP="00A73208">
            <w:pPr>
              <w:spacing w:before="0" w:after="0"/>
              <w:jc w:val="left"/>
              <w:rPr>
                <w:rFonts w:eastAsia="Times New Roman"/>
                <w:iCs/>
                <w:noProof/>
                <w:sz w:val="20"/>
              </w:rPr>
            </w:pPr>
          </w:p>
        </w:tc>
        <w:tc>
          <w:tcPr>
            <w:tcW w:w="850" w:type="dxa"/>
            <w:vMerge/>
          </w:tcPr>
          <w:p w14:paraId="59A71DA5" w14:textId="77777777" w:rsidR="007545BD" w:rsidRPr="00C41EB8" w:rsidRDefault="007545BD" w:rsidP="00A73208">
            <w:pPr>
              <w:spacing w:before="0" w:after="0"/>
              <w:jc w:val="left"/>
              <w:rPr>
                <w:rFonts w:eastAsia="Times New Roman"/>
                <w:iCs/>
                <w:noProof/>
                <w:sz w:val="20"/>
              </w:rPr>
            </w:pPr>
          </w:p>
        </w:tc>
        <w:tc>
          <w:tcPr>
            <w:tcW w:w="2410" w:type="dxa"/>
          </w:tcPr>
          <w:p w14:paraId="7B293248" w14:textId="77777777" w:rsidR="007545BD" w:rsidRPr="00C41EB8" w:rsidRDefault="007545BD" w:rsidP="00A73208">
            <w:pPr>
              <w:pStyle w:val="ListParagraph"/>
              <w:numPr>
                <w:ilvl w:val="0"/>
                <w:numId w:val="49"/>
              </w:numPr>
              <w:spacing w:after="0" w:line="240" w:lineRule="auto"/>
              <w:ind w:left="177" w:hanging="177"/>
              <w:rPr>
                <w:rFonts w:ascii="Times New Roman" w:hAnsi="Times New Roman" w:cs="Times New Roman"/>
                <w:sz w:val="20"/>
                <w:szCs w:val="20"/>
              </w:rPr>
            </w:pPr>
            <w:r w:rsidRPr="00C41EB8">
              <w:rPr>
                <w:rFonts w:ascii="Times New Roman" w:hAnsi="Times New Roman" w:cs="Times New Roman"/>
                <w:sz w:val="20"/>
                <w:szCs w:val="20"/>
              </w:rPr>
              <w:t>Plānotās valsts intervences pamatojums, pamatojoties uz ilgtspējīgiem ieguldījumu modeļiem, kas:</w:t>
            </w:r>
          </w:p>
          <w:p w14:paraId="767AF135" w14:textId="77777777" w:rsidR="007545BD" w:rsidRPr="00C41EB8" w:rsidRDefault="007545BD" w:rsidP="00A73208">
            <w:pPr>
              <w:pStyle w:val="ListParagraph"/>
              <w:numPr>
                <w:ilvl w:val="0"/>
                <w:numId w:val="51"/>
              </w:numPr>
              <w:spacing w:after="0" w:line="240" w:lineRule="auto"/>
              <w:ind w:left="319" w:hanging="142"/>
              <w:rPr>
                <w:rFonts w:ascii="Times New Roman" w:hAnsi="Times New Roman" w:cs="Times New Roman"/>
                <w:sz w:val="20"/>
                <w:szCs w:val="20"/>
              </w:rPr>
            </w:pPr>
            <w:r w:rsidRPr="00C41EB8">
              <w:rPr>
                <w:rFonts w:ascii="Times New Roman" w:hAnsi="Times New Roman" w:cs="Times New Roman"/>
                <w:sz w:val="20"/>
                <w:szCs w:val="20"/>
              </w:rPr>
              <w:t>uzlabo pieejamību un piekļuvi atvērtai, kvalitatīvai un nākotnē drošai infrastruktūrai un pakalpojumiem;</w:t>
            </w:r>
          </w:p>
          <w:p w14:paraId="65848499" w14:textId="77777777" w:rsidR="007545BD" w:rsidRPr="00C41EB8" w:rsidRDefault="007545BD" w:rsidP="00A73208">
            <w:pPr>
              <w:pStyle w:val="ListParagraph"/>
              <w:numPr>
                <w:ilvl w:val="0"/>
                <w:numId w:val="51"/>
              </w:numPr>
              <w:spacing w:after="0" w:line="240" w:lineRule="auto"/>
              <w:ind w:left="319" w:hanging="142"/>
              <w:rPr>
                <w:rFonts w:ascii="Times New Roman" w:hAnsi="Times New Roman" w:cs="Times New Roman"/>
                <w:sz w:val="20"/>
                <w:szCs w:val="20"/>
              </w:rPr>
            </w:pPr>
            <w:r w:rsidRPr="00C41EB8">
              <w:rPr>
                <w:rFonts w:ascii="Times New Roman" w:hAnsi="Times New Roman" w:cs="Times New Roman"/>
                <w:sz w:val="20"/>
                <w:szCs w:val="20"/>
              </w:rPr>
              <w:t>pielāgo finanšu palīdzības formas identificētajām tirgus nepilnībām;</w:t>
            </w:r>
          </w:p>
          <w:p w14:paraId="27DFD5A6" w14:textId="77777777" w:rsidR="007545BD" w:rsidRPr="00C41EB8" w:rsidRDefault="007545BD" w:rsidP="00A73208">
            <w:pPr>
              <w:pStyle w:val="ListParagraph"/>
              <w:numPr>
                <w:ilvl w:val="0"/>
                <w:numId w:val="51"/>
              </w:numPr>
              <w:spacing w:after="0" w:line="240" w:lineRule="auto"/>
              <w:ind w:left="319" w:hanging="142"/>
              <w:rPr>
                <w:rFonts w:ascii="Times New Roman" w:hAnsi="Times New Roman" w:cs="Times New Roman"/>
                <w:noProof/>
                <w:sz w:val="20"/>
                <w:szCs w:val="20"/>
              </w:rPr>
            </w:pPr>
            <w:r w:rsidRPr="00C41EB8">
              <w:rPr>
                <w:rFonts w:ascii="Times New Roman" w:hAnsi="Times New Roman" w:cs="Times New Roman"/>
                <w:sz w:val="20"/>
                <w:szCs w:val="20"/>
              </w:rPr>
              <w:t>ļautu papildus izmantot dažādus finansējuma veidus no ES, valstu vai reģionālajiem avotiem.</w:t>
            </w:r>
          </w:p>
        </w:tc>
        <w:tc>
          <w:tcPr>
            <w:tcW w:w="1134" w:type="dxa"/>
          </w:tcPr>
          <w:p w14:paraId="511402A4" w14:textId="77777777" w:rsidR="007545BD" w:rsidRPr="00632378" w:rsidRDefault="007545BD" w:rsidP="00A73208">
            <w:pPr>
              <w:spacing w:before="0" w:after="0"/>
              <w:jc w:val="left"/>
              <w:rPr>
                <w:noProof/>
                <w:sz w:val="20"/>
              </w:rPr>
            </w:pPr>
            <w:r w:rsidRPr="00632378">
              <w:rPr>
                <w:rFonts w:eastAsia="Times New Roman"/>
                <w:iCs/>
                <w:noProof/>
                <w:sz w:val="20"/>
              </w:rPr>
              <w:t>Nē</w:t>
            </w:r>
          </w:p>
        </w:tc>
        <w:tc>
          <w:tcPr>
            <w:tcW w:w="2410" w:type="dxa"/>
          </w:tcPr>
          <w:p w14:paraId="07B63668" w14:textId="77777777" w:rsidR="007545BD" w:rsidRPr="00C41EB8" w:rsidRDefault="007545BD" w:rsidP="00A73208">
            <w:pPr>
              <w:spacing w:before="0" w:after="0"/>
              <w:jc w:val="left"/>
              <w:rPr>
                <w:rStyle w:val="Hyperlink"/>
                <w:noProof/>
                <w:sz w:val="20"/>
              </w:rPr>
            </w:pPr>
            <w:r>
              <w:rPr>
                <w:noProof/>
                <w:sz w:val="20"/>
              </w:rPr>
              <w:t xml:space="preserve">2.kritērija izpilde: </w:t>
            </w:r>
            <w:r>
              <w:rPr>
                <w:noProof/>
                <w:sz w:val="20"/>
              </w:rPr>
              <w:br/>
            </w:r>
            <w:hyperlink r:id="rId89" w:history="1">
              <w:r w:rsidRPr="00C41EB8">
                <w:rPr>
                  <w:rStyle w:val="Hyperlink"/>
                  <w:noProof/>
                  <w:sz w:val="20"/>
                </w:rPr>
                <w:t>Elektronisko sakaru nozares attīstības plāns 2021.-2027.gadam (projekts)</w:t>
              </w:r>
            </w:hyperlink>
            <w:r w:rsidRPr="00C41EB8">
              <w:rPr>
                <w:rStyle w:val="Hyperlink"/>
                <w:noProof/>
                <w:sz w:val="20"/>
              </w:rPr>
              <w:t xml:space="preserve">. </w:t>
            </w:r>
          </w:p>
          <w:p w14:paraId="7451EBAD" w14:textId="77777777" w:rsidR="007545BD" w:rsidRPr="00C41EB8" w:rsidRDefault="007545BD" w:rsidP="00A73208">
            <w:pPr>
              <w:spacing w:before="0" w:after="0"/>
              <w:jc w:val="left"/>
              <w:rPr>
                <w:noProof/>
                <w:sz w:val="20"/>
              </w:rPr>
            </w:pPr>
          </w:p>
        </w:tc>
        <w:tc>
          <w:tcPr>
            <w:tcW w:w="3686" w:type="dxa"/>
          </w:tcPr>
          <w:p w14:paraId="05CB3906" w14:textId="77777777" w:rsidR="007545BD" w:rsidRPr="00632378" w:rsidRDefault="007545BD" w:rsidP="00A73208">
            <w:pPr>
              <w:spacing w:before="0" w:after="0"/>
              <w:rPr>
                <w:rFonts w:eastAsia="Times New Roman"/>
                <w:iCs/>
                <w:noProof/>
                <w:sz w:val="20"/>
              </w:rPr>
            </w:pPr>
            <w:r w:rsidRPr="00632378">
              <w:rPr>
                <w:noProof/>
                <w:sz w:val="20"/>
              </w:rPr>
              <w:t xml:space="preserve">2.kritērija izpilde: </w:t>
            </w:r>
            <w:r w:rsidRPr="00632378">
              <w:rPr>
                <w:rFonts w:eastAsia="Times New Roman"/>
                <w:iCs/>
                <w:noProof/>
                <w:sz w:val="20"/>
              </w:rPr>
              <w:t xml:space="preserve">skat. pamatojumu pie 38.p. </w:t>
            </w:r>
          </w:p>
          <w:p w14:paraId="60574151" w14:textId="77777777" w:rsidR="007545BD" w:rsidRPr="00632378" w:rsidRDefault="007545BD" w:rsidP="00A73208">
            <w:pPr>
              <w:spacing w:before="0" w:after="0"/>
              <w:rPr>
                <w:rFonts w:eastAsia="Times New Roman"/>
                <w:iCs/>
                <w:noProof/>
                <w:sz w:val="20"/>
              </w:rPr>
            </w:pPr>
          </w:p>
        </w:tc>
      </w:tr>
      <w:tr w:rsidR="007545BD" w:rsidRPr="00C41EB8" w14:paraId="3FA48D36" w14:textId="77777777" w:rsidTr="00A73208">
        <w:tc>
          <w:tcPr>
            <w:tcW w:w="562" w:type="dxa"/>
          </w:tcPr>
          <w:p w14:paraId="39D5B63E"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56BD40CA" w14:textId="77777777" w:rsidR="007545BD" w:rsidRPr="00C41EB8" w:rsidRDefault="007545BD" w:rsidP="00A73208">
            <w:pPr>
              <w:spacing w:before="0" w:after="0"/>
              <w:jc w:val="left"/>
              <w:rPr>
                <w:noProof/>
                <w:sz w:val="20"/>
              </w:rPr>
            </w:pPr>
          </w:p>
        </w:tc>
        <w:tc>
          <w:tcPr>
            <w:tcW w:w="851" w:type="dxa"/>
            <w:vMerge/>
          </w:tcPr>
          <w:p w14:paraId="356B5E2C" w14:textId="77777777" w:rsidR="007545BD" w:rsidRPr="00C41EB8" w:rsidRDefault="007545BD" w:rsidP="00A73208">
            <w:pPr>
              <w:spacing w:before="0" w:after="0"/>
              <w:jc w:val="left"/>
              <w:rPr>
                <w:rFonts w:eastAsia="Times New Roman"/>
                <w:iCs/>
                <w:noProof/>
                <w:sz w:val="20"/>
              </w:rPr>
            </w:pPr>
          </w:p>
        </w:tc>
        <w:tc>
          <w:tcPr>
            <w:tcW w:w="1134" w:type="dxa"/>
            <w:vMerge/>
          </w:tcPr>
          <w:p w14:paraId="7308A130" w14:textId="77777777" w:rsidR="007545BD" w:rsidRPr="00C41EB8" w:rsidRDefault="007545BD" w:rsidP="00A73208">
            <w:pPr>
              <w:spacing w:before="0" w:after="0"/>
              <w:jc w:val="left"/>
              <w:rPr>
                <w:rFonts w:eastAsia="Times New Roman"/>
                <w:iCs/>
                <w:noProof/>
                <w:sz w:val="20"/>
              </w:rPr>
            </w:pPr>
          </w:p>
        </w:tc>
        <w:tc>
          <w:tcPr>
            <w:tcW w:w="850" w:type="dxa"/>
            <w:vMerge/>
          </w:tcPr>
          <w:p w14:paraId="2D1C9B29" w14:textId="77777777" w:rsidR="007545BD" w:rsidRPr="00C41EB8" w:rsidRDefault="007545BD" w:rsidP="00A73208">
            <w:pPr>
              <w:spacing w:before="0" w:after="0"/>
              <w:jc w:val="left"/>
              <w:rPr>
                <w:rFonts w:eastAsia="Times New Roman"/>
                <w:iCs/>
                <w:noProof/>
                <w:sz w:val="20"/>
              </w:rPr>
            </w:pPr>
          </w:p>
        </w:tc>
        <w:tc>
          <w:tcPr>
            <w:tcW w:w="2410" w:type="dxa"/>
          </w:tcPr>
          <w:p w14:paraId="3D793CF3" w14:textId="77777777" w:rsidR="007545BD" w:rsidRPr="00C41EB8" w:rsidRDefault="007545BD" w:rsidP="00A73208">
            <w:pPr>
              <w:spacing w:before="0" w:after="0"/>
              <w:jc w:val="left"/>
              <w:rPr>
                <w:noProof/>
                <w:sz w:val="20"/>
              </w:rPr>
            </w:pPr>
            <w:r w:rsidRPr="00C41EB8">
              <w:rPr>
                <w:sz w:val="20"/>
              </w:rPr>
              <w:t>3.Pasākumus, ar ko atbalsta pieprasījumu pēc ļoti augstas veiktspējas (VHC) tīkliem un to izmantošanu, tostarp darbības, ar kurām veicina minēto tīklu izvēršanu, jo īpaši īstenojot ES Platjoslas izmaksu samazināšanas direktīvu</w:t>
            </w:r>
            <w:r w:rsidRPr="00C41EB8">
              <w:rPr>
                <w:rStyle w:val="FootnoteReference"/>
                <w:sz w:val="20"/>
              </w:rPr>
              <w:footnoteReference w:id="153"/>
            </w:r>
            <w:r w:rsidRPr="00C41EB8">
              <w:rPr>
                <w:sz w:val="20"/>
              </w:rPr>
              <w:t>;</w:t>
            </w:r>
          </w:p>
        </w:tc>
        <w:tc>
          <w:tcPr>
            <w:tcW w:w="1134" w:type="dxa"/>
          </w:tcPr>
          <w:p w14:paraId="6F2413EF" w14:textId="77777777" w:rsidR="007545BD" w:rsidRPr="00C41EB8" w:rsidRDefault="007545BD" w:rsidP="00A73208">
            <w:pPr>
              <w:spacing w:before="0" w:after="0"/>
              <w:jc w:val="left"/>
              <w:rPr>
                <w:noProof/>
                <w:sz w:val="20"/>
              </w:rPr>
            </w:pPr>
            <w:r w:rsidRPr="00632378">
              <w:rPr>
                <w:rFonts w:eastAsia="Times New Roman"/>
                <w:iCs/>
                <w:noProof/>
                <w:sz w:val="20"/>
              </w:rPr>
              <w:t>Nē</w:t>
            </w:r>
          </w:p>
        </w:tc>
        <w:tc>
          <w:tcPr>
            <w:tcW w:w="2410" w:type="dxa"/>
          </w:tcPr>
          <w:p w14:paraId="561DB9F9" w14:textId="77777777" w:rsidR="007545BD" w:rsidRPr="00C41EB8" w:rsidRDefault="007545BD" w:rsidP="00A73208">
            <w:pPr>
              <w:spacing w:before="0" w:after="0"/>
              <w:jc w:val="left"/>
              <w:rPr>
                <w:noProof/>
                <w:color w:val="FF0000"/>
                <w:sz w:val="20"/>
              </w:rPr>
            </w:pPr>
            <w:r w:rsidRPr="00632378">
              <w:rPr>
                <w:noProof/>
                <w:sz w:val="20"/>
              </w:rPr>
              <w:t xml:space="preserve">3.kritērija izpilde: </w:t>
            </w:r>
            <w:hyperlink r:id="rId90" w:history="1">
              <w:r w:rsidRPr="00C41EB8">
                <w:rPr>
                  <w:rStyle w:val="Hyperlink"/>
                  <w:noProof/>
                  <w:sz w:val="20"/>
                </w:rPr>
                <w:t>Elektronisko sakaru nozares attīstības plāns 2021.-2027.gadam (projekts)</w:t>
              </w:r>
            </w:hyperlink>
          </w:p>
        </w:tc>
        <w:tc>
          <w:tcPr>
            <w:tcW w:w="3686" w:type="dxa"/>
          </w:tcPr>
          <w:p w14:paraId="4D7472ED" w14:textId="77777777" w:rsidR="007545BD" w:rsidRPr="00632378" w:rsidRDefault="007545BD" w:rsidP="00A73208">
            <w:pPr>
              <w:spacing w:before="0" w:after="0"/>
              <w:rPr>
                <w:noProof/>
                <w:sz w:val="20"/>
              </w:rPr>
            </w:pPr>
            <w:r w:rsidRPr="00632378">
              <w:rPr>
                <w:noProof/>
                <w:sz w:val="20"/>
              </w:rPr>
              <w:t>3.kritērija izpilde: skat. pamatojumu pie 38.p.</w:t>
            </w:r>
          </w:p>
          <w:p w14:paraId="0769D667" w14:textId="77777777" w:rsidR="007545BD" w:rsidRPr="00632378" w:rsidRDefault="007545BD" w:rsidP="00A73208">
            <w:pPr>
              <w:spacing w:before="0" w:after="0"/>
              <w:rPr>
                <w:noProof/>
                <w:sz w:val="20"/>
              </w:rPr>
            </w:pPr>
            <w:r w:rsidRPr="00632378">
              <w:rPr>
                <w:noProof/>
                <w:sz w:val="20"/>
              </w:rPr>
              <w:t>Satiksmes ministrijas pasūtītajā pētījumā “Analītiskais materiāls Elektronisko sakaru nozares attīstības plāna 2021. - 2027.gadam izstrādei”</w:t>
            </w:r>
            <w:r w:rsidRPr="00632378">
              <w:rPr>
                <w:noProof/>
                <w:sz w:val="20"/>
                <w:vertAlign w:val="superscript"/>
              </w:rPr>
              <w:footnoteReference w:id="154"/>
            </w:r>
            <w:r w:rsidRPr="00632378">
              <w:rPr>
                <w:noProof/>
                <w:sz w:val="20"/>
              </w:rPr>
              <w:t xml:space="preserve"> tika aptverta 3., 4. un 5. kritērija izpilde. </w:t>
            </w:r>
          </w:p>
          <w:p w14:paraId="0252DAE7" w14:textId="77777777" w:rsidR="007545BD" w:rsidRPr="00632378" w:rsidRDefault="007545BD" w:rsidP="00A73208">
            <w:pPr>
              <w:spacing w:before="0" w:after="0"/>
              <w:rPr>
                <w:rFonts w:eastAsia="Times New Roman"/>
                <w:iCs/>
                <w:noProof/>
                <w:sz w:val="20"/>
              </w:rPr>
            </w:pPr>
            <w:r w:rsidRPr="00632378">
              <w:rPr>
                <w:iCs/>
                <w:noProof/>
                <w:sz w:val="20"/>
              </w:rPr>
              <w:t>Attiecībā uz 3. kritērija izpildi plāna projektā ietverti galvenie secinājumi no pētījuma un analīze sadaļā “3.Plāna mērķi, rīcības virzieni un rezultāti” apakšsadaļā “1.4.</w:t>
            </w:r>
            <w:r w:rsidRPr="00632378">
              <w:rPr>
                <w:iCs/>
                <w:noProof/>
                <w:sz w:val="20"/>
              </w:rPr>
              <w:tab/>
              <w:t xml:space="preserve">Pasākumi, ar ko atbalsta pieprasījumu pēc ļoti augstas veiktspējas (VHCN) tīkliem un to izmantošanu, tostarp darbības, ar kurām veicina minēto tīklu izvēršanu, jo īpaši īstenojot ES Platjoslas izmaksu samazināšanas direktīvu”. </w:t>
            </w:r>
          </w:p>
        </w:tc>
      </w:tr>
      <w:tr w:rsidR="007545BD" w:rsidRPr="00C41EB8" w14:paraId="7456CB4C" w14:textId="77777777" w:rsidTr="00A73208">
        <w:tc>
          <w:tcPr>
            <w:tcW w:w="562" w:type="dxa"/>
          </w:tcPr>
          <w:p w14:paraId="26CA1A6D"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32648EDB" w14:textId="77777777" w:rsidR="007545BD" w:rsidRPr="00C41EB8" w:rsidRDefault="007545BD" w:rsidP="00A73208">
            <w:pPr>
              <w:spacing w:before="0" w:after="0"/>
              <w:jc w:val="left"/>
              <w:rPr>
                <w:noProof/>
                <w:sz w:val="20"/>
              </w:rPr>
            </w:pPr>
          </w:p>
        </w:tc>
        <w:tc>
          <w:tcPr>
            <w:tcW w:w="851" w:type="dxa"/>
            <w:vMerge/>
          </w:tcPr>
          <w:p w14:paraId="56C9376E" w14:textId="77777777" w:rsidR="007545BD" w:rsidRPr="00C41EB8" w:rsidRDefault="007545BD" w:rsidP="00A73208">
            <w:pPr>
              <w:spacing w:before="0" w:after="0"/>
              <w:jc w:val="left"/>
              <w:rPr>
                <w:rFonts w:eastAsia="Times New Roman"/>
                <w:iCs/>
                <w:noProof/>
                <w:sz w:val="20"/>
              </w:rPr>
            </w:pPr>
          </w:p>
        </w:tc>
        <w:tc>
          <w:tcPr>
            <w:tcW w:w="1134" w:type="dxa"/>
            <w:vMerge/>
          </w:tcPr>
          <w:p w14:paraId="006068EE" w14:textId="77777777" w:rsidR="007545BD" w:rsidRPr="00C41EB8" w:rsidRDefault="007545BD" w:rsidP="00A73208">
            <w:pPr>
              <w:spacing w:before="0" w:after="0"/>
              <w:jc w:val="left"/>
              <w:rPr>
                <w:rFonts w:eastAsia="Times New Roman"/>
                <w:iCs/>
                <w:noProof/>
                <w:sz w:val="20"/>
              </w:rPr>
            </w:pPr>
          </w:p>
        </w:tc>
        <w:tc>
          <w:tcPr>
            <w:tcW w:w="850" w:type="dxa"/>
            <w:vMerge/>
          </w:tcPr>
          <w:p w14:paraId="0DA63081" w14:textId="77777777" w:rsidR="007545BD" w:rsidRPr="00C41EB8" w:rsidRDefault="007545BD" w:rsidP="00A73208">
            <w:pPr>
              <w:spacing w:before="0" w:after="0"/>
              <w:jc w:val="left"/>
              <w:rPr>
                <w:rFonts w:eastAsia="Times New Roman"/>
                <w:iCs/>
                <w:noProof/>
                <w:sz w:val="20"/>
              </w:rPr>
            </w:pPr>
          </w:p>
        </w:tc>
        <w:tc>
          <w:tcPr>
            <w:tcW w:w="2410" w:type="dxa"/>
          </w:tcPr>
          <w:p w14:paraId="3B9F87A0" w14:textId="77777777" w:rsidR="007545BD" w:rsidRPr="00C41EB8" w:rsidRDefault="007545BD" w:rsidP="00A73208">
            <w:pPr>
              <w:spacing w:before="0" w:after="0"/>
              <w:ind w:left="3"/>
              <w:jc w:val="left"/>
              <w:rPr>
                <w:noProof/>
                <w:sz w:val="20"/>
              </w:rPr>
            </w:pPr>
            <w:r w:rsidRPr="00C41EB8">
              <w:rPr>
                <w:sz w:val="20"/>
              </w:rPr>
              <w:t>4.Uzraudzības mehānismus, kas balstīti uz standarta platjoslas pārklājuma rādītājiem.</w:t>
            </w:r>
          </w:p>
        </w:tc>
        <w:tc>
          <w:tcPr>
            <w:tcW w:w="1134" w:type="dxa"/>
          </w:tcPr>
          <w:p w14:paraId="7222E742" w14:textId="77777777" w:rsidR="007545BD" w:rsidRPr="00C41EB8" w:rsidRDefault="007545BD" w:rsidP="00A73208">
            <w:pPr>
              <w:spacing w:before="0" w:after="0"/>
              <w:jc w:val="left"/>
              <w:rPr>
                <w:noProof/>
                <w:sz w:val="20"/>
              </w:rPr>
            </w:pPr>
            <w:r w:rsidRPr="00C41EB8">
              <w:rPr>
                <w:noProof/>
                <w:sz w:val="20"/>
              </w:rPr>
              <w:t>Nē</w:t>
            </w:r>
          </w:p>
        </w:tc>
        <w:tc>
          <w:tcPr>
            <w:tcW w:w="2410" w:type="dxa"/>
          </w:tcPr>
          <w:p w14:paraId="400ED519" w14:textId="77777777" w:rsidR="007545BD" w:rsidRPr="00C41EB8" w:rsidRDefault="007545BD" w:rsidP="00A73208">
            <w:pPr>
              <w:spacing w:before="0" w:after="0"/>
              <w:jc w:val="left"/>
              <w:rPr>
                <w:noProof/>
                <w:color w:val="FF0000"/>
                <w:sz w:val="20"/>
              </w:rPr>
            </w:pPr>
            <w:r w:rsidRPr="00632378">
              <w:rPr>
                <w:noProof/>
                <w:sz w:val="20"/>
              </w:rPr>
              <w:t xml:space="preserve">4.kritērija izpilde: </w:t>
            </w:r>
            <w:hyperlink r:id="rId91" w:history="1">
              <w:r w:rsidRPr="00C41EB8">
                <w:rPr>
                  <w:rStyle w:val="Hyperlink"/>
                  <w:noProof/>
                  <w:sz w:val="20"/>
                </w:rPr>
                <w:t>Elektronisko sakaru nozares attīstības plāns 2021.-2027.gadam (projekts)</w:t>
              </w:r>
            </w:hyperlink>
          </w:p>
        </w:tc>
        <w:tc>
          <w:tcPr>
            <w:tcW w:w="3686" w:type="dxa"/>
          </w:tcPr>
          <w:p w14:paraId="1411FF52" w14:textId="77777777" w:rsidR="007545BD" w:rsidRPr="00632378" w:rsidRDefault="007545BD" w:rsidP="00A73208">
            <w:pPr>
              <w:spacing w:before="0" w:after="0"/>
              <w:rPr>
                <w:iCs/>
                <w:noProof/>
                <w:sz w:val="20"/>
              </w:rPr>
            </w:pPr>
            <w:r w:rsidRPr="00632378">
              <w:rPr>
                <w:noProof/>
                <w:sz w:val="20"/>
              </w:rPr>
              <w:t xml:space="preserve">4.kritērija izpilde: </w:t>
            </w:r>
            <w:r w:rsidRPr="00632378">
              <w:rPr>
                <w:iCs/>
                <w:noProof/>
                <w:sz w:val="20"/>
              </w:rPr>
              <w:t>skat. pamatojumu pie 40.p.</w:t>
            </w:r>
          </w:p>
          <w:p w14:paraId="117C9B19" w14:textId="77777777" w:rsidR="007545BD" w:rsidRPr="00C41EB8" w:rsidRDefault="007545BD" w:rsidP="00A73208">
            <w:pPr>
              <w:spacing w:before="0" w:after="0"/>
              <w:rPr>
                <w:rFonts w:eastAsia="Times New Roman"/>
                <w:iCs/>
                <w:noProof/>
                <w:color w:val="FF0000"/>
                <w:sz w:val="20"/>
              </w:rPr>
            </w:pPr>
            <w:r w:rsidRPr="00632378">
              <w:rPr>
                <w:iCs/>
                <w:noProof/>
                <w:sz w:val="20"/>
              </w:rPr>
              <w:t>Attiecībā uz 4. kritērija izpildi plāna projektā ietverti galvenie secinājumi no pētījuma  plāna projekta sadaļā “2.</w:t>
            </w:r>
            <w:r w:rsidRPr="00632378">
              <w:rPr>
                <w:iCs/>
                <w:noProof/>
                <w:sz w:val="20"/>
              </w:rPr>
              <w:tab/>
              <w:t>Esošās situācijas raksturojums” apakšsadaļā “Platjoslas pārklājuma un attīstības uzraudzības mehānismi”.</w:t>
            </w:r>
          </w:p>
        </w:tc>
      </w:tr>
      <w:tr w:rsidR="007545BD" w:rsidRPr="00C41EB8" w14:paraId="10A10901" w14:textId="77777777" w:rsidTr="00A73208">
        <w:tc>
          <w:tcPr>
            <w:tcW w:w="562" w:type="dxa"/>
          </w:tcPr>
          <w:p w14:paraId="40C20BCF"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6F4BDEEF" w14:textId="77777777" w:rsidR="007545BD" w:rsidRPr="00C41EB8" w:rsidRDefault="007545BD" w:rsidP="00A73208">
            <w:pPr>
              <w:spacing w:before="0" w:after="0"/>
              <w:jc w:val="left"/>
              <w:rPr>
                <w:noProof/>
                <w:sz w:val="20"/>
              </w:rPr>
            </w:pPr>
          </w:p>
        </w:tc>
        <w:tc>
          <w:tcPr>
            <w:tcW w:w="851" w:type="dxa"/>
            <w:vMerge/>
          </w:tcPr>
          <w:p w14:paraId="4CB475C1" w14:textId="77777777" w:rsidR="007545BD" w:rsidRPr="00C41EB8" w:rsidRDefault="007545BD" w:rsidP="00A73208">
            <w:pPr>
              <w:spacing w:before="0" w:after="0"/>
              <w:jc w:val="left"/>
              <w:rPr>
                <w:rFonts w:eastAsia="Times New Roman"/>
                <w:iCs/>
                <w:noProof/>
                <w:sz w:val="20"/>
              </w:rPr>
            </w:pPr>
          </w:p>
        </w:tc>
        <w:tc>
          <w:tcPr>
            <w:tcW w:w="1134" w:type="dxa"/>
            <w:vMerge/>
          </w:tcPr>
          <w:p w14:paraId="42163B90" w14:textId="77777777" w:rsidR="007545BD" w:rsidRPr="00C41EB8" w:rsidRDefault="007545BD" w:rsidP="00A73208">
            <w:pPr>
              <w:spacing w:before="0" w:after="0"/>
              <w:jc w:val="left"/>
              <w:rPr>
                <w:rFonts w:eastAsia="Times New Roman"/>
                <w:iCs/>
                <w:noProof/>
                <w:sz w:val="20"/>
              </w:rPr>
            </w:pPr>
          </w:p>
        </w:tc>
        <w:tc>
          <w:tcPr>
            <w:tcW w:w="850" w:type="dxa"/>
            <w:vMerge/>
          </w:tcPr>
          <w:p w14:paraId="69F7E3F8" w14:textId="77777777" w:rsidR="007545BD" w:rsidRPr="00C41EB8" w:rsidRDefault="007545BD" w:rsidP="00A73208">
            <w:pPr>
              <w:spacing w:before="0" w:after="0"/>
              <w:jc w:val="left"/>
              <w:rPr>
                <w:rFonts w:eastAsia="Times New Roman"/>
                <w:iCs/>
                <w:noProof/>
                <w:sz w:val="20"/>
              </w:rPr>
            </w:pPr>
          </w:p>
        </w:tc>
        <w:tc>
          <w:tcPr>
            <w:tcW w:w="2410" w:type="dxa"/>
          </w:tcPr>
          <w:p w14:paraId="65F18712" w14:textId="77777777" w:rsidR="007545BD" w:rsidRPr="00C41EB8" w:rsidRDefault="007545BD" w:rsidP="00A73208">
            <w:pPr>
              <w:spacing w:before="0" w:after="0"/>
              <w:jc w:val="left"/>
              <w:rPr>
                <w:noProof/>
                <w:sz w:val="20"/>
              </w:rPr>
            </w:pPr>
            <w:r w:rsidRPr="00C41EB8">
              <w:rPr>
                <w:sz w:val="20"/>
              </w:rPr>
              <w:t>5.Tehniskās palīdzības mehānismus, tostarp platjoslas kompetences birojus, ar kuriem stiprina vietējo ieinteresēto personu spējas un konsultē projektu virzītājus;</w:t>
            </w:r>
          </w:p>
        </w:tc>
        <w:tc>
          <w:tcPr>
            <w:tcW w:w="1134" w:type="dxa"/>
          </w:tcPr>
          <w:p w14:paraId="7DD79F8B" w14:textId="77777777" w:rsidR="007545BD" w:rsidRPr="00C41EB8" w:rsidRDefault="007545BD" w:rsidP="00A73208">
            <w:pPr>
              <w:spacing w:before="0" w:after="0"/>
              <w:jc w:val="left"/>
              <w:rPr>
                <w:noProof/>
                <w:sz w:val="20"/>
              </w:rPr>
            </w:pPr>
            <w:r w:rsidRPr="00632378">
              <w:rPr>
                <w:rFonts w:eastAsia="Times New Roman"/>
                <w:iCs/>
                <w:noProof/>
                <w:sz w:val="20"/>
              </w:rPr>
              <w:t>Nē</w:t>
            </w:r>
          </w:p>
        </w:tc>
        <w:tc>
          <w:tcPr>
            <w:tcW w:w="2410" w:type="dxa"/>
          </w:tcPr>
          <w:p w14:paraId="541087D0" w14:textId="77777777" w:rsidR="007545BD" w:rsidRPr="00C41EB8" w:rsidRDefault="007545BD" w:rsidP="00A73208">
            <w:pPr>
              <w:spacing w:before="0" w:after="0"/>
              <w:jc w:val="left"/>
              <w:rPr>
                <w:noProof/>
                <w:color w:val="FF0000"/>
                <w:sz w:val="20"/>
              </w:rPr>
            </w:pPr>
            <w:r w:rsidRPr="00632378">
              <w:rPr>
                <w:noProof/>
                <w:sz w:val="20"/>
              </w:rPr>
              <w:t xml:space="preserve">5.kritērija izpilde </w:t>
            </w:r>
            <w:hyperlink r:id="rId92" w:history="1">
              <w:r w:rsidRPr="00C41EB8">
                <w:rPr>
                  <w:rStyle w:val="Hyperlink"/>
                  <w:noProof/>
                  <w:sz w:val="20"/>
                </w:rPr>
                <w:t>Elektronisko sakaru nozares attīstības plāns 2021.-2027.gadam (projekts)</w:t>
              </w:r>
            </w:hyperlink>
          </w:p>
        </w:tc>
        <w:tc>
          <w:tcPr>
            <w:tcW w:w="3686" w:type="dxa"/>
          </w:tcPr>
          <w:p w14:paraId="19371B32" w14:textId="77777777" w:rsidR="007545BD" w:rsidRPr="00632378" w:rsidRDefault="007545BD" w:rsidP="00A73208">
            <w:pPr>
              <w:spacing w:before="0" w:after="0"/>
              <w:rPr>
                <w:iCs/>
                <w:noProof/>
                <w:sz w:val="20"/>
              </w:rPr>
            </w:pPr>
            <w:r w:rsidRPr="00632378">
              <w:rPr>
                <w:noProof/>
                <w:sz w:val="20"/>
              </w:rPr>
              <w:t xml:space="preserve">5.kritērija izpilde: </w:t>
            </w:r>
            <w:r w:rsidRPr="00632378">
              <w:rPr>
                <w:iCs/>
                <w:noProof/>
                <w:sz w:val="20"/>
              </w:rPr>
              <w:t xml:space="preserve">skat. pamatojumu pie 40.p. </w:t>
            </w:r>
          </w:p>
          <w:p w14:paraId="721AFE77" w14:textId="77777777" w:rsidR="007545BD" w:rsidRPr="00C41EB8" w:rsidRDefault="007545BD" w:rsidP="00A73208">
            <w:pPr>
              <w:spacing w:before="0" w:after="0"/>
              <w:rPr>
                <w:rFonts w:eastAsia="Times New Roman"/>
                <w:iCs/>
                <w:noProof/>
                <w:color w:val="FF0000"/>
                <w:sz w:val="20"/>
              </w:rPr>
            </w:pPr>
            <w:r w:rsidRPr="00632378">
              <w:rPr>
                <w:iCs/>
                <w:noProof/>
                <w:sz w:val="20"/>
              </w:rPr>
              <w:t>Attiecībā uz 5. kritērija izpildi plāna projektā ietverti galvenie secinājumi no pētījuma un analīze sadaļā “3.Plāna mērķi, rīcības virzieni un rezultāti” apakšsadaļā “1.5.Tehniskās palīdzības mehānismi, tostarp platjoslas kompetences centra darbības attīstība Latvijā, ar kuriem stiprina vietējo ieinteresēto personu spējas un konsultē projektu virzītājus”.</w:t>
            </w:r>
          </w:p>
        </w:tc>
      </w:tr>
      <w:tr w:rsidR="007545BD" w:rsidRPr="00C41EB8" w14:paraId="7B67339F" w14:textId="77777777" w:rsidTr="00A73208">
        <w:tc>
          <w:tcPr>
            <w:tcW w:w="562" w:type="dxa"/>
            <w:shd w:val="clear" w:color="auto" w:fill="D9D9D9" w:themeFill="background1" w:themeFillShade="D9"/>
          </w:tcPr>
          <w:p w14:paraId="0CE322E3"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val="restart"/>
            <w:shd w:val="clear" w:color="auto" w:fill="D9D9D9" w:themeFill="background1" w:themeFillShade="D9"/>
          </w:tcPr>
          <w:p w14:paraId="00BE28CC" w14:textId="77777777" w:rsidR="007545BD" w:rsidRPr="00C41EB8" w:rsidRDefault="007545BD" w:rsidP="00A73208">
            <w:pPr>
              <w:spacing w:before="0" w:after="0"/>
              <w:jc w:val="left"/>
              <w:rPr>
                <w:noProof/>
                <w:sz w:val="20"/>
              </w:rPr>
            </w:pPr>
            <w:r w:rsidRPr="00C41EB8">
              <w:rPr>
                <w:noProof/>
                <w:sz w:val="20"/>
              </w:rPr>
              <w:t>Tematiskais priekšnosacījums Nr.9</w:t>
            </w:r>
          </w:p>
          <w:p w14:paraId="1A2FD4C8" w14:textId="77777777" w:rsidR="007545BD" w:rsidRPr="00C41EB8" w:rsidRDefault="007545BD" w:rsidP="00A73208">
            <w:pPr>
              <w:spacing w:before="0" w:after="0"/>
              <w:jc w:val="left"/>
              <w:rPr>
                <w:noProof/>
                <w:sz w:val="20"/>
              </w:rPr>
            </w:pPr>
            <w:r w:rsidRPr="00C41EB8">
              <w:rPr>
                <w:noProof/>
                <w:sz w:val="20"/>
              </w:rPr>
              <w:t xml:space="preserve"> Visaptveroša </w:t>
            </w:r>
            <w:r w:rsidRPr="00C41EB8">
              <w:rPr>
                <w:b/>
                <w:bCs/>
                <w:noProof/>
                <w:sz w:val="20"/>
              </w:rPr>
              <w:t>transporta plānošana</w:t>
            </w:r>
            <w:r w:rsidRPr="00C41EB8">
              <w:rPr>
                <w:noProof/>
                <w:sz w:val="20"/>
              </w:rPr>
              <w:t xml:space="preserve"> atbilstošajā līmenī</w:t>
            </w:r>
          </w:p>
        </w:tc>
        <w:tc>
          <w:tcPr>
            <w:tcW w:w="851" w:type="dxa"/>
            <w:vMerge w:val="restart"/>
            <w:shd w:val="clear" w:color="auto" w:fill="D9D9D9" w:themeFill="background1" w:themeFillShade="D9"/>
          </w:tcPr>
          <w:p w14:paraId="3802B8C0"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KF</w:t>
            </w:r>
          </w:p>
        </w:tc>
        <w:tc>
          <w:tcPr>
            <w:tcW w:w="1134" w:type="dxa"/>
            <w:vMerge w:val="restart"/>
            <w:shd w:val="clear" w:color="auto" w:fill="D9D9D9" w:themeFill="background1" w:themeFillShade="D9"/>
          </w:tcPr>
          <w:p w14:paraId="5B7676A7"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2.3.1.SAM; 3.1.1.SAM; 3.1.2.SAM</w:t>
            </w:r>
          </w:p>
        </w:tc>
        <w:tc>
          <w:tcPr>
            <w:tcW w:w="850" w:type="dxa"/>
            <w:vMerge w:val="restart"/>
            <w:shd w:val="clear" w:color="auto" w:fill="D9D9D9" w:themeFill="background1" w:themeFillShade="D9"/>
          </w:tcPr>
          <w:p w14:paraId="6AB2BF2E"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Nē</w:t>
            </w:r>
          </w:p>
        </w:tc>
        <w:tc>
          <w:tcPr>
            <w:tcW w:w="2410" w:type="dxa"/>
            <w:shd w:val="clear" w:color="auto" w:fill="D9D9D9" w:themeFill="background1" w:themeFillShade="D9"/>
          </w:tcPr>
          <w:p w14:paraId="665D31BC" w14:textId="77777777" w:rsidR="007545BD" w:rsidRPr="00C41EB8" w:rsidRDefault="007545BD" w:rsidP="00A73208">
            <w:pPr>
              <w:spacing w:before="0" w:after="0"/>
              <w:ind w:left="3"/>
              <w:jc w:val="left"/>
              <w:rPr>
                <w:noProof/>
                <w:sz w:val="20"/>
              </w:rPr>
            </w:pPr>
            <w:r w:rsidRPr="00C41EB8">
              <w:rPr>
                <w:noProof/>
                <w:sz w:val="20"/>
              </w:rPr>
              <w:t>Nodrošināt pastāvošās un plānotās infrastruktūru multimodālo kartēšanu, izņemot vietējo līmeni, līdz 2030. gadam:</w:t>
            </w:r>
          </w:p>
          <w:p w14:paraId="2049D3F6" w14:textId="77777777" w:rsidR="007545BD" w:rsidRPr="00C41EB8" w:rsidRDefault="007545BD" w:rsidP="00A73208">
            <w:pPr>
              <w:spacing w:before="0" w:after="0"/>
              <w:ind w:left="29"/>
              <w:jc w:val="left"/>
              <w:rPr>
                <w:noProof/>
                <w:sz w:val="20"/>
              </w:rPr>
            </w:pPr>
          </w:p>
          <w:p w14:paraId="4B5555F7" w14:textId="77777777" w:rsidR="007545BD" w:rsidRPr="00C41EB8" w:rsidRDefault="007545BD" w:rsidP="00A73208">
            <w:pPr>
              <w:spacing w:before="0" w:after="0"/>
              <w:ind w:left="29"/>
              <w:jc w:val="left"/>
              <w:rPr>
                <w:noProof/>
                <w:sz w:val="20"/>
              </w:rPr>
            </w:pPr>
            <w:r w:rsidRPr="00C41EB8">
              <w:rPr>
                <w:noProof/>
                <w:sz w:val="20"/>
              </w:rPr>
              <w:t>1.Ietver plānoto ieguldījumu ekonomisko novērtējumu, kas pamatots ar pieprasījuma analīzi un satiksmes modelēšanu, kurā jāņem vērā dzelzceļa liberalizācijas paredzamā ietekme;</w:t>
            </w:r>
          </w:p>
        </w:tc>
        <w:tc>
          <w:tcPr>
            <w:tcW w:w="1134" w:type="dxa"/>
            <w:shd w:val="clear" w:color="auto" w:fill="D9D9D9" w:themeFill="background1" w:themeFillShade="D9"/>
          </w:tcPr>
          <w:p w14:paraId="23CFB727" w14:textId="77777777" w:rsidR="007545BD" w:rsidRPr="00C41EB8" w:rsidRDefault="007545BD" w:rsidP="00A73208">
            <w:pPr>
              <w:spacing w:before="0" w:after="0"/>
              <w:jc w:val="left"/>
              <w:rPr>
                <w:noProof/>
                <w:sz w:val="20"/>
              </w:rPr>
            </w:pPr>
            <w:r w:rsidRPr="00C41EB8">
              <w:rPr>
                <w:noProof/>
                <w:sz w:val="20"/>
              </w:rPr>
              <w:t>Nē</w:t>
            </w:r>
          </w:p>
        </w:tc>
        <w:tc>
          <w:tcPr>
            <w:tcW w:w="2410" w:type="dxa"/>
            <w:shd w:val="clear" w:color="auto" w:fill="D9D9D9" w:themeFill="background1" w:themeFillShade="D9"/>
          </w:tcPr>
          <w:p w14:paraId="72B22583" w14:textId="77777777" w:rsidR="007545BD" w:rsidRPr="00C41EB8" w:rsidRDefault="007545BD" w:rsidP="00A73208">
            <w:pPr>
              <w:spacing w:before="0" w:after="0"/>
              <w:jc w:val="left"/>
              <w:rPr>
                <w:noProof/>
                <w:sz w:val="20"/>
              </w:rPr>
            </w:pPr>
            <w:r w:rsidRPr="00C41EB8">
              <w:rPr>
                <w:noProof/>
                <w:sz w:val="20"/>
              </w:rPr>
              <w:t>1.kritērija izpilde:</w:t>
            </w:r>
          </w:p>
          <w:p w14:paraId="37560455" w14:textId="77777777" w:rsidR="007545BD" w:rsidRPr="00C41EB8" w:rsidRDefault="007545BD" w:rsidP="00A73208">
            <w:pPr>
              <w:spacing w:before="0" w:after="0"/>
              <w:jc w:val="left"/>
              <w:rPr>
                <w:noProof/>
                <w:sz w:val="20"/>
              </w:rPr>
            </w:pPr>
          </w:p>
          <w:p w14:paraId="79F10086" w14:textId="77777777" w:rsidR="007545BD" w:rsidRPr="00C41EB8" w:rsidRDefault="007545BD" w:rsidP="00A73208">
            <w:pPr>
              <w:spacing w:before="0" w:after="0"/>
              <w:jc w:val="left"/>
              <w:rPr>
                <w:noProof/>
                <w:sz w:val="20"/>
              </w:rPr>
            </w:pPr>
            <w:r w:rsidRPr="00C41EB8">
              <w:rPr>
                <w:noProof/>
                <w:sz w:val="20"/>
              </w:rPr>
              <w:t>Transporta attīstības pamatnostādnes 2021.-2027.gadam (TAP2027)</w:t>
            </w:r>
          </w:p>
          <w:p w14:paraId="2DAE181B" w14:textId="77777777" w:rsidR="007545BD" w:rsidRPr="00C41EB8" w:rsidRDefault="007545BD" w:rsidP="00A73208">
            <w:pPr>
              <w:spacing w:before="0" w:after="0"/>
              <w:jc w:val="left"/>
              <w:rPr>
                <w:noProof/>
                <w:sz w:val="20"/>
              </w:rPr>
            </w:pPr>
          </w:p>
          <w:p w14:paraId="0ADF8E5E" w14:textId="77777777" w:rsidR="007545BD" w:rsidRPr="00C41EB8" w:rsidRDefault="007545BD" w:rsidP="00A73208">
            <w:pPr>
              <w:spacing w:before="0" w:after="0"/>
              <w:jc w:val="left"/>
              <w:rPr>
                <w:noProof/>
                <w:sz w:val="20"/>
              </w:rPr>
            </w:pPr>
            <w:r w:rsidRPr="00C41EB8">
              <w:rPr>
                <w:noProof/>
                <w:sz w:val="20"/>
              </w:rPr>
              <w:t>Indikatīvais dzelzceļa infrastruktūras attīstības plāns 2018. -2022. gadam.</w:t>
            </w:r>
          </w:p>
          <w:p w14:paraId="3D65555C" w14:textId="77777777" w:rsidR="007545BD" w:rsidRPr="00C41EB8" w:rsidRDefault="007545BD" w:rsidP="00A73208">
            <w:pPr>
              <w:spacing w:before="0" w:after="0"/>
              <w:jc w:val="left"/>
              <w:rPr>
                <w:noProof/>
                <w:sz w:val="20"/>
              </w:rPr>
            </w:pPr>
          </w:p>
          <w:p w14:paraId="73888083" w14:textId="77777777" w:rsidR="007545BD" w:rsidRPr="00C41EB8" w:rsidRDefault="007545BD" w:rsidP="00A73208">
            <w:pPr>
              <w:spacing w:before="0" w:after="0"/>
              <w:jc w:val="left"/>
              <w:rPr>
                <w:noProof/>
                <w:sz w:val="20"/>
              </w:rPr>
            </w:pPr>
            <w:r w:rsidRPr="00C41EB8">
              <w:rPr>
                <w:noProof/>
                <w:sz w:val="20"/>
              </w:rPr>
              <w:t>Indikatīvais dzelzceļa infrastruktūras attīstības plāns 2022.-2026.gadam</w:t>
            </w:r>
            <w:r>
              <w:rPr>
                <w:noProof/>
                <w:sz w:val="20"/>
              </w:rPr>
              <w:t>.</w:t>
            </w:r>
          </w:p>
          <w:p w14:paraId="56B7167A" w14:textId="77777777" w:rsidR="007545BD" w:rsidRPr="00C41EB8" w:rsidRDefault="007545BD" w:rsidP="00A73208">
            <w:pPr>
              <w:spacing w:before="0" w:after="0"/>
              <w:jc w:val="left"/>
              <w:rPr>
                <w:noProof/>
                <w:sz w:val="20"/>
              </w:rPr>
            </w:pPr>
          </w:p>
        </w:tc>
        <w:tc>
          <w:tcPr>
            <w:tcW w:w="3686" w:type="dxa"/>
            <w:shd w:val="clear" w:color="auto" w:fill="D9D9D9" w:themeFill="background1" w:themeFillShade="D9"/>
          </w:tcPr>
          <w:p w14:paraId="48E62DF2" w14:textId="77777777" w:rsidR="007545BD" w:rsidRPr="00C41EB8" w:rsidRDefault="007545BD" w:rsidP="00A73208">
            <w:pPr>
              <w:spacing w:before="0" w:after="0"/>
              <w:rPr>
                <w:rFonts w:eastAsia="Times New Roman"/>
                <w:iCs/>
                <w:noProof/>
                <w:sz w:val="20"/>
              </w:rPr>
            </w:pPr>
            <w:r w:rsidRPr="00C41EB8">
              <w:rPr>
                <w:rFonts w:eastAsia="Times New Roman"/>
                <w:iCs/>
                <w:noProof/>
                <w:sz w:val="20"/>
              </w:rPr>
              <w:t>1.kritērija izpilde:</w:t>
            </w:r>
          </w:p>
          <w:p w14:paraId="417D7EC5" w14:textId="77777777" w:rsidR="007545BD" w:rsidRPr="00C41EB8" w:rsidRDefault="007545BD" w:rsidP="00A73208">
            <w:pPr>
              <w:spacing w:before="0" w:after="0"/>
              <w:rPr>
                <w:iCs/>
                <w:sz w:val="20"/>
              </w:rPr>
            </w:pPr>
            <w:r w:rsidRPr="00C41EB8">
              <w:rPr>
                <w:iCs/>
                <w:sz w:val="20"/>
              </w:rPr>
              <w:t xml:space="preserve">Nodrošināt pastāvošās un plānotās infrastruktūru multimodālo kartēšanu, izņemot vietējo līmeni, līdz 2030. gadam un kritērija 1.apakšpunkts papildinoši TAP2027 tiek izpildīts ar pētījuma  “Pētījums par ieguldījumu priekšnosacījumu izpildi visaptverošas transporta plānošanas sistēmas ieviešanai, kas ietver ieguldījumu kartēšanu un ieguldījumu novērtēšanas metodikas izstrādi” rezultātiem.  </w:t>
            </w:r>
          </w:p>
          <w:p w14:paraId="06752DF3" w14:textId="77777777" w:rsidR="007545BD" w:rsidRPr="00C41EB8" w:rsidRDefault="007545BD" w:rsidP="00A73208">
            <w:pPr>
              <w:spacing w:before="0" w:after="0"/>
              <w:ind w:firstLine="467"/>
              <w:rPr>
                <w:iCs/>
                <w:sz w:val="20"/>
              </w:rPr>
            </w:pPr>
            <w:r w:rsidRPr="00C41EB8">
              <w:rPr>
                <w:iCs/>
                <w:sz w:val="20"/>
              </w:rPr>
              <w:t>Ar pētījumu nodrošināts:</w:t>
            </w:r>
          </w:p>
          <w:p w14:paraId="587089B5" w14:textId="77777777" w:rsidR="007545BD" w:rsidRPr="00C41EB8" w:rsidRDefault="007545BD" w:rsidP="00A73208">
            <w:pPr>
              <w:spacing w:before="0" w:after="0"/>
              <w:ind w:firstLine="467"/>
              <w:rPr>
                <w:iCs/>
                <w:sz w:val="20"/>
              </w:rPr>
            </w:pPr>
            <w:r w:rsidRPr="00C41EB8">
              <w:rPr>
                <w:iCs/>
                <w:sz w:val="20"/>
              </w:rPr>
              <w:t>-</w:t>
            </w:r>
            <w:r w:rsidRPr="00C41EB8">
              <w:rPr>
                <w:iCs/>
                <w:sz w:val="20"/>
              </w:rPr>
              <w:tab/>
              <w:t xml:space="preserve">esošās un plānotās transporta infrastruktūras kartējums </w:t>
            </w:r>
          </w:p>
          <w:p w14:paraId="705FDB10" w14:textId="77777777" w:rsidR="007545BD" w:rsidRPr="00C41EB8" w:rsidRDefault="007545BD" w:rsidP="00A73208">
            <w:pPr>
              <w:spacing w:before="0" w:after="0"/>
              <w:ind w:firstLine="467"/>
              <w:rPr>
                <w:iCs/>
                <w:sz w:val="20"/>
              </w:rPr>
            </w:pPr>
            <w:r w:rsidRPr="00C41EB8">
              <w:rPr>
                <w:iCs/>
                <w:sz w:val="20"/>
              </w:rPr>
              <w:t>-</w:t>
            </w:r>
            <w:r w:rsidRPr="00C41EB8">
              <w:rPr>
                <w:iCs/>
                <w:sz w:val="20"/>
              </w:rPr>
              <w:tab/>
              <w:t>izstrādāta vienotas transporta investīciju novērtēšanas metodika (Transports investīciju modelis) transporta politikas plānošanai.</w:t>
            </w:r>
          </w:p>
          <w:p w14:paraId="2863EDC0" w14:textId="77777777" w:rsidR="007545BD" w:rsidRPr="00C41EB8" w:rsidRDefault="007545BD" w:rsidP="00A73208">
            <w:pPr>
              <w:spacing w:before="0" w:after="0"/>
              <w:ind w:firstLine="467"/>
              <w:rPr>
                <w:iCs/>
                <w:sz w:val="20"/>
              </w:rPr>
            </w:pPr>
            <w:r w:rsidRPr="00C41EB8">
              <w:rPr>
                <w:iCs/>
                <w:sz w:val="20"/>
              </w:rPr>
              <w:t>Pētījuma digitālā ģeogrāfiskā informācija (kartējums) ļauj visaptveroši pārskatīt satiksmes infrastruktūru, kartējums:</w:t>
            </w:r>
          </w:p>
          <w:p w14:paraId="1CA498D2" w14:textId="77777777" w:rsidR="007545BD" w:rsidRPr="00C41EB8" w:rsidRDefault="007545BD" w:rsidP="00A73208">
            <w:pPr>
              <w:spacing w:before="0" w:after="0"/>
              <w:ind w:firstLine="467"/>
              <w:rPr>
                <w:iCs/>
                <w:sz w:val="20"/>
              </w:rPr>
            </w:pPr>
            <w:r w:rsidRPr="00C41EB8">
              <w:rPr>
                <w:iCs/>
                <w:sz w:val="20"/>
              </w:rPr>
              <w:t>-</w:t>
            </w:r>
            <w:r w:rsidRPr="00C41EB8">
              <w:rPr>
                <w:iCs/>
                <w:sz w:val="20"/>
              </w:rPr>
              <w:tab/>
              <w:t>atbilst valsts enerģētikas un klimata plāniem;</w:t>
            </w:r>
          </w:p>
          <w:p w14:paraId="7187815C" w14:textId="77777777" w:rsidR="007545BD" w:rsidRPr="00C41EB8" w:rsidRDefault="007545BD" w:rsidP="00A73208">
            <w:pPr>
              <w:spacing w:before="0" w:after="0"/>
              <w:ind w:firstLine="467"/>
              <w:rPr>
                <w:iCs/>
                <w:sz w:val="20"/>
              </w:rPr>
            </w:pPr>
            <w:r w:rsidRPr="00C41EB8">
              <w:rPr>
                <w:iCs/>
                <w:sz w:val="20"/>
              </w:rPr>
              <w:t>-</w:t>
            </w:r>
            <w:r w:rsidRPr="00C41EB8">
              <w:rPr>
                <w:iCs/>
                <w:sz w:val="20"/>
              </w:rPr>
              <w:tab/>
              <w:t>ietver ieguldījumus TEN-T pamattīkla koridoros saskaņā ar attiecīgiem TEN- T tīkla koridoru plāniem;</w:t>
            </w:r>
          </w:p>
          <w:p w14:paraId="767A94CA" w14:textId="77777777" w:rsidR="007545BD" w:rsidRPr="00C41EB8" w:rsidRDefault="007545BD" w:rsidP="00A73208">
            <w:pPr>
              <w:spacing w:before="0" w:after="0"/>
              <w:ind w:firstLine="467"/>
              <w:rPr>
                <w:iCs/>
                <w:sz w:val="20"/>
              </w:rPr>
            </w:pPr>
            <w:r w:rsidRPr="00C41EB8">
              <w:rPr>
                <w:iCs/>
                <w:sz w:val="20"/>
              </w:rPr>
              <w:t>-</w:t>
            </w:r>
            <w:r w:rsidRPr="00C41EB8">
              <w:rPr>
                <w:iCs/>
                <w:sz w:val="20"/>
              </w:rPr>
              <w:tab/>
              <w:t>ņem vērā, ka ieguldījumiem jānodrošina pietiekamu reģionu un vietējo kopienu savienojamību ārpus TEN-T tīkla un tā mezgliem;</w:t>
            </w:r>
          </w:p>
          <w:p w14:paraId="57AAF8A6" w14:textId="77777777" w:rsidR="007545BD" w:rsidRPr="00C41EB8" w:rsidRDefault="007545BD" w:rsidP="00A73208">
            <w:pPr>
              <w:spacing w:before="0" w:after="0"/>
              <w:ind w:firstLine="467"/>
              <w:rPr>
                <w:iCs/>
                <w:sz w:val="20"/>
              </w:rPr>
            </w:pPr>
            <w:r w:rsidRPr="00C41EB8">
              <w:rPr>
                <w:iCs/>
                <w:sz w:val="20"/>
              </w:rPr>
              <w:t>-</w:t>
            </w:r>
            <w:r w:rsidRPr="00C41EB8">
              <w:rPr>
                <w:iCs/>
                <w:sz w:val="20"/>
              </w:rPr>
              <w:tab/>
              <w:t>identificē multimodālo vai pārkraušanas kravu un pasažieru terminālu vajadzības, kas veicina vairāku veidu pārvadājumus;</w:t>
            </w:r>
          </w:p>
          <w:p w14:paraId="5511EE77" w14:textId="77777777" w:rsidR="007545BD" w:rsidRPr="00C41EB8" w:rsidRDefault="007545BD" w:rsidP="00A73208">
            <w:pPr>
              <w:spacing w:before="0" w:after="0"/>
              <w:ind w:firstLine="467"/>
              <w:rPr>
                <w:iCs/>
                <w:sz w:val="20"/>
              </w:rPr>
            </w:pPr>
            <w:r w:rsidRPr="00C41EB8">
              <w:rPr>
                <w:iCs/>
                <w:sz w:val="20"/>
              </w:rPr>
              <w:t>-</w:t>
            </w:r>
            <w:r w:rsidRPr="00C41EB8">
              <w:rPr>
                <w:iCs/>
                <w:sz w:val="20"/>
              </w:rPr>
              <w:tab/>
              <w:t>ņem vērā ceļu satiksmes drošības risku novērtējumu, saskaņā ar spēkā esošajām valsts ceļu satiksmes drošības stratēģijām, un  risku skarto ceļu posmu kartēšanu un prioritāšu piešķiršanu attiecīgajiem ieguldījumiem;</w:t>
            </w:r>
          </w:p>
          <w:p w14:paraId="2BF6363B" w14:textId="77777777" w:rsidR="007545BD" w:rsidRPr="00C41EB8" w:rsidRDefault="007545BD" w:rsidP="00A73208">
            <w:pPr>
              <w:spacing w:before="0" w:after="0"/>
              <w:ind w:firstLine="467"/>
              <w:rPr>
                <w:iCs/>
                <w:sz w:val="20"/>
              </w:rPr>
            </w:pPr>
            <w:r w:rsidRPr="00C41EB8">
              <w:rPr>
                <w:iCs/>
                <w:sz w:val="20"/>
              </w:rPr>
              <w:t>-</w:t>
            </w:r>
            <w:r w:rsidRPr="00C41EB8">
              <w:rPr>
                <w:iCs/>
                <w:sz w:val="20"/>
              </w:rPr>
              <w:tab/>
              <w:t xml:space="preserve">ņem vērā informāciju par finansējuma resursiem, kas atbilst plānotajiem ieguldījumiem un kas nepieciešami esošo un plānoto ekspluatācijas un uzturēšanas izmaksu segšanai. </w:t>
            </w:r>
          </w:p>
          <w:p w14:paraId="1F8B3799" w14:textId="77777777" w:rsidR="007545BD" w:rsidRPr="00C41EB8" w:rsidRDefault="007545BD" w:rsidP="00A73208">
            <w:pPr>
              <w:spacing w:before="0" w:after="0"/>
              <w:ind w:firstLine="467"/>
              <w:rPr>
                <w:iCs/>
                <w:sz w:val="20"/>
              </w:rPr>
            </w:pPr>
            <w:r w:rsidRPr="00C41EB8">
              <w:rPr>
                <w:iCs/>
                <w:sz w:val="20"/>
              </w:rPr>
              <w:t>Pētījuma ietvaros izstrādāta Metodika (Transporta investīciju modelim (TIM)) ir papildus atbalsta instruments transporta politikas un investīciju stratēģijas plānošanā, tā ļaus novērtēt un plānot ieguldījumu ietekmi uz transporta plūsmām, savienotajiem mobilitātes risinājumiem, klimata plāniem un satiksmes drošību valstī kopumā.</w:t>
            </w:r>
          </w:p>
          <w:p w14:paraId="3AE0AAF8" w14:textId="77777777" w:rsidR="007545BD" w:rsidRPr="00C41EB8" w:rsidRDefault="007545BD" w:rsidP="00A73208">
            <w:pPr>
              <w:spacing w:before="0" w:after="0"/>
              <w:ind w:firstLine="467"/>
              <w:rPr>
                <w:iCs/>
                <w:sz w:val="20"/>
              </w:rPr>
            </w:pPr>
            <w:r w:rsidRPr="00C41EB8">
              <w:rPr>
                <w:iCs/>
                <w:sz w:val="20"/>
              </w:rPr>
              <w:t>Pētījums ietver šādas darbības:</w:t>
            </w:r>
          </w:p>
          <w:p w14:paraId="580BC362" w14:textId="77777777" w:rsidR="007545BD" w:rsidRPr="00C41EB8" w:rsidRDefault="007545BD" w:rsidP="00A73208">
            <w:pPr>
              <w:spacing w:before="0" w:after="0"/>
              <w:ind w:firstLine="467"/>
              <w:rPr>
                <w:iCs/>
                <w:sz w:val="20"/>
              </w:rPr>
            </w:pPr>
            <w:r w:rsidRPr="00C41EB8">
              <w:rPr>
                <w:iCs/>
                <w:sz w:val="20"/>
              </w:rPr>
              <w:t>-</w:t>
            </w:r>
            <w:r w:rsidRPr="00C41EB8">
              <w:rPr>
                <w:iCs/>
                <w:sz w:val="20"/>
              </w:rPr>
              <w:tab/>
              <w:t>Transporta infrastruktūras un to ietekmējošo rādītāju analīzi;</w:t>
            </w:r>
          </w:p>
          <w:p w14:paraId="565377E4" w14:textId="77777777" w:rsidR="007545BD" w:rsidRPr="00C41EB8" w:rsidRDefault="007545BD" w:rsidP="00A73208">
            <w:pPr>
              <w:spacing w:before="0" w:after="0"/>
              <w:ind w:firstLine="467"/>
              <w:rPr>
                <w:iCs/>
                <w:sz w:val="20"/>
              </w:rPr>
            </w:pPr>
            <w:r w:rsidRPr="00C41EB8">
              <w:rPr>
                <w:iCs/>
                <w:sz w:val="20"/>
              </w:rPr>
              <w:t>-</w:t>
            </w:r>
            <w:r w:rsidRPr="00C41EB8">
              <w:rPr>
                <w:iCs/>
                <w:sz w:val="20"/>
              </w:rPr>
              <w:tab/>
              <w:t>Transporta plānošanas datu sistēmanalīzi;</w:t>
            </w:r>
          </w:p>
          <w:p w14:paraId="5B2B583E" w14:textId="77777777" w:rsidR="007545BD" w:rsidRPr="00C41EB8" w:rsidRDefault="007545BD" w:rsidP="00A73208">
            <w:pPr>
              <w:spacing w:before="0" w:after="0"/>
              <w:ind w:firstLine="467"/>
              <w:rPr>
                <w:iCs/>
                <w:sz w:val="20"/>
              </w:rPr>
            </w:pPr>
            <w:r w:rsidRPr="00C41EB8">
              <w:rPr>
                <w:iCs/>
                <w:sz w:val="20"/>
              </w:rPr>
              <w:t>-</w:t>
            </w:r>
            <w:r w:rsidRPr="00C41EB8">
              <w:rPr>
                <w:iCs/>
                <w:sz w:val="20"/>
              </w:rPr>
              <w:tab/>
              <w:t>Transporta infrastruktūras un politikas intervences kartējumu;</w:t>
            </w:r>
          </w:p>
          <w:p w14:paraId="28E52A60" w14:textId="77777777" w:rsidR="007545BD" w:rsidRPr="00C41EB8" w:rsidRDefault="007545BD" w:rsidP="00A73208">
            <w:pPr>
              <w:spacing w:before="0" w:after="0"/>
              <w:ind w:firstLine="467"/>
              <w:rPr>
                <w:iCs/>
                <w:sz w:val="20"/>
              </w:rPr>
            </w:pPr>
            <w:r w:rsidRPr="00C41EB8">
              <w:rPr>
                <w:iCs/>
                <w:sz w:val="20"/>
              </w:rPr>
              <w:t>-</w:t>
            </w:r>
            <w:r w:rsidRPr="00C41EB8">
              <w:rPr>
                <w:iCs/>
                <w:sz w:val="20"/>
              </w:rPr>
              <w:tab/>
              <w:t>Transporta intervences politikas sākotnējo novērtējumu;</w:t>
            </w:r>
          </w:p>
          <w:p w14:paraId="7A977545" w14:textId="77777777" w:rsidR="007545BD" w:rsidRPr="00C41EB8" w:rsidRDefault="007545BD" w:rsidP="00A73208">
            <w:pPr>
              <w:spacing w:before="0" w:after="0"/>
              <w:ind w:firstLine="467"/>
              <w:rPr>
                <w:iCs/>
                <w:sz w:val="20"/>
              </w:rPr>
            </w:pPr>
            <w:r w:rsidRPr="00C41EB8">
              <w:rPr>
                <w:iCs/>
                <w:sz w:val="20"/>
              </w:rPr>
              <w:t>-</w:t>
            </w:r>
            <w:r w:rsidRPr="00C41EB8">
              <w:rPr>
                <w:iCs/>
                <w:sz w:val="20"/>
              </w:rPr>
              <w:tab/>
              <w:t>Plānoto ieguldījumu ekonomiskā novērtējuma metodoloģiju;</w:t>
            </w:r>
          </w:p>
          <w:p w14:paraId="1F7AD473" w14:textId="77777777" w:rsidR="007545BD" w:rsidRPr="00C41EB8" w:rsidRDefault="007545BD" w:rsidP="00A73208">
            <w:pPr>
              <w:spacing w:before="0" w:after="0"/>
              <w:ind w:firstLine="467"/>
              <w:rPr>
                <w:iCs/>
                <w:sz w:val="20"/>
              </w:rPr>
            </w:pPr>
            <w:r w:rsidRPr="00C41EB8">
              <w:rPr>
                <w:iCs/>
                <w:sz w:val="20"/>
              </w:rPr>
              <w:t>-</w:t>
            </w:r>
            <w:r w:rsidRPr="00C41EB8">
              <w:rPr>
                <w:iCs/>
                <w:sz w:val="20"/>
              </w:rPr>
              <w:tab/>
              <w:t>Politikas intervences scenāriju novērtējumu;</w:t>
            </w:r>
          </w:p>
          <w:p w14:paraId="46350755" w14:textId="77777777" w:rsidR="007545BD" w:rsidRPr="00C41EB8" w:rsidRDefault="007545BD" w:rsidP="00A73208">
            <w:pPr>
              <w:spacing w:before="0" w:after="0"/>
              <w:ind w:firstLine="467"/>
              <w:rPr>
                <w:rFonts w:eastAsia="Times New Roman"/>
                <w:iCs/>
                <w:noProof/>
                <w:sz w:val="20"/>
              </w:rPr>
            </w:pPr>
            <w:r w:rsidRPr="00C41EB8">
              <w:rPr>
                <w:iCs/>
                <w:sz w:val="20"/>
              </w:rPr>
              <w:t>-</w:t>
            </w:r>
            <w:r w:rsidRPr="00C41EB8">
              <w:rPr>
                <w:iCs/>
                <w:sz w:val="20"/>
              </w:rPr>
              <w:tab/>
              <w:t>Rekomendācijas visaptverošas transporta plānošanas turpmākai attīstībai.</w:t>
            </w:r>
          </w:p>
        </w:tc>
      </w:tr>
      <w:tr w:rsidR="007545BD" w:rsidRPr="00C41EB8" w14:paraId="4A5A2447" w14:textId="77777777" w:rsidTr="00A73208">
        <w:tc>
          <w:tcPr>
            <w:tcW w:w="562" w:type="dxa"/>
            <w:shd w:val="clear" w:color="auto" w:fill="D9D9D9" w:themeFill="background1" w:themeFillShade="D9"/>
          </w:tcPr>
          <w:p w14:paraId="4134629B"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D9D9D9" w:themeFill="background1" w:themeFillShade="D9"/>
          </w:tcPr>
          <w:p w14:paraId="11B7BA4A" w14:textId="77777777" w:rsidR="007545BD" w:rsidRPr="00C41EB8" w:rsidRDefault="007545BD" w:rsidP="00A73208">
            <w:pPr>
              <w:spacing w:before="0" w:after="0"/>
              <w:jc w:val="left"/>
              <w:rPr>
                <w:noProof/>
                <w:sz w:val="20"/>
              </w:rPr>
            </w:pPr>
          </w:p>
        </w:tc>
        <w:tc>
          <w:tcPr>
            <w:tcW w:w="851" w:type="dxa"/>
            <w:vMerge/>
            <w:shd w:val="clear" w:color="auto" w:fill="D9D9D9" w:themeFill="background1" w:themeFillShade="D9"/>
          </w:tcPr>
          <w:p w14:paraId="50726486" w14:textId="77777777" w:rsidR="007545BD" w:rsidRPr="00C41EB8" w:rsidRDefault="007545BD" w:rsidP="00A73208">
            <w:pPr>
              <w:spacing w:before="0" w:after="0"/>
              <w:jc w:val="left"/>
              <w:rPr>
                <w:rFonts w:eastAsia="Times New Roman"/>
                <w:iCs/>
                <w:noProof/>
                <w:sz w:val="20"/>
              </w:rPr>
            </w:pPr>
          </w:p>
        </w:tc>
        <w:tc>
          <w:tcPr>
            <w:tcW w:w="1134" w:type="dxa"/>
            <w:vMerge/>
            <w:shd w:val="clear" w:color="auto" w:fill="D9D9D9" w:themeFill="background1" w:themeFillShade="D9"/>
          </w:tcPr>
          <w:p w14:paraId="4F8758FF" w14:textId="77777777" w:rsidR="007545BD" w:rsidRPr="00C41EB8" w:rsidRDefault="007545BD" w:rsidP="00A73208">
            <w:pPr>
              <w:spacing w:before="0" w:after="0"/>
              <w:jc w:val="left"/>
              <w:rPr>
                <w:rFonts w:eastAsia="Times New Roman"/>
                <w:iCs/>
                <w:noProof/>
                <w:sz w:val="20"/>
              </w:rPr>
            </w:pPr>
          </w:p>
        </w:tc>
        <w:tc>
          <w:tcPr>
            <w:tcW w:w="850" w:type="dxa"/>
            <w:vMerge/>
            <w:shd w:val="clear" w:color="auto" w:fill="D9D9D9" w:themeFill="background1" w:themeFillShade="D9"/>
          </w:tcPr>
          <w:p w14:paraId="166E1331" w14:textId="77777777" w:rsidR="007545BD" w:rsidRPr="00C41EB8" w:rsidRDefault="007545BD" w:rsidP="00A73208">
            <w:pPr>
              <w:spacing w:before="0" w:after="0"/>
              <w:jc w:val="left"/>
              <w:rPr>
                <w:rFonts w:eastAsia="Times New Roman"/>
                <w:iCs/>
                <w:noProof/>
                <w:sz w:val="20"/>
              </w:rPr>
            </w:pPr>
          </w:p>
        </w:tc>
        <w:tc>
          <w:tcPr>
            <w:tcW w:w="2410" w:type="dxa"/>
            <w:shd w:val="clear" w:color="auto" w:fill="D9D9D9" w:themeFill="background1" w:themeFillShade="D9"/>
          </w:tcPr>
          <w:p w14:paraId="17E30F80" w14:textId="77777777" w:rsidR="007545BD" w:rsidRPr="00C41EB8" w:rsidRDefault="007545BD" w:rsidP="00A73208">
            <w:pPr>
              <w:spacing w:before="0" w:after="0"/>
              <w:ind w:left="3"/>
              <w:jc w:val="left"/>
              <w:rPr>
                <w:noProof/>
                <w:sz w:val="20"/>
              </w:rPr>
            </w:pPr>
            <w:r w:rsidRPr="00C41EB8">
              <w:rPr>
                <w:noProof/>
                <w:sz w:val="20"/>
              </w:rPr>
              <w:t>2.Atbilst valsts enerģētikas un klimata plāniem;</w:t>
            </w:r>
          </w:p>
        </w:tc>
        <w:tc>
          <w:tcPr>
            <w:tcW w:w="1134" w:type="dxa"/>
            <w:shd w:val="clear" w:color="auto" w:fill="D9D9D9" w:themeFill="background1" w:themeFillShade="D9"/>
          </w:tcPr>
          <w:p w14:paraId="7CD66D06" w14:textId="77777777" w:rsidR="007545BD" w:rsidRPr="00C41EB8" w:rsidRDefault="007545BD" w:rsidP="00A73208">
            <w:pPr>
              <w:spacing w:before="0" w:after="0"/>
              <w:jc w:val="left"/>
              <w:rPr>
                <w:noProof/>
                <w:sz w:val="20"/>
              </w:rPr>
            </w:pPr>
            <w:r w:rsidRPr="00C41EB8">
              <w:rPr>
                <w:noProof/>
                <w:sz w:val="20"/>
              </w:rPr>
              <w:t>Nē</w:t>
            </w:r>
          </w:p>
        </w:tc>
        <w:tc>
          <w:tcPr>
            <w:tcW w:w="2410" w:type="dxa"/>
            <w:shd w:val="clear" w:color="auto" w:fill="D9D9D9" w:themeFill="background1" w:themeFillShade="D9"/>
          </w:tcPr>
          <w:p w14:paraId="492182FA" w14:textId="77777777" w:rsidR="007545BD" w:rsidRPr="00C41EB8" w:rsidRDefault="007545BD" w:rsidP="00A73208">
            <w:pPr>
              <w:spacing w:before="0" w:after="0"/>
              <w:jc w:val="left"/>
              <w:rPr>
                <w:noProof/>
                <w:sz w:val="20"/>
              </w:rPr>
            </w:pPr>
            <w:r w:rsidRPr="00C41EB8">
              <w:rPr>
                <w:noProof/>
                <w:sz w:val="20"/>
              </w:rPr>
              <w:t>2.kritērija izpilde:</w:t>
            </w:r>
          </w:p>
          <w:p w14:paraId="25AA9E25" w14:textId="77777777" w:rsidR="007545BD" w:rsidRPr="00C41EB8" w:rsidRDefault="007545BD" w:rsidP="00A73208">
            <w:pPr>
              <w:spacing w:before="0" w:after="0"/>
              <w:jc w:val="left"/>
              <w:rPr>
                <w:noProof/>
                <w:sz w:val="20"/>
              </w:rPr>
            </w:pPr>
            <w:r w:rsidRPr="00C41EB8">
              <w:rPr>
                <w:noProof/>
                <w:sz w:val="20"/>
              </w:rPr>
              <w:t>TAP2027</w:t>
            </w:r>
          </w:p>
        </w:tc>
        <w:tc>
          <w:tcPr>
            <w:tcW w:w="3686" w:type="dxa"/>
            <w:shd w:val="clear" w:color="auto" w:fill="D9D9D9" w:themeFill="background1" w:themeFillShade="D9"/>
          </w:tcPr>
          <w:p w14:paraId="1D81A572" w14:textId="77777777" w:rsidR="007545BD" w:rsidRPr="00C41EB8" w:rsidRDefault="007545BD" w:rsidP="00A73208">
            <w:pPr>
              <w:spacing w:before="0" w:after="0"/>
              <w:rPr>
                <w:rFonts w:eastAsia="Times New Roman"/>
                <w:iCs/>
                <w:noProof/>
                <w:sz w:val="20"/>
              </w:rPr>
            </w:pPr>
            <w:r w:rsidRPr="00C41EB8">
              <w:rPr>
                <w:rFonts w:eastAsia="Times New Roman"/>
                <w:iCs/>
                <w:noProof/>
                <w:sz w:val="20"/>
              </w:rPr>
              <w:t>2.kritārija izpilde:</w:t>
            </w:r>
          </w:p>
          <w:p w14:paraId="11B4BC24" w14:textId="77777777" w:rsidR="007545BD" w:rsidRPr="00C41EB8" w:rsidRDefault="007545BD" w:rsidP="00A73208">
            <w:pPr>
              <w:spacing w:before="0" w:after="0"/>
              <w:ind w:firstLine="467"/>
              <w:rPr>
                <w:iCs/>
                <w:sz w:val="20"/>
              </w:rPr>
            </w:pPr>
            <w:r w:rsidRPr="00C41EB8">
              <w:rPr>
                <w:iCs/>
                <w:sz w:val="20"/>
              </w:rPr>
              <w:t>TAP2027 ir izstrādātas ņemot vērā valsts enerģētikas un klimata plānus, virzību uz tajos noteikto iekļaujot gan kopējā politikas mērķī (Integrēta transporta sistēma, kas nodrošina drošu, efektīvu, pieejamu, viedu un ilgtspējīgu mobilitāti, veicina valsts ekonomisko izaugsmi, reģionālo attīstību un nodrošina virzību uz klimatneitrālu ekonomiku), gan arī nosakot sasniedzamos politikas rezultātus (viens no tiem - Samazināts transporta radītais gaisa piesārņojums, SEG emisijas un uzlabota vides kvalitāte) un sekojoši:</w:t>
            </w:r>
          </w:p>
          <w:p w14:paraId="5DA26D9E" w14:textId="77777777" w:rsidR="007545BD" w:rsidRPr="00C41EB8" w:rsidRDefault="007545BD" w:rsidP="00A73208">
            <w:pPr>
              <w:spacing w:before="0" w:after="0"/>
              <w:ind w:firstLine="467"/>
              <w:rPr>
                <w:iCs/>
                <w:sz w:val="20"/>
              </w:rPr>
            </w:pPr>
            <w:r w:rsidRPr="00C41EB8">
              <w:rPr>
                <w:iCs/>
                <w:sz w:val="20"/>
              </w:rPr>
              <w:t xml:space="preserve">- </w:t>
            </w:r>
            <w:hyperlink r:id="rId93" w:history="1">
              <w:r w:rsidRPr="00C41EB8">
                <w:rPr>
                  <w:rStyle w:val="Hyperlink"/>
                  <w:iCs/>
                  <w:sz w:val="20"/>
                </w:rPr>
                <w:t>Gaisa piesārņojuma samazināšanas rīcības plāns 2020.-2030. gadam</w:t>
              </w:r>
            </w:hyperlink>
            <w:r w:rsidRPr="00C41EB8">
              <w:rPr>
                <w:iCs/>
                <w:sz w:val="20"/>
              </w:rPr>
              <w:t>, kur viens no rīcības virzieniem ir emisiju samazināšana transportā ar alternatīvo degvielu plašāku izmantošanu.</w:t>
            </w:r>
          </w:p>
          <w:p w14:paraId="3B543D9C" w14:textId="2C770BAB" w:rsidR="007545BD" w:rsidRPr="00C41EB8" w:rsidRDefault="007545BD" w:rsidP="00A73208">
            <w:pPr>
              <w:spacing w:before="0" w:after="0"/>
              <w:ind w:firstLine="467"/>
              <w:rPr>
                <w:iCs/>
                <w:sz w:val="20"/>
              </w:rPr>
            </w:pPr>
            <w:r w:rsidRPr="00C41EB8">
              <w:rPr>
                <w:iCs/>
                <w:sz w:val="20"/>
              </w:rPr>
              <w:t>TAP2027 izvirzīts mērķis līdz 2027.gadam par 20 % (salīdzinot ar 2018.gada līmeni) samazināt transporta sektora radīto kopējo gaisa piesārņojumu ar slāpekļa oksīdiem. TAP2027 paredz atbilstošus uzdevumus autotransportam – veidot alternatīvo degvielu infrastruktūru, organizēt pasākumus alternatīvo degvielu transportlīdzekļu izmantošanas popularizēšanai, t</w:t>
            </w:r>
            <w:r w:rsidR="00F65811">
              <w:rPr>
                <w:iCs/>
                <w:sz w:val="20"/>
              </w:rPr>
              <w:t>.</w:t>
            </w:r>
            <w:r w:rsidRPr="00C41EB8">
              <w:rPr>
                <w:iCs/>
                <w:sz w:val="20"/>
              </w:rPr>
              <w:t xml:space="preserve"> sk</w:t>
            </w:r>
            <w:r w:rsidR="00F65811">
              <w:rPr>
                <w:iCs/>
                <w:sz w:val="20"/>
              </w:rPr>
              <w:t>.</w:t>
            </w:r>
            <w:r w:rsidRPr="00C41EB8">
              <w:rPr>
                <w:iCs/>
                <w:sz w:val="20"/>
              </w:rPr>
              <w:t xml:space="preserve"> sniegt informatīvo atbalstu sabiedrībai, atbalstīt mazemisiju un bezemisiju transportlīdzekļu skaita palielināšanu valsts pārvaldes iestādēs, kapitālsabiedrībās, sabiedriskajā transportā un/vai specifiskās saimniecisko darbību jomās ar augstu degvielas patēriņu, kā arī dzelzceļa transportam (jaunu akumulatoru bateriju vilcienu iegāde un esošā dīzeļvilcienu ritošā sastāva nomaiņa). Tāpat paredzēts, ka līdz 2027.gadam tiks uzsākts pētījums par ūdeņraža degvielas izmantošanas attīstības scenārijiem Latvijā, izmaksu ziņā efektīvākajiem risinājumiem atjaunojamā ūdeņraža nodrošināšanai transporta sektorā, izvērtējot piemērotāko ūdeņraža izgatavošanas, uzpildes staciju veidus, piegādes iespējas, ņemot vērā šajā jomā pieņemto ES politiku.</w:t>
            </w:r>
          </w:p>
          <w:p w14:paraId="29CC6323" w14:textId="77777777" w:rsidR="007545BD" w:rsidRPr="00C41EB8" w:rsidRDefault="007545BD" w:rsidP="00A73208">
            <w:pPr>
              <w:spacing w:before="0" w:after="0"/>
              <w:ind w:firstLine="467"/>
              <w:rPr>
                <w:iCs/>
                <w:sz w:val="20"/>
              </w:rPr>
            </w:pPr>
            <w:r w:rsidRPr="00C41EB8">
              <w:rPr>
                <w:iCs/>
                <w:sz w:val="20"/>
              </w:rPr>
              <w:t>Būtiska pozitīva ietekme ilgtermiņā sagaidāma saistībā ar Rail Baltica projekta īstenošanu, tāpat pienesumu gaisa kvalitātes uzlabošanās sniegs TAP2027 uzdevumi, kas paredz esošās infrastruktūras attīstību saistībā ar jauno Rail Baltica dzelzceļa līniju (multimodālu transporta un pasažieru pārsēšanās mezglu izveide). Pozitīva ietekme uz gaisa piesārņojuma samazināšanu paredzama arī no jaunu dzelzceļa reģionālo pasažieru maršrutu ieviešanas, mobilitātes punktu izveidošanas un vienotas sabiedriskā transporta biļešu sistēmas izveides. Tāpat transporta sistēmas pilnveidošanā, kas netieši veicina mazāku degvielas patēriņu, būtiska loma ir viedajām tehnoloģijām satiksmes plūsmas regulēšanai. Lai veicinātu iedzīvotāju paradumu maiņu, TAP2027 paredz izstrādāt un īstenot Mikromobilitātes attīstības plānus, kā arī īstenot infrastruktūras projektus velosipēdistu un gājēju ceļu, satiksmes mierināšanas pasākumu un sabiedriskā transporta infrastruktūras attīstībai. Dokumentā iekļauti uzdevumi par transportlīdzekļu tehniskā stāvokļa kontrolēm un uzdevums par atsevišķu dzelzceļa tīkla posmu elektrifikāciju un esošo līniju modernizāciju.</w:t>
            </w:r>
          </w:p>
          <w:p w14:paraId="21040AE9" w14:textId="77777777" w:rsidR="007545BD" w:rsidRPr="00C41EB8" w:rsidRDefault="007545BD" w:rsidP="00A73208">
            <w:pPr>
              <w:spacing w:before="0" w:after="0"/>
              <w:ind w:firstLine="467"/>
              <w:rPr>
                <w:iCs/>
                <w:sz w:val="20"/>
              </w:rPr>
            </w:pPr>
            <w:r w:rsidRPr="00C41EB8">
              <w:rPr>
                <w:iCs/>
                <w:sz w:val="20"/>
              </w:rPr>
              <w:t xml:space="preserve">- </w:t>
            </w:r>
            <w:hyperlink r:id="rId94" w:history="1">
              <w:r w:rsidRPr="00C41EB8">
                <w:rPr>
                  <w:rStyle w:val="Hyperlink"/>
                  <w:iCs/>
                  <w:sz w:val="20"/>
                </w:rPr>
                <w:t>Nacionālais enerģētikas un klimata plāns 2021.-2030.gadam</w:t>
              </w:r>
            </w:hyperlink>
            <w:r w:rsidRPr="00C41EB8">
              <w:rPr>
                <w:iCs/>
                <w:sz w:val="20"/>
              </w:rPr>
              <w:t>, kur viens no rīcības virzieniem ir energoefektivitātes uzlabošana, alternatīvo degvielu un AER tehnoloģiju izmantošanas veicināšana transportā.</w:t>
            </w:r>
          </w:p>
          <w:p w14:paraId="33235447" w14:textId="77777777" w:rsidR="007545BD" w:rsidRPr="00C41EB8" w:rsidRDefault="007545BD" w:rsidP="00A73208">
            <w:pPr>
              <w:spacing w:before="0" w:after="0"/>
              <w:ind w:firstLine="467"/>
              <w:rPr>
                <w:iCs/>
                <w:sz w:val="20"/>
              </w:rPr>
            </w:pPr>
            <w:r w:rsidRPr="00C41EB8">
              <w:rPr>
                <w:iCs/>
                <w:sz w:val="20"/>
              </w:rPr>
              <w:t xml:space="preserve">Atbilstoši plānam TAP2027 nosaka SEG emisiju samazinājumu kā vienu no nākamā perioda transporta nozares horizontālajiem mērķiem un tā sasniegšanā savu devumu dos visas transporta apakšnozares. </w:t>
            </w:r>
          </w:p>
          <w:p w14:paraId="6D64F424" w14:textId="77777777" w:rsidR="007545BD" w:rsidRPr="00C41EB8" w:rsidRDefault="007545BD" w:rsidP="00A73208">
            <w:pPr>
              <w:spacing w:before="0" w:after="0"/>
              <w:ind w:firstLine="467"/>
              <w:rPr>
                <w:iCs/>
                <w:sz w:val="20"/>
              </w:rPr>
            </w:pPr>
            <w:r w:rsidRPr="00C41EB8">
              <w:rPr>
                <w:iCs/>
                <w:sz w:val="20"/>
              </w:rPr>
              <w:t xml:space="preserve">TAP2027 paredz uzdevumus: </w:t>
            </w:r>
          </w:p>
          <w:p w14:paraId="54F70CCD" w14:textId="77777777" w:rsidR="007545BD" w:rsidRPr="00C41EB8" w:rsidRDefault="007545BD" w:rsidP="00A73208">
            <w:pPr>
              <w:spacing w:before="0" w:after="0"/>
              <w:ind w:firstLine="467"/>
              <w:rPr>
                <w:iCs/>
                <w:sz w:val="20"/>
              </w:rPr>
            </w:pPr>
            <w:r w:rsidRPr="00C41EB8">
              <w:rPr>
                <w:iCs/>
                <w:sz w:val="20"/>
              </w:rPr>
              <w:t>-alternatīvo degvielu infrastruktūras attīstībai, veicinot mazemisiju un nulles emisiju transportlīdzekļu skaita palielināšanos publiskajos iepirkumos un sabiedriskajā transportā;</w:t>
            </w:r>
          </w:p>
          <w:p w14:paraId="24B2FAE7" w14:textId="77777777" w:rsidR="007545BD" w:rsidRPr="00C41EB8" w:rsidRDefault="007545BD" w:rsidP="00A73208">
            <w:pPr>
              <w:spacing w:before="0" w:after="0"/>
              <w:ind w:firstLine="467"/>
              <w:rPr>
                <w:iCs/>
                <w:sz w:val="20"/>
              </w:rPr>
            </w:pPr>
            <w:r w:rsidRPr="00C41EB8">
              <w:rPr>
                <w:iCs/>
                <w:sz w:val="20"/>
              </w:rPr>
              <w:t>-jaunu elektrovilcienu iegādi, pildot plānā noteikto virzību uz mūsdienīgu un videi draudzīgu dzelzceļa sabiedrisko transportu;</w:t>
            </w:r>
          </w:p>
          <w:p w14:paraId="01502F03" w14:textId="77777777" w:rsidR="007545BD" w:rsidRPr="00C41EB8" w:rsidRDefault="007545BD" w:rsidP="00A73208">
            <w:pPr>
              <w:spacing w:before="0" w:after="0"/>
              <w:ind w:firstLine="467"/>
              <w:rPr>
                <w:iCs/>
                <w:sz w:val="20"/>
              </w:rPr>
            </w:pPr>
            <w:r w:rsidRPr="00C41EB8">
              <w:rPr>
                <w:iCs/>
                <w:sz w:val="20"/>
              </w:rPr>
              <w:t>-Mikromobilitātes attīstības plānu izstrādi, kā arī īstenot infrastruktūras projektus velosipēdistu un gājēju ceļu, satiksmes mierināšanas pasākumu un sabiedriskā transporta infrastruktūras attīstībai, lai virzītos uz plānā noteikto velosatiksmes attīstību;</w:t>
            </w:r>
          </w:p>
          <w:p w14:paraId="7C283750" w14:textId="77777777" w:rsidR="007545BD" w:rsidRPr="00C41EB8" w:rsidRDefault="007545BD" w:rsidP="00A73208">
            <w:pPr>
              <w:spacing w:before="0" w:after="0"/>
              <w:ind w:firstLine="467"/>
              <w:rPr>
                <w:iCs/>
                <w:sz w:val="20"/>
              </w:rPr>
            </w:pPr>
            <w:r w:rsidRPr="00C41EB8">
              <w:rPr>
                <w:iCs/>
                <w:sz w:val="20"/>
              </w:rPr>
              <w:t xml:space="preserve">- Salaspils intermodiālā kravu termināla attīstību Rail Baltica projekta ietvaros, veidojot daudzfunkcionālus kravu loģistikas punktus ar piesaisti dzelzceļam. </w:t>
            </w:r>
          </w:p>
          <w:p w14:paraId="2DDF053B" w14:textId="77777777" w:rsidR="007545BD" w:rsidRPr="00C41EB8" w:rsidRDefault="007545BD" w:rsidP="00A73208">
            <w:pPr>
              <w:spacing w:before="0" w:after="0"/>
              <w:ind w:firstLine="467"/>
              <w:rPr>
                <w:iCs/>
                <w:sz w:val="20"/>
              </w:rPr>
            </w:pPr>
            <w:r w:rsidRPr="00C41EB8">
              <w:rPr>
                <w:iCs/>
                <w:sz w:val="20"/>
              </w:rPr>
              <w:t xml:space="preserve">- </w:t>
            </w:r>
            <w:hyperlink r:id="rId95" w:history="1">
              <w:r w:rsidRPr="00C41EB8">
                <w:rPr>
                  <w:rStyle w:val="Hyperlink"/>
                  <w:iCs/>
                  <w:sz w:val="20"/>
                </w:rPr>
                <w:t>Latvijas stratēģija klimatneitralitātes sasniegšanai līdz 2050.gadam</w:t>
              </w:r>
            </w:hyperlink>
            <w:r w:rsidRPr="00C41EB8">
              <w:rPr>
                <w:iCs/>
                <w:sz w:val="20"/>
              </w:rPr>
              <w:t>, kur uzdots visiem transporta veidiem veicināt mobilitātes sistēmas dekarbonizācija.</w:t>
            </w:r>
          </w:p>
          <w:p w14:paraId="5FD86F8A" w14:textId="77777777" w:rsidR="007545BD" w:rsidRPr="00C41EB8" w:rsidRDefault="007545BD" w:rsidP="00A73208">
            <w:pPr>
              <w:spacing w:before="0" w:after="0"/>
              <w:ind w:firstLine="467"/>
              <w:rPr>
                <w:iCs/>
                <w:sz w:val="20"/>
              </w:rPr>
            </w:pPr>
            <w:r w:rsidRPr="00C41EB8">
              <w:rPr>
                <w:iCs/>
                <w:sz w:val="20"/>
              </w:rPr>
              <w:t xml:space="preserve">TAP2027 iekļauts mērķis samazināt SEG emisijas transportā. Tāpat atbilstoši stratēģijai paredzēts stiprināt dzelzceļa lomu pasažieru pārvadājumos, nosakot dzelzceļu par sabiedriskā transporta sistēmas mugurkaulu. TAP2027 iekļauti uzdevumi par digitalizācijas risinājumu ieviešanu un attīstību - dzelzceļa pārvadājumos un sabiedriskā transporta sistēmā, transporta nozares datu nacionālā (valsts) piekļuves punkta izveidi un uzturēšanu, statisku un dinamisku maršrutu un satiksmes datu nodrošināšanu, digitalizācijas sistēmu modernizāciju ostās un jūrniecībā, viedo tehnoloģiju ieviešanu satiksmes plūsmu regulēšanai. TAP2027 iekļauti uzdevumi par turpmāku alternatīvo degvielu attīstību. </w:t>
            </w:r>
          </w:p>
          <w:p w14:paraId="0D3BE970" w14:textId="77777777" w:rsidR="007545BD" w:rsidRPr="00C41EB8" w:rsidRDefault="007545BD" w:rsidP="00A73208">
            <w:pPr>
              <w:spacing w:before="0" w:after="0"/>
              <w:ind w:firstLine="467"/>
              <w:rPr>
                <w:iCs/>
                <w:sz w:val="20"/>
              </w:rPr>
            </w:pPr>
            <w:r w:rsidRPr="00C41EB8">
              <w:rPr>
                <w:iCs/>
                <w:sz w:val="20"/>
              </w:rPr>
              <w:t>-</w:t>
            </w:r>
            <w:hyperlink r:id="rId96" w:history="1">
              <w:r w:rsidRPr="00C41EB8">
                <w:rPr>
                  <w:rStyle w:val="Hyperlink"/>
                  <w:iCs/>
                  <w:sz w:val="20"/>
                </w:rPr>
                <w:t>Latvijas pielāgošanās klimata pārmaiņām plāns laika posmam līdz 2030. gadam</w:t>
              </w:r>
            </w:hyperlink>
            <w:r w:rsidRPr="00C41EB8">
              <w:rPr>
                <w:iCs/>
                <w:sz w:val="20"/>
              </w:rPr>
              <w:t xml:space="preserve"> ar virsmērķi mazināt Latvijas cilvēku, tautsaimniecības, infrastruktūras, apbūves un dabas ievainojamību pret klimata pārmaiņu ietekmēm un veicināt klimata pārmaiņu radīto iespēju izmantošanu</w:t>
            </w:r>
          </w:p>
          <w:p w14:paraId="4E771B2B" w14:textId="77777777" w:rsidR="007545BD" w:rsidRPr="00C41EB8" w:rsidRDefault="007545BD" w:rsidP="00A73208">
            <w:pPr>
              <w:spacing w:before="0" w:after="0"/>
              <w:ind w:firstLine="467"/>
              <w:rPr>
                <w:rFonts w:eastAsia="Times New Roman"/>
                <w:iCs/>
                <w:noProof/>
                <w:sz w:val="20"/>
              </w:rPr>
            </w:pPr>
            <w:r w:rsidRPr="00C41EB8">
              <w:rPr>
                <w:iCs/>
                <w:sz w:val="20"/>
              </w:rPr>
              <w:t xml:space="preserve">TAP2027 paredz pasākumus SEG emisiju samazināšanai, tā atbalstot globālos centienus ierobežot klimata pārmaiņas. Tai pat laikā jāņem vērā, ka jau pašlaik klimata pārmaiņu ietekme ir jūtama un arī transporta sektoram ir jārod veidi kā tai pielāgoties. Risinot TAP uzdevumus jāņem vērā klimata pārmaiņu tendences. Klimatnoturīgas infrastruktūras attīstīšana TAP2027 minēta kā viens no izaicinājumiem. </w:t>
            </w:r>
          </w:p>
        </w:tc>
      </w:tr>
      <w:tr w:rsidR="007545BD" w:rsidRPr="00C41EB8" w14:paraId="201CE5B9" w14:textId="77777777" w:rsidTr="00A73208">
        <w:tc>
          <w:tcPr>
            <w:tcW w:w="562" w:type="dxa"/>
            <w:shd w:val="clear" w:color="auto" w:fill="D9D9D9" w:themeFill="background1" w:themeFillShade="D9"/>
          </w:tcPr>
          <w:p w14:paraId="7F2E8198"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D9D9D9" w:themeFill="background1" w:themeFillShade="D9"/>
          </w:tcPr>
          <w:p w14:paraId="362EA133" w14:textId="77777777" w:rsidR="007545BD" w:rsidRPr="00C41EB8" w:rsidRDefault="007545BD" w:rsidP="00A73208">
            <w:pPr>
              <w:spacing w:before="0" w:after="0"/>
              <w:jc w:val="left"/>
              <w:rPr>
                <w:noProof/>
                <w:sz w:val="20"/>
              </w:rPr>
            </w:pPr>
          </w:p>
        </w:tc>
        <w:tc>
          <w:tcPr>
            <w:tcW w:w="851" w:type="dxa"/>
            <w:vMerge/>
            <w:shd w:val="clear" w:color="auto" w:fill="D9D9D9" w:themeFill="background1" w:themeFillShade="D9"/>
          </w:tcPr>
          <w:p w14:paraId="35EAFA78" w14:textId="77777777" w:rsidR="007545BD" w:rsidRPr="00C41EB8" w:rsidRDefault="007545BD" w:rsidP="00A73208">
            <w:pPr>
              <w:spacing w:before="0" w:after="0"/>
              <w:jc w:val="left"/>
              <w:rPr>
                <w:rFonts w:eastAsia="Times New Roman"/>
                <w:iCs/>
                <w:noProof/>
                <w:sz w:val="20"/>
              </w:rPr>
            </w:pPr>
          </w:p>
        </w:tc>
        <w:tc>
          <w:tcPr>
            <w:tcW w:w="1134" w:type="dxa"/>
            <w:vMerge/>
            <w:shd w:val="clear" w:color="auto" w:fill="D9D9D9" w:themeFill="background1" w:themeFillShade="D9"/>
          </w:tcPr>
          <w:p w14:paraId="12979860" w14:textId="77777777" w:rsidR="007545BD" w:rsidRPr="00C41EB8" w:rsidRDefault="007545BD" w:rsidP="00A73208">
            <w:pPr>
              <w:spacing w:before="0" w:after="0"/>
              <w:jc w:val="left"/>
              <w:rPr>
                <w:rFonts w:eastAsia="Times New Roman"/>
                <w:iCs/>
                <w:noProof/>
                <w:sz w:val="20"/>
              </w:rPr>
            </w:pPr>
          </w:p>
        </w:tc>
        <w:tc>
          <w:tcPr>
            <w:tcW w:w="850" w:type="dxa"/>
            <w:vMerge/>
            <w:shd w:val="clear" w:color="auto" w:fill="D9D9D9" w:themeFill="background1" w:themeFillShade="D9"/>
          </w:tcPr>
          <w:p w14:paraId="5CBD58FD" w14:textId="77777777" w:rsidR="007545BD" w:rsidRPr="00C41EB8" w:rsidRDefault="007545BD" w:rsidP="00A73208">
            <w:pPr>
              <w:spacing w:before="0" w:after="0"/>
              <w:jc w:val="left"/>
              <w:rPr>
                <w:rFonts w:eastAsia="Times New Roman"/>
                <w:iCs/>
                <w:noProof/>
                <w:sz w:val="20"/>
              </w:rPr>
            </w:pPr>
          </w:p>
        </w:tc>
        <w:tc>
          <w:tcPr>
            <w:tcW w:w="2410" w:type="dxa"/>
            <w:shd w:val="clear" w:color="auto" w:fill="D9D9D9" w:themeFill="background1" w:themeFillShade="D9"/>
          </w:tcPr>
          <w:p w14:paraId="670BD200" w14:textId="77777777" w:rsidR="007545BD" w:rsidRPr="00C41EB8" w:rsidRDefault="007545BD" w:rsidP="00A73208">
            <w:pPr>
              <w:spacing w:before="0" w:after="0"/>
              <w:ind w:left="3"/>
              <w:jc w:val="left"/>
              <w:rPr>
                <w:noProof/>
                <w:sz w:val="20"/>
              </w:rPr>
            </w:pPr>
            <w:r w:rsidRPr="00C41EB8">
              <w:rPr>
                <w:noProof/>
                <w:sz w:val="20"/>
              </w:rPr>
              <w:t>3.Ietver ieguldījumus TEN-T pamattīkla koridoros, kā noteikts [priekšlikums regulai, ar ko izveido Eiropas infrastruktūras savienošanas instrumentu un atceļ Regulas (ES) 1316/2013] saskaņā ar attiecīgajiem TEN-T tīkla koridoru darba plāniem;</w:t>
            </w:r>
          </w:p>
        </w:tc>
        <w:tc>
          <w:tcPr>
            <w:tcW w:w="1134" w:type="dxa"/>
            <w:shd w:val="clear" w:color="auto" w:fill="D9D9D9" w:themeFill="background1" w:themeFillShade="D9"/>
          </w:tcPr>
          <w:p w14:paraId="4B844003" w14:textId="77777777" w:rsidR="007545BD" w:rsidRPr="00C41EB8" w:rsidRDefault="007545BD" w:rsidP="00A73208">
            <w:pPr>
              <w:spacing w:before="0" w:after="0"/>
              <w:jc w:val="left"/>
              <w:rPr>
                <w:noProof/>
                <w:sz w:val="20"/>
              </w:rPr>
            </w:pPr>
            <w:r w:rsidRPr="00C41EB8">
              <w:rPr>
                <w:noProof/>
                <w:sz w:val="20"/>
              </w:rPr>
              <w:t xml:space="preserve">Nē </w:t>
            </w:r>
          </w:p>
        </w:tc>
        <w:tc>
          <w:tcPr>
            <w:tcW w:w="2410" w:type="dxa"/>
            <w:shd w:val="clear" w:color="auto" w:fill="D9D9D9" w:themeFill="background1" w:themeFillShade="D9"/>
          </w:tcPr>
          <w:p w14:paraId="2B989027" w14:textId="77777777" w:rsidR="007545BD" w:rsidRPr="00C41EB8" w:rsidRDefault="007545BD" w:rsidP="00A73208">
            <w:pPr>
              <w:spacing w:before="0" w:after="0"/>
              <w:jc w:val="left"/>
              <w:rPr>
                <w:noProof/>
                <w:sz w:val="20"/>
              </w:rPr>
            </w:pPr>
            <w:r w:rsidRPr="00C41EB8">
              <w:rPr>
                <w:noProof/>
                <w:sz w:val="20"/>
              </w:rPr>
              <w:t>3.kritērija izpilde:</w:t>
            </w:r>
          </w:p>
          <w:p w14:paraId="16DEF293" w14:textId="77777777" w:rsidR="007545BD" w:rsidRPr="00C41EB8" w:rsidRDefault="007545BD" w:rsidP="00A73208">
            <w:pPr>
              <w:spacing w:before="0" w:after="0"/>
              <w:jc w:val="left"/>
              <w:rPr>
                <w:noProof/>
                <w:sz w:val="20"/>
              </w:rPr>
            </w:pPr>
            <w:r w:rsidRPr="00C41EB8">
              <w:rPr>
                <w:noProof/>
                <w:sz w:val="20"/>
              </w:rPr>
              <w:t>TAP2027</w:t>
            </w:r>
          </w:p>
          <w:p w14:paraId="020CB30B" w14:textId="77777777" w:rsidR="007545BD" w:rsidRPr="00C41EB8" w:rsidRDefault="007545BD" w:rsidP="00A73208">
            <w:pPr>
              <w:spacing w:before="0" w:after="0"/>
              <w:jc w:val="left"/>
              <w:rPr>
                <w:noProof/>
                <w:sz w:val="20"/>
              </w:rPr>
            </w:pPr>
          </w:p>
        </w:tc>
        <w:tc>
          <w:tcPr>
            <w:tcW w:w="3686" w:type="dxa"/>
            <w:shd w:val="clear" w:color="auto" w:fill="D9D9D9" w:themeFill="background1" w:themeFillShade="D9"/>
          </w:tcPr>
          <w:p w14:paraId="3C3D64F8" w14:textId="77777777" w:rsidR="007545BD" w:rsidRPr="00C41EB8" w:rsidRDefault="007545BD" w:rsidP="00A73208">
            <w:pPr>
              <w:spacing w:before="0" w:after="0"/>
              <w:rPr>
                <w:rFonts w:eastAsia="Times New Roman"/>
                <w:iCs/>
                <w:noProof/>
                <w:sz w:val="20"/>
              </w:rPr>
            </w:pPr>
            <w:r w:rsidRPr="00C41EB8">
              <w:rPr>
                <w:rFonts w:eastAsia="Times New Roman"/>
                <w:iCs/>
                <w:noProof/>
                <w:sz w:val="20"/>
              </w:rPr>
              <w:t>3.kritārija izpilde:</w:t>
            </w:r>
          </w:p>
          <w:p w14:paraId="1A574BE0" w14:textId="77777777" w:rsidR="007545BD" w:rsidRPr="00C41EB8" w:rsidRDefault="007545BD" w:rsidP="00A73208">
            <w:pPr>
              <w:spacing w:before="0" w:after="0"/>
              <w:rPr>
                <w:rFonts w:eastAsia="Times New Roman"/>
                <w:iCs/>
                <w:noProof/>
                <w:sz w:val="20"/>
              </w:rPr>
            </w:pPr>
          </w:p>
          <w:p w14:paraId="22068953" w14:textId="77777777" w:rsidR="007545BD" w:rsidRPr="00C41EB8" w:rsidRDefault="007545BD" w:rsidP="00A73208">
            <w:pPr>
              <w:spacing w:before="0" w:after="0"/>
              <w:ind w:firstLine="467"/>
              <w:rPr>
                <w:iCs/>
                <w:sz w:val="20"/>
              </w:rPr>
            </w:pPr>
            <w:r w:rsidRPr="00C41EB8">
              <w:rPr>
                <w:iCs/>
                <w:sz w:val="20"/>
              </w:rPr>
              <w:t>Ieguldījumiem TEN-T pamattīkla dzelzceļa koridoros atbilst TAP2027 uzdevumi sadaļās 1.1. Dzelzceļš, 2.1. TENT-T pārrobežu projekts Rail Baltica kā arī uzdevums 4.5.1. Atsevišķu dzelzceļa tīkla posmu elektrifikācija un esošo līniju modernizācija pasažieru pārvadājumu nodrošināšanai;</w:t>
            </w:r>
          </w:p>
          <w:p w14:paraId="6FCEEA6C" w14:textId="77777777" w:rsidR="007545BD" w:rsidRPr="00C41EB8" w:rsidRDefault="007545BD" w:rsidP="00A73208">
            <w:pPr>
              <w:spacing w:before="0" w:after="0"/>
              <w:ind w:firstLine="467"/>
              <w:rPr>
                <w:iCs/>
                <w:sz w:val="20"/>
              </w:rPr>
            </w:pPr>
            <w:r w:rsidRPr="00C41EB8">
              <w:rPr>
                <w:iCs/>
                <w:sz w:val="20"/>
              </w:rPr>
              <w:t>aviācijā: sadaļa  2.2.3. Lidosta “Rīga”;</w:t>
            </w:r>
          </w:p>
          <w:p w14:paraId="7004370E" w14:textId="77777777" w:rsidR="007545BD" w:rsidRPr="00C41EB8" w:rsidRDefault="007545BD" w:rsidP="00A73208">
            <w:pPr>
              <w:spacing w:before="0" w:after="0"/>
              <w:ind w:firstLine="467"/>
              <w:rPr>
                <w:iCs/>
                <w:sz w:val="20"/>
              </w:rPr>
            </w:pPr>
            <w:r w:rsidRPr="00C41EB8">
              <w:rPr>
                <w:iCs/>
                <w:sz w:val="20"/>
              </w:rPr>
              <w:t>autoceļu koridoros: sadaļā 2.3. Autoceļi (izņemot uzdevumu 2.3.1.3. Pilsētu infrastruktūras sasaiste ar TEN-T tīklu, kas attiecināms uz 4.kritēriju);</w:t>
            </w:r>
          </w:p>
          <w:p w14:paraId="6CC0FDCF" w14:textId="77777777" w:rsidR="007545BD" w:rsidRPr="00C41EB8" w:rsidRDefault="007545BD" w:rsidP="00A73208">
            <w:pPr>
              <w:spacing w:before="0" w:after="0"/>
              <w:ind w:firstLine="467"/>
              <w:rPr>
                <w:iCs/>
                <w:sz w:val="20"/>
              </w:rPr>
            </w:pPr>
            <w:r w:rsidRPr="00C41EB8">
              <w:rPr>
                <w:iCs/>
                <w:sz w:val="20"/>
              </w:rPr>
              <w:t>ostās: uzdevumi 3.4. Virzībai uz klimatneitralitātes mērķu sasniegšanu, elektrificēt ostu piestātnes, 3.5. Rekonstruēt hidrotehniskās būves un uzlabot navigācijas apstākļus, t.sk. dziļumu, ostās, 3.6. Iegādāties ar vides aizsardzības  un kuģošanas drošības ievērošanu saistītas iekārtas un peldlīdzekļus, un ostās izbūvēt attiecīgu infrastruktūru, 3.7. TEN-T pamattīkla ostās nodrošināt infrastruktūras kvalitātes uzlabošanu loģistikas un ražojošā sektora attīstībai, kompleksam piederošo inženiertīklu būvniecību, viļņlaužu un hidrobūvju pārbūvi, digitalizācijas un kuģu vadības sistēmu modernizāciju, 3.8. TEN-T pamatīkla ostās attīstīt autotransporta un dzelzceļa pievadceļu infrastruktūru.</w:t>
            </w:r>
          </w:p>
          <w:p w14:paraId="42D5D36D" w14:textId="77777777" w:rsidR="007545BD" w:rsidRPr="00C41EB8" w:rsidRDefault="007545BD" w:rsidP="00A73208">
            <w:pPr>
              <w:spacing w:before="0" w:after="0"/>
              <w:rPr>
                <w:rFonts w:eastAsia="Times New Roman"/>
                <w:iCs/>
                <w:noProof/>
                <w:sz w:val="20"/>
              </w:rPr>
            </w:pPr>
          </w:p>
        </w:tc>
      </w:tr>
      <w:tr w:rsidR="007545BD" w:rsidRPr="00C41EB8" w14:paraId="2373163E" w14:textId="77777777" w:rsidTr="00A73208">
        <w:tc>
          <w:tcPr>
            <w:tcW w:w="562" w:type="dxa"/>
            <w:shd w:val="clear" w:color="auto" w:fill="D9D9D9" w:themeFill="background1" w:themeFillShade="D9"/>
          </w:tcPr>
          <w:p w14:paraId="0FA5BDFB"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D9D9D9" w:themeFill="background1" w:themeFillShade="D9"/>
          </w:tcPr>
          <w:p w14:paraId="6475FC81" w14:textId="77777777" w:rsidR="007545BD" w:rsidRPr="00C41EB8" w:rsidRDefault="007545BD" w:rsidP="00A73208">
            <w:pPr>
              <w:spacing w:before="0" w:after="0"/>
              <w:jc w:val="left"/>
              <w:rPr>
                <w:noProof/>
                <w:sz w:val="20"/>
              </w:rPr>
            </w:pPr>
          </w:p>
        </w:tc>
        <w:tc>
          <w:tcPr>
            <w:tcW w:w="851" w:type="dxa"/>
            <w:vMerge/>
            <w:shd w:val="clear" w:color="auto" w:fill="D9D9D9" w:themeFill="background1" w:themeFillShade="D9"/>
          </w:tcPr>
          <w:p w14:paraId="1D64D528" w14:textId="77777777" w:rsidR="007545BD" w:rsidRPr="00C41EB8" w:rsidRDefault="007545BD" w:rsidP="00A73208">
            <w:pPr>
              <w:spacing w:before="0" w:after="0"/>
              <w:jc w:val="left"/>
              <w:rPr>
                <w:rFonts w:eastAsia="Times New Roman"/>
                <w:iCs/>
                <w:noProof/>
                <w:sz w:val="20"/>
              </w:rPr>
            </w:pPr>
          </w:p>
        </w:tc>
        <w:tc>
          <w:tcPr>
            <w:tcW w:w="1134" w:type="dxa"/>
            <w:vMerge/>
            <w:shd w:val="clear" w:color="auto" w:fill="D9D9D9" w:themeFill="background1" w:themeFillShade="D9"/>
          </w:tcPr>
          <w:p w14:paraId="40520F69" w14:textId="77777777" w:rsidR="007545BD" w:rsidRPr="00C41EB8" w:rsidRDefault="007545BD" w:rsidP="00A73208">
            <w:pPr>
              <w:spacing w:before="0" w:after="0"/>
              <w:jc w:val="left"/>
              <w:rPr>
                <w:rFonts w:eastAsia="Times New Roman"/>
                <w:iCs/>
                <w:noProof/>
                <w:sz w:val="20"/>
              </w:rPr>
            </w:pPr>
          </w:p>
        </w:tc>
        <w:tc>
          <w:tcPr>
            <w:tcW w:w="850" w:type="dxa"/>
            <w:vMerge/>
            <w:shd w:val="clear" w:color="auto" w:fill="D9D9D9" w:themeFill="background1" w:themeFillShade="D9"/>
          </w:tcPr>
          <w:p w14:paraId="27260B9C" w14:textId="77777777" w:rsidR="007545BD" w:rsidRPr="00C41EB8" w:rsidRDefault="007545BD" w:rsidP="00A73208">
            <w:pPr>
              <w:spacing w:before="0" w:after="0"/>
              <w:jc w:val="left"/>
              <w:rPr>
                <w:rFonts w:eastAsia="Times New Roman"/>
                <w:iCs/>
                <w:noProof/>
                <w:sz w:val="20"/>
              </w:rPr>
            </w:pPr>
          </w:p>
        </w:tc>
        <w:tc>
          <w:tcPr>
            <w:tcW w:w="2410" w:type="dxa"/>
            <w:shd w:val="clear" w:color="auto" w:fill="D9D9D9" w:themeFill="background1" w:themeFillShade="D9"/>
          </w:tcPr>
          <w:p w14:paraId="799818B0" w14:textId="77777777" w:rsidR="007545BD" w:rsidRPr="00C41EB8" w:rsidRDefault="007545BD" w:rsidP="00A73208">
            <w:pPr>
              <w:spacing w:before="0" w:after="0"/>
              <w:ind w:left="3"/>
              <w:jc w:val="left"/>
              <w:rPr>
                <w:noProof/>
                <w:sz w:val="20"/>
              </w:rPr>
            </w:pPr>
            <w:r w:rsidRPr="00C41EB8">
              <w:rPr>
                <w:noProof/>
                <w:sz w:val="20"/>
              </w:rPr>
              <w:t>4.Attiecībā uz ieguldījumiem ārpus TEN-T pamata nodrošina papildinātību, nodrošinot pietiekamu reģionu un vietējo kopienu savienojamību ar TEN-T un tās mezgliem;</w:t>
            </w:r>
          </w:p>
        </w:tc>
        <w:tc>
          <w:tcPr>
            <w:tcW w:w="1134" w:type="dxa"/>
            <w:shd w:val="clear" w:color="auto" w:fill="D9D9D9" w:themeFill="background1" w:themeFillShade="D9"/>
          </w:tcPr>
          <w:p w14:paraId="5AF820E8" w14:textId="77777777" w:rsidR="007545BD" w:rsidRPr="00C41EB8" w:rsidRDefault="007545BD" w:rsidP="00A73208">
            <w:pPr>
              <w:spacing w:before="0" w:after="0"/>
              <w:jc w:val="left"/>
              <w:rPr>
                <w:noProof/>
                <w:sz w:val="20"/>
              </w:rPr>
            </w:pPr>
            <w:r w:rsidRPr="00C41EB8">
              <w:rPr>
                <w:noProof/>
                <w:sz w:val="20"/>
              </w:rPr>
              <w:t>Nē</w:t>
            </w:r>
          </w:p>
        </w:tc>
        <w:tc>
          <w:tcPr>
            <w:tcW w:w="2410" w:type="dxa"/>
            <w:shd w:val="clear" w:color="auto" w:fill="D9D9D9" w:themeFill="background1" w:themeFillShade="D9"/>
          </w:tcPr>
          <w:p w14:paraId="7C133F9E" w14:textId="77777777" w:rsidR="007545BD" w:rsidRPr="00C41EB8" w:rsidRDefault="007545BD" w:rsidP="00A73208">
            <w:pPr>
              <w:spacing w:before="0" w:after="0"/>
              <w:jc w:val="left"/>
              <w:rPr>
                <w:noProof/>
                <w:sz w:val="20"/>
              </w:rPr>
            </w:pPr>
            <w:r w:rsidRPr="00C41EB8">
              <w:rPr>
                <w:noProof/>
                <w:sz w:val="20"/>
              </w:rPr>
              <w:t>4.kritērija izpilde:</w:t>
            </w:r>
          </w:p>
          <w:p w14:paraId="097C7A5A" w14:textId="77777777" w:rsidR="007545BD" w:rsidRPr="00C41EB8" w:rsidRDefault="007545BD" w:rsidP="00A73208">
            <w:pPr>
              <w:spacing w:before="0" w:after="0"/>
              <w:jc w:val="left"/>
              <w:rPr>
                <w:noProof/>
                <w:sz w:val="20"/>
              </w:rPr>
            </w:pPr>
            <w:r w:rsidRPr="00C41EB8">
              <w:rPr>
                <w:noProof/>
                <w:sz w:val="20"/>
              </w:rPr>
              <w:t>TAP2027</w:t>
            </w:r>
          </w:p>
          <w:p w14:paraId="076E7C2E" w14:textId="77777777" w:rsidR="007545BD" w:rsidRPr="00C41EB8" w:rsidRDefault="007545BD" w:rsidP="00A73208">
            <w:pPr>
              <w:spacing w:before="0" w:after="0"/>
              <w:jc w:val="left"/>
              <w:rPr>
                <w:noProof/>
                <w:sz w:val="20"/>
              </w:rPr>
            </w:pPr>
          </w:p>
        </w:tc>
        <w:tc>
          <w:tcPr>
            <w:tcW w:w="3686" w:type="dxa"/>
            <w:shd w:val="clear" w:color="auto" w:fill="D9D9D9" w:themeFill="background1" w:themeFillShade="D9"/>
          </w:tcPr>
          <w:p w14:paraId="349EAE01" w14:textId="77777777" w:rsidR="007545BD" w:rsidRPr="00C41EB8" w:rsidRDefault="007545BD" w:rsidP="00A73208">
            <w:pPr>
              <w:spacing w:before="0" w:after="0"/>
              <w:rPr>
                <w:rFonts w:eastAsia="Times New Roman"/>
                <w:iCs/>
                <w:noProof/>
                <w:sz w:val="20"/>
              </w:rPr>
            </w:pPr>
            <w:r w:rsidRPr="00C41EB8">
              <w:rPr>
                <w:rFonts w:eastAsia="Times New Roman"/>
                <w:iCs/>
                <w:noProof/>
                <w:sz w:val="20"/>
              </w:rPr>
              <w:t>4.kritārija izpilde:</w:t>
            </w:r>
          </w:p>
          <w:p w14:paraId="4686262B" w14:textId="77777777" w:rsidR="007545BD" w:rsidRPr="00C41EB8" w:rsidRDefault="007545BD" w:rsidP="00A73208">
            <w:pPr>
              <w:spacing w:before="0" w:after="0"/>
              <w:rPr>
                <w:rFonts w:eastAsia="Times New Roman"/>
                <w:iCs/>
                <w:noProof/>
                <w:sz w:val="20"/>
              </w:rPr>
            </w:pPr>
            <w:r w:rsidRPr="00C41EB8">
              <w:rPr>
                <w:iCs/>
                <w:sz w:val="20"/>
              </w:rPr>
              <w:t>TAP2027 iekļauts uzdevums (Nr. 2.3.1.3.) par pilsētu infrastruktūras sasaisti ar TEN-T, plānojot paredzēt nacionālās un reģionālas nozīmes centru maģistrālo ielu un esošo maršrutu attīstību, kas nodrošina atsevišķu pilsētu daļu efektīvu savstarpējo sasaisti un sasaisti ar TEN-T tīklu, alternatīvu kravas ceļu izbūvi, pārbūvi vai modernizāciju. Tāpat savienojumus ar TEN-T nodrošinās uzdevumi sadaļā 1.2 Autoceļi (Reģionālā sasniedzamība) un uzdevums 3.9. Ostās ārpus TEN-T tīkla modernizēt koplietošanas infrastruktūru</w:t>
            </w:r>
          </w:p>
        </w:tc>
      </w:tr>
      <w:tr w:rsidR="007545BD" w:rsidRPr="00C41EB8" w14:paraId="648C14B7" w14:textId="77777777" w:rsidTr="00A73208">
        <w:tc>
          <w:tcPr>
            <w:tcW w:w="562" w:type="dxa"/>
            <w:shd w:val="clear" w:color="auto" w:fill="D9D9D9" w:themeFill="background1" w:themeFillShade="D9"/>
          </w:tcPr>
          <w:p w14:paraId="1128FB1A"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D9D9D9" w:themeFill="background1" w:themeFillShade="D9"/>
          </w:tcPr>
          <w:p w14:paraId="6C35DF39" w14:textId="77777777" w:rsidR="007545BD" w:rsidRPr="00C41EB8" w:rsidRDefault="007545BD" w:rsidP="00A73208">
            <w:pPr>
              <w:spacing w:before="0" w:after="0"/>
              <w:jc w:val="left"/>
              <w:rPr>
                <w:noProof/>
                <w:sz w:val="20"/>
              </w:rPr>
            </w:pPr>
          </w:p>
        </w:tc>
        <w:tc>
          <w:tcPr>
            <w:tcW w:w="851" w:type="dxa"/>
            <w:vMerge/>
            <w:shd w:val="clear" w:color="auto" w:fill="D9D9D9" w:themeFill="background1" w:themeFillShade="D9"/>
          </w:tcPr>
          <w:p w14:paraId="69C1722F" w14:textId="77777777" w:rsidR="007545BD" w:rsidRPr="00C41EB8" w:rsidRDefault="007545BD" w:rsidP="00A73208">
            <w:pPr>
              <w:spacing w:before="0" w:after="0"/>
              <w:jc w:val="left"/>
              <w:rPr>
                <w:rFonts w:eastAsia="Times New Roman"/>
                <w:iCs/>
                <w:noProof/>
                <w:sz w:val="20"/>
              </w:rPr>
            </w:pPr>
          </w:p>
        </w:tc>
        <w:tc>
          <w:tcPr>
            <w:tcW w:w="1134" w:type="dxa"/>
            <w:vMerge/>
            <w:shd w:val="clear" w:color="auto" w:fill="D9D9D9" w:themeFill="background1" w:themeFillShade="D9"/>
          </w:tcPr>
          <w:p w14:paraId="3D46653E" w14:textId="77777777" w:rsidR="007545BD" w:rsidRPr="00C41EB8" w:rsidRDefault="007545BD" w:rsidP="00A73208">
            <w:pPr>
              <w:spacing w:before="0" w:after="0"/>
              <w:jc w:val="left"/>
              <w:rPr>
                <w:rFonts w:eastAsia="Times New Roman"/>
                <w:iCs/>
                <w:noProof/>
                <w:sz w:val="20"/>
              </w:rPr>
            </w:pPr>
          </w:p>
        </w:tc>
        <w:tc>
          <w:tcPr>
            <w:tcW w:w="850" w:type="dxa"/>
            <w:vMerge/>
            <w:shd w:val="clear" w:color="auto" w:fill="D9D9D9" w:themeFill="background1" w:themeFillShade="D9"/>
          </w:tcPr>
          <w:p w14:paraId="50A6D224" w14:textId="77777777" w:rsidR="007545BD" w:rsidRPr="00C41EB8" w:rsidRDefault="007545BD" w:rsidP="00A73208">
            <w:pPr>
              <w:spacing w:before="0" w:after="0"/>
              <w:jc w:val="left"/>
              <w:rPr>
                <w:rFonts w:eastAsia="Times New Roman"/>
                <w:iCs/>
                <w:noProof/>
                <w:sz w:val="20"/>
              </w:rPr>
            </w:pPr>
          </w:p>
        </w:tc>
        <w:tc>
          <w:tcPr>
            <w:tcW w:w="2410" w:type="dxa"/>
            <w:shd w:val="clear" w:color="auto" w:fill="D9D9D9" w:themeFill="background1" w:themeFillShade="D9"/>
          </w:tcPr>
          <w:p w14:paraId="2AD88805" w14:textId="77777777" w:rsidR="007545BD" w:rsidRPr="00C41EB8" w:rsidRDefault="007545BD" w:rsidP="00A73208">
            <w:pPr>
              <w:spacing w:before="0" w:after="0"/>
              <w:ind w:left="3"/>
              <w:jc w:val="left"/>
              <w:rPr>
                <w:noProof/>
                <w:sz w:val="20"/>
              </w:rPr>
            </w:pPr>
            <w:r w:rsidRPr="00C41EB8">
              <w:rPr>
                <w:noProof/>
                <w:sz w:val="20"/>
              </w:rPr>
              <w:t>5.Vajadzības gadījumā ziņojumi par ERTMS izvietošanu saskaņā ar Komisijas Īstenošanas 2017. gada 5. janvāra Regulu ES 2017/6 par Eiropas dzelzceļa satiksmes pārvaldības sistēmas ieviešanas plānu;</w:t>
            </w:r>
          </w:p>
        </w:tc>
        <w:tc>
          <w:tcPr>
            <w:tcW w:w="1134" w:type="dxa"/>
            <w:shd w:val="clear" w:color="auto" w:fill="D9D9D9" w:themeFill="background1" w:themeFillShade="D9"/>
          </w:tcPr>
          <w:p w14:paraId="4FE6F298" w14:textId="77777777" w:rsidR="007545BD" w:rsidRPr="00C41EB8" w:rsidRDefault="007545BD" w:rsidP="00A73208">
            <w:pPr>
              <w:spacing w:before="0" w:after="0"/>
              <w:jc w:val="left"/>
              <w:rPr>
                <w:noProof/>
                <w:sz w:val="20"/>
              </w:rPr>
            </w:pPr>
            <w:r w:rsidRPr="00C41EB8">
              <w:rPr>
                <w:noProof/>
                <w:sz w:val="20"/>
              </w:rPr>
              <w:t>Nē</w:t>
            </w:r>
          </w:p>
        </w:tc>
        <w:tc>
          <w:tcPr>
            <w:tcW w:w="2410" w:type="dxa"/>
            <w:shd w:val="clear" w:color="auto" w:fill="D9D9D9" w:themeFill="background1" w:themeFillShade="D9"/>
          </w:tcPr>
          <w:p w14:paraId="69F595B2" w14:textId="77777777" w:rsidR="007545BD" w:rsidRPr="00C41EB8" w:rsidRDefault="007545BD" w:rsidP="00A73208">
            <w:pPr>
              <w:spacing w:before="0" w:after="0"/>
              <w:jc w:val="left"/>
              <w:rPr>
                <w:noProof/>
                <w:sz w:val="20"/>
              </w:rPr>
            </w:pPr>
            <w:r w:rsidRPr="00C41EB8">
              <w:rPr>
                <w:noProof/>
                <w:sz w:val="20"/>
              </w:rPr>
              <w:t>5.kritērija izpilde:</w:t>
            </w:r>
          </w:p>
          <w:p w14:paraId="0D7CBDC3" w14:textId="77777777" w:rsidR="007545BD" w:rsidRPr="00C41EB8" w:rsidRDefault="007545BD" w:rsidP="00A73208">
            <w:pPr>
              <w:spacing w:before="0" w:after="0"/>
              <w:jc w:val="left"/>
              <w:rPr>
                <w:noProof/>
                <w:sz w:val="20"/>
              </w:rPr>
            </w:pPr>
          </w:p>
          <w:p w14:paraId="05888B21" w14:textId="77777777" w:rsidR="007545BD" w:rsidRPr="00C41EB8" w:rsidRDefault="007545BD" w:rsidP="00A73208">
            <w:pPr>
              <w:spacing w:before="0" w:after="0"/>
              <w:jc w:val="left"/>
              <w:rPr>
                <w:noProof/>
                <w:sz w:val="20"/>
              </w:rPr>
            </w:pPr>
            <w:r w:rsidRPr="00C41EB8">
              <w:rPr>
                <w:noProof/>
                <w:sz w:val="20"/>
              </w:rPr>
              <w:t>TAP2027</w:t>
            </w:r>
          </w:p>
          <w:p w14:paraId="624E27AF" w14:textId="77777777" w:rsidR="007545BD" w:rsidRPr="00C41EB8" w:rsidRDefault="007545BD" w:rsidP="00A73208">
            <w:pPr>
              <w:spacing w:before="0" w:after="0"/>
              <w:jc w:val="left"/>
              <w:rPr>
                <w:noProof/>
                <w:sz w:val="20"/>
              </w:rPr>
            </w:pPr>
          </w:p>
          <w:p w14:paraId="6B555557" w14:textId="77777777" w:rsidR="007545BD" w:rsidRPr="00C41EB8" w:rsidRDefault="007545BD" w:rsidP="00A73208">
            <w:pPr>
              <w:spacing w:before="0" w:after="0"/>
              <w:jc w:val="left"/>
              <w:rPr>
                <w:noProof/>
                <w:sz w:val="20"/>
              </w:rPr>
            </w:pPr>
            <w:r w:rsidRPr="00C41EB8">
              <w:rPr>
                <w:noProof/>
                <w:sz w:val="20"/>
              </w:rPr>
              <w:t xml:space="preserve">Eiropas vilcienu kustības vadības sistēmas </w:t>
            </w:r>
          </w:p>
          <w:p w14:paraId="43B7D29B" w14:textId="77777777" w:rsidR="007545BD" w:rsidRPr="00C41EB8" w:rsidRDefault="007545BD" w:rsidP="00A73208">
            <w:pPr>
              <w:spacing w:before="0" w:after="0"/>
              <w:jc w:val="left"/>
              <w:rPr>
                <w:noProof/>
                <w:sz w:val="20"/>
              </w:rPr>
            </w:pPr>
            <w:r w:rsidRPr="00C41EB8">
              <w:rPr>
                <w:noProof/>
                <w:sz w:val="20"/>
              </w:rPr>
              <w:t>(ERTMS)</w:t>
            </w:r>
          </w:p>
          <w:p w14:paraId="7E1762A4" w14:textId="77777777" w:rsidR="007545BD" w:rsidRPr="00C41EB8" w:rsidRDefault="007545BD" w:rsidP="00A73208">
            <w:pPr>
              <w:spacing w:before="0" w:after="0"/>
              <w:jc w:val="left"/>
              <w:rPr>
                <w:noProof/>
                <w:sz w:val="20"/>
              </w:rPr>
            </w:pPr>
            <w:r w:rsidRPr="00C41EB8">
              <w:rPr>
                <w:noProof/>
                <w:sz w:val="20"/>
              </w:rPr>
              <w:t xml:space="preserve">Nacionālais ieviešanas plāns </w:t>
            </w:r>
          </w:p>
          <w:p w14:paraId="623021B7" w14:textId="77777777" w:rsidR="007545BD" w:rsidRPr="00C41EB8" w:rsidRDefault="007545BD" w:rsidP="00A73208">
            <w:pPr>
              <w:spacing w:before="0" w:after="0"/>
              <w:jc w:val="left"/>
              <w:rPr>
                <w:noProof/>
                <w:sz w:val="20"/>
              </w:rPr>
            </w:pPr>
          </w:p>
        </w:tc>
        <w:tc>
          <w:tcPr>
            <w:tcW w:w="3686" w:type="dxa"/>
            <w:shd w:val="clear" w:color="auto" w:fill="D9D9D9" w:themeFill="background1" w:themeFillShade="D9"/>
          </w:tcPr>
          <w:p w14:paraId="6B8A584C" w14:textId="77777777" w:rsidR="007545BD" w:rsidRPr="00C41EB8" w:rsidRDefault="007545BD" w:rsidP="00A73208">
            <w:pPr>
              <w:spacing w:before="0" w:after="0"/>
              <w:rPr>
                <w:rFonts w:eastAsia="Times New Roman"/>
                <w:iCs/>
                <w:noProof/>
                <w:sz w:val="20"/>
              </w:rPr>
            </w:pPr>
            <w:r w:rsidRPr="00C41EB8">
              <w:rPr>
                <w:rFonts w:eastAsia="Times New Roman"/>
                <w:iCs/>
                <w:noProof/>
                <w:sz w:val="20"/>
              </w:rPr>
              <w:t>5.kritērija izpilde:</w:t>
            </w:r>
          </w:p>
          <w:p w14:paraId="356A4E40" w14:textId="77777777" w:rsidR="007545BD" w:rsidRPr="00C41EB8" w:rsidRDefault="007545BD" w:rsidP="00A73208">
            <w:pPr>
              <w:spacing w:before="0" w:after="0"/>
              <w:rPr>
                <w:iCs/>
                <w:sz w:val="20"/>
              </w:rPr>
            </w:pPr>
            <w:r w:rsidRPr="00C41EB8">
              <w:rPr>
                <w:iCs/>
                <w:sz w:val="20"/>
              </w:rPr>
              <w:t>ERTMS ieviešanas plāni skatāmi dzelzceļa līnijas Rail Baltica ietvaros (TAP2027 uzdevumu sadaļa 2.1. TEN-T pārrobežu projekts Rail Baltica).</w:t>
            </w:r>
          </w:p>
          <w:p w14:paraId="4A48C3CB" w14:textId="77777777" w:rsidR="007545BD" w:rsidRPr="00C41EB8" w:rsidRDefault="007545BD" w:rsidP="00A73208">
            <w:pPr>
              <w:spacing w:before="0" w:after="0"/>
              <w:rPr>
                <w:rFonts w:eastAsia="Times New Roman"/>
                <w:iCs/>
                <w:noProof/>
                <w:sz w:val="20"/>
              </w:rPr>
            </w:pPr>
          </w:p>
        </w:tc>
      </w:tr>
      <w:tr w:rsidR="007545BD" w:rsidRPr="00C41EB8" w14:paraId="513E3406" w14:textId="77777777" w:rsidTr="00A73208">
        <w:tc>
          <w:tcPr>
            <w:tcW w:w="562" w:type="dxa"/>
            <w:shd w:val="clear" w:color="auto" w:fill="D9D9D9" w:themeFill="background1" w:themeFillShade="D9"/>
          </w:tcPr>
          <w:p w14:paraId="6D03A5BE"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D9D9D9" w:themeFill="background1" w:themeFillShade="D9"/>
          </w:tcPr>
          <w:p w14:paraId="3FFA4E21" w14:textId="77777777" w:rsidR="007545BD" w:rsidRPr="00C41EB8" w:rsidRDefault="007545BD" w:rsidP="00A73208">
            <w:pPr>
              <w:spacing w:before="0" w:after="0"/>
              <w:jc w:val="left"/>
              <w:rPr>
                <w:noProof/>
                <w:sz w:val="20"/>
              </w:rPr>
            </w:pPr>
          </w:p>
        </w:tc>
        <w:tc>
          <w:tcPr>
            <w:tcW w:w="851" w:type="dxa"/>
            <w:vMerge/>
            <w:shd w:val="clear" w:color="auto" w:fill="D9D9D9" w:themeFill="background1" w:themeFillShade="D9"/>
          </w:tcPr>
          <w:p w14:paraId="0094153E" w14:textId="77777777" w:rsidR="007545BD" w:rsidRPr="00C41EB8" w:rsidRDefault="007545BD" w:rsidP="00A73208">
            <w:pPr>
              <w:spacing w:before="0" w:after="0"/>
              <w:jc w:val="left"/>
              <w:rPr>
                <w:rFonts w:eastAsia="Times New Roman"/>
                <w:iCs/>
                <w:noProof/>
                <w:sz w:val="20"/>
              </w:rPr>
            </w:pPr>
          </w:p>
        </w:tc>
        <w:tc>
          <w:tcPr>
            <w:tcW w:w="1134" w:type="dxa"/>
            <w:vMerge/>
            <w:shd w:val="clear" w:color="auto" w:fill="D9D9D9" w:themeFill="background1" w:themeFillShade="D9"/>
          </w:tcPr>
          <w:p w14:paraId="4BFFA96A" w14:textId="77777777" w:rsidR="007545BD" w:rsidRPr="00C41EB8" w:rsidRDefault="007545BD" w:rsidP="00A73208">
            <w:pPr>
              <w:spacing w:before="0" w:after="0"/>
              <w:jc w:val="left"/>
              <w:rPr>
                <w:rFonts w:eastAsia="Times New Roman"/>
                <w:iCs/>
                <w:noProof/>
                <w:sz w:val="20"/>
              </w:rPr>
            </w:pPr>
          </w:p>
        </w:tc>
        <w:tc>
          <w:tcPr>
            <w:tcW w:w="850" w:type="dxa"/>
            <w:vMerge/>
            <w:shd w:val="clear" w:color="auto" w:fill="D9D9D9" w:themeFill="background1" w:themeFillShade="D9"/>
          </w:tcPr>
          <w:p w14:paraId="2A1322B3" w14:textId="77777777" w:rsidR="007545BD" w:rsidRPr="00C41EB8" w:rsidRDefault="007545BD" w:rsidP="00A73208">
            <w:pPr>
              <w:spacing w:before="0" w:after="0"/>
              <w:jc w:val="left"/>
              <w:rPr>
                <w:rFonts w:eastAsia="Times New Roman"/>
                <w:iCs/>
                <w:noProof/>
                <w:sz w:val="20"/>
              </w:rPr>
            </w:pPr>
          </w:p>
        </w:tc>
        <w:tc>
          <w:tcPr>
            <w:tcW w:w="2410" w:type="dxa"/>
            <w:shd w:val="clear" w:color="auto" w:fill="D9D9D9" w:themeFill="background1" w:themeFillShade="D9"/>
          </w:tcPr>
          <w:p w14:paraId="3B26EE24" w14:textId="77777777" w:rsidR="007545BD" w:rsidRPr="00C41EB8" w:rsidRDefault="007545BD" w:rsidP="00A73208">
            <w:pPr>
              <w:spacing w:before="0" w:after="0"/>
              <w:ind w:left="3"/>
              <w:jc w:val="left"/>
              <w:rPr>
                <w:noProof/>
                <w:sz w:val="20"/>
              </w:rPr>
            </w:pPr>
            <w:r w:rsidRPr="00C41EB8">
              <w:rPr>
                <w:noProof/>
                <w:sz w:val="20"/>
              </w:rPr>
              <w:t>6.Veicina vairākveidu pārvadājumus, identificē multimodālo vai pārkraušanas kravu un pasažieru terminālu vajadzības;</w:t>
            </w:r>
          </w:p>
        </w:tc>
        <w:tc>
          <w:tcPr>
            <w:tcW w:w="1134" w:type="dxa"/>
            <w:shd w:val="clear" w:color="auto" w:fill="D9D9D9" w:themeFill="background1" w:themeFillShade="D9"/>
          </w:tcPr>
          <w:p w14:paraId="5F8AAEFF" w14:textId="77777777" w:rsidR="007545BD" w:rsidRPr="00C41EB8" w:rsidRDefault="007545BD" w:rsidP="00A73208">
            <w:pPr>
              <w:spacing w:before="0" w:after="0"/>
              <w:jc w:val="left"/>
              <w:rPr>
                <w:noProof/>
                <w:sz w:val="20"/>
              </w:rPr>
            </w:pPr>
            <w:r w:rsidRPr="00C41EB8">
              <w:rPr>
                <w:noProof/>
                <w:sz w:val="20"/>
              </w:rPr>
              <w:t>Nē</w:t>
            </w:r>
          </w:p>
        </w:tc>
        <w:tc>
          <w:tcPr>
            <w:tcW w:w="2410" w:type="dxa"/>
            <w:shd w:val="clear" w:color="auto" w:fill="D9D9D9" w:themeFill="background1" w:themeFillShade="D9"/>
          </w:tcPr>
          <w:p w14:paraId="66685742" w14:textId="77777777" w:rsidR="007545BD" w:rsidRPr="00C41EB8" w:rsidRDefault="007545BD" w:rsidP="00A73208">
            <w:pPr>
              <w:spacing w:before="0" w:after="0"/>
              <w:jc w:val="left"/>
              <w:rPr>
                <w:noProof/>
                <w:sz w:val="20"/>
              </w:rPr>
            </w:pPr>
            <w:r w:rsidRPr="00C41EB8">
              <w:rPr>
                <w:noProof/>
                <w:sz w:val="20"/>
              </w:rPr>
              <w:t>6.kritērija izpilde:</w:t>
            </w:r>
          </w:p>
          <w:p w14:paraId="4BE86B06" w14:textId="77777777" w:rsidR="007545BD" w:rsidRPr="00C41EB8" w:rsidRDefault="007545BD" w:rsidP="00A73208">
            <w:pPr>
              <w:spacing w:before="0" w:after="0"/>
              <w:jc w:val="left"/>
              <w:rPr>
                <w:noProof/>
                <w:sz w:val="20"/>
              </w:rPr>
            </w:pPr>
            <w:r w:rsidRPr="00C41EB8">
              <w:rPr>
                <w:noProof/>
                <w:sz w:val="20"/>
              </w:rPr>
              <w:t>TAP2027</w:t>
            </w:r>
          </w:p>
          <w:p w14:paraId="2E5E9C2C" w14:textId="77777777" w:rsidR="007545BD" w:rsidRPr="00C41EB8" w:rsidRDefault="007545BD" w:rsidP="00A73208">
            <w:pPr>
              <w:spacing w:before="0" w:after="0"/>
              <w:jc w:val="left"/>
              <w:rPr>
                <w:noProof/>
                <w:sz w:val="20"/>
              </w:rPr>
            </w:pPr>
          </w:p>
        </w:tc>
        <w:tc>
          <w:tcPr>
            <w:tcW w:w="3686" w:type="dxa"/>
            <w:shd w:val="clear" w:color="auto" w:fill="D9D9D9" w:themeFill="background1" w:themeFillShade="D9"/>
          </w:tcPr>
          <w:p w14:paraId="7E9A1966" w14:textId="77777777" w:rsidR="007545BD" w:rsidRPr="00C41EB8" w:rsidRDefault="007545BD" w:rsidP="00A73208">
            <w:pPr>
              <w:spacing w:before="0" w:after="0"/>
              <w:rPr>
                <w:rFonts w:eastAsia="Times New Roman"/>
                <w:iCs/>
                <w:noProof/>
                <w:sz w:val="20"/>
              </w:rPr>
            </w:pPr>
            <w:r w:rsidRPr="00C41EB8">
              <w:rPr>
                <w:rFonts w:eastAsia="Times New Roman"/>
                <w:iCs/>
                <w:noProof/>
                <w:sz w:val="20"/>
              </w:rPr>
              <w:t>6.kritērija izpilde:</w:t>
            </w:r>
          </w:p>
          <w:p w14:paraId="78CD60F4" w14:textId="77777777" w:rsidR="007545BD" w:rsidRPr="00C41EB8" w:rsidRDefault="007545BD" w:rsidP="00A73208">
            <w:pPr>
              <w:spacing w:before="0" w:after="0"/>
              <w:rPr>
                <w:rFonts w:eastAsia="Times New Roman"/>
                <w:iCs/>
                <w:noProof/>
                <w:sz w:val="20"/>
              </w:rPr>
            </w:pPr>
          </w:p>
          <w:p w14:paraId="7A0D5710" w14:textId="77777777" w:rsidR="007545BD" w:rsidRPr="00C41EB8" w:rsidRDefault="007545BD" w:rsidP="00A73208">
            <w:pPr>
              <w:spacing w:before="0" w:after="0"/>
              <w:ind w:firstLine="467"/>
              <w:rPr>
                <w:iCs/>
                <w:sz w:val="20"/>
              </w:rPr>
            </w:pPr>
            <w:r w:rsidRPr="00C41EB8">
              <w:rPr>
                <w:iCs/>
                <w:sz w:val="20"/>
              </w:rPr>
              <w:t xml:space="preserve">TAP2027 iekļautie uzdevumi skar tādas transporta apakšnozares kā dzelzceļu, autotransportu, aviāciju un jūrniecību, papildus uzdevumi 2.1.4. Nodrošināt pasīvo infrastruktūru 5G mobilo sakaru tīkla izvēršanai Rail Baltica dzelzceļa līnijas trasē un 2.3.1.5. Nodrošināt 5G mobilo sakaru pārklājuma izvēršanu gar VIA Baltica transporta koridoru nodrošinās virzību uz Eiropas Savienības savienojamības mērķu sasniegšanu elektronisko sakaru nozarē. </w:t>
            </w:r>
          </w:p>
          <w:p w14:paraId="6CD20CB4" w14:textId="7E815597" w:rsidR="007545BD" w:rsidRPr="00C41EB8" w:rsidRDefault="007545BD" w:rsidP="00A73208">
            <w:pPr>
              <w:spacing w:before="0" w:after="0"/>
              <w:ind w:firstLine="467"/>
              <w:rPr>
                <w:rFonts w:eastAsia="Times New Roman"/>
                <w:iCs/>
                <w:noProof/>
                <w:sz w:val="20"/>
              </w:rPr>
            </w:pPr>
            <w:r w:rsidRPr="00C41EB8">
              <w:rPr>
                <w:iCs/>
                <w:sz w:val="20"/>
              </w:rPr>
              <w:t>Rīcības virziens 1. Multimodāla sabiedriskā transporta tīkla ar dzelzceļu kā sabiedriskā transporta "mugurkaulu" attīstība vērsts uz dzelzceļa lomas stiprināšanu sabiedriskā transporta pārvadājumos. Virzienā iekļauta uzdevumu grupa 1.3. Sabiedriskais transports, paredzot veidot mobilitātes punktus un attīstīt digitālas datu sistēmas. Jāpiemin, ka Rail Baltica projekta ietvaros paredzēts īstenot Salaspils intermodālā kravu pārkraušanas termināļa attīstību (uzdevums 2.1.2.) un 4.5.5. uzdevums paredz nodrošināt līdzsvarotu finansēšanas modeli maksas par piekļuvi dzelzceļa infrastruktūrai konkurētspējas veicināšanai iekšzemes kravu un pasažieru pārvadājumos. Arī VAS "Starptautiskā lidosta "Rīga"" tiek domāts par vairākveidu pārvadājumu attīstību gan pasažieriem, gan kravām (uzdevumi 2.2.3.1. Palielināt Lidostas “Rīga” termināļa kapacitāti, izbūvējot termināla 6.kārtu, t</w:t>
            </w:r>
            <w:r w:rsidR="00F65811">
              <w:rPr>
                <w:iCs/>
                <w:sz w:val="20"/>
              </w:rPr>
              <w:t>.</w:t>
            </w:r>
            <w:r w:rsidRPr="00C41EB8">
              <w:rPr>
                <w:iCs/>
                <w:sz w:val="20"/>
              </w:rPr>
              <w:t xml:space="preserve"> sk</w:t>
            </w:r>
            <w:r w:rsidR="00F65811">
              <w:rPr>
                <w:iCs/>
                <w:sz w:val="20"/>
              </w:rPr>
              <w:t>.</w:t>
            </w:r>
            <w:r w:rsidRPr="00C41EB8">
              <w:rPr>
                <w:iCs/>
                <w:sz w:val="20"/>
              </w:rPr>
              <w:t xml:space="preserve"> izbūvējot infrastruktūru, kas savieto lidostas termināli ar Rail Baltica dzelzceļa staciju un 2.2.3.3. Nodrošināt plānoto kravu apjoma apkalpošanai nepieciešamo infrastruktūru). Rīcības virziena 3. Loģistikas pakalpojumu konkurētspējas paaugstināšana uzdevumi nodrošinās jūras (papildina arī uzdevumi sadaļā 4.6. Jūrniecība) un dzelzceļa kravu pārvadājumu attīstību.  </w:t>
            </w:r>
          </w:p>
        </w:tc>
      </w:tr>
      <w:tr w:rsidR="007545BD" w:rsidRPr="00C41EB8" w14:paraId="4DBB1DEF" w14:textId="77777777" w:rsidTr="00A73208">
        <w:tc>
          <w:tcPr>
            <w:tcW w:w="562" w:type="dxa"/>
            <w:shd w:val="clear" w:color="auto" w:fill="D9D9D9" w:themeFill="background1" w:themeFillShade="D9"/>
          </w:tcPr>
          <w:p w14:paraId="5A5EB3E7"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D9D9D9" w:themeFill="background1" w:themeFillShade="D9"/>
          </w:tcPr>
          <w:p w14:paraId="7E288A11" w14:textId="77777777" w:rsidR="007545BD" w:rsidRPr="00C41EB8" w:rsidRDefault="007545BD" w:rsidP="00A73208">
            <w:pPr>
              <w:spacing w:before="0" w:after="0"/>
              <w:jc w:val="left"/>
              <w:rPr>
                <w:noProof/>
                <w:sz w:val="20"/>
              </w:rPr>
            </w:pPr>
          </w:p>
        </w:tc>
        <w:tc>
          <w:tcPr>
            <w:tcW w:w="851" w:type="dxa"/>
            <w:vMerge/>
            <w:shd w:val="clear" w:color="auto" w:fill="D9D9D9" w:themeFill="background1" w:themeFillShade="D9"/>
          </w:tcPr>
          <w:p w14:paraId="7445B69E" w14:textId="77777777" w:rsidR="007545BD" w:rsidRPr="00C41EB8" w:rsidRDefault="007545BD" w:rsidP="00A73208">
            <w:pPr>
              <w:spacing w:before="0" w:after="0"/>
              <w:jc w:val="left"/>
              <w:rPr>
                <w:rFonts w:eastAsia="Times New Roman"/>
                <w:iCs/>
                <w:noProof/>
                <w:sz w:val="20"/>
              </w:rPr>
            </w:pPr>
          </w:p>
        </w:tc>
        <w:tc>
          <w:tcPr>
            <w:tcW w:w="1134" w:type="dxa"/>
            <w:vMerge/>
            <w:shd w:val="clear" w:color="auto" w:fill="D9D9D9" w:themeFill="background1" w:themeFillShade="D9"/>
          </w:tcPr>
          <w:p w14:paraId="317BC2C3" w14:textId="77777777" w:rsidR="007545BD" w:rsidRPr="00C41EB8" w:rsidRDefault="007545BD" w:rsidP="00A73208">
            <w:pPr>
              <w:spacing w:before="0" w:after="0"/>
              <w:jc w:val="left"/>
              <w:rPr>
                <w:rFonts w:eastAsia="Times New Roman"/>
                <w:iCs/>
                <w:noProof/>
                <w:sz w:val="20"/>
              </w:rPr>
            </w:pPr>
          </w:p>
        </w:tc>
        <w:tc>
          <w:tcPr>
            <w:tcW w:w="850" w:type="dxa"/>
            <w:vMerge/>
            <w:shd w:val="clear" w:color="auto" w:fill="D9D9D9" w:themeFill="background1" w:themeFillShade="D9"/>
          </w:tcPr>
          <w:p w14:paraId="73EB73F3" w14:textId="77777777" w:rsidR="007545BD" w:rsidRPr="00C41EB8" w:rsidRDefault="007545BD" w:rsidP="00A73208">
            <w:pPr>
              <w:spacing w:before="0" w:after="0"/>
              <w:jc w:val="left"/>
              <w:rPr>
                <w:rFonts w:eastAsia="Times New Roman"/>
                <w:iCs/>
                <w:noProof/>
                <w:sz w:val="20"/>
              </w:rPr>
            </w:pPr>
          </w:p>
        </w:tc>
        <w:tc>
          <w:tcPr>
            <w:tcW w:w="2410" w:type="dxa"/>
            <w:shd w:val="clear" w:color="auto" w:fill="D9D9D9" w:themeFill="background1" w:themeFillShade="D9"/>
          </w:tcPr>
          <w:p w14:paraId="2ACC2B90" w14:textId="77777777" w:rsidR="007545BD" w:rsidRPr="00C41EB8" w:rsidRDefault="007545BD" w:rsidP="00A73208">
            <w:pPr>
              <w:spacing w:before="0" w:after="0"/>
              <w:ind w:left="3"/>
              <w:jc w:val="left"/>
              <w:rPr>
                <w:noProof/>
                <w:sz w:val="20"/>
              </w:rPr>
            </w:pPr>
            <w:r w:rsidRPr="00C41EB8">
              <w:rPr>
                <w:noProof/>
                <w:sz w:val="20"/>
              </w:rPr>
              <w:t>7.Ietver pasākumus, kas attiecas uz infrastruktūras plānošanu, kuras mērķis ir veicināt alternatīvas degvielas izmantošanu, saskaņā ar attiecīgajām valsts politikas sistēmām;</w:t>
            </w:r>
          </w:p>
        </w:tc>
        <w:tc>
          <w:tcPr>
            <w:tcW w:w="1134" w:type="dxa"/>
            <w:shd w:val="clear" w:color="auto" w:fill="D9D9D9" w:themeFill="background1" w:themeFillShade="D9"/>
          </w:tcPr>
          <w:p w14:paraId="75AFF792" w14:textId="77777777" w:rsidR="007545BD" w:rsidRPr="00C41EB8" w:rsidRDefault="007545BD" w:rsidP="00A73208">
            <w:pPr>
              <w:spacing w:before="0" w:after="0"/>
              <w:jc w:val="left"/>
              <w:rPr>
                <w:noProof/>
                <w:sz w:val="20"/>
              </w:rPr>
            </w:pPr>
            <w:r w:rsidRPr="00C41EB8">
              <w:rPr>
                <w:noProof/>
                <w:sz w:val="20"/>
              </w:rPr>
              <w:t>Nē</w:t>
            </w:r>
          </w:p>
        </w:tc>
        <w:tc>
          <w:tcPr>
            <w:tcW w:w="2410" w:type="dxa"/>
            <w:shd w:val="clear" w:color="auto" w:fill="D9D9D9" w:themeFill="background1" w:themeFillShade="D9"/>
          </w:tcPr>
          <w:p w14:paraId="7AB98815" w14:textId="77777777" w:rsidR="007545BD" w:rsidRPr="00C41EB8" w:rsidRDefault="007545BD" w:rsidP="00A73208">
            <w:pPr>
              <w:spacing w:before="0" w:after="0"/>
              <w:jc w:val="left"/>
              <w:rPr>
                <w:noProof/>
                <w:sz w:val="20"/>
              </w:rPr>
            </w:pPr>
            <w:r w:rsidRPr="00C41EB8">
              <w:rPr>
                <w:noProof/>
                <w:sz w:val="20"/>
              </w:rPr>
              <w:t>7.kritērija izpilde:</w:t>
            </w:r>
          </w:p>
          <w:p w14:paraId="3AA68B22" w14:textId="77777777" w:rsidR="007545BD" w:rsidRPr="00C41EB8" w:rsidRDefault="007545BD" w:rsidP="00A73208">
            <w:pPr>
              <w:spacing w:before="0" w:after="0"/>
              <w:jc w:val="left"/>
              <w:rPr>
                <w:noProof/>
                <w:sz w:val="20"/>
              </w:rPr>
            </w:pPr>
          </w:p>
          <w:p w14:paraId="22347AC9" w14:textId="77777777" w:rsidR="007545BD" w:rsidRPr="00C41EB8" w:rsidRDefault="007545BD" w:rsidP="00A73208">
            <w:pPr>
              <w:spacing w:before="0" w:after="0"/>
              <w:jc w:val="left"/>
              <w:rPr>
                <w:noProof/>
                <w:sz w:val="20"/>
              </w:rPr>
            </w:pPr>
            <w:r w:rsidRPr="00C41EB8">
              <w:rPr>
                <w:noProof/>
                <w:sz w:val="20"/>
              </w:rPr>
              <w:t>TAP2027</w:t>
            </w:r>
          </w:p>
          <w:p w14:paraId="525725EB" w14:textId="77777777" w:rsidR="007545BD" w:rsidRPr="00C41EB8" w:rsidRDefault="007545BD" w:rsidP="00A73208">
            <w:pPr>
              <w:spacing w:before="0" w:after="0"/>
              <w:jc w:val="left"/>
              <w:rPr>
                <w:noProof/>
                <w:sz w:val="20"/>
              </w:rPr>
            </w:pPr>
          </w:p>
        </w:tc>
        <w:tc>
          <w:tcPr>
            <w:tcW w:w="3686" w:type="dxa"/>
            <w:shd w:val="clear" w:color="auto" w:fill="D9D9D9" w:themeFill="background1" w:themeFillShade="D9"/>
          </w:tcPr>
          <w:p w14:paraId="74568B59" w14:textId="77777777" w:rsidR="007545BD" w:rsidRPr="00C41EB8" w:rsidRDefault="007545BD" w:rsidP="00A73208">
            <w:pPr>
              <w:spacing w:before="0" w:after="0"/>
              <w:rPr>
                <w:rFonts w:eastAsia="Times New Roman"/>
                <w:iCs/>
                <w:noProof/>
                <w:sz w:val="20"/>
              </w:rPr>
            </w:pPr>
            <w:r w:rsidRPr="00C41EB8">
              <w:rPr>
                <w:rFonts w:eastAsia="Times New Roman"/>
                <w:iCs/>
                <w:noProof/>
                <w:sz w:val="20"/>
              </w:rPr>
              <w:t>7.kritērija izpilde:</w:t>
            </w:r>
          </w:p>
          <w:p w14:paraId="372CD383" w14:textId="77777777" w:rsidR="007545BD" w:rsidRPr="00C41EB8" w:rsidRDefault="007545BD" w:rsidP="00A73208">
            <w:pPr>
              <w:spacing w:before="0" w:after="0"/>
              <w:rPr>
                <w:rFonts w:eastAsia="Times New Roman"/>
                <w:iCs/>
                <w:noProof/>
                <w:sz w:val="20"/>
              </w:rPr>
            </w:pPr>
            <w:r w:rsidRPr="00C41EB8">
              <w:rPr>
                <w:iCs/>
                <w:sz w:val="20"/>
              </w:rPr>
              <w:t>Alternatīvo degvielu attīstības jautājumi skatīti TAP2027 uzdevumu sadaļā 4.3. Alternatīvās degvielas (par infrastruktūru – 4.3.1. Alternatīvo degvielu infrastruktūras izveidošana un uzturēšana (t.sk. ETL uzlādes vietas, ūdeņraža, CNG un LNG uzpildes stacijas)).</w:t>
            </w:r>
          </w:p>
        </w:tc>
      </w:tr>
      <w:tr w:rsidR="007545BD" w:rsidRPr="00C41EB8" w14:paraId="53AA17D1" w14:textId="77777777" w:rsidTr="00A73208">
        <w:tc>
          <w:tcPr>
            <w:tcW w:w="562" w:type="dxa"/>
            <w:shd w:val="clear" w:color="auto" w:fill="D9D9D9" w:themeFill="background1" w:themeFillShade="D9"/>
          </w:tcPr>
          <w:p w14:paraId="1E782F65"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D9D9D9" w:themeFill="background1" w:themeFillShade="D9"/>
          </w:tcPr>
          <w:p w14:paraId="03BEF9CE" w14:textId="77777777" w:rsidR="007545BD" w:rsidRPr="00C41EB8" w:rsidRDefault="007545BD" w:rsidP="00A73208">
            <w:pPr>
              <w:spacing w:before="0" w:after="0"/>
              <w:jc w:val="left"/>
              <w:rPr>
                <w:noProof/>
                <w:sz w:val="20"/>
              </w:rPr>
            </w:pPr>
          </w:p>
        </w:tc>
        <w:tc>
          <w:tcPr>
            <w:tcW w:w="851" w:type="dxa"/>
            <w:vMerge/>
            <w:shd w:val="clear" w:color="auto" w:fill="D9D9D9" w:themeFill="background1" w:themeFillShade="D9"/>
          </w:tcPr>
          <w:p w14:paraId="50820B95" w14:textId="77777777" w:rsidR="007545BD" w:rsidRPr="00C41EB8" w:rsidRDefault="007545BD" w:rsidP="00A73208">
            <w:pPr>
              <w:spacing w:before="0" w:after="0"/>
              <w:jc w:val="left"/>
              <w:rPr>
                <w:rFonts w:eastAsia="Times New Roman"/>
                <w:iCs/>
                <w:noProof/>
                <w:sz w:val="20"/>
              </w:rPr>
            </w:pPr>
          </w:p>
        </w:tc>
        <w:tc>
          <w:tcPr>
            <w:tcW w:w="1134" w:type="dxa"/>
            <w:vMerge/>
            <w:shd w:val="clear" w:color="auto" w:fill="D9D9D9" w:themeFill="background1" w:themeFillShade="D9"/>
          </w:tcPr>
          <w:p w14:paraId="2803325D" w14:textId="77777777" w:rsidR="007545BD" w:rsidRPr="00C41EB8" w:rsidRDefault="007545BD" w:rsidP="00A73208">
            <w:pPr>
              <w:spacing w:before="0" w:after="0"/>
              <w:jc w:val="left"/>
              <w:rPr>
                <w:rFonts w:eastAsia="Times New Roman"/>
                <w:iCs/>
                <w:noProof/>
                <w:sz w:val="20"/>
              </w:rPr>
            </w:pPr>
          </w:p>
        </w:tc>
        <w:tc>
          <w:tcPr>
            <w:tcW w:w="850" w:type="dxa"/>
            <w:vMerge/>
            <w:shd w:val="clear" w:color="auto" w:fill="D9D9D9" w:themeFill="background1" w:themeFillShade="D9"/>
          </w:tcPr>
          <w:p w14:paraId="1DAFEE75" w14:textId="77777777" w:rsidR="007545BD" w:rsidRPr="00C41EB8" w:rsidRDefault="007545BD" w:rsidP="00A73208">
            <w:pPr>
              <w:spacing w:before="0" w:after="0"/>
              <w:jc w:val="left"/>
              <w:rPr>
                <w:rFonts w:eastAsia="Times New Roman"/>
                <w:iCs/>
                <w:noProof/>
                <w:sz w:val="20"/>
              </w:rPr>
            </w:pPr>
          </w:p>
        </w:tc>
        <w:tc>
          <w:tcPr>
            <w:tcW w:w="2410" w:type="dxa"/>
            <w:shd w:val="clear" w:color="auto" w:fill="D9D9D9" w:themeFill="background1" w:themeFillShade="D9"/>
          </w:tcPr>
          <w:p w14:paraId="015BBBB9" w14:textId="77777777" w:rsidR="007545BD" w:rsidRPr="00C41EB8" w:rsidRDefault="007545BD" w:rsidP="00A73208">
            <w:pPr>
              <w:spacing w:before="0" w:after="0"/>
              <w:ind w:left="3"/>
              <w:jc w:val="left"/>
              <w:rPr>
                <w:noProof/>
                <w:sz w:val="20"/>
              </w:rPr>
            </w:pPr>
            <w:r w:rsidRPr="00C41EB8">
              <w:rPr>
                <w:noProof/>
                <w:sz w:val="20"/>
              </w:rPr>
              <w:t>8.nodrošina ceļu satiksmes drošības risku novērtējuma kopsavilkumu saskaņā ar spēkā esošajām valsts ceļu satiksmes drošības stratēģijām, kā arī skarto ceļu un posmu kartēšanu un prioritāšu piešķiršanu attiecīgajiem ieguldījumiem;</w:t>
            </w:r>
          </w:p>
        </w:tc>
        <w:tc>
          <w:tcPr>
            <w:tcW w:w="1134" w:type="dxa"/>
            <w:shd w:val="clear" w:color="auto" w:fill="D9D9D9" w:themeFill="background1" w:themeFillShade="D9"/>
          </w:tcPr>
          <w:p w14:paraId="373D6B0B" w14:textId="77777777" w:rsidR="007545BD" w:rsidRPr="00C41EB8" w:rsidRDefault="007545BD" w:rsidP="00A73208">
            <w:pPr>
              <w:spacing w:before="0" w:after="0"/>
              <w:jc w:val="left"/>
              <w:rPr>
                <w:noProof/>
                <w:sz w:val="20"/>
              </w:rPr>
            </w:pPr>
            <w:r w:rsidRPr="00C41EB8">
              <w:rPr>
                <w:noProof/>
                <w:sz w:val="20"/>
              </w:rPr>
              <w:t>Nē</w:t>
            </w:r>
          </w:p>
        </w:tc>
        <w:tc>
          <w:tcPr>
            <w:tcW w:w="2410" w:type="dxa"/>
            <w:shd w:val="clear" w:color="auto" w:fill="D9D9D9" w:themeFill="background1" w:themeFillShade="D9"/>
          </w:tcPr>
          <w:p w14:paraId="4A405FBC" w14:textId="77777777" w:rsidR="007545BD" w:rsidRPr="00C41EB8" w:rsidRDefault="007545BD" w:rsidP="00A73208">
            <w:pPr>
              <w:spacing w:before="0" w:after="0"/>
              <w:jc w:val="left"/>
              <w:rPr>
                <w:noProof/>
                <w:sz w:val="20"/>
              </w:rPr>
            </w:pPr>
            <w:r w:rsidRPr="00C41EB8">
              <w:rPr>
                <w:noProof/>
                <w:sz w:val="20"/>
              </w:rPr>
              <w:t>8.kritērija izpilde:</w:t>
            </w:r>
          </w:p>
          <w:p w14:paraId="22A59354" w14:textId="77777777" w:rsidR="007545BD" w:rsidRPr="00C41EB8" w:rsidRDefault="007545BD" w:rsidP="00A73208">
            <w:pPr>
              <w:spacing w:before="0" w:after="0"/>
              <w:jc w:val="left"/>
              <w:rPr>
                <w:noProof/>
                <w:sz w:val="20"/>
              </w:rPr>
            </w:pPr>
            <w:r w:rsidRPr="00C41EB8">
              <w:rPr>
                <w:noProof/>
                <w:sz w:val="20"/>
              </w:rPr>
              <w:t>TAP2027;</w:t>
            </w:r>
          </w:p>
          <w:p w14:paraId="4511C3CC" w14:textId="77777777" w:rsidR="007545BD" w:rsidRPr="00C41EB8" w:rsidRDefault="007545BD" w:rsidP="00A73208">
            <w:pPr>
              <w:spacing w:before="0" w:after="0"/>
              <w:jc w:val="left"/>
              <w:rPr>
                <w:noProof/>
                <w:sz w:val="20"/>
              </w:rPr>
            </w:pPr>
          </w:p>
          <w:p w14:paraId="5591517C" w14:textId="77777777" w:rsidR="007545BD" w:rsidRPr="00C41EB8" w:rsidRDefault="007545BD" w:rsidP="00A73208">
            <w:pPr>
              <w:spacing w:before="0" w:after="0"/>
              <w:jc w:val="left"/>
              <w:rPr>
                <w:noProof/>
                <w:sz w:val="20"/>
              </w:rPr>
            </w:pPr>
            <w:r w:rsidRPr="00C41EB8">
              <w:rPr>
                <w:noProof/>
                <w:sz w:val="20"/>
              </w:rPr>
              <w:t>Ceļu satiksmes drošības plāns 2021.-2027. gadam</w:t>
            </w:r>
          </w:p>
          <w:p w14:paraId="42EFDCDC" w14:textId="77777777" w:rsidR="007545BD" w:rsidRPr="00C41EB8" w:rsidRDefault="007545BD" w:rsidP="00A73208">
            <w:pPr>
              <w:spacing w:before="0" w:after="0"/>
              <w:jc w:val="left"/>
              <w:rPr>
                <w:noProof/>
                <w:sz w:val="20"/>
              </w:rPr>
            </w:pPr>
          </w:p>
        </w:tc>
        <w:tc>
          <w:tcPr>
            <w:tcW w:w="3686" w:type="dxa"/>
            <w:shd w:val="clear" w:color="auto" w:fill="D9D9D9" w:themeFill="background1" w:themeFillShade="D9"/>
          </w:tcPr>
          <w:p w14:paraId="06F8C376" w14:textId="77777777" w:rsidR="007545BD" w:rsidRPr="00C41EB8" w:rsidRDefault="007545BD" w:rsidP="00A73208">
            <w:pPr>
              <w:spacing w:before="0" w:after="0"/>
              <w:rPr>
                <w:noProof/>
                <w:sz w:val="20"/>
              </w:rPr>
            </w:pPr>
            <w:r w:rsidRPr="00C41EB8">
              <w:rPr>
                <w:noProof/>
                <w:sz w:val="20"/>
              </w:rPr>
              <w:t>8.kritērija izpilde:</w:t>
            </w:r>
          </w:p>
          <w:p w14:paraId="106F29B0" w14:textId="77777777" w:rsidR="007545BD" w:rsidRPr="00C41EB8" w:rsidRDefault="007545BD" w:rsidP="00A73208">
            <w:pPr>
              <w:spacing w:before="0" w:after="0"/>
              <w:rPr>
                <w:iCs/>
                <w:sz w:val="20"/>
              </w:rPr>
            </w:pPr>
            <w:r w:rsidRPr="00C41EB8">
              <w:rPr>
                <w:iCs/>
                <w:sz w:val="20"/>
              </w:rPr>
              <w:t>TAP2027 iekļauts uzdevums par Ceļu satiksmes drošības plānu izstrādi un īstenošanu (4.1.1.). Tāpat TAP2027 1.pielikumā iekļauts esošās situācijas raksturojums satiksmes drošības jomā.</w:t>
            </w:r>
          </w:p>
          <w:p w14:paraId="139EF1AC" w14:textId="77777777" w:rsidR="007545BD" w:rsidRPr="00C41EB8" w:rsidRDefault="007545BD" w:rsidP="00A73208">
            <w:pPr>
              <w:spacing w:before="0" w:after="0"/>
              <w:rPr>
                <w:rFonts w:eastAsia="Times New Roman"/>
                <w:iCs/>
                <w:noProof/>
                <w:sz w:val="20"/>
              </w:rPr>
            </w:pPr>
          </w:p>
        </w:tc>
      </w:tr>
      <w:tr w:rsidR="007545BD" w:rsidRPr="00C41EB8" w14:paraId="49E25CE5" w14:textId="77777777" w:rsidTr="00A73208">
        <w:tc>
          <w:tcPr>
            <w:tcW w:w="562" w:type="dxa"/>
            <w:shd w:val="clear" w:color="auto" w:fill="D9D9D9" w:themeFill="background1" w:themeFillShade="D9"/>
          </w:tcPr>
          <w:p w14:paraId="3F609FF1"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D9D9D9" w:themeFill="background1" w:themeFillShade="D9"/>
          </w:tcPr>
          <w:p w14:paraId="78E4B36B" w14:textId="77777777" w:rsidR="007545BD" w:rsidRPr="00C41EB8" w:rsidRDefault="007545BD" w:rsidP="00A73208">
            <w:pPr>
              <w:spacing w:before="0" w:after="0"/>
              <w:jc w:val="left"/>
              <w:rPr>
                <w:noProof/>
                <w:sz w:val="20"/>
              </w:rPr>
            </w:pPr>
          </w:p>
        </w:tc>
        <w:tc>
          <w:tcPr>
            <w:tcW w:w="851" w:type="dxa"/>
            <w:vMerge/>
            <w:shd w:val="clear" w:color="auto" w:fill="D9D9D9" w:themeFill="background1" w:themeFillShade="D9"/>
          </w:tcPr>
          <w:p w14:paraId="78C40C06" w14:textId="77777777" w:rsidR="007545BD" w:rsidRPr="00C41EB8" w:rsidRDefault="007545BD" w:rsidP="00A73208">
            <w:pPr>
              <w:spacing w:before="0" w:after="0"/>
              <w:jc w:val="left"/>
              <w:rPr>
                <w:rFonts w:eastAsia="Times New Roman"/>
                <w:iCs/>
                <w:noProof/>
                <w:sz w:val="20"/>
              </w:rPr>
            </w:pPr>
          </w:p>
        </w:tc>
        <w:tc>
          <w:tcPr>
            <w:tcW w:w="1134" w:type="dxa"/>
            <w:vMerge/>
            <w:shd w:val="clear" w:color="auto" w:fill="D9D9D9" w:themeFill="background1" w:themeFillShade="D9"/>
          </w:tcPr>
          <w:p w14:paraId="140E41A3" w14:textId="77777777" w:rsidR="007545BD" w:rsidRPr="00C41EB8" w:rsidRDefault="007545BD" w:rsidP="00A73208">
            <w:pPr>
              <w:spacing w:before="0" w:after="0"/>
              <w:jc w:val="left"/>
              <w:rPr>
                <w:rFonts w:eastAsia="Times New Roman"/>
                <w:iCs/>
                <w:noProof/>
                <w:sz w:val="20"/>
              </w:rPr>
            </w:pPr>
          </w:p>
        </w:tc>
        <w:tc>
          <w:tcPr>
            <w:tcW w:w="850" w:type="dxa"/>
            <w:vMerge/>
            <w:shd w:val="clear" w:color="auto" w:fill="D9D9D9" w:themeFill="background1" w:themeFillShade="D9"/>
          </w:tcPr>
          <w:p w14:paraId="01F8BCA5" w14:textId="77777777" w:rsidR="007545BD" w:rsidRPr="00C41EB8" w:rsidRDefault="007545BD" w:rsidP="00A73208">
            <w:pPr>
              <w:spacing w:before="0" w:after="0"/>
              <w:jc w:val="left"/>
              <w:rPr>
                <w:rFonts w:eastAsia="Times New Roman"/>
                <w:iCs/>
                <w:noProof/>
                <w:sz w:val="20"/>
              </w:rPr>
            </w:pPr>
          </w:p>
        </w:tc>
        <w:tc>
          <w:tcPr>
            <w:tcW w:w="2410" w:type="dxa"/>
            <w:shd w:val="clear" w:color="auto" w:fill="D9D9D9" w:themeFill="background1" w:themeFillShade="D9"/>
          </w:tcPr>
          <w:p w14:paraId="3E69C2C9" w14:textId="77777777" w:rsidR="007545BD" w:rsidRPr="00C41EB8" w:rsidRDefault="007545BD" w:rsidP="00A73208">
            <w:pPr>
              <w:spacing w:before="0" w:after="0"/>
              <w:ind w:left="3"/>
              <w:jc w:val="left"/>
              <w:rPr>
                <w:noProof/>
                <w:sz w:val="20"/>
              </w:rPr>
            </w:pPr>
            <w:r w:rsidRPr="00C41EB8">
              <w:rPr>
                <w:noProof/>
                <w:sz w:val="20"/>
              </w:rPr>
              <w:t>9.sniedz informāciju par finansējuma resursiem, kas atbilst plānotajiem ieguldījumiem un kas nepieciešami esošo un plānoto infrastruktūru ekspluatācijas un uzturēšanas izmaksu segšanai.</w:t>
            </w:r>
          </w:p>
        </w:tc>
        <w:tc>
          <w:tcPr>
            <w:tcW w:w="1134" w:type="dxa"/>
            <w:shd w:val="clear" w:color="auto" w:fill="D9D9D9" w:themeFill="background1" w:themeFillShade="D9"/>
          </w:tcPr>
          <w:p w14:paraId="7A625F60" w14:textId="77777777" w:rsidR="007545BD" w:rsidRPr="00C41EB8" w:rsidRDefault="007545BD" w:rsidP="00A73208">
            <w:pPr>
              <w:spacing w:before="0" w:after="0"/>
              <w:jc w:val="left"/>
              <w:rPr>
                <w:noProof/>
                <w:sz w:val="20"/>
              </w:rPr>
            </w:pPr>
            <w:r w:rsidRPr="00C41EB8">
              <w:rPr>
                <w:noProof/>
                <w:sz w:val="20"/>
              </w:rPr>
              <w:t>Nē</w:t>
            </w:r>
          </w:p>
        </w:tc>
        <w:tc>
          <w:tcPr>
            <w:tcW w:w="2410" w:type="dxa"/>
            <w:shd w:val="clear" w:color="auto" w:fill="D9D9D9" w:themeFill="background1" w:themeFillShade="D9"/>
          </w:tcPr>
          <w:p w14:paraId="2AF1EC39" w14:textId="77777777" w:rsidR="007545BD" w:rsidRPr="00C41EB8" w:rsidRDefault="007545BD" w:rsidP="00A73208">
            <w:pPr>
              <w:spacing w:before="0" w:after="0"/>
              <w:jc w:val="left"/>
              <w:rPr>
                <w:noProof/>
                <w:sz w:val="20"/>
              </w:rPr>
            </w:pPr>
            <w:r w:rsidRPr="00C41EB8">
              <w:rPr>
                <w:noProof/>
                <w:sz w:val="20"/>
              </w:rPr>
              <w:t>9.kritērija izpilde:</w:t>
            </w:r>
          </w:p>
          <w:p w14:paraId="1E001469" w14:textId="77777777" w:rsidR="007545BD" w:rsidRPr="00C41EB8" w:rsidRDefault="007545BD" w:rsidP="00A73208">
            <w:pPr>
              <w:spacing w:before="0" w:after="0"/>
              <w:jc w:val="left"/>
              <w:rPr>
                <w:noProof/>
                <w:sz w:val="20"/>
              </w:rPr>
            </w:pPr>
            <w:r w:rsidRPr="00C41EB8">
              <w:rPr>
                <w:noProof/>
                <w:sz w:val="20"/>
              </w:rPr>
              <w:t>TAP2027</w:t>
            </w:r>
          </w:p>
        </w:tc>
        <w:tc>
          <w:tcPr>
            <w:tcW w:w="3686" w:type="dxa"/>
            <w:shd w:val="clear" w:color="auto" w:fill="D9D9D9" w:themeFill="background1" w:themeFillShade="D9"/>
          </w:tcPr>
          <w:p w14:paraId="041BC17C" w14:textId="77777777" w:rsidR="007545BD" w:rsidRPr="00C41EB8" w:rsidRDefault="007545BD" w:rsidP="00A73208">
            <w:pPr>
              <w:spacing w:before="0" w:after="0"/>
              <w:rPr>
                <w:noProof/>
                <w:sz w:val="20"/>
              </w:rPr>
            </w:pPr>
            <w:r w:rsidRPr="00C41EB8">
              <w:rPr>
                <w:noProof/>
                <w:sz w:val="20"/>
              </w:rPr>
              <w:t>9.kritērija izpilde:</w:t>
            </w:r>
          </w:p>
          <w:p w14:paraId="37DA7482" w14:textId="77777777" w:rsidR="007545BD" w:rsidRPr="00C41EB8" w:rsidRDefault="007545BD" w:rsidP="00A73208">
            <w:pPr>
              <w:spacing w:before="0" w:after="0"/>
              <w:rPr>
                <w:noProof/>
                <w:sz w:val="20"/>
              </w:rPr>
            </w:pPr>
          </w:p>
          <w:p w14:paraId="52B47D7C" w14:textId="77777777" w:rsidR="007545BD" w:rsidRPr="00C41EB8" w:rsidRDefault="007545BD" w:rsidP="00A73208">
            <w:pPr>
              <w:spacing w:before="0" w:after="0"/>
              <w:ind w:firstLine="467"/>
              <w:rPr>
                <w:iCs/>
                <w:sz w:val="20"/>
              </w:rPr>
            </w:pPr>
            <w:r w:rsidRPr="00C41EB8">
              <w:rPr>
                <w:iCs/>
                <w:sz w:val="20"/>
              </w:rPr>
              <w:t xml:space="preserve">TAP 4.pielikumā sniegts pamatnostādņu īstenošanas ietekmes novērtējums uz valsts un pašvaldību budžetu. Lai īstenotu ietvertos uzdevumus plānots izmantot gan valsts, pašvaldību budžeta finansējumu un nacionālo līdzfinansējumu ES struktūrfondu finansējumu projektiem, gan piesaistīt ES finanšu vai citu finansējuma avotu līdzekļus un privāto kapitālu, atkarībā no pasākuma rakstura. Jautājums par papildu valsts budžeta līdzekļu piešķiršanu skatāms MK, sagatavojot vidēja termiņa budžeta ietvaru vai valsts budžetu n+1 gadam. Nepieciešamais finansējuma apjoms ietverto pasākumu īstenošanai ir aprēķināts ar pietiekamu nenoteiktību. </w:t>
            </w:r>
          </w:p>
          <w:p w14:paraId="713EEB37" w14:textId="77777777" w:rsidR="007545BD" w:rsidRPr="00C41EB8" w:rsidRDefault="007545BD" w:rsidP="00A73208">
            <w:pPr>
              <w:spacing w:before="0" w:after="0"/>
              <w:ind w:firstLine="467"/>
              <w:rPr>
                <w:iCs/>
                <w:sz w:val="20"/>
              </w:rPr>
            </w:pPr>
            <w:r w:rsidRPr="00C41EB8">
              <w:rPr>
                <w:iCs/>
                <w:sz w:val="20"/>
              </w:rPr>
              <w:t>Vēršam uzmanību, ka 4.pielikumā iekļautās summas tiks pārskatītas, ņemot vērā Pārresoru koordinācijas centra sniegtās norādes.</w:t>
            </w:r>
          </w:p>
          <w:p w14:paraId="15D28FC6" w14:textId="77777777" w:rsidR="007545BD" w:rsidRPr="00C41EB8" w:rsidRDefault="007545BD" w:rsidP="00A73208">
            <w:pPr>
              <w:spacing w:before="0" w:after="0"/>
              <w:rPr>
                <w:rFonts w:eastAsia="Times New Roman"/>
                <w:iCs/>
                <w:noProof/>
                <w:sz w:val="20"/>
              </w:rPr>
            </w:pPr>
          </w:p>
        </w:tc>
      </w:tr>
      <w:tr w:rsidR="007545BD" w:rsidRPr="00C41EB8" w14:paraId="14CCACA1" w14:textId="77777777" w:rsidTr="00A73208">
        <w:tc>
          <w:tcPr>
            <w:tcW w:w="562" w:type="dxa"/>
          </w:tcPr>
          <w:p w14:paraId="0C129F5A"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val="restart"/>
          </w:tcPr>
          <w:p w14:paraId="4177F139" w14:textId="77777777" w:rsidR="007545BD" w:rsidRPr="00C41EB8" w:rsidRDefault="007545BD" w:rsidP="00A73208">
            <w:pPr>
              <w:spacing w:before="0" w:after="0"/>
              <w:jc w:val="left"/>
              <w:rPr>
                <w:noProof/>
                <w:sz w:val="20"/>
              </w:rPr>
            </w:pPr>
            <w:r w:rsidRPr="00C41EB8">
              <w:rPr>
                <w:noProof/>
                <w:sz w:val="20"/>
              </w:rPr>
              <w:t>Tematiskais priekšnosacījums Nr.10</w:t>
            </w:r>
          </w:p>
          <w:p w14:paraId="316DF405" w14:textId="77777777" w:rsidR="007545BD" w:rsidRPr="00C41EB8" w:rsidRDefault="007545BD" w:rsidP="00A73208">
            <w:pPr>
              <w:spacing w:before="0" w:after="0"/>
              <w:jc w:val="left"/>
              <w:rPr>
                <w:noProof/>
                <w:sz w:val="20"/>
              </w:rPr>
            </w:pPr>
            <w:r w:rsidRPr="00C41EB8">
              <w:rPr>
                <w:noProof/>
                <w:sz w:val="20"/>
              </w:rPr>
              <w:t xml:space="preserve">Stratēģiskās politikas satvars aktīvai </w:t>
            </w:r>
            <w:r w:rsidRPr="00C41EB8">
              <w:rPr>
                <w:b/>
                <w:bCs/>
                <w:noProof/>
                <w:sz w:val="20"/>
              </w:rPr>
              <w:t>darba tirgus politikai</w:t>
            </w:r>
          </w:p>
        </w:tc>
        <w:tc>
          <w:tcPr>
            <w:tcW w:w="851" w:type="dxa"/>
            <w:vMerge w:val="restart"/>
          </w:tcPr>
          <w:p w14:paraId="62373543"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ERAF, ESF+</w:t>
            </w:r>
          </w:p>
        </w:tc>
        <w:tc>
          <w:tcPr>
            <w:tcW w:w="1134" w:type="dxa"/>
            <w:vMerge w:val="restart"/>
          </w:tcPr>
          <w:p w14:paraId="7B03362F"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4.3.3.SAM</w:t>
            </w:r>
          </w:p>
        </w:tc>
        <w:tc>
          <w:tcPr>
            <w:tcW w:w="850" w:type="dxa"/>
            <w:vMerge w:val="restart"/>
          </w:tcPr>
          <w:p w14:paraId="4542AA07"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Nē</w:t>
            </w:r>
          </w:p>
        </w:tc>
        <w:tc>
          <w:tcPr>
            <w:tcW w:w="2410" w:type="dxa"/>
          </w:tcPr>
          <w:p w14:paraId="29819940" w14:textId="77777777" w:rsidR="007545BD" w:rsidRPr="00C41EB8" w:rsidRDefault="007545BD" w:rsidP="00A73208">
            <w:pPr>
              <w:spacing w:before="0" w:after="0"/>
              <w:ind w:left="3"/>
              <w:jc w:val="left"/>
              <w:rPr>
                <w:noProof/>
                <w:sz w:val="20"/>
              </w:rPr>
            </w:pPr>
            <w:r w:rsidRPr="00C41EB8">
              <w:rPr>
                <w:noProof/>
                <w:sz w:val="20"/>
              </w:rPr>
              <w:t>Ir sagatavots stratēģiskās politikas satvars aktīvai darba tirgus politikai, ņemot vērā nodarbinātības pamatnostādnes, un tas ietver:</w:t>
            </w:r>
          </w:p>
          <w:p w14:paraId="6BE0E365" w14:textId="77777777" w:rsidR="007545BD" w:rsidRPr="00C41EB8" w:rsidRDefault="007545BD" w:rsidP="00A73208">
            <w:pPr>
              <w:spacing w:before="0" w:after="0"/>
              <w:ind w:left="171" w:hanging="171"/>
              <w:jc w:val="left"/>
              <w:rPr>
                <w:noProof/>
                <w:sz w:val="20"/>
              </w:rPr>
            </w:pPr>
            <w:r w:rsidRPr="00C41EB8">
              <w:rPr>
                <w:noProof/>
                <w:sz w:val="20"/>
              </w:rPr>
              <w:t>1.</w:t>
            </w:r>
            <w:r w:rsidRPr="00C41EB8">
              <w:rPr>
                <w:noProof/>
                <w:sz w:val="20"/>
              </w:rPr>
              <w:tab/>
              <w:t xml:space="preserve">Kārtību, kādā veic darba meklētāju profilēšanu un to vajadzību novērtēšanu; </w:t>
            </w:r>
          </w:p>
          <w:p w14:paraId="2D808DE8" w14:textId="77777777" w:rsidR="007545BD" w:rsidRPr="00C41EB8" w:rsidRDefault="007545BD" w:rsidP="00A73208">
            <w:pPr>
              <w:spacing w:before="0" w:after="0"/>
              <w:ind w:left="171" w:hanging="171"/>
              <w:jc w:val="left"/>
              <w:rPr>
                <w:noProof/>
                <w:sz w:val="20"/>
              </w:rPr>
            </w:pPr>
          </w:p>
        </w:tc>
        <w:tc>
          <w:tcPr>
            <w:tcW w:w="1134" w:type="dxa"/>
          </w:tcPr>
          <w:p w14:paraId="37D0CCA2" w14:textId="77777777" w:rsidR="007545BD" w:rsidRPr="004329A4" w:rsidRDefault="007545BD" w:rsidP="00A73208">
            <w:pPr>
              <w:spacing w:before="0" w:after="0"/>
              <w:jc w:val="left"/>
              <w:rPr>
                <w:b/>
                <w:bCs/>
                <w:noProof/>
                <w:sz w:val="20"/>
              </w:rPr>
            </w:pPr>
            <w:r w:rsidRPr="004329A4">
              <w:rPr>
                <w:b/>
                <w:bCs/>
                <w:noProof/>
                <w:sz w:val="20"/>
              </w:rPr>
              <w:t>Jā</w:t>
            </w:r>
          </w:p>
        </w:tc>
        <w:tc>
          <w:tcPr>
            <w:tcW w:w="2410" w:type="dxa"/>
          </w:tcPr>
          <w:p w14:paraId="6047240A" w14:textId="77777777" w:rsidR="007545BD" w:rsidRPr="00C41EB8" w:rsidRDefault="007545BD" w:rsidP="00A73208">
            <w:pPr>
              <w:spacing w:before="0" w:after="0"/>
              <w:jc w:val="left"/>
              <w:rPr>
                <w:noProof/>
                <w:sz w:val="20"/>
              </w:rPr>
            </w:pPr>
            <w:r w:rsidRPr="00C41EB8">
              <w:rPr>
                <w:noProof/>
                <w:sz w:val="20"/>
              </w:rPr>
              <w:t>Kopīgā.kritērija izpilde:</w:t>
            </w:r>
          </w:p>
          <w:p w14:paraId="243E6E86" w14:textId="77777777" w:rsidR="007545BD" w:rsidRPr="00C41EB8" w:rsidRDefault="007545BD" w:rsidP="00A73208">
            <w:pPr>
              <w:spacing w:before="0" w:after="0"/>
              <w:jc w:val="left"/>
              <w:rPr>
                <w:noProof/>
                <w:sz w:val="20"/>
              </w:rPr>
            </w:pPr>
          </w:p>
          <w:p w14:paraId="0A22CAD2" w14:textId="77777777" w:rsidR="007545BD" w:rsidRPr="00C41EB8" w:rsidRDefault="009A507A" w:rsidP="00A73208">
            <w:pPr>
              <w:numPr>
                <w:ilvl w:val="0"/>
                <w:numId w:val="65"/>
              </w:numPr>
              <w:spacing w:before="0" w:after="0"/>
              <w:ind w:left="180" w:hanging="180"/>
              <w:contextualSpacing/>
              <w:jc w:val="left"/>
              <w:rPr>
                <w:sz w:val="20"/>
              </w:rPr>
            </w:pPr>
            <w:hyperlink r:id="rId97" w:history="1">
              <w:r w:rsidR="007545BD" w:rsidRPr="00C41EB8">
                <w:rPr>
                  <w:rStyle w:val="Hyperlink"/>
                  <w:sz w:val="20"/>
                </w:rPr>
                <w:t>Sociālās aizsardzības un darba tirgus politikas pamatnostādnes  2021.-2027. gadam</w:t>
              </w:r>
            </w:hyperlink>
          </w:p>
          <w:p w14:paraId="73CBA058" w14:textId="77777777" w:rsidR="007545BD" w:rsidRPr="00C41EB8" w:rsidRDefault="009A507A" w:rsidP="00A73208">
            <w:pPr>
              <w:numPr>
                <w:ilvl w:val="0"/>
                <w:numId w:val="65"/>
              </w:numPr>
              <w:spacing w:before="0" w:after="0"/>
              <w:ind w:left="180" w:hanging="180"/>
              <w:contextualSpacing/>
              <w:jc w:val="left"/>
              <w:rPr>
                <w:sz w:val="20"/>
              </w:rPr>
            </w:pPr>
            <w:hyperlink r:id="rId98" w:history="1">
              <w:r w:rsidR="007545BD" w:rsidRPr="00C41EB8">
                <w:rPr>
                  <w:rStyle w:val="Hyperlink"/>
                  <w:sz w:val="20"/>
                </w:rPr>
                <w:t>Izglītības attīstības pamatnostādnes 2021.-2027.gadam</w:t>
              </w:r>
            </w:hyperlink>
          </w:p>
          <w:p w14:paraId="65D349CD" w14:textId="77777777" w:rsidR="007545BD" w:rsidRPr="00C41EB8" w:rsidRDefault="007545BD" w:rsidP="00A73208">
            <w:pPr>
              <w:spacing w:before="0" w:after="0"/>
              <w:jc w:val="left"/>
              <w:rPr>
                <w:noProof/>
                <w:sz w:val="20"/>
              </w:rPr>
            </w:pPr>
          </w:p>
          <w:p w14:paraId="75C324CC" w14:textId="77777777" w:rsidR="007545BD" w:rsidRPr="00C41EB8" w:rsidRDefault="007545BD" w:rsidP="00A73208">
            <w:pPr>
              <w:spacing w:before="0" w:after="0"/>
              <w:jc w:val="left"/>
              <w:rPr>
                <w:noProof/>
                <w:sz w:val="20"/>
              </w:rPr>
            </w:pPr>
          </w:p>
          <w:p w14:paraId="5A679274" w14:textId="77777777" w:rsidR="007545BD" w:rsidRPr="00C41EB8" w:rsidRDefault="007545BD" w:rsidP="00A73208">
            <w:pPr>
              <w:spacing w:before="0" w:after="0"/>
              <w:jc w:val="left"/>
              <w:rPr>
                <w:noProof/>
                <w:sz w:val="20"/>
              </w:rPr>
            </w:pPr>
            <w:r w:rsidRPr="00C41EB8">
              <w:rPr>
                <w:noProof/>
                <w:sz w:val="20"/>
              </w:rPr>
              <w:t>1.kritērijs</w:t>
            </w:r>
          </w:p>
          <w:p w14:paraId="526A5F28" w14:textId="77777777" w:rsidR="007545BD" w:rsidRPr="00C41EB8" w:rsidRDefault="007545BD" w:rsidP="00A73208">
            <w:pPr>
              <w:spacing w:before="0" w:after="0"/>
              <w:jc w:val="left"/>
              <w:rPr>
                <w:noProof/>
                <w:sz w:val="20"/>
              </w:rPr>
            </w:pPr>
            <w:r w:rsidRPr="00C41EB8">
              <w:rPr>
                <w:noProof/>
                <w:sz w:val="20"/>
              </w:rPr>
              <w:t xml:space="preserve">09.05.2002. </w:t>
            </w:r>
            <w:hyperlink r:id="rId99" w:history="1">
              <w:r w:rsidRPr="00C41EB8">
                <w:rPr>
                  <w:rStyle w:val="Hyperlink"/>
                  <w:noProof/>
                  <w:sz w:val="20"/>
                </w:rPr>
                <w:t>Bezdarbnieku un darba meklētāju atbalsta likums</w:t>
              </w:r>
            </w:hyperlink>
            <w:r w:rsidRPr="00C41EB8">
              <w:rPr>
                <w:noProof/>
                <w:sz w:val="20"/>
              </w:rPr>
              <w:t xml:space="preserve">; </w:t>
            </w:r>
          </w:p>
          <w:p w14:paraId="55D15467" w14:textId="77777777" w:rsidR="007545BD" w:rsidRPr="00C41EB8" w:rsidRDefault="007545BD" w:rsidP="00A73208">
            <w:pPr>
              <w:spacing w:before="0" w:after="0"/>
              <w:jc w:val="left"/>
              <w:rPr>
                <w:noProof/>
                <w:sz w:val="20"/>
              </w:rPr>
            </w:pPr>
            <w:r w:rsidRPr="00C41EB8">
              <w:rPr>
                <w:noProof/>
                <w:sz w:val="20"/>
              </w:rPr>
              <w:t>Ministru kabineta 25.01.2011.  noteikumi Nr.75 “</w:t>
            </w:r>
            <w:hyperlink r:id="rId100" w:history="1">
              <w:r w:rsidRPr="00C41EB8">
                <w:rPr>
                  <w:rStyle w:val="Hyperlink"/>
                  <w:noProof/>
                  <w:sz w:val="20"/>
                </w:rPr>
                <w:t>Noteikumi par aktīvo nodarbinātības pasākumu un preventīvo bezdarba samazināšanas pasākumu organizēšanas un finansēšanas kārtību un pasākumu īstenotāju izvēles principiem</w:t>
              </w:r>
            </w:hyperlink>
            <w:r w:rsidRPr="00C41EB8">
              <w:rPr>
                <w:noProof/>
                <w:sz w:val="20"/>
              </w:rPr>
              <w:t>”.</w:t>
            </w:r>
          </w:p>
          <w:p w14:paraId="5A9FC936" w14:textId="77777777" w:rsidR="007545BD" w:rsidRPr="00C41EB8" w:rsidRDefault="007545BD" w:rsidP="00A73208">
            <w:pPr>
              <w:spacing w:before="0" w:after="0"/>
              <w:jc w:val="left"/>
              <w:rPr>
                <w:noProof/>
                <w:sz w:val="20"/>
              </w:rPr>
            </w:pPr>
          </w:p>
        </w:tc>
        <w:tc>
          <w:tcPr>
            <w:tcW w:w="3686" w:type="dxa"/>
          </w:tcPr>
          <w:p w14:paraId="3EF6F5A2" w14:textId="77777777" w:rsidR="007545BD" w:rsidRPr="00C41EB8" w:rsidRDefault="007545BD" w:rsidP="00A73208">
            <w:pPr>
              <w:spacing w:before="0" w:after="0"/>
              <w:ind w:firstLine="467"/>
              <w:rPr>
                <w:iCs/>
                <w:sz w:val="20"/>
              </w:rPr>
            </w:pPr>
            <w:r w:rsidRPr="00C41EB8">
              <w:rPr>
                <w:iCs/>
                <w:sz w:val="20"/>
              </w:rPr>
              <w:t xml:space="preserve">Izstrādāts </w:t>
            </w:r>
            <w:hyperlink r:id="rId101" w:history="1">
              <w:r w:rsidRPr="00C41EB8">
                <w:rPr>
                  <w:rStyle w:val="Hyperlink"/>
                  <w:iCs/>
                  <w:sz w:val="20"/>
                </w:rPr>
                <w:t>Sociālās aizsardzības un darba tirgus politikas pamatnostādņu 2021.-2027. gadam</w:t>
              </w:r>
            </w:hyperlink>
            <w:r w:rsidRPr="00C41EB8">
              <w:rPr>
                <w:iCs/>
                <w:sz w:val="20"/>
              </w:rPr>
              <w:t xml:space="preserve"> projekts</w:t>
            </w:r>
            <w:r w:rsidRPr="00C41EB8">
              <w:rPr>
                <w:rStyle w:val="FootnoteReference"/>
                <w:iCs/>
                <w:sz w:val="20"/>
              </w:rPr>
              <w:footnoteReference w:id="155"/>
            </w:r>
            <w:r w:rsidRPr="00C41EB8">
              <w:rPr>
                <w:iCs/>
                <w:sz w:val="20"/>
              </w:rPr>
              <w:t>, kurā kā viens no rīcības virzieniem plānots: Iekļaujošs darba tirgus ikvienam un kvalitatīvas darba vietas, atbalstot ilgtermiņa līdzdalību darba tirgū. Rīcības virziena ietvaros vidējā termiņā paredzēts nodrošināt individualizētu atbalstu bezdarba un ilgstošā bezdarba riskam visvairāk pakļautajām personām, īpaši personām ar invaliditāti, jauniešiem, kas nemācās un nestrādā, personām ar zemām un darba tirgum neatbilstošām prasmēm, savukārt ilgtermiņā plānots palielināt nelabvēlīgākā situācijā esošu bezdarbnieku un ekonomiski neaktīvo iedzīvotāju iekļaušanos darba tirgū.</w:t>
            </w:r>
          </w:p>
          <w:p w14:paraId="233A199A" w14:textId="77777777" w:rsidR="007545BD" w:rsidRPr="00C41EB8" w:rsidRDefault="007545BD" w:rsidP="00A73208">
            <w:pPr>
              <w:spacing w:before="0" w:after="0"/>
              <w:ind w:firstLine="467"/>
              <w:rPr>
                <w:iCs/>
                <w:sz w:val="20"/>
              </w:rPr>
            </w:pPr>
            <w:r w:rsidRPr="00C41EB8">
              <w:rPr>
                <w:iCs/>
                <w:sz w:val="20"/>
              </w:rPr>
              <w:t>Pamatnostādņu Rīcības virziena ieviešanai ir noteikti vairāki uzdevumi. Aktīvās darba tirgus politikas attīstībai plānots paaugstināt bezdarbnieku, darba meklētāju un bezdarba riskam pakļauto personu konkurētspēju un reaģēšanu uz darba tirgus transformāciju un nepieciešamību pielāgoties aktuālajai situācijai darba tirgū, tai skaitā:</w:t>
            </w:r>
          </w:p>
          <w:p w14:paraId="06F4E2F2" w14:textId="77777777" w:rsidR="007545BD" w:rsidRPr="00C41EB8" w:rsidRDefault="007545BD" w:rsidP="00A73208">
            <w:pPr>
              <w:spacing w:before="0" w:after="0"/>
              <w:ind w:firstLine="467"/>
              <w:rPr>
                <w:iCs/>
                <w:sz w:val="20"/>
              </w:rPr>
            </w:pPr>
            <w:r w:rsidRPr="00C41EB8">
              <w:rPr>
                <w:iCs/>
                <w:sz w:val="20"/>
              </w:rPr>
              <w:t>•</w:t>
            </w:r>
            <w:r w:rsidRPr="00C41EB8">
              <w:rPr>
                <w:iCs/>
                <w:sz w:val="20"/>
              </w:rPr>
              <w:tab/>
              <w:t>pilnveidojot bezdarbnieku, darba meklētāju un bezdarba riskam pakļauto personu darba tirgum nepieciešamās zināšanas un prasmes;</w:t>
            </w:r>
          </w:p>
          <w:p w14:paraId="7BB301A7" w14:textId="77777777" w:rsidR="007545BD" w:rsidRPr="00C41EB8" w:rsidRDefault="007545BD" w:rsidP="00A73208">
            <w:pPr>
              <w:spacing w:before="0" w:after="0"/>
              <w:ind w:firstLine="467"/>
              <w:rPr>
                <w:iCs/>
                <w:sz w:val="20"/>
              </w:rPr>
            </w:pPr>
            <w:r w:rsidRPr="00C41EB8">
              <w:rPr>
                <w:iCs/>
                <w:sz w:val="20"/>
              </w:rPr>
              <w:t>•</w:t>
            </w:r>
            <w:r w:rsidRPr="00C41EB8">
              <w:rPr>
                <w:iCs/>
                <w:sz w:val="20"/>
              </w:rPr>
              <w:tab/>
              <w:t>pilnveidojot individualizēta atbalsta sniegšanu darba meklētājiem, bezdarbniekiem un bezdarba riskam pakļautajām personām, īpaši personām ar invaliditāti, pirmspensijas vecumā esošām personām, jauniešiem, kas nemācās un nestrādā, personām ar zemām pamatprasmēm;</w:t>
            </w:r>
          </w:p>
          <w:p w14:paraId="1D535629" w14:textId="77777777" w:rsidR="007545BD" w:rsidRPr="00C41EB8" w:rsidRDefault="007545BD" w:rsidP="00A73208">
            <w:pPr>
              <w:spacing w:before="0" w:after="0"/>
              <w:ind w:firstLine="467"/>
              <w:rPr>
                <w:iCs/>
                <w:sz w:val="20"/>
              </w:rPr>
            </w:pPr>
            <w:r w:rsidRPr="00C41EB8">
              <w:rPr>
                <w:iCs/>
                <w:sz w:val="20"/>
              </w:rPr>
              <w:t>•</w:t>
            </w:r>
            <w:r w:rsidRPr="00C41EB8">
              <w:rPr>
                <w:iCs/>
                <w:sz w:val="20"/>
              </w:rPr>
              <w:tab/>
              <w:t>pilnveidojot atbalstu reģionālās mobilitātes un reemigrācijas veicināšanai;</w:t>
            </w:r>
          </w:p>
          <w:p w14:paraId="211D2B5A" w14:textId="77777777" w:rsidR="007545BD" w:rsidRPr="00C41EB8" w:rsidRDefault="007545BD" w:rsidP="00A73208">
            <w:pPr>
              <w:spacing w:before="0" w:after="0"/>
              <w:ind w:firstLine="467"/>
              <w:rPr>
                <w:iCs/>
                <w:sz w:val="20"/>
              </w:rPr>
            </w:pPr>
            <w:r w:rsidRPr="00C41EB8">
              <w:rPr>
                <w:iCs/>
                <w:sz w:val="20"/>
              </w:rPr>
              <w:t>•</w:t>
            </w:r>
            <w:r w:rsidRPr="00C41EB8">
              <w:rPr>
                <w:iCs/>
                <w:sz w:val="20"/>
              </w:rPr>
              <w:tab/>
              <w:t>palielinot pieejamību karjeras konsultācijām un stiprinot karjeras konsultāciju lomu indivīda karjeras vadības prasmju attīstībā;</w:t>
            </w:r>
          </w:p>
          <w:p w14:paraId="7714E7F8" w14:textId="77777777" w:rsidR="007545BD" w:rsidRPr="00C41EB8" w:rsidRDefault="007545BD" w:rsidP="00A73208">
            <w:pPr>
              <w:spacing w:before="0" w:after="0"/>
              <w:ind w:firstLine="467"/>
              <w:rPr>
                <w:iCs/>
                <w:sz w:val="20"/>
              </w:rPr>
            </w:pPr>
            <w:r w:rsidRPr="00C41EB8">
              <w:rPr>
                <w:iCs/>
                <w:sz w:val="20"/>
              </w:rPr>
              <w:t>•</w:t>
            </w:r>
            <w:r w:rsidRPr="00C41EB8">
              <w:rPr>
                <w:iCs/>
                <w:sz w:val="20"/>
              </w:rPr>
              <w:tab/>
              <w:t>pilnveidojot subsidētās, pagaidu nodarbinātības un darbam nepieciešamo iemaņu attīstības pasākumus;</w:t>
            </w:r>
          </w:p>
          <w:p w14:paraId="781411D9" w14:textId="77777777" w:rsidR="007545BD" w:rsidRPr="00C41EB8" w:rsidRDefault="007545BD" w:rsidP="00A73208">
            <w:pPr>
              <w:spacing w:before="0" w:after="0"/>
              <w:ind w:firstLine="467"/>
              <w:rPr>
                <w:iCs/>
                <w:sz w:val="20"/>
              </w:rPr>
            </w:pPr>
            <w:r w:rsidRPr="00C41EB8">
              <w:rPr>
                <w:iCs/>
                <w:sz w:val="20"/>
              </w:rPr>
              <w:t>•</w:t>
            </w:r>
            <w:r w:rsidRPr="00C41EB8">
              <w:rPr>
                <w:iCs/>
                <w:sz w:val="20"/>
              </w:rPr>
              <w:tab/>
              <w:t>palielinot nelabvēlīgākā situācijā esošo bezdarbnieku un ekonomiski neaktīvo iedzīvotāju iekļaušanos darba tirgū, pilnveidojot atbalsta pasākumus un uzlabojot starpinstitucionālo sadarbību efektīvākam mērķa grupu atbalstam;</w:t>
            </w:r>
          </w:p>
          <w:p w14:paraId="34FD9C4E" w14:textId="77777777" w:rsidR="007545BD" w:rsidRPr="00C41EB8" w:rsidRDefault="007545BD" w:rsidP="00A73208">
            <w:pPr>
              <w:spacing w:before="0" w:after="0"/>
              <w:ind w:firstLine="467"/>
              <w:rPr>
                <w:iCs/>
                <w:sz w:val="20"/>
              </w:rPr>
            </w:pPr>
            <w:r w:rsidRPr="00C41EB8">
              <w:rPr>
                <w:iCs/>
                <w:sz w:val="20"/>
              </w:rPr>
              <w:t>•</w:t>
            </w:r>
            <w:r w:rsidRPr="00C41EB8">
              <w:rPr>
                <w:iCs/>
                <w:sz w:val="20"/>
              </w:rPr>
              <w:tab/>
              <w:t>pilnveidojot digitālos un mākslīgā intelekta risinājumus darba tirgus pieprasījuma un piedāvājuma efektīvākai salāgošanai.</w:t>
            </w:r>
          </w:p>
          <w:p w14:paraId="00623A86" w14:textId="77777777" w:rsidR="007545BD" w:rsidRPr="00C41EB8" w:rsidRDefault="007545BD" w:rsidP="00A73208">
            <w:pPr>
              <w:spacing w:before="0" w:after="0"/>
              <w:ind w:firstLine="467"/>
              <w:rPr>
                <w:iCs/>
                <w:sz w:val="20"/>
              </w:rPr>
            </w:pPr>
            <w:r w:rsidRPr="00C41EB8">
              <w:rPr>
                <w:iCs/>
                <w:sz w:val="20"/>
              </w:rPr>
              <w:t xml:space="preserve">09.05.2002. </w:t>
            </w:r>
            <w:hyperlink r:id="rId102" w:history="1">
              <w:r w:rsidRPr="00C41EB8">
                <w:rPr>
                  <w:rStyle w:val="Hyperlink"/>
                  <w:iCs/>
                  <w:sz w:val="20"/>
                </w:rPr>
                <w:t>Bezdarbnieku un darba meklētāju atbalsta likums</w:t>
              </w:r>
            </w:hyperlink>
            <w:r w:rsidRPr="00C41EB8">
              <w:rPr>
                <w:rStyle w:val="FootnoteReference"/>
                <w:iCs/>
                <w:sz w:val="20"/>
              </w:rPr>
              <w:footnoteReference w:id="156"/>
            </w:r>
          </w:p>
          <w:p w14:paraId="536BE685" w14:textId="77777777" w:rsidR="007545BD" w:rsidRPr="00C41EB8" w:rsidRDefault="009A507A" w:rsidP="00A73208">
            <w:pPr>
              <w:spacing w:before="0" w:after="0"/>
              <w:ind w:firstLine="467"/>
              <w:rPr>
                <w:iCs/>
                <w:sz w:val="20"/>
              </w:rPr>
            </w:pPr>
            <w:hyperlink r:id="rId103" w:history="1">
              <w:r w:rsidR="007545BD" w:rsidRPr="00C41EB8">
                <w:rPr>
                  <w:rStyle w:val="Hyperlink"/>
                  <w:iCs/>
                  <w:sz w:val="20"/>
                </w:rPr>
                <w:t>Ministru kabineta 25.01.2011. noteikumi Nr.75 “Noteikumi par aktīvo nodarbinātības pasākumu un preventīvo bezdarba samazināšanas pasākumu organizēšanas un finansēšanas kārtību un pasākumu īstenotāju izvēles principiem”</w:t>
              </w:r>
            </w:hyperlink>
            <w:r w:rsidR="007545BD" w:rsidRPr="00C41EB8">
              <w:rPr>
                <w:rStyle w:val="FootnoteReference"/>
                <w:iCs/>
                <w:sz w:val="20"/>
              </w:rPr>
              <w:footnoteReference w:id="157"/>
            </w:r>
            <w:r w:rsidR="007545BD" w:rsidRPr="00C41EB8">
              <w:rPr>
                <w:iCs/>
                <w:sz w:val="20"/>
              </w:rPr>
              <w:t xml:space="preserve"> </w:t>
            </w:r>
          </w:p>
          <w:p w14:paraId="6D774CDD" w14:textId="77777777" w:rsidR="007545BD" w:rsidRPr="00C41EB8" w:rsidRDefault="007545BD" w:rsidP="00A73208">
            <w:pPr>
              <w:spacing w:before="0" w:after="0"/>
              <w:rPr>
                <w:rFonts w:eastAsia="Times New Roman"/>
                <w:iCs/>
                <w:noProof/>
                <w:sz w:val="20"/>
              </w:rPr>
            </w:pPr>
          </w:p>
        </w:tc>
      </w:tr>
      <w:tr w:rsidR="007545BD" w:rsidRPr="00C41EB8" w14:paraId="2110543C" w14:textId="77777777" w:rsidTr="00A73208">
        <w:tc>
          <w:tcPr>
            <w:tcW w:w="562" w:type="dxa"/>
          </w:tcPr>
          <w:p w14:paraId="0B075729"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33A77BFD" w14:textId="77777777" w:rsidR="007545BD" w:rsidRPr="00C41EB8" w:rsidRDefault="007545BD" w:rsidP="00A73208">
            <w:pPr>
              <w:spacing w:before="0" w:after="0"/>
              <w:jc w:val="left"/>
              <w:rPr>
                <w:noProof/>
                <w:sz w:val="20"/>
              </w:rPr>
            </w:pPr>
          </w:p>
        </w:tc>
        <w:tc>
          <w:tcPr>
            <w:tcW w:w="851" w:type="dxa"/>
            <w:vMerge/>
          </w:tcPr>
          <w:p w14:paraId="3B4C6650" w14:textId="77777777" w:rsidR="007545BD" w:rsidRPr="00C41EB8" w:rsidRDefault="007545BD" w:rsidP="00A73208">
            <w:pPr>
              <w:spacing w:before="0" w:after="0"/>
              <w:jc w:val="left"/>
              <w:rPr>
                <w:rFonts w:eastAsia="Times New Roman"/>
                <w:iCs/>
                <w:noProof/>
                <w:sz w:val="20"/>
              </w:rPr>
            </w:pPr>
          </w:p>
        </w:tc>
        <w:tc>
          <w:tcPr>
            <w:tcW w:w="1134" w:type="dxa"/>
            <w:vMerge/>
          </w:tcPr>
          <w:p w14:paraId="7CFDD6E3" w14:textId="77777777" w:rsidR="007545BD" w:rsidRPr="00C41EB8" w:rsidRDefault="007545BD" w:rsidP="00A73208">
            <w:pPr>
              <w:spacing w:before="0" w:after="0"/>
              <w:jc w:val="left"/>
              <w:rPr>
                <w:rFonts w:eastAsia="Times New Roman"/>
                <w:iCs/>
                <w:noProof/>
                <w:sz w:val="20"/>
              </w:rPr>
            </w:pPr>
          </w:p>
        </w:tc>
        <w:tc>
          <w:tcPr>
            <w:tcW w:w="850" w:type="dxa"/>
            <w:vMerge/>
          </w:tcPr>
          <w:p w14:paraId="3129BBC6" w14:textId="77777777" w:rsidR="007545BD" w:rsidRPr="00C41EB8" w:rsidRDefault="007545BD" w:rsidP="00A73208">
            <w:pPr>
              <w:spacing w:before="0" w:after="0"/>
              <w:jc w:val="left"/>
              <w:rPr>
                <w:rFonts w:eastAsia="Times New Roman"/>
                <w:iCs/>
                <w:noProof/>
                <w:sz w:val="20"/>
              </w:rPr>
            </w:pPr>
          </w:p>
        </w:tc>
        <w:tc>
          <w:tcPr>
            <w:tcW w:w="2410" w:type="dxa"/>
          </w:tcPr>
          <w:p w14:paraId="291577C4" w14:textId="77777777" w:rsidR="007545BD" w:rsidRPr="00C41EB8" w:rsidRDefault="007545BD" w:rsidP="00A73208">
            <w:pPr>
              <w:spacing w:before="0" w:after="0"/>
              <w:jc w:val="left"/>
              <w:rPr>
                <w:noProof/>
                <w:sz w:val="20"/>
              </w:rPr>
            </w:pPr>
            <w:r w:rsidRPr="00C41EB8">
              <w:rPr>
                <w:noProof/>
                <w:sz w:val="20"/>
              </w:rPr>
              <w:t>2.Informāciju par brīvajām darba vietām un darba iespējām, ņemot vērā darba tirgus vajadzības;</w:t>
            </w:r>
          </w:p>
          <w:p w14:paraId="37A07611" w14:textId="77777777" w:rsidR="007545BD" w:rsidRPr="00C41EB8" w:rsidRDefault="007545BD" w:rsidP="00A73208">
            <w:pPr>
              <w:spacing w:before="0" w:after="0"/>
              <w:ind w:left="3"/>
              <w:jc w:val="left"/>
              <w:rPr>
                <w:noProof/>
                <w:sz w:val="20"/>
              </w:rPr>
            </w:pPr>
          </w:p>
        </w:tc>
        <w:tc>
          <w:tcPr>
            <w:tcW w:w="1134" w:type="dxa"/>
          </w:tcPr>
          <w:p w14:paraId="21DE382E" w14:textId="77777777" w:rsidR="007545BD" w:rsidRPr="004329A4" w:rsidRDefault="007545BD" w:rsidP="00A73208">
            <w:pPr>
              <w:spacing w:before="0" w:after="0"/>
              <w:jc w:val="left"/>
              <w:rPr>
                <w:b/>
                <w:bCs/>
                <w:noProof/>
                <w:sz w:val="20"/>
              </w:rPr>
            </w:pPr>
            <w:r w:rsidRPr="004329A4">
              <w:rPr>
                <w:b/>
                <w:bCs/>
                <w:noProof/>
                <w:sz w:val="20"/>
              </w:rPr>
              <w:t>Jā</w:t>
            </w:r>
          </w:p>
        </w:tc>
        <w:tc>
          <w:tcPr>
            <w:tcW w:w="2410" w:type="dxa"/>
          </w:tcPr>
          <w:p w14:paraId="651DF38E" w14:textId="77777777" w:rsidR="007545BD" w:rsidRPr="00C41EB8" w:rsidRDefault="007545BD" w:rsidP="00A73208">
            <w:pPr>
              <w:spacing w:before="0" w:after="0"/>
              <w:jc w:val="left"/>
              <w:rPr>
                <w:noProof/>
                <w:sz w:val="20"/>
              </w:rPr>
            </w:pPr>
            <w:r w:rsidRPr="00C41EB8">
              <w:rPr>
                <w:noProof/>
                <w:sz w:val="20"/>
              </w:rPr>
              <w:t>2.kritērijs</w:t>
            </w:r>
          </w:p>
          <w:p w14:paraId="49158D4A" w14:textId="77777777" w:rsidR="007545BD" w:rsidRPr="00C41EB8" w:rsidRDefault="007545BD" w:rsidP="00A73208">
            <w:pPr>
              <w:spacing w:before="0" w:after="0"/>
              <w:jc w:val="left"/>
              <w:rPr>
                <w:noProof/>
                <w:sz w:val="20"/>
              </w:rPr>
            </w:pPr>
            <w:r w:rsidRPr="00C41EB8">
              <w:rPr>
                <w:noProof/>
                <w:sz w:val="20"/>
              </w:rPr>
              <w:t>Ministru kabineta 28.03.2017. noteikumi Nr.172 “</w:t>
            </w:r>
            <w:hyperlink r:id="rId104" w:history="1">
              <w:r w:rsidRPr="00C41EB8">
                <w:rPr>
                  <w:rStyle w:val="Hyperlink"/>
                  <w:noProof/>
                  <w:sz w:val="20"/>
                </w:rPr>
                <w:t>Bezdarbnieku uzskaites un reģistrēto vakanču informācijas sistēmas noteikumi</w:t>
              </w:r>
            </w:hyperlink>
            <w:r w:rsidRPr="00C41EB8">
              <w:rPr>
                <w:noProof/>
                <w:sz w:val="20"/>
              </w:rPr>
              <w:t>”;</w:t>
            </w:r>
          </w:p>
          <w:p w14:paraId="5ADA2FA4" w14:textId="77777777" w:rsidR="007545BD" w:rsidRPr="00C41EB8" w:rsidRDefault="007545BD" w:rsidP="00A73208">
            <w:pPr>
              <w:spacing w:before="0" w:after="0"/>
              <w:jc w:val="left"/>
              <w:rPr>
                <w:noProof/>
                <w:sz w:val="20"/>
              </w:rPr>
            </w:pPr>
          </w:p>
        </w:tc>
        <w:tc>
          <w:tcPr>
            <w:tcW w:w="3686" w:type="dxa"/>
          </w:tcPr>
          <w:p w14:paraId="7F6285A9" w14:textId="77777777" w:rsidR="007545BD" w:rsidRPr="00C41EB8" w:rsidRDefault="009A507A" w:rsidP="00A73208">
            <w:pPr>
              <w:spacing w:before="0" w:after="0"/>
              <w:ind w:firstLine="467"/>
              <w:rPr>
                <w:iCs/>
                <w:sz w:val="20"/>
              </w:rPr>
            </w:pPr>
            <w:hyperlink r:id="rId105" w:history="1">
              <w:r w:rsidR="007545BD" w:rsidRPr="00C41EB8">
                <w:rPr>
                  <w:rStyle w:val="Hyperlink"/>
                  <w:iCs/>
                  <w:sz w:val="20"/>
                </w:rPr>
                <w:t>Ministru kabineta 28.03.2017. noteikumi Nr.172 “Bezdarbnieku uzskaites un reģistrēto vakanču informācijas sistēmas noteikumi”</w:t>
              </w:r>
            </w:hyperlink>
            <w:r w:rsidR="007545BD" w:rsidRPr="00C41EB8">
              <w:rPr>
                <w:iCs/>
                <w:sz w:val="20"/>
              </w:rPr>
              <w:t xml:space="preserve"> </w:t>
            </w:r>
            <w:r w:rsidR="007545BD" w:rsidRPr="00C41EB8">
              <w:rPr>
                <w:rStyle w:val="FootnoteReference"/>
                <w:iCs/>
                <w:sz w:val="20"/>
              </w:rPr>
              <w:footnoteReference w:id="158"/>
            </w:r>
          </w:p>
          <w:p w14:paraId="01AE917F" w14:textId="77777777" w:rsidR="007545BD" w:rsidRPr="00C41EB8" w:rsidRDefault="007545BD" w:rsidP="00A73208">
            <w:pPr>
              <w:spacing w:before="0" w:after="0"/>
              <w:rPr>
                <w:rFonts w:eastAsia="Times New Roman"/>
                <w:iCs/>
                <w:noProof/>
                <w:sz w:val="20"/>
              </w:rPr>
            </w:pPr>
          </w:p>
        </w:tc>
      </w:tr>
      <w:tr w:rsidR="007545BD" w:rsidRPr="00C41EB8" w14:paraId="7B6F6404" w14:textId="77777777" w:rsidTr="00A73208">
        <w:tc>
          <w:tcPr>
            <w:tcW w:w="562" w:type="dxa"/>
          </w:tcPr>
          <w:p w14:paraId="0A7C43E4"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5C452DE2" w14:textId="77777777" w:rsidR="007545BD" w:rsidRPr="00C41EB8" w:rsidRDefault="007545BD" w:rsidP="00A73208">
            <w:pPr>
              <w:spacing w:before="0" w:after="0"/>
              <w:jc w:val="left"/>
              <w:rPr>
                <w:noProof/>
                <w:sz w:val="20"/>
              </w:rPr>
            </w:pPr>
          </w:p>
        </w:tc>
        <w:tc>
          <w:tcPr>
            <w:tcW w:w="851" w:type="dxa"/>
            <w:vMerge/>
          </w:tcPr>
          <w:p w14:paraId="64FE2FCF" w14:textId="77777777" w:rsidR="007545BD" w:rsidRPr="00C41EB8" w:rsidRDefault="007545BD" w:rsidP="00A73208">
            <w:pPr>
              <w:spacing w:before="0" w:after="0"/>
              <w:jc w:val="left"/>
              <w:rPr>
                <w:rFonts w:eastAsia="Times New Roman"/>
                <w:iCs/>
                <w:noProof/>
                <w:sz w:val="20"/>
              </w:rPr>
            </w:pPr>
          </w:p>
        </w:tc>
        <w:tc>
          <w:tcPr>
            <w:tcW w:w="1134" w:type="dxa"/>
            <w:vMerge/>
          </w:tcPr>
          <w:p w14:paraId="067D09F2" w14:textId="77777777" w:rsidR="007545BD" w:rsidRPr="00C41EB8" w:rsidRDefault="007545BD" w:rsidP="00A73208">
            <w:pPr>
              <w:spacing w:before="0" w:after="0"/>
              <w:jc w:val="left"/>
              <w:rPr>
                <w:rFonts w:eastAsia="Times New Roman"/>
                <w:iCs/>
                <w:noProof/>
                <w:sz w:val="20"/>
              </w:rPr>
            </w:pPr>
          </w:p>
        </w:tc>
        <w:tc>
          <w:tcPr>
            <w:tcW w:w="850" w:type="dxa"/>
            <w:vMerge/>
          </w:tcPr>
          <w:p w14:paraId="05F3320E" w14:textId="77777777" w:rsidR="007545BD" w:rsidRPr="00C41EB8" w:rsidRDefault="007545BD" w:rsidP="00A73208">
            <w:pPr>
              <w:spacing w:before="0" w:after="0"/>
              <w:jc w:val="left"/>
              <w:rPr>
                <w:rFonts w:eastAsia="Times New Roman"/>
                <w:iCs/>
                <w:noProof/>
                <w:sz w:val="20"/>
              </w:rPr>
            </w:pPr>
          </w:p>
        </w:tc>
        <w:tc>
          <w:tcPr>
            <w:tcW w:w="2410" w:type="dxa"/>
          </w:tcPr>
          <w:p w14:paraId="5DD3EBD8" w14:textId="77777777" w:rsidR="007545BD" w:rsidRPr="00C41EB8" w:rsidRDefault="007545BD" w:rsidP="00A73208">
            <w:pPr>
              <w:spacing w:before="0" w:after="0"/>
              <w:jc w:val="left"/>
              <w:rPr>
                <w:noProof/>
                <w:sz w:val="20"/>
              </w:rPr>
            </w:pPr>
            <w:r w:rsidRPr="00C41EB8">
              <w:rPr>
                <w:noProof/>
                <w:sz w:val="20"/>
              </w:rPr>
              <w:t>3.Kārtību, kādā nodrošina, ka tā izstrādi, īstenošanu, uzraudzību un pārskatīšanu veic ciešā sadarbībā ar attiecīgajām līdztiesības struktūrām, sociālajiem partneriem un attiecīgajām pilsoniskās sabiedrības organizācijām;</w:t>
            </w:r>
          </w:p>
          <w:p w14:paraId="260BB67B" w14:textId="77777777" w:rsidR="007545BD" w:rsidRPr="00C41EB8" w:rsidRDefault="007545BD" w:rsidP="00A73208">
            <w:pPr>
              <w:spacing w:before="0" w:after="0"/>
              <w:ind w:left="3"/>
              <w:jc w:val="left"/>
              <w:rPr>
                <w:noProof/>
                <w:sz w:val="20"/>
              </w:rPr>
            </w:pPr>
          </w:p>
        </w:tc>
        <w:tc>
          <w:tcPr>
            <w:tcW w:w="1134" w:type="dxa"/>
          </w:tcPr>
          <w:p w14:paraId="2A644D93" w14:textId="77777777" w:rsidR="007545BD" w:rsidRPr="004329A4" w:rsidRDefault="007545BD" w:rsidP="00A73208">
            <w:pPr>
              <w:spacing w:before="0" w:after="0"/>
              <w:jc w:val="left"/>
              <w:rPr>
                <w:b/>
                <w:bCs/>
                <w:noProof/>
                <w:sz w:val="20"/>
              </w:rPr>
            </w:pPr>
            <w:r w:rsidRPr="004329A4">
              <w:rPr>
                <w:rFonts w:eastAsia="Times New Roman"/>
                <w:b/>
                <w:bCs/>
                <w:iCs/>
                <w:noProof/>
                <w:sz w:val="20"/>
              </w:rPr>
              <w:t>Jā</w:t>
            </w:r>
          </w:p>
        </w:tc>
        <w:tc>
          <w:tcPr>
            <w:tcW w:w="2410" w:type="dxa"/>
          </w:tcPr>
          <w:p w14:paraId="6500BF6A" w14:textId="77777777" w:rsidR="007545BD" w:rsidRPr="00C41EB8" w:rsidRDefault="007545BD" w:rsidP="00A73208">
            <w:pPr>
              <w:spacing w:before="0" w:after="0"/>
              <w:jc w:val="left"/>
              <w:rPr>
                <w:noProof/>
                <w:sz w:val="20"/>
              </w:rPr>
            </w:pPr>
            <w:r w:rsidRPr="00C41EB8">
              <w:rPr>
                <w:noProof/>
                <w:sz w:val="20"/>
              </w:rPr>
              <w:t>3., 4. un 5.kritērijs:</w:t>
            </w:r>
          </w:p>
          <w:p w14:paraId="68BC3C7E" w14:textId="77777777" w:rsidR="007545BD" w:rsidRPr="00C41EB8" w:rsidRDefault="007545BD" w:rsidP="00A73208">
            <w:pPr>
              <w:spacing w:before="0" w:after="0"/>
              <w:jc w:val="left"/>
              <w:rPr>
                <w:noProof/>
                <w:sz w:val="20"/>
              </w:rPr>
            </w:pPr>
          </w:p>
          <w:p w14:paraId="186998B3" w14:textId="77777777" w:rsidR="007545BD" w:rsidRPr="00C41EB8" w:rsidRDefault="007545BD" w:rsidP="00A73208">
            <w:pPr>
              <w:spacing w:before="0" w:after="0"/>
              <w:jc w:val="left"/>
              <w:rPr>
                <w:noProof/>
                <w:sz w:val="20"/>
              </w:rPr>
            </w:pPr>
            <w:r w:rsidRPr="00C41EB8">
              <w:rPr>
                <w:noProof/>
                <w:sz w:val="20"/>
              </w:rPr>
              <w:t>Ministru kabineta 25.01.2011.  noteikumi Nr.75 “</w:t>
            </w:r>
            <w:hyperlink r:id="rId106" w:history="1">
              <w:r w:rsidRPr="00C41EB8">
                <w:rPr>
                  <w:rStyle w:val="Hyperlink"/>
                  <w:noProof/>
                  <w:sz w:val="20"/>
                </w:rPr>
                <w:t>Noteikumi par aktīvo nodarbinātības pasākumu un preventīvo bezdarba samazināšanas pasākumu organizēšanas un finansēšanas kārtību un pasākumu īstenotāju izvēles principiem</w:t>
              </w:r>
            </w:hyperlink>
            <w:r w:rsidRPr="00C41EB8">
              <w:rPr>
                <w:noProof/>
                <w:sz w:val="20"/>
              </w:rPr>
              <w:t>”; Ministru kabineta 18.12.2012. noteikumi Nr.876 “</w:t>
            </w:r>
            <w:hyperlink r:id="rId107" w:history="1">
              <w:r w:rsidRPr="00C41EB8">
                <w:rPr>
                  <w:rStyle w:val="Hyperlink"/>
                  <w:noProof/>
                  <w:sz w:val="20"/>
                </w:rPr>
                <w:t>Nodarbinātības valsts aģentūras nolikums</w:t>
              </w:r>
            </w:hyperlink>
            <w:r w:rsidRPr="00C41EB8">
              <w:rPr>
                <w:noProof/>
                <w:sz w:val="20"/>
              </w:rPr>
              <w:t>”; Nodarbinātības valsts aģentūras darbības stratēģija 2017.-2019.gadam, Nodarbinātības valsts aģentūras darbības stratēģija 2021.-2023.gadam; Nodarbinātības valsts aģentūras ceturkšņa ziņojumi par darba tirgus situācijas monitoringu.</w:t>
            </w:r>
          </w:p>
        </w:tc>
        <w:tc>
          <w:tcPr>
            <w:tcW w:w="3686" w:type="dxa"/>
          </w:tcPr>
          <w:p w14:paraId="2613C639" w14:textId="77777777" w:rsidR="007545BD" w:rsidRPr="00C41EB8" w:rsidRDefault="009A507A" w:rsidP="00A73208">
            <w:pPr>
              <w:spacing w:before="0" w:after="0"/>
              <w:ind w:firstLine="467"/>
              <w:rPr>
                <w:iCs/>
                <w:sz w:val="20"/>
              </w:rPr>
            </w:pPr>
            <w:hyperlink r:id="rId108" w:history="1">
              <w:r w:rsidR="007545BD" w:rsidRPr="00C41EB8">
                <w:rPr>
                  <w:rStyle w:val="Hyperlink"/>
                  <w:iCs/>
                  <w:sz w:val="20"/>
                </w:rPr>
                <w:t>Ministru kabineta 25.01.2011. noteikumi Nr.75 “Noteikumi par aktīvo nodarbinātības pasākumu un preventīvo bezdarba samazināšanas pasākumu organizēšanas un finansēšanas kārtību un pasākumu īstenotāju izvēles principiem</w:t>
              </w:r>
            </w:hyperlink>
            <w:r w:rsidR="007545BD" w:rsidRPr="00C41EB8">
              <w:rPr>
                <w:iCs/>
                <w:sz w:val="20"/>
              </w:rPr>
              <w:t xml:space="preserve">” </w:t>
            </w:r>
            <w:r w:rsidR="007545BD" w:rsidRPr="00C41EB8">
              <w:rPr>
                <w:rStyle w:val="FootnoteReference"/>
                <w:iCs/>
                <w:sz w:val="20"/>
              </w:rPr>
              <w:footnoteReference w:id="159"/>
            </w:r>
          </w:p>
          <w:p w14:paraId="5FA83F37" w14:textId="77777777" w:rsidR="007545BD" w:rsidRPr="00C41EB8" w:rsidRDefault="009A507A" w:rsidP="00A73208">
            <w:pPr>
              <w:spacing w:before="0" w:after="0"/>
              <w:ind w:firstLine="467"/>
              <w:rPr>
                <w:iCs/>
                <w:sz w:val="20"/>
              </w:rPr>
            </w:pPr>
            <w:hyperlink r:id="rId109" w:history="1">
              <w:r w:rsidR="007545BD" w:rsidRPr="00C41EB8">
                <w:rPr>
                  <w:rStyle w:val="Hyperlink"/>
                  <w:iCs/>
                  <w:sz w:val="20"/>
                </w:rPr>
                <w:t>Ministru kabineta 18.12.2012. noteikumi Nr.876 “Nodarbinātības valsts aģentūras nolikums”</w:t>
              </w:r>
            </w:hyperlink>
            <w:r w:rsidR="007545BD" w:rsidRPr="00C41EB8">
              <w:rPr>
                <w:rStyle w:val="FootnoteReference"/>
                <w:iCs/>
                <w:sz w:val="20"/>
              </w:rPr>
              <w:footnoteReference w:id="160"/>
            </w:r>
          </w:p>
          <w:p w14:paraId="548DF7E5" w14:textId="77777777" w:rsidR="007545BD" w:rsidRPr="00C41EB8" w:rsidRDefault="009A507A" w:rsidP="00A73208">
            <w:pPr>
              <w:spacing w:before="0" w:after="0"/>
              <w:ind w:firstLine="467"/>
              <w:rPr>
                <w:iCs/>
                <w:sz w:val="20"/>
              </w:rPr>
            </w:pPr>
            <w:hyperlink r:id="rId110" w:history="1">
              <w:r w:rsidR="007545BD" w:rsidRPr="00C41EB8">
                <w:rPr>
                  <w:rStyle w:val="Hyperlink"/>
                  <w:iCs/>
                  <w:sz w:val="20"/>
                </w:rPr>
                <w:t>Nodarbinātības valsts aģentūras darbības stratēģija 2017.-2019.gadam</w:t>
              </w:r>
            </w:hyperlink>
            <w:r w:rsidR="007545BD" w:rsidRPr="00C41EB8">
              <w:rPr>
                <w:rStyle w:val="FootnoteReference"/>
                <w:iCs/>
                <w:sz w:val="20"/>
              </w:rPr>
              <w:footnoteReference w:id="161"/>
            </w:r>
            <w:r w:rsidR="007545BD" w:rsidRPr="00C41EB8">
              <w:rPr>
                <w:iCs/>
                <w:sz w:val="20"/>
              </w:rPr>
              <w:t xml:space="preserve">, Nodarbinātības valsts aģentūras darbības stratēģija 2021.-2023.gadam </w:t>
            </w:r>
          </w:p>
          <w:p w14:paraId="656C0101" w14:textId="77777777" w:rsidR="007545BD" w:rsidRPr="00C41EB8" w:rsidRDefault="007545BD" w:rsidP="00A73208">
            <w:pPr>
              <w:spacing w:before="0" w:after="0"/>
              <w:rPr>
                <w:rFonts w:eastAsia="Times New Roman"/>
                <w:iCs/>
                <w:noProof/>
                <w:sz w:val="20"/>
              </w:rPr>
            </w:pPr>
            <w:r w:rsidRPr="00C41EB8">
              <w:rPr>
                <w:iCs/>
                <w:sz w:val="20"/>
              </w:rPr>
              <w:t>Nodarbinātības valsts aģentūras ceturkšņa ziņojumi par darba tirgus situācijas monitoringu</w:t>
            </w:r>
            <w:r w:rsidRPr="00C41EB8">
              <w:rPr>
                <w:rStyle w:val="FootnoteReference"/>
                <w:iCs/>
                <w:sz w:val="20"/>
              </w:rPr>
              <w:footnoteReference w:id="162"/>
            </w:r>
          </w:p>
        </w:tc>
      </w:tr>
      <w:tr w:rsidR="007545BD" w:rsidRPr="00C41EB8" w14:paraId="2D216F37" w14:textId="77777777" w:rsidTr="00A73208">
        <w:tc>
          <w:tcPr>
            <w:tcW w:w="562" w:type="dxa"/>
          </w:tcPr>
          <w:p w14:paraId="7B5CF9CA"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38E7C2D4" w14:textId="77777777" w:rsidR="007545BD" w:rsidRPr="00C41EB8" w:rsidRDefault="007545BD" w:rsidP="00A73208">
            <w:pPr>
              <w:spacing w:before="0" w:after="0"/>
              <w:jc w:val="left"/>
              <w:rPr>
                <w:noProof/>
                <w:sz w:val="20"/>
              </w:rPr>
            </w:pPr>
          </w:p>
        </w:tc>
        <w:tc>
          <w:tcPr>
            <w:tcW w:w="851" w:type="dxa"/>
            <w:vMerge/>
          </w:tcPr>
          <w:p w14:paraId="2E2A1004" w14:textId="77777777" w:rsidR="007545BD" w:rsidRPr="00C41EB8" w:rsidRDefault="007545BD" w:rsidP="00A73208">
            <w:pPr>
              <w:spacing w:before="0" w:after="0"/>
              <w:jc w:val="left"/>
              <w:rPr>
                <w:rFonts w:eastAsia="Times New Roman"/>
                <w:iCs/>
                <w:noProof/>
                <w:sz w:val="20"/>
              </w:rPr>
            </w:pPr>
          </w:p>
        </w:tc>
        <w:tc>
          <w:tcPr>
            <w:tcW w:w="1134" w:type="dxa"/>
            <w:vMerge/>
          </w:tcPr>
          <w:p w14:paraId="1EB52A7E" w14:textId="77777777" w:rsidR="007545BD" w:rsidRPr="00C41EB8" w:rsidRDefault="007545BD" w:rsidP="00A73208">
            <w:pPr>
              <w:spacing w:before="0" w:after="0"/>
              <w:jc w:val="left"/>
              <w:rPr>
                <w:rFonts w:eastAsia="Times New Roman"/>
                <w:iCs/>
                <w:noProof/>
                <w:sz w:val="20"/>
              </w:rPr>
            </w:pPr>
          </w:p>
        </w:tc>
        <w:tc>
          <w:tcPr>
            <w:tcW w:w="850" w:type="dxa"/>
            <w:vMerge/>
          </w:tcPr>
          <w:p w14:paraId="272BF0BA" w14:textId="77777777" w:rsidR="007545BD" w:rsidRPr="00C41EB8" w:rsidRDefault="007545BD" w:rsidP="00A73208">
            <w:pPr>
              <w:spacing w:before="0" w:after="0"/>
              <w:jc w:val="left"/>
              <w:rPr>
                <w:rFonts w:eastAsia="Times New Roman"/>
                <w:iCs/>
                <w:noProof/>
                <w:sz w:val="20"/>
              </w:rPr>
            </w:pPr>
          </w:p>
        </w:tc>
        <w:tc>
          <w:tcPr>
            <w:tcW w:w="2410" w:type="dxa"/>
          </w:tcPr>
          <w:p w14:paraId="5BBED7F3" w14:textId="77777777" w:rsidR="007545BD" w:rsidRPr="00C41EB8" w:rsidRDefault="007545BD" w:rsidP="00A73208">
            <w:pPr>
              <w:spacing w:before="0" w:after="0"/>
              <w:jc w:val="left"/>
              <w:rPr>
                <w:noProof/>
                <w:sz w:val="20"/>
              </w:rPr>
            </w:pPr>
            <w:r w:rsidRPr="00C41EB8">
              <w:rPr>
                <w:noProof/>
                <w:sz w:val="20"/>
              </w:rPr>
              <w:t xml:space="preserve">4.Aktīvas darba tirgus politikas uzraudzības, novērtēšanas un pārskatīšanas kārtību; </w:t>
            </w:r>
          </w:p>
          <w:p w14:paraId="436F70F3" w14:textId="77777777" w:rsidR="007545BD" w:rsidRPr="00C41EB8" w:rsidRDefault="007545BD" w:rsidP="00A73208">
            <w:pPr>
              <w:spacing w:before="0" w:after="0"/>
              <w:ind w:left="3"/>
              <w:jc w:val="left"/>
              <w:rPr>
                <w:noProof/>
                <w:sz w:val="20"/>
              </w:rPr>
            </w:pPr>
          </w:p>
        </w:tc>
        <w:tc>
          <w:tcPr>
            <w:tcW w:w="1134" w:type="dxa"/>
          </w:tcPr>
          <w:p w14:paraId="254CF4CB" w14:textId="77777777" w:rsidR="007545BD" w:rsidRPr="004329A4" w:rsidRDefault="007545BD" w:rsidP="00A73208">
            <w:pPr>
              <w:spacing w:before="0" w:after="0"/>
              <w:jc w:val="left"/>
              <w:rPr>
                <w:b/>
                <w:bCs/>
                <w:noProof/>
                <w:sz w:val="20"/>
              </w:rPr>
            </w:pPr>
            <w:r w:rsidRPr="004329A4">
              <w:rPr>
                <w:rFonts w:eastAsia="Times New Roman"/>
                <w:b/>
                <w:bCs/>
                <w:iCs/>
                <w:noProof/>
                <w:sz w:val="20"/>
              </w:rPr>
              <w:t>Jā</w:t>
            </w:r>
          </w:p>
        </w:tc>
        <w:tc>
          <w:tcPr>
            <w:tcW w:w="2410" w:type="dxa"/>
          </w:tcPr>
          <w:p w14:paraId="1457D369" w14:textId="77777777" w:rsidR="007545BD" w:rsidRPr="00C41EB8" w:rsidRDefault="007545BD" w:rsidP="00A73208">
            <w:pPr>
              <w:spacing w:before="0" w:after="0"/>
              <w:jc w:val="left"/>
              <w:rPr>
                <w:noProof/>
                <w:sz w:val="20"/>
              </w:rPr>
            </w:pPr>
            <w:r w:rsidRPr="00C41EB8">
              <w:rPr>
                <w:noProof/>
                <w:sz w:val="20"/>
              </w:rPr>
              <w:t>3., 4. un 5.kritērijs:</w:t>
            </w:r>
          </w:p>
          <w:p w14:paraId="08561773" w14:textId="77777777" w:rsidR="007545BD" w:rsidRPr="00C41EB8" w:rsidRDefault="007545BD" w:rsidP="00A73208">
            <w:pPr>
              <w:spacing w:before="0" w:after="0"/>
              <w:jc w:val="left"/>
              <w:rPr>
                <w:noProof/>
                <w:sz w:val="20"/>
              </w:rPr>
            </w:pPr>
          </w:p>
          <w:p w14:paraId="69CE4202" w14:textId="77777777" w:rsidR="007545BD" w:rsidRPr="00C41EB8" w:rsidRDefault="007545BD" w:rsidP="00A73208">
            <w:pPr>
              <w:spacing w:before="0" w:after="0"/>
              <w:jc w:val="left"/>
              <w:rPr>
                <w:noProof/>
                <w:sz w:val="20"/>
              </w:rPr>
            </w:pPr>
            <w:r w:rsidRPr="00C41EB8">
              <w:rPr>
                <w:noProof/>
                <w:sz w:val="20"/>
              </w:rPr>
              <w:t>Ministru kabineta 25.01.2011.  noteikumi Nr.75 “Noteikumi par aktīvo nodarbinātības pasākumu un preventīvo bezdarba samazināšanas pasākumu organizēšanas un finansēšanas kārtību un pasākumu īstenotāju izvēles principiem”; Ministru kabineta 18.12.2012. noteikumi Nr.876 “Nodarbinātības valsts aģentūras nolikums”; Nodarbinātības valsts aģentūras darbības stratēģija 2017.-2019.gadam, Nodarbinātības valsts aģentūras darbības stratēģija 2021.-2023.gadam; Nodarbinātības valsts aģentūras ceturkšņa ziņojumi par darba tirgus situācijas monitoringu.</w:t>
            </w:r>
          </w:p>
        </w:tc>
        <w:tc>
          <w:tcPr>
            <w:tcW w:w="3686" w:type="dxa"/>
          </w:tcPr>
          <w:p w14:paraId="28C73F83" w14:textId="77777777" w:rsidR="007545BD" w:rsidRPr="00C41EB8" w:rsidRDefault="009A507A" w:rsidP="00A73208">
            <w:pPr>
              <w:spacing w:before="0" w:after="0"/>
              <w:ind w:firstLine="467"/>
              <w:rPr>
                <w:iCs/>
                <w:sz w:val="20"/>
              </w:rPr>
            </w:pPr>
            <w:hyperlink r:id="rId111" w:history="1">
              <w:r w:rsidR="007545BD" w:rsidRPr="00C41EB8">
                <w:rPr>
                  <w:rStyle w:val="Hyperlink"/>
                  <w:iCs/>
                  <w:sz w:val="20"/>
                </w:rPr>
                <w:t>Ministru kabineta 25.01.2011. noteikumi Nr.75 “Noteikumi par aktīvo nodarbinātības pasākumu un preventīvo bezdarba samazināšanas pasākumu organizēšanas un finansēšanas kārtību un pasākumu īstenotāju izvēles principiem</w:t>
              </w:r>
            </w:hyperlink>
            <w:r w:rsidR="007545BD" w:rsidRPr="00C41EB8">
              <w:rPr>
                <w:iCs/>
                <w:sz w:val="20"/>
              </w:rPr>
              <w:t xml:space="preserve">” </w:t>
            </w:r>
            <w:r w:rsidR="007545BD" w:rsidRPr="00C41EB8">
              <w:rPr>
                <w:rStyle w:val="FootnoteReference"/>
                <w:iCs/>
                <w:sz w:val="20"/>
              </w:rPr>
              <w:footnoteReference w:id="163"/>
            </w:r>
          </w:p>
          <w:p w14:paraId="7EDC56EF" w14:textId="77777777" w:rsidR="007545BD" w:rsidRPr="00C41EB8" w:rsidRDefault="009A507A" w:rsidP="00A73208">
            <w:pPr>
              <w:spacing w:before="0" w:after="0"/>
              <w:ind w:firstLine="467"/>
              <w:rPr>
                <w:iCs/>
                <w:sz w:val="20"/>
              </w:rPr>
            </w:pPr>
            <w:hyperlink r:id="rId112" w:history="1">
              <w:r w:rsidR="007545BD" w:rsidRPr="00C41EB8">
                <w:rPr>
                  <w:rStyle w:val="Hyperlink"/>
                  <w:iCs/>
                  <w:sz w:val="20"/>
                </w:rPr>
                <w:t>Ministru kabineta 18.12.2012. noteikumi Nr.876 “Nodarbinātības valsts aģentūras nolikums”</w:t>
              </w:r>
            </w:hyperlink>
            <w:r w:rsidR="007545BD" w:rsidRPr="00C41EB8">
              <w:rPr>
                <w:rStyle w:val="FootnoteReference"/>
                <w:iCs/>
                <w:sz w:val="20"/>
              </w:rPr>
              <w:footnoteReference w:id="164"/>
            </w:r>
          </w:p>
          <w:p w14:paraId="66000090" w14:textId="77777777" w:rsidR="007545BD" w:rsidRPr="00C41EB8" w:rsidRDefault="009A507A" w:rsidP="00A73208">
            <w:pPr>
              <w:spacing w:before="0" w:after="0"/>
              <w:ind w:firstLine="467"/>
              <w:rPr>
                <w:iCs/>
                <w:sz w:val="20"/>
              </w:rPr>
            </w:pPr>
            <w:hyperlink r:id="rId113" w:history="1">
              <w:r w:rsidR="007545BD" w:rsidRPr="00C41EB8">
                <w:rPr>
                  <w:rStyle w:val="Hyperlink"/>
                  <w:iCs/>
                  <w:sz w:val="20"/>
                </w:rPr>
                <w:t>Nodarbinātības valsts aģentūras darbības stratēģija 2017.-2019.gadam</w:t>
              </w:r>
            </w:hyperlink>
            <w:r w:rsidR="007545BD" w:rsidRPr="00C41EB8">
              <w:rPr>
                <w:rStyle w:val="FootnoteReference"/>
                <w:iCs/>
                <w:sz w:val="20"/>
              </w:rPr>
              <w:footnoteReference w:id="165"/>
            </w:r>
            <w:r w:rsidR="007545BD" w:rsidRPr="00C41EB8">
              <w:rPr>
                <w:iCs/>
                <w:sz w:val="20"/>
              </w:rPr>
              <w:t xml:space="preserve">, Nodarbinātības valsts aģentūras darbības stratēģija 2021.-2023.gadam </w:t>
            </w:r>
          </w:p>
          <w:p w14:paraId="29228A54" w14:textId="77777777" w:rsidR="007545BD" w:rsidRPr="00C41EB8" w:rsidRDefault="007545BD" w:rsidP="00A73208">
            <w:pPr>
              <w:spacing w:before="0" w:after="0"/>
              <w:rPr>
                <w:rFonts w:eastAsia="Times New Roman"/>
                <w:iCs/>
                <w:noProof/>
                <w:sz w:val="20"/>
              </w:rPr>
            </w:pPr>
            <w:r w:rsidRPr="00C41EB8">
              <w:rPr>
                <w:iCs/>
                <w:sz w:val="20"/>
              </w:rPr>
              <w:t>Nodarbinātības valsts aģentūras ceturkšņa ziņojumi par darba tirgus situācijas monitoringu</w:t>
            </w:r>
            <w:r w:rsidRPr="00C41EB8">
              <w:rPr>
                <w:rStyle w:val="FootnoteReference"/>
                <w:iCs/>
                <w:sz w:val="20"/>
              </w:rPr>
              <w:footnoteReference w:id="166"/>
            </w:r>
          </w:p>
        </w:tc>
      </w:tr>
      <w:tr w:rsidR="007545BD" w:rsidRPr="00C41EB8" w14:paraId="0570569A" w14:textId="77777777" w:rsidTr="00A73208">
        <w:tc>
          <w:tcPr>
            <w:tcW w:w="562" w:type="dxa"/>
          </w:tcPr>
          <w:p w14:paraId="76B45B62"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0022A69B" w14:textId="77777777" w:rsidR="007545BD" w:rsidRPr="00C41EB8" w:rsidRDefault="007545BD" w:rsidP="00A73208">
            <w:pPr>
              <w:spacing w:before="0" w:after="0"/>
              <w:jc w:val="left"/>
              <w:rPr>
                <w:noProof/>
                <w:sz w:val="20"/>
              </w:rPr>
            </w:pPr>
          </w:p>
        </w:tc>
        <w:tc>
          <w:tcPr>
            <w:tcW w:w="851" w:type="dxa"/>
            <w:vMerge/>
          </w:tcPr>
          <w:p w14:paraId="4C5E4048" w14:textId="77777777" w:rsidR="007545BD" w:rsidRPr="00C41EB8" w:rsidRDefault="007545BD" w:rsidP="00A73208">
            <w:pPr>
              <w:spacing w:before="0" w:after="0"/>
              <w:jc w:val="left"/>
              <w:rPr>
                <w:rFonts w:eastAsia="Times New Roman"/>
                <w:iCs/>
                <w:noProof/>
                <w:sz w:val="20"/>
              </w:rPr>
            </w:pPr>
          </w:p>
        </w:tc>
        <w:tc>
          <w:tcPr>
            <w:tcW w:w="1134" w:type="dxa"/>
            <w:vMerge/>
          </w:tcPr>
          <w:p w14:paraId="56D4D7EF" w14:textId="77777777" w:rsidR="007545BD" w:rsidRPr="00C41EB8" w:rsidRDefault="007545BD" w:rsidP="00A73208">
            <w:pPr>
              <w:spacing w:before="0" w:after="0"/>
              <w:jc w:val="left"/>
              <w:rPr>
                <w:rFonts w:eastAsia="Times New Roman"/>
                <w:iCs/>
                <w:noProof/>
                <w:sz w:val="20"/>
              </w:rPr>
            </w:pPr>
          </w:p>
        </w:tc>
        <w:tc>
          <w:tcPr>
            <w:tcW w:w="850" w:type="dxa"/>
            <w:vMerge/>
          </w:tcPr>
          <w:p w14:paraId="3E6CC284" w14:textId="77777777" w:rsidR="007545BD" w:rsidRPr="00C41EB8" w:rsidRDefault="007545BD" w:rsidP="00A73208">
            <w:pPr>
              <w:spacing w:before="0" w:after="0"/>
              <w:jc w:val="left"/>
              <w:rPr>
                <w:rFonts w:eastAsia="Times New Roman"/>
                <w:iCs/>
                <w:noProof/>
                <w:sz w:val="20"/>
              </w:rPr>
            </w:pPr>
          </w:p>
        </w:tc>
        <w:tc>
          <w:tcPr>
            <w:tcW w:w="2410" w:type="dxa"/>
          </w:tcPr>
          <w:p w14:paraId="6D6F21DC" w14:textId="77777777" w:rsidR="007545BD" w:rsidRPr="00C41EB8" w:rsidRDefault="007545BD" w:rsidP="00A73208">
            <w:pPr>
              <w:spacing w:before="0" w:after="0"/>
              <w:ind w:left="3"/>
              <w:jc w:val="left"/>
              <w:rPr>
                <w:noProof/>
                <w:sz w:val="20"/>
              </w:rPr>
            </w:pPr>
            <w:r w:rsidRPr="00C41EB8">
              <w:rPr>
                <w:noProof/>
                <w:sz w:val="20"/>
              </w:rPr>
              <w:t>5.Attiecībā uz jaunatnes nodarbinātības intervencēm – uz pierādījumiem balstītas un mērķorientētas pieejas jauniešiem, kas nestrādā, nemācās un neapgūst arodu, tostarp informēšanas pasākumi, un pieejas, kas balstītas uz kvalitātes prasībām, ņemot vērā kvalitatīvas māceklības un stažēšanās kritērijus, tostarp Garantijas jauniešiem shēmas īstenošanas kontekstā.</w:t>
            </w:r>
          </w:p>
        </w:tc>
        <w:tc>
          <w:tcPr>
            <w:tcW w:w="1134" w:type="dxa"/>
          </w:tcPr>
          <w:p w14:paraId="5B72E1F1" w14:textId="77777777" w:rsidR="007545BD" w:rsidRPr="00C41EB8" w:rsidRDefault="007545BD" w:rsidP="00A73208">
            <w:pPr>
              <w:spacing w:before="0" w:after="0"/>
              <w:jc w:val="left"/>
              <w:rPr>
                <w:noProof/>
                <w:sz w:val="20"/>
              </w:rPr>
            </w:pPr>
            <w:r w:rsidRPr="00C41EB8">
              <w:rPr>
                <w:noProof/>
                <w:sz w:val="20"/>
              </w:rPr>
              <w:t>Nē</w:t>
            </w:r>
          </w:p>
        </w:tc>
        <w:tc>
          <w:tcPr>
            <w:tcW w:w="2410" w:type="dxa"/>
          </w:tcPr>
          <w:p w14:paraId="6152BF7A" w14:textId="77777777" w:rsidR="007545BD" w:rsidRPr="00C41EB8" w:rsidRDefault="007545BD" w:rsidP="00A73208">
            <w:pPr>
              <w:spacing w:before="0" w:after="0"/>
              <w:jc w:val="left"/>
              <w:rPr>
                <w:noProof/>
                <w:sz w:val="20"/>
              </w:rPr>
            </w:pPr>
            <w:r w:rsidRPr="00C41EB8">
              <w:rPr>
                <w:noProof/>
                <w:sz w:val="20"/>
              </w:rPr>
              <w:t>5.kritērija izpilde:</w:t>
            </w:r>
          </w:p>
          <w:p w14:paraId="3E889EDC" w14:textId="77777777" w:rsidR="007545BD" w:rsidRPr="00C41EB8" w:rsidRDefault="007545BD" w:rsidP="00A73208">
            <w:pPr>
              <w:spacing w:before="0" w:after="0"/>
              <w:jc w:val="left"/>
              <w:rPr>
                <w:noProof/>
                <w:sz w:val="20"/>
              </w:rPr>
            </w:pPr>
          </w:p>
          <w:p w14:paraId="1A433B36" w14:textId="77777777" w:rsidR="007545BD" w:rsidRPr="00C41EB8" w:rsidRDefault="007545BD" w:rsidP="00A73208">
            <w:pPr>
              <w:spacing w:before="0" w:after="0"/>
              <w:jc w:val="left"/>
              <w:rPr>
                <w:noProof/>
                <w:sz w:val="20"/>
              </w:rPr>
            </w:pPr>
            <w:r w:rsidRPr="00C41EB8">
              <w:rPr>
                <w:noProof/>
                <w:sz w:val="20"/>
              </w:rPr>
              <w:t>Sociālās aizsardzības un darba tirgus politikas pamatnostādnes  2021.-2027. gadam</w:t>
            </w:r>
          </w:p>
          <w:p w14:paraId="20433F91" w14:textId="77777777" w:rsidR="007545BD" w:rsidRPr="00C41EB8" w:rsidRDefault="007545BD" w:rsidP="00A73208">
            <w:pPr>
              <w:spacing w:before="0" w:after="0"/>
              <w:jc w:val="left"/>
              <w:rPr>
                <w:noProof/>
                <w:sz w:val="20"/>
              </w:rPr>
            </w:pPr>
          </w:p>
          <w:p w14:paraId="4EEA52F3" w14:textId="77777777" w:rsidR="007545BD" w:rsidRPr="00C41EB8" w:rsidRDefault="007545BD" w:rsidP="00A73208">
            <w:pPr>
              <w:spacing w:before="0" w:after="0"/>
              <w:jc w:val="left"/>
              <w:rPr>
                <w:noProof/>
                <w:sz w:val="20"/>
              </w:rPr>
            </w:pPr>
            <w:r w:rsidRPr="00C41EB8">
              <w:rPr>
                <w:noProof/>
                <w:sz w:val="20"/>
              </w:rPr>
              <w:t>Izglītības attīstības pamatnostādnes 2021.-2027.gadam</w:t>
            </w:r>
          </w:p>
          <w:p w14:paraId="0E7D13BD" w14:textId="77777777" w:rsidR="007545BD" w:rsidRPr="00C41EB8" w:rsidRDefault="007545BD" w:rsidP="00A73208">
            <w:pPr>
              <w:spacing w:before="0" w:after="0"/>
              <w:jc w:val="left"/>
              <w:rPr>
                <w:noProof/>
                <w:sz w:val="20"/>
              </w:rPr>
            </w:pPr>
          </w:p>
          <w:p w14:paraId="6F6AFCDE" w14:textId="77777777" w:rsidR="007545BD" w:rsidRPr="00C41EB8" w:rsidRDefault="009A507A" w:rsidP="00A73208">
            <w:pPr>
              <w:spacing w:before="0" w:after="0"/>
              <w:jc w:val="left"/>
              <w:rPr>
                <w:noProof/>
                <w:sz w:val="20"/>
              </w:rPr>
            </w:pPr>
            <w:hyperlink r:id="rId114" w:history="1">
              <w:r w:rsidR="007545BD" w:rsidRPr="00C41EB8">
                <w:rPr>
                  <w:rStyle w:val="Hyperlink"/>
                  <w:noProof/>
                  <w:sz w:val="20"/>
                </w:rPr>
                <w:t>Kultūrpolitikas pamatnostādnes 2021. -2027</w:t>
              </w:r>
            </w:hyperlink>
            <w:r w:rsidR="007545BD" w:rsidRPr="00C41EB8">
              <w:rPr>
                <w:noProof/>
                <w:sz w:val="20"/>
              </w:rPr>
              <w:t>.gadam (</w:t>
            </w:r>
            <w:r w:rsidR="007545BD">
              <w:rPr>
                <w:noProof/>
                <w:sz w:val="20"/>
              </w:rPr>
              <w:t xml:space="preserve">projekts - </w:t>
            </w:r>
            <w:r w:rsidR="007545BD" w:rsidRPr="00C41EB8">
              <w:rPr>
                <w:noProof/>
                <w:sz w:val="20"/>
              </w:rPr>
              <w:t>08.03.2021.uzsākta publiskā apspriešana</w:t>
            </w:r>
            <w:r w:rsidR="007545BD">
              <w:rPr>
                <w:noProof/>
                <w:sz w:val="20"/>
              </w:rPr>
              <w:t>)</w:t>
            </w:r>
            <w:r w:rsidR="007545BD" w:rsidRPr="00C41EB8">
              <w:rPr>
                <w:noProof/>
                <w:sz w:val="20"/>
              </w:rPr>
              <w:t xml:space="preserve"> </w:t>
            </w:r>
          </w:p>
        </w:tc>
        <w:tc>
          <w:tcPr>
            <w:tcW w:w="3686" w:type="dxa"/>
          </w:tcPr>
          <w:p w14:paraId="7673CE3A" w14:textId="77777777" w:rsidR="007545BD" w:rsidRPr="00C41EB8" w:rsidRDefault="007545BD" w:rsidP="00A73208">
            <w:pPr>
              <w:spacing w:before="0" w:after="0"/>
              <w:rPr>
                <w:rFonts w:eastAsia="Times New Roman"/>
                <w:iCs/>
                <w:noProof/>
                <w:sz w:val="20"/>
              </w:rPr>
            </w:pPr>
            <w:r w:rsidRPr="00C41EB8">
              <w:rPr>
                <w:rFonts w:eastAsia="Times New Roman"/>
                <w:iCs/>
                <w:noProof/>
                <w:sz w:val="20"/>
              </w:rPr>
              <w:t>5.kritērija izpilde:</w:t>
            </w:r>
          </w:p>
          <w:p w14:paraId="53BB7165" w14:textId="77777777" w:rsidR="007545BD" w:rsidRPr="00C41EB8" w:rsidRDefault="007545BD" w:rsidP="00A73208">
            <w:pPr>
              <w:spacing w:before="0" w:after="0"/>
              <w:rPr>
                <w:rFonts w:eastAsia="Times New Roman"/>
                <w:iCs/>
                <w:noProof/>
                <w:sz w:val="20"/>
              </w:rPr>
            </w:pPr>
          </w:p>
          <w:p w14:paraId="58F9FFF0" w14:textId="77777777" w:rsidR="007545BD" w:rsidRPr="00C41EB8" w:rsidRDefault="009A507A" w:rsidP="00A73208">
            <w:pPr>
              <w:spacing w:before="0" w:after="0"/>
              <w:ind w:firstLine="467"/>
              <w:rPr>
                <w:iCs/>
                <w:sz w:val="20"/>
              </w:rPr>
            </w:pPr>
            <w:hyperlink r:id="rId115" w:history="1">
              <w:r w:rsidR="007545BD" w:rsidRPr="00C41EB8">
                <w:rPr>
                  <w:rStyle w:val="Hyperlink"/>
                  <w:iCs/>
                  <w:sz w:val="20"/>
                </w:rPr>
                <w:t>Ministru kabineta 25.01.2011. noteikumi Nr.75 “Noteikumi par aktīvo nodarbinātības pasākumu un preventīvo bezdarba samazināšanas pasākumu organizēšanas un finansēšanas kārtību un pasākumu īstenotāju izvēles principiem</w:t>
              </w:r>
            </w:hyperlink>
            <w:r w:rsidR="007545BD" w:rsidRPr="00C41EB8">
              <w:rPr>
                <w:iCs/>
                <w:sz w:val="20"/>
              </w:rPr>
              <w:t xml:space="preserve">” </w:t>
            </w:r>
            <w:r w:rsidR="007545BD" w:rsidRPr="00C41EB8">
              <w:rPr>
                <w:rStyle w:val="FootnoteReference"/>
                <w:iCs/>
                <w:sz w:val="20"/>
              </w:rPr>
              <w:footnoteReference w:id="167"/>
            </w:r>
          </w:p>
          <w:p w14:paraId="09DC88A3" w14:textId="77777777" w:rsidR="007545BD" w:rsidRPr="00C41EB8" w:rsidRDefault="009A507A" w:rsidP="00A73208">
            <w:pPr>
              <w:spacing w:before="0" w:after="0"/>
              <w:ind w:firstLine="467"/>
              <w:rPr>
                <w:iCs/>
                <w:sz w:val="20"/>
              </w:rPr>
            </w:pPr>
            <w:hyperlink r:id="rId116" w:history="1">
              <w:r w:rsidR="007545BD" w:rsidRPr="00C41EB8">
                <w:rPr>
                  <w:rStyle w:val="Hyperlink"/>
                  <w:iCs/>
                  <w:sz w:val="20"/>
                </w:rPr>
                <w:t>Ministru kabineta 18.12.2012. noteikumi Nr.876 “Nodarbinātības valsts aģentūras nolikums”</w:t>
              </w:r>
            </w:hyperlink>
            <w:r w:rsidR="007545BD" w:rsidRPr="00C41EB8">
              <w:rPr>
                <w:rStyle w:val="FootnoteReference"/>
                <w:iCs/>
                <w:sz w:val="20"/>
              </w:rPr>
              <w:footnoteReference w:id="168"/>
            </w:r>
          </w:p>
          <w:p w14:paraId="6C727EA6" w14:textId="77777777" w:rsidR="007545BD" w:rsidRPr="00C41EB8" w:rsidRDefault="009A507A" w:rsidP="00A73208">
            <w:pPr>
              <w:spacing w:before="0" w:after="0"/>
              <w:ind w:firstLine="467"/>
              <w:rPr>
                <w:iCs/>
                <w:sz w:val="20"/>
              </w:rPr>
            </w:pPr>
            <w:hyperlink r:id="rId117" w:history="1">
              <w:r w:rsidR="007545BD" w:rsidRPr="00C41EB8">
                <w:rPr>
                  <w:rStyle w:val="Hyperlink"/>
                  <w:iCs/>
                  <w:sz w:val="20"/>
                </w:rPr>
                <w:t>Nodarbinātības valsts aģentūras darbības stratēģija 2017.-2019.gadam</w:t>
              </w:r>
            </w:hyperlink>
            <w:r w:rsidR="007545BD" w:rsidRPr="00C41EB8">
              <w:rPr>
                <w:rStyle w:val="FootnoteReference"/>
                <w:iCs/>
                <w:sz w:val="20"/>
              </w:rPr>
              <w:footnoteReference w:id="169"/>
            </w:r>
            <w:r w:rsidR="007545BD" w:rsidRPr="00C41EB8">
              <w:rPr>
                <w:iCs/>
                <w:sz w:val="20"/>
              </w:rPr>
              <w:t xml:space="preserve">, Nodarbinātības valsts aģentūras darbības stratēģija 2021.-2023.gadam </w:t>
            </w:r>
          </w:p>
          <w:p w14:paraId="7F71914C" w14:textId="77777777" w:rsidR="007545BD" w:rsidRPr="00C41EB8" w:rsidRDefault="007545BD" w:rsidP="00A73208">
            <w:pPr>
              <w:spacing w:before="0" w:after="0"/>
              <w:rPr>
                <w:iCs/>
                <w:sz w:val="20"/>
              </w:rPr>
            </w:pPr>
            <w:r w:rsidRPr="00C41EB8">
              <w:rPr>
                <w:iCs/>
                <w:sz w:val="20"/>
              </w:rPr>
              <w:t>Nodarbinātības valsts aģentūras ceturkšņa ziņojumi par darba tirgus situācijas monitoringu</w:t>
            </w:r>
            <w:r w:rsidRPr="00C41EB8">
              <w:rPr>
                <w:rStyle w:val="FootnoteReference"/>
                <w:iCs/>
                <w:sz w:val="20"/>
              </w:rPr>
              <w:footnoteReference w:id="170"/>
            </w:r>
          </w:p>
          <w:p w14:paraId="42E01F7F" w14:textId="77777777" w:rsidR="007545BD" w:rsidRPr="00C41EB8" w:rsidRDefault="007545BD" w:rsidP="00A73208">
            <w:pPr>
              <w:spacing w:before="0" w:after="0"/>
              <w:rPr>
                <w:iCs/>
                <w:sz w:val="20"/>
              </w:rPr>
            </w:pPr>
          </w:p>
          <w:p w14:paraId="2B2533F7" w14:textId="77777777" w:rsidR="007545BD" w:rsidRPr="00C41EB8" w:rsidRDefault="007545BD" w:rsidP="00A73208">
            <w:pPr>
              <w:spacing w:before="0" w:after="0"/>
              <w:rPr>
                <w:iCs/>
                <w:sz w:val="20"/>
              </w:rPr>
            </w:pPr>
            <w:r w:rsidRPr="00C41EB8">
              <w:rPr>
                <w:b/>
                <w:iCs/>
                <w:sz w:val="20"/>
              </w:rPr>
              <w:t>5.kritērijs</w:t>
            </w:r>
            <w:r w:rsidRPr="00C41EB8">
              <w:rPr>
                <w:iCs/>
                <w:sz w:val="20"/>
              </w:rPr>
              <w:t xml:space="preserve"> - Izglītības attīstības pamatnostādnes 2021.-2027.gadam -rīcības virziena 3.1. „Institucionāli risinājumi atbalsta nodrošināšanai ikviena izaugsmei” uzdevums nr.3.1.1. „Nodrošināt iekļaujošas izglītības pieeju visos izglītības līmeņos” un rīcības virziena 3.2. „Sadarbība un dalīta atbildība ar vietējo kopienu izglītības mērķu sasniegšanai” uzdevums nr.3.2.2. „Stiprināt kopienas mēroga sadarbību (pašvaldības ietvaros) indivīda izaugsmei”.</w:t>
            </w:r>
          </w:p>
          <w:p w14:paraId="4D4742A0" w14:textId="77777777" w:rsidR="007545BD" w:rsidRDefault="007545BD" w:rsidP="00A73208">
            <w:pPr>
              <w:spacing w:before="0" w:after="0"/>
              <w:rPr>
                <w:iCs/>
                <w:sz w:val="20"/>
                <w:u w:val="single"/>
              </w:rPr>
            </w:pPr>
          </w:p>
          <w:p w14:paraId="41D3E14C" w14:textId="77777777" w:rsidR="007545BD" w:rsidRPr="00C41EB8" w:rsidRDefault="009A507A" w:rsidP="00A73208">
            <w:pPr>
              <w:spacing w:before="0" w:after="0"/>
              <w:rPr>
                <w:iCs/>
                <w:sz w:val="20"/>
              </w:rPr>
            </w:pPr>
            <w:hyperlink r:id="rId118" w:history="1">
              <w:r w:rsidR="007545BD" w:rsidRPr="00C41EB8">
                <w:rPr>
                  <w:rStyle w:val="Hyperlink"/>
                  <w:iCs/>
                  <w:sz w:val="20"/>
                </w:rPr>
                <w:t>Valsts Kultūrpolitikas pamatnostādņu 2021 -2027</w:t>
              </w:r>
            </w:hyperlink>
            <w:r w:rsidR="007545BD" w:rsidRPr="00C41EB8">
              <w:rPr>
                <w:iCs/>
                <w:sz w:val="20"/>
                <w:u w:val="single"/>
              </w:rPr>
              <w:t xml:space="preserve"> .gadam viens no apakšmērķiem ir Nr.4.3. </w:t>
            </w:r>
            <w:r w:rsidR="007545BD">
              <w:rPr>
                <w:iCs/>
                <w:sz w:val="20"/>
                <w:u w:val="single"/>
              </w:rPr>
              <w:t>“</w:t>
            </w:r>
            <w:r w:rsidR="007545BD" w:rsidRPr="00C41EB8">
              <w:rPr>
                <w:iCs/>
                <w:sz w:val="20"/>
                <w:u w:val="single"/>
              </w:rPr>
              <w:t>Kultūras nozares ilgtspējīga attīstība</w:t>
            </w:r>
            <w:r w:rsidR="007545BD">
              <w:rPr>
                <w:iCs/>
                <w:sz w:val="20"/>
                <w:u w:val="single"/>
              </w:rPr>
              <w:t>”</w:t>
            </w:r>
            <w:r w:rsidR="007545BD" w:rsidRPr="00C41EB8">
              <w:rPr>
                <w:iCs/>
                <w:sz w:val="20"/>
                <w:u w:val="single"/>
              </w:rPr>
              <w:t xml:space="preserve"> un Nr.4.4. </w:t>
            </w:r>
            <w:r w:rsidR="007545BD">
              <w:rPr>
                <w:iCs/>
                <w:sz w:val="20"/>
                <w:u w:val="single"/>
              </w:rPr>
              <w:t>“</w:t>
            </w:r>
            <w:r w:rsidR="007545BD" w:rsidRPr="00C41EB8">
              <w:rPr>
                <w:iCs/>
                <w:sz w:val="20"/>
                <w:u w:val="single"/>
              </w:rPr>
              <w:t>Talantu ataudze un kultūras darbinieku profesionālā izaugsme</w:t>
            </w:r>
            <w:r w:rsidR="007545BD">
              <w:rPr>
                <w:iCs/>
                <w:sz w:val="20"/>
                <w:u w:val="single"/>
              </w:rPr>
              <w:t>”</w:t>
            </w:r>
            <w:r w:rsidR="007545BD" w:rsidRPr="00C41EB8">
              <w:rPr>
                <w:iCs/>
                <w:sz w:val="20"/>
                <w:u w:val="single"/>
              </w:rPr>
              <w:t xml:space="preserve">. </w:t>
            </w:r>
          </w:p>
          <w:p w14:paraId="7876ED08" w14:textId="77777777" w:rsidR="007545BD" w:rsidRPr="00C41EB8" w:rsidRDefault="007545BD" w:rsidP="00A73208">
            <w:pPr>
              <w:spacing w:before="0" w:after="0"/>
              <w:rPr>
                <w:rFonts w:eastAsia="Times New Roman"/>
                <w:iCs/>
                <w:noProof/>
                <w:sz w:val="20"/>
              </w:rPr>
            </w:pPr>
            <w:r w:rsidRPr="00C41EB8">
              <w:rPr>
                <w:iCs/>
                <w:sz w:val="20"/>
              </w:rPr>
              <w:t xml:space="preserve">Kultūrizglītības nozares stratēģija 2021-2027.gadam ir </w:t>
            </w:r>
            <w:hyperlink r:id="rId119" w:history="1">
              <w:r w:rsidRPr="00C41EB8">
                <w:rPr>
                  <w:rStyle w:val="Hyperlink"/>
                  <w:iCs/>
                  <w:sz w:val="20"/>
                </w:rPr>
                <w:t>Kultūrpolitikas pamatnostādnes 2021. -2027</w:t>
              </w:r>
            </w:hyperlink>
            <w:r w:rsidRPr="00C41EB8">
              <w:rPr>
                <w:iCs/>
                <w:sz w:val="20"/>
              </w:rPr>
              <w:t>.gadam papildinošs plānošanas dokuments, kas tiks izstrādāts kā nozares detalizētāks rīcības plāns pamatnostādņu īstenošanai.</w:t>
            </w:r>
          </w:p>
        </w:tc>
      </w:tr>
      <w:tr w:rsidR="007545BD" w:rsidRPr="00C41EB8" w14:paraId="719D62B0" w14:textId="77777777" w:rsidTr="00A73208">
        <w:trPr>
          <w:trHeight w:val="1269"/>
        </w:trPr>
        <w:tc>
          <w:tcPr>
            <w:tcW w:w="562" w:type="dxa"/>
            <w:shd w:val="clear" w:color="auto" w:fill="D9D9D9" w:themeFill="background1" w:themeFillShade="D9"/>
          </w:tcPr>
          <w:p w14:paraId="41B70DD0"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val="restart"/>
            <w:shd w:val="clear" w:color="auto" w:fill="D9D9D9" w:themeFill="background1" w:themeFillShade="D9"/>
          </w:tcPr>
          <w:p w14:paraId="2699C36C" w14:textId="77777777" w:rsidR="007545BD" w:rsidRPr="00C41EB8" w:rsidRDefault="007545BD" w:rsidP="00A73208">
            <w:pPr>
              <w:spacing w:before="0" w:after="0"/>
              <w:jc w:val="left"/>
              <w:rPr>
                <w:noProof/>
                <w:sz w:val="20"/>
              </w:rPr>
            </w:pPr>
            <w:r w:rsidRPr="00C41EB8">
              <w:rPr>
                <w:noProof/>
                <w:sz w:val="20"/>
              </w:rPr>
              <w:t>Tematiskais priekšnosacījums Nr.11</w:t>
            </w:r>
          </w:p>
          <w:p w14:paraId="73EADE6C" w14:textId="77777777" w:rsidR="007545BD" w:rsidRPr="00C41EB8" w:rsidRDefault="007545BD" w:rsidP="00A73208">
            <w:pPr>
              <w:spacing w:before="0" w:after="0"/>
              <w:jc w:val="left"/>
              <w:rPr>
                <w:noProof/>
                <w:sz w:val="20"/>
              </w:rPr>
            </w:pPr>
            <w:r w:rsidRPr="00C41EB8">
              <w:rPr>
                <w:noProof/>
                <w:sz w:val="20"/>
              </w:rPr>
              <w:t xml:space="preserve">Valsts </w:t>
            </w:r>
            <w:r w:rsidRPr="00C41EB8">
              <w:rPr>
                <w:b/>
                <w:bCs/>
                <w:noProof/>
                <w:sz w:val="20"/>
              </w:rPr>
              <w:t>dzimumu līdztiesības</w:t>
            </w:r>
            <w:r w:rsidRPr="00C41EB8">
              <w:rPr>
                <w:noProof/>
                <w:sz w:val="20"/>
              </w:rPr>
              <w:t xml:space="preserve"> stratēģiskais satvars</w:t>
            </w:r>
          </w:p>
        </w:tc>
        <w:tc>
          <w:tcPr>
            <w:tcW w:w="851" w:type="dxa"/>
            <w:vMerge w:val="restart"/>
            <w:shd w:val="clear" w:color="auto" w:fill="D9D9D9" w:themeFill="background1" w:themeFillShade="D9"/>
          </w:tcPr>
          <w:p w14:paraId="1463CD6C"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ERAF, ESF+</w:t>
            </w:r>
          </w:p>
        </w:tc>
        <w:tc>
          <w:tcPr>
            <w:tcW w:w="1134" w:type="dxa"/>
            <w:vMerge w:val="restart"/>
            <w:shd w:val="clear" w:color="auto" w:fill="D9D9D9" w:themeFill="background1" w:themeFillShade="D9"/>
          </w:tcPr>
          <w:p w14:paraId="53CC6932"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4.2.3.SAM</w:t>
            </w:r>
          </w:p>
          <w:p w14:paraId="63EC8F82"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4.3.3.SAM</w:t>
            </w:r>
          </w:p>
          <w:p w14:paraId="054A6118"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4.3.4.SAM</w:t>
            </w:r>
          </w:p>
        </w:tc>
        <w:tc>
          <w:tcPr>
            <w:tcW w:w="850" w:type="dxa"/>
            <w:vMerge w:val="restart"/>
            <w:shd w:val="clear" w:color="auto" w:fill="D9D9D9" w:themeFill="background1" w:themeFillShade="D9"/>
          </w:tcPr>
          <w:p w14:paraId="117B9AA8"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Nē</w:t>
            </w:r>
          </w:p>
        </w:tc>
        <w:tc>
          <w:tcPr>
            <w:tcW w:w="2410" w:type="dxa"/>
            <w:shd w:val="clear" w:color="auto" w:fill="D9D9D9" w:themeFill="background1" w:themeFillShade="D9"/>
          </w:tcPr>
          <w:p w14:paraId="4DE8D6B4" w14:textId="77777777" w:rsidR="007545BD" w:rsidRPr="00C41EB8" w:rsidRDefault="007545BD" w:rsidP="00A73208">
            <w:pPr>
              <w:spacing w:before="0" w:after="0"/>
              <w:ind w:left="3"/>
              <w:jc w:val="left"/>
              <w:rPr>
                <w:noProof/>
                <w:sz w:val="20"/>
              </w:rPr>
            </w:pPr>
            <w:r w:rsidRPr="00C41EB8">
              <w:rPr>
                <w:noProof/>
                <w:sz w:val="20"/>
              </w:rPr>
              <w:t>Ir sagatavots valsts stratēģiskās politikas satvars dzimumu līdztiesības jomā, un tas ietver:</w:t>
            </w:r>
          </w:p>
          <w:p w14:paraId="78818FA7" w14:textId="77777777" w:rsidR="007545BD" w:rsidRPr="00C41EB8" w:rsidRDefault="007545BD" w:rsidP="00A73208">
            <w:pPr>
              <w:spacing w:before="0" w:after="0"/>
              <w:ind w:left="313" w:hanging="284"/>
              <w:jc w:val="left"/>
              <w:rPr>
                <w:noProof/>
                <w:sz w:val="20"/>
              </w:rPr>
            </w:pPr>
            <w:r w:rsidRPr="00C41EB8">
              <w:rPr>
                <w:noProof/>
                <w:sz w:val="20"/>
              </w:rPr>
              <w:t>1.</w:t>
            </w:r>
            <w:r w:rsidRPr="00C41EB8">
              <w:rPr>
                <w:noProof/>
                <w:sz w:val="20"/>
              </w:rPr>
              <w:tab/>
              <w:t>Uz pierādījumiem balstītu problēmu noteikšanu dzimumu līdztiesības jomā.</w:t>
            </w:r>
          </w:p>
          <w:p w14:paraId="1D70F8D3" w14:textId="77777777" w:rsidR="007545BD" w:rsidRPr="00C41EB8" w:rsidRDefault="007545BD" w:rsidP="00A73208">
            <w:pPr>
              <w:spacing w:before="0" w:after="0"/>
              <w:ind w:left="313" w:hanging="284"/>
              <w:jc w:val="left"/>
              <w:rPr>
                <w:noProof/>
                <w:sz w:val="20"/>
              </w:rPr>
            </w:pPr>
          </w:p>
          <w:p w14:paraId="12067392" w14:textId="77777777" w:rsidR="007545BD" w:rsidRPr="00C41EB8" w:rsidRDefault="007545BD" w:rsidP="00A73208">
            <w:pPr>
              <w:spacing w:before="0" w:after="0"/>
              <w:ind w:left="313" w:hanging="284"/>
              <w:jc w:val="left"/>
              <w:rPr>
                <w:noProof/>
                <w:sz w:val="20"/>
              </w:rPr>
            </w:pPr>
          </w:p>
          <w:p w14:paraId="1C8C755E" w14:textId="77777777" w:rsidR="007545BD" w:rsidRPr="00C41EB8" w:rsidRDefault="007545BD" w:rsidP="00A73208">
            <w:pPr>
              <w:spacing w:before="0" w:after="0"/>
              <w:ind w:left="313" w:hanging="284"/>
              <w:jc w:val="left"/>
              <w:rPr>
                <w:noProof/>
                <w:sz w:val="20"/>
              </w:rPr>
            </w:pPr>
          </w:p>
        </w:tc>
        <w:tc>
          <w:tcPr>
            <w:tcW w:w="1134" w:type="dxa"/>
            <w:shd w:val="clear" w:color="auto" w:fill="D9D9D9" w:themeFill="background1" w:themeFillShade="D9"/>
          </w:tcPr>
          <w:p w14:paraId="537F5C02" w14:textId="77777777" w:rsidR="007545BD" w:rsidRPr="00C41EB8" w:rsidRDefault="007545BD" w:rsidP="00A73208">
            <w:pPr>
              <w:spacing w:before="0" w:after="0"/>
              <w:jc w:val="left"/>
              <w:rPr>
                <w:noProof/>
                <w:sz w:val="20"/>
              </w:rPr>
            </w:pPr>
            <w:r w:rsidRPr="00C41EB8">
              <w:rPr>
                <w:noProof/>
                <w:sz w:val="20"/>
              </w:rPr>
              <w:t>Nē</w:t>
            </w:r>
          </w:p>
        </w:tc>
        <w:tc>
          <w:tcPr>
            <w:tcW w:w="2410" w:type="dxa"/>
            <w:shd w:val="clear" w:color="auto" w:fill="D9D9D9" w:themeFill="background1" w:themeFillShade="D9"/>
          </w:tcPr>
          <w:p w14:paraId="57F98FCB" w14:textId="77777777" w:rsidR="007545BD" w:rsidRPr="00C41EB8" w:rsidRDefault="007545BD" w:rsidP="00A73208">
            <w:pPr>
              <w:spacing w:before="0" w:after="0"/>
              <w:jc w:val="left"/>
              <w:rPr>
                <w:noProof/>
                <w:sz w:val="20"/>
              </w:rPr>
            </w:pPr>
            <w:r w:rsidRPr="00C41EB8">
              <w:rPr>
                <w:noProof/>
                <w:sz w:val="20"/>
              </w:rPr>
              <w:t>1. un 2.kritērijs Sociālās aizsardzības un darba tirgus politikas pamatnostādnes  2021.-2027. gadam;</w:t>
            </w:r>
          </w:p>
          <w:p w14:paraId="1C0E3B23" w14:textId="77777777" w:rsidR="007545BD" w:rsidRPr="00C41EB8" w:rsidRDefault="007545BD" w:rsidP="00A73208">
            <w:pPr>
              <w:spacing w:before="0" w:after="0"/>
              <w:jc w:val="left"/>
              <w:rPr>
                <w:noProof/>
                <w:sz w:val="20"/>
              </w:rPr>
            </w:pPr>
            <w:r w:rsidRPr="00C41EB8">
              <w:rPr>
                <w:noProof/>
                <w:sz w:val="20"/>
              </w:rPr>
              <w:t xml:space="preserve">Plāns sieviešu un vīriešu vienlīdzīgu tiesību un iespēju veicināšanai 2021.-2023.gadam; </w:t>
            </w:r>
          </w:p>
          <w:p w14:paraId="68FF5FC4" w14:textId="77777777" w:rsidR="007545BD" w:rsidRPr="00C41EB8" w:rsidRDefault="007545BD" w:rsidP="00A73208">
            <w:pPr>
              <w:spacing w:before="0" w:after="0"/>
              <w:jc w:val="left"/>
              <w:rPr>
                <w:noProof/>
                <w:sz w:val="20"/>
              </w:rPr>
            </w:pPr>
            <w:r w:rsidRPr="00C41EB8">
              <w:rPr>
                <w:noProof/>
                <w:sz w:val="20"/>
              </w:rPr>
              <w:t>Bērnu, jaunatnes un ģimenes attīstības pamatnostādnes 2021.–2027. gadam</w:t>
            </w:r>
          </w:p>
        </w:tc>
        <w:tc>
          <w:tcPr>
            <w:tcW w:w="3686" w:type="dxa"/>
            <w:shd w:val="clear" w:color="auto" w:fill="D9D9D9" w:themeFill="background1" w:themeFillShade="D9"/>
          </w:tcPr>
          <w:p w14:paraId="2809C8EE" w14:textId="77777777" w:rsidR="007545BD" w:rsidRPr="00C41EB8" w:rsidRDefault="007545BD" w:rsidP="00A73208">
            <w:pPr>
              <w:spacing w:before="0" w:after="0"/>
              <w:rPr>
                <w:b/>
                <w:iCs/>
                <w:sz w:val="20"/>
              </w:rPr>
            </w:pPr>
            <w:r w:rsidRPr="00C41EB8">
              <w:rPr>
                <w:b/>
                <w:iCs/>
                <w:sz w:val="20"/>
              </w:rPr>
              <w:t>1. un 2.kritērijs</w:t>
            </w:r>
          </w:p>
          <w:p w14:paraId="1A6E2D6D" w14:textId="77777777" w:rsidR="007545BD" w:rsidRPr="00C41EB8" w:rsidRDefault="007545BD" w:rsidP="00A73208">
            <w:pPr>
              <w:spacing w:before="0" w:after="0"/>
              <w:rPr>
                <w:iCs/>
                <w:sz w:val="20"/>
              </w:rPr>
            </w:pPr>
            <w:r w:rsidRPr="00C41EB8">
              <w:rPr>
                <w:iCs/>
                <w:sz w:val="20"/>
              </w:rPr>
              <w:t xml:space="preserve">Izstrādāts </w:t>
            </w:r>
            <w:hyperlink r:id="rId120" w:history="1">
              <w:r w:rsidRPr="00C41EB8">
                <w:rPr>
                  <w:rStyle w:val="Hyperlink"/>
                  <w:iCs/>
                  <w:sz w:val="20"/>
                </w:rPr>
                <w:t>Sociālās aizsardzības un darba tirgus politikas pamatnostādņu 2021.-2027. gadam</w:t>
              </w:r>
            </w:hyperlink>
            <w:r w:rsidRPr="00C41EB8">
              <w:rPr>
                <w:iCs/>
                <w:sz w:val="20"/>
              </w:rPr>
              <w:t xml:space="preserve"> projekts</w:t>
            </w:r>
            <w:r w:rsidRPr="00C41EB8">
              <w:rPr>
                <w:rStyle w:val="FootnoteReference"/>
                <w:iCs/>
                <w:sz w:val="20"/>
              </w:rPr>
              <w:footnoteReference w:id="171"/>
            </w:r>
            <w:r w:rsidRPr="00C41EB8">
              <w:rPr>
                <w:iCs/>
                <w:sz w:val="20"/>
              </w:rPr>
              <w:t>, kurā kā viens no rīcības virzieniem plānots: Sociālās aizsardzības un darba tirgus politikas horizontālie jautājumi. Rīcības virziena ietvaros vidējā termiņā paredzēts īstenot mērķtiecīgus pasākumus dažādas jomās vīriešu un sieviešu vienlīdzīgu iespēju un tiesību sekmēšanai, savukārt ilgtermiņā panākt, ka jebkuras politikas plānošanā, īstenošanā un uzraudzībā iesaistītajiem ir izpratne par sieviešu un vīriešu vienlīdzīgām tiesībām un iespējām.</w:t>
            </w:r>
          </w:p>
          <w:p w14:paraId="0FD175B5" w14:textId="77777777" w:rsidR="007545BD" w:rsidRPr="00C41EB8" w:rsidRDefault="007545BD" w:rsidP="00A73208">
            <w:pPr>
              <w:spacing w:before="0" w:after="0"/>
              <w:rPr>
                <w:rFonts w:eastAsia="Times New Roman"/>
                <w:iCs/>
                <w:noProof/>
                <w:sz w:val="20"/>
              </w:rPr>
            </w:pPr>
            <w:r w:rsidRPr="00C41EB8">
              <w:rPr>
                <w:iCs/>
                <w:sz w:val="20"/>
              </w:rPr>
              <w:t>Pamatnostādņu Rīcības virziena ieviešanai ir noteikts uzdevums - Nodrošināt sieviešu un vīriešu vienlīdzīgu tiesību un iespēju integrētās pieejas īstenošanu nozaru politiku plānošanā, īstenošanā un uzraudzībā, kā arī īstenot pasākumus dažādās politiku jomās sieviešu un vīriešu vienlīdzīgu tiesību un iespēju stiprināšanai.</w:t>
            </w:r>
          </w:p>
        </w:tc>
      </w:tr>
      <w:tr w:rsidR="007545BD" w:rsidRPr="00C41EB8" w14:paraId="103AEC85" w14:textId="77777777" w:rsidTr="00A73208">
        <w:tc>
          <w:tcPr>
            <w:tcW w:w="562" w:type="dxa"/>
            <w:shd w:val="clear" w:color="auto" w:fill="D9D9D9" w:themeFill="background1" w:themeFillShade="D9"/>
          </w:tcPr>
          <w:p w14:paraId="3DDFF425"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D9D9D9" w:themeFill="background1" w:themeFillShade="D9"/>
          </w:tcPr>
          <w:p w14:paraId="53A6132C" w14:textId="77777777" w:rsidR="007545BD" w:rsidRPr="00C41EB8" w:rsidRDefault="007545BD" w:rsidP="00A73208">
            <w:pPr>
              <w:spacing w:before="0" w:after="0"/>
              <w:jc w:val="left"/>
              <w:rPr>
                <w:noProof/>
                <w:sz w:val="20"/>
              </w:rPr>
            </w:pPr>
          </w:p>
        </w:tc>
        <w:tc>
          <w:tcPr>
            <w:tcW w:w="851" w:type="dxa"/>
            <w:vMerge/>
            <w:shd w:val="clear" w:color="auto" w:fill="D9D9D9" w:themeFill="background1" w:themeFillShade="D9"/>
          </w:tcPr>
          <w:p w14:paraId="253A4FC2" w14:textId="77777777" w:rsidR="007545BD" w:rsidRPr="00C41EB8" w:rsidRDefault="007545BD" w:rsidP="00A73208">
            <w:pPr>
              <w:spacing w:before="0" w:after="0"/>
              <w:jc w:val="left"/>
              <w:rPr>
                <w:rFonts w:eastAsia="Times New Roman"/>
                <w:iCs/>
                <w:noProof/>
                <w:sz w:val="20"/>
              </w:rPr>
            </w:pPr>
          </w:p>
        </w:tc>
        <w:tc>
          <w:tcPr>
            <w:tcW w:w="1134" w:type="dxa"/>
            <w:vMerge/>
            <w:shd w:val="clear" w:color="auto" w:fill="D9D9D9" w:themeFill="background1" w:themeFillShade="D9"/>
          </w:tcPr>
          <w:p w14:paraId="491297F9" w14:textId="77777777" w:rsidR="007545BD" w:rsidRPr="00C41EB8" w:rsidRDefault="007545BD" w:rsidP="00A73208">
            <w:pPr>
              <w:spacing w:before="0" w:after="0"/>
              <w:jc w:val="left"/>
              <w:rPr>
                <w:rFonts w:eastAsia="Times New Roman"/>
                <w:iCs/>
                <w:noProof/>
                <w:sz w:val="20"/>
              </w:rPr>
            </w:pPr>
          </w:p>
        </w:tc>
        <w:tc>
          <w:tcPr>
            <w:tcW w:w="850" w:type="dxa"/>
            <w:vMerge/>
            <w:shd w:val="clear" w:color="auto" w:fill="D9D9D9" w:themeFill="background1" w:themeFillShade="D9"/>
          </w:tcPr>
          <w:p w14:paraId="695D04C5" w14:textId="77777777" w:rsidR="007545BD" w:rsidRPr="00C41EB8" w:rsidRDefault="007545BD" w:rsidP="00A73208">
            <w:pPr>
              <w:spacing w:before="0" w:after="0"/>
              <w:jc w:val="left"/>
              <w:rPr>
                <w:rFonts w:eastAsia="Times New Roman"/>
                <w:iCs/>
                <w:noProof/>
                <w:sz w:val="20"/>
              </w:rPr>
            </w:pPr>
          </w:p>
        </w:tc>
        <w:tc>
          <w:tcPr>
            <w:tcW w:w="2410" w:type="dxa"/>
            <w:shd w:val="clear" w:color="auto" w:fill="D9D9D9" w:themeFill="background1" w:themeFillShade="D9"/>
          </w:tcPr>
          <w:p w14:paraId="308CE730" w14:textId="77777777" w:rsidR="007545BD" w:rsidRPr="00C41EB8" w:rsidRDefault="007545BD" w:rsidP="00A73208">
            <w:pPr>
              <w:spacing w:before="0" w:after="0"/>
              <w:ind w:left="3"/>
              <w:jc w:val="left"/>
              <w:rPr>
                <w:noProof/>
                <w:sz w:val="20"/>
              </w:rPr>
            </w:pPr>
            <w:r w:rsidRPr="00C41EB8">
              <w:rPr>
                <w:noProof/>
                <w:sz w:val="20"/>
              </w:rPr>
              <w:t>2.Pasākumus nodarbinātības, atalgojuma un pensiju atšķirības starp dzimumiem novēršanai un darba un privātās dzīves līdzsvara veicināšanai, tostarp uzlabojot piekļuvi agrīnajai pirmsskolas izglītībai un aprūpei, un mērķus, ievērojot nacionālos darba tirgus modeļus un sociālo partneru autonomiju.</w:t>
            </w:r>
          </w:p>
        </w:tc>
        <w:tc>
          <w:tcPr>
            <w:tcW w:w="1134" w:type="dxa"/>
            <w:shd w:val="clear" w:color="auto" w:fill="D9D9D9" w:themeFill="background1" w:themeFillShade="D9"/>
          </w:tcPr>
          <w:p w14:paraId="288DEC50" w14:textId="77777777" w:rsidR="007545BD" w:rsidRPr="00C41EB8" w:rsidRDefault="007545BD" w:rsidP="00A73208">
            <w:pPr>
              <w:spacing w:before="0" w:after="0"/>
              <w:jc w:val="left"/>
              <w:rPr>
                <w:noProof/>
                <w:sz w:val="20"/>
              </w:rPr>
            </w:pPr>
            <w:r w:rsidRPr="00C41EB8">
              <w:rPr>
                <w:noProof/>
                <w:sz w:val="20"/>
              </w:rPr>
              <w:t>Nē</w:t>
            </w:r>
          </w:p>
        </w:tc>
        <w:tc>
          <w:tcPr>
            <w:tcW w:w="2410" w:type="dxa"/>
            <w:shd w:val="clear" w:color="auto" w:fill="D9D9D9" w:themeFill="background1" w:themeFillShade="D9"/>
          </w:tcPr>
          <w:p w14:paraId="67AF84AA" w14:textId="77777777" w:rsidR="007545BD" w:rsidRPr="00C41EB8" w:rsidRDefault="007545BD" w:rsidP="00A73208">
            <w:pPr>
              <w:spacing w:before="0" w:after="0"/>
              <w:jc w:val="left"/>
              <w:rPr>
                <w:noProof/>
                <w:sz w:val="20"/>
              </w:rPr>
            </w:pPr>
            <w:r w:rsidRPr="00C41EB8">
              <w:rPr>
                <w:noProof/>
                <w:sz w:val="20"/>
              </w:rPr>
              <w:t>2.kritērijs</w:t>
            </w:r>
          </w:p>
          <w:p w14:paraId="53815229" w14:textId="77777777" w:rsidR="007545BD" w:rsidRPr="00C41EB8" w:rsidRDefault="007545BD" w:rsidP="00A73208">
            <w:pPr>
              <w:spacing w:before="0" w:after="0"/>
              <w:jc w:val="left"/>
              <w:rPr>
                <w:noProof/>
                <w:sz w:val="20"/>
              </w:rPr>
            </w:pPr>
            <w:r w:rsidRPr="00C41EB8">
              <w:rPr>
                <w:noProof/>
                <w:sz w:val="20"/>
              </w:rPr>
              <w:t>Izglītības attīstības pamatnostādnes 2021.-2027.gadam</w:t>
            </w:r>
          </w:p>
          <w:p w14:paraId="2339D805" w14:textId="77777777" w:rsidR="007545BD" w:rsidRPr="00C41EB8" w:rsidRDefault="007545BD" w:rsidP="00A73208">
            <w:pPr>
              <w:spacing w:before="0" w:after="0"/>
              <w:jc w:val="left"/>
              <w:rPr>
                <w:noProof/>
                <w:sz w:val="20"/>
              </w:rPr>
            </w:pPr>
          </w:p>
          <w:p w14:paraId="7D210B95" w14:textId="77777777" w:rsidR="007545BD" w:rsidRPr="00C41EB8" w:rsidRDefault="007545BD" w:rsidP="00A73208">
            <w:pPr>
              <w:spacing w:before="0" w:after="0"/>
              <w:jc w:val="left"/>
              <w:rPr>
                <w:noProof/>
                <w:sz w:val="20"/>
              </w:rPr>
            </w:pPr>
          </w:p>
        </w:tc>
        <w:tc>
          <w:tcPr>
            <w:tcW w:w="3686" w:type="dxa"/>
            <w:shd w:val="clear" w:color="auto" w:fill="D9D9D9" w:themeFill="background1" w:themeFillShade="D9"/>
          </w:tcPr>
          <w:p w14:paraId="77C6562D" w14:textId="77777777" w:rsidR="007545BD" w:rsidRPr="00C41EB8" w:rsidRDefault="007545BD" w:rsidP="00A73208">
            <w:pPr>
              <w:spacing w:before="0" w:after="0"/>
              <w:rPr>
                <w:b/>
                <w:iCs/>
                <w:sz w:val="20"/>
              </w:rPr>
            </w:pPr>
            <w:r w:rsidRPr="00C41EB8">
              <w:rPr>
                <w:b/>
                <w:iCs/>
                <w:sz w:val="20"/>
              </w:rPr>
              <w:t>1. un 2.kritērijs</w:t>
            </w:r>
          </w:p>
          <w:p w14:paraId="0EE4F0B7" w14:textId="77777777" w:rsidR="007545BD" w:rsidRPr="00C41EB8" w:rsidRDefault="007545BD" w:rsidP="00A73208">
            <w:pPr>
              <w:spacing w:before="0" w:after="0"/>
              <w:rPr>
                <w:iCs/>
                <w:sz w:val="20"/>
              </w:rPr>
            </w:pPr>
            <w:r w:rsidRPr="00C41EB8">
              <w:rPr>
                <w:iCs/>
                <w:sz w:val="20"/>
              </w:rPr>
              <w:t xml:space="preserve">Izstrādāts </w:t>
            </w:r>
            <w:hyperlink r:id="rId121" w:history="1">
              <w:r w:rsidRPr="00C41EB8">
                <w:rPr>
                  <w:rStyle w:val="Hyperlink"/>
                  <w:iCs/>
                  <w:sz w:val="20"/>
                </w:rPr>
                <w:t>Sociālās aizsardzības un darba tirgus politikas pamatnostādņu 2021.-2027. gadam</w:t>
              </w:r>
            </w:hyperlink>
            <w:r w:rsidRPr="00C41EB8">
              <w:rPr>
                <w:iCs/>
                <w:sz w:val="20"/>
              </w:rPr>
              <w:t xml:space="preserve"> projekts</w:t>
            </w:r>
            <w:r w:rsidRPr="00C41EB8">
              <w:rPr>
                <w:rStyle w:val="FootnoteReference"/>
                <w:iCs/>
                <w:sz w:val="20"/>
              </w:rPr>
              <w:footnoteReference w:id="172"/>
            </w:r>
            <w:r w:rsidRPr="00C41EB8">
              <w:rPr>
                <w:iCs/>
                <w:sz w:val="20"/>
              </w:rPr>
              <w:t>, kurā kā viens no rīcības virzieniem plānots: Sociālās aizsardzības un darba tirgus politikas horizontālie jautājumi. Rīcības virziena ietvaros vidējā termiņā paredzēts īstenot mērķtiecīgus pasākumus dažādas jomās vīriešu un sieviešu vienlīdzīgu iespēju un tiesību sekmēšanai, savukārt ilgtermiņā panākt, ka jebkuras politikas plānošanā, īstenošanā un uzraudzībā iesaistītajiem ir izpratne par sieviešu un vīriešu vienlīdzīgām tiesībām un iespējām.</w:t>
            </w:r>
          </w:p>
          <w:p w14:paraId="7FF35366" w14:textId="77777777" w:rsidR="007545BD" w:rsidRPr="00C41EB8" w:rsidRDefault="007545BD" w:rsidP="00A73208">
            <w:pPr>
              <w:spacing w:before="0" w:after="0"/>
              <w:rPr>
                <w:iCs/>
                <w:sz w:val="20"/>
              </w:rPr>
            </w:pPr>
            <w:r w:rsidRPr="00C41EB8">
              <w:rPr>
                <w:iCs/>
                <w:sz w:val="20"/>
              </w:rPr>
              <w:t>Pamatnostādņu Rīcības virziena ieviešanai ir noteikts uzdevums - Nodrošināt sieviešu un vīriešu vienlīdzīgu tiesību un iespēju integrētās pieejas īstenošanu nozaru politiku plānošanā, īstenošanā un uzraudzībā, kā arī īstenot pasākumus dažādās politiku jomās sieviešu un vīriešu vienlīdzīgu tiesību un iespēju stiprināšanai.</w:t>
            </w:r>
          </w:p>
          <w:p w14:paraId="34D375BA" w14:textId="77777777" w:rsidR="007545BD" w:rsidRPr="00C41EB8" w:rsidRDefault="007545BD" w:rsidP="00A73208">
            <w:pPr>
              <w:spacing w:before="0" w:after="0"/>
              <w:rPr>
                <w:b/>
                <w:iCs/>
                <w:sz w:val="20"/>
              </w:rPr>
            </w:pPr>
          </w:p>
          <w:p w14:paraId="2F583C35" w14:textId="77777777" w:rsidR="007545BD" w:rsidRPr="00C41EB8" w:rsidRDefault="007545BD" w:rsidP="00A73208">
            <w:pPr>
              <w:spacing w:before="0" w:after="0"/>
              <w:rPr>
                <w:iCs/>
                <w:sz w:val="20"/>
              </w:rPr>
            </w:pPr>
            <w:r w:rsidRPr="00C41EB8">
              <w:rPr>
                <w:b/>
                <w:iCs/>
                <w:sz w:val="20"/>
              </w:rPr>
              <w:t>2.kritērijs</w:t>
            </w:r>
            <w:r w:rsidRPr="00C41EB8">
              <w:rPr>
                <w:iCs/>
                <w:sz w:val="20"/>
              </w:rPr>
              <w:t xml:space="preserve"> - Izglītības attīstības pamatnostādnes 2021.-2027.gadam - rīcības virziena 2.2. „Izglītības vides attīstība” uzdevums nr.2.2.1. „Stiprināt vispārējās izglītības iestāžu nodrošinājumu ar mūsdienīgas un kvalitatīvas izglītības īstenošanai nepieciešamajiem resursiem, mācību vidi un infrastruktūru” un</w:t>
            </w:r>
            <w:r w:rsidRPr="00C41EB8">
              <w:rPr>
                <w:i/>
                <w:iCs/>
                <w:sz w:val="20"/>
              </w:rPr>
              <w:t xml:space="preserve"> </w:t>
            </w:r>
            <w:r w:rsidRPr="00C41EB8">
              <w:rPr>
                <w:iCs/>
                <w:sz w:val="20"/>
              </w:rPr>
              <w:t>rīcības virziena 3.1. „Institucionāli risinājumi atbalsta nodrošināšanai ikviena izaugsmei” uzdevums nr.3.1.1. „Nodrošināt iekļaujošas izglītības pieeju visos izglītības līmeņos”.</w:t>
            </w:r>
          </w:p>
          <w:p w14:paraId="670A9CB6" w14:textId="77777777" w:rsidR="007545BD" w:rsidRPr="00C41EB8" w:rsidRDefault="007545BD" w:rsidP="00A73208">
            <w:pPr>
              <w:spacing w:before="0" w:after="0"/>
              <w:rPr>
                <w:iCs/>
                <w:sz w:val="20"/>
              </w:rPr>
            </w:pPr>
            <w:r w:rsidRPr="00C41EB8">
              <w:rPr>
                <w:iCs/>
                <w:sz w:val="20"/>
              </w:rPr>
              <w:t>Reģionālās politikas pamatnostādnēs 2021.-2027.gadam paredzēti atbalsta mehānismi, lai risinātu situāciju ar nepietiekamu pirmsskolas izglītības un bērnu pieskatīšanas pakalpojuma pieejamību.</w:t>
            </w:r>
          </w:p>
          <w:p w14:paraId="1D2ADBB2" w14:textId="77777777" w:rsidR="007545BD" w:rsidRPr="00C41EB8" w:rsidRDefault="007545BD" w:rsidP="00A73208">
            <w:pPr>
              <w:spacing w:before="0" w:after="0"/>
              <w:rPr>
                <w:rFonts w:eastAsia="Times New Roman"/>
                <w:iCs/>
                <w:noProof/>
                <w:sz w:val="20"/>
              </w:rPr>
            </w:pPr>
          </w:p>
        </w:tc>
      </w:tr>
      <w:tr w:rsidR="007545BD" w:rsidRPr="00C41EB8" w14:paraId="05495B58" w14:textId="77777777" w:rsidTr="00A73208">
        <w:tc>
          <w:tcPr>
            <w:tcW w:w="562" w:type="dxa"/>
            <w:shd w:val="clear" w:color="auto" w:fill="D9D9D9" w:themeFill="background1" w:themeFillShade="D9"/>
          </w:tcPr>
          <w:p w14:paraId="3F906E47"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D9D9D9" w:themeFill="background1" w:themeFillShade="D9"/>
          </w:tcPr>
          <w:p w14:paraId="22E369F8" w14:textId="77777777" w:rsidR="007545BD" w:rsidRPr="00C41EB8" w:rsidRDefault="007545BD" w:rsidP="00A73208">
            <w:pPr>
              <w:spacing w:before="0" w:after="0"/>
              <w:jc w:val="left"/>
              <w:rPr>
                <w:noProof/>
                <w:sz w:val="20"/>
              </w:rPr>
            </w:pPr>
          </w:p>
        </w:tc>
        <w:tc>
          <w:tcPr>
            <w:tcW w:w="851" w:type="dxa"/>
            <w:vMerge/>
            <w:shd w:val="clear" w:color="auto" w:fill="D9D9D9" w:themeFill="background1" w:themeFillShade="D9"/>
          </w:tcPr>
          <w:p w14:paraId="09651036" w14:textId="77777777" w:rsidR="007545BD" w:rsidRPr="00C41EB8" w:rsidRDefault="007545BD" w:rsidP="00A73208">
            <w:pPr>
              <w:spacing w:before="0" w:after="0"/>
              <w:jc w:val="left"/>
              <w:rPr>
                <w:rFonts w:eastAsia="Times New Roman"/>
                <w:iCs/>
                <w:noProof/>
                <w:sz w:val="20"/>
              </w:rPr>
            </w:pPr>
          </w:p>
        </w:tc>
        <w:tc>
          <w:tcPr>
            <w:tcW w:w="1134" w:type="dxa"/>
            <w:vMerge/>
            <w:shd w:val="clear" w:color="auto" w:fill="D9D9D9" w:themeFill="background1" w:themeFillShade="D9"/>
          </w:tcPr>
          <w:p w14:paraId="052B952D" w14:textId="77777777" w:rsidR="007545BD" w:rsidRPr="00C41EB8" w:rsidRDefault="007545BD" w:rsidP="00A73208">
            <w:pPr>
              <w:spacing w:before="0" w:after="0"/>
              <w:jc w:val="left"/>
              <w:rPr>
                <w:rFonts w:eastAsia="Times New Roman"/>
                <w:iCs/>
                <w:noProof/>
                <w:sz w:val="20"/>
              </w:rPr>
            </w:pPr>
          </w:p>
        </w:tc>
        <w:tc>
          <w:tcPr>
            <w:tcW w:w="850" w:type="dxa"/>
            <w:vMerge/>
            <w:shd w:val="clear" w:color="auto" w:fill="D9D9D9" w:themeFill="background1" w:themeFillShade="D9"/>
          </w:tcPr>
          <w:p w14:paraId="7406A39B" w14:textId="77777777" w:rsidR="007545BD" w:rsidRPr="00C41EB8" w:rsidRDefault="007545BD" w:rsidP="00A73208">
            <w:pPr>
              <w:spacing w:before="0" w:after="0"/>
              <w:jc w:val="left"/>
              <w:rPr>
                <w:rFonts w:eastAsia="Times New Roman"/>
                <w:iCs/>
                <w:noProof/>
                <w:sz w:val="20"/>
              </w:rPr>
            </w:pPr>
          </w:p>
        </w:tc>
        <w:tc>
          <w:tcPr>
            <w:tcW w:w="2410" w:type="dxa"/>
            <w:shd w:val="clear" w:color="auto" w:fill="D9D9D9" w:themeFill="background1" w:themeFillShade="D9"/>
          </w:tcPr>
          <w:p w14:paraId="3DBF5D5B" w14:textId="77777777" w:rsidR="007545BD" w:rsidRPr="00C41EB8" w:rsidRDefault="007545BD" w:rsidP="00A73208">
            <w:pPr>
              <w:spacing w:before="0" w:after="0"/>
              <w:ind w:left="3"/>
              <w:jc w:val="left"/>
              <w:rPr>
                <w:noProof/>
                <w:sz w:val="20"/>
              </w:rPr>
            </w:pPr>
            <w:r w:rsidRPr="00C41EB8">
              <w:rPr>
                <w:noProof/>
                <w:sz w:val="20"/>
              </w:rPr>
              <w:t>3.Stratēģiskās politikas satvara un datu vākšanas metožu, kas balstītas uz datiem sadalījumā pa dzimumiem, uzraudzības, novērtēšanas un pārskatīšanas kārtību.</w:t>
            </w:r>
          </w:p>
        </w:tc>
        <w:tc>
          <w:tcPr>
            <w:tcW w:w="1134" w:type="dxa"/>
            <w:shd w:val="clear" w:color="auto" w:fill="D9D9D9" w:themeFill="background1" w:themeFillShade="D9"/>
          </w:tcPr>
          <w:p w14:paraId="716D4333" w14:textId="77777777" w:rsidR="007545BD" w:rsidRPr="004329A4" w:rsidRDefault="007545BD" w:rsidP="00A73208">
            <w:pPr>
              <w:spacing w:before="0" w:after="0"/>
              <w:jc w:val="left"/>
              <w:rPr>
                <w:b/>
                <w:bCs/>
                <w:noProof/>
                <w:sz w:val="20"/>
              </w:rPr>
            </w:pPr>
            <w:r w:rsidRPr="004329A4">
              <w:rPr>
                <w:b/>
                <w:bCs/>
                <w:noProof/>
                <w:sz w:val="20"/>
              </w:rPr>
              <w:t>Jā</w:t>
            </w:r>
          </w:p>
        </w:tc>
        <w:tc>
          <w:tcPr>
            <w:tcW w:w="2410" w:type="dxa"/>
            <w:shd w:val="clear" w:color="auto" w:fill="D9D9D9" w:themeFill="background1" w:themeFillShade="D9"/>
          </w:tcPr>
          <w:p w14:paraId="07B7DEE3" w14:textId="77777777" w:rsidR="007545BD" w:rsidRPr="00C41EB8" w:rsidRDefault="007545BD" w:rsidP="00A73208">
            <w:pPr>
              <w:spacing w:before="0" w:after="0"/>
              <w:jc w:val="left"/>
              <w:rPr>
                <w:noProof/>
                <w:sz w:val="20"/>
              </w:rPr>
            </w:pPr>
            <w:r w:rsidRPr="00C41EB8">
              <w:rPr>
                <w:noProof/>
                <w:sz w:val="20"/>
              </w:rPr>
              <w:t>3.kritērijs</w:t>
            </w:r>
          </w:p>
          <w:p w14:paraId="33EE588C" w14:textId="77777777" w:rsidR="007545BD" w:rsidRPr="00C41EB8" w:rsidRDefault="007545BD" w:rsidP="00A73208">
            <w:pPr>
              <w:spacing w:before="0" w:after="0"/>
              <w:jc w:val="left"/>
              <w:rPr>
                <w:noProof/>
                <w:sz w:val="20"/>
              </w:rPr>
            </w:pPr>
            <w:r w:rsidRPr="00C41EB8">
              <w:rPr>
                <w:noProof/>
                <w:sz w:val="20"/>
              </w:rPr>
              <w:t xml:space="preserve">Dzimumu līdztiesības rādītāji saskaņā ar LM un CSP vienošanos regulāri tiek apkopoti un publicēti CSP mājas lapā; </w:t>
            </w:r>
          </w:p>
          <w:p w14:paraId="59C7C188" w14:textId="77777777" w:rsidR="007545BD" w:rsidRPr="00C41EB8" w:rsidRDefault="007545BD" w:rsidP="00A73208">
            <w:pPr>
              <w:spacing w:before="0" w:after="0"/>
              <w:jc w:val="left"/>
              <w:rPr>
                <w:noProof/>
                <w:sz w:val="20"/>
              </w:rPr>
            </w:pPr>
            <w:r w:rsidRPr="00C41EB8">
              <w:rPr>
                <w:noProof/>
                <w:sz w:val="20"/>
              </w:rPr>
              <w:t>Ministru kabineta 10.04.2018. instrukcija nr.2 “Instrukcija par valsts budžeta izpildes analīzi”</w:t>
            </w:r>
          </w:p>
        </w:tc>
        <w:tc>
          <w:tcPr>
            <w:tcW w:w="3686" w:type="dxa"/>
            <w:shd w:val="clear" w:color="auto" w:fill="D9D9D9" w:themeFill="background1" w:themeFillShade="D9"/>
          </w:tcPr>
          <w:p w14:paraId="5F5873F8" w14:textId="77777777" w:rsidR="007545BD" w:rsidRPr="00C41EB8" w:rsidRDefault="007545BD" w:rsidP="00A73208">
            <w:pPr>
              <w:spacing w:before="0" w:after="0"/>
              <w:rPr>
                <w:b/>
                <w:iCs/>
                <w:sz w:val="20"/>
              </w:rPr>
            </w:pPr>
            <w:r w:rsidRPr="00C41EB8">
              <w:rPr>
                <w:b/>
                <w:iCs/>
                <w:sz w:val="20"/>
              </w:rPr>
              <w:t>2. un 3.kritērijs</w:t>
            </w:r>
          </w:p>
          <w:p w14:paraId="5F65CAB5" w14:textId="77777777" w:rsidR="007545BD" w:rsidRPr="00C41EB8" w:rsidRDefault="007545BD" w:rsidP="00A73208">
            <w:pPr>
              <w:spacing w:before="0" w:after="0"/>
              <w:rPr>
                <w:iCs/>
                <w:sz w:val="20"/>
              </w:rPr>
            </w:pPr>
            <w:r w:rsidRPr="00C41EB8">
              <w:rPr>
                <w:iCs/>
                <w:sz w:val="20"/>
              </w:rPr>
              <w:t xml:space="preserve">Pasākuma īstenošanai ir izstrādāts Plāns Sieviešu un vīriešu vienlīdzīgu tiesību un iespēju veicināšanai 2021.-2023.gadam. Plāna ietvaros tiks īstenoti pasākumi, kas vērsti uz dzimumu stereotipu un aizspriedumu mazināšanu darba tirgū un izglītībā, t.sk., veicinot darba un privātās dzīves saskaņošanas iespēju nodrošināšanu, darba samaksas atšķirību novēršanu, darba tirgus segregācijas mazināšanu, darba devēju izpratni par dažādības vadību uzņēmumu vadībā, tāpat plānā tiks īstenoti pasākumi, kas vērsti uz politikas veidošanā iesaistīto institūciju kapacitātes stiprināšanu par dzimumu līdztiesības jautājumiem un dzimumu līdztiesības integrētās pieejas īstenošanu nozaru politikās, kā arī ar dzimumu saistības vardarbības novēršanu </w:t>
            </w:r>
          </w:p>
          <w:p w14:paraId="5F1E64E2" w14:textId="77777777" w:rsidR="007545BD" w:rsidRPr="00C41EB8" w:rsidRDefault="007545BD" w:rsidP="00A73208">
            <w:pPr>
              <w:spacing w:before="0" w:after="0"/>
              <w:rPr>
                <w:iCs/>
                <w:sz w:val="20"/>
              </w:rPr>
            </w:pPr>
            <w:r w:rsidRPr="00C41EB8">
              <w:rPr>
                <w:iCs/>
                <w:sz w:val="20"/>
              </w:rPr>
              <w:t>Sociālās aizsardzības un darba tirgus politikas pamatnostādņu 2021.-2027. gadam 2.pielikums ietver situācijas aprakstu, kurā katrā no jomām identificēti izaicinājumi un problēmas, tostarp vērtējot vienlīdzīgu iespēju aspektus. Identificētās problēmas balstās faktos un pierādījumos un tiek tālāk izvērtas Plāna Sieviešu un vīriešu vienlīdzīgu tiesību un iespēju veicināšanai 2021.-2023.gadam projektā.</w:t>
            </w:r>
          </w:p>
          <w:p w14:paraId="2C1117DB" w14:textId="77777777" w:rsidR="007545BD" w:rsidRPr="00C41EB8" w:rsidRDefault="007545BD" w:rsidP="00A73208">
            <w:pPr>
              <w:spacing w:before="0" w:after="0"/>
              <w:rPr>
                <w:iCs/>
                <w:sz w:val="20"/>
              </w:rPr>
            </w:pPr>
            <w:r w:rsidRPr="00C41EB8">
              <w:rPr>
                <w:iCs/>
                <w:sz w:val="20"/>
              </w:rPr>
              <w:t>Bērnu, jaunatnes un ģimenes attīstības pamatnostādņu 2021.-2027.gadam izvirzītajos rīcības virzienos plānots uzlabot pirmsskolas izglītības un bērnu pieskatīšanas pakalpojuma pieejamību, sadarbībā ar Latvijas pašvaldību savienību, pašvaldībām un Izglītības un zinātnes ministriju izstrādāt rīcības programmu bērnudārzu rindu problemātikas risināšanai</w:t>
            </w:r>
          </w:p>
          <w:p w14:paraId="26CCF9A9" w14:textId="77777777" w:rsidR="007545BD" w:rsidRPr="00C41EB8" w:rsidRDefault="007545BD" w:rsidP="00A73208">
            <w:pPr>
              <w:spacing w:before="0" w:after="0"/>
              <w:rPr>
                <w:b/>
                <w:iCs/>
                <w:sz w:val="20"/>
              </w:rPr>
            </w:pPr>
          </w:p>
          <w:p w14:paraId="20929EB7" w14:textId="77777777" w:rsidR="007545BD" w:rsidRPr="00C41EB8" w:rsidRDefault="007545BD" w:rsidP="00A73208">
            <w:pPr>
              <w:spacing w:before="0" w:after="0"/>
              <w:rPr>
                <w:b/>
                <w:iCs/>
                <w:sz w:val="20"/>
              </w:rPr>
            </w:pPr>
            <w:r w:rsidRPr="00C41EB8">
              <w:rPr>
                <w:b/>
                <w:iCs/>
                <w:sz w:val="20"/>
              </w:rPr>
              <w:t>3.kritērijs</w:t>
            </w:r>
          </w:p>
          <w:p w14:paraId="33DF8F8C" w14:textId="77777777" w:rsidR="007545BD" w:rsidRPr="00C41EB8" w:rsidRDefault="009A507A" w:rsidP="00A73208">
            <w:pPr>
              <w:spacing w:before="0" w:after="0"/>
              <w:rPr>
                <w:iCs/>
                <w:sz w:val="20"/>
              </w:rPr>
            </w:pPr>
            <w:hyperlink r:id="rId122" w:history="1">
              <w:r w:rsidR="007545BD" w:rsidRPr="00C41EB8">
                <w:rPr>
                  <w:rStyle w:val="Hyperlink"/>
                  <w:iCs/>
                  <w:sz w:val="20"/>
                </w:rPr>
                <w:t>Dzimumu līdztiesības rādītāji saskaņā ar LM un CSP vienošanos regulāri tiek apkopoti un publicēti CSP mājaslapā</w:t>
              </w:r>
            </w:hyperlink>
          </w:p>
          <w:p w14:paraId="2292C920" w14:textId="77777777" w:rsidR="007545BD" w:rsidRPr="00C41EB8" w:rsidRDefault="009A507A" w:rsidP="00A73208">
            <w:pPr>
              <w:spacing w:before="0" w:after="0"/>
              <w:rPr>
                <w:iCs/>
                <w:sz w:val="20"/>
              </w:rPr>
            </w:pPr>
            <w:hyperlink r:id="rId123" w:history="1">
              <w:r w:rsidR="007545BD" w:rsidRPr="00C41EB8">
                <w:rPr>
                  <w:rStyle w:val="Hyperlink"/>
                  <w:iCs/>
                  <w:sz w:val="20"/>
                </w:rPr>
                <w:t>Ministru kabineta 10.04.2018. instrukcija nr.2 “Instrukcija par valsts budžeta izpildes analīzi</w:t>
              </w:r>
            </w:hyperlink>
            <w:r w:rsidR="007545BD" w:rsidRPr="00C41EB8">
              <w:rPr>
                <w:iCs/>
                <w:sz w:val="20"/>
              </w:rPr>
              <w:t>”</w:t>
            </w:r>
          </w:p>
          <w:p w14:paraId="743A8D3D" w14:textId="77777777" w:rsidR="007545BD" w:rsidRPr="00C41EB8" w:rsidRDefault="007545BD" w:rsidP="00A73208">
            <w:pPr>
              <w:spacing w:before="0" w:after="0"/>
              <w:rPr>
                <w:rFonts w:eastAsia="Times New Roman"/>
                <w:iCs/>
                <w:noProof/>
                <w:sz w:val="20"/>
              </w:rPr>
            </w:pPr>
          </w:p>
        </w:tc>
      </w:tr>
      <w:tr w:rsidR="007545BD" w:rsidRPr="00C41EB8" w14:paraId="2F87ED24" w14:textId="77777777" w:rsidTr="00A73208">
        <w:tc>
          <w:tcPr>
            <w:tcW w:w="562" w:type="dxa"/>
            <w:shd w:val="clear" w:color="auto" w:fill="D9D9D9" w:themeFill="background1" w:themeFillShade="D9"/>
          </w:tcPr>
          <w:p w14:paraId="6A41EDF2"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D9D9D9" w:themeFill="background1" w:themeFillShade="D9"/>
          </w:tcPr>
          <w:p w14:paraId="7E5258D8" w14:textId="77777777" w:rsidR="007545BD" w:rsidRPr="00C41EB8" w:rsidRDefault="007545BD" w:rsidP="00A73208">
            <w:pPr>
              <w:spacing w:before="0" w:after="0"/>
              <w:jc w:val="left"/>
              <w:rPr>
                <w:noProof/>
                <w:sz w:val="20"/>
              </w:rPr>
            </w:pPr>
          </w:p>
        </w:tc>
        <w:tc>
          <w:tcPr>
            <w:tcW w:w="851" w:type="dxa"/>
            <w:vMerge/>
            <w:shd w:val="clear" w:color="auto" w:fill="D9D9D9" w:themeFill="background1" w:themeFillShade="D9"/>
          </w:tcPr>
          <w:p w14:paraId="382740F1" w14:textId="77777777" w:rsidR="007545BD" w:rsidRPr="00C41EB8" w:rsidRDefault="007545BD" w:rsidP="00A73208">
            <w:pPr>
              <w:spacing w:before="0" w:after="0"/>
              <w:jc w:val="left"/>
              <w:rPr>
                <w:rFonts w:eastAsia="Times New Roman"/>
                <w:iCs/>
                <w:noProof/>
                <w:sz w:val="20"/>
              </w:rPr>
            </w:pPr>
          </w:p>
        </w:tc>
        <w:tc>
          <w:tcPr>
            <w:tcW w:w="1134" w:type="dxa"/>
            <w:vMerge/>
            <w:shd w:val="clear" w:color="auto" w:fill="D9D9D9" w:themeFill="background1" w:themeFillShade="D9"/>
          </w:tcPr>
          <w:p w14:paraId="54F33BBC" w14:textId="77777777" w:rsidR="007545BD" w:rsidRPr="00C41EB8" w:rsidRDefault="007545BD" w:rsidP="00A73208">
            <w:pPr>
              <w:spacing w:before="0" w:after="0"/>
              <w:jc w:val="left"/>
              <w:rPr>
                <w:rFonts w:eastAsia="Times New Roman"/>
                <w:iCs/>
                <w:noProof/>
                <w:sz w:val="20"/>
              </w:rPr>
            </w:pPr>
          </w:p>
        </w:tc>
        <w:tc>
          <w:tcPr>
            <w:tcW w:w="850" w:type="dxa"/>
            <w:vMerge/>
            <w:shd w:val="clear" w:color="auto" w:fill="D9D9D9" w:themeFill="background1" w:themeFillShade="D9"/>
          </w:tcPr>
          <w:p w14:paraId="12478181" w14:textId="77777777" w:rsidR="007545BD" w:rsidRPr="00C41EB8" w:rsidRDefault="007545BD" w:rsidP="00A73208">
            <w:pPr>
              <w:spacing w:before="0" w:after="0"/>
              <w:jc w:val="left"/>
              <w:rPr>
                <w:rFonts w:eastAsia="Times New Roman"/>
                <w:iCs/>
                <w:noProof/>
                <w:sz w:val="20"/>
              </w:rPr>
            </w:pPr>
          </w:p>
        </w:tc>
        <w:tc>
          <w:tcPr>
            <w:tcW w:w="2410" w:type="dxa"/>
            <w:shd w:val="clear" w:color="auto" w:fill="D9D9D9" w:themeFill="background1" w:themeFillShade="D9"/>
          </w:tcPr>
          <w:p w14:paraId="5C3FDC0C" w14:textId="77777777" w:rsidR="007545BD" w:rsidRPr="00C41EB8" w:rsidRDefault="007545BD" w:rsidP="00A73208">
            <w:pPr>
              <w:spacing w:before="0" w:after="0"/>
              <w:ind w:left="3"/>
              <w:jc w:val="left"/>
              <w:rPr>
                <w:noProof/>
                <w:sz w:val="20"/>
              </w:rPr>
            </w:pPr>
            <w:r w:rsidRPr="00C41EB8">
              <w:rPr>
                <w:noProof/>
                <w:sz w:val="20"/>
              </w:rPr>
              <w:t>4.Kārtību, kādā nodrošina, ka tā izstrādi, īstenošanu, uzraudzību un pārskatīšanu veic ciešā sadarbībā ar līdztiesības struktūrām, sociālajiem partneriem un attiecīgajām pilsoniskās sabiedrības organizācijām.</w:t>
            </w:r>
          </w:p>
        </w:tc>
        <w:tc>
          <w:tcPr>
            <w:tcW w:w="1134" w:type="dxa"/>
            <w:shd w:val="clear" w:color="auto" w:fill="D9D9D9" w:themeFill="background1" w:themeFillShade="D9"/>
          </w:tcPr>
          <w:p w14:paraId="18E99C51" w14:textId="77777777" w:rsidR="007545BD" w:rsidRPr="004329A4" w:rsidRDefault="007545BD" w:rsidP="00A73208">
            <w:pPr>
              <w:spacing w:before="0" w:after="0"/>
              <w:jc w:val="left"/>
              <w:rPr>
                <w:b/>
                <w:bCs/>
                <w:noProof/>
                <w:sz w:val="20"/>
              </w:rPr>
            </w:pPr>
            <w:r w:rsidRPr="004329A4">
              <w:rPr>
                <w:b/>
                <w:bCs/>
                <w:noProof/>
                <w:sz w:val="20"/>
              </w:rPr>
              <w:t>Jā</w:t>
            </w:r>
          </w:p>
        </w:tc>
        <w:tc>
          <w:tcPr>
            <w:tcW w:w="2410" w:type="dxa"/>
            <w:shd w:val="clear" w:color="auto" w:fill="D9D9D9" w:themeFill="background1" w:themeFillShade="D9"/>
          </w:tcPr>
          <w:p w14:paraId="551E8EBD" w14:textId="77777777" w:rsidR="007545BD" w:rsidRPr="00C41EB8" w:rsidRDefault="007545BD" w:rsidP="00A73208">
            <w:pPr>
              <w:spacing w:before="0" w:after="0"/>
              <w:jc w:val="left"/>
              <w:rPr>
                <w:noProof/>
                <w:sz w:val="20"/>
              </w:rPr>
            </w:pPr>
            <w:r w:rsidRPr="00C41EB8">
              <w:rPr>
                <w:noProof/>
                <w:sz w:val="20"/>
              </w:rPr>
              <w:t xml:space="preserve">4.kritērija izpilde: </w:t>
            </w:r>
          </w:p>
          <w:p w14:paraId="1056D529" w14:textId="77777777" w:rsidR="007545BD" w:rsidRPr="00C41EB8" w:rsidRDefault="007545BD" w:rsidP="00A73208">
            <w:pPr>
              <w:spacing w:before="0" w:after="0"/>
              <w:jc w:val="left"/>
              <w:rPr>
                <w:noProof/>
                <w:sz w:val="20"/>
              </w:rPr>
            </w:pPr>
          </w:p>
          <w:p w14:paraId="6E3C39F8" w14:textId="77777777" w:rsidR="007545BD" w:rsidRPr="00C41EB8" w:rsidRDefault="007545BD" w:rsidP="00A73208">
            <w:pPr>
              <w:spacing w:before="0" w:after="0"/>
              <w:jc w:val="left"/>
              <w:rPr>
                <w:noProof/>
                <w:sz w:val="20"/>
              </w:rPr>
            </w:pPr>
            <w:r w:rsidRPr="00C41EB8">
              <w:rPr>
                <w:noProof/>
                <w:sz w:val="20"/>
              </w:rPr>
              <w:t>LM 10.05.2010. rīkojums nr.48 “Par Dzimumu līdztiesības komitejas izveidi” (pēdējie grozījumi – LM 21.03.2019. rīkojums nr.30); Dzimumu līdztiesības komitejas nolikums, apstiprināts 02.06.2010. komitejas sanāksmē (pēdējie grozījumi – apstiprināti 17.12.2018. komitejas sanāksmē).</w:t>
            </w:r>
          </w:p>
        </w:tc>
        <w:tc>
          <w:tcPr>
            <w:tcW w:w="3686" w:type="dxa"/>
            <w:shd w:val="clear" w:color="auto" w:fill="D9D9D9" w:themeFill="background1" w:themeFillShade="D9"/>
          </w:tcPr>
          <w:p w14:paraId="1788C227" w14:textId="77777777" w:rsidR="007545BD" w:rsidRPr="00C41EB8" w:rsidRDefault="007545BD" w:rsidP="00A73208">
            <w:pPr>
              <w:spacing w:before="0" w:after="0"/>
              <w:rPr>
                <w:b/>
                <w:iCs/>
                <w:sz w:val="20"/>
              </w:rPr>
            </w:pPr>
            <w:r w:rsidRPr="00C41EB8">
              <w:rPr>
                <w:b/>
                <w:iCs/>
                <w:sz w:val="20"/>
              </w:rPr>
              <w:t>4.kritērijs</w:t>
            </w:r>
          </w:p>
          <w:p w14:paraId="748D0ABC" w14:textId="77777777" w:rsidR="007545BD" w:rsidRPr="00C41EB8" w:rsidRDefault="009A507A" w:rsidP="00A73208">
            <w:pPr>
              <w:spacing w:before="0" w:after="0"/>
              <w:rPr>
                <w:iCs/>
                <w:sz w:val="20"/>
              </w:rPr>
            </w:pPr>
            <w:hyperlink r:id="rId124" w:history="1">
              <w:r w:rsidR="007545BD" w:rsidRPr="00C41EB8">
                <w:rPr>
                  <w:rStyle w:val="Hyperlink"/>
                  <w:iCs/>
                  <w:sz w:val="20"/>
                </w:rPr>
                <w:t xml:space="preserve">LM 10.05.2010. rīkojums </w:t>
              </w:r>
              <w:r w:rsidR="007545BD">
                <w:rPr>
                  <w:rStyle w:val="Hyperlink"/>
                  <w:iCs/>
                  <w:sz w:val="20"/>
                </w:rPr>
                <w:t>N</w:t>
              </w:r>
              <w:r w:rsidR="007545BD" w:rsidRPr="00C41EB8">
                <w:rPr>
                  <w:rStyle w:val="Hyperlink"/>
                  <w:iCs/>
                  <w:sz w:val="20"/>
                </w:rPr>
                <w:t>r.48 “Par Dzimumu līdztiesības komitejas izveidi” (pēdējie grozījumi – LM 21.03.2019. rīkojums nr.30)</w:t>
              </w:r>
            </w:hyperlink>
          </w:p>
          <w:p w14:paraId="61E1D3D1" w14:textId="77777777" w:rsidR="007545BD" w:rsidRPr="00C41EB8" w:rsidRDefault="009A507A" w:rsidP="00A73208">
            <w:pPr>
              <w:spacing w:before="0" w:after="0"/>
              <w:rPr>
                <w:rFonts w:eastAsia="Times New Roman"/>
                <w:iCs/>
                <w:noProof/>
                <w:sz w:val="20"/>
              </w:rPr>
            </w:pPr>
            <w:hyperlink r:id="rId125" w:history="1">
              <w:r w:rsidR="007545BD" w:rsidRPr="00C41EB8">
                <w:rPr>
                  <w:rStyle w:val="Hyperlink"/>
                  <w:iCs/>
                  <w:sz w:val="20"/>
                </w:rPr>
                <w:t>Dzimumu līdztiesības komitejas nolikums, apstiprināts 02.06.2010. komitejas sanāksmē</w:t>
              </w:r>
            </w:hyperlink>
            <w:r w:rsidR="007545BD" w:rsidRPr="00C41EB8">
              <w:rPr>
                <w:iCs/>
                <w:sz w:val="20"/>
              </w:rPr>
              <w:t xml:space="preserve"> (pēdējie grozījumi – apstiprināti 17.12.2018. komitejas sanāksmē).</w:t>
            </w:r>
          </w:p>
        </w:tc>
      </w:tr>
      <w:tr w:rsidR="007545BD" w:rsidRPr="00C41EB8" w14:paraId="6A1DE883" w14:textId="77777777" w:rsidTr="00A73208">
        <w:trPr>
          <w:trHeight w:val="2460"/>
        </w:trPr>
        <w:tc>
          <w:tcPr>
            <w:tcW w:w="562" w:type="dxa"/>
          </w:tcPr>
          <w:p w14:paraId="0CA14D5B"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val="restart"/>
          </w:tcPr>
          <w:p w14:paraId="23215648" w14:textId="77777777" w:rsidR="007545BD" w:rsidRPr="00C41EB8" w:rsidRDefault="007545BD" w:rsidP="00A73208">
            <w:pPr>
              <w:spacing w:before="0" w:after="0"/>
              <w:jc w:val="left"/>
              <w:rPr>
                <w:noProof/>
                <w:sz w:val="20"/>
              </w:rPr>
            </w:pPr>
            <w:r w:rsidRPr="00C41EB8">
              <w:rPr>
                <w:noProof/>
                <w:sz w:val="20"/>
              </w:rPr>
              <w:t>Tematiskais</w:t>
            </w:r>
          </w:p>
          <w:p w14:paraId="50F7C0CD" w14:textId="77777777" w:rsidR="007545BD" w:rsidRPr="00C41EB8" w:rsidRDefault="007545BD" w:rsidP="00A73208">
            <w:pPr>
              <w:spacing w:before="0" w:after="0"/>
              <w:jc w:val="left"/>
              <w:rPr>
                <w:noProof/>
                <w:sz w:val="20"/>
              </w:rPr>
            </w:pPr>
            <w:r w:rsidRPr="00C41EB8">
              <w:rPr>
                <w:noProof/>
                <w:sz w:val="20"/>
              </w:rPr>
              <w:t>priekšnosacījums Nr.12</w:t>
            </w:r>
          </w:p>
          <w:p w14:paraId="4BAC5E99" w14:textId="77777777" w:rsidR="007545BD" w:rsidRPr="00C41EB8" w:rsidRDefault="007545BD" w:rsidP="00A73208">
            <w:pPr>
              <w:spacing w:before="0" w:after="0"/>
              <w:jc w:val="left"/>
              <w:rPr>
                <w:noProof/>
                <w:sz w:val="20"/>
              </w:rPr>
            </w:pPr>
            <w:r w:rsidRPr="00C41EB8">
              <w:rPr>
                <w:noProof/>
                <w:sz w:val="20"/>
              </w:rPr>
              <w:t xml:space="preserve">Stratēģiskās politikas satvars </w:t>
            </w:r>
            <w:r w:rsidRPr="00C41EB8">
              <w:rPr>
                <w:b/>
                <w:bCs/>
                <w:noProof/>
                <w:sz w:val="20"/>
              </w:rPr>
              <w:t>izglītībai un mācībām</w:t>
            </w:r>
            <w:r w:rsidRPr="00C41EB8">
              <w:rPr>
                <w:noProof/>
                <w:sz w:val="20"/>
              </w:rPr>
              <w:t xml:space="preserve"> visos līmeņos.</w:t>
            </w:r>
          </w:p>
        </w:tc>
        <w:tc>
          <w:tcPr>
            <w:tcW w:w="851" w:type="dxa"/>
            <w:vMerge w:val="restart"/>
          </w:tcPr>
          <w:p w14:paraId="2EB60387"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ERAF, ESF+</w:t>
            </w:r>
          </w:p>
        </w:tc>
        <w:tc>
          <w:tcPr>
            <w:tcW w:w="1134" w:type="dxa"/>
            <w:vMerge w:val="restart"/>
          </w:tcPr>
          <w:p w14:paraId="17B213C2"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4.2.1.SAM</w:t>
            </w:r>
          </w:p>
          <w:p w14:paraId="25ACB86B"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4.2.2.SAM 4.2.3.SAM 4.2.4.SAM</w:t>
            </w:r>
          </w:p>
        </w:tc>
        <w:tc>
          <w:tcPr>
            <w:tcW w:w="850" w:type="dxa"/>
            <w:vMerge w:val="restart"/>
          </w:tcPr>
          <w:p w14:paraId="6E2BAA86"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Nē</w:t>
            </w:r>
          </w:p>
        </w:tc>
        <w:tc>
          <w:tcPr>
            <w:tcW w:w="2410" w:type="dxa"/>
          </w:tcPr>
          <w:p w14:paraId="1C39C5BA" w14:textId="77777777" w:rsidR="007545BD" w:rsidRPr="00C41EB8" w:rsidRDefault="007545BD" w:rsidP="00A73208">
            <w:pPr>
              <w:spacing w:before="0" w:after="0"/>
              <w:ind w:left="3"/>
              <w:jc w:val="left"/>
              <w:rPr>
                <w:noProof/>
                <w:sz w:val="20"/>
              </w:rPr>
            </w:pPr>
            <w:r w:rsidRPr="00C41EB8">
              <w:rPr>
                <w:noProof/>
                <w:sz w:val="20"/>
              </w:rPr>
              <w:t xml:space="preserve">Ir sagatavots valsts vai reģionāls stratēģiskās politikas satvars izglītības un mācību sistēmai, un tas ietver: </w:t>
            </w:r>
          </w:p>
          <w:p w14:paraId="6F632B89" w14:textId="77777777" w:rsidR="007545BD" w:rsidRPr="00C41EB8" w:rsidRDefault="007545BD" w:rsidP="00A73208">
            <w:pPr>
              <w:spacing w:before="0" w:after="0"/>
              <w:ind w:left="171" w:hanging="171"/>
              <w:jc w:val="left"/>
              <w:rPr>
                <w:noProof/>
                <w:sz w:val="20"/>
              </w:rPr>
            </w:pPr>
            <w:r w:rsidRPr="00C41EB8">
              <w:rPr>
                <w:noProof/>
                <w:sz w:val="20"/>
              </w:rPr>
              <w:t>1.</w:t>
            </w:r>
            <w:r w:rsidRPr="00C41EB8">
              <w:rPr>
                <w:noProof/>
                <w:sz w:val="20"/>
              </w:rPr>
              <w:tab/>
              <w:t>Uz pierādījumiem balstītas prasmju prognozēšanas sistēmas,</w:t>
            </w:r>
          </w:p>
          <w:p w14:paraId="4A8A2519" w14:textId="77777777" w:rsidR="007545BD" w:rsidRPr="00C41EB8" w:rsidRDefault="007545BD" w:rsidP="00A73208">
            <w:pPr>
              <w:spacing w:before="0" w:after="0"/>
              <w:ind w:left="171" w:hanging="171"/>
              <w:jc w:val="left"/>
              <w:rPr>
                <w:noProof/>
                <w:sz w:val="20"/>
              </w:rPr>
            </w:pPr>
          </w:p>
        </w:tc>
        <w:tc>
          <w:tcPr>
            <w:tcW w:w="1134" w:type="dxa"/>
          </w:tcPr>
          <w:p w14:paraId="30BE1383" w14:textId="77777777" w:rsidR="007545BD" w:rsidRPr="004329A4" w:rsidRDefault="007545BD" w:rsidP="00A73208">
            <w:pPr>
              <w:spacing w:before="0" w:after="0"/>
              <w:jc w:val="left"/>
              <w:rPr>
                <w:b/>
                <w:bCs/>
                <w:noProof/>
                <w:sz w:val="20"/>
              </w:rPr>
            </w:pPr>
            <w:r w:rsidRPr="004329A4">
              <w:rPr>
                <w:b/>
                <w:bCs/>
                <w:noProof/>
                <w:sz w:val="20"/>
              </w:rPr>
              <w:t>Jā</w:t>
            </w:r>
          </w:p>
        </w:tc>
        <w:tc>
          <w:tcPr>
            <w:tcW w:w="2410" w:type="dxa"/>
          </w:tcPr>
          <w:p w14:paraId="06FF63DB" w14:textId="77777777" w:rsidR="007545BD" w:rsidRPr="00C41EB8" w:rsidRDefault="007545BD" w:rsidP="00A73208">
            <w:pPr>
              <w:spacing w:before="0" w:after="0"/>
              <w:jc w:val="left"/>
              <w:rPr>
                <w:noProof/>
                <w:sz w:val="20"/>
              </w:rPr>
            </w:pPr>
            <w:r w:rsidRPr="00C41EB8">
              <w:rPr>
                <w:noProof/>
                <w:sz w:val="20"/>
              </w:rPr>
              <w:t>Augstskolu likums, MK 27.03.2007. noteikumi Nr.203 “Studējošā personas lietas noformēšanas un aktualizēšanas kārtība”, MK 26.06.2019. noteikumi Nr.276 “Valsts izglītības informācijas sistēmas noteikumi”</w:t>
            </w:r>
          </w:p>
        </w:tc>
        <w:tc>
          <w:tcPr>
            <w:tcW w:w="3686" w:type="dxa"/>
          </w:tcPr>
          <w:p w14:paraId="0EA6852E" w14:textId="77777777" w:rsidR="007545BD" w:rsidRPr="00763D23" w:rsidRDefault="007545BD" w:rsidP="00A73208">
            <w:pPr>
              <w:spacing w:before="0" w:after="0"/>
              <w:rPr>
                <w:rFonts w:eastAsia="Times New Roman"/>
                <w:b/>
                <w:bCs/>
                <w:iCs/>
                <w:noProof/>
                <w:sz w:val="20"/>
              </w:rPr>
            </w:pPr>
            <w:r w:rsidRPr="00763D23">
              <w:rPr>
                <w:rFonts w:eastAsia="Times New Roman"/>
                <w:b/>
                <w:bCs/>
                <w:iCs/>
                <w:noProof/>
                <w:sz w:val="20"/>
              </w:rPr>
              <w:t>1.kritērijs</w:t>
            </w:r>
          </w:p>
          <w:p w14:paraId="254FE72A" w14:textId="77777777" w:rsidR="007545BD" w:rsidRPr="00C41EB8" w:rsidRDefault="007545BD" w:rsidP="00A73208">
            <w:pPr>
              <w:spacing w:before="0" w:after="0"/>
              <w:rPr>
                <w:iCs/>
                <w:sz w:val="20"/>
              </w:rPr>
            </w:pPr>
            <w:r w:rsidRPr="00C41EB8">
              <w:rPr>
                <w:iCs/>
                <w:sz w:val="20"/>
              </w:rPr>
              <w:t>Izglītības attīstības pamatnostādnes 2021.- 2027.gadam:</w:t>
            </w:r>
          </w:p>
          <w:p w14:paraId="05640B9B" w14:textId="77777777" w:rsidR="007545BD" w:rsidRPr="00C41EB8" w:rsidRDefault="007545BD" w:rsidP="00A73208">
            <w:pPr>
              <w:spacing w:before="0" w:after="0"/>
              <w:rPr>
                <w:rFonts w:eastAsia="Times New Roman"/>
                <w:iCs/>
                <w:noProof/>
                <w:sz w:val="20"/>
              </w:rPr>
            </w:pPr>
            <w:r w:rsidRPr="00C41EB8">
              <w:rPr>
                <w:iCs/>
                <w:sz w:val="20"/>
              </w:rPr>
              <w:t>Rīcības virziena 4.2. “Pētniecībā un pierādījumos balstīta, lietotājcentrēta izglītības politika” uzdevums nr 4.2.2. “Pilnveidot izglītības kvalitātes vadības un monitoringa sistēmu (t.sk. profesionālās izglītības absolventu monitoringa sistēmu un augstākās izglītības absolventu monitoringa sistēmu)”.</w:t>
            </w:r>
          </w:p>
        </w:tc>
      </w:tr>
      <w:tr w:rsidR="007545BD" w:rsidRPr="00C41EB8" w14:paraId="01C51E02" w14:textId="77777777" w:rsidTr="00A73208">
        <w:tc>
          <w:tcPr>
            <w:tcW w:w="562" w:type="dxa"/>
          </w:tcPr>
          <w:p w14:paraId="186DD411"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486D47EC" w14:textId="77777777" w:rsidR="007545BD" w:rsidRPr="00C41EB8" w:rsidRDefault="007545BD" w:rsidP="00A73208">
            <w:pPr>
              <w:spacing w:before="0" w:after="0"/>
              <w:jc w:val="left"/>
              <w:rPr>
                <w:noProof/>
                <w:sz w:val="20"/>
              </w:rPr>
            </w:pPr>
          </w:p>
        </w:tc>
        <w:tc>
          <w:tcPr>
            <w:tcW w:w="851" w:type="dxa"/>
            <w:vMerge/>
          </w:tcPr>
          <w:p w14:paraId="236D07F8" w14:textId="77777777" w:rsidR="007545BD" w:rsidRPr="00C41EB8" w:rsidRDefault="007545BD" w:rsidP="00A73208">
            <w:pPr>
              <w:spacing w:before="0" w:after="0"/>
              <w:jc w:val="left"/>
              <w:rPr>
                <w:rFonts w:eastAsia="Times New Roman"/>
                <w:iCs/>
                <w:noProof/>
                <w:sz w:val="20"/>
              </w:rPr>
            </w:pPr>
          </w:p>
        </w:tc>
        <w:tc>
          <w:tcPr>
            <w:tcW w:w="1134" w:type="dxa"/>
            <w:vMerge/>
          </w:tcPr>
          <w:p w14:paraId="28D789C4" w14:textId="77777777" w:rsidR="007545BD" w:rsidRPr="00C41EB8" w:rsidRDefault="007545BD" w:rsidP="00A73208">
            <w:pPr>
              <w:spacing w:before="0" w:after="0"/>
              <w:jc w:val="left"/>
              <w:rPr>
                <w:rFonts w:eastAsia="Times New Roman"/>
                <w:iCs/>
                <w:noProof/>
                <w:sz w:val="20"/>
              </w:rPr>
            </w:pPr>
          </w:p>
        </w:tc>
        <w:tc>
          <w:tcPr>
            <w:tcW w:w="850" w:type="dxa"/>
            <w:vMerge/>
          </w:tcPr>
          <w:p w14:paraId="6FCCE16B" w14:textId="77777777" w:rsidR="007545BD" w:rsidRPr="00C41EB8" w:rsidRDefault="007545BD" w:rsidP="00A73208">
            <w:pPr>
              <w:spacing w:before="0" w:after="0"/>
              <w:jc w:val="left"/>
              <w:rPr>
                <w:rFonts w:eastAsia="Times New Roman"/>
                <w:iCs/>
                <w:noProof/>
                <w:sz w:val="20"/>
              </w:rPr>
            </w:pPr>
          </w:p>
        </w:tc>
        <w:tc>
          <w:tcPr>
            <w:tcW w:w="2410" w:type="dxa"/>
          </w:tcPr>
          <w:p w14:paraId="21F0AF13" w14:textId="77777777" w:rsidR="007545BD" w:rsidRPr="00C41EB8" w:rsidRDefault="007545BD" w:rsidP="00A73208">
            <w:pPr>
              <w:spacing w:before="0" w:after="0"/>
              <w:ind w:left="171" w:hanging="171"/>
              <w:jc w:val="left"/>
              <w:rPr>
                <w:noProof/>
                <w:sz w:val="20"/>
              </w:rPr>
            </w:pPr>
            <w:r w:rsidRPr="00C41EB8">
              <w:rPr>
                <w:noProof/>
                <w:sz w:val="20"/>
              </w:rPr>
              <w:t>1a. absolventu izsekošanas mehānismi un pakalpojumi kvalitatīvu un efektīvu konsultāciju sniegšanai visu vecumu izglītojamajiem.</w:t>
            </w:r>
          </w:p>
          <w:p w14:paraId="29792047" w14:textId="77777777" w:rsidR="007545BD" w:rsidRPr="00C41EB8" w:rsidRDefault="007545BD" w:rsidP="00A73208">
            <w:pPr>
              <w:spacing w:before="0" w:after="0"/>
              <w:ind w:left="3"/>
              <w:jc w:val="left"/>
              <w:rPr>
                <w:noProof/>
                <w:sz w:val="20"/>
              </w:rPr>
            </w:pPr>
          </w:p>
        </w:tc>
        <w:tc>
          <w:tcPr>
            <w:tcW w:w="1134" w:type="dxa"/>
          </w:tcPr>
          <w:p w14:paraId="26D81C5C" w14:textId="77777777" w:rsidR="007545BD" w:rsidRPr="004329A4" w:rsidRDefault="007545BD" w:rsidP="00A73208">
            <w:pPr>
              <w:spacing w:before="0" w:after="0"/>
              <w:jc w:val="left"/>
              <w:rPr>
                <w:b/>
                <w:bCs/>
                <w:noProof/>
                <w:sz w:val="20"/>
              </w:rPr>
            </w:pPr>
            <w:r w:rsidRPr="004329A4">
              <w:rPr>
                <w:b/>
                <w:bCs/>
                <w:noProof/>
                <w:sz w:val="20"/>
              </w:rPr>
              <w:t>Jā</w:t>
            </w:r>
          </w:p>
        </w:tc>
        <w:tc>
          <w:tcPr>
            <w:tcW w:w="2410" w:type="dxa"/>
          </w:tcPr>
          <w:p w14:paraId="4BC4C3B9" w14:textId="77777777" w:rsidR="007545BD" w:rsidRPr="00C41EB8" w:rsidRDefault="007545BD" w:rsidP="00A73208">
            <w:pPr>
              <w:spacing w:before="0" w:after="0"/>
              <w:jc w:val="left"/>
              <w:rPr>
                <w:noProof/>
                <w:sz w:val="20"/>
              </w:rPr>
            </w:pPr>
            <w:r w:rsidRPr="00C41EB8">
              <w:rPr>
                <w:noProof/>
                <w:sz w:val="20"/>
              </w:rPr>
              <w:t>1a.kritērijs</w:t>
            </w:r>
          </w:p>
          <w:p w14:paraId="569562ED" w14:textId="77777777" w:rsidR="007545BD" w:rsidRPr="00C41EB8" w:rsidRDefault="007545BD" w:rsidP="00A73208">
            <w:pPr>
              <w:spacing w:before="0" w:after="0"/>
              <w:jc w:val="left"/>
              <w:rPr>
                <w:noProof/>
                <w:sz w:val="20"/>
              </w:rPr>
            </w:pPr>
            <w:r w:rsidRPr="00C41EB8">
              <w:rPr>
                <w:noProof/>
                <w:sz w:val="20"/>
              </w:rPr>
              <w:t>Augstskolu likums, MK 27.03.2007. noteikumi Nr.203 “Studējošā personas lietas noformēšanas un aktualizēšanas kārtība”, MK 26.06.2019. noteikumi Nr.276 “Valsts izglītības informācijas sistēmas noteikumi”</w:t>
            </w:r>
          </w:p>
        </w:tc>
        <w:tc>
          <w:tcPr>
            <w:tcW w:w="3686" w:type="dxa"/>
          </w:tcPr>
          <w:p w14:paraId="3C010C51" w14:textId="77777777" w:rsidR="007545BD" w:rsidRPr="00C41EB8" w:rsidRDefault="007545BD" w:rsidP="00A73208">
            <w:pPr>
              <w:spacing w:before="0" w:after="0"/>
              <w:rPr>
                <w:b/>
                <w:iCs/>
                <w:sz w:val="20"/>
              </w:rPr>
            </w:pPr>
            <w:r w:rsidRPr="00C41EB8">
              <w:rPr>
                <w:b/>
                <w:iCs/>
                <w:sz w:val="20"/>
              </w:rPr>
              <w:t>1a kritērijs</w:t>
            </w:r>
          </w:p>
          <w:p w14:paraId="0F4260B0" w14:textId="77777777" w:rsidR="007545BD" w:rsidRPr="00C41EB8" w:rsidRDefault="007545BD" w:rsidP="00A73208">
            <w:pPr>
              <w:spacing w:before="0" w:after="0"/>
              <w:rPr>
                <w:iCs/>
                <w:sz w:val="20"/>
              </w:rPr>
            </w:pPr>
            <w:r w:rsidRPr="00C41EB8">
              <w:rPr>
                <w:iCs/>
                <w:sz w:val="20"/>
              </w:rPr>
              <w:t xml:space="preserve"> Izglītības attīstības pamatnostādnes 2021.- 2027.gadam:</w:t>
            </w:r>
          </w:p>
          <w:p w14:paraId="0083EA93" w14:textId="77777777" w:rsidR="007545BD" w:rsidRPr="00C41EB8" w:rsidRDefault="007545BD" w:rsidP="00A73208">
            <w:pPr>
              <w:spacing w:before="0" w:after="0"/>
              <w:rPr>
                <w:iCs/>
                <w:sz w:val="20"/>
              </w:rPr>
            </w:pPr>
            <w:r w:rsidRPr="00C41EB8">
              <w:rPr>
                <w:iCs/>
                <w:sz w:val="20"/>
              </w:rPr>
              <w:t>Rīcības virziena 4.2. “Pētniecībā un pierādījumos balstīta, lietotājcentrēta izglītības politika” uzdevums nr 4.2.2. “Pilnveidot izglītības kvalitātes vadības un monitoringa sistēmu (t.sk. profesionālās izglītības absolventu monitoringa sistēmu un augstākās izglītības absolventu monitoringa sistēmu)”.</w:t>
            </w:r>
          </w:p>
          <w:p w14:paraId="5FCACA70" w14:textId="77777777" w:rsidR="007545BD" w:rsidRPr="00C41EB8" w:rsidRDefault="007545BD" w:rsidP="00A73208">
            <w:pPr>
              <w:spacing w:before="0" w:after="0"/>
              <w:rPr>
                <w:b/>
                <w:iCs/>
                <w:sz w:val="20"/>
              </w:rPr>
            </w:pPr>
          </w:p>
        </w:tc>
      </w:tr>
      <w:tr w:rsidR="007545BD" w:rsidRPr="00C41EB8" w14:paraId="0A5EA449" w14:textId="77777777" w:rsidTr="00A73208">
        <w:tc>
          <w:tcPr>
            <w:tcW w:w="562" w:type="dxa"/>
          </w:tcPr>
          <w:p w14:paraId="021CE036"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28D234EA" w14:textId="77777777" w:rsidR="007545BD" w:rsidRPr="00C41EB8" w:rsidRDefault="007545BD" w:rsidP="00A73208">
            <w:pPr>
              <w:spacing w:before="0" w:after="0"/>
              <w:jc w:val="left"/>
              <w:rPr>
                <w:noProof/>
                <w:sz w:val="20"/>
              </w:rPr>
            </w:pPr>
          </w:p>
        </w:tc>
        <w:tc>
          <w:tcPr>
            <w:tcW w:w="851" w:type="dxa"/>
            <w:vMerge/>
          </w:tcPr>
          <w:p w14:paraId="2344AF73" w14:textId="77777777" w:rsidR="007545BD" w:rsidRPr="00C41EB8" w:rsidRDefault="007545BD" w:rsidP="00A73208">
            <w:pPr>
              <w:spacing w:before="0" w:after="0"/>
              <w:jc w:val="left"/>
              <w:rPr>
                <w:rFonts w:eastAsia="Times New Roman"/>
                <w:iCs/>
                <w:noProof/>
                <w:sz w:val="20"/>
              </w:rPr>
            </w:pPr>
          </w:p>
        </w:tc>
        <w:tc>
          <w:tcPr>
            <w:tcW w:w="1134" w:type="dxa"/>
            <w:vMerge/>
          </w:tcPr>
          <w:p w14:paraId="1D0B94B0" w14:textId="77777777" w:rsidR="007545BD" w:rsidRPr="00C41EB8" w:rsidRDefault="007545BD" w:rsidP="00A73208">
            <w:pPr>
              <w:spacing w:before="0" w:after="0"/>
              <w:jc w:val="left"/>
              <w:rPr>
                <w:rFonts w:eastAsia="Times New Roman"/>
                <w:iCs/>
                <w:noProof/>
                <w:sz w:val="20"/>
              </w:rPr>
            </w:pPr>
          </w:p>
        </w:tc>
        <w:tc>
          <w:tcPr>
            <w:tcW w:w="850" w:type="dxa"/>
            <w:vMerge/>
          </w:tcPr>
          <w:p w14:paraId="6053E978" w14:textId="77777777" w:rsidR="007545BD" w:rsidRPr="00C41EB8" w:rsidRDefault="007545BD" w:rsidP="00A73208">
            <w:pPr>
              <w:spacing w:before="0" w:after="0"/>
              <w:jc w:val="left"/>
              <w:rPr>
                <w:rFonts w:eastAsia="Times New Roman"/>
                <w:iCs/>
                <w:noProof/>
                <w:sz w:val="20"/>
              </w:rPr>
            </w:pPr>
          </w:p>
        </w:tc>
        <w:tc>
          <w:tcPr>
            <w:tcW w:w="2410" w:type="dxa"/>
          </w:tcPr>
          <w:p w14:paraId="0E309004" w14:textId="77777777" w:rsidR="007545BD" w:rsidRPr="00C41EB8" w:rsidRDefault="007545BD" w:rsidP="00A73208">
            <w:pPr>
              <w:spacing w:before="0" w:after="0"/>
              <w:ind w:left="3"/>
              <w:jc w:val="left"/>
              <w:rPr>
                <w:noProof/>
                <w:sz w:val="20"/>
              </w:rPr>
            </w:pPr>
            <w:r w:rsidRPr="00C41EB8">
              <w:rPr>
                <w:noProof/>
                <w:sz w:val="20"/>
              </w:rPr>
              <w:t>2.Pasākumus, lai nodrošinātu vienlīdzīgu piekļuvi kvalitatīvai, atbilstošai un iekļaujošai izglītībaiun mācībām, to pabeigšanu, kā arī, lai apgūtu pamatprasmes.</w:t>
            </w:r>
          </w:p>
        </w:tc>
        <w:tc>
          <w:tcPr>
            <w:tcW w:w="1134" w:type="dxa"/>
          </w:tcPr>
          <w:p w14:paraId="7811A0BF" w14:textId="77777777" w:rsidR="007545BD" w:rsidRPr="00C41EB8" w:rsidRDefault="007545BD" w:rsidP="00A73208">
            <w:pPr>
              <w:spacing w:before="0" w:after="0"/>
              <w:jc w:val="left"/>
              <w:rPr>
                <w:noProof/>
                <w:sz w:val="20"/>
              </w:rPr>
            </w:pPr>
            <w:r w:rsidRPr="00C41EB8">
              <w:rPr>
                <w:noProof/>
                <w:sz w:val="20"/>
              </w:rPr>
              <w:t>Nē</w:t>
            </w:r>
          </w:p>
        </w:tc>
        <w:tc>
          <w:tcPr>
            <w:tcW w:w="2410" w:type="dxa"/>
          </w:tcPr>
          <w:p w14:paraId="5750C189" w14:textId="77777777" w:rsidR="007545BD" w:rsidRPr="00C41EB8" w:rsidRDefault="007545BD" w:rsidP="00A73208">
            <w:pPr>
              <w:spacing w:before="0" w:after="0"/>
              <w:jc w:val="left"/>
              <w:rPr>
                <w:noProof/>
                <w:sz w:val="20"/>
              </w:rPr>
            </w:pPr>
            <w:r w:rsidRPr="00C41EB8">
              <w:rPr>
                <w:noProof/>
                <w:sz w:val="20"/>
              </w:rPr>
              <w:t>2.kritērija izpilde</w:t>
            </w:r>
          </w:p>
          <w:p w14:paraId="501D923D" w14:textId="77777777" w:rsidR="007545BD" w:rsidRDefault="009A507A" w:rsidP="00A73208">
            <w:pPr>
              <w:spacing w:before="0" w:after="0"/>
              <w:jc w:val="left"/>
              <w:rPr>
                <w:rStyle w:val="Hyperlink"/>
                <w:iCs/>
                <w:sz w:val="20"/>
              </w:rPr>
            </w:pPr>
            <w:hyperlink r:id="rId126" w:history="1">
              <w:r w:rsidR="007545BD" w:rsidRPr="00C41EB8">
                <w:rPr>
                  <w:rStyle w:val="Hyperlink"/>
                  <w:iCs/>
                  <w:sz w:val="20"/>
                </w:rPr>
                <w:t>Izglītības attīstības pamatnostādnes 2021.-2027.gadam</w:t>
              </w:r>
            </w:hyperlink>
          </w:p>
          <w:p w14:paraId="19801677" w14:textId="77777777" w:rsidR="007545BD" w:rsidRPr="00C41EB8" w:rsidRDefault="007545BD" w:rsidP="00A73208">
            <w:pPr>
              <w:spacing w:before="0" w:after="0"/>
              <w:jc w:val="left"/>
              <w:rPr>
                <w:rStyle w:val="Hyperlink"/>
                <w:iCs/>
                <w:sz w:val="20"/>
              </w:rPr>
            </w:pPr>
          </w:p>
          <w:p w14:paraId="61EA80B6" w14:textId="77777777" w:rsidR="007545BD" w:rsidRPr="00C41EB8" w:rsidRDefault="009A507A" w:rsidP="00A73208">
            <w:pPr>
              <w:spacing w:before="0" w:after="0"/>
              <w:jc w:val="left"/>
              <w:rPr>
                <w:noProof/>
                <w:sz w:val="20"/>
              </w:rPr>
            </w:pPr>
            <w:hyperlink r:id="rId127" w:history="1">
              <w:r w:rsidR="007545BD" w:rsidRPr="00C41EB8">
                <w:rPr>
                  <w:rStyle w:val="Hyperlink"/>
                  <w:sz w:val="20"/>
                </w:rPr>
                <w:t>Kultūrpolitikas pamatnostādnes 2021. -2027</w:t>
              </w:r>
            </w:hyperlink>
            <w:r w:rsidR="007545BD" w:rsidRPr="00C41EB8">
              <w:rPr>
                <w:sz w:val="20"/>
              </w:rPr>
              <w:t>.gadam (projekts - 08.03.2021.uzsākta publiskā apspriešana)</w:t>
            </w:r>
          </w:p>
        </w:tc>
        <w:tc>
          <w:tcPr>
            <w:tcW w:w="3686" w:type="dxa"/>
          </w:tcPr>
          <w:p w14:paraId="7C58A9C5" w14:textId="77777777" w:rsidR="007545BD" w:rsidRPr="00C41EB8" w:rsidRDefault="007545BD" w:rsidP="00A73208">
            <w:pPr>
              <w:spacing w:before="0" w:after="0"/>
              <w:rPr>
                <w:b/>
                <w:iCs/>
                <w:sz w:val="20"/>
              </w:rPr>
            </w:pPr>
            <w:r w:rsidRPr="00C41EB8">
              <w:rPr>
                <w:b/>
                <w:iCs/>
                <w:sz w:val="20"/>
              </w:rPr>
              <w:t>2.kritērijs</w:t>
            </w:r>
          </w:p>
          <w:p w14:paraId="7075DABB" w14:textId="77777777" w:rsidR="007545BD" w:rsidRPr="00C41EB8" w:rsidRDefault="007545BD" w:rsidP="00A73208">
            <w:pPr>
              <w:spacing w:before="0" w:after="0"/>
              <w:rPr>
                <w:iCs/>
                <w:sz w:val="20"/>
              </w:rPr>
            </w:pPr>
            <w:r w:rsidRPr="00C41EB8">
              <w:rPr>
                <w:iCs/>
                <w:sz w:val="20"/>
              </w:rPr>
              <w:t xml:space="preserve"> </w:t>
            </w:r>
            <w:hyperlink r:id="rId128" w:history="1">
              <w:r w:rsidRPr="00C41EB8">
                <w:rPr>
                  <w:rStyle w:val="Hyperlink"/>
                  <w:iCs/>
                  <w:sz w:val="20"/>
                </w:rPr>
                <w:t>Izglītības attīstības pamatnostādnes 2021.-2027.gadam</w:t>
              </w:r>
            </w:hyperlink>
            <w:r w:rsidRPr="00C41EB8">
              <w:rPr>
                <w:iCs/>
                <w:sz w:val="20"/>
              </w:rPr>
              <w:t>:</w:t>
            </w:r>
          </w:p>
          <w:p w14:paraId="745534FC" w14:textId="77777777" w:rsidR="007545BD" w:rsidRPr="00C41EB8" w:rsidRDefault="007545BD" w:rsidP="00A73208">
            <w:pPr>
              <w:spacing w:before="0" w:after="0"/>
              <w:rPr>
                <w:iCs/>
                <w:sz w:val="20"/>
              </w:rPr>
            </w:pPr>
            <w:r w:rsidRPr="00C41EB8">
              <w:rPr>
                <w:iCs/>
                <w:sz w:val="20"/>
              </w:rPr>
              <w:t>Rīcības virziena 2.1. „Izglītības satura un procesa attīstība” uzdevums nr 2.1.1. „Nodrošināt pilnveidotā mācību satura un pieejas efektīvu īstenošanu vispārējā izglītībā (t.sk. pirmsskolas izglītības pakāpē), jo īpaši fokusējoties uz starpdisciplinaritāti (STEAM), caurviju prasmēm (digitālā pratība, pilsoniskā līdzdalība), sociāli emocionālo mācīšanos un mācīšanos iedziļinoties”, uzdevums</w:t>
            </w:r>
            <w:r>
              <w:rPr>
                <w:iCs/>
                <w:sz w:val="20"/>
              </w:rPr>
              <w:t xml:space="preserve"> Nr.</w:t>
            </w:r>
            <w:r w:rsidRPr="00C41EB8">
              <w:rPr>
                <w:iCs/>
                <w:sz w:val="20"/>
              </w:rPr>
              <w:t xml:space="preserve"> 2.1.2. </w:t>
            </w:r>
            <w:r>
              <w:rPr>
                <w:iCs/>
                <w:sz w:val="20"/>
              </w:rPr>
              <w:t>“</w:t>
            </w:r>
            <w:r w:rsidRPr="00C41EB8">
              <w:rPr>
                <w:iCs/>
                <w:sz w:val="20"/>
              </w:rPr>
              <w:t>Nodrošināt kvalitatīvu profesionālo izglītību, saskaņojot prasmes un mācīšanās rezultātus ar darba tirgus prasībām un stiprinot PII kā nozaru izcilības un inovāciju centrus.</w:t>
            </w:r>
            <w:r>
              <w:rPr>
                <w:iCs/>
                <w:sz w:val="20"/>
              </w:rPr>
              <w:t>”</w:t>
            </w:r>
          </w:p>
          <w:p w14:paraId="03DEADE6" w14:textId="77777777" w:rsidR="007545BD" w:rsidRPr="00C41EB8" w:rsidRDefault="007545BD" w:rsidP="00A73208">
            <w:pPr>
              <w:spacing w:before="0" w:after="0"/>
              <w:rPr>
                <w:iCs/>
                <w:sz w:val="20"/>
              </w:rPr>
            </w:pPr>
            <w:r w:rsidRPr="00C41EB8">
              <w:rPr>
                <w:iCs/>
                <w:sz w:val="20"/>
              </w:rPr>
              <w:t>Rīcības virziena 2.2. „Izglītības vides attīstība” uzdevums nr.2.2.1. „Stiprināt vispārējās izglītības iestāžu nodrošinājumu ar mūsdienīgas un kvalitatīvas izglītības īstenošanai nepieciešamajiem resursiem, mācību vidi un infrastruktūru”, uzdevums Nr.2.2.2.</w:t>
            </w:r>
            <w:r>
              <w:rPr>
                <w:iCs/>
                <w:sz w:val="20"/>
              </w:rPr>
              <w:t xml:space="preserve"> “</w:t>
            </w:r>
            <w:r w:rsidRPr="00C41EB8">
              <w:rPr>
                <w:iCs/>
                <w:sz w:val="20"/>
              </w:rPr>
              <w:t>Stiprināt profesionālās izglītības iestāžu nodrošinājumu ar mūsdienīgas un kvalitatīvas izglītības īstenošanai nepieciešamajiem resursiem, mācību vidi un infrastruktūru</w:t>
            </w:r>
            <w:r>
              <w:rPr>
                <w:iCs/>
                <w:sz w:val="20"/>
              </w:rPr>
              <w:t>”</w:t>
            </w:r>
            <w:r w:rsidRPr="00C41EB8">
              <w:rPr>
                <w:iCs/>
                <w:sz w:val="20"/>
              </w:rPr>
              <w:t>, uzdevums nr. 2.2.3. “Stiprināt augstākās izglītības institūciju nodrošinājumu ar mūsdienīgas, kvalitatīvas un pētniecībā balstītas augstākās izglītības īstenošanai nepieciešamajiem resursiem, studiju vidi un infrastruktūru”;</w:t>
            </w:r>
          </w:p>
          <w:p w14:paraId="10C1F7E5" w14:textId="77777777" w:rsidR="007545BD" w:rsidRPr="00C41EB8" w:rsidRDefault="007545BD" w:rsidP="00A73208">
            <w:pPr>
              <w:spacing w:before="0" w:after="0"/>
              <w:rPr>
                <w:iCs/>
                <w:sz w:val="20"/>
              </w:rPr>
            </w:pPr>
            <w:r w:rsidRPr="00C41EB8">
              <w:rPr>
                <w:iCs/>
                <w:sz w:val="20"/>
              </w:rPr>
              <w:t xml:space="preserve">Rīcības virziena 3.1. „Institucionāli risinājumi atbalsta nodrošināšanai ikviena </w:t>
            </w:r>
            <w:r>
              <w:rPr>
                <w:iCs/>
                <w:sz w:val="20"/>
              </w:rPr>
              <w:t>izaugsmei” uzdevums nr. 3.1.1. “</w:t>
            </w:r>
            <w:r w:rsidRPr="00C41EB8">
              <w:rPr>
                <w:iCs/>
                <w:sz w:val="20"/>
              </w:rPr>
              <w:t>Nodrošināt iekļaujošas izglītības pieeju visos izglītības līmeņos”, uzdevums nr. 3.1.2. „Nodrošināt augstas kvalitātes speciālo i</w:t>
            </w:r>
            <w:r>
              <w:rPr>
                <w:iCs/>
                <w:sz w:val="20"/>
              </w:rPr>
              <w:t>zglītību”, uzdevums nr. 3.1.3. “</w:t>
            </w:r>
            <w:r w:rsidRPr="00C41EB8">
              <w:rPr>
                <w:iCs/>
                <w:sz w:val="20"/>
              </w:rPr>
              <w:t>Nodrošināt individuālo kompetenču attīstību”;</w:t>
            </w:r>
          </w:p>
          <w:p w14:paraId="7C4FCD87" w14:textId="77777777" w:rsidR="007545BD" w:rsidRPr="00C41EB8" w:rsidRDefault="007545BD" w:rsidP="00A73208">
            <w:pPr>
              <w:spacing w:before="0" w:after="0"/>
              <w:rPr>
                <w:iCs/>
                <w:sz w:val="20"/>
              </w:rPr>
            </w:pPr>
            <w:r>
              <w:rPr>
                <w:iCs/>
                <w:sz w:val="20"/>
              </w:rPr>
              <w:t>Rīcības virziena 3.2. “</w:t>
            </w:r>
            <w:r w:rsidRPr="00C41EB8">
              <w:rPr>
                <w:iCs/>
                <w:sz w:val="20"/>
              </w:rPr>
              <w:t>Sadarbība un dalīta atbildība ar vietējo kopienu izglītības mērķu sa</w:t>
            </w:r>
            <w:r>
              <w:rPr>
                <w:iCs/>
                <w:sz w:val="20"/>
              </w:rPr>
              <w:t>sniegšanai” uzdevums nr.3.2.1. “</w:t>
            </w:r>
            <w:r w:rsidRPr="00C41EB8">
              <w:rPr>
                <w:iCs/>
                <w:sz w:val="20"/>
              </w:rPr>
              <w:t xml:space="preserve">Veicināt vecāku iesaisti un atbalstu skolēna izglītības  mērķu sasniegšanai”, uzdevums nr. 3.2.2. </w:t>
            </w:r>
            <w:r>
              <w:rPr>
                <w:iCs/>
                <w:sz w:val="20"/>
              </w:rPr>
              <w:t>“</w:t>
            </w:r>
            <w:r w:rsidRPr="00C41EB8">
              <w:rPr>
                <w:iCs/>
                <w:sz w:val="20"/>
              </w:rPr>
              <w:t>Stiprināt kopienas mēroga sadarbību (pašvaldības ietvaros) indivīda izaugsmei”.</w:t>
            </w:r>
          </w:p>
          <w:p w14:paraId="1C8C9CDF" w14:textId="77777777" w:rsidR="007545BD" w:rsidRDefault="007545BD" w:rsidP="00A73208">
            <w:pPr>
              <w:spacing w:before="0" w:after="0"/>
              <w:rPr>
                <w:rFonts w:eastAsia="Times New Roman"/>
                <w:iCs/>
                <w:noProof/>
                <w:sz w:val="20"/>
              </w:rPr>
            </w:pPr>
          </w:p>
          <w:p w14:paraId="596ACEFB" w14:textId="77777777" w:rsidR="007545BD" w:rsidRPr="00D132DB" w:rsidRDefault="009A507A" w:rsidP="00A73208">
            <w:pPr>
              <w:spacing w:before="0" w:after="0"/>
              <w:rPr>
                <w:rFonts w:eastAsia="Times New Roman"/>
                <w:iCs/>
                <w:noProof/>
                <w:sz w:val="20"/>
              </w:rPr>
            </w:pPr>
            <w:hyperlink r:id="rId129" w:history="1">
              <w:r w:rsidR="007545BD" w:rsidRPr="00C41EB8">
                <w:rPr>
                  <w:rStyle w:val="Hyperlink"/>
                  <w:rFonts w:eastAsia="Times New Roman"/>
                  <w:iCs/>
                  <w:noProof/>
                  <w:sz w:val="20"/>
                </w:rPr>
                <w:t>Kultūrpolitikas pamatnostādņu 2021. -2027</w:t>
              </w:r>
            </w:hyperlink>
            <w:r w:rsidR="007545BD" w:rsidRPr="00C41EB8">
              <w:rPr>
                <w:rFonts w:eastAsia="Times New Roman"/>
                <w:iCs/>
                <w:noProof/>
                <w:sz w:val="20"/>
              </w:rPr>
              <w:t xml:space="preserve">.gadam </w:t>
            </w:r>
            <w:r w:rsidR="007545BD" w:rsidRPr="00D132DB">
              <w:rPr>
                <w:rFonts w:eastAsia="Times New Roman"/>
                <w:iCs/>
                <w:noProof/>
                <w:sz w:val="20"/>
              </w:rPr>
              <w:t>prioritāte Nr.4 “Talantu ataudze un kultūras darbinieku profesionālā izaugsme” nosaka mērķtiecīgi stiprināt kultūrizglītības sistēmu, lai stimulētu jaunu talantu attīstību un izaugsmi, nodrošināt kultūras nozarē strādājošo profesionālās pilnveides iespējas, kā arī stiprināt kultūras komponenti vispārējā izglītībā.</w:t>
            </w:r>
          </w:p>
          <w:p w14:paraId="71936752" w14:textId="77777777" w:rsidR="007545BD" w:rsidRDefault="007545BD" w:rsidP="00A73208">
            <w:pPr>
              <w:spacing w:before="0" w:after="0"/>
              <w:rPr>
                <w:rFonts w:eastAsia="Times New Roman"/>
                <w:iCs/>
                <w:noProof/>
                <w:sz w:val="20"/>
              </w:rPr>
            </w:pPr>
          </w:p>
          <w:p w14:paraId="3EEFA375" w14:textId="77777777" w:rsidR="007545BD" w:rsidRPr="00C41EB8" w:rsidRDefault="007545BD" w:rsidP="00A73208">
            <w:pPr>
              <w:spacing w:before="0" w:after="0"/>
              <w:rPr>
                <w:rFonts w:eastAsia="Times New Roman"/>
                <w:iCs/>
                <w:noProof/>
                <w:sz w:val="20"/>
              </w:rPr>
            </w:pPr>
            <w:r w:rsidRPr="00C41EB8">
              <w:rPr>
                <w:rFonts w:eastAsia="Times New Roman"/>
                <w:iCs/>
                <w:noProof/>
                <w:sz w:val="20"/>
              </w:rPr>
              <w:t xml:space="preserve">Kultūrizglītības nozares stratēģija 2021-2027.gadam ir </w:t>
            </w:r>
            <w:hyperlink r:id="rId130" w:history="1">
              <w:r w:rsidRPr="00C41EB8">
                <w:rPr>
                  <w:rStyle w:val="Hyperlink"/>
                  <w:rFonts w:eastAsia="Times New Roman"/>
                  <w:iCs/>
                  <w:noProof/>
                  <w:sz w:val="20"/>
                </w:rPr>
                <w:t>Kultūrpolitikas pamatnostādnes 2021.-2027</w:t>
              </w:r>
            </w:hyperlink>
            <w:r w:rsidRPr="00C41EB8">
              <w:rPr>
                <w:rFonts w:eastAsia="Times New Roman"/>
                <w:iCs/>
                <w:noProof/>
                <w:sz w:val="20"/>
              </w:rPr>
              <w:t>.gadam papildinošs plānošanas dokuments, kas tiks izstrādāts kā nozares detalizētāks rīcības plāns pamatnostādņu īstenošanai.</w:t>
            </w:r>
          </w:p>
        </w:tc>
      </w:tr>
      <w:tr w:rsidR="007545BD" w:rsidRPr="00C41EB8" w14:paraId="73A8B03C" w14:textId="77777777" w:rsidTr="00A73208">
        <w:tc>
          <w:tcPr>
            <w:tcW w:w="562" w:type="dxa"/>
          </w:tcPr>
          <w:p w14:paraId="6BD143C2"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56214F01" w14:textId="77777777" w:rsidR="007545BD" w:rsidRPr="00C41EB8" w:rsidRDefault="007545BD" w:rsidP="00A73208">
            <w:pPr>
              <w:spacing w:before="0" w:after="0"/>
              <w:jc w:val="left"/>
              <w:rPr>
                <w:noProof/>
                <w:sz w:val="20"/>
              </w:rPr>
            </w:pPr>
          </w:p>
        </w:tc>
        <w:tc>
          <w:tcPr>
            <w:tcW w:w="851" w:type="dxa"/>
            <w:vMerge/>
          </w:tcPr>
          <w:p w14:paraId="56E0B7FF" w14:textId="77777777" w:rsidR="007545BD" w:rsidRPr="00C41EB8" w:rsidRDefault="007545BD" w:rsidP="00A73208">
            <w:pPr>
              <w:spacing w:before="0" w:after="0"/>
              <w:jc w:val="left"/>
              <w:rPr>
                <w:rFonts w:eastAsia="Times New Roman"/>
                <w:iCs/>
                <w:noProof/>
                <w:sz w:val="20"/>
              </w:rPr>
            </w:pPr>
          </w:p>
        </w:tc>
        <w:tc>
          <w:tcPr>
            <w:tcW w:w="1134" w:type="dxa"/>
            <w:vMerge/>
          </w:tcPr>
          <w:p w14:paraId="05FF9B4A" w14:textId="77777777" w:rsidR="007545BD" w:rsidRPr="00C41EB8" w:rsidRDefault="007545BD" w:rsidP="00A73208">
            <w:pPr>
              <w:spacing w:before="0" w:after="0"/>
              <w:jc w:val="left"/>
              <w:rPr>
                <w:rFonts w:eastAsia="Times New Roman"/>
                <w:iCs/>
                <w:noProof/>
                <w:sz w:val="20"/>
              </w:rPr>
            </w:pPr>
          </w:p>
        </w:tc>
        <w:tc>
          <w:tcPr>
            <w:tcW w:w="850" w:type="dxa"/>
            <w:vMerge/>
          </w:tcPr>
          <w:p w14:paraId="39F51DB5" w14:textId="77777777" w:rsidR="007545BD" w:rsidRPr="00C41EB8" w:rsidRDefault="007545BD" w:rsidP="00A73208">
            <w:pPr>
              <w:spacing w:before="0" w:after="0"/>
              <w:jc w:val="left"/>
              <w:rPr>
                <w:rFonts w:eastAsia="Times New Roman"/>
                <w:iCs/>
                <w:noProof/>
                <w:sz w:val="20"/>
              </w:rPr>
            </w:pPr>
          </w:p>
        </w:tc>
        <w:tc>
          <w:tcPr>
            <w:tcW w:w="2410" w:type="dxa"/>
          </w:tcPr>
          <w:p w14:paraId="0B816899" w14:textId="77777777" w:rsidR="007545BD" w:rsidRPr="00C41EB8" w:rsidRDefault="007545BD" w:rsidP="00A73208">
            <w:pPr>
              <w:spacing w:before="0" w:after="0"/>
              <w:ind w:left="3"/>
              <w:jc w:val="left"/>
              <w:rPr>
                <w:noProof/>
                <w:sz w:val="20"/>
              </w:rPr>
            </w:pPr>
            <w:r w:rsidRPr="00C41EB8">
              <w:rPr>
                <w:noProof/>
                <w:sz w:val="20"/>
              </w:rPr>
              <w:t>3.Koordinācijas mehānismus visos izglītības un mācību līmeņos un skaidru pienākumu sadali starp attiecīgajām valsts un/vai reģionālajām struktūrām.</w:t>
            </w:r>
          </w:p>
        </w:tc>
        <w:tc>
          <w:tcPr>
            <w:tcW w:w="1134" w:type="dxa"/>
          </w:tcPr>
          <w:p w14:paraId="7E965FC3" w14:textId="77777777" w:rsidR="007545BD" w:rsidRPr="00C41EB8" w:rsidRDefault="007545BD" w:rsidP="00A73208">
            <w:pPr>
              <w:spacing w:before="0" w:after="0"/>
              <w:jc w:val="left"/>
              <w:rPr>
                <w:noProof/>
                <w:sz w:val="20"/>
              </w:rPr>
            </w:pPr>
            <w:r w:rsidRPr="00C41EB8">
              <w:rPr>
                <w:noProof/>
                <w:sz w:val="20"/>
              </w:rPr>
              <w:t>Nē</w:t>
            </w:r>
          </w:p>
        </w:tc>
        <w:tc>
          <w:tcPr>
            <w:tcW w:w="2410" w:type="dxa"/>
          </w:tcPr>
          <w:p w14:paraId="69E4C628" w14:textId="77777777" w:rsidR="007545BD" w:rsidRPr="00C41EB8" w:rsidRDefault="009A507A" w:rsidP="00A73208">
            <w:pPr>
              <w:spacing w:before="0" w:after="0"/>
              <w:jc w:val="left"/>
              <w:rPr>
                <w:noProof/>
                <w:sz w:val="20"/>
              </w:rPr>
            </w:pPr>
            <w:hyperlink r:id="rId131" w:history="1">
              <w:r w:rsidR="007545BD" w:rsidRPr="00C41EB8">
                <w:rPr>
                  <w:rStyle w:val="Hyperlink"/>
                  <w:iCs/>
                  <w:sz w:val="20"/>
                </w:rPr>
                <w:t>Izglītības attīstības pamatnostādnes 2021.-2027.gadam</w:t>
              </w:r>
            </w:hyperlink>
          </w:p>
        </w:tc>
        <w:tc>
          <w:tcPr>
            <w:tcW w:w="3686" w:type="dxa"/>
          </w:tcPr>
          <w:p w14:paraId="0892D25D" w14:textId="77777777" w:rsidR="007545BD" w:rsidRPr="00C41EB8" w:rsidRDefault="007545BD" w:rsidP="00A73208">
            <w:pPr>
              <w:spacing w:before="0" w:after="0"/>
              <w:rPr>
                <w:b/>
                <w:iCs/>
                <w:sz w:val="20"/>
              </w:rPr>
            </w:pPr>
            <w:r w:rsidRPr="00C41EB8">
              <w:rPr>
                <w:b/>
                <w:iCs/>
                <w:sz w:val="20"/>
              </w:rPr>
              <w:t xml:space="preserve">3.kritērijs </w:t>
            </w:r>
          </w:p>
          <w:p w14:paraId="039CE77F" w14:textId="77777777" w:rsidR="007545BD" w:rsidRPr="00C41EB8" w:rsidRDefault="007545BD" w:rsidP="00A73208">
            <w:pPr>
              <w:spacing w:before="0" w:after="0"/>
              <w:rPr>
                <w:iCs/>
                <w:sz w:val="20"/>
              </w:rPr>
            </w:pPr>
            <w:r w:rsidRPr="00C41EB8">
              <w:rPr>
                <w:iCs/>
                <w:sz w:val="20"/>
              </w:rPr>
              <w:t>Izglītības attīstības pamatnostādnes 2021.-2027.gadam:</w:t>
            </w:r>
          </w:p>
          <w:p w14:paraId="35699EF9" w14:textId="77777777" w:rsidR="007545BD" w:rsidRPr="00C41EB8" w:rsidRDefault="007545BD" w:rsidP="00A73208">
            <w:pPr>
              <w:spacing w:before="0" w:after="0"/>
              <w:rPr>
                <w:iCs/>
                <w:sz w:val="20"/>
              </w:rPr>
            </w:pPr>
            <w:r w:rsidRPr="00C41EB8">
              <w:rPr>
                <w:iCs/>
                <w:sz w:val="20"/>
              </w:rPr>
              <w:t>Rīcības virziena 2.3.</w:t>
            </w:r>
            <w:r>
              <w:rPr>
                <w:iCs/>
                <w:sz w:val="20"/>
              </w:rPr>
              <w:t>”</w:t>
            </w:r>
            <w:r w:rsidRPr="00C41EB8">
              <w:rPr>
                <w:iCs/>
                <w:sz w:val="20"/>
              </w:rPr>
              <w:t>Izglītības attīstībai nozīmīgu partnerību veidošana</w:t>
            </w:r>
            <w:r>
              <w:rPr>
                <w:iCs/>
                <w:sz w:val="20"/>
              </w:rPr>
              <w:t>”</w:t>
            </w:r>
            <w:r w:rsidRPr="00C41EB8">
              <w:rPr>
                <w:iCs/>
                <w:sz w:val="20"/>
              </w:rPr>
              <w:t xml:space="preserve"> uzdevums </w:t>
            </w:r>
            <w:r>
              <w:rPr>
                <w:iCs/>
                <w:sz w:val="20"/>
              </w:rPr>
              <w:t>Nr.</w:t>
            </w:r>
            <w:r w:rsidRPr="00C41EB8">
              <w:rPr>
                <w:iCs/>
                <w:sz w:val="20"/>
              </w:rPr>
              <w:t xml:space="preserve"> 2.3.2. </w:t>
            </w:r>
            <w:r>
              <w:rPr>
                <w:iCs/>
                <w:sz w:val="20"/>
              </w:rPr>
              <w:t>“</w:t>
            </w:r>
            <w:r w:rsidRPr="00C41EB8">
              <w:rPr>
                <w:iCs/>
                <w:sz w:val="20"/>
              </w:rPr>
              <w:t>Izglītības un tautsaimniecības nozaru sadarbība efektīvai pārvaldībai</w:t>
            </w:r>
            <w:r>
              <w:rPr>
                <w:iCs/>
                <w:sz w:val="20"/>
              </w:rPr>
              <w:t>”</w:t>
            </w:r>
            <w:r w:rsidRPr="00C41EB8">
              <w:rPr>
                <w:iCs/>
                <w:sz w:val="20"/>
              </w:rPr>
              <w:t>;</w:t>
            </w:r>
          </w:p>
          <w:p w14:paraId="300473E6" w14:textId="77777777" w:rsidR="007545BD" w:rsidRPr="00C41EB8" w:rsidRDefault="007545BD" w:rsidP="00A73208">
            <w:pPr>
              <w:spacing w:before="0" w:after="0"/>
              <w:rPr>
                <w:iCs/>
                <w:sz w:val="20"/>
              </w:rPr>
            </w:pPr>
            <w:r w:rsidRPr="00C41EB8">
              <w:rPr>
                <w:iCs/>
                <w:sz w:val="20"/>
              </w:rPr>
              <w:t xml:space="preserve">Rīcības virziena 3.1. </w:t>
            </w:r>
            <w:r>
              <w:rPr>
                <w:iCs/>
                <w:sz w:val="20"/>
              </w:rPr>
              <w:t>“</w:t>
            </w:r>
            <w:r w:rsidRPr="00C41EB8">
              <w:rPr>
                <w:iCs/>
                <w:sz w:val="20"/>
              </w:rPr>
              <w:t xml:space="preserve">Institucionāli risinājumi atbalsta nodrošināšanai ikviena izaugsmei” uzdevums nr.3.1.1. </w:t>
            </w:r>
            <w:r>
              <w:rPr>
                <w:iCs/>
                <w:sz w:val="20"/>
              </w:rPr>
              <w:t>“</w:t>
            </w:r>
            <w:r w:rsidRPr="00C41EB8">
              <w:rPr>
                <w:iCs/>
                <w:sz w:val="20"/>
              </w:rPr>
              <w:t>Nodrošināt iekļaujošas izglītības pieeju visos izglītības līmeņos”;</w:t>
            </w:r>
          </w:p>
          <w:p w14:paraId="35DF164C" w14:textId="77777777" w:rsidR="007545BD" w:rsidRPr="00C41EB8" w:rsidRDefault="007545BD" w:rsidP="00A73208">
            <w:pPr>
              <w:spacing w:before="0" w:after="0"/>
              <w:rPr>
                <w:iCs/>
                <w:sz w:val="20"/>
              </w:rPr>
            </w:pPr>
            <w:r w:rsidRPr="00C41EB8">
              <w:rPr>
                <w:iCs/>
                <w:sz w:val="20"/>
              </w:rPr>
              <w:t xml:space="preserve">Rīcības virziena 4.1. “Izglītības sistēmas un iestāžu efektīvas pārvaldības </w:t>
            </w:r>
            <w:r>
              <w:rPr>
                <w:iCs/>
                <w:sz w:val="20"/>
              </w:rPr>
              <w:t>veidošana” uzdevums nr. 4.1.1. “</w:t>
            </w:r>
            <w:r w:rsidRPr="00C41EB8">
              <w:rPr>
                <w:iCs/>
                <w:sz w:val="20"/>
              </w:rPr>
              <w:t>Pilnveidot izglītības sistēmas dalībnieku funkcijas un atbildību sistēmas efektīvai funkci</w:t>
            </w:r>
            <w:r>
              <w:rPr>
                <w:iCs/>
                <w:sz w:val="20"/>
              </w:rPr>
              <w:t>onēšanai”, uzdevums nr. 4.1.2. “</w:t>
            </w:r>
            <w:r w:rsidRPr="00C41EB8">
              <w:rPr>
                <w:iCs/>
                <w:sz w:val="20"/>
              </w:rPr>
              <w:t>Efektīvu izglītības iestāžu pārvaldības modeļu attīstība un iestāžu vadības kapacitātes stiprināšana pārmaiņu vadībā, “mācīšanās organizācijas” pieejas īstenošanā un izglītības resursu koplietošanā”.</w:t>
            </w:r>
          </w:p>
          <w:p w14:paraId="4A672FFC" w14:textId="77777777" w:rsidR="007545BD" w:rsidRPr="00C41EB8" w:rsidRDefault="007545BD" w:rsidP="00A73208">
            <w:pPr>
              <w:spacing w:before="0" w:after="0"/>
              <w:rPr>
                <w:rFonts w:eastAsia="Times New Roman"/>
                <w:iCs/>
                <w:noProof/>
                <w:sz w:val="20"/>
              </w:rPr>
            </w:pPr>
          </w:p>
        </w:tc>
      </w:tr>
      <w:tr w:rsidR="007545BD" w:rsidRPr="00C41EB8" w14:paraId="3F407D65" w14:textId="77777777" w:rsidTr="00A73208">
        <w:tc>
          <w:tcPr>
            <w:tcW w:w="562" w:type="dxa"/>
          </w:tcPr>
          <w:p w14:paraId="297DD7E6"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5BD04DD2" w14:textId="77777777" w:rsidR="007545BD" w:rsidRPr="00C41EB8" w:rsidRDefault="007545BD" w:rsidP="00A73208">
            <w:pPr>
              <w:spacing w:before="0" w:after="0"/>
              <w:jc w:val="left"/>
              <w:rPr>
                <w:noProof/>
                <w:sz w:val="20"/>
              </w:rPr>
            </w:pPr>
          </w:p>
        </w:tc>
        <w:tc>
          <w:tcPr>
            <w:tcW w:w="851" w:type="dxa"/>
            <w:vMerge/>
          </w:tcPr>
          <w:p w14:paraId="61466520" w14:textId="77777777" w:rsidR="007545BD" w:rsidRPr="00C41EB8" w:rsidRDefault="007545BD" w:rsidP="00A73208">
            <w:pPr>
              <w:spacing w:before="0" w:after="0"/>
              <w:jc w:val="left"/>
              <w:rPr>
                <w:rFonts w:eastAsia="Times New Roman"/>
                <w:iCs/>
                <w:noProof/>
                <w:sz w:val="20"/>
              </w:rPr>
            </w:pPr>
          </w:p>
        </w:tc>
        <w:tc>
          <w:tcPr>
            <w:tcW w:w="1134" w:type="dxa"/>
            <w:vMerge/>
          </w:tcPr>
          <w:p w14:paraId="64A275C8" w14:textId="77777777" w:rsidR="007545BD" w:rsidRPr="00C41EB8" w:rsidRDefault="007545BD" w:rsidP="00A73208">
            <w:pPr>
              <w:spacing w:before="0" w:after="0"/>
              <w:jc w:val="left"/>
              <w:rPr>
                <w:rFonts w:eastAsia="Times New Roman"/>
                <w:iCs/>
                <w:noProof/>
                <w:sz w:val="20"/>
              </w:rPr>
            </w:pPr>
          </w:p>
        </w:tc>
        <w:tc>
          <w:tcPr>
            <w:tcW w:w="850" w:type="dxa"/>
            <w:vMerge/>
          </w:tcPr>
          <w:p w14:paraId="478D6ED8" w14:textId="77777777" w:rsidR="007545BD" w:rsidRPr="00C41EB8" w:rsidRDefault="007545BD" w:rsidP="00A73208">
            <w:pPr>
              <w:spacing w:before="0" w:after="0"/>
              <w:jc w:val="left"/>
              <w:rPr>
                <w:rFonts w:eastAsia="Times New Roman"/>
                <w:iCs/>
                <w:noProof/>
                <w:sz w:val="20"/>
              </w:rPr>
            </w:pPr>
          </w:p>
        </w:tc>
        <w:tc>
          <w:tcPr>
            <w:tcW w:w="2410" w:type="dxa"/>
          </w:tcPr>
          <w:p w14:paraId="17E2319B" w14:textId="77777777" w:rsidR="007545BD" w:rsidRPr="00C41EB8" w:rsidRDefault="007545BD" w:rsidP="00A73208">
            <w:pPr>
              <w:spacing w:before="0" w:after="0"/>
              <w:ind w:left="3"/>
              <w:jc w:val="left"/>
              <w:rPr>
                <w:noProof/>
                <w:sz w:val="20"/>
              </w:rPr>
            </w:pPr>
            <w:r w:rsidRPr="00C41EB8">
              <w:rPr>
                <w:noProof/>
                <w:sz w:val="20"/>
              </w:rPr>
              <w:t>4.Stratēģiskās politikas satvara uzraudzības, novērtēšanas un pārskatīšanas kārtību.</w:t>
            </w:r>
          </w:p>
        </w:tc>
        <w:tc>
          <w:tcPr>
            <w:tcW w:w="1134" w:type="dxa"/>
          </w:tcPr>
          <w:p w14:paraId="5B95D8AE" w14:textId="77777777" w:rsidR="007545BD" w:rsidRPr="00C41EB8" w:rsidRDefault="007545BD" w:rsidP="00A73208">
            <w:pPr>
              <w:spacing w:before="0" w:after="0"/>
              <w:jc w:val="left"/>
              <w:rPr>
                <w:noProof/>
                <w:sz w:val="20"/>
              </w:rPr>
            </w:pPr>
            <w:r w:rsidRPr="00C41EB8">
              <w:rPr>
                <w:noProof/>
                <w:sz w:val="20"/>
              </w:rPr>
              <w:t>Nē</w:t>
            </w:r>
          </w:p>
        </w:tc>
        <w:tc>
          <w:tcPr>
            <w:tcW w:w="2410" w:type="dxa"/>
          </w:tcPr>
          <w:p w14:paraId="1EA66F18" w14:textId="77777777" w:rsidR="007545BD" w:rsidRPr="00C41EB8" w:rsidRDefault="009A507A" w:rsidP="00A73208">
            <w:pPr>
              <w:spacing w:before="0" w:after="0"/>
              <w:jc w:val="left"/>
              <w:rPr>
                <w:noProof/>
                <w:sz w:val="20"/>
              </w:rPr>
            </w:pPr>
            <w:hyperlink r:id="rId132" w:history="1">
              <w:r w:rsidR="007545BD" w:rsidRPr="00C41EB8">
                <w:rPr>
                  <w:rStyle w:val="Hyperlink"/>
                  <w:iCs/>
                  <w:sz w:val="20"/>
                </w:rPr>
                <w:t>Izglītības attīstības pamatnostādnes 2021.-2027.gadam</w:t>
              </w:r>
            </w:hyperlink>
          </w:p>
        </w:tc>
        <w:tc>
          <w:tcPr>
            <w:tcW w:w="3686" w:type="dxa"/>
          </w:tcPr>
          <w:p w14:paraId="7200A410" w14:textId="77777777" w:rsidR="007545BD" w:rsidRPr="00C41EB8" w:rsidRDefault="007545BD" w:rsidP="00A73208">
            <w:pPr>
              <w:spacing w:before="0" w:after="0"/>
              <w:rPr>
                <w:b/>
                <w:iCs/>
                <w:sz w:val="20"/>
              </w:rPr>
            </w:pPr>
            <w:r w:rsidRPr="00C41EB8">
              <w:rPr>
                <w:b/>
                <w:iCs/>
                <w:sz w:val="20"/>
              </w:rPr>
              <w:t xml:space="preserve">4.kritērijs  </w:t>
            </w:r>
          </w:p>
          <w:p w14:paraId="1DA2EA6F" w14:textId="77777777" w:rsidR="007545BD" w:rsidRPr="00C41EB8" w:rsidRDefault="007545BD" w:rsidP="00A73208">
            <w:pPr>
              <w:spacing w:before="0" w:after="0"/>
              <w:rPr>
                <w:iCs/>
                <w:sz w:val="20"/>
              </w:rPr>
            </w:pPr>
            <w:r w:rsidRPr="00C41EB8">
              <w:rPr>
                <w:iCs/>
                <w:sz w:val="20"/>
              </w:rPr>
              <w:t>Izglītības attīstības pamatnostādnes 2021.-2027.gadam:</w:t>
            </w:r>
          </w:p>
          <w:p w14:paraId="0E08581A" w14:textId="77777777" w:rsidR="007545BD" w:rsidRPr="00C41EB8" w:rsidRDefault="007545BD" w:rsidP="00A73208">
            <w:pPr>
              <w:spacing w:before="0" w:after="0"/>
              <w:rPr>
                <w:iCs/>
                <w:sz w:val="20"/>
              </w:rPr>
            </w:pPr>
            <w:r w:rsidRPr="00C41EB8">
              <w:rPr>
                <w:iCs/>
                <w:sz w:val="20"/>
              </w:rPr>
              <w:t xml:space="preserve">Rīcības virziena 4.2. </w:t>
            </w:r>
            <w:r>
              <w:rPr>
                <w:iCs/>
                <w:sz w:val="20"/>
              </w:rPr>
              <w:t>“</w:t>
            </w:r>
            <w:r w:rsidRPr="00C41EB8">
              <w:rPr>
                <w:iCs/>
                <w:sz w:val="20"/>
              </w:rPr>
              <w:t>Pētniecībā un pierādījumos balstīta, lietotājcentrēta izglītības</w:t>
            </w:r>
            <w:r>
              <w:rPr>
                <w:iCs/>
                <w:sz w:val="20"/>
              </w:rPr>
              <w:t xml:space="preserve"> politika” uzdevums nr. 4.2.1. “</w:t>
            </w:r>
            <w:r w:rsidRPr="00C41EB8">
              <w:rPr>
                <w:iCs/>
                <w:sz w:val="20"/>
              </w:rPr>
              <w:t>Attīstīt un stiprināt izglītības politikas veidotāju un īstenotāju stratēģisko, analītisko un datu pratības ka</w:t>
            </w:r>
            <w:r>
              <w:rPr>
                <w:iCs/>
                <w:sz w:val="20"/>
              </w:rPr>
              <w:t>pacitāti”, uzdevums nr. 4.2.2. “</w:t>
            </w:r>
            <w:r w:rsidRPr="00C41EB8">
              <w:rPr>
                <w:iCs/>
                <w:sz w:val="20"/>
              </w:rPr>
              <w:t>Pilnveidot izglītības kvalitātes vadības un monitoringa sistēmu”.</w:t>
            </w:r>
          </w:p>
          <w:p w14:paraId="7128A4A0" w14:textId="77777777" w:rsidR="007545BD" w:rsidRPr="00C41EB8" w:rsidRDefault="007545BD" w:rsidP="00A73208">
            <w:pPr>
              <w:spacing w:before="0" w:after="0"/>
              <w:rPr>
                <w:rFonts w:eastAsia="Times New Roman"/>
                <w:iCs/>
                <w:noProof/>
                <w:sz w:val="20"/>
              </w:rPr>
            </w:pPr>
          </w:p>
        </w:tc>
      </w:tr>
      <w:tr w:rsidR="007545BD" w:rsidRPr="00C41EB8" w14:paraId="40A348CE" w14:textId="77777777" w:rsidTr="00A73208">
        <w:tc>
          <w:tcPr>
            <w:tcW w:w="562" w:type="dxa"/>
          </w:tcPr>
          <w:p w14:paraId="28175B7E"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231DB569" w14:textId="77777777" w:rsidR="007545BD" w:rsidRPr="00C41EB8" w:rsidRDefault="007545BD" w:rsidP="00A73208">
            <w:pPr>
              <w:spacing w:before="0" w:after="0"/>
              <w:jc w:val="left"/>
              <w:rPr>
                <w:noProof/>
                <w:sz w:val="20"/>
              </w:rPr>
            </w:pPr>
          </w:p>
        </w:tc>
        <w:tc>
          <w:tcPr>
            <w:tcW w:w="851" w:type="dxa"/>
            <w:vMerge/>
          </w:tcPr>
          <w:p w14:paraId="45C53F4E" w14:textId="77777777" w:rsidR="007545BD" w:rsidRPr="00C41EB8" w:rsidRDefault="007545BD" w:rsidP="00A73208">
            <w:pPr>
              <w:spacing w:before="0" w:after="0"/>
              <w:jc w:val="left"/>
              <w:rPr>
                <w:rFonts w:eastAsia="Times New Roman"/>
                <w:iCs/>
                <w:noProof/>
                <w:sz w:val="20"/>
              </w:rPr>
            </w:pPr>
          </w:p>
        </w:tc>
        <w:tc>
          <w:tcPr>
            <w:tcW w:w="1134" w:type="dxa"/>
            <w:vMerge/>
          </w:tcPr>
          <w:p w14:paraId="3B1A7C16" w14:textId="77777777" w:rsidR="007545BD" w:rsidRPr="00C41EB8" w:rsidRDefault="007545BD" w:rsidP="00A73208">
            <w:pPr>
              <w:spacing w:before="0" w:after="0"/>
              <w:jc w:val="left"/>
              <w:rPr>
                <w:rFonts w:eastAsia="Times New Roman"/>
                <w:iCs/>
                <w:noProof/>
                <w:sz w:val="20"/>
              </w:rPr>
            </w:pPr>
          </w:p>
        </w:tc>
        <w:tc>
          <w:tcPr>
            <w:tcW w:w="850" w:type="dxa"/>
            <w:vMerge/>
          </w:tcPr>
          <w:p w14:paraId="02172F4A" w14:textId="77777777" w:rsidR="007545BD" w:rsidRPr="00C41EB8" w:rsidRDefault="007545BD" w:rsidP="00A73208">
            <w:pPr>
              <w:spacing w:before="0" w:after="0"/>
              <w:jc w:val="left"/>
              <w:rPr>
                <w:rFonts w:eastAsia="Times New Roman"/>
                <w:iCs/>
                <w:noProof/>
                <w:sz w:val="20"/>
              </w:rPr>
            </w:pPr>
          </w:p>
        </w:tc>
        <w:tc>
          <w:tcPr>
            <w:tcW w:w="2410" w:type="dxa"/>
          </w:tcPr>
          <w:p w14:paraId="4E7DCE73" w14:textId="77777777" w:rsidR="007545BD" w:rsidRPr="00C41EB8" w:rsidRDefault="007545BD" w:rsidP="00A73208">
            <w:pPr>
              <w:spacing w:before="0" w:after="0"/>
              <w:ind w:left="3"/>
              <w:jc w:val="left"/>
              <w:rPr>
                <w:noProof/>
                <w:sz w:val="20"/>
              </w:rPr>
            </w:pPr>
            <w:r w:rsidRPr="00C41EB8">
              <w:rPr>
                <w:noProof/>
                <w:sz w:val="20"/>
              </w:rPr>
              <w:t>5.Pasākumus un prasmju pilnveides veidus, kas vērsti uz  zemu prasmju, mazkvalificētiem pieaugušajiem un pieaugušajiem ar nelabvēlīgu sociāli ekonomisko vidi.</w:t>
            </w:r>
          </w:p>
        </w:tc>
        <w:tc>
          <w:tcPr>
            <w:tcW w:w="1134" w:type="dxa"/>
          </w:tcPr>
          <w:p w14:paraId="4B65DDD5" w14:textId="77777777" w:rsidR="007545BD" w:rsidRPr="00C41EB8" w:rsidRDefault="007545BD" w:rsidP="00A73208">
            <w:pPr>
              <w:spacing w:before="0" w:after="0"/>
              <w:jc w:val="left"/>
              <w:rPr>
                <w:noProof/>
                <w:sz w:val="20"/>
              </w:rPr>
            </w:pPr>
            <w:r w:rsidRPr="00786600">
              <w:rPr>
                <w:rFonts w:eastAsia="Times New Roman"/>
                <w:iCs/>
                <w:noProof/>
                <w:sz w:val="20"/>
              </w:rPr>
              <w:t>Nē</w:t>
            </w:r>
          </w:p>
        </w:tc>
        <w:tc>
          <w:tcPr>
            <w:tcW w:w="2410" w:type="dxa"/>
          </w:tcPr>
          <w:p w14:paraId="1DFC0CDF" w14:textId="77777777" w:rsidR="007545BD" w:rsidRPr="00C41EB8" w:rsidRDefault="009A507A" w:rsidP="00A73208">
            <w:pPr>
              <w:spacing w:before="0" w:after="0"/>
              <w:jc w:val="left"/>
              <w:rPr>
                <w:noProof/>
                <w:sz w:val="20"/>
              </w:rPr>
            </w:pPr>
            <w:hyperlink r:id="rId133" w:history="1">
              <w:r w:rsidR="007545BD" w:rsidRPr="00C41EB8">
                <w:rPr>
                  <w:rStyle w:val="Hyperlink"/>
                  <w:iCs/>
                  <w:sz w:val="20"/>
                </w:rPr>
                <w:t>Izglītības attīstības pamatnostādnes 2021.-2027.gadam</w:t>
              </w:r>
            </w:hyperlink>
          </w:p>
        </w:tc>
        <w:tc>
          <w:tcPr>
            <w:tcW w:w="3686" w:type="dxa"/>
          </w:tcPr>
          <w:p w14:paraId="69868E57" w14:textId="77777777" w:rsidR="007545BD" w:rsidRPr="00C41EB8" w:rsidRDefault="007545BD" w:rsidP="00A73208">
            <w:pPr>
              <w:spacing w:before="0" w:after="0"/>
              <w:rPr>
                <w:b/>
                <w:iCs/>
                <w:sz w:val="20"/>
              </w:rPr>
            </w:pPr>
            <w:r w:rsidRPr="00C41EB8">
              <w:rPr>
                <w:b/>
                <w:iCs/>
                <w:sz w:val="20"/>
              </w:rPr>
              <w:t xml:space="preserve">5.kritērijs  </w:t>
            </w:r>
          </w:p>
          <w:p w14:paraId="6A0F9CCF" w14:textId="77777777" w:rsidR="007545BD" w:rsidRPr="00C41EB8" w:rsidRDefault="007545BD" w:rsidP="00A73208">
            <w:pPr>
              <w:spacing w:before="0" w:after="0"/>
              <w:rPr>
                <w:iCs/>
                <w:sz w:val="20"/>
              </w:rPr>
            </w:pPr>
            <w:r w:rsidRPr="00C41EB8">
              <w:rPr>
                <w:iCs/>
                <w:sz w:val="20"/>
              </w:rPr>
              <w:t>Izglītības attīstības pamatnostādnes 2021.-2027.gadam:</w:t>
            </w:r>
          </w:p>
          <w:p w14:paraId="73FF9F0B" w14:textId="77777777" w:rsidR="007545BD" w:rsidRPr="00C41EB8" w:rsidRDefault="007545BD" w:rsidP="00A73208">
            <w:pPr>
              <w:spacing w:before="0" w:after="0"/>
              <w:rPr>
                <w:iCs/>
                <w:sz w:val="20"/>
              </w:rPr>
            </w:pPr>
            <w:r w:rsidRPr="00C41EB8">
              <w:rPr>
                <w:iCs/>
                <w:sz w:val="20"/>
              </w:rPr>
              <w:t xml:space="preserve">Rīcības virziena 3.3. “Pieaugušo izglītības attīstība” uzdevums </w:t>
            </w:r>
            <w:r>
              <w:rPr>
                <w:iCs/>
                <w:sz w:val="20"/>
              </w:rPr>
              <w:t>n</w:t>
            </w:r>
            <w:r w:rsidRPr="00C41EB8">
              <w:rPr>
                <w:iCs/>
                <w:sz w:val="20"/>
              </w:rPr>
              <w:t>r.3.3.1.</w:t>
            </w:r>
            <w:r>
              <w:rPr>
                <w:iCs/>
                <w:sz w:val="20"/>
              </w:rPr>
              <w:t xml:space="preserve"> “</w:t>
            </w:r>
            <w:r w:rsidRPr="00C41EB8">
              <w:rPr>
                <w:iCs/>
                <w:sz w:val="20"/>
              </w:rPr>
              <w:t xml:space="preserve">Kvalitatīvs un pieejams pieaugušo izglītības piedāvājums” un uzdevums </w:t>
            </w:r>
            <w:r>
              <w:rPr>
                <w:iCs/>
                <w:sz w:val="20"/>
              </w:rPr>
              <w:t>n</w:t>
            </w:r>
            <w:r w:rsidRPr="00C41EB8">
              <w:rPr>
                <w:iCs/>
                <w:sz w:val="20"/>
              </w:rPr>
              <w:t>r.3.3.2.</w:t>
            </w:r>
            <w:r>
              <w:rPr>
                <w:iCs/>
                <w:sz w:val="20"/>
              </w:rPr>
              <w:t xml:space="preserve"> “</w:t>
            </w:r>
            <w:r w:rsidRPr="00C41EB8">
              <w:rPr>
                <w:iCs/>
                <w:sz w:val="20"/>
              </w:rPr>
              <w:t>Ilgstspējīgas pieaugušo izglītības sistēmas attīstība”.</w:t>
            </w:r>
          </w:p>
          <w:p w14:paraId="30854DC7" w14:textId="77777777" w:rsidR="007545BD" w:rsidRPr="00C41EB8" w:rsidRDefault="009A507A" w:rsidP="00A73208">
            <w:pPr>
              <w:spacing w:before="0" w:after="0"/>
              <w:rPr>
                <w:iCs/>
                <w:sz w:val="20"/>
              </w:rPr>
            </w:pPr>
            <w:hyperlink r:id="rId134" w:history="1">
              <w:r w:rsidR="007545BD" w:rsidRPr="00C41EB8">
                <w:rPr>
                  <w:rStyle w:val="Hyperlink"/>
                  <w:iCs/>
                  <w:sz w:val="20"/>
                </w:rPr>
                <w:t>Sociālās aizsardzības un darba tirgus politikas pamatnostādnes  2021.-2027. gadam</w:t>
              </w:r>
            </w:hyperlink>
            <w:r w:rsidR="007545BD" w:rsidRPr="00C41EB8">
              <w:rPr>
                <w:iCs/>
                <w:sz w:val="20"/>
              </w:rPr>
              <w:t xml:space="preserve"> 3.rīcības virziens “Iekļaujošs darba tirgus ikvienam un kvalitatīvas darba vietas, atbalstot ilgtermiņa līdzdalību darba tirgū” uzdevums 1. “Paaugstināt bezdarbnieku,  darba meklētāju un bezdarba riskam pakļauto personu konkurētspēju un reaģēšanu uz darba tirgus transformāciju un nepieciešamību pielāgoties aktuālajai situācijai darba tirgū, t.sk.: 1.1. Pilnveidojot bezdarbnieku, darba meklētāju un bezdarba riskam pakļauto personu darba tirgum nepieciešamās zināšanas un prasmes; 1.5.</w:t>
            </w:r>
            <w:r w:rsidR="007545BD" w:rsidRPr="00C41EB8">
              <w:rPr>
                <w:sz w:val="20"/>
              </w:rPr>
              <w:t xml:space="preserve"> </w:t>
            </w:r>
            <w:r w:rsidR="007545BD" w:rsidRPr="00C41EB8">
              <w:rPr>
                <w:iCs/>
                <w:sz w:val="20"/>
              </w:rPr>
              <w:t>pilnveidojot subsidētās, pagaidu nodarbinātības un darbam nepieciešamo iemaņu attīstības pasākumus”</w:t>
            </w:r>
          </w:p>
          <w:p w14:paraId="05058A9C" w14:textId="77777777" w:rsidR="007545BD" w:rsidRPr="00C41EB8" w:rsidRDefault="007545BD" w:rsidP="00A73208">
            <w:pPr>
              <w:spacing w:before="0" w:after="0"/>
              <w:rPr>
                <w:rFonts w:eastAsia="Times New Roman"/>
                <w:iCs/>
                <w:noProof/>
                <w:sz w:val="20"/>
              </w:rPr>
            </w:pPr>
          </w:p>
        </w:tc>
      </w:tr>
      <w:tr w:rsidR="007545BD" w:rsidRPr="00C41EB8" w14:paraId="1BD27310" w14:textId="77777777" w:rsidTr="00A73208">
        <w:tc>
          <w:tcPr>
            <w:tcW w:w="562" w:type="dxa"/>
          </w:tcPr>
          <w:p w14:paraId="532CE146"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7BCB1D7B" w14:textId="77777777" w:rsidR="007545BD" w:rsidRPr="00C41EB8" w:rsidRDefault="007545BD" w:rsidP="00A73208">
            <w:pPr>
              <w:spacing w:before="0" w:after="0"/>
              <w:jc w:val="left"/>
              <w:rPr>
                <w:noProof/>
                <w:sz w:val="20"/>
              </w:rPr>
            </w:pPr>
          </w:p>
        </w:tc>
        <w:tc>
          <w:tcPr>
            <w:tcW w:w="851" w:type="dxa"/>
            <w:vMerge/>
          </w:tcPr>
          <w:p w14:paraId="3A36FCD5" w14:textId="77777777" w:rsidR="007545BD" w:rsidRPr="00C41EB8" w:rsidRDefault="007545BD" w:rsidP="00A73208">
            <w:pPr>
              <w:spacing w:before="0" w:after="0"/>
              <w:jc w:val="left"/>
              <w:rPr>
                <w:rFonts w:eastAsia="Times New Roman"/>
                <w:iCs/>
                <w:noProof/>
                <w:sz w:val="20"/>
              </w:rPr>
            </w:pPr>
          </w:p>
        </w:tc>
        <w:tc>
          <w:tcPr>
            <w:tcW w:w="1134" w:type="dxa"/>
            <w:vMerge/>
          </w:tcPr>
          <w:p w14:paraId="6A8E48AD" w14:textId="77777777" w:rsidR="007545BD" w:rsidRPr="00C41EB8" w:rsidRDefault="007545BD" w:rsidP="00A73208">
            <w:pPr>
              <w:spacing w:before="0" w:after="0"/>
              <w:jc w:val="left"/>
              <w:rPr>
                <w:rFonts w:eastAsia="Times New Roman"/>
                <w:iCs/>
                <w:noProof/>
                <w:sz w:val="20"/>
              </w:rPr>
            </w:pPr>
          </w:p>
        </w:tc>
        <w:tc>
          <w:tcPr>
            <w:tcW w:w="850" w:type="dxa"/>
            <w:vMerge/>
          </w:tcPr>
          <w:p w14:paraId="6F86F1C2" w14:textId="77777777" w:rsidR="007545BD" w:rsidRPr="00C41EB8" w:rsidRDefault="007545BD" w:rsidP="00A73208">
            <w:pPr>
              <w:spacing w:before="0" w:after="0"/>
              <w:jc w:val="left"/>
              <w:rPr>
                <w:rFonts w:eastAsia="Times New Roman"/>
                <w:iCs/>
                <w:noProof/>
                <w:sz w:val="20"/>
              </w:rPr>
            </w:pPr>
          </w:p>
        </w:tc>
        <w:tc>
          <w:tcPr>
            <w:tcW w:w="2410" w:type="dxa"/>
          </w:tcPr>
          <w:p w14:paraId="26F5824F" w14:textId="77777777" w:rsidR="007545BD" w:rsidRPr="00C41EB8" w:rsidRDefault="007545BD" w:rsidP="00A73208">
            <w:pPr>
              <w:spacing w:before="0" w:after="0"/>
              <w:ind w:left="3"/>
              <w:jc w:val="left"/>
              <w:rPr>
                <w:noProof/>
                <w:sz w:val="20"/>
              </w:rPr>
            </w:pPr>
            <w:r w:rsidRPr="00C41EB8">
              <w:rPr>
                <w:noProof/>
                <w:sz w:val="20"/>
              </w:rPr>
              <w:t>6.Pasākumus skolotāju, pasniedzēju un akadēmiskā personāla atbalstam, kas ietver piemērotas mācīšanās metodes, pamatprasmju novērtēšanu un pārbaudi.</w:t>
            </w:r>
          </w:p>
        </w:tc>
        <w:tc>
          <w:tcPr>
            <w:tcW w:w="1134" w:type="dxa"/>
          </w:tcPr>
          <w:p w14:paraId="3394DAA8" w14:textId="77777777" w:rsidR="007545BD" w:rsidRPr="00C41EB8" w:rsidRDefault="007545BD" w:rsidP="00A73208">
            <w:pPr>
              <w:spacing w:before="0" w:after="0"/>
              <w:jc w:val="left"/>
              <w:rPr>
                <w:noProof/>
                <w:sz w:val="20"/>
              </w:rPr>
            </w:pPr>
            <w:r w:rsidRPr="00C41EB8">
              <w:rPr>
                <w:noProof/>
                <w:sz w:val="20"/>
              </w:rPr>
              <w:t>Nē</w:t>
            </w:r>
          </w:p>
        </w:tc>
        <w:tc>
          <w:tcPr>
            <w:tcW w:w="2410" w:type="dxa"/>
          </w:tcPr>
          <w:p w14:paraId="70951D38" w14:textId="77777777" w:rsidR="007545BD" w:rsidRPr="00C41EB8" w:rsidRDefault="009A507A" w:rsidP="00A73208">
            <w:pPr>
              <w:spacing w:before="0" w:after="0"/>
              <w:jc w:val="left"/>
              <w:rPr>
                <w:rStyle w:val="Hyperlink"/>
                <w:iCs/>
                <w:sz w:val="20"/>
              </w:rPr>
            </w:pPr>
            <w:hyperlink r:id="rId135" w:history="1">
              <w:r w:rsidR="007545BD" w:rsidRPr="00C41EB8">
                <w:rPr>
                  <w:rStyle w:val="Hyperlink"/>
                  <w:iCs/>
                  <w:sz w:val="20"/>
                </w:rPr>
                <w:t>Izglītības attīstības pamatnostādnes 2021.-2027.gadam</w:t>
              </w:r>
            </w:hyperlink>
          </w:p>
          <w:p w14:paraId="238EE468" w14:textId="77777777" w:rsidR="007545BD" w:rsidRDefault="007545BD" w:rsidP="00A73208">
            <w:pPr>
              <w:spacing w:before="0" w:after="0"/>
              <w:jc w:val="left"/>
              <w:rPr>
                <w:noProof/>
                <w:sz w:val="20"/>
              </w:rPr>
            </w:pPr>
          </w:p>
          <w:p w14:paraId="3BDD3562" w14:textId="77777777" w:rsidR="007545BD" w:rsidRPr="00C41EB8" w:rsidRDefault="009A507A" w:rsidP="00A73208">
            <w:pPr>
              <w:spacing w:before="0" w:after="0"/>
              <w:jc w:val="left"/>
              <w:rPr>
                <w:noProof/>
                <w:sz w:val="20"/>
              </w:rPr>
            </w:pPr>
            <w:hyperlink r:id="rId136" w:history="1">
              <w:r w:rsidR="007545BD" w:rsidRPr="00C41EB8">
                <w:rPr>
                  <w:rStyle w:val="Hyperlink"/>
                  <w:sz w:val="20"/>
                </w:rPr>
                <w:t>Kultūrpolitikas pamatnostādnes 2021. -2027</w:t>
              </w:r>
            </w:hyperlink>
            <w:r w:rsidR="007545BD" w:rsidRPr="00C41EB8">
              <w:rPr>
                <w:sz w:val="20"/>
              </w:rPr>
              <w:t>.gadam (projekts - 08.03.2021.uzsākta publiskā apspriešana)</w:t>
            </w:r>
          </w:p>
        </w:tc>
        <w:tc>
          <w:tcPr>
            <w:tcW w:w="3686" w:type="dxa"/>
          </w:tcPr>
          <w:p w14:paraId="3055D502" w14:textId="77777777" w:rsidR="007545BD" w:rsidRPr="00C41EB8" w:rsidRDefault="007545BD" w:rsidP="00A73208">
            <w:pPr>
              <w:spacing w:before="0" w:after="0"/>
              <w:rPr>
                <w:b/>
                <w:iCs/>
                <w:sz w:val="20"/>
              </w:rPr>
            </w:pPr>
            <w:r w:rsidRPr="00C41EB8">
              <w:rPr>
                <w:b/>
                <w:iCs/>
                <w:sz w:val="20"/>
              </w:rPr>
              <w:t xml:space="preserve">6.kritērijs  </w:t>
            </w:r>
          </w:p>
          <w:sdt>
            <w:sdtPr>
              <w:rPr>
                <w:iCs/>
                <w:sz w:val="20"/>
              </w:rPr>
              <w:tag w:val="goog_rdk_252"/>
              <w:id w:val="837585676"/>
            </w:sdtPr>
            <w:sdtEndPr/>
            <w:sdtContent>
              <w:p w14:paraId="67D9707C" w14:textId="77777777" w:rsidR="007545BD" w:rsidRPr="00212E88" w:rsidRDefault="009A507A" w:rsidP="00A73208">
                <w:pPr>
                  <w:spacing w:before="0" w:after="0"/>
                  <w:rPr>
                    <w:iCs/>
                    <w:sz w:val="20"/>
                  </w:rPr>
                </w:pPr>
                <w:sdt>
                  <w:sdtPr>
                    <w:rPr>
                      <w:iCs/>
                      <w:sz w:val="20"/>
                    </w:rPr>
                    <w:tag w:val="goog_rdk_251"/>
                    <w:id w:val="1186787579"/>
                  </w:sdtPr>
                  <w:sdtEndPr/>
                  <w:sdtContent>
                    <w:r w:rsidR="007545BD" w:rsidRPr="00212E88">
                      <w:rPr>
                        <w:iCs/>
                        <w:sz w:val="20"/>
                      </w:rPr>
                      <w:t>Izglītības attīstības pamatnostādes 2021.- 2027.gadam.</w:t>
                    </w:r>
                  </w:sdtContent>
                </w:sdt>
              </w:p>
            </w:sdtContent>
          </w:sdt>
          <w:p w14:paraId="1BBD3F2F" w14:textId="77777777" w:rsidR="007545BD" w:rsidRPr="00C41EB8" w:rsidRDefault="009A507A" w:rsidP="00A73208">
            <w:pPr>
              <w:spacing w:before="0" w:after="0"/>
              <w:rPr>
                <w:iCs/>
                <w:sz w:val="20"/>
              </w:rPr>
            </w:pPr>
            <w:sdt>
              <w:sdtPr>
                <w:rPr>
                  <w:iCs/>
                  <w:sz w:val="20"/>
                </w:rPr>
                <w:tag w:val="goog_rdk_254"/>
                <w:id w:val="948980945"/>
              </w:sdtPr>
              <w:sdtEndPr/>
              <w:sdtContent>
                <w:sdt>
                  <w:sdtPr>
                    <w:rPr>
                      <w:iCs/>
                      <w:sz w:val="20"/>
                    </w:rPr>
                    <w:tag w:val="goog_rdk_253"/>
                    <w:id w:val="-1210173977"/>
                  </w:sdtPr>
                  <w:sdtEndPr/>
                  <w:sdtContent>
                    <w:r w:rsidR="007545BD" w:rsidRPr="00212E88">
                      <w:rPr>
                        <w:iCs/>
                        <w:sz w:val="20"/>
                      </w:rPr>
                      <w:t>Rīcības virziena 1.1. “Pedagogu sagatavošana, piesaiste un attīstība” uzdevums nr.1.1.1. “Attīstīt pedaogu sagatavošanas sistēmu”, uzdevums nr.1.1.2. “Nodrošināt kvalitatīvu un regulāru pedagogu profesionālo pilnveidi, metodisko un konsultatīvo atbalstu, mērķtiecīgi koordinējot dažādu pušu iesaisti un s</w:t>
                    </w:r>
                    <w:r w:rsidR="007545BD">
                      <w:rPr>
                        <w:iCs/>
                        <w:sz w:val="20"/>
                      </w:rPr>
                      <w:t>adarbību”, uzdevums nr. 1.1.3. “V</w:t>
                    </w:r>
                    <w:r w:rsidR="007545BD" w:rsidRPr="00212E88">
                      <w:rPr>
                        <w:iCs/>
                        <w:sz w:val="20"/>
                      </w:rPr>
                      <w:t>eidot ilgtspējīgus profesionālās pieredzes apmaiņas un sadarbības tīklus”; rīcības virziena 1.2. “Akadēmiskā personāla sagatavošana, piesaiste un attīstība” uzdevums Nr.1.2.1. “Nodrošināt jaunas akadēmiskā personāla sagatavošanas un profesionālās pilnveides sistēmas ieviešanu”</w:t>
                    </w:r>
                  </w:sdtContent>
                </w:sdt>
              </w:sdtContent>
            </w:sdt>
          </w:p>
          <w:p w14:paraId="462DA466" w14:textId="77777777" w:rsidR="007545BD" w:rsidRDefault="007545BD" w:rsidP="00A73208">
            <w:pPr>
              <w:spacing w:before="0" w:after="0"/>
              <w:rPr>
                <w:rFonts w:eastAsia="Times New Roman"/>
                <w:iCs/>
                <w:noProof/>
                <w:sz w:val="20"/>
              </w:rPr>
            </w:pPr>
          </w:p>
          <w:p w14:paraId="6008AAFA" w14:textId="77777777" w:rsidR="007545BD" w:rsidRPr="00C41EB8" w:rsidRDefault="009A507A" w:rsidP="00A73208">
            <w:pPr>
              <w:spacing w:before="0" w:after="0"/>
              <w:rPr>
                <w:rFonts w:eastAsia="Times New Roman"/>
                <w:iCs/>
                <w:noProof/>
                <w:sz w:val="20"/>
              </w:rPr>
            </w:pPr>
            <w:hyperlink r:id="rId137" w:history="1">
              <w:r w:rsidR="007545BD" w:rsidRPr="00C41EB8">
                <w:rPr>
                  <w:rStyle w:val="Hyperlink"/>
                  <w:rFonts w:eastAsia="Times New Roman"/>
                  <w:iCs/>
                  <w:noProof/>
                  <w:sz w:val="20"/>
                </w:rPr>
                <w:t>Kultūrpolitikas pamatnostādņu 2021. -2027</w:t>
              </w:r>
            </w:hyperlink>
            <w:r w:rsidR="007545BD" w:rsidRPr="00C41EB8">
              <w:rPr>
                <w:rFonts w:eastAsia="Times New Roman"/>
                <w:iCs/>
                <w:noProof/>
                <w:sz w:val="20"/>
              </w:rPr>
              <w:t xml:space="preserve">.gadam </w:t>
            </w:r>
            <w:r w:rsidR="007545BD" w:rsidRPr="00C41EB8">
              <w:rPr>
                <w:rFonts w:eastAsia="Times New Roman"/>
                <w:iCs/>
                <w:noProof/>
                <w:sz w:val="20"/>
                <w:u w:val="single"/>
              </w:rPr>
              <w:t>prioritāte Nr.4 "Talantu ataudze un kultūras darbinieku profesionālā izaugsme" nosaka mērķtiecīgi stiprināt kultūrizglītības sistēmu, lai stimulētu jaunu talantu attīstību un izaugsmi, nodrošināt kultūras nozarē strādājošo profesionālās pilnveides iespējas, kā arī stiprināt kultūras komponenti vispārējā izglītībā.</w:t>
            </w:r>
          </w:p>
          <w:p w14:paraId="4794356D" w14:textId="77777777" w:rsidR="007545BD" w:rsidRPr="00C41EB8" w:rsidRDefault="007545BD" w:rsidP="00A73208">
            <w:pPr>
              <w:spacing w:before="0" w:after="0"/>
              <w:rPr>
                <w:rFonts w:eastAsia="Times New Roman"/>
                <w:iCs/>
                <w:noProof/>
                <w:sz w:val="20"/>
              </w:rPr>
            </w:pPr>
            <w:r w:rsidRPr="00C41EB8">
              <w:rPr>
                <w:rFonts w:eastAsia="Times New Roman"/>
                <w:iCs/>
                <w:noProof/>
                <w:sz w:val="20"/>
              </w:rPr>
              <w:t xml:space="preserve">Kultūrizglītības nozares stratēģija 2021-2027.gadam ir </w:t>
            </w:r>
            <w:hyperlink r:id="rId138" w:history="1">
              <w:r w:rsidRPr="00C41EB8">
                <w:rPr>
                  <w:rStyle w:val="Hyperlink"/>
                  <w:rFonts w:eastAsia="Times New Roman"/>
                  <w:iCs/>
                  <w:noProof/>
                  <w:sz w:val="20"/>
                </w:rPr>
                <w:t>Kultūrpolitikas pamatnostādnes 2021. -2027</w:t>
              </w:r>
            </w:hyperlink>
            <w:r w:rsidRPr="00C41EB8">
              <w:rPr>
                <w:rFonts w:eastAsia="Times New Roman"/>
                <w:iCs/>
                <w:noProof/>
                <w:sz w:val="20"/>
              </w:rPr>
              <w:t>.gadam papildinošs plānošanas dokuments, kas tiks izstrādāts kā nozares detalizētāks rīcības plāns pamatnostādņu īstenošanai.</w:t>
            </w:r>
          </w:p>
        </w:tc>
      </w:tr>
      <w:tr w:rsidR="007545BD" w:rsidRPr="00C41EB8" w14:paraId="2EFF27D2" w14:textId="77777777" w:rsidTr="00A73208">
        <w:tc>
          <w:tcPr>
            <w:tcW w:w="562" w:type="dxa"/>
          </w:tcPr>
          <w:p w14:paraId="7394E5D5"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3241FEFC" w14:textId="77777777" w:rsidR="007545BD" w:rsidRPr="00C41EB8" w:rsidRDefault="007545BD" w:rsidP="00A73208">
            <w:pPr>
              <w:spacing w:before="0" w:after="0"/>
              <w:jc w:val="left"/>
              <w:rPr>
                <w:noProof/>
                <w:sz w:val="20"/>
              </w:rPr>
            </w:pPr>
          </w:p>
        </w:tc>
        <w:tc>
          <w:tcPr>
            <w:tcW w:w="851" w:type="dxa"/>
            <w:vMerge/>
          </w:tcPr>
          <w:p w14:paraId="28DFE4E3" w14:textId="77777777" w:rsidR="007545BD" w:rsidRPr="00C41EB8" w:rsidRDefault="007545BD" w:rsidP="00A73208">
            <w:pPr>
              <w:spacing w:before="0" w:after="0"/>
              <w:jc w:val="left"/>
              <w:rPr>
                <w:rFonts w:eastAsia="Times New Roman"/>
                <w:iCs/>
                <w:noProof/>
                <w:sz w:val="20"/>
              </w:rPr>
            </w:pPr>
          </w:p>
        </w:tc>
        <w:tc>
          <w:tcPr>
            <w:tcW w:w="1134" w:type="dxa"/>
            <w:vMerge/>
          </w:tcPr>
          <w:p w14:paraId="305C9C0D" w14:textId="77777777" w:rsidR="007545BD" w:rsidRPr="00C41EB8" w:rsidRDefault="007545BD" w:rsidP="00A73208">
            <w:pPr>
              <w:spacing w:before="0" w:after="0"/>
              <w:jc w:val="left"/>
              <w:rPr>
                <w:rFonts w:eastAsia="Times New Roman"/>
                <w:iCs/>
                <w:noProof/>
                <w:sz w:val="20"/>
              </w:rPr>
            </w:pPr>
          </w:p>
        </w:tc>
        <w:tc>
          <w:tcPr>
            <w:tcW w:w="850" w:type="dxa"/>
            <w:vMerge/>
          </w:tcPr>
          <w:p w14:paraId="6BDB726A" w14:textId="77777777" w:rsidR="007545BD" w:rsidRPr="00C41EB8" w:rsidRDefault="007545BD" w:rsidP="00A73208">
            <w:pPr>
              <w:spacing w:before="0" w:after="0"/>
              <w:jc w:val="left"/>
              <w:rPr>
                <w:rFonts w:eastAsia="Times New Roman"/>
                <w:iCs/>
                <w:noProof/>
                <w:sz w:val="20"/>
              </w:rPr>
            </w:pPr>
          </w:p>
        </w:tc>
        <w:tc>
          <w:tcPr>
            <w:tcW w:w="2410" w:type="dxa"/>
          </w:tcPr>
          <w:p w14:paraId="5CC14896" w14:textId="77777777" w:rsidR="007545BD" w:rsidRPr="00C41EB8" w:rsidRDefault="007545BD" w:rsidP="00A73208">
            <w:pPr>
              <w:spacing w:before="0" w:after="0"/>
              <w:ind w:left="3"/>
              <w:jc w:val="left"/>
              <w:rPr>
                <w:noProof/>
                <w:sz w:val="20"/>
              </w:rPr>
            </w:pPr>
            <w:r w:rsidRPr="00C41EB8">
              <w:rPr>
                <w:noProof/>
                <w:sz w:val="20"/>
              </w:rPr>
              <w:t>7.Pasākumus, ar ko veicina audzēkņu un mācībspēku mobilitāti un izglītības un mācību pakalpojumu sniedzēju starptautisko sadarbību, tostarp atzīstot mācību rezultātus un kvalifikāciju.</w:t>
            </w:r>
          </w:p>
        </w:tc>
        <w:tc>
          <w:tcPr>
            <w:tcW w:w="1134" w:type="dxa"/>
          </w:tcPr>
          <w:p w14:paraId="7E0A9AE6" w14:textId="77777777" w:rsidR="007545BD" w:rsidRPr="00C41EB8" w:rsidRDefault="007545BD" w:rsidP="00A73208">
            <w:pPr>
              <w:spacing w:before="0" w:after="0"/>
              <w:jc w:val="left"/>
              <w:rPr>
                <w:noProof/>
                <w:sz w:val="20"/>
              </w:rPr>
            </w:pPr>
            <w:r w:rsidRPr="00C41EB8">
              <w:rPr>
                <w:noProof/>
                <w:sz w:val="20"/>
              </w:rPr>
              <w:t>Nē</w:t>
            </w:r>
          </w:p>
        </w:tc>
        <w:tc>
          <w:tcPr>
            <w:tcW w:w="2410" w:type="dxa"/>
          </w:tcPr>
          <w:p w14:paraId="77E565C8" w14:textId="77777777" w:rsidR="007545BD" w:rsidRPr="00C41EB8" w:rsidRDefault="009A507A" w:rsidP="00A73208">
            <w:pPr>
              <w:spacing w:before="0" w:after="0"/>
              <w:jc w:val="left"/>
              <w:rPr>
                <w:noProof/>
                <w:sz w:val="20"/>
              </w:rPr>
            </w:pPr>
            <w:hyperlink r:id="rId139" w:history="1">
              <w:r w:rsidR="007545BD" w:rsidRPr="00C41EB8">
                <w:rPr>
                  <w:rStyle w:val="Hyperlink"/>
                  <w:iCs/>
                  <w:sz w:val="20"/>
                </w:rPr>
                <w:t>Izglītības attīstības pamatnostādnes 2021.-2027.gadam</w:t>
              </w:r>
            </w:hyperlink>
          </w:p>
        </w:tc>
        <w:tc>
          <w:tcPr>
            <w:tcW w:w="3686" w:type="dxa"/>
          </w:tcPr>
          <w:p w14:paraId="367EB027" w14:textId="77777777" w:rsidR="007545BD" w:rsidRPr="00C41EB8" w:rsidRDefault="007545BD" w:rsidP="00A73208">
            <w:pPr>
              <w:spacing w:before="0" w:after="0"/>
              <w:rPr>
                <w:b/>
                <w:iCs/>
                <w:sz w:val="20"/>
              </w:rPr>
            </w:pPr>
            <w:r w:rsidRPr="00C41EB8">
              <w:rPr>
                <w:b/>
                <w:iCs/>
                <w:sz w:val="20"/>
              </w:rPr>
              <w:t xml:space="preserve">7.kritērijs </w:t>
            </w:r>
          </w:p>
          <w:p w14:paraId="3538A3CE" w14:textId="77777777" w:rsidR="007545BD" w:rsidRPr="00C41EB8" w:rsidRDefault="007545BD" w:rsidP="00A73208">
            <w:pPr>
              <w:spacing w:before="0" w:after="0"/>
              <w:rPr>
                <w:iCs/>
                <w:sz w:val="20"/>
              </w:rPr>
            </w:pPr>
            <w:r w:rsidRPr="00C41EB8">
              <w:rPr>
                <w:iCs/>
                <w:sz w:val="20"/>
              </w:rPr>
              <w:t>Izglītības attīstības pamatnostādes 2021.- 2027.gadam:</w:t>
            </w:r>
          </w:p>
          <w:p w14:paraId="58F0F54B" w14:textId="77777777" w:rsidR="007545BD" w:rsidRPr="00C41EB8" w:rsidRDefault="007545BD" w:rsidP="00A73208">
            <w:pPr>
              <w:spacing w:before="0" w:after="0"/>
              <w:rPr>
                <w:rFonts w:eastAsia="Times New Roman"/>
                <w:iCs/>
                <w:noProof/>
                <w:sz w:val="20"/>
              </w:rPr>
            </w:pPr>
            <w:r w:rsidRPr="00C41EB8">
              <w:rPr>
                <w:iCs/>
                <w:sz w:val="20"/>
              </w:rPr>
              <w:t>Rīcības virziena 2.3. “Izglītības attīstībai nozīmīgu partnerību veidošana” uzdevums Nr.2.3.1. “Internacionalizācijas un starptautiskās sadarbības nodrošināšana mūsdienīgas un kvalitatīvas izglītības attīstībai”.</w:t>
            </w:r>
          </w:p>
        </w:tc>
      </w:tr>
      <w:tr w:rsidR="007545BD" w:rsidRPr="00C41EB8" w14:paraId="071A96E3" w14:textId="77777777" w:rsidTr="00A73208">
        <w:tc>
          <w:tcPr>
            <w:tcW w:w="562" w:type="dxa"/>
            <w:shd w:val="clear" w:color="auto" w:fill="D9D9D9" w:themeFill="background1" w:themeFillShade="D9"/>
          </w:tcPr>
          <w:p w14:paraId="0DA77A82"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val="restart"/>
            <w:shd w:val="clear" w:color="auto" w:fill="D9D9D9" w:themeFill="background1" w:themeFillShade="D9"/>
          </w:tcPr>
          <w:p w14:paraId="6D13912F" w14:textId="77777777" w:rsidR="007545BD" w:rsidRPr="00C41EB8" w:rsidRDefault="007545BD" w:rsidP="00A73208">
            <w:pPr>
              <w:spacing w:before="0" w:after="0"/>
              <w:jc w:val="left"/>
              <w:rPr>
                <w:noProof/>
                <w:sz w:val="20"/>
              </w:rPr>
            </w:pPr>
            <w:r w:rsidRPr="00C41EB8">
              <w:rPr>
                <w:noProof/>
                <w:sz w:val="20"/>
              </w:rPr>
              <w:t>Tematiskais priekšnosacījums Nr.13</w:t>
            </w:r>
          </w:p>
          <w:p w14:paraId="22B5AE9D" w14:textId="77777777" w:rsidR="007545BD" w:rsidRPr="00C41EB8" w:rsidRDefault="007545BD" w:rsidP="00A73208">
            <w:pPr>
              <w:spacing w:before="0" w:after="0"/>
              <w:jc w:val="left"/>
              <w:rPr>
                <w:noProof/>
                <w:sz w:val="20"/>
              </w:rPr>
            </w:pPr>
            <w:r w:rsidRPr="00C41EB8">
              <w:rPr>
                <w:noProof/>
                <w:sz w:val="20"/>
              </w:rPr>
              <w:t xml:space="preserve">Valsts stratēģiskās politikas satvars </w:t>
            </w:r>
            <w:r w:rsidRPr="00C41EB8">
              <w:rPr>
                <w:b/>
                <w:bCs/>
                <w:noProof/>
                <w:sz w:val="20"/>
              </w:rPr>
              <w:t>sociālās iekļaušanas un nabadzības</w:t>
            </w:r>
            <w:r w:rsidRPr="00C41EB8">
              <w:rPr>
                <w:noProof/>
                <w:sz w:val="20"/>
              </w:rPr>
              <w:t xml:space="preserve"> mazināšanas jomā</w:t>
            </w:r>
          </w:p>
        </w:tc>
        <w:tc>
          <w:tcPr>
            <w:tcW w:w="851" w:type="dxa"/>
            <w:vMerge w:val="restart"/>
            <w:shd w:val="clear" w:color="auto" w:fill="D9D9D9" w:themeFill="background1" w:themeFillShade="D9"/>
          </w:tcPr>
          <w:p w14:paraId="2EF87E4D"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ERAF, ESF+</w:t>
            </w:r>
          </w:p>
        </w:tc>
        <w:tc>
          <w:tcPr>
            <w:tcW w:w="1134" w:type="dxa"/>
            <w:vMerge w:val="restart"/>
            <w:shd w:val="clear" w:color="auto" w:fill="D9D9D9" w:themeFill="background1" w:themeFillShade="D9"/>
          </w:tcPr>
          <w:p w14:paraId="0E120B78"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4.1.3.SAM</w:t>
            </w:r>
          </w:p>
          <w:p w14:paraId="654EB69C"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4.2.1.SAM</w:t>
            </w:r>
          </w:p>
          <w:p w14:paraId="17C06B78"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4.3.1.SAM</w:t>
            </w:r>
          </w:p>
          <w:p w14:paraId="4BE7AA8B"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4.3.3.SAM</w:t>
            </w:r>
          </w:p>
          <w:p w14:paraId="11866912"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4.3.4.SAM</w:t>
            </w:r>
          </w:p>
          <w:p w14:paraId="6C799175"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4.3.5.SAM</w:t>
            </w:r>
          </w:p>
          <w:p w14:paraId="0ECE1F02"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4.3.6.SAM</w:t>
            </w:r>
          </w:p>
        </w:tc>
        <w:tc>
          <w:tcPr>
            <w:tcW w:w="850" w:type="dxa"/>
            <w:vMerge w:val="restart"/>
            <w:shd w:val="clear" w:color="auto" w:fill="D9D9D9" w:themeFill="background1" w:themeFillShade="D9"/>
          </w:tcPr>
          <w:p w14:paraId="1488399D"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Nē</w:t>
            </w:r>
          </w:p>
        </w:tc>
        <w:tc>
          <w:tcPr>
            <w:tcW w:w="2410" w:type="dxa"/>
            <w:shd w:val="clear" w:color="auto" w:fill="D9D9D9" w:themeFill="background1" w:themeFillShade="D9"/>
          </w:tcPr>
          <w:p w14:paraId="4917041E" w14:textId="77777777" w:rsidR="007545BD" w:rsidRPr="00C41EB8" w:rsidRDefault="007545BD" w:rsidP="00A73208">
            <w:pPr>
              <w:spacing w:before="0" w:after="0"/>
              <w:ind w:left="3"/>
              <w:jc w:val="left"/>
              <w:rPr>
                <w:noProof/>
                <w:sz w:val="20"/>
              </w:rPr>
            </w:pPr>
            <w:r w:rsidRPr="00C41EB8">
              <w:rPr>
                <w:noProof/>
                <w:sz w:val="20"/>
              </w:rPr>
              <w:t>Ir sagatavots valsts stratēģiskās politikas satvars sociālās iekļaušanas un nabadzības mazināšanas jomā, un tas ietver:</w:t>
            </w:r>
          </w:p>
          <w:p w14:paraId="1305C2B3" w14:textId="77777777" w:rsidR="007545BD" w:rsidRPr="00C41EB8" w:rsidRDefault="007545BD" w:rsidP="00A73208">
            <w:pPr>
              <w:spacing w:before="0" w:after="0"/>
              <w:ind w:left="313" w:hanging="284"/>
              <w:jc w:val="left"/>
              <w:rPr>
                <w:noProof/>
                <w:sz w:val="20"/>
              </w:rPr>
            </w:pPr>
            <w:r w:rsidRPr="00C41EB8">
              <w:rPr>
                <w:noProof/>
                <w:sz w:val="20"/>
              </w:rPr>
              <w:t>1.</w:t>
            </w:r>
            <w:r w:rsidRPr="00C41EB8">
              <w:rPr>
                <w:noProof/>
                <w:sz w:val="20"/>
              </w:rPr>
              <w:tab/>
              <w:t>Uz pierādījumiem balstītus secinājumus par nabadzību un sociālo atstumtību, tostarp par bērnu nabadzību, piekļuvi kvalitatīvai pirmsskolas izglītībai un aprūpei, bezpajumtniecību, teritoriālo un izglītības segregāciju, ierobežotu piekļuvi pamatpakalpojumiem un infrastruktūrai, un par mazāk aizsargāto personu īpašajām vajadzībām visās vecuma grupās.</w:t>
            </w:r>
          </w:p>
        </w:tc>
        <w:tc>
          <w:tcPr>
            <w:tcW w:w="1134" w:type="dxa"/>
            <w:shd w:val="clear" w:color="auto" w:fill="D9D9D9" w:themeFill="background1" w:themeFillShade="D9"/>
          </w:tcPr>
          <w:p w14:paraId="5F0B11A9" w14:textId="77777777" w:rsidR="007545BD" w:rsidRPr="00C41EB8" w:rsidRDefault="007545BD" w:rsidP="00A73208">
            <w:pPr>
              <w:spacing w:before="0" w:after="0"/>
              <w:jc w:val="left"/>
              <w:rPr>
                <w:noProof/>
                <w:sz w:val="20"/>
              </w:rPr>
            </w:pPr>
            <w:r w:rsidRPr="00C41EB8">
              <w:rPr>
                <w:noProof/>
                <w:sz w:val="20"/>
              </w:rPr>
              <w:t>Nē</w:t>
            </w:r>
          </w:p>
        </w:tc>
        <w:tc>
          <w:tcPr>
            <w:tcW w:w="2410" w:type="dxa"/>
            <w:shd w:val="clear" w:color="auto" w:fill="D9D9D9" w:themeFill="background1" w:themeFillShade="D9"/>
          </w:tcPr>
          <w:p w14:paraId="46B168EB" w14:textId="77777777" w:rsidR="007545BD" w:rsidRPr="00C41EB8" w:rsidRDefault="007545BD" w:rsidP="00A73208">
            <w:pPr>
              <w:spacing w:before="0" w:after="0"/>
              <w:jc w:val="left"/>
              <w:rPr>
                <w:noProof/>
                <w:sz w:val="20"/>
              </w:rPr>
            </w:pPr>
            <w:r w:rsidRPr="00C41EB8">
              <w:rPr>
                <w:noProof/>
                <w:sz w:val="20"/>
              </w:rPr>
              <w:t>1.kritērijs</w:t>
            </w:r>
          </w:p>
          <w:p w14:paraId="1F12E820" w14:textId="77777777" w:rsidR="007545BD" w:rsidRPr="00C41EB8" w:rsidRDefault="007545BD" w:rsidP="00A73208">
            <w:pPr>
              <w:spacing w:before="0" w:after="0"/>
              <w:jc w:val="left"/>
              <w:rPr>
                <w:noProof/>
                <w:sz w:val="20"/>
              </w:rPr>
            </w:pPr>
            <w:r w:rsidRPr="00C41EB8">
              <w:rPr>
                <w:noProof/>
                <w:sz w:val="20"/>
              </w:rPr>
              <w:t>Sociālās aizsardzības un darba tirgus politikas pamatnostādnes  2021.-2027. gadam;</w:t>
            </w:r>
          </w:p>
          <w:p w14:paraId="335FC48E" w14:textId="77777777" w:rsidR="007545BD" w:rsidRPr="00C41EB8" w:rsidRDefault="007545BD" w:rsidP="00A73208">
            <w:pPr>
              <w:spacing w:before="0" w:after="0"/>
              <w:jc w:val="left"/>
              <w:rPr>
                <w:noProof/>
                <w:sz w:val="20"/>
              </w:rPr>
            </w:pPr>
            <w:r w:rsidRPr="00C41EB8">
              <w:rPr>
                <w:noProof/>
                <w:sz w:val="20"/>
              </w:rPr>
              <w:t>Konceptuāls ziņojums “Universālās, agrīnās un selektīvās prevencijas reforma bērnu labklājības sistēmas pilnveidošanai”</w:t>
            </w:r>
          </w:p>
          <w:p w14:paraId="7C044683" w14:textId="77777777" w:rsidR="007545BD" w:rsidRPr="00C41EB8" w:rsidRDefault="007545BD" w:rsidP="00A73208">
            <w:pPr>
              <w:spacing w:before="0" w:after="0"/>
              <w:jc w:val="left"/>
              <w:rPr>
                <w:noProof/>
                <w:sz w:val="20"/>
              </w:rPr>
            </w:pPr>
            <w:r w:rsidRPr="00C41EB8">
              <w:rPr>
                <w:noProof/>
                <w:sz w:val="20"/>
              </w:rPr>
              <w:t>MK 30.10.2014. rīkojums Nr. 619 par koncepciju “Par minimālā ienākuma līmeņa noteikšanu”</w:t>
            </w:r>
          </w:p>
          <w:p w14:paraId="4B120201" w14:textId="77777777" w:rsidR="007545BD" w:rsidRPr="00C41EB8" w:rsidRDefault="007545BD" w:rsidP="00A73208">
            <w:pPr>
              <w:spacing w:before="0" w:after="0"/>
              <w:jc w:val="left"/>
              <w:rPr>
                <w:noProof/>
                <w:sz w:val="20"/>
              </w:rPr>
            </w:pPr>
            <w:r w:rsidRPr="00C41EB8">
              <w:rPr>
                <w:noProof/>
                <w:sz w:val="20"/>
              </w:rPr>
              <w:t>Konceptuālais ziņojums Starpnozaru sadarbības un atbalsta sistēmas pilnveide bērnu attīstības, uzvedības un psihisko traucējumu veidošanās risku mazināšanai (03.09.2019.)</w:t>
            </w:r>
          </w:p>
          <w:p w14:paraId="0CE3C84B" w14:textId="77777777" w:rsidR="007545BD" w:rsidRPr="00C41EB8" w:rsidRDefault="007545BD" w:rsidP="00A73208">
            <w:pPr>
              <w:spacing w:before="0" w:after="0"/>
              <w:jc w:val="left"/>
              <w:rPr>
                <w:noProof/>
                <w:sz w:val="20"/>
              </w:rPr>
            </w:pPr>
          </w:p>
          <w:p w14:paraId="19879640" w14:textId="77777777" w:rsidR="007545BD" w:rsidRPr="00C41EB8" w:rsidRDefault="007545BD" w:rsidP="00A73208">
            <w:pPr>
              <w:spacing w:before="0" w:after="0"/>
              <w:jc w:val="left"/>
              <w:rPr>
                <w:noProof/>
                <w:sz w:val="20"/>
              </w:rPr>
            </w:pPr>
            <w:r w:rsidRPr="00C41EB8">
              <w:rPr>
                <w:noProof/>
                <w:sz w:val="20"/>
              </w:rPr>
              <w:t>Resocializācijas politikas pamatnostādnes 2021-2027.gadam;</w:t>
            </w:r>
          </w:p>
          <w:p w14:paraId="019BE727" w14:textId="77777777" w:rsidR="007545BD" w:rsidRPr="00C41EB8" w:rsidRDefault="007545BD" w:rsidP="00A73208">
            <w:pPr>
              <w:spacing w:before="0" w:after="0"/>
              <w:jc w:val="left"/>
              <w:rPr>
                <w:noProof/>
                <w:sz w:val="20"/>
              </w:rPr>
            </w:pPr>
          </w:p>
          <w:p w14:paraId="54FF64BC" w14:textId="77777777" w:rsidR="007545BD" w:rsidRPr="00C41EB8" w:rsidRDefault="007545BD" w:rsidP="00A73208">
            <w:pPr>
              <w:spacing w:before="0" w:after="0"/>
              <w:jc w:val="left"/>
              <w:rPr>
                <w:noProof/>
                <w:sz w:val="20"/>
              </w:rPr>
            </w:pPr>
            <w:r w:rsidRPr="00C41EB8">
              <w:rPr>
                <w:noProof/>
                <w:sz w:val="20"/>
              </w:rPr>
              <w:t>Izglītības attīstības pamatnostādnes 2021.-2027.gadam</w:t>
            </w:r>
          </w:p>
          <w:p w14:paraId="64C86885" w14:textId="77777777" w:rsidR="007545BD" w:rsidRPr="00C41EB8" w:rsidRDefault="007545BD" w:rsidP="00A73208">
            <w:pPr>
              <w:spacing w:before="0" w:after="0"/>
              <w:jc w:val="left"/>
              <w:rPr>
                <w:noProof/>
                <w:sz w:val="20"/>
              </w:rPr>
            </w:pPr>
          </w:p>
          <w:p w14:paraId="775EB504" w14:textId="77777777" w:rsidR="007545BD" w:rsidRPr="00C41EB8" w:rsidRDefault="009A507A" w:rsidP="00A73208">
            <w:pPr>
              <w:spacing w:before="0" w:after="0"/>
              <w:jc w:val="left"/>
              <w:rPr>
                <w:noProof/>
                <w:sz w:val="20"/>
              </w:rPr>
            </w:pPr>
            <w:hyperlink r:id="rId140" w:tgtFrame="_blank" w:history="1">
              <w:r w:rsidR="007545BD" w:rsidRPr="00C41EB8">
                <w:rPr>
                  <w:rStyle w:val="Hyperlink"/>
                  <w:noProof/>
                  <w:sz w:val="20"/>
                </w:rPr>
                <w:t>Saliedētas un pilsoniski aktīvas sabiedrības pamatnostādnes 2021- 2027.gadam</w:t>
              </w:r>
            </w:hyperlink>
            <w:r w:rsidR="007545BD" w:rsidRPr="00C41EB8">
              <w:rPr>
                <w:noProof/>
                <w:sz w:val="20"/>
              </w:rPr>
              <w:t> (apstiprinātas ar MK 05.02.2021. rīkojumu Nr.72).</w:t>
            </w:r>
          </w:p>
        </w:tc>
        <w:tc>
          <w:tcPr>
            <w:tcW w:w="3686" w:type="dxa"/>
            <w:shd w:val="clear" w:color="auto" w:fill="D9D9D9" w:themeFill="background1" w:themeFillShade="D9"/>
          </w:tcPr>
          <w:p w14:paraId="07536094" w14:textId="77777777" w:rsidR="007545BD" w:rsidRPr="00C41EB8" w:rsidRDefault="007545BD" w:rsidP="00A73208">
            <w:pPr>
              <w:spacing w:before="0" w:after="0"/>
              <w:ind w:firstLine="461"/>
              <w:rPr>
                <w:rFonts w:eastAsia="Times New Roman"/>
                <w:b/>
                <w:sz w:val="20"/>
              </w:rPr>
            </w:pPr>
            <w:r w:rsidRPr="00C41EB8">
              <w:rPr>
                <w:rFonts w:eastAsia="Times New Roman"/>
                <w:b/>
                <w:sz w:val="20"/>
              </w:rPr>
              <w:t>1.kritērijs</w:t>
            </w:r>
          </w:p>
          <w:p w14:paraId="24ACC6A3" w14:textId="77777777" w:rsidR="007545BD" w:rsidRPr="00C41EB8" w:rsidRDefault="007545BD" w:rsidP="00A73208">
            <w:pPr>
              <w:spacing w:before="0" w:after="0"/>
              <w:ind w:firstLine="461"/>
              <w:rPr>
                <w:rFonts w:eastAsia="Times New Roman"/>
                <w:sz w:val="20"/>
              </w:rPr>
            </w:pPr>
            <w:r w:rsidRPr="00C41EB8">
              <w:rPr>
                <w:rFonts w:eastAsia="Times New Roman"/>
                <w:sz w:val="20"/>
              </w:rPr>
              <w:t>Izglītības attīstības pamatnostādnes 2021.-2027</w:t>
            </w:r>
            <w:r>
              <w:rPr>
                <w:rFonts w:eastAsia="Times New Roman"/>
                <w:sz w:val="20"/>
              </w:rPr>
              <w:t>.gadam - rīcības virziena 2.2. “</w:t>
            </w:r>
            <w:r w:rsidRPr="00C41EB8">
              <w:rPr>
                <w:rFonts w:eastAsia="Times New Roman"/>
                <w:sz w:val="20"/>
              </w:rPr>
              <w:t xml:space="preserve">Izglītības vides </w:t>
            </w:r>
            <w:r>
              <w:rPr>
                <w:rFonts w:eastAsia="Times New Roman"/>
                <w:sz w:val="20"/>
              </w:rPr>
              <w:t>attīstība” uzdevums nr. 2.2.1. “</w:t>
            </w:r>
            <w:r w:rsidRPr="00C41EB8">
              <w:rPr>
                <w:rFonts w:eastAsia="Times New Roman"/>
                <w:sz w:val="20"/>
              </w:rPr>
              <w:t xml:space="preserve">Stiprināt vispārējās izglītības iestāžu nodrošinājumu ar mūsdienīgas un kvalitatīvas izglītības īstenošanai nepieciešamajiem resursiem, mācību vidi un infrastruktūru”; rīcības virziena 3.1. „Institucionāli risinājumi atbalsta nodrošināšanai ikviena izaugsmei” uzdevums nr. 3.1.1. </w:t>
            </w:r>
            <w:r>
              <w:rPr>
                <w:rFonts w:eastAsia="Times New Roman"/>
                <w:sz w:val="20"/>
              </w:rPr>
              <w:t>“</w:t>
            </w:r>
            <w:r w:rsidRPr="00C41EB8">
              <w:rPr>
                <w:rFonts w:eastAsia="Times New Roman"/>
                <w:sz w:val="20"/>
              </w:rPr>
              <w:t xml:space="preserve">Nodrošināt iekļaujošas izglītības pieeju visos izglītības līmeņos”, uzdevums nr.3.1.2. </w:t>
            </w:r>
            <w:r>
              <w:rPr>
                <w:rFonts w:eastAsia="Times New Roman"/>
                <w:sz w:val="20"/>
              </w:rPr>
              <w:t>“</w:t>
            </w:r>
            <w:r w:rsidRPr="00C41EB8">
              <w:rPr>
                <w:rFonts w:eastAsia="Times New Roman"/>
                <w:sz w:val="20"/>
              </w:rPr>
              <w:t xml:space="preserve">Nodrošināt augstas kvalitātes speciālo izglītību”; rīcības virziena 3.2. </w:t>
            </w:r>
            <w:r>
              <w:rPr>
                <w:rFonts w:eastAsia="Times New Roman"/>
                <w:sz w:val="20"/>
              </w:rPr>
              <w:t>“</w:t>
            </w:r>
            <w:r w:rsidRPr="00C41EB8">
              <w:rPr>
                <w:rFonts w:eastAsia="Times New Roman"/>
                <w:sz w:val="20"/>
              </w:rPr>
              <w:t xml:space="preserve">Sadarbība un dalīta atbildība ar vietējo kopienu izglītības mērķu sasniegšanai” </w:t>
            </w:r>
            <w:r>
              <w:rPr>
                <w:rFonts w:eastAsia="Times New Roman"/>
                <w:sz w:val="20"/>
              </w:rPr>
              <w:t>uzdevums nr. 3.2.2. “</w:t>
            </w:r>
            <w:r w:rsidRPr="00C41EB8">
              <w:rPr>
                <w:rFonts w:eastAsia="Times New Roman"/>
                <w:sz w:val="20"/>
              </w:rPr>
              <w:t>Stiprināt kopienas mēroga sadarbību (pašvaldības ietvaros) indivīda izaugsmei”</w:t>
            </w:r>
          </w:p>
          <w:p w14:paraId="134D2FE3" w14:textId="77777777" w:rsidR="007545BD" w:rsidRPr="00C41EB8" w:rsidRDefault="007545BD" w:rsidP="00A73208">
            <w:pPr>
              <w:spacing w:before="0" w:after="0"/>
              <w:ind w:firstLine="467"/>
              <w:rPr>
                <w:b/>
                <w:iCs/>
                <w:sz w:val="20"/>
              </w:rPr>
            </w:pPr>
            <w:r w:rsidRPr="00C41EB8">
              <w:rPr>
                <w:rFonts w:eastAsia="Times New Roman"/>
                <w:sz w:val="20"/>
              </w:rPr>
              <w:t>Reģionālās politikas pamatnostādnēs 2021.-2027.gadam paredzēti atbalsta mehānismi, lai risinātu situāciju ar nepietiekamu pirmsskolas izglītības un bērnu pieskatīšanas pakalpojuma pieejamību.</w:t>
            </w:r>
          </w:p>
          <w:p w14:paraId="1332D4AF" w14:textId="77777777" w:rsidR="007545BD" w:rsidRPr="00C41EB8" w:rsidRDefault="007545BD" w:rsidP="00A73208">
            <w:pPr>
              <w:spacing w:before="0" w:after="0"/>
              <w:rPr>
                <w:rFonts w:eastAsia="Times New Roman"/>
                <w:iCs/>
                <w:noProof/>
                <w:sz w:val="20"/>
              </w:rPr>
            </w:pPr>
            <w:r w:rsidRPr="00C41EB8">
              <w:rPr>
                <w:rFonts w:eastAsia="Times New Roman"/>
                <w:iCs/>
                <w:noProof/>
                <w:sz w:val="20"/>
              </w:rPr>
              <w:t xml:space="preserve">Resocializācijas politikas mērķis ir mazināt noziedzīgās uzvedības riskus ieslodzītajiem un probācijas klientiem, tādējādi radot priekšnoteikumus personas veiksmīgai iekļaušanai sabiedrībā, tai skaitā aktīvai līdzdalībai sabiedrības procesos (arī nodarbināmības jomā). </w:t>
            </w:r>
          </w:p>
          <w:p w14:paraId="2016006A" w14:textId="77777777" w:rsidR="007545BD" w:rsidRPr="00C41EB8" w:rsidRDefault="007545BD" w:rsidP="00A73208">
            <w:pPr>
              <w:spacing w:before="0" w:after="0"/>
              <w:rPr>
                <w:rFonts w:eastAsia="Times New Roman"/>
                <w:iCs/>
                <w:noProof/>
                <w:sz w:val="20"/>
              </w:rPr>
            </w:pPr>
            <w:r w:rsidRPr="00C41EB8">
              <w:rPr>
                <w:rFonts w:eastAsia="Times New Roman"/>
                <w:iCs/>
                <w:noProof/>
                <w:sz w:val="20"/>
              </w:rPr>
              <w:t xml:space="preserve">Sabiedrības saliedētības pamatnostādņu 2021- </w:t>
            </w:r>
            <w:r>
              <w:rPr>
                <w:rFonts w:eastAsia="Times New Roman"/>
                <w:iCs/>
                <w:noProof/>
                <w:sz w:val="20"/>
              </w:rPr>
              <w:t>2027.gadam  2.rīcības virziena “</w:t>
            </w:r>
            <w:r w:rsidRPr="00C41EB8">
              <w:rPr>
                <w:rFonts w:eastAsia="Times New Roman"/>
                <w:iCs/>
                <w:noProof/>
                <w:sz w:val="20"/>
              </w:rPr>
              <w:t>Demokrātijas kultūra un iekļaujošs pilsoniskums</w:t>
            </w:r>
            <w:r>
              <w:rPr>
                <w:rFonts w:eastAsia="Times New Roman"/>
                <w:iCs/>
                <w:noProof/>
                <w:sz w:val="20"/>
              </w:rPr>
              <w:t>”</w:t>
            </w:r>
            <w:r w:rsidRPr="00C41EB8">
              <w:rPr>
                <w:rFonts w:eastAsia="Times New Roman"/>
                <w:iCs/>
                <w:noProof/>
                <w:sz w:val="20"/>
              </w:rPr>
              <w:t xml:space="preserve"> 2.2.apakšpunkts paredz stiprināt pilsoniskās sabiedrības attīstību un ilgtspēju, veidojot pilsonisku kultūru un attīstot iekļaujošu pilsoniskumu.</w:t>
            </w:r>
          </w:p>
        </w:tc>
      </w:tr>
      <w:tr w:rsidR="007545BD" w:rsidRPr="00C41EB8" w14:paraId="2A919250" w14:textId="77777777" w:rsidTr="00A73208">
        <w:tc>
          <w:tcPr>
            <w:tcW w:w="562" w:type="dxa"/>
            <w:shd w:val="clear" w:color="auto" w:fill="D9D9D9" w:themeFill="background1" w:themeFillShade="D9"/>
          </w:tcPr>
          <w:p w14:paraId="221B34AB"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D9D9D9" w:themeFill="background1" w:themeFillShade="D9"/>
          </w:tcPr>
          <w:p w14:paraId="08C0526D" w14:textId="77777777" w:rsidR="007545BD" w:rsidRPr="00C41EB8" w:rsidRDefault="007545BD" w:rsidP="00A73208">
            <w:pPr>
              <w:spacing w:before="0" w:after="0"/>
              <w:jc w:val="left"/>
              <w:rPr>
                <w:noProof/>
                <w:sz w:val="20"/>
              </w:rPr>
            </w:pPr>
          </w:p>
        </w:tc>
        <w:tc>
          <w:tcPr>
            <w:tcW w:w="851" w:type="dxa"/>
            <w:vMerge/>
            <w:shd w:val="clear" w:color="auto" w:fill="D9D9D9" w:themeFill="background1" w:themeFillShade="D9"/>
          </w:tcPr>
          <w:p w14:paraId="5526CBF4" w14:textId="77777777" w:rsidR="007545BD" w:rsidRPr="00C41EB8" w:rsidRDefault="007545BD" w:rsidP="00A73208">
            <w:pPr>
              <w:spacing w:before="0" w:after="0"/>
              <w:jc w:val="left"/>
              <w:rPr>
                <w:rFonts w:eastAsia="Times New Roman"/>
                <w:iCs/>
                <w:noProof/>
                <w:sz w:val="20"/>
              </w:rPr>
            </w:pPr>
          </w:p>
        </w:tc>
        <w:tc>
          <w:tcPr>
            <w:tcW w:w="1134" w:type="dxa"/>
            <w:vMerge/>
            <w:shd w:val="clear" w:color="auto" w:fill="D9D9D9" w:themeFill="background1" w:themeFillShade="D9"/>
          </w:tcPr>
          <w:p w14:paraId="4C6B3DDC" w14:textId="77777777" w:rsidR="007545BD" w:rsidRPr="00C41EB8" w:rsidRDefault="007545BD" w:rsidP="00A73208">
            <w:pPr>
              <w:spacing w:before="0" w:after="0"/>
              <w:jc w:val="left"/>
              <w:rPr>
                <w:rFonts w:eastAsia="Times New Roman"/>
                <w:iCs/>
                <w:noProof/>
                <w:sz w:val="20"/>
              </w:rPr>
            </w:pPr>
          </w:p>
        </w:tc>
        <w:tc>
          <w:tcPr>
            <w:tcW w:w="850" w:type="dxa"/>
            <w:vMerge/>
            <w:shd w:val="clear" w:color="auto" w:fill="D9D9D9" w:themeFill="background1" w:themeFillShade="D9"/>
          </w:tcPr>
          <w:p w14:paraId="4931022E" w14:textId="77777777" w:rsidR="007545BD" w:rsidRPr="00C41EB8" w:rsidRDefault="007545BD" w:rsidP="00A73208">
            <w:pPr>
              <w:spacing w:before="0" w:after="0"/>
              <w:jc w:val="left"/>
              <w:rPr>
                <w:rFonts w:eastAsia="Times New Roman"/>
                <w:iCs/>
                <w:noProof/>
                <w:sz w:val="20"/>
              </w:rPr>
            </w:pPr>
          </w:p>
        </w:tc>
        <w:tc>
          <w:tcPr>
            <w:tcW w:w="2410" w:type="dxa"/>
            <w:shd w:val="clear" w:color="auto" w:fill="D9D9D9" w:themeFill="background1" w:themeFillShade="D9"/>
          </w:tcPr>
          <w:p w14:paraId="782D6FB5" w14:textId="77777777" w:rsidR="007545BD" w:rsidRPr="00C41EB8" w:rsidRDefault="007545BD" w:rsidP="00A73208">
            <w:pPr>
              <w:spacing w:before="0" w:after="0"/>
              <w:ind w:left="3"/>
              <w:jc w:val="left"/>
              <w:rPr>
                <w:noProof/>
                <w:sz w:val="20"/>
              </w:rPr>
            </w:pPr>
            <w:r w:rsidRPr="00C41EB8">
              <w:rPr>
                <w:noProof/>
                <w:sz w:val="20"/>
              </w:rPr>
              <w:t>2.Pasākumus, kas novērš un apkaro nabadzību un sociālo atstumtību.</w:t>
            </w:r>
          </w:p>
        </w:tc>
        <w:tc>
          <w:tcPr>
            <w:tcW w:w="1134" w:type="dxa"/>
            <w:shd w:val="clear" w:color="auto" w:fill="D9D9D9" w:themeFill="background1" w:themeFillShade="D9"/>
          </w:tcPr>
          <w:p w14:paraId="02235A29" w14:textId="77777777" w:rsidR="007545BD" w:rsidRPr="00C41EB8" w:rsidRDefault="007545BD" w:rsidP="00A73208">
            <w:pPr>
              <w:spacing w:before="0" w:after="0"/>
              <w:jc w:val="left"/>
              <w:rPr>
                <w:noProof/>
                <w:sz w:val="20"/>
              </w:rPr>
            </w:pPr>
            <w:r w:rsidRPr="00C41EB8">
              <w:rPr>
                <w:noProof/>
                <w:sz w:val="20"/>
              </w:rPr>
              <w:t>Nē</w:t>
            </w:r>
          </w:p>
        </w:tc>
        <w:tc>
          <w:tcPr>
            <w:tcW w:w="2410" w:type="dxa"/>
            <w:shd w:val="clear" w:color="auto" w:fill="D9D9D9" w:themeFill="background1" w:themeFillShade="D9"/>
          </w:tcPr>
          <w:p w14:paraId="21467D7C" w14:textId="77777777" w:rsidR="007545BD" w:rsidRPr="00C41EB8" w:rsidRDefault="007545BD" w:rsidP="00A73208">
            <w:pPr>
              <w:spacing w:before="0" w:after="0"/>
              <w:jc w:val="left"/>
              <w:rPr>
                <w:noProof/>
                <w:sz w:val="20"/>
              </w:rPr>
            </w:pPr>
            <w:r w:rsidRPr="00C41EB8">
              <w:rPr>
                <w:noProof/>
                <w:sz w:val="20"/>
              </w:rPr>
              <w:t>2.kritērijs</w:t>
            </w:r>
          </w:p>
          <w:p w14:paraId="2848C66F" w14:textId="77777777" w:rsidR="007545BD" w:rsidRPr="00C41EB8" w:rsidRDefault="007545BD" w:rsidP="00A73208">
            <w:pPr>
              <w:spacing w:before="0" w:after="0"/>
              <w:jc w:val="left"/>
              <w:rPr>
                <w:noProof/>
                <w:sz w:val="20"/>
              </w:rPr>
            </w:pPr>
            <w:r w:rsidRPr="00C41EB8">
              <w:rPr>
                <w:noProof/>
                <w:sz w:val="20"/>
              </w:rPr>
              <w:t>Sociālās aizsardzības un darba tirgus politikas pamatnostādnes  2021.-2027. gadam;</w:t>
            </w:r>
          </w:p>
          <w:p w14:paraId="0AF14647" w14:textId="77777777" w:rsidR="007545BD" w:rsidRPr="00C41EB8" w:rsidRDefault="007545BD" w:rsidP="00A73208">
            <w:pPr>
              <w:spacing w:before="0" w:after="0"/>
              <w:jc w:val="left"/>
              <w:rPr>
                <w:noProof/>
                <w:sz w:val="20"/>
              </w:rPr>
            </w:pPr>
            <w:r w:rsidRPr="00C41EB8">
              <w:rPr>
                <w:noProof/>
                <w:sz w:val="20"/>
              </w:rPr>
              <w:t>Bērnu, jaunatnes un ģimenes attīstības pamatnostādnes 2021.–2027. gadam;</w:t>
            </w:r>
          </w:p>
          <w:p w14:paraId="6521BCE0" w14:textId="77777777" w:rsidR="007545BD" w:rsidRPr="00C41EB8" w:rsidRDefault="007545BD" w:rsidP="00A73208">
            <w:pPr>
              <w:spacing w:before="0" w:after="0"/>
              <w:jc w:val="left"/>
              <w:rPr>
                <w:noProof/>
                <w:sz w:val="20"/>
              </w:rPr>
            </w:pPr>
          </w:p>
          <w:p w14:paraId="5A57C839" w14:textId="77777777" w:rsidR="007545BD" w:rsidRPr="00C41EB8" w:rsidRDefault="007545BD" w:rsidP="00A73208">
            <w:pPr>
              <w:spacing w:before="0" w:after="0"/>
              <w:jc w:val="left"/>
              <w:rPr>
                <w:noProof/>
                <w:sz w:val="20"/>
              </w:rPr>
            </w:pPr>
            <w:r w:rsidRPr="00C41EB8">
              <w:rPr>
                <w:noProof/>
                <w:sz w:val="20"/>
              </w:rPr>
              <w:t>Plāns minimālo ienākumu atbalsta sistēmas pilnveidošanai 2020.-2021.gadam</w:t>
            </w:r>
          </w:p>
          <w:p w14:paraId="74A90D4B" w14:textId="77777777" w:rsidR="007545BD" w:rsidRPr="00C41EB8" w:rsidRDefault="007545BD" w:rsidP="00A73208">
            <w:pPr>
              <w:spacing w:before="0" w:after="0"/>
              <w:jc w:val="left"/>
              <w:rPr>
                <w:noProof/>
                <w:sz w:val="20"/>
              </w:rPr>
            </w:pPr>
          </w:p>
        </w:tc>
        <w:tc>
          <w:tcPr>
            <w:tcW w:w="3686" w:type="dxa"/>
            <w:shd w:val="clear" w:color="auto" w:fill="D9D9D9" w:themeFill="background1" w:themeFillShade="D9"/>
          </w:tcPr>
          <w:p w14:paraId="146FE73E" w14:textId="77777777" w:rsidR="007545BD" w:rsidRPr="00C41EB8" w:rsidRDefault="007545BD" w:rsidP="00A73208">
            <w:pPr>
              <w:spacing w:before="0" w:after="0"/>
              <w:ind w:firstLine="467"/>
              <w:rPr>
                <w:b/>
                <w:iCs/>
                <w:sz w:val="20"/>
              </w:rPr>
            </w:pPr>
            <w:r w:rsidRPr="00C41EB8">
              <w:rPr>
                <w:b/>
                <w:iCs/>
                <w:sz w:val="20"/>
              </w:rPr>
              <w:t>1., 2., 3. kritērijs</w:t>
            </w:r>
          </w:p>
          <w:p w14:paraId="2406E5B4" w14:textId="77777777" w:rsidR="007545BD" w:rsidRPr="00C41EB8" w:rsidRDefault="007545BD" w:rsidP="00A73208">
            <w:pPr>
              <w:spacing w:before="0" w:after="0"/>
              <w:ind w:firstLine="467"/>
              <w:rPr>
                <w:iCs/>
                <w:sz w:val="20"/>
              </w:rPr>
            </w:pPr>
            <w:r w:rsidRPr="00C41EB8">
              <w:rPr>
                <w:iCs/>
                <w:sz w:val="20"/>
              </w:rPr>
              <w:t xml:space="preserve">Izstrādāts </w:t>
            </w:r>
            <w:hyperlink r:id="rId141" w:history="1">
              <w:r w:rsidRPr="00C41EB8">
                <w:rPr>
                  <w:rStyle w:val="Hyperlink"/>
                  <w:iCs/>
                  <w:sz w:val="20"/>
                </w:rPr>
                <w:t>Sociālās aizsardzības un darba tirgus politikas pamatnostādņu 2021.-2027. gadam</w:t>
              </w:r>
            </w:hyperlink>
            <w:r w:rsidRPr="00C41EB8">
              <w:rPr>
                <w:iCs/>
                <w:sz w:val="20"/>
              </w:rPr>
              <w:t xml:space="preserve"> projekts, kurā kā viens no rīcības virzieniem plānots: Moderna un pieejama sociālo pakalpojumu sistēma, kas cita starpā uzlabo iedzīvotāju iespējas dzīvot neatkarīgi un dzīvot sabiedrībā, iekļauties izglītībā un darba tirgū. Rīcības virziena ietvaros vidējā termiņā paredzēts nodrošināt līdzvērtīgu sociālo pakalpojumu grozu reģionos un pārskatīt sociālo pakalpojumu sniegšanas pieeju un sociālo pakalpojumu saturu atbilstoši mērķa grupu vajadzībām (uz cilvēku centrēta pieeja) un faktiskajām tirgus cenām.</w:t>
            </w:r>
          </w:p>
          <w:p w14:paraId="37A6FC5D" w14:textId="77777777" w:rsidR="007545BD" w:rsidRPr="00C41EB8" w:rsidRDefault="007545BD" w:rsidP="00A73208">
            <w:pPr>
              <w:spacing w:before="0" w:after="0"/>
              <w:ind w:firstLine="467"/>
              <w:rPr>
                <w:iCs/>
                <w:sz w:val="20"/>
              </w:rPr>
            </w:pPr>
            <w:r w:rsidRPr="00C41EB8">
              <w:rPr>
                <w:iCs/>
                <w:sz w:val="20"/>
              </w:rPr>
              <w:t>Pamatnostādņu Rīcības virziena ieviešanai ir noteikti vairāki uzdevumi, t.sk.:</w:t>
            </w:r>
          </w:p>
          <w:p w14:paraId="1C2C4AB0" w14:textId="77777777" w:rsidR="007545BD" w:rsidRPr="00C41EB8" w:rsidRDefault="007545BD" w:rsidP="00A73208">
            <w:pPr>
              <w:spacing w:before="0" w:after="0"/>
              <w:ind w:firstLine="467"/>
              <w:rPr>
                <w:iCs/>
                <w:sz w:val="20"/>
              </w:rPr>
            </w:pPr>
            <w:r w:rsidRPr="00C41EB8">
              <w:rPr>
                <w:iCs/>
                <w:sz w:val="20"/>
              </w:rPr>
              <w:t>•</w:t>
            </w:r>
            <w:r w:rsidRPr="00C41EB8">
              <w:rPr>
                <w:iCs/>
                <w:sz w:val="20"/>
              </w:rPr>
              <w:tab/>
              <w:t>palielināt sabiedrībā balstītu sociālo pakalpojumu pieejamību, efektivitāti un atbilstību mērķa grupas vajadzībām,</w:t>
            </w:r>
          </w:p>
          <w:p w14:paraId="6A39FFAD" w14:textId="77777777" w:rsidR="007545BD" w:rsidRPr="00C41EB8" w:rsidRDefault="007545BD" w:rsidP="00A73208">
            <w:pPr>
              <w:spacing w:before="0" w:after="0"/>
              <w:ind w:firstLine="467"/>
              <w:rPr>
                <w:iCs/>
                <w:sz w:val="20"/>
              </w:rPr>
            </w:pPr>
            <w:r w:rsidRPr="00C41EB8">
              <w:rPr>
                <w:iCs/>
                <w:sz w:val="20"/>
              </w:rPr>
              <w:t>•</w:t>
            </w:r>
            <w:r w:rsidRPr="00C41EB8">
              <w:rPr>
                <w:iCs/>
                <w:sz w:val="20"/>
              </w:rPr>
              <w:tab/>
              <w:t>nodrošināt līdzvērtīgu sociālo pakalpojumu pieejamību reģionos, nosakot pašvaldībās nodrošināmo sociālo pakalpojumu “grozu”, t.sk. minimālo sociālo pakalpojumu “grozu”;</w:t>
            </w:r>
          </w:p>
          <w:p w14:paraId="4E128376" w14:textId="77777777" w:rsidR="007545BD" w:rsidRPr="00C41EB8" w:rsidRDefault="007545BD" w:rsidP="00A73208">
            <w:pPr>
              <w:spacing w:before="0" w:after="0"/>
              <w:ind w:firstLine="467"/>
              <w:rPr>
                <w:iCs/>
                <w:sz w:val="20"/>
              </w:rPr>
            </w:pPr>
            <w:r w:rsidRPr="00C41EB8">
              <w:rPr>
                <w:iCs/>
                <w:sz w:val="20"/>
              </w:rPr>
              <w:t>•</w:t>
            </w:r>
            <w:r w:rsidRPr="00C41EB8">
              <w:rPr>
                <w:iCs/>
                <w:sz w:val="20"/>
              </w:rPr>
              <w:tab/>
              <w:t>uzlabot tehnisko palīglīdzekļu klāstu un pilnveidot to piešķiršanas kārtību;</w:t>
            </w:r>
          </w:p>
          <w:p w14:paraId="374A2A1F" w14:textId="77777777" w:rsidR="007545BD" w:rsidRPr="00C41EB8" w:rsidRDefault="007545BD" w:rsidP="00A73208">
            <w:pPr>
              <w:spacing w:before="0" w:after="0"/>
              <w:ind w:firstLine="467"/>
              <w:rPr>
                <w:iCs/>
                <w:sz w:val="20"/>
              </w:rPr>
            </w:pPr>
            <w:r w:rsidRPr="00C41EB8">
              <w:rPr>
                <w:iCs/>
                <w:sz w:val="20"/>
              </w:rPr>
              <w:t>•</w:t>
            </w:r>
            <w:r w:rsidRPr="00C41EB8">
              <w:rPr>
                <w:iCs/>
                <w:sz w:val="20"/>
              </w:rPr>
              <w:tab/>
              <w:t>attīstīt profesionālu un mūsdienīgu sociālo darbu, t.sk.;</w:t>
            </w:r>
          </w:p>
          <w:p w14:paraId="333EC273" w14:textId="77777777" w:rsidR="007545BD" w:rsidRPr="00C41EB8" w:rsidRDefault="007545BD" w:rsidP="00A73208">
            <w:pPr>
              <w:spacing w:before="0" w:after="0"/>
              <w:ind w:firstLine="467"/>
              <w:rPr>
                <w:iCs/>
                <w:sz w:val="20"/>
              </w:rPr>
            </w:pPr>
            <w:r w:rsidRPr="00C41EB8">
              <w:rPr>
                <w:iCs/>
                <w:sz w:val="20"/>
              </w:rPr>
              <w:t>•</w:t>
            </w:r>
            <w:r w:rsidRPr="00C41EB8">
              <w:rPr>
                <w:iCs/>
                <w:sz w:val="20"/>
              </w:rPr>
              <w:tab/>
              <w:t>uzlabot atbalstu personām pārejas posmā no institucionālās aprūpes uz sabiedrībā balstītām formām, no ārpusģimenes aprūpes uz patstāvīgu dzīvi;</w:t>
            </w:r>
          </w:p>
          <w:p w14:paraId="09B691CB" w14:textId="77777777" w:rsidR="007545BD" w:rsidRPr="00C41EB8" w:rsidRDefault="007545BD" w:rsidP="00A73208">
            <w:pPr>
              <w:spacing w:before="0" w:after="0"/>
              <w:ind w:firstLine="467"/>
              <w:rPr>
                <w:iCs/>
                <w:sz w:val="20"/>
              </w:rPr>
            </w:pPr>
            <w:r w:rsidRPr="00C41EB8">
              <w:rPr>
                <w:iCs/>
                <w:sz w:val="20"/>
              </w:rPr>
              <w:t>•</w:t>
            </w:r>
            <w:r w:rsidRPr="00C41EB8">
              <w:rPr>
                <w:iCs/>
                <w:sz w:val="20"/>
              </w:rPr>
              <w:tab/>
              <w:t>attīstīt uz personu ar funkcionēšanas ierobežojumiem vajadzībām mērķētu atbalsta pasākumu sistēmu (t.sk. starpnozaru līmenī), primāri tādās jomās kā nodarbinātība, veselība, izglītība, publiskās vides un sabiedriskā transporta pieejamība;</w:t>
            </w:r>
          </w:p>
          <w:p w14:paraId="3C03CE52" w14:textId="77777777" w:rsidR="007545BD" w:rsidRPr="00C41EB8" w:rsidRDefault="007545BD" w:rsidP="00A73208">
            <w:pPr>
              <w:spacing w:before="0" w:after="0"/>
              <w:ind w:firstLine="467"/>
              <w:rPr>
                <w:iCs/>
                <w:sz w:val="20"/>
              </w:rPr>
            </w:pPr>
            <w:r w:rsidRPr="00C41EB8">
              <w:rPr>
                <w:iCs/>
                <w:sz w:val="20"/>
              </w:rPr>
              <w:t>•</w:t>
            </w:r>
            <w:r w:rsidRPr="00C41EB8">
              <w:rPr>
                <w:iCs/>
                <w:sz w:val="20"/>
              </w:rPr>
              <w:tab/>
              <w:t>pārskatīt invaliditātes noteikšanas sistēmu, nodrošinot invaliditātes statusa sasaisti ar funkcionēšanas spēju novērtēšanu;</w:t>
            </w:r>
          </w:p>
          <w:p w14:paraId="790EF4C1" w14:textId="77777777" w:rsidR="007545BD" w:rsidRPr="00C41EB8" w:rsidRDefault="007545BD" w:rsidP="00A73208">
            <w:pPr>
              <w:spacing w:before="0" w:after="0"/>
              <w:ind w:firstLine="467"/>
              <w:rPr>
                <w:iCs/>
                <w:sz w:val="20"/>
              </w:rPr>
            </w:pPr>
            <w:r w:rsidRPr="00C41EB8">
              <w:rPr>
                <w:iCs/>
                <w:sz w:val="20"/>
              </w:rPr>
              <w:t>•</w:t>
            </w:r>
            <w:r w:rsidRPr="00C41EB8">
              <w:rPr>
                <w:iCs/>
                <w:sz w:val="20"/>
              </w:rPr>
              <w:tab/>
              <w:t>izstrādāt priekšlikumus kvalitātes un cenas ziņā pieejamu mājokļu nodrošināšanai nabadzības un sociālās atstumtības riskam pakļautajām iedzīvotāju grupām, iedzīvotājiem krīzes situācijās, iedzīvotājiem reģionālās mobilitātes veicināšanai;</w:t>
            </w:r>
          </w:p>
          <w:p w14:paraId="4DD08F91" w14:textId="77777777" w:rsidR="007545BD" w:rsidRPr="00C41EB8" w:rsidRDefault="007545BD" w:rsidP="00A73208">
            <w:pPr>
              <w:spacing w:before="0" w:after="0"/>
              <w:ind w:firstLine="467"/>
              <w:rPr>
                <w:iCs/>
                <w:sz w:val="20"/>
              </w:rPr>
            </w:pPr>
            <w:r w:rsidRPr="00C41EB8">
              <w:rPr>
                <w:iCs/>
                <w:sz w:val="20"/>
              </w:rPr>
              <w:t>•</w:t>
            </w:r>
            <w:r w:rsidRPr="00C41EB8">
              <w:rPr>
                <w:iCs/>
                <w:sz w:val="20"/>
              </w:rPr>
              <w:tab/>
              <w:t>attīstot atbalstu, tostarp cilvēkiem ar ļoti smagiem un multipliem funkcionāliem traucējumiem, cilvēkiem ar demenci, personām paliatīvajā aprūpē, gados vecākiem cilvēkiem, bērniem ar smagu diagnozi un iespējamu vai esošu invaliditāti, t.sk., nodrošinot metodisku un praktisku atbalstu viņu aprūpē iesaistītajiem ģimenes locekļiem un neformālajiem aprūpētājiem</w:t>
            </w:r>
          </w:p>
          <w:p w14:paraId="55208677" w14:textId="77777777" w:rsidR="007545BD" w:rsidRPr="00C41EB8" w:rsidRDefault="007545BD" w:rsidP="00A73208">
            <w:pPr>
              <w:spacing w:before="0" w:after="0"/>
              <w:ind w:firstLine="467"/>
              <w:rPr>
                <w:iCs/>
                <w:sz w:val="20"/>
              </w:rPr>
            </w:pPr>
            <w:r w:rsidRPr="00C41EB8">
              <w:rPr>
                <w:iCs/>
                <w:sz w:val="20"/>
              </w:rPr>
              <w:t>Savukārt rīcības virziena “Sociālās aizsardzības un darba tirgus politikas horizontālie jautājumi” viens no uzdevumiem paredz paaugstināt sabiedrības un visu iesaistīto pušu izpratni par sociālās aizsardzības un darba tirgus politikas jautājumiem, t.sk., par personu ar invaliditāti, personu ar garīga rakstura traucējumiem, gados vecāku cilvēku iekļaušanu sabiedrībā un darba tirgū, sieviešu un vīriešu vienlīdzīgu tiesību un iespēju nodrošināšanu, par personas iesaistīšanos valsts sociālās apdrošināšanas sistēmā.</w:t>
            </w:r>
          </w:p>
          <w:p w14:paraId="5BD3666F" w14:textId="77777777" w:rsidR="007545BD" w:rsidRPr="00C41EB8" w:rsidRDefault="007545BD" w:rsidP="00A73208">
            <w:pPr>
              <w:spacing w:before="0" w:after="0"/>
              <w:ind w:firstLine="467"/>
              <w:rPr>
                <w:iCs/>
                <w:sz w:val="20"/>
              </w:rPr>
            </w:pPr>
            <w:r w:rsidRPr="00C41EB8">
              <w:rPr>
                <w:iCs/>
                <w:sz w:val="20"/>
              </w:rPr>
              <w:t>Pamatnostādņu 2.pielikums ietver situācijas aprakstu, kurā identificēti uz pierādījumiem un datiem balstīti izaicinājumi un problēmas.</w:t>
            </w:r>
          </w:p>
          <w:p w14:paraId="580D9D0B" w14:textId="7DAFF92E" w:rsidR="007545BD" w:rsidRPr="00C41EB8" w:rsidRDefault="007545BD" w:rsidP="00A73208">
            <w:pPr>
              <w:spacing w:before="0" w:after="0"/>
              <w:ind w:firstLine="467"/>
              <w:rPr>
                <w:iCs/>
                <w:sz w:val="20"/>
              </w:rPr>
            </w:pPr>
            <w:r w:rsidRPr="00C41EB8">
              <w:rPr>
                <w:iCs/>
                <w:sz w:val="20"/>
              </w:rPr>
              <w:t>Bērnu, jaunatnes un ģimenes attīstības pamatnostādnes 2021.-2027.gadam paredz veicināt izglītības iestāžu, t</w:t>
            </w:r>
            <w:r w:rsidR="00F65811">
              <w:rPr>
                <w:iCs/>
                <w:sz w:val="20"/>
              </w:rPr>
              <w:t>.</w:t>
            </w:r>
            <w:r w:rsidRPr="00C41EB8">
              <w:rPr>
                <w:iCs/>
                <w:sz w:val="20"/>
              </w:rPr>
              <w:t xml:space="preserve"> sk</w:t>
            </w:r>
            <w:r w:rsidR="00F65811">
              <w:rPr>
                <w:iCs/>
                <w:sz w:val="20"/>
              </w:rPr>
              <w:t>.</w:t>
            </w:r>
            <w:r w:rsidRPr="00C41EB8">
              <w:rPr>
                <w:iCs/>
                <w:sz w:val="20"/>
              </w:rPr>
              <w:t xml:space="preserve"> pirmsskolu personāla informētību par bērnu uzvedības īpatnībām un piemērotāko rīcību dažādu saslimšanu un uzvedības traucējumu gadījumā, kā arī attīstīt atbalsta dienestu gan izglītības iestāžu personālam, gan bērniem un viņu vecākiem, kur vērsties pēc palīdzības, lai neatkarīgi no bērna īpašajām individuālajām vajadzībām nodrošinātu atbilstošas pirmsskolas izglītības pieejamību un sociālo iekļaušanos, kā arī pilnveidot speciālistu zināšanu un prasmes bērnu attīstības vajadzību jautājumos.</w:t>
            </w:r>
          </w:p>
          <w:p w14:paraId="1D4E9E58" w14:textId="77777777" w:rsidR="007545BD" w:rsidRPr="00C41EB8" w:rsidRDefault="007545BD" w:rsidP="00A73208">
            <w:pPr>
              <w:spacing w:before="0" w:after="0"/>
              <w:rPr>
                <w:rFonts w:eastAsia="Times New Roman"/>
                <w:iCs/>
                <w:noProof/>
                <w:sz w:val="20"/>
              </w:rPr>
            </w:pPr>
          </w:p>
          <w:p w14:paraId="6C1D464C" w14:textId="77777777" w:rsidR="007545BD" w:rsidRPr="00C41EB8" w:rsidRDefault="007545BD" w:rsidP="00A73208">
            <w:pPr>
              <w:spacing w:before="0" w:after="0"/>
              <w:ind w:firstLine="467"/>
              <w:rPr>
                <w:b/>
                <w:iCs/>
                <w:sz w:val="20"/>
              </w:rPr>
            </w:pPr>
            <w:r w:rsidRPr="00C41EB8">
              <w:rPr>
                <w:b/>
                <w:iCs/>
                <w:sz w:val="20"/>
              </w:rPr>
              <w:t>2.kritērijs</w:t>
            </w:r>
          </w:p>
          <w:p w14:paraId="3A1EB185" w14:textId="77777777" w:rsidR="007545BD" w:rsidRPr="00C41EB8" w:rsidRDefault="007545BD" w:rsidP="00A73208">
            <w:pPr>
              <w:spacing w:before="0" w:after="0"/>
              <w:ind w:firstLine="467"/>
              <w:rPr>
                <w:iCs/>
                <w:sz w:val="20"/>
              </w:rPr>
            </w:pPr>
            <w:r w:rsidRPr="00C41EB8">
              <w:rPr>
                <w:iCs/>
                <w:sz w:val="20"/>
              </w:rPr>
              <w:t>Pamatnostādņu galvenais mērķis ir sekmēt iedzīvotāju sociālo iekļaušanu, mazinot ienākumu nevienlīdzību un nabadzību, attīstot pieejamu un individuālajām vajadzībām atbilstošu sociālo pakalpojumu un juridiskā atbalsta sistēmu, kā arī veicinot augstu nodarbinātības līmeni kvalitatīvā darba vidē. Attiecīgi visi uzdevumi ir vērsti uz nabadzības un sociālās atstumtības mazināšanu</w:t>
            </w:r>
          </w:p>
          <w:p w14:paraId="468D01F9" w14:textId="77777777" w:rsidR="007545BD" w:rsidRPr="00C41EB8" w:rsidRDefault="007545BD" w:rsidP="00A73208">
            <w:pPr>
              <w:spacing w:before="0" w:after="0"/>
              <w:rPr>
                <w:rFonts w:eastAsia="Times New Roman"/>
                <w:iCs/>
                <w:noProof/>
                <w:sz w:val="20"/>
              </w:rPr>
            </w:pPr>
          </w:p>
        </w:tc>
      </w:tr>
      <w:tr w:rsidR="007545BD" w:rsidRPr="00C41EB8" w14:paraId="2EAADDCD" w14:textId="77777777" w:rsidTr="00A73208">
        <w:tc>
          <w:tcPr>
            <w:tcW w:w="562" w:type="dxa"/>
            <w:shd w:val="clear" w:color="auto" w:fill="D9D9D9" w:themeFill="background1" w:themeFillShade="D9"/>
          </w:tcPr>
          <w:p w14:paraId="2DA6CD46"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D9D9D9" w:themeFill="background1" w:themeFillShade="D9"/>
          </w:tcPr>
          <w:p w14:paraId="731DB178" w14:textId="77777777" w:rsidR="007545BD" w:rsidRPr="00C41EB8" w:rsidRDefault="007545BD" w:rsidP="00A73208">
            <w:pPr>
              <w:spacing w:before="0" w:after="0"/>
              <w:jc w:val="left"/>
              <w:rPr>
                <w:noProof/>
                <w:sz w:val="20"/>
              </w:rPr>
            </w:pPr>
          </w:p>
        </w:tc>
        <w:tc>
          <w:tcPr>
            <w:tcW w:w="851" w:type="dxa"/>
            <w:vMerge/>
            <w:shd w:val="clear" w:color="auto" w:fill="D9D9D9" w:themeFill="background1" w:themeFillShade="D9"/>
          </w:tcPr>
          <w:p w14:paraId="552E4DE4" w14:textId="77777777" w:rsidR="007545BD" w:rsidRPr="00C41EB8" w:rsidRDefault="007545BD" w:rsidP="00A73208">
            <w:pPr>
              <w:spacing w:before="0" w:after="0"/>
              <w:jc w:val="left"/>
              <w:rPr>
                <w:rFonts w:eastAsia="Times New Roman"/>
                <w:iCs/>
                <w:noProof/>
                <w:sz w:val="20"/>
              </w:rPr>
            </w:pPr>
          </w:p>
        </w:tc>
        <w:tc>
          <w:tcPr>
            <w:tcW w:w="1134" w:type="dxa"/>
            <w:vMerge/>
            <w:shd w:val="clear" w:color="auto" w:fill="D9D9D9" w:themeFill="background1" w:themeFillShade="D9"/>
          </w:tcPr>
          <w:p w14:paraId="6C6F030F" w14:textId="77777777" w:rsidR="007545BD" w:rsidRPr="00C41EB8" w:rsidRDefault="007545BD" w:rsidP="00A73208">
            <w:pPr>
              <w:spacing w:before="0" w:after="0"/>
              <w:jc w:val="left"/>
              <w:rPr>
                <w:rFonts w:eastAsia="Times New Roman"/>
                <w:iCs/>
                <w:noProof/>
                <w:sz w:val="20"/>
              </w:rPr>
            </w:pPr>
          </w:p>
        </w:tc>
        <w:tc>
          <w:tcPr>
            <w:tcW w:w="850" w:type="dxa"/>
            <w:vMerge/>
            <w:shd w:val="clear" w:color="auto" w:fill="D9D9D9" w:themeFill="background1" w:themeFillShade="D9"/>
          </w:tcPr>
          <w:p w14:paraId="79D5517A" w14:textId="77777777" w:rsidR="007545BD" w:rsidRPr="00C41EB8" w:rsidRDefault="007545BD" w:rsidP="00A73208">
            <w:pPr>
              <w:spacing w:before="0" w:after="0"/>
              <w:jc w:val="left"/>
              <w:rPr>
                <w:rFonts w:eastAsia="Times New Roman"/>
                <w:iCs/>
                <w:noProof/>
                <w:sz w:val="20"/>
              </w:rPr>
            </w:pPr>
          </w:p>
        </w:tc>
        <w:tc>
          <w:tcPr>
            <w:tcW w:w="2410" w:type="dxa"/>
            <w:shd w:val="clear" w:color="auto" w:fill="D9D9D9" w:themeFill="background1" w:themeFillShade="D9"/>
          </w:tcPr>
          <w:p w14:paraId="07A3BF6B" w14:textId="77777777" w:rsidR="007545BD" w:rsidRPr="00C41EB8" w:rsidRDefault="007545BD" w:rsidP="00A73208">
            <w:pPr>
              <w:spacing w:before="0" w:after="0"/>
              <w:ind w:left="3"/>
              <w:jc w:val="left"/>
              <w:rPr>
                <w:noProof/>
                <w:sz w:val="20"/>
              </w:rPr>
            </w:pPr>
            <w:r w:rsidRPr="00C41EB8">
              <w:rPr>
                <w:noProof/>
                <w:sz w:val="20"/>
              </w:rPr>
              <w:t>3.Pasākumus pārejai no institucionālās aprūpes uz sabiedrībā balstītu aprūpi.</w:t>
            </w:r>
          </w:p>
        </w:tc>
        <w:tc>
          <w:tcPr>
            <w:tcW w:w="1134" w:type="dxa"/>
            <w:shd w:val="clear" w:color="auto" w:fill="D9D9D9" w:themeFill="background1" w:themeFillShade="D9"/>
          </w:tcPr>
          <w:p w14:paraId="2FF3165B" w14:textId="77777777" w:rsidR="007545BD" w:rsidRPr="00545E1A" w:rsidRDefault="007545BD" w:rsidP="00A73208">
            <w:pPr>
              <w:spacing w:before="0" w:after="0"/>
              <w:jc w:val="left"/>
              <w:rPr>
                <w:noProof/>
                <w:sz w:val="20"/>
              </w:rPr>
            </w:pPr>
            <w:r w:rsidRPr="00545E1A">
              <w:rPr>
                <w:rFonts w:eastAsia="Times New Roman"/>
                <w:iCs/>
                <w:noProof/>
                <w:sz w:val="20"/>
              </w:rPr>
              <w:t>Nē</w:t>
            </w:r>
          </w:p>
        </w:tc>
        <w:tc>
          <w:tcPr>
            <w:tcW w:w="2410" w:type="dxa"/>
            <w:shd w:val="clear" w:color="auto" w:fill="D9D9D9" w:themeFill="background1" w:themeFillShade="D9"/>
          </w:tcPr>
          <w:p w14:paraId="1BAD7A87" w14:textId="77777777" w:rsidR="007545BD" w:rsidRPr="00C41EB8" w:rsidRDefault="007545BD" w:rsidP="00A73208">
            <w:pPr>
              <w:spacing w:before="0" w:after="0"/>
              <w:jc w:val="left"/>
              <w:rPr>
                <w:noProof/>
                <w:sz w:val="20"/>
              </w:rPr>
            </w:pPr>
            <w:r w:rsidRPr="00C41EB8">
              <w:rPr>
                <w:noProof/>
                <w:sz w:val="20"/>
              </w:rPr>
              <w:t>3.kritērijs</w:t>
            </w:r>
          </w:p>
          <w:p w14:paraId="69423BDF" w14:textId="77777777" w:rsidR="007545BD" w:rsidRPr="00C41EB8" w:rsidRDefault="007545BD" w:rsidP="00A73208">
            <w:pPr>
              <w:spacing w:before="0" w:after="0"/>
              <w:jc w:val="left"/>
              <w:rPr>
                <w:noProof/>
                <w:sz w:val="20"/>
              </w:rPr>
            </w:pPr>
            <w:r w:rsidRPr="00C41EB8">
              <w:rPr>
                <w:noProof/>
                <w:sz w:val="20"/>
              </w:rPr>
              <w:t>Sociālās aizsardzības un darba tirgus politikas pamatnostādnes  2021.-2027. gadam.</w:t>
            </w:r>
          </w:p>
          <w:p w14:paraId="2CFFC802" w14:textId="77777777" w:rsidR="007545BD" w:rsidRPr="00C41EB8" w:rsidRDefault="007545BD" w:rsidP="00A73208">
            <w:pPr>
              <w:spacing w:before="0" w:after="0"/>
              <w:jc w:val="left"/>
              <w:rPr>
                <w:noProof/>
                <w:sz w:val="20"/>
              </w:rPr>
            </w:pPr>
          </w:p>
        </w:tc>
        <w:tc>
          <w:tcPr>
            <w:tcW w:w="3686" w:type="dxa"/>
            <w:shd w:val="clear" w:color="auto" w:fill="D9D9D9" w:themeFill="background1" w:themeFillShade="D9"/>
          </w:tcPr>
          <w:p w14:paraId="6BA8C113" w14:textId="77777777" w:rsidR="007545BD" w:rsidRPr="00C41EB8" w:rsidRDefault="007545BD" w:rsidP="00A73208">
            <w:pPr>
              <w:spacing w:before="0" w:after="0"/>
              <w:ind w:firstLine="467"/>
              <w:rPr>
                <w:b/>
                <w:iCs/>
                <w:sz w:val="20"/>
              </w:rPr>
            </w:pPr>
            <w:r w:rsidRPr="00C41EB8">
              <w:rPr>
                <w:b/>
                <w:iCs/>
                <w:sz w:val="20"/>
              </w:rPr>
              <w:t>3.kritērijs</w:t>
            </w:r>
          </w:p>
          <w:p w14:paraId="4403F9A0" w14:textId="77777777" w:rsidR="007545BD" w:rsidRPr="00C41EB8" w:rsidRDefault="007545BD" w:rsidP="00A73208">
            <w:pPr>
              <w:spacing w:before="0" w:after="0"/>
              <w:ind w:firstLine="467"/>
              <w:rPr>
                <w:iCs/>
                <w:sz w:val="20"/>
              </w:rPr>
            </w:pPr>
            <w:r w:rsidRPr="00C41EB8">
              <w:rPr>
                <w:iCs/>
                <w:sz w:val="20"/>
              </w:rPr>
              <w:t>Pamatnostādņu rīcības virzienā - Moderna un pieejama sociālo pakalpojumu sistēma, kas cita starpā uzlabo iedzīvotāju iespējas dzīvot neatkarīgi un dzīvot sabiedrībā, iekļauties izglītībā un darba tirgū – paredzēts īstenot pasākumu - palielināt sabiedrībā balstītu sociālo pakalpojumu pieejamību, efektivitāti un atbilstību mērķa grupas vajadzībām:</w:t>
            </w:r>
          </w:p>
          <w:p w14:paraId="678C558D" w14:textId="77777777" w:rsidR="007545BD" w:rsidRPr="00C41EB8" w:rsidRDefault="007545BD" w:rsidP="00A73208">
            <w:pPr>
              <w:spacing w:before="0" w:after="0"/>
              <w:ind w:firstLine="467"/>
              <w:rPr>
                <w:iCs/>
                <w:sz w:val="20"/>
              </w:rPr>
            </w:pPr>
            <w:r w:rsidRPr="00C41EB8">
              <w:rPr>
                <w:iCs/>
                <w:sz w:val="20"/>
              </w:rPr>
              <w:t>•</w:t>
            </w:r>
            <w:r w:rsidRPr="00C41EB8">
              <w:rPr>
                <w:iCs/>
                <w:sz w:val="20"/>
              </w:rPr>
              <w:tab/>
              <w:t>palielinot sabiedrībā balstītu sociālo pakalpojumu pieejamību bērniem un pilngadīgām personām ar funkcionāliem traucējumiem, t.sk. garīga rakstura traucējumu vai multiplu traucējumu gadījumā, vecāka gada gājuma cilvēkiem, t.sk. cilvēkiem ar demenci, un sniegt atbalstu viņu ģimenes locekļiem, veicinot starpnozaru un multidisciplināru pieeju sociālajā aprūpē;</w:t>
            </w:r>
          </w:p>
          <w:p w14:paraId="0DBAE7AE" w14:textId="77777777" w:rsidR="007545BD" w:rsidRPr="00C41EB8" w:rsidRDefault="007545BD" w:rsidP="00A73208">
            <w:pPr>
              <w:spacing w:before="0" w:after="0"/>
              <w:ind w:firstLine="467"/>
              <w:rPr>
                <w:iCs/>
                <w:sz w:val="20"/>
              </w:rPr>
            </w:pPr>
            <w:r w:rsidRPr="00C41EB8">
              <w:rPr>
                <w:iCs/>
                <w:sz w:val="20"/>
              </w:rPr>
              <w:t>•</w:t>
            </w:r>
            <w:r w:rsidRPr="00C41EB8">
              <w:rPr>
                <w:iCs/>
                <w:sz w:val="20"/>
              </w:rPr>
              <w:tab/>
              <w:t>paaugstinot pakalpojumu kvalitāti bērniem ar smagiem funkcionāliem traucējumiem ilgstošas sociālās aprūpes institūcijās, tuvinot pakalpojuma sniegšanu ģimeniskai videi;</w:t>
            </w:r>
          </w:p>
          <w:p w14:paraId="5656AF70" w14:textId="77777777" w:rsidR="007545BD" w:rsidRPr="00C41EB8" w:rsidRDefault="007545BD" w:rsidP="00A73208">
            <w:pPr>
              <w:spacing w:before="0" w:after="0"/>
              <w:ind w:firstLine="467"/>
              <w:rPr>
                <w:iCs/>
                <w:sz w:val="20"/>
              </w:rPr>
            </w:pPr>
            <w:r w:rsidRPr="00C41EB8">
              <w:rPr>
                <w:iCs/>
                <w:sz w:val="20"/>
              </w:rPr>
              <w:t>•</w:t>
            </w:r>
            <w:r w:rsidRPr="00C41EB8">
              <w:rPr>
                <w:iCs/>
                <w:sz w:val="20"/>
              </w:rPr>
              <w:tab/>
              <w:t>veidojot integrētus sociālos pakalpojumus hroniski un nedziedināmi slimiem cilvēkiem un viņu ģimenes locekļiem un tuviniekiem’</w:t>
            </w:r>
          </w:p>
          <w:p w14:paraId="5695427D" w14:textId="77777777" w:rsidR="007545BD" w:rsidRPr="00C41EB8" w:rsidRDefault="007545BD" w:rsidP="00A73208">
            <w:pPr>
              <w:spacing w:before="0" w:after="0"/>
              <w:ind w:firstLine="467"/>
              <w:rPr>
                <w:iCs/>
                <w:sz w:val="20"/>
              </w:rPr>
            </w:pPr>
            <w:r w:rsidRPr="00C41EB8">
              <w:rPr>
                <w:iCs/>
                <w:sz w:val="20"/>
              </w:rPr>
              <w:t>•</w:t>
            </w:r>
            <w:r w:rsidRPr="00C41EB8">
              <w:rPr>
                <w:iCs/>
                <w:sz w:val="20"/>
              </w:rPr>
              <w:tab/>
              <w:t>attīstot atbalstu, tostarp cilvēkiem ar ļoti smagiem un multipliem funkcionāliem traucējumiem, cilvēkiem ar demenci, personām paliatīvajā aprūpē, gados vecākiem cilvēkiem, bērniem ar smagu diagnozi un iespējamu vai esošu invaliditāti, t.sk., nodrošinot metodisku un praktisku atbalstu viņu aprūpē iesaistītajiem ģimenes locekļiem un neformālajiem aprūpētājiem;</w:t>
            </w:r>
          </w:p>
          <w:p w14:paraId="37249758" w14:textId="77777777" w:rsidR="007545BD" w:rsidRPr="00C41EB8" w:rsidRDefault="007545BD" w:rsidP="00A73208">
            <w:pPr>
              <w:spacing w:before="0" w:after="0"/>
              <w:ind w:firstLine="467"/>
              <w:rPr>
                <w:iCs/>
                <w:sz w:val="20"/>
              </w:rPr>
            </w:pPr>
            <w:r w:rsidRPr="00C41EB8">
              <w:rPr>
                <w:iCs/>
                <w:sz w:val="20"/>
              </w:rPr>
              <w:t>•</w:t>
            </w:r>
            <w:r w:rsidRPr="00C41EB8">
              <w:rPr>
                <w:iCs/>
                <w:sz w:val="20"/>
              </w:rPr>
              <w:tab/>
              <w:t>ieviešot individuālā budžeta pieeju sociālo pakalpojumu sniegšanā noteiktām mērķa grupām, īpaši bērniem;</w:t>
            </w:r>
          </w:p>
          <w:p w14:paraId="11CECDF5" w14:textId="77777777" w:rsidR="007545BD" w:rsidRPr="00C41EB8" w:rsidRDefault="007545BD" w:rsidP="00A73208">
            <w:pPr>
              <w:spacing w:before="0" w:after="0"/>
              <w:ind w:firstLine="467"/>
              <w:rPr>
                <w:iCs/>
                <w:sz w:val="20"/>
              </w:rPr>
            </w:pPr>
            <w:r w:rsidRPr="00C41EB8">
              <w:rPr>
                <w:iCs/>
                <w:sz w:val="20"/>
              </w:rPr>
              <w:t>•</w:t>
            </w:r>
            <w:r w:rsidRPr="00C41EB8">
              <w:rPr>
                <w:iCs/>
                <w:sz w:val="20"/>
              </w:rPr>
              <w:tab/>
              <w:t xml:space="preserve">attīstot sociālās inovācijas, t.sk., digitālus un tehnoloģiskus risinājumus, sociālo pakalpojumu sniegšanā. </w:t>
            </w:r>
          </w:p>
          <w:p w14:paraId="45BFF251" w14:textId="77777777" w:rsidR="007545BD" w:rsidRPr="00C41EB8" w:rsidRDefault="007545BD" w:rsidP="00A73208">
            <w:pPr>
              <w:spacing w:before="0" w:after="0"/>
              <w:ind w:firstLine="467"/>
              <w:rPr>
                <w:iCs/>
                <w:sz w:val="20"/>
              </w:rPr>
            </w:pPr>
            <w:r w:rsidRPr="00C41EB8">
              <w:rPr>
                <w:iCs/>
                <w:sz w:val="20"/>
              </w:rPr>
              <w:t>Rīcības virzienā iekļauto uzdevumu īstenošanai tiks izstrādāts Sociālo pakalpojumu attīstības plāns 2021.-2023.gadam,</w:t>
            </w:r>
          </w:p>
          <w:p w14:paraId="6FBFDDBF" w14:textId="77777777" w:rsidR="007545BD" w:rsidRPr="00C41EB8" w:rsidRDefault="007545BD" w:rsidP="00A73208">
            <w:pPr>
              <w:spacing w:before="0" w:after="0"/>
              <w:rPr>
                <w:rFonts w:eastAsia="Times New Roman"/>
                <w:iCs/>
                <w:noProof/>
                <w:sz w:val="20"/>
              </w:rPr>
            </w:pPr>
          </w:p>
        </w:tc>
      </w:tr>
      <w:tr w:rsidR="007545BD" w:rsidRPr="00C41EB8" w14:paraId="24FADDAD" w14:textId="77777777" w:rsidTr="00A73208">
        <w:tc>
          <w:tcPr>
            <w:tcW w:w="562" w:type="dxa"/>
            <w:shd w:val="clear" w:color="auto" w:fill="D9D9D9" w:themeFill="background1" w:themeFillShade="D9"/>
          </w:tcPr>
          <w:p w14:paraId="6C0BCD39"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D9D9D9" w:themeFill="background1" w:themeFillShade="D9"/>
          </w:tcPr>
          <w:p w14:paraId="1BCCF60D" w14:textId="77777777" w:rsidR="007545BD" w:rsidRPr="00C41EB8" w:rsidRDefault="007545BD" w:rsidP="00A73208">
            <w:pPr>
              <w:spacing w:before="0" w:after="0"/>
              <w:jc w:val="left"/>
              <w:rPr>
                <w:noProof/>
                <w:sz w:val="20"/>
              </w:rPr>
            </w:pPr>
          </w:p>
        </w:tc>
        <w:tc>
          <w:tcPr>
            <w:tcW w:w="851" w:type="dxa"/>
            <w:vMerge/>
            <w:shd w:val="clear" w:color="auto" w:fill="D9D9D9" w:themeFill="background1" w:themeFillShade="D9"/>
          </w:tcPr>
          <w:p w14:paraId="21080B65" w14:textId="77777777" w:rsidR="007545BD" w:rsidRPr="00C41EB8" w:rsidRDefault="007545BD" w:rsidP="00A73208">
            <w:pPr>
              <w:spacing w:before="0" w:after="0"/>
              <w:jc w:val="left"/>
              <w:rPr>
                <w:rFonts w:eastAsia="Times New Roman"/>
                <w:iCs/>
                <w:noProof/>
                <w:sz w:val="20"/>
              </w:rPr>
            </w:pPr>
          </w:p>
        </w:tc>
        <w:tc>
          <w:tcPr>
            <w:tcW w:w="1134" w:type="dxa"/>
            <w:vMerge/>
            <w:shd w:val="clear" w:color="auto" w:fill="D9D9D9" w:themeFill="background1" w:themeFillShade="D9"/>
          </w:tcPr>
          <w:p w14:paraId="4CA9DDC9" w14:textId="77777777" w:rsidR="007545BD" w:rsidRPr="00C41EB8" w:rsidRDefault="007545BD" w:rsidP="00A73208">
            <w:pPr>
              <w:spacing w:before="0" w:after="0"/>
              <w:jc w:val="left"/>
              <w:rPr>
                <w:rFonts w:eastAsia="Times New Roman"/>
                <w:iCs/>
                <w:noProof/>
                <w:sz w:val="20"/>
              </w:rPr>
            </w:pPr>
          </w:p>
        </w:tc>
        <w:tc>
          <w:tcPr>
            <w:tcW w:w="850" w:type="dxa"/>
            <w:vMerge/>
            <w:shd w:val="clear" w:color="auto" w:fill="D9D9D9" w:themeFill="background1" w:themeFillShade="D9"/>
          </w:tcPr>
          <w:p w14:paraId="2BAE356C" w14:textId="77777777" w:rsidR="007545BD" w:rsidRPr="00C41EB8" w:rsidRDefault="007545BD" w:rsidP="00A73208">
            <w:pPr>
              <w:spacing w:before="0" w:after="0"/>
              <w:jc w:val="left"/>
              <w:rPr>
                <w:rFonts w:eastAsia="Times New Roman"/>
                <w:iCs/>
                <w:noProof/>
                <w:sz w:val="20"/>
              </w:rPr>
            </w:pPr>
          </w:p>
        </w:tc>
        <w:tc>
          <w:tcPr>
            <w:tcW w:w="2410" w:type="dxa"/>
            <w:shd w:val="clear" w:color="auto" w:fill="D9D9D9" w:themeFill="background1" w:themeFillShade="D9"/>
          </w:tcPr>
          <w:p w14:paraId="55443C10" w14:textId="77777777" w:rsidR="007545BD" w:rsidRPr="00C41EB8" w:rsidRDefault="007545BD" w:rsidP="00A73208">
            <w:pPr>
              <w:spacing w:before="0" w:after="0"/>
              <w:ind w:left="3"/>
              <w:jc w:val="left"/>
              <w:rPr>
                <w:noProof/>
                <w:sz w:val="20"/>
              </w:rPr>
            </w:pPr>
            <w:r w:rsidRPr="00C41EB8">
              <w:rPr>
                <w:noProof/>
                <w:sz w:val="20"/>
              </w:rPr>
              <w:t>4.Kārtību, kādā nodrošina, ka tā izstrādi, īstenošanu, uzraudzību un pārskatīšanu veic ciešā sadarbībā ar sociālajiem partneriem un attiecīgajām pilsoniskās sabiedrības organizācijām.</w:t>
            </w:r>
          </w:p>
        </w:tc>
        <w:tc>
          <w:tcPr>
            <w:tcW w:w="1134" w:type="dxa"/>
            <w:shd w:val="clear" w:color="auto" w:fill="D9D9D9" w:themeFill="background1" w:themeFillShade="D9"/>
          </w:tcPr>
          <w:p w14:paraId="35C104C2" w14:textId="77777777" w:rsidR="007545BD" w:rsidRPr="004329A4" w:rsidRDefault="007545BD" w:rsidP="00A73208">
            <w:pPr>
              <w:spacing w:before="0" w:after="0"/>
              <w:jc w:val="left"/>
              <w:rPr>
                <w:b/>
                <w:bCs/>
                <w:noProof/>
                <w:sz w:val="20"/>
              </w:rPr>
            </w:pPr>
            <w:r w:rsidRPr="004329A4">
              <w:rPr>
                <w:rFonts w:eastAsia="Times New Roman"/>
                <w:b/>
                <w:bCs/>
                <w:iCs/>
                <w:noProof/>
                <w:sz w:val="20"/>
              </w:rPr>
              <w:t>Jā</w:t>
            </w:r>
          </w:p>
        </w:tc>
        <w:tc>
          <w:tcPr>
            <w:tcW w:w="2410" w:type="dxa"/>
            <w:shd w:val="clear" w:color="auto" w:fill="D9D9D9" w:themeFill="background1" w:themeFillShade="D9"/>
          </w:tcPr>
          <w:p w14:paraId="48E0633D" w14:textId="77777777" w:rsidR="007545BD" w:rsidRPr="00C41EB8" w:rsidRDefault="007545BD" w:rsidP="00A73208">
            <w:pPr>
              <w:spacing w:before="0" w:after="0"/>
              <w:jc w:val="left"/>
              <w:rPr>
                <w:noProof/>
                <w:sz w:val="20"/>
              </w:rPr>
            </w:pPr>
            <w:r w:rsidRPr="00C41EB8">
              <w:rPr>
                <w:noProof/>
                <w:sz w:val="20"/>
              </w:rPr>
              <w:t>4.kritērijs</w:t>
            </w:r>
          </w:p>
          <w:p w14:paraId="634BF00D" w14:textId="77777777" w:rsidR="007545BD" w:rsidRPr="00C41EB8" w:rsidRDefault="007545BD" w:rsidP="00A73208">
            <w:pPr>
              <w:spacing w:before="0" w:after="0"/>
              <w:jc w:val="left"/>
              <w:rPr>
                <w:noProof/>
                <w:sz w:val="20"/>
              </w:rPr>
            </w:pPr>
            <w:r w:rsidRPr="00C41EB8">
              <w:rPr>
                <w:noProof/>
                <w:sz w:val="20"/>
              </w:rPr>
              <w:t xml:space="preserve">LM 20.03.2014. rīkojums nr.26 “Par Sociālo pakalpojumu attīstības padomes izveidošanu” (pēdējie grozījumi – LM 05.07.2019. rīkojums nr.76); Sociālo pakalpojumu attīstības padomes nolikums, apstiprināts 21.05.2014. padomes sēdē (pēdējie grozījumi – apstiprināti 26.05.2017. padomes sēdē); </w:t>
            </w:r>
          </w:p>
          <w:p w14:paraId="73451B34" w14:textId="77777777" w:rsidR="007545BD" w:rsidRPr="00C41EB8" w:rsidRDefault="007545BD" w:rsidP="00A73208">
            <w:pPr>
              <w:spacing w:before="0" w:after="0"/>
              <w:jc w:val="left"/>
              <w:rPr>
                <w:noProof/>
                <w:sz w:val="20"/>
              </w:rPr>
            </w:pPr>
            <w:r w:rsidRPr="00C41EB8">
              <w:rPr>
                <w:noProof/>
                <w:sz w:val="20"/>
              </w:rPr>
              <w:t>LM 27.04.2016. rīkojums nr.38 “Par Sociālās iekļaušanas politikas koordinācijas komitejas izveidi” (pēdējie grozījumi – LM 18.12.2020. rīkojums Nr. 117)Sociālās iekļaušanas politikas koordinācijas komitejas nolikums, apstiprināts 23.03.2007. komitejas sanāksmē (pēdējie grozījumi - apstiprināti 03.11.2015.); MK 12.03.2019. rīkojums nr.113 “Par Plānu pieejamas vides veidošanai Latvijā 2019.-2021.gadam”</w:t>
            </w:r>
          </w:p>
        </w:tc>
        <w:tc>
          <w:tcPr>
            <w:tcW w:w="3686" w:type="dxa"/>
            <w:shd w:val="clear" w:color="auto" w:fill="D9D9D9" w:themeFill="background1" w:themeFillShade="D9"/>
          </w:tcPr>
          <w:p w14:paraId="3D319D17" w14:textId="77777777" w:rsidR="007545BD" w:rsidRPr="00C41EB8" w:rsidRDefault="007545BD" w:rsidP="00A73208">
            <w:pPr>
              <w:spacing w:before="0" w:after="0"/>
              <w:ind w:firstLine="467"/>
              <w:rPr>
                <w:b/>
                <w:iCs/>
                <w:sz w:val="20"/>
              </w:rPr>
            </w:pPr>
            <w:r w:rsidRPr="00C41EB8">
              <w:rPr>
                <w:b/>
                <w:iCs/>
                <w:sz w:val="20"/>
              </w:rPr>
              <w:t>4.kritērijs</w:t>
            </w:r>
          </w:p>
          <w:p w14:paraId="3364574B" w14:textId="77777777" w:rsidR="007545BD" w:rsidRPr="00C41EB8" w:rsidRDefault="009A507A" w:rsidP="00A73208">
            <w:pPr>
              <w:spacing w:before="0" w:after="0"/>
              <w:ind w:firstLine="467"/>
              <w:rPr>
                <w:iCs/>
                <w:sz w:val="20"/>
              </w:rPr>
            </w:pPr>
            <w:hyperlink r:id="rId142" w:history="1">
              <w:r w:rsidR="007545BD" w:rsidRPr="00C41EB8">
                <w:rPr>
                  <w:rStyle w:val="Hyperlink"/>
                  <w:iCs/>
                  <w:sz w:val="20"/>
                </w:rPr>
                <w:t>LM 20.03.2014. rīkojums nr.26 “Par Sociālo pakalpojumu attīstības padomes izveidošanu”</w:t>
              </w:r>
            </w:hyperlink>
            <w:r w:rsidR="007545BD" w:rsidRPr="00C41EB8">
              <w:rPr>
                <w:iCs/>
                <w:sz w:val="20"/>
              </w:rPr>
              <w:t xml:space="preserve"> (pēdējie grozījumi – LM 05.07.2019. rīkojums nr.76)</w:t>
            </w:r>
          </w:p>
          <w:p w14:paraId="2B75AD37" w14:textId="77777777" w:rsidR="007545BD" w:rsidRPr="00C41EB8" w:rsidRDefault="007545BD" w:rsidP="00A73208">
            <w:pPr>
              <w:spacing w:before="0" w:after="0"/>
              <w:ind w:firstLine="467"/>
              <w:rPr>
                <w:iCs/>
                <w:sz w:val="20"/>
              </w:rPr>
            </w:pPr>
            <w:r w:rsidRPr="00C41EB8">
              <w:rPr>
                <w:iCs/>
                <w:sz w:val="20"/>
              </w:rPr>
              <w:t>Sociālo pakalpojumu attīstības padomes nolikums, apstiprināts 21.05.2014. padomes sēdē (pēdējie grozījumi – apstiprināti 26.05.2017. padomes sēdē)</w:t>
            </w:r>
          </w:p>
          <w:p w14:paraId="5C82F012" w14:textId="77777777" w:rsidR="007545BD" w:rsidRPr="00C41EB8" w:rsidRDefault="009A507A" w:rsidP="00A73208">
            <w:pPr>
              <w:spacing w:before="0" w:after="0"/>
              <w:ind w:firstLine="467"/>
              <w:rPr>
                <w:iCs/>
                <w:sz w:val="20"/>
              </w:rPr>
            </w:pPr>
            <w:hyperlink r:id="rId143" w:anchor="_Section3" w:history="1">
              <w:r w:rsidR="007545BD" w:rsidRPr="00C41EB8">
                <w:rPr>
                  <w:rStyle w:val="Hyperlink"/>
                  <w:iCs/>
                  <w:sz w:val="20"/>
                </w:rPr>
                <w:t>LM 27.04.2016. rīkojums nr.38 “Par Sociālās iekļaušanas politikas koordinācijas komitejas izveidi”</w:t>
              </w:r>
            </w:hyperlink>
            <w:r w:rsidR="007545BD" w:rsidRPr="00C41EB8">
              <w:rPr>
                <w:iCs/>
                <w:sz w:val="20"/>
              </w:rPr>
              <w:t xml:space="preserve"> (pēdējie grozījumi – LM 18.12.2020. rīkojums Nr. 117)</w:t>
            </w:r>
          </w:p>
          <w:p w14:paraId="2640BB42" w14:textId="77777777" w:rsidR="007545BD" w:rsidRPr="00C41EB8" w:rsidRDefault="009A507A" w:rsidP="00A73208">
            <w:pPr>
              <w:spacing w:before="0" w:after="0"/>
              <w:ind w:firstLine="467"/>
              <w:rPr>
                <w:iCs/>
                <w:sz w:val="20"/>
              </w:rPr>
            </w:pPr>
            <w:hyperlink r:id="rId144" w:history="1">
              <w:r w:rsidR="007545BD" w:rsidRPr="00C41EB8">
                <w:rPr>
                  <w:rStyle w:val="Hyperlink"/>
                  <w:iCs/>
                  <w:sz w:val="20"/>
                </w:rPr>
                <w:t>Sociālās iekļaušanas politikas koordinācijas komitejas nolikums,</w:t>
              </w:r>
            </w:hyperlink>
            <w:r w:rsidR="007545BD" w:rsidRPr="00C41EB8">
              <w:rPr>
                <w:iCs/>
                <w:sz w:val="20"/>
              </w:rPr>
              <w:t xml:space="preserve"> apstiprināts 23.03.2007. komitejas sanāksmē (pēdējie grozījumi - apstiprināti 03.11.2015.)</w:t>
            </w:r>
          </w:p>
          <w:p w14:paraId="1C5C88DA" w14:textId="77777777" w:rsidR="007545BD" w:rsidRPr="00C41EB8" w:rsidRDefault="009A507A" w:rsidP="00A73208">
            <w:pPr>
              <w:spacing w:before="0" w:after="0"/>
              <w:rPr>
                <w:rFonts w:eastAsia="Times New Roman"/>
                <w:iCs/>
                <w:noProof/>
                <w:sz w:val="20"/>
              </w:rPr>
            </w:pPr>
            <w:hyperlink r:id="rId145" w:history="1">
              <w:r w:rsidR="007545BD" w:rsidRPr="00C41EB8">
                <w:rPr>
                  <w:rStyle w:val="Hyperlink"/>
                  <w:iCs/>
                  <w:sz w:val="20"/>
                </w:rPr>
                <w:t>MK 12.03.2019. rīkojums nr.113 “Par Plānu pieejamas vides veidošanai Latvijā 2019.-2021.gadam</w:t>
              </w:r>
            </w:hyperlink>
            <w:r w:rsidR="007545BD" w:rsidRPr="00C41EB8">
              <w:rPr>
                <w:iCs/>
                <w:sz w:val="20"/>
              </w:rPr>
              <w:t>”</w:t>
            </w:r>
          </w:p>
        </w:tc>
      </w:tr>
      <w:tr w:rsidR="007545BD" w:rsidRPr="00C41EB8" w14:paraId="1E7E7147" w14:textId="77777777" w:rsidTr="00A73208">
        <w:tc>
          <w:tcPr>
            <w:tcW w:w="562" w:type="dxa"/>
          </w:tcPr>
          <w:p w14:paraId="4716FE74"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val="restart"/>
          </w:tcPr>
          <w:p w14:paraId="582C825A" w14:textId="77777777" w:rsidR="007545BD" w:rsidRPr="00C41EB8" w:rsidRDefault="007545BD" w:rsidP="00A73208">
            <w:pPr>
              <w:spacing w:before="0" w:after="0"/>
              <w:jc w:val="left"/>
              <w:rPr>
                <w:noProof/>
                <w:sz w:val="20"/>
              </w:rPr>
            </w:pPr>
            <w:r w:rsidRPr="00C41EB8">
              <w:rPr>
                <w:noProof/>
                <w:sz w:val="20"/>
              </w:rPr>
              <w:t>Tematiskais priekšnosacījums Nr.14</w:t>
            </w:r>
          </w:p>
          <w:p w14:paraId="3E91AB36" w14:textId="77777777" w:rsidR="007545BD" w:rsidRPr="00C41EB8" w:rsidRDefault="007545BD" w:rsidP="00A73208">
            <w:pPr>
              <w:spacing w:before="0" w:after="0"/>
              <w:jc w:val="left"/>
              <w:rPr>
                <w:noProof/>
                <w:sz w:val="20"/>
              </w:rPr>
            </w:pPr>
            <w:r w:rsidRPr="00C41EB8">
              <w:rPr>
                <w:noProof/>
                <w:sz w:val="20"/>
              </w:rPr>
              <w:t>Romu integrācijas valsts stratēģija</w:t>
            </w:r>
          </w:p>
        </w:tc>
        <w:tc>
          <w:tcPr>
            <w:tcW w:w="851" w:type="dxa"/>
            <w:vMerge w:val="restart"/>
          </w:tcPr>
          <w:p w14:paraId="7561FB66"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ESF+</w:t>
            </w:r>
          </w:p>
        </w:tc>
        <w:tc>
          <w:tcPr>
            <w:tcW w:w="1134" w:type="dxa"/>
            <w:vMerge w:val="restart"/>
          </w:tcPr>
          <w:p w14:paraId="4AF66E84"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N/A</w:t>
            </w:r>
          </w:p>
        </w:tc>
        <w:tc>
          <w:tcPr>
            <w:tcW w:w="850" w:type="dxa"/>
            <w:vMerge w:val="restart"/>
          </w:tcPr>
          <w:p w14:paraId="6AFA9E89"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Nē</w:t>
            </w:r>
          </w:p>
        </w:tc>
        <w:tc>
          <w:tcPr>
            <w:tcW w:w="2410" w:type="dxa"/>
          </w:tcPr>
          <w:p w14:paraId="2BA0CCC8" w14:textId="77777777" w:rsidR="007545BD" w:rsidRPr="00C41EB8" w:rsidRDefault="007545BD" w:rsidP="00A73208">
            <w:pPr>
              <w:spacing w:before="0" w:after="0"/>
              <w:ind w:left="3"/>
              <w:jc w:val="left"/>
              <w:rPr>
                <w:noProof/>
                <w:sz w:val="20"/>
              </w:rPr>
            </w:pPr>
            <w:r w:rsidRPr="00C41EB8">
              <w:rPr>
                <w:noProof/>
                <w:sz w:val="20"/>
              </w:rPr>
              <w:t>Ir sagatavota romu integrācijas valsts stratēģija, kas ietver:</w:t>
            </w:r>
          </w:p>
          <w:p w14:paraId="52DCD46B" w14:textId="77777777" w:rsidR="007545BD" w:rsidRPr="00C41EB8" w:rsidRDefault="007545BD" w:rsidP="00A73208">
            <w:pPr>
              <w:spacing w:before="0" w:after="0"/>
              <w:ind w:left="313" w:hanging="284"/>
              <w:jc w:val="left"/>
              <w:rPr>
                <w:noProof/>
                <w:sz w:val="20"/>
              </w:rPr>
            </w:pPr>
            <w:r w:rsidRPr="00C41EB8">
              <w:rPr>
                <w:noProof/>
                <w:sz w:val="20"/>
              </w:rPr>
              <w:t>1.</w:t>
            </w:r>
            <w:r w:rsidRPr="00C41EB8">
              <w:rPr>
                <w:noProof/>
                <w:sz w:val="20"/>
              </w:rPr>
              <w:tab/>
              <w:t>Pasākumus romu integrācijas paātrināšanai, segregācijas novēršanai un izskaušanai, ņemot vērā dzimumu dimensiju un gados jauno romu stāvokli, kā arī sākotnējo vērtību, izmērāmu starpposma mērķu un galamērķus noteikšanu.</w:t>
            </w:r>
          </w:p>
        </w:tc>
        <w:tc>
          <w:tcPr>
            <w:tcW w:w="1134" w:type="dxa"/>
          </w:tcPr>
          <w:p w14:paraId="7CCDFCD0" w14:textId="77777777" w:rsidR="007545BD" w:rsidRPr="00C41EB8" w:rsidRDefault="007545BD" w:rsidP="00A73208">
            <w:pPr>
              <w:spacing w:before="0" w:after="0"/>
              <w:jc w:val="left"/>
              <w:rPr>
                <w:noProof/>
                <w:sz w:val="20"/>
              </w:rPr>
            </w:pPr>
            <w:r w:rsidRPr="00C41EB8">
              <w:rPr>
                <w:noProof/>
                <w:sz w:val="20"/>
              </w:rPr>
              <w:t>Nē</w:t>
            </w:r>
          </w:p>
        </w:tc>
        <w:tc>
          <w:tcPr>
            <w:tcW w:w="2410" w:type="dxa"/>
          </w:tcPr>
          <w:p w14:paraId="05689FA4" w14:textId="77777777" w:rsidR="007545BD" w:rsidRPr="00C41EB8" w:rsidRDefault="007545BD" w:rsidP="00A73208">
            <w:pPr>
              <w:spacing w:before="0" w:after="0"/>
              <w:jc w:val="left"/>
              <w:rPr>
                <w:noProof/>
                <w:sz w:val="20"/>
              </w:rPr>
            </w:pPr>
            <w:r w:rsidRPr="00C41EB8">
              <w:rPr>
                <w:noProof/>
                <w:sz w:val="20"/>
              </w:rPr>
              <w:t>1., 2., 3., 4.kritērijs</w:t>
            </w:r>
          </w:p>
          <w:p w14:paraId="19C11598" w14:textId="77777777" w:rsidR="007545BD" w:rsidRPr="00C41EB8" w:rsidRDefault="007545BD" w:rsidP="00A73208">
            <w:pPr>
              <w:spacing w:before="0" w:after="0"/>
              <w:jc w:val="left"/>
              <w:rPr>
                <w:noProof/>
                <w:sz w:val="20"/>
              </w:rPr>
            </w:pPr>
            <w:r w:rsidRPr="00C41EB8">
              <w:rPr>
                <w:noProof/>
                <w:sz w:val="20"/>
              </w:rPr>
              <w:t>Izglītības attīstības pamatnostādnes 2021.-2027.gadam</w:t>
            </w:r>
          </w:p>
          <w:p w14:paraId="1F6638D8" w14:textId="77777777" w:rsidR="007545BD" w:rsidRPr="00C41EB8" w:rsidRDefault="007545BD" w:rsidP="00A73208">
            <w:pPr>
              <w:spacing w:before="0" w:after="0"/>
              <w:jc w:val="left"/>
              <w:rPr>
                <w:noProof/>
                <w:sz w:val="20"/>
              </w:rPr>
            </w:pPr>
          </w:p>
          <w:p w14:paraId="2F9F7B08" w14:textId="77777777" w:rsidR="007545BD" w:rsidRPr="00C41EB8" w:rsidRDefault="009A507A" w:rsidP="00A73208">
            <w:pPr>
              <w:spacing w:before="0" w:after="0"/>
              <w:jc w:val="left"/>
              <w:rPr>
                <w:noProof/>
                <w:sz w:val="20"/>
              </w:rPr>
            </w:pPr>
            <w:hyperlink r:id="rId146" w:tgtFrame="_blank" w:history="1">
              <w:r w:rsidR="007545BD" w:rsidRPr="00C41EB8">
                <w:rPr>
                  <w:rStyle w:val="Hyperlink"/>
                  <w:noProof/>
                  <w:sz w:val="20"/>
                </w:rPr>
                <w:t>Saliedētas un pilsoniski aktīvas sabiedrības pamatnostādnes 2021- 2027.gadam</w:t>
              </w:r>
            </w:hyperlink>
            <w:r w:rsidR="007545BD" w:rsidRPr="00C41EB8">
              <w:rPr>
                <w:noProof/>
                <w:sz w:val="20"/>
              </w:rPr>
              <w:t> (apstiprinātas ar MK 05.02.2021. rīkojumu Nr.72).</w:t>
            </w:r>
          </w:p>
          <w:p w14:paraId="143F9D1A" w14:textId="77777777" w:rsidR="007545BD" w:rsidRPr="00C41EB8" w:rsidRDefault="007545BD" w:rsidP="00A73208">
            <w:pPr>
              <w:spacing w:before="0" w:after="0"/>
              <w:jc w:val="left"/>
              <w:rPr>
                <w:noProof/>
                <w:sz w:val="20"/>
              </w:rPr>
            </w:pPr>
          </w:p>
          <w:p w14:paraId="677AB4F3" w14:textId="77777777" w:rsidR="007545BD" w:rsidRPr="00C41EB8" w:rsidRDefault="007545BD" w:rsidP="00A73208">
            <w:pPr>
              <w:spacing w:before="0" w:after="0"/>
              <w:jc w:val="left"/>
              <w:rPr>
                <w:noProof/>
                <w:sz w:val="20"/>
              </w:rPr>
            </w:pPr>
            <w:r w:rsidRPr="00C41EB8">
              <w:rPr>
                <w:noProof/>
                <w:sz w:val="20"/>
              </w:rPr>
              <w:t>Sabiedrības veselības pamatnostādnes 2021.-2027.gadam (projekts, VSS-134, 25.02.2021.)</w:t>
            </w:r>
          </w:p>
          <w:p w14:paraId="697CCB8E" w14:textId="77777777" w:rsidR="007545BD" w:rsidRPr="00C41EB8" w:rsidRDefault="007545BD" w:rsidP="00A73208">
            <w:pPr>
              <w:spacing w:before="0" w:after="0"/>
              <w:jc w:val="left"/>
              <w:rPr>
                <w:noProof/>
                <w:sz w:val="20"/>
              </w:rPr>
            </w:pPr>
          </w:p>
          <w:p w14:paraId="7399FB65" w14:textId="77777777" w:rsidR="007545BD" w:rsidRPr="00C41EB8" w:rsidRDefault="007545BD" w:rsidP="00A73208">
            <w:pPr>
              <w:spacing w:before="0" w:after="0"/>
              <w:jc w:val="left"/>
              <w:rPr>
                <w:noProof/>
                <w:sz w:val="20"/>
              </w:rPr>
            </w:pPr>
            <w:r w:rsidRPr="00C41EB8">
              <w:rPr>
                <w:noProof/>
                <w:sz w:val="20"/>
              </w:rPr>
              <w:t>Sociālās aizsardzības un darba tirgus politikas</w:t>
            </w:r>
          </w:p>
          <w:p w14:paraId="754E58B6" w14:textId="77777777" w:rsidR="007545BD" w:rsidRPr="00C41EB8" w:rsidRDefault="007545BD" w:rsidP="00A73208">
            <w:pPr>
              <w:spacing w:before="0" w:after="0"/>
              <w:jc w:val="left"/>
              <w:rPr>
                <w:noProof/>
                <w:sz w:val="20"/>
              </w:rPr>
            </w:pPr>
            <w:r w:rsidRPr="00C41EB8">
              <w:rPr>
                <w:noProof/>
                <w:sz w:val="20"/>
              </w:rPr>
              <w:t>pamatnostādnes 2021 .-2027. gadam (projekts).</w:t>
            </w:r>
          </w:p>
          <w:p w14:paraId="59AE243E" w14:textId="77777777" w:rsidR="007545BD" w:rsidRPr="00C41EB8" w:rsidRDefault="007545BD" w:rsidP="00A73208">
            <w:pPr>
              <w:spacing w:before="0" w:after="0"/>
              <w:jc w:val="left"/>
              <w:rPr>
                <w:noProof/>
                <w:sz w:val="20"/>
              </w:rPr>
            </w:pPr>
          </w:p>
        </w:tc>
        <w:tc>
          <w:tcPr>
            <w:tcW w:w="3686" w:type="dxa"/>
          </w:tcPr>
          <w:p w14:paraId="08B14E8C" w14:textId="77777777" w:rsidR="007545BD" w:rsidRPr="00C41EB8" w:rsidRDefault="007545BD" w:rsidP="00A73208">
            <w:pPr>
              <w:spacing w:before="0" w:after="0"/>
              <w:rPr>
                <w:iCs/>
                <w:sz w:val="20"/>
              </w:rPr>
            </w:pPr>
            <w:r w:rsidRPr="00C41EB8">
              <w:rPr>
                <w:b/>
                <w:iCs/>
                <w:sz w:val="20"/>
              </w:rPr>
              <w:t>1.kritērijs</w:t>
            </w:r>
            <w:r w:rsidRPr="00C41EB8">
              <w:rPr>
                <w:iCs/>
                <w:sz w:val="20"/>
              </w:rPr>
              <w:t xml:space="preserve"> - Izglītības attīstības pamatnostādnes 2021.-2027.gadam -rīcības virziens 3.1. „Institucionāli risinājumi atbalsta nodrošināšanai ikviena izaugsmei” uzdevums nr. 3.1.1. „Nodrošināt iekļaujošas izglītības pieeju visos izglītības līmeņos”.</w:t>
            </w:r>
          </w:p>
          <w:p w14:paraId="151EF32E" w14:textId="77777777" w:rsidR="007545BD" w:rsidRDefault="007545BD" w:rsidP="00A73208">
            <w:pPr>
              <w:spacing w:before="0" w:after="0"/>
              <w:rPr>
                <w:iCs/>
                <w:sz w:val="20"/>
              </w:rPr>
            </w:pPr>
          </w:p>
          <w:p w14:paraId="5F63E687" w14:textId="77777777" w:rsidR="007545BD" w:rsidRPr="00C41EB8" w:rsidRDefault="007545BD" w:rsidP="00A73208">
            <w:pPr>
              <w:spacing w:before="0" w:after="0"/>
              <w:rPr>
                <w:iCs/>
                <w:sz w:val="20"/>
              </w:rPr>
            </w:pPr>
            <w:r w:rsidRPr="00C41EB8">
              <w:rPr>
                <w:iCs/>
                <w:sz w:val="20"/>
              </w:rPr>
              <w:t>Saskaņā ar KM 2021.gada 10.marta rīkojumu Nr.2.5-1-21 “Par darba grupas izveidi Latvijas romu stratēģiskā ietvara izstrādei” ir plānots līdz 2021.gada 30.jūnijam izstrādāt nacionālo romu stratēģisko ietvaru, ņemot vērā EPSCO sanāksmē 2021.gada 15.martā apstiprinātajā Eiropas Savienības Padomes ieteikumā par romu līdztiesību, iekļaušanu un līdzdalību iekļautās rekomendācijas Eiropas Savienības dalībvalstīm. Nacionālajā romu stratēģiskajā ietvarā tiks iekļauti atbalsta pasākumi atbilstoši nozaru politiku pamatnostādnēm, kā arī ņemot vērā nacionālo situāciju, mērķa grupas specifiskās iezīmes un pieejamos resursus.</w:t>
            </w:r>
          </w:p>
          <w:p w14:paraId="168FB970" w14:textId="77777777" w:rsidR="007545BD" w:rsidRPr="00C41EB8" w:rsidRDefault="007545BD" w:rsidP="00A73208">
            <w:pPr>
              <w:spacing w:before="0" w:after="0"/>
              <w:rPr>
                <w:iCs/>
                <w:sz w:val="20"/>
              </w:rPr>
            </w:pPr>
            <w:r w:rsidRPr="00C41EB8">
              <w:rPr>
                <w:iCs/>
                <w:sz w:val="20"/>
              </w:rPr>
              <w:t>No 2021.gada pasākumi, kas veicina Latvijas romu iekļaušanu, līdzdalību un līdztiesību, t.sk. atbalsta pasākumi romu mediatoru pakalpojumu nodrošināšanai, ir iekļauti Saliedētas un pilsoniski aktīvas sabiedrības pamatnostādņu 2021- 2027.gadam īstenošanas plānā 2021.-2023.gadam (projekts) un Sabiedrības veselības pamatnostādnēs 2021.-2027.gadam  (projekts, VSS-134, 25.02.2021.)</w:t>
            </w:r>
          </w:p>
          <w:p w14:paraId="22C9C2D9" w14:textId="77777777" w:rsidR="007545BD" w:rsidRPr="00C41EB8" w:rsidRDefault="007545BD" w:rsidP="00A73208">
            <w:pPr>
              <w:spacing w:before="0" w:after="0"/>
              <w:rPr>
                <w:iCs/>
                <w:sz w:val="20"/>
              </w:rPr>
            </w:pPr>
            <w:r w:rsidRPr="00C41EB8">
              <w:rPr>
                <w:iCs/>
                <w:sz w:val="20"/>
              </w:rPr>
              <w:t>Romu iekļaušanas, līdzdalības un līdztiesības veicināšana ir sociālajam atstumtības riskam pakļauto sabiedrības grupu iekļaušanas politikas neatņemama sastāvdaļa.</w:t>
            </w:r>
          </w:p>
          <w:p w14:paraId="3144CB69" w14:textId="77777777" w:rsidR="007545BD" w:rsidRPr="00C41EB8" w:rsidRDefault="007545BD" w:rsidP="00A73208">
            <w:pPr>
              <w:spacing w:before="0" w:after="0"/>
              <w:rPr>
                <w:iCs/>
                <w:sz w:val="20"/>
              </w:rPr>
            </w:pPr>
          </w:p>
          <w:p w14:paraId="373C470C" w14:textId="77777777" w:rsidR="007545BD" w:rsidRPr="00C41EB8" w:rsidRDefault="007545BD" w:rsidP="00A73208">
            <w:pPr>
              <w:spacing w:before="0" w:after="0"/>
              <w:rPr>
                <w:rFonts w:eastAsia="Times New Roman"/>
                <w:iCs/>
                <w:noProof/>
                <w:sz w:val="20"/>
              </w:rPr>
            </w:pPr>
          </w:p>
        </w:tc>
      </w:tr>
      <w:tr w:rsidR="007545BD" w:rsidRPr="00C41EB8" w14:paraId="48D4C7E1" w14:textId="77777777" w:rsidTr="00A73208">
        <w:tc>
          <w:tcPr>
            <w:tcW w:w="562" w:type="dxa"/>
          </w:tcPr>
          <w:p w14:paraId="73CC6311"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03017ED0" w14:textId="77777777" w:rsidR="007545BD" w:rsidRPr="00C41EB8" w:rsidRDefault="007545BD" w:rsidP="00A73208">
            <w:pPr>
              <w:spacing w:before="0" w:after="0"/>
              <w:jc w:val="left"/>
              <w:rPr>
                <w:noProof/>
                <w:sz w:val="20"/>
              </w:rPr>
            </w:pPr>
          </w:p>
        </w:tc>
        <w:tc>
          <w:tcPr>
            <w:tcW w:w="851" w:type="dxa"/>
            <w:vMerge/>
          </w:tcPr>
          <w:p w14:paraId="6B6A99F2" w14:textId="77777777" w:rsidR="007545BD" w:rsidRPr="00C41EB8" w:rsidRDefault="007545BD" w:rsidP="00A73208">
            <w:pPr>
              <w:spacing w:before="0" w:after="0"/>
              <w:jc w:val="left"/>
              <w:rPr>
                <w:rFonts w:eastAsia="Times New Roman"/>
                <w:iCs/>
                <w:noProof/>
                <w:sz w:val="20"/>
              </w:rPr>
            </w:pPr>
          </w:p>
        </w:tc>
        <w:tc>
          <w:tcPr>
            <w:tcW w:w="1134" w:type="dxa"/>
            <w:vMerge/>
          </w:tcPr>
          <w:p w14:paraId="73A0D572" w14:textId="77777777" w:rsidR="007545BD" w:rsidRPr="00C41EB8" w:rsidRDefault="007545BD" w:rsidP="00A73208">
            <w:pPr>
              <w:spacing w:before="0" w:after="0"/>
              <w:jc w:val="left"/>
              <w:rPr>
                <w:rFonts w:eastAsia="Times New Roman"/>
                <w:iCs/>
                <w:noProof/>
                <w:sz w:val="20"/>
              </w:rPr>
            </w:pPr>
          </w:p>
        </w:tc>
        <w:tc>
          <w:tcPr>
            <w:tcW w:w="850" w:type="dxa"/>
            <w:vMerge/>
          </w:tcPr>
          <w:p w14:paraId="7C2962FB" w14:textId="77777777" w:rsidR="007545BD" w:rsidRPr="00C41EB8" w:rsidRDefault="007545BD" w:rsidP="00A73208">
            <w:pPr>
              <w:spacing w:before="0" w:after="0"/>
              <w:jc w:val="left"/>
              <w:rPr>
                <w:rFonts w:eastAsia="Times New Roman"/>
                <w:iCs/>
                <w:noProof/>
                <w:sz w:val="20"/>
              </w:rPr>
            </w:pPr>
          </w:p>
        </w:tc>
        <w:tc>
          <w:tcPr>
            <w:tcW w:w="2410" w:type="dxa"/>
          </w:tcPr>
          <w:p w14:paraId="5AC73F07" w14:textId="77777777" w:rsidR="007545BD" w:rsidRPr="00C41EB8" w:rsidRDefault="007545BD" w:rsidP="00A73208">
            <w:pPr>
              <w:spacing w:before="0" w:after="0"/>
              <w:ind w:left="3"/>
              <w:jc w:val="left"/>
              <w:rPr>
                <w:noProof/>
                <w:sz w:val="20"/>
              </w:rPr>
            </w:pPr>
            <w:r w:rsidRPr="00C41EB8">
              <w:rPr>
                <w:noProof/>
                <w:sz w:val="20"/>
              </w:rPr>
              <w:t>2.Romu integrācijas pasākumu uzraudzības, novērtēšanas un pārskatīšanas kārtību.</w:t>
            </w:r>
          </w:p>
        </w:tc>
        <w:tc>
          <w:tcPr>
            <w:tcW w:w="1134" w:type="dxa"/>
          </w:tcPr>
          <w:p w14:paraId="28C9D586" w14:textId="77777777" w:rsidR="007545BD" w:rsidRPr="00C41EB8" w:rsidRDefault="007545BD" w:rsidP="00A73208">
            <w:pPr>
              <w:spacing w:before="0" w:after="0"/>
              <w:jc w:val="left"/>
              <w:rPr>
                <w:noProof/>
                <w:sz w:val="20"/>
              </w:rPr>
            </w:pPr>
            <w:r w:rsidRPr="00C41EB8">
              <w:rPr>
                <w:noProof/>
                <w:sz w:val="20"/>
              </w:rPr>
              <w:t>Nē</w:t>
            </w:r>
          </w:p>
        </w:tc>
        <w:tc>
          <w:tcPr>
            <w:tcW w:w="2410" w:type="dxa"/>
          </w:tcPr>
          <w:p w14:paraId="62113152" w14:textId="77777777" w:rsidR="007545BD" w:rsidRPr="00C41EB8" w:rsidRDefault="009A507A" w:rsidP="00A73208">
            <w:pPr>
              <w:spacing w:before="0" w:after="0"/>
              <w:jc w:val="left"/>
              <w:rPr>
                <w:noProof/>
                <w:sz w:val="20"/>
              </w:rPr>
            </w:pPr>
            <w:hyperlink r:id="rId147" w:tgtFrame="_blank" w:history="1">
              <w:r w:rsidR="007545BD" w:rsidRPr="009F27FD">
                <w:rPr>
                  <w:noProof/>
                  <w:color w:val="0070C0"/>
                  <w:sz w:val="20"/>
                  <w:u w:val="single"/>
                </w:rPr>
                <w:t>Saliedētas un pilsoniski aktīvas sabiedrības pamatnostādnes 2021- 2027.gadam</w:t>
              </w:r>
            </w:hyperlink>
            <w:r w:rsidR="007545BD" w:rsidRPr="00C41EB8">
              <w:rPr>
                <w:noProof/>
                <w:sz w:val="20"/>
              </w:rPr>
              <w:t> (Apstiprinātas ar MK 05.02.2021.rīkojumu Nr.72).</w:t>
            </w:r>
          </w:p>
          <w:p w14:paraId="489E071B" w14:textId="77777777" w:rsidR="007545BD" w:rsidRPr="00C41EB8" w:rsidRDefault="007545BD" w:rsidP="00A73208">
            <w:pPr>
              <w:spacing w:before="0" w:after="0"/>
              <w:jc w:val="left"/>
              <w:rPr>
                <w:noProof/>
                <w:sz w:val="20"/>
              </w:rPr>
            </w:pPr>
          </w:p>
          <w:p w14:paraId="71837B5C" w14:textId="77777777" w:rsidR="007545BD" w:rsidRPr="00C41EB8" w:rsidRDefault="007545BD" w:rsidP="00A73208">
            <w:pPr>
              <w:spacing w:before="0" w:after="0"/>
              <w:jc w:val="left"/>
              <w:rPr>
                <w:noProof/>
                <w:sz w:val="20"/>
              </w:rPr>
            </w:pPr>
            <w:r w:rsidRPr="00C41EB8">
              <w:rPr>
                <w:noProof/>
                <w:sz w:val="20"/>
              </w:rPr>
              <w:t>Nacionālais romu stratēģiskais ietvars (plānots sagatavot līdz 30.06.2021.).</w:t>
            </w:r>
          </w:p>
          <w:p w14:paraId="5C206F7B" w14:textId="77777777" w:rsidR="007545BD" w:rsidRPr="00C41EB8" w:rsidRDefault="007545BD" w:rsidP="00A73208">
            <w:pPr>
              <w:spacing w:before="0" w:after="0"/>
              <w:jc w:val="left"/>
              <w:rPr>
                <w:noProof/>
                <w:sz w:val="20"/>
              </w:rPr>
            </w:pPr>
          </w:p>
        </w:tc>
        <w:tc>
          <w:tcPr>
            <w:tcW w:w="3686" w:type="dxa"/>
          </w:tcPr>
          <w:p w14:paraId="6361B3A6" w14:textId="77777777" w:rsidR="007545BD" w:rsidRPr="00C41EB8" w:rsidRDefault="007545BD" w:rsidP="00A73208">
            <w:pPr>
              <w:pStyle w:val="Heading3"/>
              <w:numPr>
                <w:ilvl w:val="0"/>
                <w:numId w:val="0"/>
              </w:numPr>
              <w:shd w:val="clear" w:color="auto" w:fill="FFFFFF"/>
              <w:spacing w:after="0"/>
              <w:rPr>
                <w:b/>
                <w:bCs/>
                <w:i w:val="0"/>
                <w:color w:val="414142"/>
                <w:sz w:val="20"/>
                <w:lang w:bidi="ar-SA"/>
              </w:rPr>
            </w:pPr>
            <w:r w:rsidRPr="00C41EB8">
              <w:rPr>
                <w:iCs/>
                <w:noProof/>
                <w:color w:val="FF0000"/>
                <w:sz w:val="20"/>
              </w:rPr>
              <w:t xml:space="preserve"> </w:t>
            </w:r>
            <w:bookmarkStart w:id="61" w:name="_Toc69125433"/>
            <w:r w:rsidRPr="00C41EB8">
              <w:rPr>
                <w:rFonts w:eastAsiaTheme="minorHAnsi"/>
                <w:i w:val="0"/>
                <w:noProof/>
                <w:sz w:val="20"/>
                <w:lang w:eastAsia="en-US" w:bidi="ar-SA"/>
              </w:rPr>
              <w:t>Nacionālā romu stratēģiskā ietvara izveides darba grupas sēdēs ir plānots apspriest jautājumus par  romu stratēģiskajā ietvarā iekļauto pasākumu uzraudzības, novērtēšanas un pārskatīšanas kārtību, ņemot vērā Eiropas Savienības Padomes ieteikumu par romu līdztiesību, iekļaušanu un līdzdalību.</w:t>
            </w:r>
            <w:bookmarkEnd w:id="61"/>
          </w:p>
          <w:p w14:paraId="3635CBB6" w14:textId="77777777" w:rsidR="007545BD" w:rsidRPr="00C41EB8" w:rsidRDefault="007545BD" w:rsidP="00A73208">
            <w:pPr>
              <w:spacing w:before="0" w:after="0"/>
              <w:rPr>
                <w:rFonts w:eastAsia="Times New Roman"/>
                <w:iCs/>
                <w:noProof/>
                <w:sz w:val="20"/>
              </w:rPr>
            </w:pPr>
          </w:p>
        </w:tc>
      </w:tr>
      <w:tr w:rsidR="007545BD" w:rsidRPr="00C41EB8" w14:paraId="4B0B313C" w14:textId="77777777" w:rsidTr="00A73208">
        <w:tc>
          <w:tcPr>
            <w:tcW w:w="562" w:type="dxa"/>
          </w:tcPr>
          <w:p w14:paraId="2604D683"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22A615EA" w14:textId="77777777" w:rsidR="007545BD" w:rsidRPr="00C41EB8" w:rsidRDefault="007545BD" w:rsidP="00A73208">
            <w:pPr>
              <w:spacing w:before="0" w:after="0"/>
              <w:jc w:val="left"/>
              <w:rPr>
                <w:noProof/>
                <w:sz w:val="20"/>
              </w:rPr>
            </w:pPr>
          </w:p>
        </w:tc>
        <w:tc>
          <w:tcPr>
            <w:tcW w:w="851" w:type="dxa"/>
            <w:vMerge/>
          </w:tcPr>
          <w:p w14:paraId="58A37FEF" w14:textId="77777777" w:rsidR="007545BD" w:rsidRPr="00C41EB8" w:rsidRDefault="007545BD" w:rsidP="00A73208">
            <w:pPr>
              <w:spacing w:before="0" w:after="0"/>
              <w:jc w:val="left"/>
              <w:rPr>
                <w:rFonts w:eastAsia="Times New Roman"/>
                <w:iCs/>
                <w:noProof/>
                <w:sz w:val="20"/>
              </w:rPr>
            </w:pPr>
          </w:p>
        </w:tc>
        <w:tc>
          <w:tcPr>
            <w:tcW w:w="1134" w:type="dxa"/>
            <w:vMerge/>
          </w:tcPr>
          <w:p w14:paraId="136FCA12" w14:textId="77777777" w:rsidR="007545BD" w:rsidRPr="00C41EB8" w:rsidRDefault="007545BD" w:rsidP="00A73208">
            <w:pPr>
              <w:spacing w:before="0" w:after="0"/>
              <w:jc w:val="left"/>
              <w:rPr>
                <w:rFonts w:eastAsia="Times New Roman"/>
                <w:iCs/>
                <w:noProof/>
                <w:sz w:val="20"/>
              </w:rPr>
            </w:pPr>
          </w:p>
        </w:tc>
        <w:tc>
          <w:tcPr>
            <w:tcW w:w="850" w:type="dxa"/>
            <w:vMerge/>
          </w:tcPr>
          <w:p w14:paraId="42A7CAA3" w14:textId="77777777" w:rsidR="007545BD" w:rsidRPr="00C41EB8" w:rsidRDefault="007545BD" w:rsidP="00A73208">
            <w:pPr>
              <w:spacing w:before="0" w:after="0"/>
              <w:jc w:val="left"/>
              <w:rPr>
                <w:rFonts w:eastAsia="Times New Roman"/>
                <w:iCs/>
                <w:noProof/>
                <w:sz w:val="20"/>
              </w:rPr>
            </w:pPr>
          </w:p>
        </w:tc>
        <w:tc>
          <w:tcPr>
            <w:tcW w:w="2410" w:type="dxa"/>
          </w:tcPr>
          <w:p w14:paraId="3A15AE99" w14:textId="77777777" w:rsidR="007545BD" w:rsidRPr="00C41EB8" w:rsidRDefault="007545BD" w:rsidP="00A73208">
            <w:pPr>
              <w:spacing w:before="0" w:after="0"/>
              <w:ind w:left="3"/>
              <w:jc w:val="left"/>
              <w:rPr>
                <w:noProof/>
                <w:sz w:val="20"/>
              </w:rPr>
            </w:pPr>
            <w:r w:rsidRPr="00C41EB8">
              <w:rPr>
                <w:noProof/>
                <w:sz w:val="20"/>
              </w:rPr>
              <w:t>3.Kārtību romu iekļaušanas pasākumu integrēšanai reģionālajā un vietējā līmenī.</w:t>
            </w:r>
          </w:p>
        </w:tc>
        <w:tc>
          <w:tcPr>
            <w:tcW w:w="1134" w:type="dxa"/>
          </w:tcPr>
          <w:p w14:paraId="6CD8062F" w14:textId="77777777" w:rsidR="007545BD" w:rsidRPr="00C41EB8" w:rsidRDefault="007545BD" w:rsidP="00A73208">
            <w:pPr>
              <w:spacing w:before="0" w:after="0"/>
              <w:jc w:val="left"/>
              <w:rPr>
                <w:noProof/>
                <w:sz w:val="20"/>
              </w:rPr>
            </w:pPr>
            <w:r w:rsidRPr="00C41EB8">
              <w:rPr>
                <w:noProof/>
                <w:sz w:val="20"/>
              </w:rPr>
              <w:t>Nē</w:t>
            </w:r>
          </w:p>
        </w:tc>
        <w:tc>
          <w:tcPr>
            <w:tcW w:w="2410" w:type="dxa"/>
          </w:tcPr>
          <w:p w14:paraId="36723AC7" w14:textId="77777777" w:rsidR="007545BD" w:rsidRPr="00C41EB8" w:rsidRDefault="009A507A" w:rsidP="00A73208">
            <w:pPr>
              <w:spacing w:before="0" w:after="0"/>
              <w:jc w:val="left"/>
              <w:rPr>
                <w:noProof/>
                <w:sz w:val="20"/>
              </w:rPr>
            </w:pPr>
            <w:hyperlink r:id="rId148" w:tgtFrame="_blank" w:history="1">
              <w:r w:rsidR="007545BD" w:rsidRPr="009F27FD">
                <w:rPr>
                  <w:noProof/>
                  <w:color w:val="0070C0"/>
                  <w:sz w:val="20"/>
                  <w:u w:val="single"/>
                </w:rPr>
                <w:t>Saliedētas un pilsoniski aktīvas sabiedrības pamatnostādnes 2021- 2027.gadam</w:t>
              </w:r>
            </w:hyperlink>
            <w:r w:rsidR="007545BD" w:rsidRPr="00C41EB8">
              <w:rPr>
                <w:noProof/>
                <w:sz w:val="20"/>
              </w:rPr>
              <w:t> (Apstiprinātas ar MK 05.02.2021.rīkojumu Nr.72).</w:t>
            </w:r>
          </w:p>
          <w:p w14:paraId="5745A7F4" w14:textId="77777777" w:rsidR="007545BD" w:rsidRPr="00C41EB8" w:rsidRDefault="007545BD" w:rsidP="00A73208">
            <w:pPr>
              <w:spacing w:before="0" w:after="0"/>
              <w:jc w:val="left"/>
              <w:rPr>
                <w:noProof/>
                <w:sz w:val="20"/>
              </w:rPr>
            </w:pPr>
          </w:p>
          <w:p w14:paraId="2649164E" w14:textId="77777777" w:rsidR="007545BD" w:rsidRPr="00C41EB8" w:rsidRDefault="007545BD" w:rsidP="00A73208">
            <w:pPr>
              <w:spacing w:before="0" w:after="0"/>
              <w:jc w:val="left"/>
              <w:rPr>
                <w:noProof/>
                <w:sz w:val="20"/>
              </w:rPr>
            </w:pPr>
            <w:r w:rsidRPr="00C41EB8">
              <w:rPr>
                <w:noProof/>
                <w:sz w:val="20"/>
              </w:rPr>
              <w:t>Nacionālais romu stratēģiskais ietvars (plānots sagatavot līdz 30.06.2021.).</w:t>
            </w:r>
          </w:p>
          <w:p w14:paraId="5CE97FEE" w14:textId="77777777" w:rsidR="007545BD" w:rsidRPr="00C41EB8" w:rsidRDefault="007545BD" w:rsidP="00A73208">
            <w:pPr>
              <w:spacing w:before="0" w:after="0"/>
              <w:jc w:val="left"/>
              <w:rPr>
                <w:noProof/>
                <w:sz w:val="20"/>
              </w:rPr>
            </w:pPr>
          </w:p>
        </w:tc>
        <w:tc>
          <w:tcPr>
            <w:tcW w:w="3686" w:type="dxa"/>
          </w:tcPr>
          <w:p w14:paraId="04DDC640" w14:textId="77777777" w:rsidR="007545BD" w:rsidRPr="00C41EB8" w:rsidRDefault="007545BD" w:rsidP="00A73208">
            <w:pPr>
              <w:spacing w:before="0" w:after="0"/>
              <w:rPr>
                <w:rFonts w:eastAsia="Times New Roman"/>
                <w:iCs/>
                <w:noProof/>
                <w:sz w:val="20"/>
              </w:rPr>
            </w:pPr>
            <w:r w:rsidRPr="00C41EB8">
              <w:rPr>
                <w:noProof/>
                <w:sz w:val="20"/>
              </w:rPr>
              <w:t>Nacionālā romu stratēģiskā ietvara izveides darba grupas sēdēs ir plānots apspriest jautājumu par pasākumiem, lai veicinātu romu iekļaušanu reģionālajā un vietējā līmenī, ņemot vērā Eiropas Savienības Padomes ieteikumu par romu līdztiesību, iekļaušanu un līdzdalību.</w:t>
            </w:r>
          </w:p>
        </w:tc>
      </w:tr>
      <w:tr w:rsidR="007545BD" w:rsidRPr="00C41EB8" w14:paraId="5FDDFE2F" w14:textId="77777777" w:rsidTr="00A73208">
        <w:tc>
          <w:tcPr>
            <w:tcW w:w="562" w:type="dxa"/>
          </w:tcPr>
          <w:p w14:paraId="076C962E"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6BCA0BD8" w14:textId="77777777" w:rsidR="007545BD" w:rsidRPr="00C41EB8" w:rsidRDefault="007545BD" w:rsidP="00A73208">
            <w:pPr>
              <w:spacing w:before="0" w:after="0"/>
              <w:jc w:val="left"/>
              <w:rPr>
                <w:noProof/>
                <w:sz w:val="20"/>
              </w:rPr>
            </w:pPr>
          </w:p>
        </w:tc>
        <w:tc>
          <w:tcPr>
            <w:tcW w:w="851" w:type="dxa"/>
            <w:vMerge/>
          </w:tcPr>
          <w:p w14:paraId="413552F5" w14:textId="77777777" w:rsidR="007545BD" w:rsidRPr="00C41EB8" w:rsidRDefault="007545BD" w:rsidP="00A73208">
            <w:pPr>
              <w:spacing w:before="0" w:after="0"/>
              <w:jc w:val="left"/>
              <w:rPr>
                <w:rFonts w:eastAsia="Times New Roman"/>
                <w:iCs/>
                <w:noProof/>
                <w:sz w:val="20"/>
              </w:rPr>
            </w:pPr>
          </w:p>
        </w:tc>
        <w:tc>
          <w:tcPr>
            <w:tcW w:w="1134" w:type="dxa"/>
            <w:vMerge/>
          </w:tcPr>
          <w:p w14:paraId="35BC53A7" w14:textId="77777777" w:rsidR="007545BD" w:rsidRPr="00C41EB8" w:rsidRDefault="007545BD" w:rsidP="00A73208">
            <w:pPr>
              <w:spacing w:before="0" w:after="0"/>
              <w:jc w:val="left"/>
              <w:rPr>
                <w:rFonts w:eastAsia="Times New Roman"/>
                <w:iCs/>
                <w:noProof/>
                <w:sz w:val="20"/>
              </w:rPr>
            </w:pPr>
          </w:p>
        </w:tc>
        <w:tc>
          <w:tcPr>
            <w:tcW w:w="850" w:type="dxa"/>
            <w:vMerge/>
          </w:tcPr>
          <w:p w14:paraId="14E1EE8F" w14:textId="77777777" w:rsidR="007545BD" w:rsidRPr="00C41EB8" w:rsidRDefault="007545BD" w:rsidP="00A73208">
            <w:pPr>
              <w:spacing w:before="0" w:after="0"/>
              <w:jc w:val="left"/>
              <w:rPr>
                <w:rFonts w:eastAsia="Times New Roman"/>
                <w:iCs/>
                <w:noProof/>
                <w:sz w:val="20"/>
              </w:rPr>
            </w:pPr>
          </w:p>
        </w:tc>
        <w:tc>
          <w:tcPr>
            <w:tcW w:w="2410" w:type="dxa"/>
          </w:tcPr>
          <w:p w14:paraId="3A89A2F7" w14:textId="77777777" w:rsidR="007545BD" w:rsidRPr="00C41EB8" w:rsidRDefault="007545BD" w:rsidP="00A73208">
            <w:pPr>
              <w:spacing w:before="0" w:after="0"/>
              <w:ind w:left="3"/>
              <w:jc w:val="left"/>
              <w:rPr>
                <w:noProof/>
                <w:sz w:val="20"/>
              </w:rPr>
            </w:pPr>
            <w:r w:rsidRPr="00C41EB8">
              <w:rPr>
                <w:noProof/>
                <w:sz w:val="20"/>
              </w:rPr>
              <w:t>4.Kārtību, kādā nodrošina, ka tās izstrādi, īstenošanu, uzraudzību un pārskatīšanu veic ciešā sadarbībā ar romu pilsonisko sabiedrību un visām citām ieinteresētajām personām, tostarp reģionālajā un vietējā līmenī.</w:t>
            </w:r>
          </w:p>
        </w:tc>
        <w:tc>
          <w:tcPr>
            <w:tcW w:w="1134" w:type="dxa"/>
          </w:tcPr>
          <w:p w14:paraId="4D3DAE5A" w14:textId="77777777" w:rsidR="007545BD" w:rsidRPr="00C41EB8" w:rsidRDefault="007545BD" w:rsidP="00A73208">
            <w:pPr>
              <w:spacing w:before="0" w:after="0"/>
              <w:jc w:val="left"/>
              <w:rPr>
                <w:noProof/>
                <w:sz w:val="20"/>
              </w:rPr>
            </w:pPr>
            <w:r w:rsidRPr="00C41EB8">
              <w:rPr>
                <w:noProof/>
                <w:sz w:val="20"/>
              </w:rPr>
              <w:t>Nē</w:t>
            </w:r>
          </w:p>
        </w:tc>
        <w:tc>
          <w:tcPr>
            <w:tcW w:w="2410" w:type="dxa"/>
          </w:tcPr>
          <w:p w14:paraId="52569D9E" w14:textId="77777777" w:rsidR="007545BD" w:rsidRPr="00C41EB8" w:rsidRDefault="009A507A" w:rsidP="00A73208">
            <w:pPr>
              <w:spacing w:before="0" w:after="0"/>
              <w:jc w:val="left"/>
              <w:rPr>
                <w:noProof/>
                <w:sz w:val="20"/>
              </w:rPr>
            </w:pPr>
            <w:hyperlink r:id="rId149" w:tgtFrame="_blank" w:history="1">
              <w:r w:rsidR="007545BD" w:rsidRPr="009F27FD">
                <w:rPr>
                  <w:noProof/>
                  <w:color w:val="0070C0"/>
                  <w:sz w:val="20"/>
                  <w:u w:val="single"/>
                </w:rPr>
                <w:t>Saliedētas un pilsoniski aktīvas sabiedrības pamatnostādnes 2021- 2027.gadam</w:t>
              </w:r>
            </w:hyperlink>
            <w:r w:rsidR="007545BD" w:rsidRPr="00C41EB8">
              <w:rPr>
                <w:noProof/>
                <w:sz w:val="20"/>
              </w:rPr>
              <w:t> (Apstiprinātas ar MK 05.02.2021.rīkojumu Nr.72).</w:t>
            </w:r>
          </w:p>
          <w:p w14:paraId="5FE997F4" w14:textId="77777777" w:rsidR="007545BD" w:rsidRPr="00C41EB8" w:rsidRDefault="007545BD" w:rsidP="00A73208">
            <w:pPr>
              <w:spacing w:before="0" w:after="0"/>
              <w:jc w:val="left"/>
              <w:rPr>
                <w:noProof/>
                <w:sz w:val="20"/>
              </w:rPr>
            </w:pPr>
          </w:p>
          <w:p w14:paraId="1F775884" w14:textId="77777777" w:rsidR="007545BD" w:rsidRPr="00C41EB8" w:rsidRDefault="007545BD" w:rsidP="00A73208">
            <w:pPr>
              <w:spacing w:before="0" w:after="0"/>
              <w:jc w:val="left"/>
              <w:rPr>
                <w:noProof/>
                <w:sz w:val="20"/>
              </w:rPr>
            </w:pPr>
            <w:r w:rsidRPr="00C41EB8">
              <w:rPr>
                <w:noProof/>
                <w:sz w:val="20"/>
              </w:rPr>
              <w:t>Nacionālais romu stratēģiskais ietvars (plānots sagatavot līdz 30.06.2021.).</w:t>
            </w:r>
          </w:p>
          <w:p w14:paraId="408B7082" w14:textId="77777777" w:rsidR="007545BD" w:rsidRPr="00C41EB8" w:rsidRDefault="007545BD" w:rsidP="00A73208">
            <w:pPr>
              <w:spacing w:before="0" w:after="0"/>
              <w:jc w:val="left"/>
              <w:rPr>
                <w:noProof/>
                <w:sz w:val="20"/>
              </w:rPr>
            </w:pPr>
          </w:p>
        </w:tc>
        <w:tc>
          <w:tcPr>
            <w:tcW w:w="3686" w:type="dxa"/>
          </w:tcPr>
          <w:p w14:paraId="4067F9AD" w14:textId="77777777" w:rsidR="007545BD" w:rsidRPr="00C41EB8" w:rsidRDefault="007545BD" w:rsidP="00A73208">
            <w:pPr>
              <w:shd w:val="clear" w:color="auto" w:fill="FFFFFF"/>
              <w:spacing w:before="0" w:after="0"/>
              <w:rPr>
                <w:noProof/>
                <w:sz w:val="20"/>
              </w:rPr>
            </w:pPr>
            <w:r w:rsidRPr="00C41EB8">
              <w:rPr>
                <w:noProof/>
                <w:sz w:val="20"/>
              </w:rPr>
              <w:t>Nacionālā romu stratēģiskā ietvara izveides darba grupas sēdēs ir plānots apspriest jautājumu par pasākumiem, lai veicinātu romu līdzdalību minētā ietvara īstenošanā, uzraudzībā un pārskatīšanā, kā arī sadarbības attīstību ar romu pilsonisko sabiedrību un citām ieinteresētajām pusēm. </w:t>
            </w:r>
          </w:p>
          <w:p w14:paraId="6FE24281" w14:textId="77777777" w:rsidR="007545BD" w:rsidRPr="00C41EB8" w:rsidRDefault="007545BD" w:rsidP="00A73208">
            <w:pPr>
              <w:shd w:val="clear" w:color="auto" w:fill="FFFFFF"/>
              <w:spacing w:before="0" w:after="0"/>
              <w:rPr>
                <w:noProof/>
                <w:sz w:val="20"/>
              </w:rPr>
            </w:pPr>
          </w:p>
          <w:p w14:paraId="561E34D7" w14:textId="77777777" w:rsidR="007545BD" w:rsidRPr="00C41EB8" w:rsidRDefault="007545BD" w:rsidP="00A73208">
            <w:pPr>
              <w:spacing w:before="0" w:after="0"/>
              <w:rPr>
                <w:rFonts w:eastAsia="Times New Roman"/>
                <w:iCs/>
                <w:noProof/>
                <w:sz w:val="20"/>
              </w:rPr>
            </w:pPr>
            <w:r w:rsidRPr="00C41EB8">
              <w:rPr>
                <w:noProof/>
                <w:sz w:val="20"/>
              </w:rPr>
              <w:t>Saskaņā ar KM 2021.gada 10.marta rīkojumu Nr.2.5-1-21 “Par darba grupas izveidi Latvijas romu stratēģiskā ietvara izstrādei” nacionālā romu stratēģiskā ietvara izstrādē ir iekļauti romu nevalstisko organizāciju pārstāvji un aktīvisti, kā arī to nevalstisko organizāciju, kas darbojas romu iekļaušanas jomā, pārstāvji.</w:t>
            </w:r>
          </w:p>
        </w:tc>
      </w:tr>
      <w:tr w:rsidR="007545BD" w:rsidRPr="00C41EB8" w14:paraId="6BBEDDD2" w14:textId="77777777" w:rsidTr="00A73208">
        <w:tc>
          <w:tcPr>
            <w:tcW w:w="562" w:type="dxa"/>
            <w:shd w:val="clear" w:color="auto" w:fill="D9D9D9" w:themeFill="background1" w:themeFillShade="D9"/>
          </w:tcPr>
          <w:p w14:paraId="626D485C"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val="restart"/>
            <w:shd w:val="clear" w:color="auto" w:fill="D9D9D9" w:themeFill="background1" w:themeFillShade="D9"/>
          </w:tcPr>
          <w:p w14:paraId="157DD1DC" w14:textId="77777777" w:rsidR="007545BD" w:rsidRPr="00C41EB8" w:rsidRDefault="007545BD" w:rsidP="00A73208">
            <w:pPr>
              <w:spacing w:before="0" w:after="0"/>
              <w:jc w:val="left"/>
              <w:rPr>
                <w:noProof/>
                <w:sz w:val="20"/>
              </w:rPr>
            </w:pPr>
            <w:r w:rsidRPr="00C41EB8">
              <w:rPr>
                <w:noProof/>
                <w:sz w:val="20"/>
              </w:rPr>
              <w:t>Tematiskais priekšnosacījums Nr.15</w:t>
            </w:r>
          </w:p>
          <w:p w14:paraId="16E88FA2" w14:textId="77777777" w:rsidR="007545BD" w:rsidRPr="00C41EB8" w:rsidRDefault="007545BD" w:rsidP="00A73208">
            <w:pPr>
              <w:spacing w:before="0" w:after="0"/>
              <w:jc w:val="left"/>
              <w:rPr>
                <w:noProof/>
                <w:sz w:val="20"/>
              </w:rPr>
            </w:pPr>
            <w:r w:rsidRPr="00C41EB8">
              <w:rPr>
                <w:noProof/>
                <w:sz w:val="20"/>
              </w:rPr>
              <w:t xml:space="preserve">Stratēģiskās politikas satvars </w:t>
            </w:r>
            <w:r w:rsidRPr="00C41EB8">
              <w:rPr>
                <w:b/>
                <w:bCs/>
                <w:noProof/>
                <w:sz w:val="20"/>
              </w:rPr>
              <w:t>veselības un ilgtermiņa aprūpes jomā</w:t>
            </w:r>
          </w:p>
        </w:tc>
        <w:tc>
          <w:tcPr>
            <w:tcW w:w="851" w:type="dxa"/>
            <w:vMerge w:val="restart"/>
            <w:shd w:val="clear" w:color="auto" w:fill="D9D9D9" w:themeFill="background1" w:themeFillShade="D9"/>
          </w:tcPr>
          <w:p w14:paraId="72DB01DB"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ERAF, ESF+</w:t>
            </w:r>
          </w:p>
        </w:tc>
        <w:tc>
          <w:tcPr>
            <w:tcW w:w="1134" w:type="dxa"/>
            <w:vMerge w:val="restart"/>
            <w:shd w:val="clear" w:color="auto" w:fill="D9D9D9" w:themeFill="background1" w:themeFillShade="D9"/>
          </w:tcPr>
          <w:p w14:paraId="56E31DC0"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4.1.1.SAM</w:t>
            </w:r>
          </w:p>
          <w:p w14:paraId="61F93DDE"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4.1.2.SAM</w:t>
            </w:r>
          </w:p>
          <w:p w14:paraId="31C755CD"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4.1.3.SAM</w:t>
            </w:r>
          </w:p>
          <w:p w14:paraId="47335F61"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4.3.5.SAM</w:t>
            </w:r>
          </w:p>
        </w:tc>
        <w:tc>
          <w:tcPr>
            <w:tcW w:w="850" w:type="dxa"/>
            <w:vMerge w:val="restart"/>
            <w:shd w:val="clear" w:color="auto" w:fill="D9D9D9" w:themeFill="background1" w:themeFillShade="D9"/>
          </w:tcPr>
          <w:p w14:paraId="18DEF823"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Nē</w:t>
            </w:r>
          </w:p>
        </w:tc>
        <w:tc>
          <w:tcPr>
            <w:tcW w:w="2410" w:type="dxa"/>
            <w:shd w:val="clear" w:color="auto" w:fill="D9D9D9" w:themeFill="background1" w:themeFillShade="D9"/>
          </w:tcPr>
          <w:p w14:paraId="3CE21FC5" w14:textId="77777777" w:rsidR="007545BD" w:rsidRPr="00C41EB8" w:rsidRDefault="007545BD" w:rsidP="00A73208">
            <w:pPr>
              <w:spacing w:before="0" w:after="0"/>
              <w:ind w:left="3"/>
              <w:jc w:val="left"/>
              <w:rPr>
                <w:noProof/>
                <w:sz w:val="20"/>
              </w:rPr>
            </w:pPr>
            <w:r w:rsidRPr="00C41EB8">
              <w:rPr>
                <w:noProof/>
                <w:sz w:val="20"/>
              </w:rPr>
              <w:t>Ir ieviests valsts vai reģionāls stratēģiskās politikas satvars veselības un ilgtermiņa aprūpes jomā, un tas ietver:</w:t>
            </w:r>
          </w:p>
          <w:p w14:paraId="49E9A63A" w14:textId="77777777" w:rsidR="007545BD" w:rsidRPr="00C41EB8" w:rsidRDefault="007545BD" w:rsidP="00A73208">
            <w:pPr>
              <w:spacing w:before="0" w:after="0"/>
              <w:ind w:left="171" w:hanging="171"/>
              <w:jc w:val="left"/>
              <w:rPr>
                <w:noProof/>
                <w:sz w:val="20"/>
              </w:rPr>
            </w:pPr>
            <w:r w:rsidRPr="00C41EB8">
              <w:rPr>
                <w:noProof/>
                <w:sz w:val="20"/>
              </w:rPr>
              <w:t>1.</w:t>
            </w:r>
            <w:r w:rsidRPr="00C41EB8">
              <w:rPr>
                <w:noProof/>
                <w:sz w:val="20"/>
              </w:rPr>
              <w:tab/>
              <w:t>Veselības un ilgtermiņa aprūpes vajadzību apzināšanu, tostarp attiecībā uz medicīnisko personālu, lai nodrošinātu ilgtspējīgus un saskaņotus pasākumus.</w:t>
            </w:r>
          </w:p>
        </w:tc>
        <w:tc>
          <w:tcPr>
            <w:tcW w:w="1134" w:type="dxa"/>
            <w:shd w:val="clear" w:color="auto" w:fill="D9D9D9" w:themeFill="background1" w:themeFillShade="D9"/>
          </w:tcPr>
          <w:p w14:paraId="239ADADC" w14:textId="77777777" w:rsidR="007545BD" w:rsidRPr="00C41EB8" w:rsidRDefault="007545BD" w:rsidP="00A73208">
            <w:pPr>
              <w:spacing w:before="0" w:after="0"/>
              <w:jc w:val="left"/>
              <w:rPr>
                <w:noProof/>
                <w:sz w:val="20"/>
              </w:rPr>
            </w:pPr>
            <w:r w:rsidRPr="00C41EB8">
              <w:rPr>
                <w:noProof/>
                <w:sz w:val="20"/>
              </w:rPr>
              <w:t>Nē</w:t>
            </w:r>
          </w:p>
        </w:tc>
        <w:tc>
          <w:tcPr>
            <w:tcW w:w="2410" w:type="dxa"/>
            <w:shd w:val="clear" w:color="auto" w:fill="D9D9D9" w:themeFill="background1" w:themeFillShade="D9"/>
          </w:tcPr>
          <w:p w14:paraId="06CAF0F5" w14:textId="77777777" w:rsidR="007545BD" w:rsidRPr="00C41EB8" w:rsidRDefault="007545BD" w:rsidP="00A73208">
            <w:pPr>
              <w:spacing w:before="0" w:after="0"/>
              <w:jc w:val="left"/>
              <w:rPr>
                <w:noProof/>
                <w:sz w:val="20"/>
              </w:rPr>
            </w:pPr>
            <w:r w:rsidRPr="00C41EB8">
              <w:rPr>
                <w:noProof/>
                <w:sz w:val="20"/>
              </w:rPr>
              <w:t>1., 2., 3.kritērijs</w:t>
            </w:r>
          </w:p>
          <w:p w14:paraId="328AA1F9" w14:textId="77777777" w:rsidR="007545BD" w:rsidRPr="00C41EB8" w:rsidRDefault="007545BD" w:rsidP="00A73208">
            <w:pPr>
              <w:spacing w:before="0" w:after="0"/>
              <w:jc w:val="left"/>
              <w:rPr>
                <w:noProof/>
                <w:sz w:val="20"/>
              </w:rPr>
            </w:pPr>
            <w:r w:rsidRPr="00C41EB8">
              <w:rPr>
                <w:noProof/>
                <w:sz w:val="20"/>
              </w:rPr>
              <w:t>Sabiedrības veselības pamatnostādnes 2021.-2027.gadam</w:t>
            </w:r>
          </w:p>
          <w:p w14:paraId="0B74A56D" w14:textId="77777777" w:rsidR="007545BD" w:rsidRPr="00C41EB8" w:rsidRDefault="007545BD" w:rsidP="00A73208">
            <w:pPr>
              <w:spacing w:before="0" w:after="0"/>
              <w:jc w:val="left"/>
              <w:rPr>
                <w:noProof/>
                <w:sz w:val="20"/>
              </w:rPr>
            </w:pPr>
          </w:p>
          <w:p w14:paraId="14FB0384" w14:textId="77777777" w:rsidR="007545BD" w:rsidRPr="00C41EB8" w:rsidRDefault="007545BD" w:rsidP="00A73208">
            <w:pPr>
              <w:spacing w:before="0" w:after="0"/>
              <w:jc w:val="left"/>
              <w:rPr>
                <w:noProof/>
                <w:sz w:val="20"/>
              </w:rPr>
            </w:pPr>
          </w:p>
        </w:tc>
        <w:tc>
          <w:tcPr>
            <w:tcW w:w="3686" w:type="dxa"/>
            <w:shd w:val="clear" w:color="auto" w:fill="D9D9D9" w:themeFill="background1" w:themeFillShade="D9"/>
          </w:tcPr>
          <w:p w14:paraId="7CC2AC47" w14:textId="77777777" w:rsidR="007545BD" w:rsidRPr="00C41EB8" w:rsidRDefault="007545BD" w:rsidP="00A73208">
            <w:pPr>
              <w:spacing w:before="0" w:after="0"/>
              <w:ind w:firstLine="467"/>
              <w:rPr>
                <w:iCs/>
                <w:sz w:val="20"/>
              </w:rPr>
            </w:pPr>
            <w:r w:rsidRPr="00C41EB8">
              <w:rPr>
                <w:iCs/>
                <w:sz w:val="20"/>
              </w:rPr>
              <w:t>Sabiedrības veselības pamatnostādnes 2021.-2027.gadam, šobrīd ir saskaņošanas procesā, ir noslēgusies publiskā apspriešana un 2021.gada pirmajā pusē plānots to iesniegt MK.</w:t>
            </w:r>
          </w:p>
          <w:p w14:paraId="53580B04" w14:textId="77777777" w:rsidR="007545BD" w:rsidRPr="00C41EB8" w:rsidRDefault="007545BD" w:rsidP="00A73208">
            <w:pPr>
              <w:spacing w:before="0" w:after="0"/>
              <w:ind w:firstLine="467"/>
              <w:rPr>
                <w:iCs/>
                <w:sz w:val="20"/>
              </w:rPr>
            </w:pPr>
            <w:r w:rsidRPr="00C41EB8">
              <w:rPr>
                <w:iCs/>
                <w:sz w:val="20"/>
              </w:rPr>
              <w:t>Nosacījumu izpilde:</w:t>
            </w:r>
          </w:p>
          <w:p w14:paraId="73AB6F98"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 xml:space="preserve">Veselības un ilgtermiņa aprūpes vajadzību apzināšana, tostarp attiecībā uz medicīnisko personālu, lai nodrošinātu ilgtspējīgus un saskaņotus pasākumus. </w:t>
            </w:r>
          </w:p>
          <w:p w14:paraId="12E4FD94" w14:textId="77777777" w:rsidR="007545BD" w:rsidRPr="00C41EB8" w:rsidRDefault="007545BD" w:rsidP="00A73208">
            <w:pPr>
              <w:pStyle w:val="ListParagraph"/>
              <w:spacing w:after="0" w:line="240" w:lineRule="auto"/>
              <w:ind w:left="0" w:firstLine="467"/>
              <w:jc w:val="both"/>
              <w:rPr>
                <w:rFonts w:ascii="Times New Roman" w:hAnsi="Times New Roman" w:cs="Times New Roman"/>
                <w:sz w:val="20"/>
                <w:szCs w:val="20"/>
                <w:u w:val="single"/>
              </w:rPr>
            </w:pPr>
            <w:r w:rsidRPr="00C41EB8">
              <w:rPr>
                <w:rFonts w:ascii="Times New Roman" w:hAnsi="Times New Roman" w:cs="Times New Roman"/>
                <w:sz w:val="20"/>
                <w:szCs w:val="20"/>
                <w:u w:val="single"/>
              </w:rPr>
              <w:t>Izpilde: vajadzības attiecībā uz jomām, kurām plānots ES fondu atbalsts, noteiktas šādās pamatnostādņu sadaļās:</w:t>
            </w:r>
          </w:p>
          <w:p w14:paraId="75E0C4D8" w14:textId="77777777" w:rsidR="007545BD" w:rsidRPr="00C41EB8" w:rsidRDefault="007545BD" w:rsidP="00A73208">
            <w:pPr>
              <w:pStyle w:val="ListParagraph"/>
              <w:numPr>
                <w:ilvl w:val="1"/>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Rīcības virziens: Veselīgs un aktīvs dzīvesveids</w:t>
            </w:r>
          </w:p>
          <w:p w14:paraId="4AEC8782" w14:textId="77777777" w:rsidR="007545BD" w:rsidRPr="00C41EB8" w:rsidRDefault="007545BD" w:rsidP="00A73208">
            <w:pPr>
              <w:pStyle w:val="ListParagraph"/>
              <w:numPr>
                <w:ilvl w:val="1"/>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Rīcības virziens: Infekciju izplatības mazināšana</w:t>
            </w:r>
          </w:p>
          <w:p w14:paraId="6F175593" w14:textId="77777777" w:rsidR="007545BD" w:rsidRPr="00C41EB8" w:rsidRDefault="007545BD" w:rsidP="00A73208">
            <w:pPr>
              <w:pStyle w:val="ListParagraph"/>
              <w:numPr>
                <w:ilvl w:val="1"/>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Rīcības virziens: Uz cilvēku centrēta un integrēta veselības aprūpe</w:t>
            </w:r>
          </w:p>
          <w:p w14:paraId="6D3ACFF3" w14:textId="77777777" w:rsidR="007545BD" w:rsidRPr="00C41EB8" w:rsidRDefault="007545BD" w:rsidP="00A73208">
            <w:pPr>
              <w:pStyle w:val="ListParagraph"/>
              <w:numPr>
                <w:ilvl w:val="1"/>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Rīcības virziens: Cilvēkresursu nodrošinājums un prasmju pilnveide</w:t>
            </w:r>
          </w:p>
          <w:p w14:paraId="04489EAF" w14:textId="77777777" w:rsidR="007545BD" w:rsidRPr="00C41EB8" w:rsidRDefault="007545BD" w:rsidP="00A73208">
            <w:pPr>
              <w:pStyle w:val="ListParagraph"/>
              <w:numPr>
                <w:ilvl w:val="1"/>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Rīcības virziens: Veselības aprūpes ilgtspēja, pārvaldības stiprināšana, efektīva veselības aprūpes resursu izlietošana</w:t>
            </w:r>
          </w:p>
          <w:p w14:paraId="70FC475C"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Pasākumus veselības un ilgtermiņa aprūpes pakalpojumu efektivitātes, ilgtspējas, piekļūstamības un pieejamības cenas ziņā nodrošināšanai, tostarp īpašu uzmanību pievēršot personām, kuras ir atstumtas no veselības aprūpes un ilgtermiņa aprūpes sistēmām.</w:t>
            </w:r>
          </w:p>
          <w:p w14:paraId="194A7F92" w14:textId="77777777" w:rsidR="007545BD" w:rsidRPr="00C41EB8" w:rsidRDefault="007545BD" w:rsidP="00A73208">
            <w:pPr>
              <w:spacing w:before="0" w:after="0"/>
              <w:ind w:firstLine="467"/>
              <w:rPr>
                <w:sz w:val="20"/>
                <w:u w:val="single"/>
              </w:rPr>
            </w:pPr>
            <w:r w:rsidRPr="00C41EB8">
              <w:rPr>
                <w:sz w:val="20"/>
                <w:u w:val="single"/>
              </w:rPr>
              <w:t xml:space="preserve">Izpilde: Pasākumi, kuru īstenošanai plānots ES fondu atbalsts noteikti šādos Pamatnostādņu uzdevumos: </w:t>
            </w:r>
          </w:p>
          <w:p w14:paraId="5A0CD449"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 xml:space="preserve">4.1.2. - </w:t>
            </w:r>
            <w:r w:rsidRPr="009F27FD">
              <w:rPr>
                <w:rFonts w:ascii="Times New Roman" w:hAnsi="Times New Roman" w:cs="Times New Roman"/>
                <w:sz w:val="20"/>
                <w:szCs w:val="20"/>
              </w:rPr>
              <w:t>Plānot medicīnas pamatstudiju un rezidentūras vietu skaitu, prioritāri palielinot vietu skaitu profesijās ar novecojošu vecuma struktūru  un atbilstoši iedzīvotāju un veselības nozares vajadzībām</w:t>
            </w:r>
            <w:r w:rsidRPr="00C41EB8">
              <w:rPr>
                <w:rFonts w:ascii="Times New Roman" w:hAnsi="Times New Roman" w:cs="Times New Roman"/>
                <w:sz w:val="20"/>
                <w:szCs w:val="20"/>
              </w:rPr>
              <w:t xml:space="preserve">, </w:t>
            </w:r>
          </w:p>
          <w:p w14:paraId="3938E2F7"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 xml:space="preserve">4.1.6. - </w:t>
            </w:r>
            <w:r w:rsidRPr="009F27FD">
              <w:rPr>
                <w:rFonts w:ascii="Times New Roman" w:hAnsi="Times New Roman" w:cs="Times New Roman"/>
                <w:sz w:val="20"/>
                <w:szCs w:val="20"/>
              </w:rPr>
              <w:t>Stiprināt darba devēja lomu  speciālistu piesaistē un noturēšanā valsts apmaksātajā veselības sektorā, t.sk., veicinot paaudžu nomaiņu (īpaši primārajā veselības aprūpē)</w:t>
            </w:r>
            <w:r w:rsidRPr="00C41EB8">
              <w:rPr>
                <w:rFonts w:ascii="Times New Roman" w:hAnsi="Times New Roman" w:cs="Times New Roman"/>
                <w:sz w:val="20"/>
                <w:szCs w:val="20"/>
              </w:rPr>
              <w:t xml:space="preserve">, </w:t>
            </w:r>
          </w:p>
          <w:p w14:paraId="5667ED87"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9F27FD">
              <w:rPr>
                <w:rFonts w:ascii="Times New Roman" w:hAnsi="Times New Roman" w:cs="Times New Roman"/>
                <w:sz w:val="20"/>
                <w:szCs w:val="20"/>
              </w:rPr>
              <w:t>4.2.2. - Izstrādāt un ieviest ilgtspējīgas tālākizglītības modeli, t.sk.nodrošinot kompetenču centru attīstību klīniskajās universitātes slimnīcās, pārskatot tālākizglītības rezultātu novērtēšanu un sasaistot iegūtos tālākizglītības punktus ar tālākizglītības mērķi</w:t>
            </w:r>
            <w:r w:rsidRPr="00C41EB8">
              <w:rPr>
                <w:rFonts w:ascii="Times New Roman" w:hAnsi="Times New Roman" w:cs="Times New Roman"/>
                <w:sz w:val="20"/>
                <w:szCs w:val="20"/>
              </w:rPr>
              <w:t xml:space="preserve">, </w:t>
            </w:r>
          </w:p>
          <w:p w14:paraId="6C103F0A"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 xml:space="preserve">5.1.1. - </w:t>
            </w:r>
            <w:r w:rsidRPr="009F27FD">
              <w:rPr>
                <w:rFonts w:ascii="Times New Roman" w:hAnsi="Times New Roman" w:cs="Times New Roman"/>
                <w:sz w:val="20"/>
                <w:szCs w:val="20"/>
              </w:rPr>
              <w:t>Pilnveidot veselības aprūpes personāla zināšanas un prasmes pacientu drošības un veselības kvalitātes vadības jautājumos, t.sk. pacienta drošības negadījuma analīzē ārstniecības iestādē</w:t>
            </w:r>
            <w:r w:rsidRPr="00C41EB8">
              <w:rPr>
                <w:rFonts w:ascii="Times New Roman" w:hAnsi="Times New Roman" w:cs="Times New Roman"/>
                <w:sz w:val="20"/>
                <w:szCs w:val="20"/>
              </w:rPr>
              <w:t xml:space="preserve">, </w:t>
            </w:r>
          </w:p>
          <w:p w14:paraId="464F4B28"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 xml:space="preserve">5.1.3. - </w:t>
            </w:r>
            <w:r w:rsidRPr="009F27FD">
              <w:rPr>
                <w:rFonts w:ascii="Times New Roman" w:hAnsi="Times New Roman" w:cs="Times New Roman"/>
                <w:sz w:val="20"/>
                <w:szCs w:val="20"/>
              </w:rPr>
              <w:t>Ieviest kvalitātes indikatorus, uz starptautiski atzītām vadlīnijām profesionāļu izstrādātus klīniskos algoritmus un klīniskos pacientu ceļus veselības aprūpē, nodrošinot to pieejamību digitālā formātā gan ārstniecības personām, gan sabiedrībai un un veikt klīnisko algoritmu un klīnisko ceļu ieviešanas monitoringu</w:t>
            </w:r>
            <w:r w:rsidRPr="00C41EB8">
              <w:rPr>
                <w:rFonts w:ascii="Times New Roman" w:hAnsi="Times New Roman" w:cs="Times New Roman"/>
                <w:sz w:val="20"/>
                <w:szCs w:val="20"/>
              </w:rPr>
              <w:t xml:space="preserve">, </w:t>
            </w:r>
          </w:p>
          <w:p w14:paraId="6B03265B"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 xml:space="preserve">5.7.2. - </w:t>
            </w:r>
            <w:r w:rsidRPr="009F27FD">
              <w:rPr>
                <w:rFonts w:ascii="Times New Roman" w:hAnsi="Times New Roman" w:cs="Times New Roman"/>
                <w:sz w:val="20"/>
                <w:szCs w:val="20"/>
              </w:rPr>
              <w:t>Attīstīt VSIA “Bērnu klīniskā universitātes slimnīca”, VSIA “P.Stradiņa klīniskās universitātes slimnīca” un SIA “Rīgas Austrumu klīniskā universitātes slimnīca” infrastruktūru, optimizējot infrastruktūras uzturēšanas izmaksas (t.sk., veikt ēku atjaunošanu, pārbūvi, būvniecību, medicīnisko iekārtu, stratēģiski nozīmīgu jauno tehnoloģiju plānošanu, iegādi, nomaiņu, tostarp veicinot vides pieejamību, optimālu gultu skaitu, t.sk. izolācijas boksu un observācijas gultu skaitu, kā arī nodrošināt izcilības centru izveidi zināšanu pārnesē</w:t>
            </w:r>
            <w:r w:rsidRPr="00C41EB8">
              <w:rPr>
                <w:rFonts w:ascii="Times New Roman" w:hAnsi="Times New Roman" w:cs="Times New Roman"/>
                <w:sz w:val="20"/>
                <w:szCs w:val="20"/>
              </w:rPr>
              <w:t xml:space="preserve">, </w:t>
            </w:r>
          </w:p>
          <w:p w14:paraId="72E34F51"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 xml:space="preserve">5.7.3. - </w:t>
            </w:r>
            <w:r w:rsidRPr="009F27FD">
              <w:rPr>
                <w:rFonts w:ascii="Times New Roman" w:hAnsi="Times New Roman" w:cs="Times New Roman"/>
                <w:sz w:val="20"/>
                <w:szCs w:val="20"/>
              </w:rPr>
              <w:t>Attīstīt ārstniecības iestāžu infrastruktūru hroniski slimo un nedziedināmi slimo pacientu aprūpei, t.sk. HOSPICE pakalpojumu nodrošināšanai (ēku atjaunošana, pārbūve, būvniecība, vides pieejamības nodrošināšana, medicīnas ierīču un aprīkojuma iegāde)</w:t>
            </w:r>
            <w:r w:rsidRPr="00C41EB8">
              <w:rPr>
                <w:rFonts w:ascii="Times New Roman" w:hAnsi="Times New Roman" w:cs="Times New Roman"/>
                <w:sz w:val="20"/>
                <w:szCs w:val="20"/>
              </w:rPr>
              <w:t xml:space="preserve">,  </w:t>
            </w:r>
          </w:p>
          <w:p w14:paraId="1566C3C0"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 xml:space="preserve">5.7.4. - </w:t>
            </w:r>
            <w:r w:rsidRPr="009F27FD">
              <w:rPr>
                <w:rFonts w:ascii="Times New Roman" w:hAnsi="Times New Roman" w:cs="Times New Roman"/>
                <w:sz w:val="20"/>
                <w:szCs w:val="20"/>
              </w:rPr>
              <w:t>Attīstīt stacionāro ārstniecības iestāžu teritoriālo sadarbību, optimizējot infrastruktūras uzturēšanas izmaksas – ēku atjaunošana, pārbūve, vides pieejamības nodrošināšana, būvniecība, medicīnas ierīču, dārgo tehnoloģiju un aprīkojuma iegāde un nomaiņa</w:t>
            </w:r>
            <w:r w:rsidRPr="00C41EB8">
              <w:rPr>
                <w:rFonts w:ascii="Times New Roman" w:hAnsi="Times New Roman" w:cs="Times New Roman"/>
                <w:sz w:val="20"/>
                <w:szCs w:val="20"/>
              </w:rPr>
              <w:t xml:space="preserve">, </w:t>
            </w:r>
          </w:p>
          <w:p w14:paraId="227050D4"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 xml:space="preserve">5.7.5. - </w:t>
            </w:r>
            <w:r w:rsidRPr="009F27FD">
              <w:rPr>
                <w:rFonts w:ascii="Times New Roman" w:hAnsi="Times New Roman" w:cs="Times New Roman"/>
                <w:sz w:val="20"/>
                <w:szCs w:val="20"/>
              </w:rPr>
              <w:t>Attīstīt psihiatrijas profila ārstniecības iestāžu infrastruktūru – ēku atjaunošana, pārbūve, būvniecība, vides pieejamības nodrošināšana, medicīnas ierīču  un aprīkojuma iegāde</w:t>
            </w:r>
            <w:r w:rsidRPr="00C41EB8">
              <w:rPr>
                <w:rFonts w:ascii="Times New Roman" w:hAnsi="Times New Roman" w:cs="Times New Roman"/>
                <w:sz w:val="20"/>
                <w:szCs w:val="20"/>
              </w:rPr>
              <w:t xml:space="preserve">, </w:t>
            </w:r>
          </w:p>
          <w:p w14:paraId="49D991B5"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 xml:space="preserve">5.7.6. - </w:t>
            </w:r>
            <w:r w:rsidRPr="009F27FD">
              <w:rPr>
                <w:rFonts w:ascii="Times New Roman" w:hAnsi="Times New Roman" w:cs="Times New Roman"/>
                <w:sz w:val="20"/>
                <w:szCs w:val="20"/>
              </w:rPr>
              <w:t>Nodrošināt operatīvā medicīniskā transportlīdzekļu  parka un medicīnas iekārtu atjaunošanu NMPD</w:t>
            </w:r>
            <w:r w:rsidRPr="00C41EB8">
              <w:rPr>
                <w:rFonts w:ascii="Times New Roman" w:hAnsi="Times New Roman" w:cs="Times New Roman"/>
                <w:sz w:val="20"/>
                <w:szCs w:val="20"/>
              </w:rPr>
              <w:t xml:space="preserve">, </w:t>
            </w:r>
          </w:p>
          <w:p w14:paraId="3AB7AB8A"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 xml:space="preserve">5.12.1. - </w:t>
            </w:r>
            <w:r w:rsidRPr="009F27FD">
              <w:rPr>
                <w:rFonts w:ascii="Times New Roman" w:hAnsi="Times New Roman" w:cs="Times New Roman"/>
                <w:sz w:val="20"/>
                <w:szCs w:val="20"/>
              </w:rPr>
              <w:t>Attīstīt digitālos risinājumus uz pacientu centrētas veselības aprūpes nodrošināšanai, t.sk., attālinātos veselības aprūpes pakalpojumus, pacienta elektronisko veselības karti e-veselības sistēmā, pārrobežu e-veselības risinājumus.</w:t>
            </w:r>
            <w:r w:rsidRPr="00C41EB8">
              <w:rPr>
                <w:rFonts w:ascii="Times New Roman" w:hAnsi="Times New Roman" w:cs="Times New Roman"/>
                <w:sz w:val="20"/>
                <w:szCs w:val="20"/>
              </w:rPr>
              <w:t xml:space="preserve">, </w:t>
            </w:r>
          </w:p>
          <w:p w14:paraId="333C9E5B"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 xml:space="preserve">5.12.2. - </w:t>
            </w:r>
            <w:r w:rsidRPr="009F27FD">
              <w:rPr>
                <w:rFonts w:ascii="Times New Roman" w:hAnsi="Times New Roman" w:cs="Times New Roman"/>
                <w:sz w:val="20"/>
                <w:szCs w:val="20"/>
              </w:rPr>
              <w:t>Veicināt efektīvu valsts pārvaldes funkciju izpildi, pārskatot  datu apmaiņas procesus un pilnveidojot tos, attīstot veselības nozares valsts informāciju sistēmas un turpinot uzsākto IKT resursu centralizāciju veselības nozarē</w:t>
            </w:r>
            <w:r w:rsidRPr="00C41EB8">
              <w:rPr>
                <w:rFonts w:ascii="Times New Roman" w:hAnsi="Times New Roman" w:cs="Times New Roman"/>
                <w:sz w:val="20"/>
                <w:szCs w:val="20"/>
              </w:rPr>
              <w:t xml:space="preserve">, </w:t>
            </w:r>
          </w:p>
          <w:p w14:paraId="3793DF01"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 xml:space="preserve">5.12.3. - </w:t>
            </w:r>
            <w:r w:rsidRPr="009F27FD">
              <w:rPr>
                <w:rFonts w:ascii="Times New Roman" w:hAnsi="Times New Roman" w:cs="Times New Roman"/>
                <w:sz w:val="20"/>
                <w:szCs w:val="20"/>
              </w:rPr>
              <w:t>Attīstīt stacionāro ārstniecības iestāžu informācijas sistēmas</w:t>
            </w:r>
            <w:r w:rsidRPr="00C41EB8">
              <w:rPr>
                <w:rFonts w:ascii="Times New Roman" w:hAnsi="Times New Roman" w:cs="Times New Roman"/>
                <w:sz w:val="20"/>
                <w:szCs w:val="20"/>
              </w:rPr>
              <w:t xml:space="preserve">, </w:t>
            </w:r>
          </w:p>
          <w:p w14:paraId="3EDEE9F4"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 xml:space="preserve">5.12.4. - </w:t>
            </w:r>
            <w:r w:rsidRPr="009F27FD">
              <w:rPr>
                <w:rFonts w:ascii="Times New Roman" w:hAnsi="Times New Roman" w:cs="Times New Roman"/>
                <w:sz w:val="20"/>
                <w:szCs w:val="20"/>
              </w:rPr>
              <w:t>Veicināt mākslīgā intelekta izmantošana veselības aprūpē, piemēram, datu uzkrāšanas, analīzes un prognozēšanas risinājumu attīstībai veselības nozarē, personāla resursu efektīvākai izmantošanai, kvalifikācijas celšanai un izglītošanai</w:t>
            </w:r>
          </w:p>
          <w:p w14:paraId="08C1FF26"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3.</w:t>
            </w:r>
            <w:r w:rsidRPr="00C41EB8">
              <w:rPr>
                <w:rFonts w:ascii="Times New Roman" w:hAnsi="Times New Roman" w:cs="Times New Roman"/>
                <w:sz w:val="20"/>
                <w:szCs w:val="20"/>
              </w:rPr>
              <w:tab/>
              <w:t>Pasākumus, kas veicina sabiedrībā balstītu pakalpojumu sniegšanu, tostarp profilakses un primārās veselības aprūpes pakalpojumus, aprūpi mājās un sabiedrībā balstītus pakalpojumus.</w:t>
            </w:r>
          </w:p>
          <w:p w14:paraId="15660F8D" w14:textId="77777777" w:rsidR="007545BD" w:rsidRPr="00C41EB8" w:rsidRDefault="007545BD" w:rsidP="00A73208">
            <w:pPr>
              <w:spacing w:before="0" w:after="0"/>
              <w:ind w:firstLine="467"/>
              <w:rPr>
                <w:sz w:val="20"/>
              </w:rPr>
            </w:pPr>
            <w:r w:rsidRPr="00C41EB8">
              <w:rPr>
                <w:sz w:val="20"/>
                <w:u w:val="single"/>
              </w:rPr>
              <w:t>Izpilde: Pasākumi, kuru īstenošanai plānots ES fondu atbalsts noteikti šādos Pamatnostādņu uzdevumos</w:t>
            </w:r>
            <w:r w:rsidRPr="00C41EB8">
              <w:rPr>
                <w:sz w:val="20"/>
              </w:rPr>
              <w:t xml:space="preserve">: </w:t>
            </w:r>
          </w:p>
          <w:p w14:paraId="076F574A"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1.1.</w:t>
            </w:r>
            <w:r w:rsidRPr="009F27FD">
              <w:rPr>
                <w:rFonts w:ascii="Times New Roman" w:hAnsi="Times New Roman" w:cs="Times New Roman"/>
                <w:sz w:val="20"/>
                <w:szCs w:val="20"/>
              </w:rPr>
              <w:t xml:space="preserve"> uzdevums - Veicināt veselīga un sabalansēta uztura lietošanu, īstenojot vienotu uztura politiku. Uzdevums ietver nepieciešamos pasākumi attiecībā uz sabiedrības veselības uzlabošanu veselīga uztura jomā;</w:t>
            </w:r>
            <w:r w:rsidRPr="00C41EB8">
              <w:rPr>
                <w:rFonts w:ascii="Times New Roman" w:hAnsi="Times New Roman" w:cs="Times New Roman"/>
                <w:sz w:val="20"/>
                <w:szCs w:val="20"/>
              </w:rPr>
              <w:t xml:space="preserve"> </w:t>
            </w:r>
          </w:p>
          <w:p w14:paraId="557454CC"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 xml:space="preserve">1.2.uzdevums - </w:t>
            </w:r>
            <w:r w:rsidRPr="009F27FD">
              <w:rPr>
                <w:rFonts w:ascii="Times New Roman" w:hAnsi="Times New Roman" w:cs="Times New Roman"/>
                <w:sz w:val="20"/>
                <w:szCs w:val="20"/>
              </w:rPr>
              <w:t>Veicināt lielāku iedzīvotāju fizisko aktivitāti ikdienā, īstenojot vienotu fizisko aktivitāšu veicināšanas politiku</w:t>
            </w:r>
            <w:r w:rsidRPr="00C41EB8">
              <w:rPr>
                <w:rFonts w:ascii="Times New Roman" w:hAnsi="Times New Roman" w:cs="Times New Roman"/>
                <w:sz w:val="20"/>
                <w:szCs w:val="20"/>
              </w:rPr>
              <w:t xml:space="preserve">, </w:t>
            </w:r>
          </w:p>
          <w:p w14:paraId="6AE608AC"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 xml:space="preserve">1.3. - </w:t>
            </w:r>
            <w:r w:rsidRPr="009F27FD">
              <w:rPr>
                <w:rFonts w:ascii="Times New Roman" w:hAnsi="Times New Roman" w:cs="Times New Roman"/>
                <w:sz w:val="20"/>
                <w:szCs w:val="20"/>
              </w:rPr>
              <w:t>Mazināt dažāda veida atkarību izraisošo vielu lietošanu un procesu atkarības, īstenojot vienotu atkarību mazināšanas politiku</w:t>
            </w:r>
            <w:r w:rsidRPr="00C41EB8">
              <w:rPr>
                <w:rFonts w:ascii="Times New Roman" w:hAnsi="Times New Roman" w:cs="Times New Roman"/>
                <w:sz w:val="20"/>
                <w:szCs w:val="20"/>
              </w:rPr>
              <w:t xml:space="preserve">, </w:t>
            </w:r>
          </w:p>
          <w:p w14:paraId="15E7A446"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 xml:space="preserve">1.4. - </w:t>
            </w:r>
            <w:r w:rsidRPr="009F27FD">
              <w:rPr>
                <w:rFonts w:ascii="Times New Roman" w:hAnsi="Times New Roman" w:cs="Times New Roman"/>
                <w:sz w:val="20"/>
                <w:szCs w:val="20"/>
              </w:rPr>
              <w:t>Uzlabot iedzīvotāju seksuālo un reproduktīvo veselību, īstenojot vienotu seksuālās un reproduktīvās veselības veicināšanas politiku sabiedrībā</w:t>
            </w:r>
            <w:r w:rsidRPr="00C41EB8">
              <w:rPr>
                <w:rFonts w:ascii="Times New Roman" w:hAnsi="Times New Roman" w:cs="Times New Roman"/>
                <w:sz w:val="20"/>
                <w:szCs w:val="20"/>
              </w:rPr>
              <w:t xml:space="preserve">, </w:t>
            </w:r>
          </w:p>
          <w:p w14:paraId="7295D995"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 xml:space="preserve">1.5. - </w:t>
            </w:r>
            <w:r w:rsidRPr="009F27FD">
              <w:rPr>
                <w:rFonts w:ascii="Times New Roman" w:hAnsi="Times New Roman" w:cs="Times New Roman"/>
                <w:sz w:val="20"/>
                <w:szCs w:val="20"/>
              </w:rPr>
              <w:t>Uzlabot iedzīvotāju psihoemocionālo labklājību, īstenojot vienotu psihiskās veselības politiku sabiedrībā</w:t>
            </w:r>
            <w:r w:rsidRPr="00C41EB8">
              <w:rPr>
                <w:rFonts w:ascii="Times New Roman" w:hAnsi="Times New Roman" w:cs="Times New Roman"/>
                <w:sz w:val="20"/>
                <w:szCs w:val="20"/>
              </w:rPr>
              <w:t xml:space="preserve">, </w:t>
            </w:r>
          </w:p>
          <w:p w14:paraId="79C92642"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 xml:space="preserve">1.7. - </w:t>
            </w:r>
            <w:r w:rsidRPr="009F27FD">
              <w:rPr>
                <w:rFonts w:ascii="Times New Roman" w:hAnsi="Times New Roman" w:cs="Times New Roman"/>
                <w:sz w:val="20"/>
                <w:szCs w:val="20"/>
              </w:rPr>
              <w:t>Veicināt veselīgu un drošu dzīves un darba vidi, mazinot traumatismu un mirstību no ārējiem nāves cēloņiem</w:t>
            </w:r>
            <w:r w:rsidRPr="00C41EB8">
              <w:rPr>
                <w:rFonts w:ascii="Times New Roman" w:hAnsi="Times New Roman" w:cs="Times New Roman"/>
                <w:sz w:val="20"/>
                <w:szCs w:val="20"/>
              </w:rPr>
              <w:t xml:space="preserve">, </w:t>
            </w:r>
          </w:p>
          <w:p w14:paraId="34CD9901"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 xml:space="preserve">2.1. - </w:t>
            </w:r>
            <w:r w:rsidRPr="009F27FD">
              <w:rPr>
                <w:rFonts w:ascii="Times New Roman" w:hAnsi="Times New Roman" w:cs="Times New Roman"/>
                <w:sz w:val="20"/>
                <w:szCs w:val="20"/>
              </w:rPr>
              <w:t>Palielināt vakcinācijas aptveri un novērst vakcīnu apgādes traucējumu ietekmi uz vakcināciju</w:t>
            </w:r>
            <w:r w:rsidRPr="00C41EB8">
              <w:rPr>
                <w:rFonts w:ascii="Times New Roman" w:hAnsi="Times New Roman" w:cs="Times New Roman"/>
                <w:sz w:val="20"/>
                <w:szCs w:val="20"/>
              </w:rPr>
              <w:t xml:space="preserve">, </w:t>
            </w:r>
          </w:p>
          <w:p w14:paraId="4E738BE9"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 xml:space="preserve">3.3.2. - </w:t>
            </w:r>
            <w:r w:rsidRPr="009F27FD">
              <w:rPr>
                <w:rFonts w:ascii="Times New Roman" w:hAnsi="Times New Roman" w:cs="Times New Roman"/>
                <w:sz w:val="20"/>
                <w:szCs w:val="20"/>
              </w:rPr>
              <w:t>Veicināt veselības komunikācijas un iedzīvotāju veselībpratības pilnveidošanu, tā paaugstinot iedzīvotāju rūpes par savu veselību</w:t>
            </w:r>
            <w:r w:rsidRPr="00C41EB8">
              <w:rPr>
                <w:rFonts w:ascii="Times New Roman" w:hAnsi="Times New Roman" w:cs="Times New Roman"/>
                <w:sz w:val="20"/>
                <w:szCs w:val="20"/>
              </w:rPr>
              <w:t xml:space="preserve">, </w:t>
            </w:r>
          </w:p>
          <w:p w14:paraId="41CB4D99"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 xml:space="preserve">5.7.1. - </w:t>
            </w:r>
            <w:r w:rsidRPr="009F27FD">
              <w:rPr>
                <w:rFonts w:ascii="Times New Roman" w:hAnsi="Times New Roman" w:cs="Times New Roman"/>
                <w:sz w:val="20"/>
                <w:szCs w:val="20"/>
              </w:rPr>
              <w:t>Attīstīt ģimenes ārstu, zobārstniecības prakšu un primārās</w:t>
            </w:r>
            <w:r w:rsidRPr="00C41EB8">
              <w:rPr>
                <w:rFonts w:ascii="Times New Roman" w:hAnsi="Times New Roman" w:cs="Times New Roman"/>
                <w:sz w:val="20"/>
                <w:szCs w:val="20"/>
                <w:shd w:val="clear" w:color="auto" w:fill="FFFFFF"/>
              </w:rPr>
              <w:t xml:space="preserve"> </w:t>
            </w:r>
            <w:r w:rsidRPr="009F27FD">
              <w:rPr>
                <w:rFonts w:ascii="Times New Roman" w:hAnsi="Times New Roman" w:cs="Times New Roman"/>
                <w:sz w:val="20"/>
                <w:szCs w:val="20"/>
              </w:rPr>
              <w:t>veselības aprūpes centru infrastruktūru (ēku atjaunošana, pārbūve, būvniecība un aprīkošana, automašīnu iegāde primārās veselības aprūpes centriem),</w:t>
            </w:r>
          </w:p>
          <w:p w14:paraId="2F6CCC43"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 xml:space="preserve">5.7.3. - </w:t>
            </w:r>
            <w:r w:rsidRPr="009F27FD">
              <w:rPr>
                <w:rFonts w:ascii="Times New Roman" w:hAnsi="Times New Roman" w:cs="Times New Roman"/>
                <w:sz w:val="20"/>
                <w:szCs w:val="20"/>
              </w:rPr>
              <w:t>Attīstīt ārstniecības iestāžu infrastruktūru hroniski slimo un nedziedināmi slimo pacientu aprūpei, t.sk., HOSPICE pakalpojumu nodrošināšanai (ēku atjaunošana, pārbūve, būvniecība, vides pieejamības nodrošināšana, medicīnas ierīču un aprīkojuma iegāde),</w:t>
            </w:r>
          </w:p>
          <w:p w14:paraId="7BE4EC78"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 xml:space="preserve">5.7.5. - </w:t>
            </w:r>
            <w:r w:rsidRPr="009F27FD">
              <w:rPr>
                <w:rFonts w:ascii="Times New Roman" w:hAnsi="Times New Roman" w:cs="Times New Roman"/>
                <w:sz w:val="20"/>
                <w:szCs w:val="20"/>
              </w:rPr>
              <w:t>Attīstīt psihiatrijas profila ārstniecības iestāžu infrastruktūru – ēku atjaunošana, pārbūve, būvniecība, vides pieejamības nodrošināšana, medicīnas ierīču  un aprīkojuma iegāde</w:t>
            </w:r>
          </w:p>
          <w:p w14:paraId="1850B866" w14:textId="77777777" w:rsidR="007545BD" w:rsidRPr="00C41EB8" w:rsidRDefault="007545BD" w:rsidP="00A73208">
            <w:pPr>
              <w:spacing w:before="0" w:after="0"/>
              <w:rPr>
                <w:rFonts w:eastAsia="Times New Roman"/>
                <w:iCs/>
                <w:noProof/>
                <w:sz w:val="20"/>
              </w:rPr>
            </w:pPr>
          </w:p>
        </w:tc>
      </w:tr>
      <w:tr w:rsidR="007545BD" w:rsidRPr="00C41EB8" w14:paraId="0EF6767C" w14:textId="77777777" w:rsidTr="00A73208">
        <w:tc>
          <w:tcPr>
            <w:tcW w:w="562" w:type="dxa"/>
            <w:shd w:val="clear" w:color="auto" w:fill="D9D9D9" w:themeFill="background1" w:themeFillShade="D9"/>
          </w:tcPr>
          <w:p w14:paraId="1450A70B"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D9D9D9" w:themeFill="background1" w:themeFillShade="D9"/>
          </w:tcPr>
          <w:p w14:paraId="75251E3F" w14:textId="77777777" w:rsidR="007545BD" w:rsidRPr="00C41EB8" w:rsidRDefault="007545BD" w:rsidP="00A73208">
            <w:pPr>
              <w:spacing w:before="0" w:after="0"/>
              <w:jc w:val="left"/>
              <w:rPr>
                <w:noProof/>
                <w:sz w:val="20"/>
              </w:rPr>
            </w:pPr>
          </w:p>
        </w:tc>
        <w:tc>
          <w:tcPr>
            <w:tcW w:w="851" w:type="dxa"/>
            <w:vMerge/>
            <w:shd w:val="clear" w:color="auto" w:fill="D9D9D9" w:themeFill="background1" w:themeFillShade="D9"/>
          </w:tcPr>
          <w:p w14:paraId="2C063B24" w14:textId="77777777" w:rsidR="007545BD" w:rsidRPr="00C41EB8" w:rsidRDefault="007545BD" w:rsidP="00A73208">
            <w:pPr>
              <w:spacing w:before="0" w:after="0"/>
              <w:jc w:val="left"/>
              <w:rPr>
                <w:rFonts w:eastAsia="Times New Roman"/>
                <w:iCs/>
                <w:noProof/>
                <w:sz w:val="20"/>
              </w:rPr>
            </w:pPr>
          </w:p>
        </w:tc>
        <w:tc>
          <w:tcPr>
            <w:tcW w:w="1134" w:type="dxa"/>
            <w:vMerge/>
            <w:shd w:val="clear" w:color="auto" w:fill="D9D9D9" w:themeFill="background1" w:themeFillShade="D9"/>
          </w:tcPr>
          <w:p w14:paraId="0617AF6B" w14:textId="77777777" w:rsidR="007545BD" w:rsidRPr="00C41EB8" w:rsidRDefault="007545BD" w:rsidP="00A73208">
            <w:pPr>
              <w:spacing w:before="0" w:after="0"/>
              <w:jc w:val="left"/>
              <w:rPr>
                <w:rFonts w:eastAsia="Times New Roman"/>
                <w:iCs/>
                <w:noProof/>
                <w:sz w:val="20"/>
              </w:rPr>
            </w:pPr>
          </w:p>
        </w:tc>
        <w:tc>
          <w:tcPr>
            <w:tcW w:w="850" w:type="dxa"/>
            <w:vMerge/>
            <w:shd w:val="clear" w:color="auto" w:fill="D9D9D9" w:themeFill="background1" w:themeFillShade="D9"/>
          </w:tcPr>
          <w:p w14:paraId="55B15F75" w14:textId="77777777" w:rsidR="007545BD" w:rsidRPr="00C41EB8" w:rsidRDefault="007545BD" w:rsidP="00A73208">
            <w:pPr>
              <w:spacing w:before="0" w:after="0"/>
              <w:jc w:val="left"/>
              <w:rPr>
                <w:rFonts w:eastAsia="Times New Roman"/>
                <w:iCs/>
                <w:noProof/>
                <w:sz w:val="20"/>
              </w:rPr>
            </w:pPr>
          </w:p>
        </w:tc>
        <w:tc>
          <w:tcPr>
            <w:tcW w:w="2410" w:type="dxa"/>
            <w:shd w:val="clear" w:color="auto" w:fill="D9D9D9" w:themeFill="background1" w:themeFillShade="D9"/>
          </w:tcPr>
          <w:p w14:paraId="10A7DF34" w14:textId="77777777" w:rsidR="007545BD" w:rsidRPr="00C41EB8" w:rsidRDefault="007545BD" w:rsidP="00A73208">
            <w:pPr>
              <w:spacing w:before="0" w:after="0"/>
              <w:ind w:left="3"/>
              <w:jc w:val="left"/>
              <w:rPr>
                <w:noProof/>
                <w:sz w:val="20"/>
              </w:rPr>
            </w:pPr>
            <w:r w:rsidRPr="00C41EB8">
              <w:rPr>
                <w:noProof/>
                <w:sz w:val="20"/>
              </w:rPr>
              <w:t>2.Pasākumus veselības un ilgtermiņa aprūpes pakalpojumu efektivitātes, ilgtspējas, piekļūstamības un pieejamības cenas ziņā nodrošināšanai, tostarp īpašu uzmanību pievēršot personām, kuras ir atstumtas no veselības aprūpes un ilgtermiņa aprūpes sistēmām.</w:t>
            </w:r>
          </w:p>
        </w:tc>
        <w:tc>
          <w:tcPr>
            <w:tcW w:w="1134" w:type="dxa"/>
            <w:shd w:val="clear" w:color="auto" w:fill="D9D9D9" w:themeFill="background1" w:themeFillShade="D9"/>
          </w:tcPr>
          <w:p w14:paraId="132A7D40" w14:textId="77777777" w:rsidR="007545BD" w:rsidRPr="00C41EB8" w:rsidRDefault="007545BD" w:rsidP="00A73208">
            <w:pPr>
              <w:spacing w:before="0" w:after="0"/>
              <w:jc w:val="left"/>
              <w:rPr>
                <w:noProof/>
                <w:sz w:val="20"/>
              </w:rPr>
            </w:pPr>
            <w:r w:rsidRPr="00C41EB8">
              <w:rPr>
                <w:noProof/>
                <w:sz w:val="20"/>
              </w:rPr>
              <w:t>Nē</w:t>
            </w:r>
          </w:p>
        </w:tc>
        <w:tc>
          <w:tcPr>
            <w:tcW w:w="2410" w:type="dxa"/>
            <w:shd w:val="clear" w:color="auto" w:fill="D9D9D9" w:themeFill="background1" w:themeFillShade="D9"/>
          </w:tcPr>
          <w:p w14:paraId="6013ABEE" w14:textId="77777777" w:rsidR="007545BD" w:rsidRPr="00994FEF" w:rsidRDefault="009A507A" w:rsidP="00A73208">
            <w:pPr>
              <w:spacing w:before="0" w:after="0"/>
              <w:jc w:val="left"/>
              <w:rPr>
                <w:color w:val="0563C1"/>
                <w:sz w:val="20"/>
                <w:u w:val="single"/>
              </w:rPr>
            </w:pPr>
            <w:hyperlink r:id="rId150" w:history="1">
              <w:r w:rsidR="007545BD" w:rsidRPr="00994FEF">
                <w:rPr>
                  <w:rStyle w:val="Hyperlink"/>
                  <w:sz w:val="20"/>
                </w:rPr>
                <w:t>Sociālās aizsardzības un darba tirgus politikas pamatnostādnes  2021.-2027. gadam</w:t>
              </w:r>
            </w:hyperlink>
            <w:r w:rsidR="007545BD">
              <w:rPr>
                <w:color w:val="0563C1"/>
                <w:sz w:val="20"/>
                <w:u w:val="single"/>
              </w:rPr>
              <w:t xml:space="preserve"> </w:t>
            </w:r>
            <w:r w:rsidR="007545BD" w:rsidRPr="00994FEF">
              <w:rPr>
                <w:sz w:val="20"/>
                <w:u w:val="single"/>
              </w:rPr>
              <w:t>(projekts)</w:t>
            </w:r>
          </w:p>
          <w:p w14:paraId="6DB7C5B1" w14:textId="77777777" w:rsidR="007545BD" w:rsidRPr="00C41EB8" w:rsidRDefault="007545BD" w:rsidP="00A73208">
            <w:pPr>
              <w:spacing w:before="0" w:after="0"/>
              <w:jc w:val="left"/>
              <w:rPr>
                <w:rFonts w:eastAsia="Times New Roman"/>
                <w:iCs/>
                <w:noProof/>
                <w:color w:val="FF0000"/>
                <w:sz w:val="20"/>
                <w:highlight w:val="yellow"/>
              </w:rPr>
            </w:pPr>
          </w:p>
          <w:p w14:paraId="3E27F749" w14:textId="77777777" w:rsidR="007545BD" w:rsidRPr="00A873F3" w:rsidRDefault="009A507A" w:rsidP="00A73208">
            <w:pPr>
              <w:spacing w:before="0" w:after="0"/>
              <w:jc w:val="left"/>
              <w:rPr>
                <w:sz w:val="20"/>
                <w:u w:val="single"/>
              </w:rPr>
            </w:pPr>
            <w:hyperlink r:id="rId151" w:history="1">
              <w:r w:rsidR="007545BD" w:rsidRPr="00A873F3">
                <w:rPr>
                  <w:rStyle w:val="Hyperlink"/>
                  <w:sz w:val="20"/>
                </w:rPr>
                <w:t>Sabiedrības veselības pamatnostādnes 2021.-2027.gadam</w:t>
              </w:r>
            </w:hyperlink>
            <w:r w:rsidR="007545BD">
              <w:rPr>
                <w:color w:val="0563C1"/>
                <w:sz w:val="20"/>
                <w:u w:val="single"/>
              </w:rPr>
              <w:t xml:space="preserve"> </w:t>
            </w:r>
            <w:r w:rsidR="007545BD" w:rsidRPr="00A873F3">
              <w:rPr>
                <w:sz w:val="20"/>
                <w:u w:val="single"/>
              </w:rPr>
              <w:t>(projekts – izsludināts VSS 25.02.2021.)</w:t>
            </w:r>
          </w:p>
          <w:p w14:paraId="1E467939" w14:textId="77777777" w:rsidR="007545BD" w:rsidRPr="00C41EB8" w:rsidRDefault="007545BD" w:rsidP="00A73208">
            <w:pPr>
              <w:spacing w:before="0" w:after="0"/>
              <w:jc w:val="left"/>
              <w:rPr>
                <w:rFonts w:eastAsia="Times New Roman"/>
                <w:iCs/>
                <w:noProof/>
                <w:color w:val="FF0000"/>
                <w:sz w:val="20"/>
                <w:highlight w:val="yellow"/>
              </w:rPr>
            </w:pPr>
          </w:p>
          <w:p w14:paraId="10A5410C" w14:textId="77777777" w:rsidR="007545BD" w:rsidRPr="00C41EB8" w:rsidRDefault="007545BD" w:rsidP="00A73208">
            <w:pPr>
              <w:spacing w:before="0" w:after="0"/>
              <w:jc w:val="left"/>
              <w:rPr>
                <w:rFonts w:eastAsia="Times New Roman"/>
                <w:iCs/>
                <w:noProof/>
                <w:color w:val="FF0000"/>
                <w:sz w:val="20"/>
                <w:highlight w:val="yellow"/>
              </w:rPr>
            </w:pPr>
          </w:p>
          <w:p w14:paraId="2EBD2BD2" w14:textId="77777777" w:rsidR="007545BD" w:rsidRPr="00A873F3" w:rsidRDefault="007545BD" w:rsidP="00A73208">
            <w:pPr>
              <w:spacing w:before="0" w:after="0"/>
              <w:jc w:val="left"/>
              <w:rPr>
                <w:rFonts w:eastAsia="Times New Roman"/>
                <w:iCs/>
                <w:noProof/>
                <w:sz w:val="20"/>
                <w:highlight w:val="yellow"/>
              </w:rPr>
            </w:pPr>
          </w:p>
          <w:p w14:paraId="2A46F58D" w14:textId="77777777" w:rsidR="007545BD" w:rsidRPr="00C41EB8" w:rsidRDefault="007545BD" w:rsidP="00A73208">
            <w:pPr>
              <w:spacing w:before="0" w:after="0"/>
              <w:jc w:val="left"/>
              <w:rPr>
                <w:rFonts w:eastAsia="Times New Roman"/>
                <w:iCs/>
                <w:noProof/>
                <w:color w:val="FF0000"/>
                <w:sz w:val="20"/>
                <w:highlight w:val="yellow"/>
              </w:rPr>
            </w:pPr>
          </w:p>
          <w:p w14:paraId="7F46E907" w14:textId="77777777" w:rsidR="007545BD" w:rsidRPr="00C41EB8" w:rsidRDefault="007545BD" w:rsidP="00A73208">
            <w:pPr>
              <w:spacing w:before="0" w:after="0"/>
              <w:jc w:val="left"/>
              <w:rPr>
                <w:rFonts w:eastAsia="Times New Roman"/>
                <w:iCs/>
                <w:noProof/>
                <w:color w:val="FF0000"/>
                <w:sz w:val="20"/>
                <w:highlight w:val="yellow"/>
              </w:rPr>
            </w:pPr>
          </w:p>
          <w:p w14:paraId="5E66A455" w14:textId="77777777" w:rsidR="007545BD" w:rsidRPr="00C41EB8" w:rsidRDefault="007545BD" w:rsidP="00A73208">
            <w:pPr>
              <w:spacing w:before="0" w:after="0"/>
              <w:jc w:val="left"/>
              <w:rPr>
                <w:noProof/>
                <w:sz w:val="20"/>
              </w:rPr>
            </w:pPr>
          </w:p>
        </w:tc>
        <w:tc>
          <w:tcPr>
            <w:tcW w:w="3686" w:type="dxa"/>
            <w:shd w:val="clear" w:color="auto" w:fill="D9D9D9" w:themeFill="background1" w:themeFillShade="D9"/>
          </w:tcPr>
          <w:p w14:paraId="22BB3536" w14:textId="77777777" w:rsidR="007545BD" w:rsidRPr="009F27FD" w:rsidRDefault="007545BD" w:rsidP="00A73208">
            <w:pPr>
              <w:spacing w:before="0" w:after="0"/>
              <w:rPr>
                <w:iCs/>
                <w:sz w:val="20"/>
              </w:rPr>
            </w:pPr>
            <w:r w:rsidRPr="009F27FD">
              <w:rPr>
                <w:iCs/>
                <w:sz w:val="20"/>
              </w:rPr>
              <w:t xml:space="preserve">Izstrādāts </w:t>
            </w:r>
            <w:hyperlink r:id="rId152" w:history="1">
              <w:r w:rsidRPr="009F27FD">
                <w:rPr>
                  <w:sz w:val="20"/>
                </w:rPr>
                <w:t>Sociālās aizsardzības un darba tirgus politikas pamatnostādņu 2021.-2027. gadam projekts</w:t>
              </w:r>
            </w:hyperlink>
            <w:r w:rsidRPr="009F27FD">
              <w:rPr>
                <w:iCs/>
                <w:sz w:val="20"/>
              </w:rPr>
              <w:t>, kurā kā viens no rīcības virzieniem plānots: Moderna un pieejama sociālo pakalpojumu sistēma, kas cita starpā uzlabo iedzīvotāju iespējas dzīvot neatkarīgi un dzīvot sabiedrībā, iekļauties izglītībā un darba tirgū. Rīcības virziena ietvaros vidējā termiņā paredzēts</w:t>
            </w:r>
          </w:p>
          <w:p w14:paraId="02F5146A" w14:textId="77777777" w:rsidR="007545BD" w:rsidRPr="009F27FD" w:rsidRDefault="007545BD" w:rsidP="00A73208">
            <w:pPr>
              <w:pStyle w:val="ListParagraph"/>
              <w:numPr>
                <w:ilvl w:val="0"/>
                <w:numId w:val="69"/>
              </w:numPr>
              <w:spacing w:after="0" w:line="240" w:lineRule="auto"/>
              <w:jc w:val="both"/>
              <w:rPr>
                <w:rFonts w:ascii="Times New Roman" w:hAnsi="Times New Roman" w:cs="Times New Roman"/>
                <w:iCs/>
                <w:sz w:val="20"/>
                <w:szCs w:val="20"/>
              </w:rPr>
            </w:pPr>
            <w:r w:rsidRPr="009F27FD">
              <w:rPr>
                <w:rFonts w:ascii="Times New Roman" w:hAnsi="Times New Roman" w:cs="Times New Roman"/>
                <w:iCs/>
                <w:sz w:val="20"/>
                <w:szCs w:val="20"/>
              </w:rPr>
              <w:t>Palielināt sabiedrībā balstītu sociālo pakalpojumu pieejamību, efektivitāti un atbilstību mērķa grupas vajadzībām</w:t>
            </w:r>
          </w:p>
          <w:p w14:paraId="0F1CD80A" w14:textId="77777777" w:rsidR="007545BD" w:rsidRPr="009F27FD" w:rsidRDefault="007545BD" w:rsidP="00A73208">
            <w:pPr>
              <w:pStyle w:val="ListParagraph"/>
              <w:numPr>
                <w:ilvl w:val="0"/>
                <w:numId w:val="69"/>
              </w:numPr>
              <w:spacing w:after="0" w:line="240" w:lineRule="auto"/>
              <w:jc w:val="both"/>
              <w:rPr>
                <w:rFonts w:ascii="Times New Roman" w:hAnsi="Times New Roman" w:cs="Times New Roman"/>
                <w:iCs/>
                <w:sz w:val="20"/>
                <w:szCs w:val="20"/>
              </w:rPr>
            </w:pPr>
            <w:r w:rsidRPr="009F27FD">
              <w:rPr>
                <w:rFonts w:ascii="Times New Roman" w:hAnsi="Times New Roman" w:cs="Times New Roman"/>
                <w:iCs/>
                <w:sz w:val="20"/>
                <w:szCs w:val="20"/>
              </w:rPr>
              <w:t>Nodrošināt līdzvērtīgu sociālo pakalpojumu pieejamību reģionos, nosakot iedzīvotājiem obligāti nodrošināmo sociālo pakalpojumu veidus novadu un valsts pilsētu pašvaldībās un tā ieviešanas nosacījumus</w:t>
            </w:r>
          </w:p>
          <w:p w14:paraId="6098AD95" w14:textId="77777777" w:rsidR="007545BD" w:rsidRPr="009F27FD" w:rsidRDefault="007545BD" w:rsidP="00A73208">
            <w:pPr>
              <w:pStyle w:val="ListParagraph"/>
              <w:numPr>
                <w:ilvl w:val="0"/>
                <w:numId w:val="69"/>
              </w:numPr>
              <w:spacing w:after="0" w:line="240" w:lineRule="auto"/>
              <w:jc w:val="both"/>
              <w:rPr>
                <w:rFonts w:ascii="Times New Roman" w:hAnsi="Times New Roman" w:cs="Times New Roman"/>
                <w:iCs/>
                <w:sz w:val="20"/>
                <w:szCs w:val="20"/>
              </w:rPr>
            </w:pPr>
            <w:r w:rsidRPr="009F27FD">
              <w:rPr>
                <w:rFonts w:ascii="Times New Roman" w:hAnsi="Times New Roman" w:cs="Times New Roman"/>
                <w:iCs/>
                <w:sz w:val="20"/>
                <w:szCs w:val="20"/>
              </w:rPr>
              <w:t>Uzlabot sociālo pakalpojumu kvalitāti un pieejamību iedzīvotājiem</w:t>
            </w:r>
          </w:p>
          <w:p w14:paraId="5C481594" w14:textId="77777777" w:rsidR="007545BD" w:rsidRPr="009F27FD" w:rsidRDefault="007545BD" w:rsidP="00A73208">
            <w:pPr>
              <w:pStyle w:val="ListParagraph"/>
              <w:numPr>
                <w:ilvl w:val="0"/>
                <w:numId w:val="69"/>
              </w:numPr>
              <w:spacing w:after="0" w:line="240" w:lineRule="auto"/>
              <w:jc w:val="both"/>
              <w:rPr>
                <w:rFonts w:ascii="Times New Roman" w:hAnsi="Times New Roman" w:cs="Times New Roman"/>
                <w:iCs/>
                <w:sz w:val="20"/>
                <w:szCs w:val="20"/>
              </w:rPr>
            </w:pPr>
            <w:r w:rsidRPr="009F27FD">
              <w:rPr>
                <w:rFonts w:ascii="Times New Roman" w:hAnsi="Times New Roman" w:cs="Times New Roman"/>
                <w:iCs/>
                <w:sz w:val="20"/>
                <w:szCs w:val="20"/>
              </w:rPr>
              <w:t>Veicināt personu pāreju uz sabiedrībā balstītu vai ģimeniskai videi pietuvinātu pakalpojumu saņemšanu, vienlaikus uzlabojot institucionālās aprūpes pakalpojumu kvalitāti</w:t>
            </w:r>
          </w:p>
          <w:p w14:paraId="5470B08C" w14:textId="77777777" w:rsidR="007545BD" w:rsidRPr="009F27FD" w:rsidRDefault="007545BD" w:rsidP="00A73208">
            <w:pPr>
              <w:spacing w:before="0" w:after="0"/>
              <w:rPr>
                <w:iCs/>
                <w:sz w:val="20"/>
              </w:rPr>
            </w:pPr>
            <w:r w:rsidRPr="009F27FD">
              <w:rPr>
                <w:iCs/>
                <w:sz w:val="20"/>
              </w:rPr>
              <w:t>Rīcības virzienā iekļauto uzdevumu īstenošanai tiks izstrādāts Sociālo pakalpojumu attīstības plāns 2021.-2023.gadam.</w:t>
            </w:r>
          </w:p>
          <w:p w14:paraId="0231C647" w14:textId="77777777" w:rsidR="007545BD" w:rsidRPr="009F27FD" w:rsidRDefault="009A507A" w:rsidP="00A73208">
            <w:pPr>
              <w:spacing w:before="0" w:after="0"/>
              <w:ind w:firstLine="467"/>
              <w:rPr>
                <w:iCs/>
                <w:sz w:val="20"/>
              </w:rPr>
            </w:pPr>
            <w:hyperlink r:id="rId153" w:history="1">
              <w:r w:rsidR="007545BD" w:rsidRPr="009F27FD">
                <w:rPr>
                  <w:rStyle w:val="Hyperlink"/>
                  <w:sz w:val="20"/>
                </w:rPr>
                <w:t>Sabiedrības veselības pamatnostādnes 2021.-2027.gadam</w:t>
              </w:r>
            </w:hyperlink>
            <w:r w:rsidR="007545BD" w:rsidRPr="009F27FD">
              <w:rPr>
                <w:color w:val="0563C1"/>
                <w:sz w:val="20"/>
                <w:u w:val="single"/>
              </w:rPr>
              <w:t xml:space="preserve"> - </w:t>
            </w:r>
            <w:r w:rsidR="007545BD" w:rsidRPr="009F27FD">
              <w:rPr>
                <w:iCs/>
                <w:sz w:val="20"/>
              </w:rPr>
              <w:t xml:space="preserve"> pasākumi, kuru īstenošanai plānots ES fondu atbalsts noteikti šādos Pamatnostādņu uzdevumos: </w:t>
            </w:r>
          </w:p>
          <w:p w14:paraId="4A9035FC" w14:textId="77777777" w:rsidR="007545BD" w:rsidRPr="009F27FD" w:rsidRDefault="007545BD" w:rsidP="00A73208">
            <w:pPr>
              <w:pStyle w:val="ListParagraph"/>
              <w:numPr>
                <w:ilvl w:val="0"/>
                <w:numId w:val="66"/>
              </w:numPr>
              <w:spacing w:after="0" w:line="240" w:lineRule="auto"/>
              <w:ind w:left="0" w:firstLine="467"/>
              <w:jc w:val="both"/>
              <w:rPr>
                <w:rFonts w:ascii="Times New Roman" w:hAnsi="Times New Roman" w:cs="Times New Roman"/>
                <w:iCs/>
                <w:sz w:val="20"/>
                <w:szCs w:val="20"/>
              </w:rPr>
            </w:pPr>
            <w:r w:rsidRPr="009F27FD">
              <w:rPr>
                <w:rFonts w:ascii="Times New Roman" w:hAnsi="Times New Roman" w:cs="Times New Roman"/>
                <w:iCs/>
                <w:sz w:val="20"/>
                <w:szCs w:val="20"/>
              </w:rPr>
              <w:t xml:space="preserve">4.1.2. - plānot medicīnas pamatstudiju un rezidentūras vietu skaitu, prioritāri palielinot vietu skaitu profesijās ar novecojošu vecuma struktūru  un atbilstoši iedzīvotāju un veselības nozares vajadzībām; </w:t>
            </w:r>
          </w:p>
          <w:p w14:paraId="1973D420" w14:textId="77777777" w:rsidR="007545BD" w:rsidRPr="009F27FD" w:rsidRDefault="007545BD" w:rsidP="00A73208">
            <w:pPr>
              <w:pStyle w:val="ListParagraph"/>
              <w:numPr>
                <w:ilvl w:val="0"/>
                <w:numId w:val="66"/>
              </w:numPr>
              <w:spacing w:after="0" w:line="240" w:lineRule="auto"/>
              <w:ind w:left="0" w:firstLine="467"/>
              <w:jc w:val="both"/>
              <w:rPr>
                <w:rFonts w:ascii="Times New Roman" w:hAnsi="Times New Roman" w:cs="Times New Roman"/>
                <w:iCs/>
                <w:sz w:val="20"/>
                <w:szCs w:val="20"/>
              </w:rPr>
            </w:pPr>
            <w:r w:rsidRPr="009F27FD">
              <w:rPr>
                <w:rFonts w:ascii="Times New Roman" w:hAnsi="Times New Roman" w:cs="Times New Roman"/>
                <w:iCs/>
                <w:sz w:val="20"/>
                <w:szCs w:val="20"/>
              </w:rPr>
              <w:t xml:space="preserve">4.1.6. - stiprināt darba devēja lomu  speciālistu piesaistē un noturēšanā valsts apmaksātajā veselības sektorā, t.sk., veicinot paaudžu nomaiņu (īpaši primārajā veselības aprūpē); </w:t>
            </w:r>
          </w:p>
          <w:p w14:paraId="0B9D965C" w14:textId="77777777" w:rsidR="007545BD" w:rsidRPr="009F27FD" w:rsidRDefault="007545BD" w:rsidP="00A73208">
            <w:pPr>
              <w:pStyle w:val="ListParagraph"/>
              <w:numPr>
                <w:ilvl w:val="0"/>
                <w:numId w:val="66"/>
              </w:numPr>
              <w:spacing w:after="0" w:line="240" w:lineRule="auto"/>
              <w:ind w:left="0" w:firstLine="467"/>
              <w:jc w:val="both"/>
              <w:rPr>
                <w:rFonts w:ascii="Times New Roman" w:hAnsi="Times New Roman" w:cs="Times New Roman"/>
                <w:iCs/>
                <w:sz w:val="20"/>
                <w:szCs w:val="20"/>
              </w:rPr>
            </w:pPr>
            <w:r w:rsidRPr="009F27FD">
              <w:rPr>
                <w:rFonts w:ascii="Times New Roman" w:hAnsi="Times New Roman" w:cs="Times New Roman"/>
                <w:iCs/>
                <w:sz w:val="20"/>
                <w:szCs w:val="20"/>
              </w:rPr>
              <w:t xml:space="preserve">4.2.2. - izstrādāt un ieviest ilgtspējīgas tālākizglītības modeli, t.sk.nodrošinot kompetenču centru attīstību klīniskajās universitātes slimnīcās, pārskatot tālākizglītības rezultātu novērtēšanu un sasaistot iegūtos tālākizglītības punktus ar tālākizglītības mērķi; </w:t>
            </w:r>
          </w:p>
          <w:p w14:paraId="379E0CE2" w14:textId="77777777" w:rsidR="007545BD" w:rsidRPr="009F27FD" w:rsidRDefault="007545BD" w:rsidP="00A73208">
            <w:pPr>
              <w:pStyle w:val="ListParagraph"/>
              <w:numPr>
                <w:ilvl w:val="0"/>
                <w:numId w:val="66"/>
              </w:numPr>
              <w:spacing w:after="0" w:line="240" w:lineRule="auto"/>
              <w:ind w:left="0" w:firstLine="467"/>
              <w:jc w:val="both"/>
              <w:rPr>
                <w:rFonts w:ascii="Times New Roman" w:hAnsi="Times New Roman" w:cs="Times New Roman"/>
                <w:iCs/>
                <w:sz w:val="20"/>
                <w:szCs w:val="20"/>
              </w:rPr>
            </w:pPr>
            <w:r w:rsidRPr="009F27FD">
              <w:rPr>
                <w:rFonts w:ascii="Times New Roman" w:hAnsi="Times New Roman" w:cs="Times New Roman"/>
                <w:iCs/>
                <w:sz w:val="20"/>
                <w:szCs w:val="20"/>
              </w:rPr>
              <w:t xml:space="preserve">5.1.1. - pilnveidot veselības aprūpes personāla zināšanas un prasmes pacientu drošības un veselības kvalitātes vadības jautājumos, t.sk. pacienta drošības negadījuma analīzē ārstniecības iestādē; </w:t>
            </w:r>
          </w:p>
          <w:p w14:paraId="4560FC30" w14:textId="77777777" w:rsidR="007545BD" w:rsidRPr="009F27FD" w:rsidRDefault="007545BD" w:rsidP="00A73208">
            <w:pPr>
              <w:pStyle w:val="ListParagraph"/>
              <w:numPr>
                <w:ilvl w:val="0"/>
                <w:numId w:val="66"/>
              </w:numPr>
              <w:spacing w:after="0" w:line="240" w:lineRule="auto"/>
              <w:ind w:left="0" w:firstLine="467"/>
              <w:jc w:val="both"/>
              <w:rPr>
                <w:rFonts w:ascii="Times New Roman" w:hAnsi="Times New Roman" w:cs="Times New Roman"/>
                <w:iCs/>
                <w:sz w:val="20"/>
                <w:szCs w:val="20"/>
              </w:rPr>
            </w:pPr>
            <w:r w:rsidRPr="009F27FD">
              <w:rPr>
                <w:rFonts w:ascii="Times New Roman" w:hAnsi="Times New Roman" w:cs="Times New Roman"/>
                <w:iCs/>
                <w:sz w:val="20"/>
                <w:szCs w:val="20"/>
              </w:rPr>
              <w:t xml:space="preserve">5.1.3. - ieviest kvalitātes indikatorus, uz starptautiski atzītām vadlīnijām profesionāļu izstrādātus klīniskos algoritmus un klīniskos pacientu ceļus veselības aprūpē, nodrošinot to pieejamību digitālā formātā gan ārstniecības personām, gan sabiedrībai un un veikt klīnisko algoritmu un klīnisko ceļu ieviešanas monitoringu;  </w:t>
            </w:r>
          </w:p>
          <w:p w14:paraId="34B79F38" w14:textId="77777777" w:rsidR="007545BD" w:rsidRPr="009F27FD" w:rsidRDefault="007545BD" w:rsidP="00A73208">
            <w:pPr>
              <w:pStyle w:val="ListParagraph"/>
              <w:numPr>
                <w:ilvl w:val="0"/>
                <w:numId w:val="66"/>
              </w:numPr>
              <w:spacing w:after="0" w:line="240" w:lineRule="auto"/>
              <w:ind w:left="0" w:firstLine="467"/>
              <w:jc w:val="both"/>
              <w:rPr>
                <w:rFonts w:ascii="Times New Roman" w:hAnsi="Times New Roman" w:cs="Times New Roman"/>
                <w:iCs/>
                <w:sz w:val="20"/>
                <w:szCs w:val="20"/>
              </w:rPr>
            </w:pPr>
            <w:r w:rsidRPr="009F27FD">
              <w:rPr>
                <w:rFonts w:ascii="Times New Roman" w:hAnsi="Times New Roman" w:cs="Times New Roman"/>
                <w:iCs/>
                <w:sz w:val="20"/>
                <w:szCs w:val="20"/>
              </w:rPr>
              <w:t xml:space="preserve">5.7.2. - attīstīt VSIA “Bērnu klīniskā universitātes slimnīca”, VSIA “P.Stradiņa klīniskās universitātes slimnīca” un SIA “Rīgas Austrumu klīniskā universitātes slimnīca” infrastruktūru, optimizējot infrastruktūras uzturēšanas izmaksas (t.sk., veikt ēku atjaunošanu, pārbūvi, būvniecību, medicīnisko iekārtu, stratēģiski nozīmīgu jauno tehnoloģiju plānošanu, iegādi, nomaiņu, tostarp veicinot vides pieejamību, optimālu gultu skaitu, t.sk. izolācijas boksu un observācijas gultu skaitu, kā arī nodrošināt izcilības centru izveidi zināšanu pārnesē, </w:t>
            </w:r>
          </w:p>
          <w:p w14:paraId="036402C3" w14:textId="77777777" w:rsidR="007545BD" w:rsidRPr="009F27FD" w:rsidRDefault="007545BD" w:rsidP="00A73208">
            <w:pPr>
              <w:pStyle w:val="ListParagraph"/>
              <w:numPr>
                <w:ilvl w:val="0"/>
                <w:numId w:val="66"/>
              </w:numPr>
              <w:spacing w:after="0" w:line="240" w:lineRule="auto"/>
              <w:ind w:left="0" w:firstLine="467"/>
              <w:jc w:val="both"/>
              <w:rPr>
                <w:rFonts w:ascii="Times New Roman" w:hAnsi="Times New Roman" w:cs="Times New Roman"/>
                <w:iCs/>
                <w:sz w:val="20"/>
                <w:szCs w:val="20"/>
              </w:rPr>
            </w:pPr>
            <w:r w:rsidRPr="009F27FD">
              <w:rPr>
                <w:rFonts w:ascii="Times New Roman" w:hAnsi="Times New Roman" w:cs="Times New Roman"/>
                <w:iCs/>
                <w:sz w:val="20"/>
                <w:szCs w:val="20"/>
              </w:rPr>
              <w:t xml:space="preserve">5.7.3. - attīstīt ārstniecības iestāžu infrastruktūru hroniski slimo un nedziedināmi slimo pacientu aprūpei, t.sk. HOSPICE pakalpojumu nodrošināšanai (ēku atjaunošana, pārbūve, būvniecība, vides pieejamības nodrošināšana, medicīnas ierīču un aprīkojuma iegāde);  </w:t>
            </w:r>
          </w:p>
          <w:p w14:paraId="2ECA9708" w14:textId="77777777" w:rsidR="007545BD" w:rsidRPr="009F27FD" w:rsidRDefault="007545BD" w:rsidP="00A73208">
            <w:pPr>
              <w:pStyle w:val="ListParagraph"/>
              <w:numPr>
                <w:ilvl w:val="0"/>
                <w:numId w:val="66"/>
              </w:numPr>
              <w:spacing w:after="0" w:line="240" w:lineRule="auto"/>
              <w:ind w:left="0" w:firstLine="467"/>
              <w:jc w:val="both"/>
              <w:rPr>
                <w:rFonts w:ascii="Times New Roman" w:hAnsi="Times New Roman" w:cs="Times New Roman"/>
                <w:iCs/>
                <w:sz w:val="20"/>
                <w:szCs w:val="20"/>
              </w:rPr>
            </w:pPr>
            <w:r w:rsidRPr="009F27FD">
              <w:rPr>
                <w:rFonts w:ascii="Times New Roman" w:hAnsi="Times New Roman" w:cs="Times New Roman"/>
                <w:iCs/>
                <w:sz w:val="20"/>
                <w:szCs w:val="20"/>
              </w:rPr>
              <w:t xml:space="preserve">5.7.4. - attīstīt stacionāro ārstniecības iestāžu teritoriālo sadarbību, optimizējot infrastruktūras uzturēšanas izmaksas – ēku atjaunošana, pārbūve, vides pieejamības nodrošināšana, būvniecība, medicīnas ierīču, dārgo tehnoloģiju un aprīkojuma iegāde un nomaiņa; </w:t>
            </w:r>
          </w:p>
          <w:p w14:paraId="2D10DD7B" w14:textId="77777777" w:rsidR="007545BD" w:rsidRPr="009F27FD" w:rsidRDefault="007545BD" w:rsidP="00A73208">
            <w:pPr>
              <w:pStyle w:val="ListParagraph"/>
              <w:numPr>
                <w:ilvl w:val="0"/>
                <w:numId w:val="66"/>
              </w:numPr>
              <w:spacing w:after="0" w:line="240" w:lineRule="auto"/>
              <w:ind w:left="0" w:firstLine="467"/>
              <w:jc w:val="both"/>
              <w:rPr>
                <w:rFonts w:ascii="Times New Roman" w:hAnsi="Times New Roman" w:cs="Times New Roman"/>
                <w:iCs/>
                <w:sz w:val="20"/>
                <w:szCs w:val="20"/>
              </w:rPr>
            </w:pPr>
            <w:r w:rsidRPr="009F27FD">
              <w:rPr>
                <w:rFonts w:ascii="Times New Roman" w:hAnsi="Times New Roman" w:cs="Times New Roman"/>
                <w:iCs/>
                <w:sz w:val="20"/>
                <w:szCs w:val="20"/>
              </w:rPr>
              <w:t xml:space="preserve">5.7.5. - attīstīt psihiatrijas profila ārstniecības iestāžu infrastruktūru – ēku atjaunošana, pārbūve, būvniecība, vides pieejamības nodrošināšana, medicīnas ierīču  un aprīkojuma iegāde; </w:t>
            </w:r>
          </w:p>
          <w:p w14:paraId="7B0D8DC6" w14:textId="77777777" w:rsidR="007545BD" w:rsidRPr="009F27FD" w:rsidRDefault="007545BD" w:rsidP="00A73208">
            <w:pPr>
              <w:pStyle w:val="ListParagraph"/>
              <w:numPr>
                <w:ilvl w:val="0"/>
                <w:numId w:val="66"/>
              </w:numPr>
              <w:spacing w:after="0" w:line="240" w:lineRule="auto"/>
              <w:ind w:left="0" w:firstLine="467"/>
              <w:jc w:val="both"/>
              <w:rPr>
                <w:rFonts w:ascii="Times New Roman" w:hAnsi="Times New Roman" w:cs="Times New Roman"/>
                <w:iCs/>
                <w:sz w:val="20"/>
                <w:szCs w:val="20"/>
              </w:rPr>
            </w:pPr>
            <w:r w:rsidRPr="009F27FD">
              <w:rPr>
                <w:rFonts w:ascii="Times New Roman" w:hAnsi="Times New Roman" w:cs="Times New Roman"/>
                <w:iCs/>
                <w:sz w:val="20"/>
                <w:szCs w:val="20"/>
              </w:rPr>
              <w:t xml:space="preserve">5.7.6. - nodrošināt operatīvā medicīniskā transportlīdzekļu  parka un medicīnas iekārtu atjaunošanu NMPD; </w:t>
            </w:r>
          </w:p>
          <w:p w14:paraId="5204D9D1" w14:textId="77777777" w:rsidR="007545BD" w:rsidRPr="009F27FD" w:rsidRDefault="007545BD" w:rsidP="00A73208">
            <w:pPr>
              <w:pStyle w:val="ListParagraph"/>
              <w:numPr>
                <w:ilvl w:val="0"/>
                <w:numId w:val="66"/>
              </w:numPr>
              <w:spacing w:after="0" w:line="240" w:lineRule="auto"/>
              <w:ind w:left="0" w:firstLine="467"/>
              <w:jc w:val="both"/>
              <w:rPr>
                <w:rFonts w:ascii="Times New Roman" w:hAnsi="Times New Roman" w:cs="Times New Roman"/>
                <w:iCs/>
                <w:sz w:val="20"/>
                <w:szCs w:val="20"/>
              </w:rPr>
            </w:pPr>
            <w:r w:rsidRPr="009F27FD">
              <w:rPr>
                <w:rFonts w:ascii="Times New Roman" w:hAnsi="Times New Roman" w:cs="Times New Roman"/>
                <w:iCs/>
                <w:sz w:val="20"/>
                <w:szCs w:val="20"/>
              </w:rPr>
              <w:t xml:space="preserve">5.12.1. - attīstīt digitālos risinājumus uz pacientu centrētas veselības aprūpes nodrošināšanai, t.sk., attālinātos veselības aprūpes pakalpojumus, pacienta elektronisko veselības karti e-veselības sistēmā, pārrobežu e-veselības risinājumus;  </w:t>
            </w:r>
          </w:p>
          <w:p w14:paraId="1F250E8E" w14:textId="77777777" w:rsidR="007545BD" w:rsidRPr="009F27FD" w:rsidRDefault="007545BD" w:rsidP="00A73208">
            <w:pPr>
              <w:pStyle w:val="ListParagraph"/>
              <w:numPr>
                <w:ilvl w:val="0"/>
                <w:numId w:val="66"/>
              </w:numPr>
              <w:spacing w:after="0" w:line="240" w:lineRule="auto"/>
              <w:ind w:left="0" w:firstLine="467"/>
              <w:jc w:val="both"/>
              <w:rPr>
                <w:rFonts w:ascii="Times New Roman" w:hAnsi="Times New Roman" w:cs="Times New Roman"/>
                <w:iCs/>
                <w:sz w:val="20"/>
                <w:szCs w:val="20"/>
              </w:rPr>
            </w:pPr>
            <w:r w:rsidRPr="009F27FD">
              <w:rPr>
                <w:rFonts w:ascii="Times New Roman" w:hAnsi="Times New Roman" w:cs="Times New Roman"/>
                <w:iCs/>
                <w:sz w:val="20"/>
                <w:szCs w:val="20"/>
              </w:rPr>
              <w:t xml:space="preserve">5.12.2. - veicināt efektīvu valsts pārvaldes funkciju izpildi, pārskatot  datu apmaiņas procesus un pilnveidojot tos, attīstot veselības nozares valsts informāciju sistēmas un turpinot uzsākto IKT resursu centralizāciju veselības nozarē; </w:t>
            </w:r>
          </w:p>
          <w:p w14:paraId="6BAC1914" w14:textId="77777777" w:rsidR="007545BD" w:rsidRPr="009F27FD" w:rsidRDefault="007545BD" w:rsidP="00A73208">
            <w:pPr>
              <w:pStyle w:val="ListParagraph"/>
              <w:numPr>
                <w:ilvl w:val="0"/>
                <w:numId w:val="66"/>
              </w:numPr>
              <w:spacing w:after="0" w:line="240" w:lineRule="auto"/>
              <w:ind w:left="0" w:firstLine="467"/>
              <w:jc w:val="both"/>
              <w:rPr>
                <w:rFonts w:ascii="Times New Roman" w:hAnsi="Times New Roman" w:cs="Times New Roman"/>
                <w:iCs/>
                <w:sz w:val="20"/>
                <w:szCs w:val="20"/>
              </w:rPr>
            </w:pPr>
            <w:r w:rsidRPr="009F27FD">
              <w:rPr>
                <w:rFonts w:ascii="Times New Roman" w:hAnsi="Times New Roman" w:cs="Times New Roman"/>
                <w:sz w:val="20"/>
                <w:szCs w:val="20"/>
              </w:rPr>
              <w:t xml:space="preserve">5.12.3. - </w:t>
            </w:r>
            <w:r w:rsidRPr="009F27FD">
              <w:rPr>
                <w:rFonts w:ascii="Times New Roman" w:hAnsi="Times New Roman" w:cs="Times New Roman"/>
                <w:iCs/>
                <w:sz w:val="20"/>
                <w:szCs w:val="20"/>
              </w:rPr>
              <w:t xml:space="preserve">attīstīt stacionāro ārstniecības iestāžu informācijas sistēmas; </w:t>
            </w:r>
          </w:p>
          <w:p w14:paraId="444AF6A6" w14:textId="77777777" w:rsidR="007545BD" w:rsidRPr="009F27FD" w:rsidRDefault="007545BD" w:rsidP="00A73208">
            <w:pPr>
              <w:pStyle w:val="ListParagraph"/>
              <w:numPr>
                <w:ilvl w:val="0"/>
                <w:numId w:val="66"/>
              </w:numPr>
              <w:spacing w:after="0" w:line="240" w:lineRule="auto"/>
              <w:ind w:left="0" w:firstLine="467"/>
              <w:jc w:val="both"/>
              <w:rPr>
                <w:rFonts w:ascii="Times New Roman" w:hAnsi="Times New Roman" w:cs="Times New Roman"/>
                <w:iCs/>
                <w:sz w:val="20"/>
                <w:szCs w:val="20"/>
              </w:rPr>
            </w:pPr>
            <w:r w:rsidRPr="009F27FD">
              <w:rPr>
                <w:rFonts w:ascii="Times New Roman" w:hAnsi="Times New Roman" w:cs="Times New Roman"/>
                <w:iCs/>
                <w:sz w:val="20"/>
                <w:szCs w:val="20"/>
              </w:rPr>
              <w:t xml:space="preserve">5.12.4. - veicināt mākslīgā intelekta izmantošana veselības aprūpē, piemēram, datu uzkrāšanas, analīzes un prognozēšanas risinājumu attīstībai veselības nozarē, personāla resursu efektīvākai izmantošanai, kvalifikācijas celšanai un izglītošanai. </w:t>
            </w:r>
          </w:p>
          <w:p w14:paraId="0AE504D1" w14:textId="77777777" w:rsidR="007545BD" w:rsidRPr="009F27FD" w:rsidRDefault="007545BD" w:rsidP="00A73208">
            <w:pPr>
              <w:spacing w:before="0" w:after="0"/>
              <w:rPr>
                <w:rFonts w:eastAsiaTheme="minorHAnsi"/>
                <w:iCs/>
                <w:sz w:val="20"/>
              </w:rPr>
            </w:pPr>
          </w:p>
        </w:tc>
      </w:tr>
      <w:tr w:rsidR="007545BD" w:rsidRPr="00C41EB8" w14:paraId="62C298C2" w14:textId="77777777" w:rsidTr="00A73208">
        <w:tc>
          <w:tcPr>
            <w:tcW w:w="562" w:type="dxa"/>
            <w:shd w:val="clear" w:color="auto" w:fill="D9D9D9" w:themeFill="background1" w:themeFillShade="D9"/>
          </w:tcPr>
          <w:p w14:paraId="202C1B23"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D9D9D9" w:themeFill="background1" w:themeFillShade="D9"/>
          </w:tcPr>
          <w:p w14:paraId="5719C802" w14:textId="77777777" w:rsidR="007545BD" w:rsidRPr="00C41EB8" w:rsidRDefault="007545BD" w:rsidP="00A73208">
            <w:pPr>
              <w:spacing w:before="0" w:after="0"/>
              <w:jc w:val="left"/>
              <w:rPr>
                <w:noProof/>
                <w:sz w:val="20"/>
              </w:rPr>
            </w:pPr>
          </w:p>
        </w:tc>
        <w:tc>
          <w:tcPr>
            <w:tcW w:w="851" w:type="dxa"/>
            <w:vMerge/>
            <w:shd w:val="clear" w:color="auto" w:fill="D9D9D9" w:themeFill="background1" w:themeFillShade="D9"/>
          </w:tcPr>
          <w:p w14:paraId="131ADAB5" w14:textId="77777777" w:rsidR="007545BD" w:rsidRPr="00C41EB8" w:rsidRDefault="007545BD" w:rsidP="00A73208">
            <w:pPr>
              <w:spacing w:before="0" w:after="0"/>
              <w:jc w:val="left"/>
              <w:rPr>
                <w:rFonts w:eastAsia="Times New Roman"/>
                <w:iCs/>
                <w:noProof/>
                <w:sz w:val="20"/>
              </w:rPr>
            </w:pPr>
          </w:p>
        </w:tc>
        <w:tc>
          <w:tcPr>
            <w:tcW w:w="1134" w:type="dxa"/>
            <w:vMerge/>
            <w:shd w:val="clear" w:color="auto" w:fill="D9D9D9" w:themeFill="background1" w:themeFillShade="D9"/>
          </w:tcPr>
          <w:p w14:paraId="08450D67" w14:textId="77777777" w:rsidR="007545BD" w:rsidRPr="00C41EB8" w:rsidRDefault="007545BD" w:rsidP="00A73208">
            <w:pPr>
              <w:spacing w:before="0" w:after="0"/>
              <w:jc w:val="left"/>
              <w:rPr>
                <w:rFonts w:eastAsia="Times New Roman"/>
                <w:iCs/>
                <w:noProof/>
                <w:sz w:val="20"/>
              </w:rPr>
            </w:pPr>
          </w:p>
        </w:tc>
        <w:tc>
          <w:tcPr>
            <w:tcW w:w="850" w:type="dxa"/>
            <w:vMerge/>
            <w:shd w:val="clear" w:color="auto" w:fill="D9D9D9" w:themeFill="background1" w:themeFillShade="D9"/>
          </w:tcPr>
          <w:p w14:paraId="5C1FCC02" w14:textId="77777777" w:rsidR="007545BD" w:rsidRPr="00C41EB8" w:rsidRDefault="007545BD" w:rsidP="00A73208">
            <w:pPr>
              <w:spacing w:before="0" w:after="0"/>
              <w:jc w:val="left"/>
              <w:rPr>
                <w:rFonts w:eastAsia="Times New Roman"/>
                <w:iCs/>
                <w:noProof/>
                <w:sz w:val="20"/>
              </w:rPr>
            </w:pPr>
          </w:p>
        </w:tc>
        <w:tc>
          <w:tcPr>
            <w:tcW w:w="2410" w:type="dxa"/>
            <w:shd w:val="clear" w:color="auto" w:fill="D9D9D9" w:themeFill="background1" w:themeFillShade="D9"/>
          </w:tcPr>
          <w:p w14:paraId="4AE24D48" w14:textId="77777777" w:rsidR="007545BD" w:rsidRPr="00C41EB8" w:rsidRDefault="007545BD" w:rsidP="00A73208">
            <w:pPr>
              <w:spacing w:before="0" w:after="0"/>
              <w:ind w:left="3"/>
              <w:jc w:val="left"/>
              <w:rPr>
                <w:noProof/>
                <w:sz w:val="20"/>
              </w:rPr>
            </w:pPr>
            <w:r w:rsidRPr="00C41EB8">
              <w:rPr>
                <w:noProof/>
                <w:sz w:val="20"/>
              </w:rPr>
              <w:t>3.Pasākumus, kas veicina sabiedrībā balstītu pakalpojumu sniegšanu, tostarp profilakses un primārās veselības aprūpes pakalpojumus, aprūpi mājās un sabiedrībā balstītus pakalpojumus.</w:t>
            </w:r>
          </w:p>
        </w:tc>
        <w:tc>
          <w:tcPr>
            <w:tcW w:w="1134" w:type="dxa"/>
            <w:shd w:val="clear" w:color="auto" w:fill="D9D9D9" w:themeFill="background1" w:themeFillShade="D9"/>
          </w:tcPr>
          <w:p w14:paraId="66BB93DA" w14:textId="77777777" w:rsidR="007545BD" w:rsidRPr="00C41EB8" w:rsidRDefault="007545BD" w:rsidP="00A73208">
            <w:pPr>
              <w:spacing w:before="0" w:after="0"/>
              <w:jc w:val="left"/>
              <w:rPr>
                <w:noProof/>
                <w:sz w:val="20"/>
              </w:rPr>
            </w:pPr>
            <w:r w:rsidRPr="00C41EB8">
              <w:rPr>
                <w:noProof/>
                <w:sz w:val="20"/>
              </w:rPr>
              <w:t>Nē</w:t>
            </w:r>
          </w:p>
        </w:tc>
        <w:tc>
          <w:tcPr>
            <w:tcW w:w="2410" w:type="dxa"/>
            <w:shd w:val="clear" w:color="auto" w:fill="D9D9D9" w:themeFill="background1" w:themeFillShade="D9"/>
          </w:tcPr>
          <w:p w14:paraId="45240416" w14:textId="77777777" w:rsidR="007545BD" w:rsidRPr="00C41EB8" w:rsidRDefault="007545BD" w:rsidP="00A73208">
            <w:pPr>
              <w:spacing w:before="0" w:after="0"/>
              <w:jc w:val="left"/>
              <w:rPr>
                <w:noProof/>
                <w:sz w:val="20"/>
              </w:rPr>
            </w:pPr>
            <w:r w:rsidRPr="00C41EB8">
              <w:rPr>
                <w:noProof/>
                <w:sz w:val="20"/>
              </w:rPr>
              <w:t>3.kritērijs</w:t>
            </w:r>
          </w:p>
          <w:p w14:paraId="11BD9D6E" w14:textId="77777777" w:rsidR="007545BD" w:rsidRDefault="009A507A" w:rsidP="00A73208">
            <w:pPr>
              <w:spacing w:before="0" w:after="0"/>
              <w:jc w:val="left"/>
              <w:rPr>
                <w:noProof/>
                <w:sz w:val="20"/>
              </w:rPr>
            </w:pPr>
            <w:hyperlink r:id="rId154" w:history="1">
              <w:r w:rsidR="007545BD" w:rsidRPr="009F27FD">
                <w:rPr>
                  <w:rStyle w:val="Hyperlink"/>
                  <w:noProof/>
                  <w:sz w:val="20"/>
                </w:rPr>
                <w:t>Sociālās aizsardzības un darba tirgus politikas pamatnostādnes 2021.-2027.gadam</w:t>
              </w:r>
            </w:hyperlink>
            <w:r w:rsidR="007545BD">
              <w:rPr>
                <w:noProof/>
                <w:sz w:val="20"/>
              </w:rPr>
              <w:t xml:space="preserve"> (projekts)</w:t>
            </w:r>
          </w:p>
          <w:p w14:paraId="324D4BD8" w14:textId="77777777" w:rsidR="007545BD" w:rsidRDefault="007545BD" w:rsidP="00A73208">
            <w:pPr>
              <w:spacing w:before="0" w:after="0"/>
              <w:jc w:val="left"/>
              <w:rPr>
                <w:noProof/>
                <w:sz w:val="20"/>
              </w:rPr>
            </w:pPr>
          </w:p>
          <w:p w14:paraId="5A6370DD" w14:textId="77777777" w:rsidR="007545BD" w:rsidRPr="00C41EB8" w:rsidRDefault="009A507A" w:rsidP="00A73208">
            <w:pPr>
              <w:spacing w:before="0" w:after="0"/>
              <w:jc w:val="left"/>
              <w:rPr>
                <w:noProof/>
                <w:sz w:val="20"/>
              </w:rPr>
            </w:pPr>
            <w:hyperlink r:id="rId155" w:history="1">
              <w:r w:rsidR="007545BD" w:rsidRPr="009F27FD">
                <w:rPr>
                  <w:rStyle w:val="Hyperlink"/>
                  <w:noProof/>
                  <w:sz w:val="20"/>
                </w:rPr>
                <w:t>Sabiedrības veselības pamatnostādnes 2021.-2027.gadam</w:t>
              </w:r>
            </w:hyperlink>
            <w:r w:rsidR="007545BD">
              <w:rPr>
                <w:noProof/>
                <w:sz w:val="20"/>
              </w:rPr>
              <w:t xml:space="preserve"> (projekts) </w:t>
            </w:r>
          </w:p>
        </w:tc>
        <w:tc>
          <w:tcPr>
            <w:tcW w:w="3686" w:type="dxa"/>
            <w:shd w:val="clear" w:color="auto" w:fill="D9D9D9" w:themeFill="background1" w:themeFillShade="D9"/>
          </w:tcPr>
          <w:p w14:paraId="33EDAE7F" w14:textId="77777777" w:rsidR="007545BD" w:rsidRPr="00C41EB8" w:rsidRDefault="007545BD" w:rsidP="00A73208">
            <w:pPr>
              <w:spacing w:before="0" w:after="0"/>
              <w:ind w:firstLine="467"/>
              <w:rPr>
                <w:b/>
                <w:iCs/>
                <w:sz w:val="20"/>
              </w:rPr>
            </w:pPr>
            <w:r w:rsidRPr="00C41EB8">
              <w:rPr>
                <w:b/>
                <w:iCs/>
                <w:sz w:val="20"/>
              </w:rPr>
              <w:t xml:space="preserve">3.kritērijs </w:t>
            </w:r>
          </w:p>
          <w:p w14:paraId="404BFA4E" w14:textId="77777777" w:rsidR="007545BD" w:rsidRPr="00C41EB8" w:rsidRDefault="007545BD" w:rsidP="00A73208">
            <w:pPr>
              <w:spacing w:before="0" w:after="0"/>
              <w:ind w:firstLine="467"/>
              <w:rPr>
                <w:iCs/>
                <w:sz w:val="20"/>
              </w:rPr>
            </w:pPr>
            <w:r w:rsidRPr="00C41EB8">
              <w:rPr>
                <w:iCs/>
                <w:sz w:val="20"/>
              </w:rPr>
              <w:t xml:space="preserve">Izstrādāts </w:t>
            </w:r>
            <w:hyperlink r:id="rId156" w:history="1">
              <w:r w:rsidRPr="00C41EB8">
                <w:rPr>
                  <w:rStyle w:val="Hyperlink"/>
                  <w:iCs/>
                  <w:sz w:val="20"/>
                </w:rPr>
                <w:t>Sociālās aizsardzības un darba tirgus politikas pamatnostādņu 2021.-2027. gadam projekts</w:t>
              </w:r>
            </w:hyperlink>
            <w:r w:rsidRPr="00C41EB8">
              <w:rPr>
                <w:iCs/>
                <w:sz w:val="20"/>
              </w:rPr>
              <w:t>, kurā kā viens no rīcības virzieniem plānots: Moderna un pieejama sociālo pakalpojumu sistēma, kas cita starpā uzlabo iedzīvotāju iespējas dzīvot neatkarīgi un dzīvot sabiedrībā, iekļauties izglītībā un darba tirgū. Rīcības virziena ietvaros vidējā termiņā paredzēts:</w:t>
            </w:r>
          </w:p>
          <w:p w14:paraId="3DCE56B5" w14:textId="77777777" w:rsidR="007545BD" w:rsidRPr="00C41EB8" w:rsidRDefault="007545BD" w:rsidP="00A73208">
            <w:pPr>
              <w:spacing w:before="0" w:after="0"/>
              <w:ind w:firstLine="467"/>
              <w:rPr>
                <w:iCs/>
                <w:sz w:val="20"/>
              </w:rPr>
            </w:pPr>
            <w:r w:rsidRPr="00C41EB8">
              <w:rPr>
                <w:iCs/>
                <w:sz w:val="20"/>
              </w:rPr>
              <w:t>•</w:t>
            </w:r>
            <w:r w:rsidRPr="00C41EB8">
              <w:rPr>
                <w:iCs/>
                <w:sz w:val="20"/>
              </w:rPr>
              <w:tab/>
              <w:t>nodrošināt līdzvērtīgu sociālo pakalpojumu grozu reģionos un pārskatīt sociālo pakalpojumu sniegšanas pieeju un sociālo pakalpojumu saturu atbilstoši mērķa grupu vajadzībām (uz cilvēku centrēta pieeja) un faktiskajām tirgus cenām</w:t>
            </w:r>
          </w:p>
          <w:p w14:paraId="2FE12576" w14:textId="77777777" w:rsidR="007545BD" w:rsidRPr="00C41EB8" w:rsidRDefault="007545BD" w:rsidP="00A73208">
            <w:pPr>
              <w:spacing w:before="0" w:after="0"/>
              <w:ind w:firstLine="467"/>
              <w:rPr>
                <w:iCs/>
                <w:sz w:val="20"/>
              </w:rPr>
            </w:pPr>
            <w:r w:rsidRPr="00C41EB8">
              <w:rPr>
                <w:iCs/>
                <w:sz w:val="20"/>
              </w:rPr>
              <w:t>•</w:t>
            </w:r>
            <w:r w:rsidRPr="00C41EB8">
              <w:rPr>
                <w:iCs/>
                <w:sz w:val="20"/>
              </w:rPr>
              <w:tab/>
              <w:t>paaugstināt pakalpojumu kvalitāti bērniem ar smagiem funkcionāliem traucējumiem ilgstošas sociālās aprūpes institūcijās, tuvinot pakalpojuma sniegšanu ģimeniskai videi;</w:t>
            </w:r>
          </w:p>
          <w:p w14:paraId="6B66F32F" w14:textId="77777777" w:rsidR="007545BD" w:rsidRPr="00C41EB8" w:rsidRDefault="007545BD" w:rsidP="00A73208">
            <w:pPr>
              <w:spacing w:before="0" w:after="0"/>
              <w:ind w:firstLine="467"/>
              <w:rPr>
                <w:iCs/>
                <w:sz w:val="20"/>
              </w:rPr>
            </w:pPr>
            <w:r w:rsidRPr="00C41EB8">
              <w:rPr>
                <w:iCs/>
                <w:sz w:val="20"/>
              </w:rPr>
              <w:t>•</w:t>
            </w:r>
            <w:r w:rsidRPr="00C41EB8">
              <w:rPr>
                <w:iCs/>
                <w:sz w:val="20"/>
              </w:rPr>
              <w:tab/>
              <w:t>veidot integrētus sociālos pakalpojumus hroniski un nedziedināmi slimiem cilvēkiem un viņu ģimenes locekļiem un tuviniekiem;</w:t>
            </w:r>
          </w:p>
          <w:p w14:paraId="678C51AD" w14:textId="77777777" w:rsidR="007545BD" w:rsidRPr="00C41EB8" w:rsidRDefault="007545BD" w:rsidP="00A73208">
            <w:pPr>
              <w:spacing w:before="0" w:after="0"/>
              <w:ind w:firstLine="467"/>
              <w:rPr>
                <w:iCs/>
                <w:sz w:val="20"/>
              </w:rPr>
            </w:pPr>
            <w:r w:rsidRPr="00C41EB8">
              <w:rPr>
                <w:iCs/>
                <w:sz w:val="20"/>
              </w:rPr>
              <w:t>•</w:t>
            </w:r>
            <w:r w:rsidRPr="00C41EB8">
              <w:rPr>
                <w:iCs/>
                <w:sz w:val="20"/>
              </w:rPr>
              <w:tab/>
              <w:t>attīstīt atbalstu, tostarp cilvēkiem ar ļoti smagiem un multipliem funkcionāliem traucējumiem, cilvēkiem ar demenci, personām paliatīvajā aprūpē, gados vecākiem cilvēkiem, bērniem ar smagu diagnozi un iespējamu vai esošu invaliditāti, t.sk., nodrošinot metodisku un praktisku atbalstu viņu aprūpē iesaistītajiem ģimenes locekļiem un neformālajiem aprūpētājiem.</w:t>
            </w:r>
          </w:p>
          <w:p w14:paraId="0D264094" w14:textId="77777777" w:rsidR="007545BD" w:rsidRDefault="007545BD" w:rsidP="00A73208">
            <w:pPr>
              <w:spacing w:before="0" w:after="0"/>
              <w:rPr>
                <w:iCs/>
                <w:sz w:val="20"/>
              </w:rPr>
            </w:pPr>
            <w:r w:rsidRPr="00C41EB8">
              <w:rPr>
                <w:iCs/>
                <w:sz w:val="20"/>
              </w:rPr>
              <w:t>Rīcības virzienā iekļauto uzdevumu īstenošanai tiks izstrādāts Sociālo pakalpojumu attīstības plāns 2021.-2023.gadam.</w:t>
            </w:r>
          </w:p>
          <w:p w14:paraId="0F88225E" w14:textId="77777777" w:rsidR="007545BD" w:rsidRPr="00216FF0" w:rsidRDefault="007545BD" w:rsidP="00A73208">
            <w:pPr>
              <w:spacing w:before="0" w:after="0"/>
              <w:ind w:firstLine="467"/>
              <w:rPr>
                <w:sz w:val="20"/>
              </w:rPr>
            </w:pPr>
            <w:r w:rsidRPr="00216FF0">
              <w:rPr>
                <w:sz w:val="20"/>
                <w:u w:val="single"/>
              </w:rPr>
              <w:t xml:space="preserve">Izpilde: </w:t>
            </w:r>
            <w:r>
              <w:rPr>
                <w:sz w:val="20"/>
                <w:u w:val="single"/>
              </w:rPr>
              <w:t>Veselības jomā p</w:t>
            </w:r>
            <w:r w:rsidRPr="00216FF0">
              <w:rPr>
                <w:sz w:val="20"/>
                <w:u w:val="single"/>
              </w:rPr>
              <w:t>asākumi, kuru īstenošanai plānots ES fondu atbalsts noteikti šādos Pamatnostādņu uzdevumos</w:t>
            </w:r>
            <w:r w:rsidRPr="00216FF0">
              <w:rPr>
                <w:sz w:val="20"/>
              </w:rPr>
              <w:t xml:space="preserve">: </w:t>
            </w:r>
          </w:p>
          <w:p w14:paraId="749B3741" w14:textId="77777777" w:rsidR="007545BD" w:rsidRPr="009F27FD" w:rsidRDefault="007545BD" w:rsidP="00A73208">
            <w:pPr>
              <w:pStyle w:val="ListParagraph"/>
              <w:numPr>
                <w:ilvl w:val="0"/>
                <w:numId w:val="66"/>
              </w:numPr>
              <w:spacing w:after="0" w:line="240" w:lineRule="auto"/>
              <w:ind w:left="0" w:firstLine="467"/>
              <w:jc w:val="both"/>
              <w:rPr>
                <w:rFonts w:ascii="Times New Roman" w:hAnsi="Times New Roman" w:cs="Times New Roman"/>
                <w:iCs/>
                <w:sz w:val="20"/>
                <w:szCs w:val="20"/>
                <w:lang w:eastAsia="en-US" w:bidi="ar-SA"/>
              </w:rPr>
            </w:pPr>
            <w:r w:rsidRPr="009F27FD">
              <w:rPr>
                <w:rFonts w:ascii="Times New Roman" w:hAnsi="Times New Roman" w:cs="Times New Roman"/>
                <w:iCs/>
                <w:sz w:val="20"/>
                <w:szCs w:val="20"/>
                <w:lang w:eastAsia="en-US" w:bidi="ar-SA"/>
              </w:rPr>
              <w:t xml:space="preserve">1.1. uzdevums - Veicināt veselīga un sabalansēta uztura lietošanu, īstenojot vienotu uztura politiku. Uzdevums ietver nepieciešamos pasākumi attiecībā uz sabiedrības veselības uzlabošanu veselīga uztura jomā; </w:t>
            </w:r>
          </w:p>
          <w:p w14:paraId="01A3A0EB" w14:textId="77777777" w:rsidR="007545BD" w:rsidRPr="009F27FD" w:rsidRDefault="007545BD" w:rsidP="00A73208">
            <w:pPr>
              <w:pStyle w:val="ListParagraph"/>
              <w:numPr>
                <w:ilvl w:val="0"/>
                <w:numId w:val="66"/>
              </w:numPr>
              <w:spacing w:after="0" w:line="240" w:lineRule="auto"/>
              <w:ind w:left="0" w:firstLine="467"/>
              <w:jc w:val="both"/>
              <w:rPr>
                <w:rFonts w:ascii="Times New Roman" w:hAnsi="Times New Roman" w:cs="Times New Roman"/>
                <w:iCs/>
                <w:sz w:val="20"/>
                <w:szCs w:val="20"/>
                <w:lang w:eastAsia="en-US" w:bidi="ar-SA"/>
              </w:rPr>
            </w:pPr>
            <w:r w:rsidRPr="009F27FD">
              <w:rPr>
                <w:rFonts w:ascii="Times New Roman" w:hAnsi="Times New Roman" w:cs="Times New Roman"/>
                <w:iCs/>
                <w:sz w:val="20"/>
                <w:szCs w:val="20"/>
                <w:lang w:eastAsia="en-US" w:bidi="ar-SA"/>
              </w:rPr>
              <w:t xml:space="preserve">1.2.uzdevums - Veicināt lielāku iedzīvotāju fizisko aktivitāti ikdienā, īstenojot vienotu fizisko aktivitāšu veicināšanas politiku, </w:t>
            </w:r>
          </w:p>
          <w:p w14:paraId="7D6104D9" w14:textId="77777777" w:rsidR="007545BD" w:rsidRPr="009F27FD" w:rsidRDefault="007545BD" w:rsidP="00A73208">
            <w:pPr>
              <w:pStyle w:val="ListParagraph"/>
              <w:numPr>
                <w:ilvl w:val="0"/>
                <w:numId w:val="66"/>
              </w:numPr>
              <w:spacing w:after="0" w:line="240" w:lineRule="auto"/>
              <w:ind w:left="0" w:firstLine="467"/>
              <w:jc w:val="both"/>
              <w:rPr>
                <w:rFonts w:ascii="Times New Roman" w:hAnsi="Times New Roman" w:cs="Times New Roman"/>
                <w:iCs/>
                <w:sz w:val="20"/>
                <w:szCs w:val="20"/>
                <w:lang w:eastAsia="en-US" w:bidi="ar-SA"/>
              </w:rPr>
            </w:pPr>
            <w:r w:rsidRPr="009F27FD">
              <w:rPr>
                <w:rFonts w:ascii="Times New Roman" w:hAnsi="Times New Roman" w:cs="Times New Roman"/>
                <w:iCs/>
                <w:sz w:val="20"/>
                <w:szCs w:val="20"/>
                <w:lang w:eastAsia="en-US" w:bidi="ar-SA"/>
              </w:rPr>
              <w:t xml:space="preserve">1.3. - Mazināt dažāda veida atkarību izraisošo vielu lietošanu un procesu atkarības, īstenojot vienotu atkarību mazināšanas politiku, </w:t>
            </w:r>
          </w:p>
          <w:p w14:paraId="0E0402DB" w14:textId="77777777" w:rsidR="007545BD" w:rsidRPr="009F27FD" w:rsidRDefault="007545BD" w:rsidP="00A73208">
            <w:pPr>
              <w:pStyle w:val="ListParagraph"/>
              <w:numPr>
                <w:ilvl w:val="0"/>
                <w:numId w:val="66"/>
              </w:numPr>
              <w:spacing w:after="0" w:line="240" w:lineRule="auto"/>
              <w:ind w:left="0" w:firstLine="467"/>
              <w:jc w:val="both"/>
              <w:rPr>
                <w:rFonts w:ascii="Times New Roman" w:hAnsi="Times New Roman" w:cs="Times New Roman"/>
                <w:iCs/>
                <w:sz w:val="20"/>
                <w:szCs w:val="20"/>
                <w:lang w:eastAsia="en-US" w:bidi="ar-SA"/>
              </w:rPr>
            </w:pPr>
            <w:r w:rsidRPr="009F27FD">
              <w:rPr>
                <w:rFonts w:ascii="Times New Roman" w:hAnsi="Times New Roman" w:cs="Times New Roman"/>
                <w:iCs/>
                <w:sz w:val="20"/>
                <w:szCs w:val="20"/>
                <w:lang w:eastAsia="en-US" w:bidi="ar-SA"/>
              </w:rPr>
              <w:t>1.4. - Uzlabot iedzīvotāju seksuālo un reproduktīvo veselību, īstenojot vienotu seksuālās un reproduktīvās veselības veicināšanas politiku</w:t>
            </w:r>
            <w:r w:rsidRPr="00216FF0">
              <w:rPr>
                <w:rFonts w:ascii="Times New Roman" w:hAnsi="Times New Roman" w:cs="Times New Roman"/>
                <w:sz w:val="20"/>
                <w:szCs w:val="20"/>
                <w:shd w:val="clear" w:color="auto" w:fill="FFFFFF"/>
              </w:rPr>
              <w:t xml:space="preserve"> </w:t>
            </w:r>
            <w:r w:rsidRPr="009F27FD">
              <w:rPr>
                <w:rFonts w:ascii="Times New Roman" w:hAnsi="Times New Roman" w:cs="Times New Roman"/>
                <w:iCs/>
                <w:sz w:val="20"/>
                <w:szCs w:val="20"/>
                <w:lang w:eastAsia="en-US" w:bidi="ar-SA"/>
              </w:rPr>
              <w:t xml:space="preserve">sabiedrībā, </w:t>
            </w:r>
          </w:p>
          <w:p w14:paraId="4AEE3A8A" w14:textId="77777777" w:rsidR="007545BD" w:rsidRPr="009F27FD" w:rsidRDefault="007545BD" w:rsidP="00A73208">
            <w:pPr>
              <w:pStyle w:val="ListParagraph"/>
              <w:numPr>
                <w:ilvl w:val="0"/>
                <w:numId w:val="66"/>
              </w:numPr>
              <w:spacing w:after="0" w:line="240" w:lineRule="auto"/>
              <w:ind w:left="0" w:firstLine="467"/>
              <w:jc w:val="both"/>
              <w:rPr>
                <w:rFonts w:ascii="Times New Roman" w:hAnsi="Times New Roman" w:cs="Times New Roman"/>
                <w:iCs/>
                <w:sz w:val="20"/>
                <w:szCs w:val="20"/>
                <w:lang w:eastAsia="en-US" w:bidi="ar-SA"/>
              </w:rPr>
            </w:pPr>
            <w:r w:rsidRPr="009F27FD">
              <w:rPr>
                <w:rFonts w:ascii="Times New Roman" w:hAnsi="Times New Roman" w:cs="Times New Roman"/>
                <w:iCs/>
                <w:sz w:val="20"/>
                <w:szCs w:val="20"/>
                <w:lang w:eastAsia="en-US" w:bidi="ar-SA"/>
              </w:rPr>
              <w:t xml:space="preserve">1.5. - Uzlabot iedzīvotāju psihoemocionālo labklājību, īstenojot vienotu psihiskās veselības politiku sabiedrībā, </w:t>
            </w:r>
          </w:p>
          <w:p w14:paraId="304895B4" w14:textId="77777777" w:rsidR="007545BD" w:rsidRPr="009F27FD" w:rsidRDefault="007545BD" w:rsidP="00A73208">
            <w:pPr>
              <w:pStyle w:val="ListParagraph"/>
              <w:numPr>
                <w:ilvl w:val="0"/>
                <w:numId w:val="66"/>
              </w:numPr>
              <w:spacing w:after="0" w:line="240" w:lineRule="auto"/>
              <w:ind w:left="0" w:firstLine="467"/>
              <w:jc w:val="both"/>
              <w:rPr>
                <w:rFonts w:ascii="Times New Roman" w:hAnsi="Times New Roman" w:cs="Times New Roman"/>
                <w:iCs/>
                <w:sz w:val="20"/>
                <w:szCs w:val="20"/>
                <w:lang w:eastAsia="en-US" w:bidi="ar-SA"/>
              </w:rPr>
            </w:pPr>
            <w:r w:rsidRPr="009F27FD">
              <w:rPr>
                <w:rFonts w:ascii="Times New Roman" w:hAnsi="Times New Roman" w:cs="Times New Roman"/>
                <w:iCs/>
                <w:sz w:val="20"/>
                <w:szCs w:val="20"/>
                <w:lang w:eastAsia="en-US" w:bidi="ar-SA"/>
              </w:rPr>
              <w:t xml:space="preserve">1.7. - Veicināt veselīgu un drošu dzīves un darba vidi, mazinot traumatismu un mirstību no ārējiem nāves cēloņiem, </w:t>
            </w:r>
          </w:p>
          <w:p w14:paraId="6BA3DE80" w14:textId="77777777" w:rsidR="007545BD" w:rsidRPr="009F27FD" w:rsidRDefault="007545BD" w:rsidP="00A73208">
            <w:pPr>
              <w:pStyle w:val="ListParagraph"/>
              <w:numPr>
                <w:ilvl w:val="0"/>
                <w:numId w:val="66"/>
              </w:numPr>
              <w:spacing w:after="0" w:line="240" w:lineRule="auto"/>
              <w:ind w:left="0" w:firstLine="467"/>
              <w:jc w:val="both"/>
              <w:rPr>
                <w:rFonts w:ascii="Times New Roman" w:hAnsi="Times New Roman" w:cs="Times New Roman"/>
                <w:iCs/>
                <w:sz w:val="20"/>
                <w:szCs w:val="20"/>
                <w:lang w:eastAsia="en-US" w:bidi="ar-SA"/>
              </w:rPr>
            </w:pPr>
            <w:r w:rsidRPr="009F27FD">
              <w:rPr>
                <w:rFonts w:ascii="Times New Roman" w:hAnsi="Times New Roman" w:cs="Times New Roman"/>
                <w:iCs/>
                <w:sz w:val="20"/>
                <w:szCs w:val="20"/>
                <w:lang w:eastAsia="en-US" w:bidi="ar-SA"/>
              </w:rPr>
              <w:t xml:space="preserve">2.1. - Palielināt vakcinācijas aptveri un novērst vakcīnu apgādes traucējumu ietekmi uz vakcināciju, </w:t>
            </w:r>
          </w:p>
          <w:p w14:paraId="089BB29D" w14:textId="77777777" w:rsidR="007545BD" w:rsidRPr="009F27FD" w:rsidRDefault="007545BD" w:rsidP="00A73208">
            <w:pPr>
              <w:pStyle w:val="ListParagraph"/>
              <w:numPr>
                <w:ilvl w:val="0"/>
                <w:numId w:val="66"/>
              </w:numPr>
              <w:spacing w:after="0" w:line="240" w:lineRule="auto"/>
              <w:ind w:left="0" w:firstLine="467"/>
              <w:jc w:val="both"/>
              <w:rPr>
                <w:rFonts w:ascii="Times New Roman" w:hAnsi="Times New Roman" w:cs="Times New Roman"/>
                <w:iCs/>
                <w:sz w:val="20"/>
                <w:szCs w:val="20"/>
                <w:lang w:eastAsia="en-US" w:bidi="ar-SA"/>
              </w:rPr>
            </w:pPr>
            <w:r w:rsidRPr="009F27FD">
              <w:rPr>
                <w:rFonts w:ascii="Times New Roman" w:hAnsi="Times New Roman" w:cs="Times New Roman"/>
                <w:iCs/>
                <w:sz w:val="20"/>
                <w:szCs w:val="20"/>
                <w:lang w:eastAsia="en-US" w:bidi="ar-SA"/>
              </w:rPr>
              <w:t>3.3.2. - Veicināt veselības komunikācijas</w:t>
            </w:r>
            <w:r w:rsidRPr="00216FF0">
              <w:rPr>
                <w:rFonts w:ascii="Times New Roman" w:hAnsi="Times New Roman" w:cs="Times New Roman"/>
                <w:sz w:val="20"/>
                <w:szCs w:val="20"/>
                <w:shd w:val="clear" w:color="auto" w:fill="FFFFFF"/>
              </w:rPr>
              <w:t xml:space="preserve"> </w:t>
            </w:r>
            <w:r w:rsidRPr="009F27FD">
              <w:rPr>
                <w:rFonts w:ascii="Times New Roman" w:hAnsi="Times New Roman" w:cs="Times New Roman"/>
                <w:iCs/>
                <w:sz w:val="20"/>
                <w:szCs w:val="20"/>
                <w:lang w:eastAsia="en-US" w:bidi="ar-SA"/>
              </w:rPr>
              <w:t xml:space="preserve">un iedzīvotāju veselībpratības pilnveidošanu, tā paaugstinot iedzīvotāju rūpes par savu veselību, </w:t>
            </w:r>
          </w:p>
          <w:p w14:paraId="581FE9E8" w14:textId="77777777" w:rsidR="007545BD" w:rsidRPr="009F27FD" w:rsidRDefault="007545BD" w:rsidP="00A73208">
            <w:pPr>
              <w:pStyle w:val="ListParagraph"/>
              <w:numPr>
                <w:ilvl w:val="0"/>
                <w:numId w:val="66"/>
              </w:numPr>
              <w:spacing w:after="0" w:line="240" w:lineRule="auto"/>
              <w:ind w:left="0" w:firstLine="467"/>
              <w:jc w:val="both"/>
              <w:rPr>
                <w:rFonts w:ascii="Times New Roman" w:hAnsi="Times New Roman" w:cs="Times New Roman"/>
                <w:iCs/>
                <w:sz w:val="20"/>
                <w:szCs w:val="20"/>
                <w:lang w:eastAsia="en-US" w:bidi="ar-SA"/>
              </w:rPr>
            </w:pPr>
            <w:r w:rsidRPr="009F27FD">
              <w:rPr>
                <w:rFonts w:ascii="Times New Roman" w:hAnsi="Times New Roman" w:cs="Times New Roman"/>
                <w:iCs/>
                <w:sz w:val="20"/>
                <w:szCs w:val="20"/>
                <w:lang w:eastAsia="en-US" w:bidi="ar-SA"/>
              </w:rPr>
              <w:t>5.7.1. - Attīstīt ģimenes ārstu, zobārstniecības prakšu un primārās veselības aprūpes centru infrastruktūru (ēku atjaunošana, pārbūve, būvniecība un aprīkošana, automašīnu iegāde primārās veselības aprūpes centriem),</w:t>
            </w:r>
          </w:p>
          <w:p w14:paraId="5B5D3DF3" w14:textId="77777777" w:rsidR="007545BD" w:rsidRPr="009F27FD" w:rsidRDefault="007545BD" w:rsidP="00A73208">
            <w:pPr>
              <w:pStyle w:val="ListParagraph"/>
              <w:numPr>
                <w:ilvl w:val="0"/>
                <w:numId w:val="66"/>
              </w:numPr>
              <w:spacing w:after="0" w:line="240" w:lineRule="auto"/>
              <w:ind w:left="0" w:firstLine="467"/>
              <w:jc w:val="both"/>
              <w:rPr>
                <w:rFonts w:ascii="Times New Roman" w:hAnsi="Times New Roman" w:cs="Times New Roman"/>
                <w:iCs/>
                <w:sz w:val="20"/>
                <w:szCs w:val="20"/>
                <w:lang w:eastAsia="en-US" w:bidi="ar-SA"/>
              </w:rPr>
            </w:pPr>
            <w:r w:rsidRPr="009F27FD">
              <w:rPr>
                <w:rFonts w:ascii="Times New Roman" w:hAnsi="Times New Roman" w:cs="Times New Roman"/>
                <w:iCs/>
                <w:sz w:val="20"/>
                <w:szCs w:val="20"/>
                <w:lang w:eastAsia="en-US" w:bidi="ar-SA"/>
              </w:rPr>
              <w:t>5.7.3. - Attīstīt ārstniecības iestāžu infrastruktūru hroniski slimo un nedziedināmi slimo pacientu aprūpei, t.sk., HOSPICE pakalpojumu nodrošināšanai (ēku atjaunošana, pārbūve, būvniecība, vides pieejamības nodrošināšana, medicīnas ierīču un aprīkojuma iegāde),</w:t>
            </w:r>
          </w:p>
          <w:p w14:paraId="231E76DC" w14:textId="77777777" w:rsidR="007545BD" w:rsidRPr="00C41EB8" w:rsidRDefault="007545BD" w:rsidP="00A73208">
            <w:pPr>
              <w:pStyle w:val="ListParagraph"/>
              <w:numPr>
                <w:ilvl w:val="0"/>
                <w:numId w:val="66"/>
              </w:numPr>
              <w:spacing w:after="0" w:line="240" w:lineRule="auto"/>
              <w:ind w:left="0" w:firstLine="467"/>
              <w:jc w:val="both"/>
              <w:rPr>
                <w:rFonts w:ascii="Times New Roman" w:eastAsia="Times New Roman" w:hAnsi="Times New Roman" w:cs="Times New Roman"/>
                <w:iCs/>
                <w:noProof/>
                <w:sz w:val="20"/>
                <w:szCs w:val="20"/>
              </w:rPr>
            </w:pPr>
            <w:r w:rsidRPr="009F27FD">
              <w:rPr>
                <w:rFonts w:ascii="Times New Roman" w:hAnsi="Times New Roman" w:cs="Times New Roman"/>
                <w:iCs/>
                <w:sz w:val="20"/>
                <w:szCs w:val="20"/>
                <w:lang w:eastAsia="en-US" w:bidi="ar-SA"/>
              </w:rPr>
              <w:t>5.7.5. - Attīstīt psihiatrijas profila ārstniecības iestāžu infrastruktūru – ēku atjaunošana, pārbūve, būvniecība, vides pieejamības nodrošināšana, medicīnas ierīču  un aprīkojuma iegāde</w:t>
            </w:r>
          </w:p>
        </w:tc>
      </w:tr>
    </w:tbl>
    <w:p w14:paraId="22CC2B27" w14:textId="77777777" w:rsidR="00AC212B" w:rsidRPr="00930237" w:rsidRDefault="00AC212B" w:rsidP="00AC212B">
      <w:pPr>
        <w:spacing w:before="0" w:after="0"/>
        <w:rPr>
          <w:rFonts w:eastAsia="Times New Roman"/>
          <w:b/>
          <w:iCs/>
          <w:noProof/>
          <w:sz w:val="20"/>
        </w:rPr>
      </w:pPr>
    </w:p>
    <w:p w14:paraId="0DA04938" w14:textId="77777777" w:rsidR="00AC212B" w:rsidRPr="00930237" w:rsidRDefault="00AC212B" w:rsidP="00AC212B">
      <w:pPr>
        <w:rPr>
          <w:rFonts w:eastAsia="Times New Roman"/>
          <w:sz w:val="20"/>
        </w:rPr>
        <w:sectPr w:rsidR="00AC212B" w:rsidRPr="00930237" w:rsidSect="00710DDA">
          <w:headerReference w:type="even" r:id="rId157"/>
          <w:headerReference w:type="default" r:id="rId158"/>
          <w:footerReference w:type="even" r:id="rId159"/>
          <w:footerReference w:type="default" r:id="rId160"/>
          <w:headerReference w:type="first" r:id="rId161"/>
          <w:footerReference w:type="first" r:id="rId162"/>
          <w:pgSz w:w="16838" w:h="11906" w:orient="landscape" w:code="9"/>
          <w:pgMar w:top="1134" w:right="851" w:bottom="851" w:left="1134" w:header="709" w:footer="709" w:gutter="0"/>
          <w:cols w:space="708"/>
          <w:titlePg/>
          <w:docGrid w:linePitch="360"/>
        </w:sectPr>
      </w:pPr>
    </w:p>
    <w:p w14:paraId="592598D9" w14:textId="77777777" w:rsidR="00AC212B" w:rsidRPr="00930237" w:rsidRDefault="00AC212B" w:rsidP="00AC212B">
      <w:pPr>
        <w:spacing w:before="0" w:after="0"/>
        <w:rPr>
          <w:rFonts w:eastAsia="Times New Roman"/>
          <w:b/>
          <w:iCs/>
          <w:noProof/>
          <w:sz w:val="20"/>
        </w:rPr>
      </w:pPr>
    </w:p>
    <w:p w14:paraId="12659CD1" w14:textId="0C8FFDCF" w:rsidR="00AC212B" w:rsidRPr="00930237" w:rsidRDefault="00AC212B" w:rsidP="007545BD">
      <w:pPr>
        <w:pStyle w:val="Heading2"/>
        <w:numPr>
          <w:ilvl w:val="0"/>
          <w:numId w:val="41"/>
        </w:numPr>
        <w:spacing w:after="0"/>
        <w:rPr>
          <w:iCs/>
          <w:noProof/>
          <w:szCs w:val="24"/>
        </w:rPr>
      </w:pPr>
      <w:bookmarkStart w:id="62" w:name="_Toc69125434"/>
      <w:r w:rsidRPr="00930237">
        <w:rPr>
          <w:noProof/>
          <w:szCs w:val="24"/>
        </w:rPr>
        <w:t>Programmā iesaistītās iestādes</w:t>
      </w:r>
      <w:bookmarkEnd w:id="62"/>
      <w:r w:rsidRPr="00930237">
        <w:rPr>
          <w:noProof/>
          <w:szCs w:val="24"/>
        </w:rPr>
        <w:t xml:space="preserve"> </w:t>
      </w:r>
    </w:p>
    <w:p w14:paraId="5F3DCB8D" w14:textId="77777777" w:rsidR="00AC212B" w:rsidRPr="00930237" w:rsidRDefault="00AC212B" w:rsidP="00AC212B">
      <w:pPr>
        <w:spacing w:before="0" w:after="0"/>
        <w:rPr>
          <w:i/>
          <w:noProof/>
          <w:color w:val="FF0000"/>
          <w:sz w:val="20"/>
        </w:rPr>
      </w:pPr>
    </w:p>
    <w:p w14:paraId="60B6C0F4" w14:textId="12C6F89A" w:rsidR="00AC212B" w:rsidRPr="00841F32" w:rsidRDefault="00187D78" w:rsidP="00AC212B">
      <w:pPr>
        <w:pStyle w:val="Heading4"/>
        <w:numPr>
          <w:ilvl w:val="0"/>
          <w:numId w:val="0"/>
        </w:numPr>
        <w:spacing w:after="0"/>
        <w:rPr>
          <w:b/>
          <w:noProof/>
          <w:sz w:val="20"/>
        </w:rPr>
      </w:pPr>
      <w:r>
        <w:rPr>
          <w:b/>
          <w:noProof/>
          <w:sz w:val="20"/>
        </w:rPr>
        <w:t>29.tabula (</w:t>
      </w:r>
      <w:r w:rsidR="00AC212B" w:rsidRPr="00841F32">
        <w:rPr>
          <w:b/>
          <w:noProof/>
          <w:sz w:val="20"/>
        </w:rPr>
        <w:t>13</w:t>
      </w:r>
      <w:r>
        <w:rPr>
          <w:b/>
          <w:noProof/>
          <w:sz w:val="20"/>
        </w:rPr>
        <w:t>)</w:t>
      </w:r>
      <w:r w:rsidR="00AC212B" w:rsidRPr="00841F32">
        <w:rPr>
          <w:b/>
          <w:noProof/>
          <w:sz w:val="20"/>
        </w:rPr>
        <w:t xml:space="preserve"> Programmā iesaistītās iestādes</w:t>
      </w:r>
    </w:p>
    <w:p w14:paraId="5E153D96" w14:textId="77777777" w:rsidR="00AC212B" w:rsidRPr="00930237" w:rsidRDefault="00AC212B" w:rsidP="00AC212B">
      <w:pPr>
        <w:spacing w:before="0" w:after="0"/>
        <w:rPr>
          <w:rFonts w:eastAsia="Times New Roman"/>
          <w:b/>
          <w:i/>
          <w:iCs/>
          <w:noProof/>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559"/>
        <w:gridCol w:w="2325"/>
        <w:gridCol w:w="2772"/>
      </w:tblGrid>
      <w:tr w:rsidR="00AC212B" w:rsidRPr="00930237" w14:paraId="3DFA85A5" w14:textId="77777777" w:rsidTr="002D68D1">
        <w:tc>
          <w:tcPr>
            <w:tcW w:w="2972" w:type="dxa"/>
            <w:shd w:val="clear" w:color="auto" w:fill="BFBFBF" w:themeFill="background1" w:themeFillShade="BF"/>
            <w:vAlign w:val="center"/>
          </w:tcPr>
          <w:p w14:paraId="6FE88160" w14:textId="77777777" w:rsidR="00AC212B" w:rsidRPr="00930237" w:rsidRDefault="00AC212B" w:rsidP="00710DDA">
            <w:pPr>
              <w:spacing w:before="0" w:after="0"/>
              <w:jc w:val="center"/>
              <w:rPr>
                <w:b/>
                <w:noProof/>
                <w:sz w:val="20"/>
              </w:rPr>
            </w:pPr>
            <w:r w:rsidRPr="00930237">
              <w:rPr>
                <w:b/>
                <w:noProof/>
                <w:sz w:val="20"/>
              </w:rPr>
              <w:t>Programmā iesaistītās iestādes</w:t>
            </w:r>
          </w:p>
        </w:tc>
        <w:tc>
          <w:tcPr>
            <w:tcW w:w="1559" w:type="dxa"/>
            <w:shd w:val="clear" w:color="auto" w:fill="BFBFBF" w:themeFill="background1" w:themeFillShade="BF"/>
            <w:vAlign w:val="center"/>
          </w:tcPr>
          <w:p w14:paraId="45B83091" w14:textId="77777777" w:rsidR="00AC212B" w:rsidRPr="00930237" w:rsidRDefault="00AC212B" w:rsidP="00710DDA">
            <w:pPr>
              <w:spacing w:before="0" w:after="0"/>
              <w:jc w:val="center"/>
              <w:rPr>
                <w:b/>
                <w:noProof/>
                <w:sz w:val="20"/>
              </w:rPr>
            </w:pPr>
            <w:r w:rsidRPr="00930237">
              <w:rPr>
                <w:b/>
                <w:noProof/>
                <w:sz w:val="20"/>
              </w:rPr>
              <w:t>Iestādes nosaukums</w:t>
            </w:r>
          </w:p>
        </w:tc>
        <w:tc>
          <w:tcPr>
            <w:tcW w:w="2325" w:type="dxa"/>
            <w:shd w:val="clear" w:color="auto" w:fill="BFBFBF" w:themeFill="background1" w:themeFillShade="BF"/>
            <w:vAlign w:val="center"/>
          </w:tcPr>
          <w:p w14:paraId="462C0BB5" w14:textId="77777777" w:rsidR="00AC212B" w:rsidRPr="00930237" w:rsidRDefault="00AC212B" w:rsidP="00710DDA">
            <w:pPr>
              <w:spacing w:before="0" w:after="0"/>
              <w:jc w:val="center"/>
              <w:rPr>
                <w:b/>
                <w:noProof/>
                <w:sz w:val="20"/>
              </w:rPr>
            </w:pPr>
            <w:r w:rsidRPr="00930237">
              <w:rPr>
                <w:b/>
                <w:noProof/>
                <w:sz w:val="20"/>
              </w:rPr>
              <w:t>Kontaktpersonas vārds, uzvārds</w:t>
            </w:r>
          </w:p>
          <w:p w14:paraId="22CA0136" w14:textId="77777777" w:rsidR="00AC212B" w:rsidRPr="00930237" w:rsidRDefault="00AC212B" w:rsidP="00710DDA">
            <w:pPr>
              <w:spacing w:before="0" w:after="0"/>
              <w:jc w:val="center"/>
              <w:rPr>
                <w:b/>
                <w:noProof/>
                <w:sz w:val="20"/>
              </w:rPr>
            </w:pPr>
          </w:p>
        </w:tc>
        <w:tc>
          <w:tcPr>
            <w:tcW w:w="2772" w:type="dxa"/>
            <w:shd w:val="clear" w:color="auto" w:fill="BFBFBF" w:themeFill="background1" w:themeFillShade="BF"/>
            <w:vAlign w:val="center"/>
          </w:tcPr>
          <w:p w14:paraId="3A9D4205" w14:textId="77777777" w:rsidR="00AC212B" w:rsidRPr="00930237" w:rsidRDefault="00AC212B" w:rsidP="00710DDA">
            <w:pPr>
              <w:spacing w:before="0" w:after="0"/>
              <w:jc w:val="center"/>
              <w:rPr>
                <w:b/>
                <w:noProof/>
                <w:sz w:val="20"/>
              </w:rPr>
            </w:pPr>
            <w:r w:rsidRPr="00930237">
              <w:rPr>
                <w:b/>
                <w:noProof/>
                <w:sz w:val="20"/>
              </w:rPr>
              <w:t>E-pasts</w:t>
            </w:r>
          </w:p>
        </w:tc>
      </w:tr>
      <w:tr w:rsidR="00AC212B" w:rsidRPr="00930237" w14:paraId="64432808" w14:textId="77777777" w:rsidTr="002D68D1">
        <w:tc>
          <w:tcPr>
            <w:tcW w:w="2972" w:type="dxa"/>
          </w:tcPr>
          <w:p w14:paraId="4EE5DDE3" w14:textId="77777777" w:rsidR="00AC212B" w:rsidRPr="00930237" w:rsidRDefault="00AC212B" w:rsidP="00710DDA">
            <w:pPr>
              <w:spacing w:before="0" w:after="0"/>
              <w:rPr>
                <w:noProof/>
                <w:sz w:val="20"/>
              </w:rPr>
            </w:pPr>
            <w:r w:rsidRPr="00930237">
              <w:rPr>
                <w:noProof/>
                <w:sz w:val="20"/>
              </w:rPr>
              <w:t>Vadošā iestāde</w:t>
            </w:r>
          </w:p>
        </w:tc>
        <w:tc>
          <w:tcPr>
            <w:tcW w:w="1559" w:type="dxa"/>
          </w:tcPr>
          <w:p w14:paraId="637E2A39" w14:textId="77777777" w:rsidR="00AC212B" w:rsidRPr="00930237" w:rsidRDefault="00AC212B" w:rsidP="00710DDA">
            <w:pPr>
              <w:spacing w:before="0" w:after="0"/>
              <w:jc w:val="center"/>
              <w:rPr>
                <w:noProof/>
                <w:sz w:val="20"/>
              </w:rPr>
            </w:pPr>
            <w:r w:rsidRPr="00930237">
              <w:rPr>
                <w:noProof/>
                <w:sz w:val="20"/>
              </w:rPr>
              <w:t>Finanšu ministrija</w:t>
            </w:r>
          </w:p>
        </w:tc>
        <w:tc>
          <w:tcPr>
            <w:tcW w:w="2325" w:type="dxa"/>
          </w:tcPr>
          <w:p w14:paraId="7A26C7F6" w14:textId="77777777" w:rsidR="00AC212B" w:rsidRPr="00930237" w:rsidRDefault="00AC212B" w:rsidP="00710DDA">
            <w:pPr>
              <w:spacing w:before="0" w:after="0"/>
              <w:jc w:val="center"/>
              <w:rPr>
                <w:noProof/>
                <w:sz w:val="20"/>
              </w:rPr>
            </w:pPr>
            <w:r w:rsidRPr="00930237">
              <w:rPr>
                <w:noProof/>
                <w:sz w:val="20"/>
              </w:rPr>
              <w:t>Armands Eberhards, Valsts sekretāra vietnieks ESSFKF jautājumos</w:t>
            </w:r>
          </w:p>
        </w:tc>
        <w:tc>
          <w:tcPr>
            <w:tcW w:w="2772" w:type="dxa"/>
          </w:tcPr>
          <w:p w14:paraId="3CD220DA" w14:textId="77777777" w:rsidR="00AC212B" w:rsidRPr="00930237" w:rsidRDefault="009A507A" w:rsidP="00710DDA">
            <w:pPr>
              <w:spacing w:before="0" w:after="0"/>
              <w:jc w:val="center"/>
              <w:rPr>
                <w:noProof/>
                <w:sz w:val="20"/>
              </w:rPr>
            </w:pPr>
            <w:hyperlink r:id="rId163" w:history="1">
              <w:r w:rsidR="00AC212B" w:rsidRPr="00930237">
                <w:rPr>
                  <w:rStyle w:val="Hyperlink"/>
                  <w:noProof/>
                  <w:sz w:val="20"/>
                </w:rPr>
                <w:t>Armands.Eberhards@fm.gov.lv</w:t>
              </w:r>
            </w:hyperlink>
          </w:p>
        </w:tc>
      </w:tr>
      <w:tr w:rsidR="00AC212B" w:rsidRPr="00930237" w14:paraId="2CB04C82" w14:textId="77777777" w:rsidTr="002D68D1">
        <w:tc>
          <w:tcPr>
            <w:tcW w:w="2972" w:type="dxa"/>
          </w:tcPr>
          <w:p w14:paraId="7F6396C4" w14:textId="77777777" w:rsidR="00AC212B" w:rsidRPr="00930237" w:rsidRDefault="00AC212B" w:rsidP="00710DDA">
            <w:pPr>
              <w:spacing w:before="0" w:after="0"/>
              <w:rPr>
                <w:noProof/>
                <w:sz w:val="20"/>
              </w:rPr>
            </w:pPr>
            <w:r w:rsidRPr="00930237">
              <w:rPr>
                <w:noProof/>
                <w:sz w:val="20"/>
              </w:rPr>
              <w:t>Revīzijas iestāde</w:t>
            </w:r>
          </w:p>
        </w:tc>
        <w:tc>
          <w:tcPr>
            <w:tcW w:w="1559" w:type="dxa"/>
          </w:tcPr>
          <w:p w14:paraId="2A9BD192" w14:textId="77777777" w:rsidR="00AC212B" w:rsidRPr="00930237" w:rsidRDefault="00AC212B" w:rsidP="00710DDA">
            <w:pPr>
              <w:spacing w:before="0" w:after="0"/>
              <w:jc w:val="center"/>
              <w:rPr>
                <w:noProof/>
                <w:sz w:val="20"/>
              </w:rPr>
            </w:pPr>
            <w:r w:rsidRPr="00930237">
              <w:rPr>
                <w:noProof/>
                <w:sz w:val="20"/>
              </w:rPr>
              <w:t>Finanšu ministrija</w:t>
            </w:r>
          </w:p>
        </w:tc>
        <w:tc>
          <w:tcPr>
            <w:tcW w:w="2325" w:type="dxa"/>
          </w:tcPr>
          <w:p w14:paraId="36C384F6" w14:textId="77777777" w:rsidR="00AC212B" w:rsidRPr="00930237" w:rsidRDefault="00AC212B" w:rsidP="00710DDA">
            <w:pPr>
              <w:spacing w:before="0" w:after="0"/>
              <w:jc w:val="center"/>
              <w:rPr>
                <w:noProof/>
                <w:sz w:val="20"/>
              </w:rPr>
            </w:pPr>
            <w:r w:rsidRPr="00930237">
              <w:rPr>
                <w:noProof/>
                <w:sz w:val="20"/>
              </w:rPr>
              <w:t>Nata Lasmane, ES fondu revīzijas departamenta direktore</w:t>
            </w:r>
          </w:p>
          <w:p w14:paraId="05D0B0AE" w14:textId="77777777" w:rsidR="00AC212B" w:rsidRPr="00930237" w:rsidRDefault="00AC212B" w:rsidP="00710DDA">
            <w:pPr>
              <w:spacing w:before="0" w:after="0"/>
              <w:jc w:val="center"/>
              <w:rPr>
                <w:noProof/>
                <w:sz w:val="20"/>
              </w:rPr>
            </w:pPr>
          </w:p>
        </w:tc>
        <w:tc>
          <w:tcPr>
            <w:tcW w:w="2772" w:type="dxa"/>
          </w:tcPr>
          <w:p w14:paraId="3216B87C" w14:textId="77777777" w:rsidR="00AC212B" w:rsidRPr="00930237" w:rsidRDefault="009A507A" w:rsidP="00710DDA">
            <w:pPr>
              <w:spacing w:before="0" w:after="0"/>
              <w:jc w:val="center"/>
              <w:rPr>
                <w:noProof/>
                <w:sz w:val="20"/>
              </w:rPr>
            </w:pPr>
            <w:hyperlink r:id="rId164" w:history="1">
              <w:r w:rsidR="00AC212B" w:rsidRPr="00930237">
                <w:rPr>
                  <w:rStyle w:val="Hyperlink"/>
                  <w:noProof/>
                  <w:sz w:val="20"/>
                </w:rPr>
                <w:t>Nata.Lasmane@fm.gov.lv</w:t>
              </w:r>
            </w:hyperlink>
          </w:p>
        </w:tc>
      </w:tr>
      <w:tr w:rsidR="00AC212B" w:rsidRPr="00930237" w14:paraId="3B4E5B83" w14:textId="77777777" w:rsidTr="002D68D1">
        <w:tc>
          <w:tcPr>
            <w:tcW w:w="2972" w:type="dxa"/>
          </w:tcPr>
          <w:p w14:paraId="0273DA71" w14:textId="77777777" w:rsidR="00AC212B" w:rsidRPr="00930237" w:rsidRDefault="00AC212B" w:rsidP="00710DDA">
            <w:pPr>
              <w:spacing w:before="0" w:after="0"/>
              <w:rPr>
                <w:noProof/>
                <w:sz w:val="20"/>
              </w:rPr>
            </w:pPr>
            <w:r w:rsidRPr="00930237">
              <w:rPr>
                <w:noProof/>
                <w:sz w:val="20"/>
              </w:rPr>
              <w:t>Struktūra, kas saņem maksājumus no Komisijas</w:t>
            </w:r>
          </w:p>
        </w:tc>
        <w:tc>
          <w:tcPr>
            <w:tcW w:w="1559" w:type="dxa"/>
          </w:tcPr>
          <w:p w14:paraId="318FD1E8" w14:textId="77777777" w:rsidR="00AC212B" w:rsidRPr="00930237" w:rsidRDefault="00AC212B" w:rsidP="00710DDA">
            <w:pPr>
              <w:spacing w:before="0" w:after="0"/>
              <w:jc w:val="center"/>
              <w:rPr>
                <w:noProof/>
                <w:sz w:val="20"/>
              </w:rPr>
            </w:pPr>
            <w:r w:rsidRPr="00930237">
              <w:rPr>
                <w:noProof/>
                <w:sz w:val="20"/>
              </w:rPr>
              <w:t>Valsts kase</w:t>
            </w:r>
          </w:p>
        </w:tc>
        <w:tc>
          <w:tcPr>
            <w:tcW w:w="2325" w:type="dxa"/>
          </w:tcPr>
          <w:p w14:paraId="7574753E" w14:textId="77777777" w:rsidR="00AC212B" w:rsidRPr="00930237" w:rsidRDefault="00AC212B" w:rsidP="00710DDA">
            <w:pPr>
              <w:spacing w:before="0" w:after="0"/>
              <w:jc w:val="center"/>
              <w:rPr>
                <w:noProof/>
                <w:sz w:val="20"/>
              </w:rPr>
            </w:pPr>
            <w:r w:rsidRPr="00930237">
              <w:rPr>
                <w:noProof/>
                <w:sz w:val="20"/>
              </w:rPr>
              <w:t>Kaspars Āboliņš, Valsts kases pārvaldnieks</w:t>
            </w:r>
          </w:p>
        </w:tc>
        <w:tc>
          <w:tcPr>
            <w:tcW w:w="2772" w:type="dxa"/>
          </w:tcPr>
          <w:p w14:paraId="0FC2B2B4" w14:textId="77777777" w:rsidR="00AC212B" w:rsidRPr="00930237" w:rsidRDefault="009A507A" w:rsidP="00710DDA">
            <w:pPr>
              <w:spacing w:before="0" w:after="0"/>
              <w:jc w:val="center"/>
              <w:rPr>
                <w:noProof/>
                <w:sz w:val="20"/>
              </w:rPr>
            </w:pPr>
            <w:hyperlink r:id="rId165" w:history="1">
              <w:r w:rsidR="00AC212B" w:rsidRPr="00930237">
                <w:rPr>
                  <w:rStyle w:val="Hyperlink"/>
                  <w:noProof/>
                  <w:sz w:val="20"/>
                </w:rPr>
                <w:t>Kaspars.Abolins@kase.gov.lv</w:t>
              </w:r>
            </w:hyperlink>
          </w:p>
        </w:tc>
      </w:tr>
      <w:tr w:rsidR="00AC212B" w:rsidRPr="00930237" w14:paraId="3E559CBB" w14:textId="77777777" w:rsidTr="002D68D1">
        <w:tc>
          <w:tcPr>
            <w:tcW w:w="2972" w:type="dxa"/>
          </w:tcPr>
          <w:p w14:paraId="48198C4D" w14:textId="77777777" w:rsidR="00AC212B" w:rsidRPr="00930237" w:rsidRDefault="00AC212B" w:rsidP="00710DDA">
            <w:pPr>
              <w:spacing w:before="0" w:after="0"/>
              <w:rPr>
                <w:noProof/>
                <w:sz w:val="20"/>
              </w:rPr>
            </w:pPr>
            <w:r w:rsidRPr="00930237">
              <w:rPr>
                <w:noProof/>
                <w:sz w:val="20"/>
              </w:rPr>
              <w:t>Kur attiecināms, struktūra kas saņem maksājumus no Komisijas, ja Tehniskā palīdzība tiek saņemta atbilstoši KNR 30.panta (5) daļai</w:t>
            </w:r>
          </w:p>
        </w:tc>
        <w:tc>
          <w:tcPr>
            <w:tcW w:w="1559" w:type="dxa"/>
          </w:tcPr>
          <w:p w14:paraId="17284C67" w14:textId="77777777" w:rsidR="00AC212B" w:rsidRPr="00930237" w:rsidRDefault="00AC212B" w:rsidP="00710DDA">
            <w:pPr>
              <w:spacing w:before="0" w:after="0"/>
              <w:jc w:val="center"/>
              <w:rPr>
                <w:noProof/>
                <w:color w:val="FF0000"/>
                <w:sz w:val="20"/>
              </w:rPr>
            </w:pPr>
            <w:r w:rsidRPr="00930237">
              <w:rPr>
                <w:noProof/>
                <w:sz w:val="20"/>
              </w:rPr>
              <w:t>Valsts kase</w:t>
            </w:r>
          </w:p>
        </w:tc>
        <w:tc>
          <w:tcPr>
            <w:tcW w:w="2325" w:type="dxa"/>
          </w:tcPr>
          <w:p w14:paraId="0007CA83" w14:textId="77777777" w:rsidR="00AC212B" w:rsidRPr="00930237" w:rsidRDefault="00AC212B" w:rsidP="00710DDA">
            <w:pPr>
              <w:spacing w:before="0" w:after="0"/>
              <w:jc w:val="center"/>
              <w:rPr>
                <w:noProof/>
                <w:color w:val="FF0000"/>
                <w:sz w:val="20"/>
              </w:rPr>
            </w:pPr>
            <w:r w:rsidRPr="00930237">
              <w:rPr>
                <w:noProof/>
                <w:sz w:val="20"/>
              </w:rPr>
              <w:t>Kaspars Āboliņš, Valsts kases pārvaldnieks</w:t>
            </w:r>
          </w:p>
        </w:tc>
        <w:tc>
          <w:tcPr>
            <w:tcW w:w="2772" w:type="dxa"/>
          </w:tcPr>
          <w:p w14:paraId="45F0B4D1" w14:textId="77777777" w:rsidR="00AC212B" w:rsidRPr="00930237" w:rsidRDefault="009A507A" w:rsidP="00710DDA">
            <w:pPr>
              <w:spacing w:before="0" w:after="0"/>
              <w:jc w:val="center"/>
              <w:rPr>
                <w:color w:val="FF0000"/>
                <w:sz w:val="20"/>
              </w:rPr>
            </w:pPr>
            <w:hyperlink r:id="rId166" w:history="1">
              <w:r w:rsidR="00AC212B" w:rsidRPr="00930237">
                <w:rPr>
                  <w:rStyle w:val="Hyperlink"/>
                  <w:noProof/>
                  <w:sz w:val="20"/>
                </w:rPr>
                <w:t>Kaspars.Abolins@kase.gov.lv</w:t>
              </w:r>
            </w:hyperlink>
          </w:p>
        </w:tc>
      </w:tr>
      <w:tr w:rsidR="00AC212B" w:rsidRPr="00930237" w14:paraId="06D2516F" w14:textId="77777777" w:rsidTr="002D68D1">
        <w:tc>
          <w:tcPr>
            <w:tcW w:w="2972" w:type="dxa"/>
          </w:tcPr>
          <w:p w14:paraId="756A7B23" w14:textId="77777777" w:rsidR="00AC212B" w:rsidRPr="00930237" w:rsidRDefault="00AC212B" w:rsidP="00710DDA">
            <w:pPr>
              <w:spacing w:before="0" w:after="0"/>
              <w:rPr>
                <w:noProof/>
                <w:sz w:val="20"/>
              </w:rPr>
            </w:pPr>
            <w:r w:rsidRPr="00930237">
              <w:rPr>
                <w:noProof/>
                <w:sz w:val="20"/>
              </w:rPr>
              <w:t>Grāmatvedības funkcija gadījumā, ja šī funkcija ir deleģēta citai struktūrai, nevis vadošajai iestādei</w:t>
            </w:r>
          </w:p>
        </w:tc>
        <w:tc>
          <w:tcPr>
            <w:tcW w:w="1559" w:type="dxa"/>
          </w:tcPr>
          <w:p w14:paraId="1102D951" w14:textId="77777777" w:rsidR="00AC212B" w:rsidRPr="00930237" w:rsidRDefault="00AC212B" w:rsidP="00710DDA">
            <w:pPr>
              <w:spacing w:before="0" w:after="0"/>
              <w:jc w:val="center"/>
              <w:rPr>
                <w:noProof/>
                <w:color w:val="FF0000"/>
                <w:sz w:val="20"/>
              </w:rPr>
            </w:pPr>
            <w:r w:rsidRPr="00930237">
              <w:rPr>
                <w:noProof/>
                <w:sz w:val="20"/>
              </w:rPr>
              <w:t>Valsts kase</w:t>
            </w:r>
          </w:p>
        </w:tc>
        <w:tc>
          <w:tcPr>
            <w:tcW w:w="2325" w:type="dxa"/>
          </w:tcPr>
          <w:p w14:paraId="3557A59C" w14:textId="77777777" w:rsidR="00AC212B" w:rsidRPr="00930237" w:rsidRDefault="00AC212B" w:rsidP="00710DDA">
            <w:pPr>
              <w:spacing w:before="0" w:after="0"/>
              <w:jc w:val="center"/>
              <w:rPr>
                <w:noProof/>
                <w:color w:val="FF0000"/>
                <w:sz w:val="20"/>
              </w:rPr>
            </w:pPr>
            <w:r w:rsidRPr="00930237">
              <w:rPr>
                <w:noProof/>
                <w:sz w:val="20"/>
              </w:rPr>
              <w:t>Kaspars Āboliņš, Valsts kases pārvaldnieks</w:t>
            </w:r>
          </w:p>
        </w:tc>
        <w:tc>
          <w:tcPr>
            <w:tcW w:w="2772" w:type="dxa"/>
          </w:tcPr>
          <w:p w14:paraId="7E791973" w14:textId="77777777" w:rsidR="00AC212B" w:rsidRPr="00930237" w:rsidRDefault="009A507A" w:rsidP="00710DDA">
            <w:pPr>
              <w:spacing w:before="0" w:after="0"/>
              <w:jc w:val="center"/>
              <w:rPr>
                <w:color w:val="FF0000"/>
                <w:sz w:val="20"/>
              </w:rPr>
            </w:pPr>
            <w:hyperlink r:id="rId167" w:history="1">
              <w:r w:rsidR="00AC212B" w:rsidRPr="00930237">
                <w:rPr>
                  <w:rStyle w:val="Hyperlink"/>
                  <w:noProof/>
                  <w:sz w:val="20"/>
                </w:rPr>
                <w:t>Kaspars.Abolins@kase.gov.lv</w:t>
              </w:r>
            </w:hyperlink>
          </w:p>
        </w:tc>
      </w:tr>
    </w:tbl>
    <w:p w14:paraId="4D8ABE27" w14:textId="77777777" w:rsidR="00AC212B" w:rsidRPr="00930237" w:rsidRDefault="00AC212B" w:rsidP="00AC212B">
      <w:pPr>
        <w:spacing w:before="0" w:after="0"/>
        <w:rPr>
          <w:rFonts w:eastAsia="Times New Roman"/>
          <w:b/>
          <w:iCs/>
          <w:noProof/>
          <w:sz w:val="20"/>
        </w:rPr>
      </w:pPr>
    </w:p>
    <w:p w14:paraId="5EADCC29" w14:textId="77777777" w:rsidR="00AC212B" w:rsidRPr="00930237" w:rsidRDefault="00AC212B" w:rsidP="00AC212B">
      <w:pPr>
        <w:spacing w:before="0" w:after="0"/>
        <w:rPr>
          <w:rFonts w:eastAsia="Times New Roman"/>
          <w:b/>
          <w:iCs/>
          <w:noProof/>
          <w:sz w:val="20"/>
        </w:rPr>
      </w:pPr>
    </w:p>
    <w:p w14:paraId="4C7E339C" w14:textId="6D40CC21" w:rsidR="00AC212B" w:rsidRPr="00841F32" w:rsidRDefault="00686E79" w:rsidP="00AC212B">
      <w:pPr>
        <w:pStyle w:val="Heading4"/>
        <w:numPr>
          <w:ilvl w:val="0"/>
          <w:numId w:val="0"/>
        </w:numPr>
        <w:spacing w:after="0"/>
        <w:rPr>
          <w:b/>
          <w:noProof/>
          <w:color w:val="FF0000"/>
          <w:sz w:val="20"/>
        </w:rPr>
      </w:pPr>
      <w:r>
        <w:rPr>
          <w:b/>
          <w:noProof/>
          <w:sz w:val="20"/>
        </w:rPr>
        <w:t>30.tabula (</w:t>
      </w:r>
      <w:r w:rsidR="00AC212B" w:rsidRPr="00841F32">
        <w:rPr>
          <w:b/>
          <w:noProof/>
          <w:sz w:val="20"/>
        </w:rPr>
        <w:t>13bis</w:t>
      </w:r>
      <w:r>
        <w:rPr>
          <w:b/>
          <w:noProof/>
          <w:sz w:val="20"/>
        </w:rPr>
        <w:t>)</w:t>
      </w:r>
      <w:r w:rsidR="00AC212B" w:rsidRPr="00841F32">
        <w:rPr>
          <w:b/>
          <w:noProof/>
          <w:sz w:val="20"/>
        </w:rPr>
        <w:t xml:space="preserve"> Atmaksāto summu pārdalīšana tehniskajai palīdzībai saskaņā ar 30. panta 5. punktu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9"/>
        <w:gridCol w:w="2169"/>
      </w:tblGrid>
      <w:tr w:rsidR="00AC212B" w:rsidRPr="00930237" w14:paraId="7972A496" w14:textId="77777777" w:rsidTr="002D68D1">
        <w:trPr>
          <w:trHeight w:val="755"/>
        </w:trPr>
        <w:tc>
          <w:tcPr>
            <w:tcW w:w="7459" w:type="dxa"/>
          </w:tcPr>
          <w:p w14:paraId="208EC509" w14:textId="77777777" w:rsidR="00AC212B" w:rsidRPr="00930237" w:rsidRDefault="00AC212B" w:rsidP="00710D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eastAsia="Times New Roman"/>
                <w:sz w:val="20"/>
                <w:lang w:bidi="ar-SA"/>
              </w:rPr>
            </w:pPr>
            <w:r w:rsidRPr="00930237">
              <w:rPr>
                <w:rFonts w:eastAsia="Times New Roman"/>
                <w:sz w:val="20"/>
                <w:lang w:bidi="ar-SA"/>
              </w:rPr>
              <w:t>30. panta 5. punkta b) apakšpunktā noteikto procentuālo daļu daļa, kas tiktu atmaksāta iestādei, kas saņem maksājumus no Komisijas, ja tehniskā palīdzība ir sniegta saskaņā ar 30. panta 5. punktu (procentos)</w:t>
            </w:r>
          </w:p>
        </w:tc>
        <w:tc>
          <w:tcPr>
            <w:tcW w:w="2169" w:type="dxa"/>
          </w:tcPr>
          <w:p w14:paraId="2029AA30" w14:textId="77777777" w:rsidR="00AC212B" w:rsidRPr="00930237" w:rsidRDefault="00AC212B" w:rsidP="00710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eastAsia="Times New Roman"/>
                <w:sz w:val="20"/>
                <w:lang w:bidi="ar-SA"/>
              </w:rPr>
            </w:pPr>
            <w:r w:rsidRPr="00930237">
              <w:rPr>
                <w:rFonts w:eastAsia="Times New Roman"/>
                <w:i/>
                <w:sz w:val="20"/>
                <w:lang w:bidi="ar-SA"/>
              </w:rPr>
              <w:t>Procentuālā daļu daļa</w:t>
            </w:r>
          </w:p>
        </w:tc>
      </w:tr>
      <w:tr w:rsidR="00AC212B" w:rsidRPr="00930237" w14:paraId="7E55E78C" w14:textId="77777777" w:rsidTr="002D68D1">
        <w:tc>
          <w:tcPr>
            <w:tcW w:w="7459" w:type="dxa"/>
          </w:tcPr>
          <w:p w14:paraId="3E2114B0" w14:textId="77777777" w:rsidR="00AC212B" w:rsidRPr="00930237" w:rsidRDefault="00AC212B" w:rsidP="00710D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eastAsia="Times New Roman"/>
                <w:sz w:val="20"/>
                <w:lang w:bidi="ar-SA"/>
              </w:rPr>
            </w:pPr>
            <w:r w:rsidRPr="00930237">
              <w:rPr>
                <w:rFonts w:eastAsia="Times New Roman"/>
                <w:sz w:val="20"/>
                <w:lang w:bidi="ar-SA"/>
              </w:rPr>
              <w:t>Valsts kase</w:t>
            </w:r>
          </w:p>
        </w:tc>
        <w:tc>
          <w:tcPr>
            <w:tcW w:w="2169" w:type="dxa"/>
          </w:tcPr>
          <w:p w14:paraId="16238A11" w14:textId="77777777" w:rsidR="00AC212B" w:rsidRPr="00930237" w:rsidRDefault="00AC212B" w:rsidP="00710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eastAsia="Times New Roman"/>
                <w:sz w:val="20"/>
                <w:lang w:bidi="ar-SA"/>
              </w:rPr>
            </w:pPr>
            <w:r w:rsidRPr="00930237">
              <w:rPr>
                <w:rFonts w:eastAsia="Times New Roman"/>
                <w:sz w:val="20"/>
                <w:lang w:bidi="ar-SA"/>
              </w:rPr>
              <w:t>ERAF 3,5%</w:t>
            </w:r>
          </w:p>
          <w:p w14:paraId="6C7477C1" w14:textId="77777777" w:rsidR="00AC212B" w:rsidRPr="00930237" w:rsidRDefault="00AC212B" w:rsidP="00710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eastAsia="Times New Roman"/>
                <w:sz w:val="20"/>
                <w:lang w:bidi="ar-SA"/>
              </w:rPr>
            </w:pPr>
            <w:r w:rsidRPr="00930237">
              <w:rPr>
                <w:rFonts w:eastAsia="Times New Roman"/>
                <w:sz w:val="20"/>
                <w:lang w:bidi="ar-SA"/>
              </w:rPr>
              <w:t>KF 2,5%</w:t>
            </w:r>
          </w:p>
          <w:p w14:paraId="4B230F30" w14:textId="77777777" w:rsidR="00AC212B" w:rsidRPr="00930237" w:rsidRDefault="00AC212B" w:rsidP="00710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eastAsia="Times New Roman"/>
                <w:sz w:val="20"/>
                <w:lang w:bidi="ar-SA"/>
              </w:rPr>
            </w:pPr>
            <w:r w:rsidRPr="00930237">
              <w:rPr>
                <w:rFonts w:eastAsia="Times New Roman"/>
                <w:sz w:val="20"/>
                <w:lang w:bidi="ar-SA"/>
              </w:rPr>
              <w:t>ESF+ 4%</w:t>
            </w:r>
          </w:p>
          <w:p w14:paraId="1B0A89D1" w14:textId="3B2A2721" w:rsidR="00AC212B" w:rsidRPr="00930237" w:rsidRDefault="00AC212B" w:rsidP="00E44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eastAsia="Times New Roman"/>
                <w:sz w:val="20"/>
                <w:lang w:bidi="ar-SA"/>
              </w:rPr>
            </w:pPr>
            <w:r w:rsidRPr="00930237">
              <w:rPr>
                <w:rFonts w:eastAsia="Times New Roman"/>
                <w:sz w:val="20"/>
                <w:lang w:bidi="ar-SA"/>
              </w:rPr>
              <w:t xml:space="preserve">TPF </w:t>
            </w:r>
            <w:r w:rsidR="00E4432B">
              <w:rPr>
                <w:rFonts w:eastAsia="Times New Roman"/>
                <w:sz w:val="20"/>
                <w:lang w:bidi="ar-SA"/>
              </w:rPr>
              <w:t>4</w:t>
            </w:r>
            <w:r w:rsidRPr="00930237">
              <w:rPr>
                <w:rFonts w:eastAsia="Times New Roman"/>
                <w:sz w:val="20"/>
                <w:lang w:bidi="ar-SA"/>
              </w:rPr>
              <w:t>%</w:t>
            </w:r>
          </w:p>
        </w:tc>
      </w:tr>
    </w:tbl>
    <w:p w14:paraId="40A0D0C8" w14:textId="77777777" w:rsidR="00AC212B" w:rsidRPr="00930237" w:rsidRDefault="00AC212B" w:rsidP="00AC2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eastAsia="Times New Roman"/>
          <w:sz w:val="20"/>
          <w:lang w:bidi="ar-SA"/>
        </w:rPr>
      </w:pPr>
    </w:p>
    <w:p w14:paraId="74766A49" w14:textId="77777777" w:rsidR="00AC212B" w:rsidRPr="00930237" w:rsidRDefault="00AC212B" w:rsidP="00AC212B">
      <w:pPr>
        <w:spacing w:before="0" w:after="0"/>
        <w:rPr>
          <w:rFonts w:eastAsia="Times New Roman"/>
          <w:b/>
          <w:iCs/>
          <w:noProof/>
          <w:sz w:val="20"/>
        </w:rPr>
      </w:pPr>
    </w:p>
    <w:p w14:paraId="7DD8665B" w14:textId="1C420725" w:rsidR="00AC212B" w:rsidRPr="00930237" w:rsidRDefault="00AC212B" w:rsidP="007545BD">
      <w:pPr>
        <w:pStyle w:val="Heading2"/>
        <w:numPr>
          <w:ilvl w:val="0"/>
          <w:numId w:val="41"/>
        </w:numPr>
        <w:spacing w:after="0"/>
        <w:rPr>
          <w:noProof/>
          <w:szCs w:val="24"/>
        </w:rPr>
      </w:pPr>
      <w:bookmarkStart w:id="63" w:name="_Toc69125435"/>
      <w:r w:rsidRPr="00930237">
        <w:rPr>
          <w:noProof/>
          <w:szCs w:val="24"/>
        </w:rPr>
        <w:t>Partnerība</w:t>
      </w:r>
      <w:bookmarkEnd w:id="63"/>
      <w:r w:rsidRPr="00930237">
        <w:rPr>
          <w:noProof/>
          <w:szCs w:val="24"/>
        </w:rPr>
        <w:t xml:space="preserve"> </w:t>
      </w:r>
    </w:p>
    <w:p w14:paraId="1323B4FD" w14:textId="77777777" w:rsidR="00AC212B" w:rsidRPr="00930237" w:rsidRDefault="00AC212B" w:rsidP="007545BD">
      <w:pPr>
        <w:pStyle w:val="ListParagraph"/>
        <w:numPr>
          <w:ilvl w:val="0"/>
          <w:numId w:val="60"/>
        </w:numPr>
        <w:suppressAutoHyphens/>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 xml:space="preserve">Lai nodrošinātu lielāku sabiedrības pārstāvību un ciešāku iesaisti ES fondu plānošanā līdz 2021.–2027.gada plānošanās perioda UK izveidošanai, atsevišķa pagaidu UK netika veidota, bet izmantots forums, kas joprojām aktīvi strādā par KP fondu 2014.–2020.gada  plānošanas perioda jautājumiem, t.i. UK 2014.–2020.gadam un visu prioritāro virzienu apakškomitejas. UK darbības principus nosaka FM apstiprināts reglaments. Tās sastāvā ir iesaistīti KP fondu ieviešanā iesaistīto valsts un pašvaldību institūciju, teritoriālās pārvaldības, sociālo un ekonomisko partneru, nevalstisko organizāciju, kā arī citu KP fondu plānošanā un īstenošanā iesaistīto institūciju pārstāvji. UK un apakškomiteju sastāvu papildinot ar Kopējās noteikumu regulas fondu vadošajām iestādēm, tiek aptverts pēc iespējas plašāks partneru loks, nodrošinot vienotu informācijas aprites platformu. </w:t>
      </w:r>
    </w:p>
    <w:p w14:paraId="5BE3037C" w14:textId="77777777" w:rsidR="00AC212B" w:rsidRPr="00930237" w:rsidRDefault="00AC212B" w:rsidP="007545BD">
      <w:pPr>
        <w:pStyle w:val="ListParagraph"/>
        <w:numPr>
          <w:ilvl w:val="0"/>
          <w:numId w:val="60"/>
        </w:numPr>
        <w:suppressAutoHyphens/>
        <w:spacing w:after="0" w:line="240" w:lineRule="auto"/>
        <w:ind w:left="567" w:hanging="567"/>
        <w:jc w:val="both"/>
        <w:rPr>
          <w:rFonts w:ascii="Times New Roman" w:eastAsia="Calibri" w:hAnsi="Times New Roman" w:cs="Times New Roman"/>
          <w:sz w:val="24"/>
          <w:szCs w:val="24"/>
          <w:lang w:eastAsia="en-US"/>
        </w:rPr>
      </w:pPr>
      <w:r w:rsidRPr="00930237">
        <w:rPr>
          <w:rFonts w:ascii="Times New Roman" w:eastAsia="Calibri" w:hAnsi="Times New Roman" w:cs="Times New Roman"/>
          <w:sz w:val="24"/>
          <w:szCs w:val="24"/>
          <w:lang w:eastAsia="en-US"/>
        </w:rPr>
        <w:t xml:space="preserve">2021.–2027.gada plānošanas periodā paredzēta plaša un mērķtiecīga partneru iesaiste pakalpojumu nodrošināšanā nozaru mērķu sasniegšanā, piemēram, sociālajā iekļaušanā, nodarbinātībā, saimnieciskās darbības vides uzlabošanā, vides aizsardzībā, izglītībā u.c., balstoties uz biedrību un nodibinājumu ekspertīzi, tādējādi nodrošinot sadarbības partneru zināšanu un pieredzes izmantošanu nozaru ietvaros. </w:t>
      </w:r>
    </w:p>
    <w:p w14:paraId="2F098104" w14:textId="77777777" w:rsidR="00AC212B" w:rsidRPr="00930237" w:rsidRDefault="00AC212B" w:rsidP="007545BD">
      <w:pPr>
        <w:pStyle w:val="ListParagraph"/>
        <w:numPr>
          <w:ilvl w:val="0"/>
          <w:numId w:val="60"/>
        </w:numPr>
        <w:suppressAutoHyphens/>
        <w:spacing w:after="0" w:line="240" w:lineRule="auto"/>
        <w:ind w:left="567" w:hanging="567"/>
        <w:jc w:val="both"/>
        <w:rPr>
          <w:rFonts w:ascii="Times New Roman" w:eastAsia="Calibri" w:hAnsi="Times New Roman" w:cs="Times New Roman"/>
          <w:sz w:val="24"/>
          <w:szCs w:val="24"/>
          <w:lang w:eastAsia="en-US"/>
        </w:rPr>
      </w:pPr>
      <w:r w:rsidRPr="00930237">
        <w:rPr>
          <w:rFonts w:ascii="Times New Roman" w:eastAsia="Calibri" w:hAnsi="Times New Roman" w:cs="Times New Roman"/>
          <w:sz w:val="24"/>
          <w:szCs w:val="24"/>
          <w:lang w:eastAsia="en-US"/>
        </w:rPr>
        <w:t xml:space="preserve">Saskaņā ar Kopīgo noteikumu regulas preambulā un </w:t>
      </w:r>
      <w:r w:rsidRPr="00966417">
        <w:rPr>
          <w:rFonts w:ascii="Times New Roman" w:eastAsia="Calibri" w:hAnsi="Times New Roman" w:cs="Times New Roman"/>
          <w:color w:val="FF0000"/>
          <w:sz w:val="24"/>
          <w:szCs w:val="24"/>
          <w:lang w:eastAsia="en-US"/>
        </w:rPr>
        <w:t xml:space="preserve">33.pantā </w:t>
      </w:r>
      <w:r w:rsidRPr="00930237">
        <w:rPr>
          <w:rFonts w:ascii="Times New Roman" w:eastAsia="Calibri" w:hAnsi="Times New Roman" w:cs="Times New Roman"/>
          <w:sz w:val="24"/>
          <w:szCs w:val="24"/>
          <w:lang w:eastAsia="en-US"/>
        </w:rPr>
        <w:t xml:space="preserve">izteiktajiem nosacījumiem, vadošās iestādes pēc plānošanas dokumentu apstiprināšanas kā galveno partneru iesaistes formu izveidos pārziņā esošo fondu UK, tajās iesaistot pārstāvjus gan no publiskās pārvaldes institūcijām un plānošanas reģioniem, gan arī sadarbības partneru pārstāvjus, kā arī pārējo vadošo iestāžu pārstāvjus. Visu UK galvenais uzdevums būs nodrošināt koordinētu fondu ieviešanu un uzraudzību, minētajā procesā iesaistot pārstāvjus no plaša partneru loka, savukārt savstarpēja fondu vadošo iestāžu dalība ļaus nodrošināt vispusīgu informācijas apriti. </w:t>
      </w:r>
    </w:p>
    <w:p w14:paraId="1AA74F8C" w14:textId="3A11CC8E" w:rsidR="00AC212B" w:rsidRPr="00930237" w:rsidRDefault="00AC212B" w:rsidP="007545BD">
      <w:pPr>
        <w:pStyle w:val="ListParagraph"/>
        <w:numPr>
          <w:ilvl w:val="0"/>
          <w:numId w:val="60"/>
        </w:numPr>
        <w:suppressAutoHyphens/>
        <w:spacing w:after="0" w:line="240" w:lineRule="auto"/>
        <w:ind w:left="567" w:hanging="567"/>
        <w:jc w:val="both"/>
        <w:rPr>
          <w:rFonts w:ascii="Times New Roman" w:eastAsia="Calibri" w:hAnsi="Times New Roman" w:cs="Times New Roman"/>
          <w:sz w:val="24"/>
          <w:szCs w:val="24"/>
          <w:lang w:eastAsia="en-US"/>
        </w:rPr>
      </w:pPr>
      <w:r w:rsidRPr="00930237">
        <w:rPr>
          <w:rFonts w:ascii="Times New Roman" w:eastAsia="Calibri" w:hAnsi="Times New Roman" w:cs="Times New Roman"/>
          <w:sz w:val="24"/>
          <w:szCs w:val="24"/>
          <w:lang w:eastAsia="en-US"/>
        </w:rPr>
        <w:t xml:space="preserve">Saskaņā ar Kopējo noteikumu regulas 33. panta 5. punkta nosacījumiem UK izveide ESF+ programmai materiālās nenodrošinātības mazināšanai nav nepieciešama. To aizstāj Kopējo noteikumu regulas </w:t>
      </w:r>
      <w:r w:rsidRPr="00966417">
        <w:rPr>
          <w:rFonts w:ascii="Times New Roman" w:eastAsia="Calibri" w:hAnsi="Times New Roman" w:cs="Times New Roman"/>
          <w:color w:val="FF0000"/>
          <w:sz w:val="24"/>
          <w:szCs w:val="24"/>
          <w:lang w:eastAsia="en-US"/>
        </w:rPr>
        <w:t xml:space="preserve">36. panta 3. punktā </w:t>
      </w:r>
      <w:r w:rsidRPr="00930237">
        <w:rPr>
          <w:rFonts w:ascii="Times New Roman" w:eastAsia="Calibri" w:hAnsi="Times New Roman" w:cs="Times New Roman"/>
          <w:sz w:val="24"/>
          <w:szCs w:val="24"/>
          <w:lang w:eastAsia="en-US"/>
        </w:rPr>
        <w:t xml:space="preserve">noteiktā ikgadējā veikuma izvērtēšanas sanāksme, kurā balstoties uz esošās </w:t>
      </w:r>
      <w:r w:rsidR="00966417">
        <w:rPr>
          <w:rFonts w:ascii="Times New Roman" w:eastAsia="Calibri" w:hAnsi="Times New Roman" w:cs="Times New Roman"/>
          <w:sz w:val="24"/>
          <w:szCs w:val="24"/>
          <w:lang w:eastAsia="en-US"/>
        </w:rPr>
        <w:t>darba grupas</w:t>
      </w:r>
      <w:r w:rsidRPr="00930237">
        <w:rPr>
          <w:rFonts w:ascii="Times New Roman" w:eastAsia="Calibri" w:hAnsi="Times New Roman" w:cs="Times New Roman"/>
          <w:sz w:val="24"/>
          <w:szCs w:val="24"/>
          <w:lang w:eastAsia="en-US"/>
        </w:rPr>
        <w:t xml:space="preserve"> dalībnieku un partnerorganizāciju pieredzi un ekspertīzi tiks nodrošināta 2021.–2027.gada plānošanas perioda ESF+ programmas materiālās nenodrošinātības mazināšanai īstenošanas progresa uzraudzība un izvērtēšana. </w:t>
      </w:r>
    </w:p>
    <w:p w14:paraId="1FA36037" w14:textId="77777777" w:rsidR="00AC212B" w:rsidRPr="00930237" w:rsidRDefault="00AC212B" w:rsidP="007545BD">
      <w:pPr>
        <w:pStyle w:val="ListParagraph"/>
        <w:numPr>
          <w:ilvl w:val="0"/>
          <w:numId w:val="60"/>
        </w:numPr>
        <w:suppressAutoHyphens/>
        <w:spacing w:after="0" w:line="240" w:lineRule="auto"/>
        <w:ind w:left="567" w:hanging="567"/>
        <w:jc w:val="both"/>
        <w:rPr>
          <w:rFonts w:ascii="Times New Roman" w:hAnsi="Times New Roman" w:cs="Times New Roman"/>
          <w:sz w:val="24"/>
          <w:szCs w:val="24"/>
        </w:rPr>
      </w:pPr>
      <w:r w:rsidRPr="00930237">
        <w:rPr>
          <w:rFonts w:ascii="Times New Roman" w:eastAsia="Calibri" w:hAnsi="Times New Roman" w:cs="Times New Roman"/>
          <w:sz w:val="24"/>
          <w:szCs w:val="24"/>
          <w:lang w:eastAsia="en-US"/>
        </w:rPr>
        <w:t>KP fondu vadošā iestāde, lai līdztekus UK nodrošinātu forumus operatīvākām un saturiskākām diskusijām, turpinot 2014.–2020.gada plānošanas perioda labo praksi, veidos arī UK tematiskas apakškomitejas katram politikas mērķim.</w:t>
      </w:r>
    </w:p>
    <w:p w14:paraId="2302430A" w14:textId="0841A04A" w:rsidR="00AC212B" w:rsidRPr="00930237" w:rsidRDefault="00AC212B" w:rsidP="00966BAC">
      <w:pPr>
        <w:pStyle w:val="ListParagraph"/>
        <w:numPr>
          <w:ilvl w:val="0"/>
          <w:numId w:val="60"/>
        </w:numPr>
        <w:suppressAutoHyphens/>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 xml:space="preserve">PMIF, ESF+ un ERAF fondu ietvaros noteikto trešo valstu valsts piederīgo integrācijas pasākumu koordinācijai izveidota ES Fondu sadarbības un koordinācijas </w:t>
      </w:r>
      <w:r w:rsidR="007B5048">
        <w:rPr>
          <w:rFonts w:ascii="Times New Roman" w:hAnsi="Times New Roman" w:cs="Times New Roman"/>
          <w:sz w:val="24"/>
          <w:szCs w:val="24"/>
        </w:rPr>
        <w:t>darba grupa</w:t>
      </w:r>
      <w:r w:rsidRPr="00930237">
        <w:rPr>
          <w:rFonts w:ascii="Times New Roman" w:hAnsi="Times New Roman" w:cs="Times New Roman"/>
          <w:sz w:val="24"/>
          <w:szCs w:val="24"/>
        </w:rPr>
        <w:t xml:space="preserve"> (turpmāk </w:t>
      </w:r>
      <w:r w:rsidR="007B5048">
        <w:rPr>
          <w:rFonts w:ascii="Times New Roman" w:hAnsi="Times New Roman" w:cs="Times New Roman"/>
          <w:sz w:val="24"/>
          <w:szCs w:val="24"/>
        </w:rPr>
        <w:t>–</w:t>
      </w:r>
      <w:r w:rsidRPr="00930237">
        <w:rPr>
          <w:rFonts w:ascii="Times New Roman" w:hAnsi="Times New Roman" w:cs="Times New Roman"/>
          <w:sz w:val="24"/>
          <w:szCs w:val="24"/>
        </w:rPr>
        <w:t xml:space="preserve"> </w:t>
      </w:r>
      <w:r w:rsidR="007B5048">
        <w:rPr>
          <w:rFonts w:ascii="Times New Roman" w:hAnsi="Times New Roman" w:cs="Times New Roman"/>
          <w:sz w:val="24"/>
          <w:szCs w:val="24"/>
        </w:rPr>
        <w:t>darba grupa</w:t>
      </w:r>
      <w:r w:rsidRPr="00930237">
        <w:rPr>
          <w:rFonts w:ascii="Times New Roman" w:hAnsi="Times New Roman" w:cs="Times New Roman"/>
          <w:sz w:val="24"/>
          <w:szCs w:val="24"/>
        </w:rPr>
        <w:t xml:space="preserve">), kura plānošanas periodā koordinēs fondu DP ietvaros iekļaujamo integrācijas pasākumu tvērumu atbilstoši nozaru kompetencēm un Fondu regulu ietvaros noteikto atbalsta pasākuma iespējamo dalījumu. </w:t>
      </w:r>
      <w:r w:rsidR="007B5048">
        <w:rPr>
          <w:rFonts w:ascii="Times New Roman" w:hAnsi="Times New Roman" w:cs="Times New Roman"/>
          <w:sz w:val="24"/>
          <w:szCs w:val="24"/>
        </w:rPr>
        <w:t>Minētās darba grupas</w:t>
      </w:r>
      <w:r w:rsidRPr="00930237">
        <w:rPr>
          <w:rFonts w:ascii="Times New Roman" w:hAnsi="Times New Roman" w:cs="Times New Roman"/>
          <w:sz w:val="24"/>
          <w:szCs w:val="24"/>
        </w:rPr>
        <w:t xml:space="preserve"> sastāvā ir IeM kā PMIF atbildīgā iestāde, KM kā PMIF integrācijas jomas deleģētā iestāde, LM kā </w:t>
      </w:r>
      <w:r w:rsidR="005670B4">
        <w:rPr>
          <w:rFonts w:ascii="Times New Roman" w:hAnsi="Times New Roman" w:cs="Times New Roman"/>
          <w:sz w:val="24"/>
          <w:szCs w:val="24"/>
        </w:rPr>
        <w:t xml:space="preserve">viena no </w:t>
      </w:r>
      <w:r w:rsidRPr="00930237">
        <w:rPr>
          <w:rFonts w:ascii="Times New Roman" w:hAnsi="Times New Roman" w:cs="Times New Roman"/>
          <w:sz w:val="24"/>
          <w:szCs w:val="24"/>
        </w:rPr>
        <w:t>ESF+ atbildīg</w:t>
      </w:r>
      <w:r w:rsidR="005670B4">
        <w:rPr>
          <w:rFonts w:ascii="Times New Roman" w:hAnsi="Times New Roman" w:cs="Times New Roman"/>
          <w:sz w:val="24"/>
          <w:szCs w:val="24"/>
        </w:rPr>
        <w:t>ajām</w:t>
      </w:r>
      <w:r w:rsidRPr="00930237">
        <w:rPr>
          <w:rFonts w:ascii="Times New Roman" w:hAnsi="Times New Roman" w:cs="Times New Roman"/>
          <w:sz w:val="24"/>
          <w:szCs w:val="24"/>
        </w:rPr>
        <w:t xml:space="preserve"> iestād</w:t>
      </w:r>
      <w:r w:rsidR="005670B4">
        <w:rPr>
          <w:rFonts w:ascii="Times New Roman" w:hAnsi="Times New Roman" w:cs="Times New Roman"/>
          <w:sz w:val="24"/>
          <w:szCs w:val="24"/>
        </w:rPr>
        <w:t>ēm</w:t>
      </w:r>
      <w:r w:rsidRPr="00930237">
        <w:rPr>
          <w:rFonts w:ascii="Times New Roman" w:hAnsi="Times New Roman" w:cs="Times New Roman"/>
          <w:sz w:val="24"/>
          <w:szCs w:val="24"/>
        </w:rPr>
        <w:t>, IZM kā par latviešu valodas kā valsts valodas politiku horizontāli atbildīgā iestāde Latvijā</w:t>
      </w:r>
      <w:r w:rsidR="007B5048">
        <w:rPr>
          <w:rFonts w:ascii="Times New Roman" w:hAnsi="Times New Roman" w:cs="Times New Roman"/>
          <w:sz w:val="24"/>
          <w:szCs w:val="24"/>
        </w:rPr>
        <w:t>, kā arī SIF</w:t>
      </w:r>
      <w:r w:rsidRPr="00930237">
        <w:rPr>
          <w:rFonts w:ascii="Times New Roman" w:hAnsi="Times New Roman" w:cs="Times New Roman"/>
          <w:sz w:val="24"/>
          <w:szCs w:val="24"/>
        </w:rPr>
        <w:t xml:space="preserve">. Papildus </w:t>
      </w:r>
      <w:r w:rsidR="007B5048">
        <w:rPr>
          <w:rFonts w:ascii="Times New Roman" w:hAnsi="Times New Roman" w:cs="Times New Roman"/>
          <w:sz w:val="24"/>
          <w:szCs w:val="24"/>
        </w:rPr>
        <w:t>darba grupas</w:t>
      </w:r>
      <w:r w:rsidRPr="00930237">
        <w:rPr>
          <w:rFonts w:ascii="Times New Roman" w:hAnsi="Times New Roman" w:cs="Times New Roman"/>
          <w:sz w:val="24"/>
          <w:szCs w:val="24"/>
        </w:rPr>
        <w:t xml:space="preserve"> plānots piesaistīt EM kā par ERAF sociālo </w:t>
      </w:r>
      <w:r w:rsidR="00630BEC" w:rsidRPr="678DA801">
        <w:rPr>
          <w:rFonts w:ascii="Times New Roman" w:hAnsi="Times New Roman" w:cs="Times New Roman"/>
          <w:sz w:val="24"/>
          <w:szCs w:val="24"/>
        </w:rPr>
        <w:t xml:space="preserve">vai pašvaldības īres </w:t>
      </w:r>
      <w:r w:rsidRPr="00930237">
        <w:rPr>
          <w:rFonts w:ascii="Times New Roman" w:hAnsi="Times New Roman" w:cs="Times New Roman"/>
          <w:sz w:val="24"/>
          <w:szCs w:val="24"/>
        </w:rPr>
        <w:t>mājokļu izveidi atbildīgo iestādi un VM kā par veselības pakalpojumu sniegšanas politiku (t</w:t>
      </w:r>
      <w:r w:rsidR="00F65811">
        <w:rPr>
          <w:rFonts w:ascii="Times New Roman" w:hAnsi="Times New Roman" w:cs="Times New Roman"/>
          <w:sz w:val="24"/>
          <w:szCs w:val="24"/>
        </w:rPr>
        <w:t>.</w:t>
      </w:r>
      <w:r w:rsidRPr="00930237">
        <w:rPr>
          <w:rFonts w:ascii="Times New Roman" w:hAnsi="Times New Roman" w:cs="Times New Roman"/>
          <w:sz w:val="24"/>
          <w:szCs w:val="24"/>
        </w:rPr>
        <w:t xml:space="preserve"> sk</w:t>
      </w:r>
      <w:r w:rsidR="00F65811">
        <w:rPr>
          <w:rFonts w:ascii="Times New Roman" w:hAnsi="Times New Roman" w:cs="Times New Roman"/>
          <w:sz w:val="24"/>
          <w:szCs w:val="24"/>
        </w:rPr>
        <w:t>.</w:t>
      </w:r>
      <w:r w:rsidRPr="00930237">
        <w:rPr>
          <w:rFonts w:ascii="Times New Roman" w:hAnsi="Times New Roman" w:cs="Times New Roman"/>
          <w:sz w:val="24"/>
          <w:szCs w:val="24"/>
        </w:rPr>
        <w:t xml:space="preserve"> ES Fondu mērķu grupu skarošo veselības pakalpojumu) horizontāli atbildīgo iestādi Latvijā, kā arī VARAM un Latvijas </w:t>
      </w:r>
      <w:r w:rsidR="00ED566E">
        <w:rPr>
          <w:rFonts w:ascii="Times New Roman" w:hAnsi="Times New Roman" w:cs="Times New Roman"/>
          <w:sz w:val="24"/>
          <w:szCs w:val="24"/>
        </w:rPr>
        <w:t>P</w:t>
      </w:r>
      <w:r w:rsidRPr="00930237">
        <w:rPr>
          <w:rFonts w:ascii="Times New Roman" w:hAnsi="Times New Roman" w:cs="Times New Roman"/>
          <w:sz w:val="24"/>
          <w:szCs w:val="24"/>
        </w:rPr>
        <w:t xml:space="preserve">ašvaldību savienību fondu ietvaros īstenoto pasākumu reģionālā aspekta nodrošināšanai. Ar padomdevēja tiesībām </w:t>
      </w:r>
      <w:r w:rsidR="007B5048">
        <w:rPr>
          <w:rFonts w:ascii="Times New Roman" w:hAnsi="Times New Roman" w:cs="Times New Roman"/>
          <w:sz w:val="24"/>
          <w:szCs w:val="24"/>
        </w:rPr>
        <w:t>darba grupas</w:t>
      </w:r>
      <w:r w:rsidRPr="00930237">
        <w:rPr>
          <w:rFonts w:ascii="Times New Roman" w:hAnsi="Times New Roman" w:cs="Times New Roman"/>
          <w:sz w:val="24"/>
          <w:szCs w:val="24"/>
        </w:rPr>
        <w:t xml:space="preserve"> sastāvā var tikt pieaicinātas nevalstiskās organizācijas un citas institūcijas.</w:t>
      </w:r>
    </w:p>
    <w:p w14:paraId="28D29F3D" w14:textId="253313CF" w:rsidR="00AC212B" w:rsidRDefault="00AC212B" w:rsidP="00EF1813">
      <w:pPr>
        <w:pStyle w:val="ListParagraph"/>
        <w:numPr>
          <w:ilvl w:val="0"/>
          <w:numId w:val="60"/>
        </w:numPr>
        <w:suppressAutoHyphens/>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 xml:space="preserve">Fondu ieviešanas uzraudzībai un izvērtēšanai PMIF, IDF un RPVI uzraudzības komitejas tiks veidotas uz 2014.-2020.gada PMIF un IDF uzraudzības komiteju pamata (turpmāk – Fondu uzraudzības komiteja). Ņemot vērā, ka RPVI ietvaros ir paredzēts arī Muitas finanšu instruments, kurš tiks tieši administrēts no EK puses ar padomdevēja tiesībām Fondu uzraudzības komitejas sastāvā plānots piesaistīt arī  VID. </w:t>
      </w:r>
    </w:p>
    <w:p w14:paraId="1509F736" w14:textId="54F07CCC" w:rsidR="00966BAC" w:rsidRPr="00966BAC" w:rsidRDefault="00966BAC" w:rsidP="00EF1813">
      <w:pPr>
        <w:pStyle w:val="ListParagraph"/>
        <w:numPr>
          <w:ilvl w:val="0"/>
          <w:numId w:val="60"/>
        </w:numPr>
        <w:suppressAutoHyphens/>
        <w:spacing w:after="0" w:line="240" w:lineRule="auto"/>
        <w:ind w:left="567" w:hanging="567"/>
        <w:jc w:val="both"/>
        <w:rPr>
          <w:rFonts w:ascii="Times New Roman" w:hAnsi="Times New Roman" w:cs="Times New Roman"/>
          <w:sz w:val="24"/>
          <w:szCs w:val="24"/>
        </w:rPr>
      </w:pPr>
      <w:r w:rsidRPr="00966BAC">
        <w:rPr>
          <w:rFonts w:ascii="Times New Roman" w:hAnsi="Times New Roman" w:cs="Times New Roman"/>
          <w:sz w:val="24"/>
          <w:szCs w:val="24"/>
        </w:rPr>
        <w:t>Lai novērtētu plānoto pasākumu  ietekmi uz vidi, ņemot vērā normatīvo aktu prasības,  ir veikts DP stratēģiskais ietekmes uz vidi novērtējums</w:t>
      </w:r>
      <w:r>
        <w:rPr>
          <w:rStyle w:val="FootnoteReference"/>
          <w:rFonts w:ascii="Times New Roman" w:hAnsi="Times New Roman" w:cs="Times New Roman"/>
          <w:sz w:val="24"/>
          <w:szCs w:val="24"/>
        </w:rPr>
        <w:footnoteReference w:id="173"/>
      </w:r>
      <w:r>
        <w:rPr>
          <w:rFonts w:ascii="Times New Roman" w:hAnsi="Times New Roman" w:cs="Times New Roman"/>
          <w:sz w:val="24"/>
          <w:szCs w:val="24"/>
        </w:rPr>
        <w:t xml:space="preserve">, </w:t>
      </w:r>
      <w:r w:rsidRPr="00966BAC">
        <w:rPr>
          <w:rFonts w:ascii="Times New Roman" w:hAnsi="Times New Roman" w:cs="Times New Roman"/>
          <w:sz w:val="24"/>
          <w:szCs w:val="24"/>
        </w:rPr>
        <w:t xml:space="preserve">kura mērķis ir apzināt DP un tās ietvaros plānoto pasākumu ietekmi uz vides un klimata mērķu sasniegšanu, kā arī veicināt sabiedrības līdzdalību vides pārskata sagatavošanā un ņemt vērā vides pārskata un tā sabiedriskās apspriešanas rezultātus DP sagatavošanā un atbilstošu lēmumu pieņemšanā. </w:t>
      </w:r>
    </w:p>
    <w:p w14:paraId="7FE51E76" w14:textId="6196C19A" w:rsidR="004937F8" w:rsidRPr="004937F8" w:rsidRDefault="00966BAC" w:rsidP="00EF1813">
      <w:pPr>
        <w:pStyle w:val="ListParagraph"/>
        <w:numPr>
          <w:ilvl w:val="0"/>
          <w:numId w:val="60"/>
        </w:numPr>
        <w:suppressAutoHyphens/>
        <w:spacing w:after="0" w:line="240" w:lineRule="auto"/>
        <w:ind w:left="567" w:hanging="567"/>
        <w:jc w:val="both"/>
        <w:rPr>
          <w:rFonts w:ascii="Times New Roman" w:hAnsi="Times New Roman" w:cs="Times New Roman"/>
          <w:sz w:val="24"/>
          <w:szCs w:val="24"/>
        </w:rPr>
      </w:pPr>
      <w:r w:rsidRPr="00966BAC">
        <w:rPr>
          <w:rFonts w:ascii="Times New Roman" w:hAnsi="Times New Roman" w:cs="Times New Roman"/>
          <w:sz w:val="24"/>
          <w:szCs w:val="24"/>
        </w:rPr>
        <w:t>Vides pārskata izstrādē ir ņemti vērā valsts vides institūciju – Vides pārraudzības valsts biroja, Dabas aizsardzības pārvaldes, Vides valsts dienesta un Veselības inspekcijas, ieteikumi attiecībā uz vides pārskata detalizācijas pakāpi un saturu. Vides pārskatā atspoguļots esošais vides stāvoklis, ar DP īstenošanu saistītās ietekmes uz vidi novērtējums, kā arī piedāvāti risinājumi būtisko ietekmju novēršanai un samazināšanai.</w:t>
      </w:r>
      <w:r>
        <w:rPr>
          <w:rFonts w:ascii="Times New Roman" w:hAnsi="Times New Roman" w:cs="Times New Roman"/>
          <w:sz w:val="24"/>
          <w:szCs w:val="24"/>
        </w:rPr>
        <w:t xml:space="preserve"> </w:t>
      </w:r>
    </w:p>
    <w:p w14:paraId="338BA213" w14:textId="13CE8530" w:rsidR="004937F8" w:rsidRDefault="004937F8" w:rsidP="00EF1813">
      <w:pPr>
        <w:pStyle w:val="ListParagraph"/>
        <w:numPr>
          <w:ilvl w:val="0"/>
          <w:numId w:val="60"/>
        </w:numPr>
        <w:suppressAutoHyphens/>
        <w:spacing w:after="0" w:line="240" w:lineRule="auto"/>
        <w:ind w:left="567" w:hanging="567"/>
        <w:jc w:val="both"/>
        <w:rPr>
          <w:rFonts w:ascii="Times New Roman" w:hAnsi="Times New Roman" w:cs="Times New Roman"/>
          <w:sz w:val="24"/>
          <w:szCs w:val="24"/>
        </w:rPr>
      </w:pPr>
      <w:r w:rsidRPr="004937F8">
        <w:rPr>
          <w:rFonts w:ascii="Times New Roman" w:hAnsi="Times New Roman" w:cs="Times New Roman"/>
          <w:sz w:val="24"/>
          <w:szCs w:val="24"/>
        </w:rPr>
        <w:t>Pēc sabiedriskās apspriešanas, kura norisinājās 2020.gada beigās, ir izvērtēti saņemtie priekšlikumi un veikti precizējumi dokumentos. Saņemts arī atzinums no Vides pārraudzības valsts biroja, un atzinumā sniegtie priekšlikumi izvērtēti un veikti attiecīgi precizējumi gan vides pārskatā, gan DP.</w:t>
      </w:r>
    </w:p>
    <w:p w14:paraId="3333C160" w14:textId="6EDB0643" w:rsidR="00AC212B" w:rsidRDefault="00AC212B" w:rsidP="00966BAC">
      <w:pPr>
        <w:spacing w:before="0" w:after="0"/>
        <w:ind w:left="567" w:hanging="567"/>
        <w:rPr>
          <w:rFonts w:eastAsia="Times New Roman"/>
          <w:b/>
          <w:i/>
          <w:iCs/>
          <w:noProof/>
          <w:sz w:val="20"/>
        </w:rPr>
      </w:pPr>
    </w:p>
    <w:p w14:paraId="638C37B7" w14:textId="77777777" w:rsidR="001D668C" w:rsidRPr="00930237" w:rsidRDefault="001D668C" w:rsidP="00966BAC">
      <w:pPr>
        <w:spacing w:before="0" w:after="0"/>
        <w:ind w:left="567" w:hanging="567"/>
        <w:rPr>
          <w:rFonts w:eastAsia="Times New Roman"/>
          <w:b/>
          <w:i/>
          <w:iCs/>
          <w:noProof/>
          <w:sz w:val="20"/>
        </w:rPr>
      </w:pPr>
    </w:p>
    <w:p w14:paraId="65542753" w14:textId="0D9FFACE" w:rsidR="00AC212B" w:rsidRPr="00930237" w:rsidRDefault="00AC212B" w:rsidP="007545BD">
      <w:pPr>
        <w:pStyle w:val="Heading2"/>
        <w:numPr>
          <w:ilvl w:val="0"/>
          <w:numId w:val="41"/>
        </w:numPr>
        <w:spacing w:after="0"/>
        <w:rPr>
          <w:iCs/>
          <w:noProof/>
          <w:szCs w:val="24"/>
        </w:rPr>
      </w:pPr>
      <w:bookmarkStart w:id="64" w:name="_Toc69125436"/>
      <w:r w:rsidRPr="00930237">
        <w:rPr>
          <w:noProof/>
          <w:szCs w:val="24"/>
        </w:rPr>
        <w:t>Publicitāte un komunikācija</w:t>
      </w:r>
      <w:bookmarkEnd w:id="64"/>
      <w:r w:rsidRPr="00930237">
        <w:rPr>
          <w:noProof/>
          <w:szCs w:val="24"/>
        </w:rPr>
        <w:t xml:space="preserve"> </w:t>
      </w:r>
    </w:p>
    <w:p w14:paraId="6875919D" w14:textId="77777777"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bCs/>
          <w:sz w:val="24"/>
          <w:szCs w:val="24"/>
        </w:rPr>
      </w:pPr>
      <w:r w:rsidRPr="00930237">
        <w:rPr>
          <w:rFonts w:ascii="Times New Roman" w:hAnsi="Times New Roman" w:cs="Times New Roman"/>
          <w:bCs/>
          <w:i/>
          <w:sz w:val="24"/>
          <w:szCs w:val="24"/>
        </w:rPr>
        <w:t>KP fondu komunikācijas plānošana, uzraudzība un izvērtēšana.</w:t>
      </w:r>
      <w:r w:rsidRPr="00930237">
        <w:rPr>
          <w:rFonts w:ascii="Times New Roman" w:hAnsi="Times New Roman" w:cs="Times New Roman"/>
          <w:bCs/>
          <w:sz w:val="24"/>
          <w:szCs w:val="24"/>
        </w:rPr>
        <w:t xml:space="preserve"> Stratēģiskie komunikācijas mērķi tiks definēti pamatojoties uz KP fondu komunikācijas ieviešanas efektivitātes izvērtējumā</w:t>
      </w:r>
      <w:r w:rsidRPr="00930237">
        <w:rPr>
          <w:rStyle w:val="FootnoteReference"/>
          <w:rFonts w:ascii="Times New Roman" w:hAnsi="Times New Roman" w:cs="Times New Roman"/>
          <w:bCs/>
          <w:sz w:val="24"/>
          <w:szCs w:val="24"/>
        </w:rPr>
        <w:footnoteReference w:id="174"/>
      </w:r>
      <w:r w:rsidRPr="00930237">
        <w:rPr>
          <w:rFonts w:ascii="Times New Roman" w:hAnsi="Times New Roman" w:cs="Times New Roman"/>
          <w:bCs/>
          <w:sz w:val="24"/>
          <w:szCs w:val="24"/>
        </w:rPr>
        <w:t xml:space="preserve"> gūtajiem rezultātiem un EK rekomendācijām.</w:t>
      </w:r>
    </w:p>
    <w:p w14:paraId="0160148C" w14:textId="77777777" w:rsidR="00AC212B" w:rsidRPr="00930237" w:rsidRDefault="00AC212B" w:rsidP="007545BD">
      <w:pPr>
        <w:pStyle w:val="ListParagraph"/>
        <w:numPr>
          <w:ilvl w:val="0"/>
          <w:numId w:val="60"/>
        </w:numPr>
        <w:tabs>
          <w:tab w:val="left" w:pos="142"/>
        </w:tabs>
        <w:spacing w:after="0" w:line="240" w:lineRule="auto"/>
        <w:ind w:left="567" w:right="282" w:hanging="567"/>
        <w:jc w:val="both"/>
        <w:rPr>
          <w:rFonts w:ascii="Times New Roman" w:eastAsia="Times New Roman" w:hAnsi="Times New Roman" w:cs="Times New Roman"/>
          <w:sz w:val="24"/>
          <w:szCs w:val="24"/>
        </w:rPr>
      </w:pPr>
      <w:r w:rsidRPr="00930237">
        <w:rPr>
          <w:rFonts w:ascii="Times New Roman" w:eastAsia="Times New Roman" w:hAnsi="Times New Roman" w:cs="Times New Roman"/>
          <w:sz w:val="24"/>
          <w:szCs w:val="24"/>
        </w:rPr>
        <w:t xml:space="preserve">Balstoties uz stratēģijā definētajiem mērķiem, KP fondu vadībā iesaistītās institūcijas izstrādās komunikācijas plānus, kuros paredzēti jau specifiski pasākumi mērķa grupu informēšanai un izpratnes par KP fondu ieguldījumu veicināšanai. </w:t>
      </w:r>
    </w:p>
    <w:p w14:paraId="5E00F089" w14:textId="77777777"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 xml:space="preserve">Tāpat lai sasniegtu izvirzītos mērķus, tiks paplašināta un attīstīta jau esošās Komunikācijas vadības darba grupas veiksmīgā sadarbība, tādejādi nodrošinot stratēģisku un koordinētu KP fondu komunikāciju Latvijas un ES ietvaros. </w:t>
      </w:r>
    </w:p>
    <w:p w14:paraId="6518A204" w14:textId="77777777"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Arī jaunajā plānošanas periodā plānots turpināt kopējās KP fondu komunikācijas stratēģijas ieviešanas efektivitātes izvērtēšanu. Vienlaicīgi plānots pastiprināti veikt ES fondu administrēšanā iesaistīto iestāžu ieviesto komunikācijas aktivitāšu rezultatīvo rādītāju sasniegšanas izvērtēšanu. Sasniedzamie rezultatīvie rādītāji tiek noteikti komunikācijas stratēģijā un komunikācijas plānos.</w:t>
      </w:r>
    </w:p>
    <w:p w14:paraId="7D0C6E7B" w14:textId="77777777"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 xml:space="preserve"> </w:t>
      </w:r>
      <w:r w:rsidRPr="00930237">
        <w:rPr>
          <w:rFonts w:ascii="Times New Roman" w:hAnsi="Times New Roman" w:cs="Times New Roman"/>
          <w:i/>
          <w:sz w:val="24"/>
          <w:szCs w:val="24"/>
        </w:rPr>
        <w:t>KP fondu komunikācijas mērķi.</w:t>
      </w:r>
      <w:r w:rsidRPr="00930237">
        <w:rPr>
          <w:rFonts w:ascii="Times New Roman" w:hAnsi="Times New Roman" w:cs="Times New Roman"/>
          <w:sz w:val="24"/>
          <w:szCs w:val="24"/>
        </w:rPr>
        <w:t xml:space="preserve"> KP fondu komunikācijas virsmērķis ir veicināt sabiedrības izpratni par ES fondu īstenoto projektu ieguldījumu nozīmi Latvijas tautsaimniecībā, ekonomiskajā attīstībā un katra Latvijas iedzīvotāja labklājības līmeņa celšanā, kā arī sekmēt sabiedrības atbalstu un uzticēšanos ES fondu ieguldījumam un Latvijā īstenoto projektu realizācijai. Savukārt specifiskie KP fondu komunikācijas mērķi balstāmi uz KP fondu 2021.–2027.gada plānošanas perioda programmas un aktivitāšu izvirzītajiem sasniedzamajiem mērķiem. </w:t>
      </w:r>
    </w:p>
    <w:p w14:paraId="60F76EA0" w14:textId="77777777"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i/>
          <w:sz w:val="24"/>
          <w:szCs w:val="24"/>
        </w:rPr>
        <w:t>KP fondu komunikācijas mērķauditorija.</w:t>
      </w:r>
      <w:r w:rsidRPr="00930237">
        <w:rPr>
          <w:rFonts w:ascii="Times New Roman" w:hAnsi="Times New Roman" w:cs="Times New Roman"/>
          <w:sz w:val="24"/>
          <w:szCs w:val="24"/>
        </w:rPr>
        <w:t xml:space="preserve"> Būtiska ir kvalitatīvas un savlaicīgas informācijas nodrošināšana gan finansējuma saņēmējiem, gan KP fondu vadībā iesaistītajām institūcijām, gan sabiedrībai kopumā</w:t>
      </w:r>
      <w:r w:rsidRPr="00930237">
        <w:rPr>
          <w:rFonts w:ascii="Times New Roman" w:hAnsi="Times New Roman" w:cs="Times New Roman"/>
          <w:i/>
          <w:sz w:val="24"/>
          <w:szCs w:val="24"/>
        </w:rPr>
        <w:t xml:space="preserve">. </w:t>
      </w:r>
      <w:r w:rsidRPr="00930237">
        <w:rPr>
          <w:rFonts w:ascii="Times New Roman" w:hAnsi="Times New Roman" w:cs="Times New Roman"/>
          <w:sz w:val="24"/>
          <w:szCs w:val="24"/>
        </w:rPr>
        <w:t>KP fondu komunikācijā pamatā noteiktas trīs galvenās mērķauditorijas un specifiski izdalītas mērķauditoriju apakšgrupas:</w:t>
      </w:r>
    </w:p>
    <w:p w14:paraId="0F5BD967" w14:textId="77777777" w:rsidR="00AC212B" w:rsidRPr="00930237" w:rsidRDefault="00AC212B" w:rsidP="007545BD">
      <w:pPr>
        <w:pStyle w:val="ListParagraph"/>
        <w:numPr>
          <w:ilvl w:val="0"/>
          <w:numId w:val="54"/>
        </w:numPr>
        <w:spacing w:after="0" w:line="240" w:lineRule="auto"/>
        <w:ind w:left="993" w:hanging="426"/>
        <w:jc w:val="both"/>
        <w:rPr>
          <w:rFonts w:ascii="Times New Roman" w:hAnsi="Times New Roman" w:cs="Times New Roman"/>
          <w:sz w:val="24"/>
          <w:szCs w:val="24"/>
        </w:rPr>
      </w:pPr>
      <w:r w:rsidRPr="00930237">
        <w:rPr>
          <w:rFonts w:ascii="Times New Roman" w:hAnsi="Times New Roman" w:cs="Times New Roman"/>
          <w:sz w:val="24"/>
          <w:szCs w:val="24"/>
        </w:rPr>
        <w:t>Specifiskās mērķauditorijas:</w:t>
      </w:r>
    </w:p>
    <w:p w14:paraId="51AFFFC3" w14:textId="77777777" w:rsidR="00AC212B" w:rsidRPr="00930237" w:rsidRDefault="00AC212B" w:rsidP="007545BD">
      <w:pPr>
        <w:pStyle w:val="ListParagraph"/>
        <w:numPr>
          <w:ilvl w:val="3"/>
          <w:numId w:val="52"/>
        </w:numPr>
        <w:spacing w:after="0" w:line="240" w:lineRule="auto"/>
        <w:jc w:val="both"/>
        <w:rPr>
          <w:rFonts w:ascii="Times New Roman" w:hAnsi="Times New Roman" w:cs="Times New Roman"/>
          <w:sz w:val="24"/>
          <w:szCs w:val="24"/>
        </w:rPr>
      </w:pPr>
      <w:r w:rsidRPr="00930237">
        <w:rPr>
          <w:rFonts w:ascii="Times New Roman" w:hAnsi="Times New Roman" w:cs="Times New Roman"/>
          <w:sz w:val="24"/>
          <w:szCs w:val="24"/>
        </w:rPr>
        <w:t>Faktiskie labuma guvēji ES fondu projektu īstenošanā;</w:t>
      </w:r>
    </w:p>
    <w:p w14:paraId="67F3B048" w14:textId="7F237F82" w:rsidR="00AC212B" w:rsidRPr="00930237" w:rsidRDefault="00AC212B" w:rsidP="007545BD">
      <w:pPr>
        <w:pStyle w:val="ListParagraph"/>
        <w:numPr>
          <w:ilvl w:val="3"/>
          <w:numId w:val="52"/>
        </w:numPr>
        <w:spacing w:after="0" w:line="240" w:lineRule="auto"/>
        <w:jc w:val="both"/>
        <w:rPr>
          <w:rFonts w:ascii="Times New Roman" w:hAnsi="Times New Roman" w:cs="Times New Roman"/>
          <w:sz w:val="24"/>
          <w:szCs w:val="24"/>
        </w:rPr>
      </w:pPr>
      <w:r w:rsidRPr="00930237">
        <w:rPr>
          <w:rFonts w:ascii="Times New Roman" w:hAnsi="Times New Roman" w:cs="Times New Roman"/>
          <w:sz w:val="24"/>
          <w:szCs w:val="24"/>
        </w:rPr>
        <w:t xml:space="preserve">Potenciālie ES fondu projektu </w:t>
      </w:r>
      <w:r w:rsidR="00582658" w:rsidRPr="00930237">
        <w:rPr>
          <w:rFonts w:ascii="Times New Roman" w:hAnsi="Times New Roman" w:cs="Times New Roman"/>
          <w:sz w:val="24"/>
          <w:szCs w:val="24"/>
        </w:rPr>
        <w:t>iesniedzēji</w:t>
      </w:r>
      <w:r w:rsidRPr="00930237">
        <w:rPr>
          <w:rFonts w:ascii="Times New Roman" w:hAnsi="Times New Roman" w:cs="Times New Roman"/>
          <w:sz w:val="24"/>
          <w:szCs w:val="24"/>
        </w:rPr>
        <w:t xml:space="preserve"> un finansējuma saņēmēji;</w:t>
      </w:r>
    </w:p>
    <w:p w14:paraId="0ABEAF33" w14:textId="730D60C8" w:rsidR="00AC212B" w:rsidRPr="00930237" w:rsidRDefault="00AC212B" w:rsidP="007545BD">
      <w:pPr>
        <w:pStyle w:val="ListParagraph"/>
        <w:numPr>
          <w:ilvl w:val="3"/>
          <w:numId w:val="52"/>
        </w:numPr>
        <w:spacing w:after="0" w:line="240" w:lineRule="auto"/>
        <w:jc w:val="both"/>
        <w:rPr>
          <w:rFonts w:ascii="Times New Roman" w:hAnsi="Times New Roman" w:cs="Times New Roman"/>
          <w:sz w:val="24"/>
          <w:szCs w:val="24"/>
        </w:rPr>
      </w:pPr>
      <w:r w:rsidRPr="00930237">
        <w:rPr>
          <w:rFonts w:ascii="Times New Roman" w:hAnsi="Times New Roman" w:cs="Times New Roman"/>
          <w:sz w:val="24"/>
          <w:szCs w:val="24"/>
        </w:rPr>
        <w:t xml:space="preserve">Sociālie un </w:t>
      </w:r>
      <w:r w:rsidR="00582658" w:rsidRPr="00930237">
        <w:rPr>
          <w:rFonts w:ascii="Times New Roman" w:hAnsi="Times New Roman" w:cs="Times New Roman"/>
          <w:sz w:val="24"/>
          <w:szCs w:val="24"/>
        </w:rPr>
        <w:t>sadarbības</w:t>
      </w:r>
      <w:r w:rsidRPr="00930237">
        <w:rPr>
          <w:rFonts w:ascii="Times New Roman" w:hAnsi="Times New Roman" w:cs="Times New Roman"/>
          <w:sz w:val="24"/>
          <w:szCs w:val="24"/>
        </w:rPr>
        <w:t xml:space="preserve"> partneri;</w:t>
      </w:r>
    </w:p>
    <w:p w14:paraId="5053E05D" w14:textId="77777777" w:rsidR="00AC212B" w:rsidRPr="00930237" w:rsidRDefault="00AC212B" w:rsidP="007545BD">
      <w:pPr>
        <w:pStyle w:val="ListParagraph"/>
        <w:numPr>
          <w:ilvl w:val="3"/>
          <w:numId w:val="52"/>
        </w:numPr>
        <w:spacing w:after="0" w:line="240" w:lineRule="auto"/>
        <w:jc w:val="both"/>
        <w:rPr>
          <w:rFonts w:ascii="Times New Roman" w:hAnsi="Times New Roman" w:cs="Times New Roman"/>
          <w:sz w:val="24"/>
          <w:szCs w:val="24"/>
        </w:rPr>
      </w:pPr>
      <w:r w:rsidRPr="00930237">
        <w:rPr>
          <w:rFonts w:ascii="Times New Roman" w:hAnsi="Times New Roman" w:cs="Times New Roman"/>
          <w:sz w:val="24"/>
          <w:szCs w:val="24"/>
        </w:rPr>
        <w:t>ES fondu vadībā iesaistītās institūcijas;</w:t>
      </w:r>
    </w:p>
    <w:p w14:paraId="3CD32966" w14:textId="77777777" w:rsidR="00AC212B" w:rsidRPr="00930237" w:rsidRDefault="00AC212B" w:rsidP="007545BD">
      <w:pPr>
        <w:pStyle w:val="ListParagraph"/>
        <w:numPr>
          <w:ilvl w:val="0"/>
          <w:numId w:val="54"/>
        </w:numPr>
        <w:spacing w:after="0" w:line="240" w:lineRule="auto"/>
        <w:jc w:val="both"/>
        <w:rPr>
          <w:rFonts w:ascii="Times New Roman" w:hAnsi="Times New Roman" w:cs="Times New Roman"/>
          <w:sz w:val="24"/>
          <w:szCs w:val="24"/>
        </w:rPr>
      </w:pPr>
      <w:r w:rsidRPr="00930237">
        <w:rPr>
          <w:rFonts w:ascii="Times New Roman" w:hAnsi="Times New Roman" w:cs="Times New Roman"/>
          <w:sz w:val="24"/>
          <w:szCs w:val="24"/>
        </w:rPr>
        <w:t>Sabiedrība kopumā:</w:t>
      </w:r>
    </w:p>
    <w:p w14:paraId="0BE81130" w14:textId="77777777" w:rsidR="00AC212B" w:rsidRPr="00930237" w:rsidRDefault="00AC212B" w:rsidP="007545BD">
      <w:pPr>
        <w:pStyle w:val="ListParagraph"/>
        <w:numPr>
          <w:ilvl w:val="3"/>
          <w:numId w:val="52"/>
        </w:numPr>
        <w:spacing w:after="0" w:line="240" w:lineRule="auto"/>
        <w:jc w:val="both"/>
        <w:rPr>
          <w:rFonts w:ascii="Times New Roman" w:hAnsi="Times New Roman" w:cs="Times New Roman"/>
          <w:sz w:val="24"/>
          <w:szCs w:val="24"/>
        </w:rPr>
      </w:pPr>
      <w:r w:rsidRPr="00930237">
        <w:rPr>
          <w:rFonts w:ascii="Times New Roman" w:hAnsi="Times New Roman" w:cs="Times New Roman"/>
          <w:sz w:val="24"/>
          <w:szCs w:val="24"/>
        </w:rPr>
        <w:t>Latvijas iedzīvotāji vecuma grupā no 16 gadiem;</w:t>
      </w:r>
    </w:p>
    <w:p w14:paraId="60E81DD3" w14:textId="77777777" w:rsidR="00AC212B" w:rsidRPr="00930237" w:rsidRDefault="00AC212B" w:rsidP="007545BD">
      <w:pPr>
        <w:pStyle w:val="ListParagraph"/>
        <w:numPr>
          <w:ilvl w:val="3"/>
          <w:numId w:val="52"/>
        </w:numPr>
        <w:spacing w:after="0" w:line="240" w:lineRule="auto"/>
        <w:jc w:val="both"/>
        <w:rPr>
          <w:rFonts w:ascii="Times New Roman" w:hAnsi="Times New Roman" w:cs="Times New Roman"/>
          <w:sz w:val="24"/>
          <w:szCs w:val="24"/>
        </w:rPr>
      </w:pPr>
      <w:r w:rsidRPr="00930237">
        <w:rPr>
          <w:rFonts w:ascii="Times New Roman" w:hAnsi="Times New Roman" w:cs="Times New Roman"/>
          <w:sz w:val="24"/>
          <w:szCs w:val="24"/>
        </w:rPr>
        <w:t>Jaunieši vecumā līdz 15 gadiem;</w:t>
      </w:r>
    </w:p>
    <w:p w14:paraId="43CD1B1E" w14:textId="77777777" w:rsidR="00AC212B" w:rsidRPr="00930237" w:rsidRDefault="00AC212B" w:rsidP="007545BD">
      <w:pPr>
        <w:pStyle w:val="ListParagraph"/>
        <w:numPr>
          <w:ilvl w:val="3"/>
          <w:numId w:val="52"/>
        </w:numPr>
        <w:spacing w:after="0" w:line="240" w:lineRule="auto"/>
        <w:jc w:val="both"/>
        <w:rPr>
          <w:rFonts w:ascii="Times New Roman" w:hAnsi="Times New Roman" w:cs="Times New Roman"/>
          <w:sz w:val="24"/>
          <w:szCs w:val="24"/>
        </w:rPr>
      </w:pPr>
      <w:r w:rsidRPr="00930237">
        <w:rPr>
          <w:rFonts w:ascii="Times New Roman" w:hAnsi="Times New Roman" w:cs="Times New Roman"/>
          <w:sz w:val="24"/>
          <w:szCs w:val="24"/>
        </w:rPr>
        <w:t>Cilvēki ar invaliditāti;</w:t>
      </w:r>
    </w:p>
    <w:p w14:paraId="2E962438" w14:textId="62ACB1EE" w:rsidR="00AC212B" w:rsidRPr="00930237" w:rsidRDefault="00582658" w:rsidP="007545BD">
      <w:pPr>
        <w:pStyle w:val="ListParagraph"/>
        <w:numPr>
          <w:ilvl w:val="0"/>
          <w:numId w:val="54"/>
        </w:numPr>
        <w:spacing w:after="0" w:line="240" w:lineRule="auto"/>
        <w:jc w:val="both"/>
        <w:rPr>
          <w:rFonts w:ascii="Times New Roman" w:hAnsi="Times New Roman" w:cs="Times New Roman"/>
          <w:sz w:val="24"/>
          <w:szCs w:val="24"/>
        </w:rPr>
      </w:pPr>
      <w:r w:rsidRPr="00930237">
        <w:rPr>
          <w:rFonts w:ascii="Times New Roman" w:hAnsi="Times New Roman" w:cs="Times New Roman"/>
          <w:sz w:val="24"/>
          <w:szCs w:val="24"/>
        </w:rPr>
        <w:t>Korporatīvās</w:t>
      </w:r>
      <w:r w:rsidR="00AC212B" w:rsidRPr="00930237">
        <w:rPr>
          <w:rFonts w:ascii="Times New Roman" w:hAnsi="Times New Roman" w:cs="Times New Roman"/>
          <w:sz w:val="24"/>
          <w:szCs w:val="24"/>
        </w:rPr>
        <w:t xml:space="preserve"> (</w:t>
      </w:r>
      <w:r w:rsidRPr="00930237">
        <w:rPr>
          <w:rFonts w:ascii="Times New Roman" w:hAnsi="Times New Roman" w:cs="Times New Roman"/>
          <w:sz w:val="24"/>
          <w:szCs w:val="24"/>
        </w:rPr>
        <w:t>iekšējās</w:t>
      </w:r>
      <w:r w:rsidR="00AC212B" w:rsidRPr="00930237">
        <w:rPr>
          <w:rFonts w:ascii="Times New Roman" w:hAnsi="Times New Roman" w:cs="Times New Roman"/>
          <w:sz w:val="24"/>
          <w:szCs w:val="24"/>
        </w:rPr>
        <w:t>) auditorijas: valsts pārvaldes un ES fondu vadībā iesaistīto iestāžu darbinieki.</w:t>
      </w:r>
    </w:p>
    <w:p w14:paraId="50F83569" w14:textId="77777777"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bCs/>
          <w:sz w:val="24"/>
          <w:szCs w:val="24"/>
        </w:rPr>
      </w:pPr>
      <w:r w:rsidRPr="00930237">
        <w:rPr>
          <w:rFonts w:ascii="Times New Roman" w:hAnsi="Times New Roman" w:cs="Times New Roman"/>
          <w:bCs/>
          <w:i/>
          <w:sz w:val="24"/>
          <w:szCs w:val="24"/>
        </w:rPr>
        <w:t>KP fondos izmantojamie komunikācijas kanāli.</w:t>
      </w:r>
      <w:r w:rsidRPr="00930237">
        <w:rPr>
          <w:rFonts w:ascii="Times New Roman" w:hAnsi="Times New Roman" w:cs="Times New Roman"/>
          <w:sz w:val="24"/>
          <w:szCs w:val="24"/>
        </w:rPr>
        <w:t xml:space="preserve"> KP fondu stratēģijas un ikgadējo komunikācijas pasākumu plānu īstenošanā jāizmanto plašs komunikācijas kanālu klāsts, kas nodrošinās visām mērķa grupām objektīvu un izsmeļošu informāciju un sniedz iespēju nodrošināt atgriezenisko saiti. Tiks izmantoti jau tradicionālie komunikācijas kanāli – vienotā programmas mājas lapa (jauno vienoto lapu/portālu plānots izstrādāt 2021. gadā) un citas KP fondu administrēšanā iesaistīto iestāžu mājas lapas, plašsaziņas līdzekļi, informatīvie pasākumi (semināri, konferences, apmācības, preses konferences), vides reklāma, drukātie materiāli, kā arī jau esošie un jaunie sociālie mediji, atbilstoši sasniedzamajai mērķauditorijai.</w:t>
      </w:r>
    </w:p>
    <w:p w14:paraId="5D25D868" w14:textId="77777777"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bCs/>
          <w:sz w:val="24"/>
          <w:szCs w:val="24"/>
        </w:rPr>
      </w:pPr>
      <w:r w:rsidRPr="00930237">
        <w:rPr>
          <w:rFonts w:ascii="Times New Roman" w:hAnsi="Times New Roman" w:cs="Times New Roman"/>
          <w:bCs/>
          <w:sz w:val="24"/>
          <w:szCs w:val="24"/>
        </w:rPr>
        <w:t>KP fondu komunikācijas aktivitāšu un funkcijas nodrošināšanai paredzētais finansējums plānots 0,3 % apmērā no kopējā programmās finansējuma, vai lielāks.</w:t>
      </w:r>
    </w:p>
    <w:p w14:paraId="0FEBF0C4" w14:textId="77777777" w:rsidR="00AC212B" w:rsidRPr="00930237" w:rsidRDefault="00AC212B" w:rsidP="00AC212B">
      <w:pPr>
        <w:pStyle w:val="ListParagraph"/>
        <w:suppressAutoHyphens/>
        <w:spacing w:after="0" w:line="240" w:lineRule="auto"/>
        <w:ind w:left="567"/>
        <w:jc w:val="both"/>
        <w:rPr>
          <w:rFonts w:ascii="Times New Roman" w:hAnsi="Times New Roman" w:cs="Times New Roman"/>
          <w:sz w:val="24"/>
          <w:szCs w:val="24"/>
        </w:rPr>
      </w:pPr>
    </w:p>
    <w:p w14:paraId="698040A7" w14:textId="77777777" w:rsidR="00AC212B" w:rsidRPr="00930237" w:rsidRDefault="00AC212B" w:rsidP="00AC212B">
      <w:pPr>
        <w:spacing w:before="0" w:after="0"/>
        <w:rPr>
          <w:rFonts w:eastAsia="Times New Roman"/>
          <w:b/>
          <w:iCs/>
          <w:noProof/>
          <w:sz w:val="20"/>
        </w:rPr>
      </w:pPr>
    </w:p>
    <w:p w14:paraId="783D425F" w14:textId="313E43AC" w:rsidR="00AC212B" w:rsidRPr="00930237" w:rsidRDefault="00AC212B" w:rsidP="007545BD">
      <w:pPr>
        <w:pStyle w:val="Heading2"/>
        <w:numPr>
          <w:ilvl w:val="0"/>
          <w:numId w:val="41"/>
        </w:numPr>
        <w:spacing w:after="0"/>
        <w:rPr>
          <w:iCs/>
          <w:noProof/>
          <w:szCs w:val="24"/>
        </w:rPr>
      </w:pPr>
      <w:bookmarkStart w:id="65" w:name="_Toc69125437"/>
      <w:r w:rsidRPr="00930237">
        <w:rPr>
          <w:noProof/>
          <w:szCs w:val="24"/>
        </w:rPr>
        <w:t>Vienas vienības izmaksu, vienreizējo maksājumu un vienotu likmju izmantošana, un finansējums, kas nav saistīts ar izmaksām</w:t>
      </w:r>
      <w:bookmarkEnd w:id="65"/>
    </w:p>
    <w:p w14:paraId="61283271" w14:textId="77777777" w:rsidR="00AC212B" w:rsidRPr="00930237" w:rsidRDefault="00AC212B" w:rsidP="00AC212B">
      <w:pPr>
        <w:spacing w:before="0" w:after="0"/>
        <w:rPr>
          <w:noProof/>
          <w:color w:val="FF0000"/>
          <w:sz w:val="20"/>
        </w:rPr>
      </w:pPr>
      <w:r w:rsidRPr="00930237">
        <w:rPr>
          <w:noProof/>
          <w:color w:val="FF0000"/>
          <w:sz w:val="20"/>
        </w:rPr>
        <w:t>[Tiks papildināts – 8.sadaļa un saistītie pielikumi]</w:t>
      </w:r>
    </w:p>
    <w:p w14:paraId="5E2403AC" w14:textId="77777777" w:rsidR="00AC212B" w:rsidRPr="00930237" w:rsidRDefault="00AC212B" w:rsidP="00AC212B">
      <w:pPr>
        <w:spacing w:before="0" w:after="0"/>
        <w:rPr>
          <w:noProof/>
          <w:color w:val="FF0000"/>
          <w:sz w:val="20"/>
        </w:rPr>
      </w:pPr>
    </w:p>
    <w:p w14:paraId="26ADC988" w14:textId="77777777" w:rsidR="00AC212B" w:rsidRPr="00930237" w:rsidRDefault="00AC212B" w:rsidP="00AC212B">
      <w:pPr>
        <w:pStyle w:val="Heading4"/>
        <w:numPr>
          <w:ilvl w:val="0"/>
          <w:numId w:val="0"/>
        </w:numPr>
        <w:spacing w:after="0"/>
        <w:rPr>
          <w:b/>
          <w:noProof/>
          <w:sz w:val="20"/>
        </w:rPr>
      </w:pPr>
      <w:r w:rsidRPr="00930237">
        <w:rPr>
          <w:b/>
          <w:noProof/>
          <w:sz w:val="20"/>
        </w:rPr>
        <w:t>14. tabula. Vienas vienības izmaksu, vienreizējo maksājumu un vienotu likmju izmantošana, un finansējums, kas nav saistīts ar izmaksām</w:t>
      </w:r>
    </w:p>
    <w:p w14:paraId="74193D65" w14:textId="77777777" w:rsidR="00AC212B" w:rsidRPr="00930237" w:rsidRDefault="00AC212B" w:rsidP="00AC212B">
      <w:pPr>
        <w:spacing w:before="0" w:after="0"/>
        <w:rPr>
          <w:rFonts w:eastAsia="Times New Roman"/>
          <w:i/>
          <w:noProof/>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701"/>
        <w:gridCol w:w="1701"/>
      </w:tblGrid>
      <w:tr w:rsidR="00AC212B" w:rsidRPr="00930237" w14:paraId="254B2343" w14:textId="77777777" w:rsidTr="00710DDA">
        <w:tc>
          <w:tcPr>
            <w:tcW w:w="5920" w:type="dxa"/>
          </w:tcPr>
          <w:p w14:paraId="0755477A" w14:textId="77777777" w:rsidR="00AC212B" w:rsidRPr="00930237" w:rsidRDefault="00AC212B" w:rsidP="00710DDA">
            <w:pPr>
              <w:pStyle w:val="Text3"/>
              <w:spacing w:before="0" w:after="0"/>
              <w:ind w:left="0"/>
              <w:rPr>
                <w:b/>
                <w:noProof/>
                <w:sz w:val="20"/>
                <w:szCs w:val="20"/>
                <w:u w:val="single"/>
              </w:rPr>
            </w:pPr>
            <w:r w:rsidRPr="00930237">
              <w:rPr>
                <w:b/>
                <w:noProof/>
                <w:sz w:val="20"/>
                <w:szCs w:val="20"/>
                <w:u w:val="single"/>
              </w:rPr>
              <w:t>Plānotā KNR 88.panta un 89.panta izmantošana</w:t>
            </w:r>
          </w:p>
        </w:tc>
        <w:tc>
          <w:tcPr>
            <w:tcW w:w="1701" w:type="dxa"/>
          </w:tcPr>
          <w:p w14:paraId="6DA3C97E" w14:textId="77777777" w:rsidR="00AC212B" w:rsidRPr="00930237" w:rsidRDefault="00AC212B" w:rsidP="00710DDA">
            <w:pPr>
              <w:pStyle w:val="Text3"/>
              <w:spacing w:before="0" w:after="0"/>
              <w:ind w:left="0"/>
              <w:rPr>
                <w:b/>
                <w:noProof/>
                <w:sz w:val="20"/>
                <w:szCs w:val="20"/>
                <w:u w:val="single"/>
              </w:rPr>
            </w:pPr>
            <w:r w:rsidRPr="00930237">
              <w:rPr>
                <w:b/>
                <w:noProof/>
                <w:sz w:val="20"/>
                <w:szCs w:val="20"/>
                <w:u w:val="single"/>
              </w:rPr>
              <w:t>YES</w:t>
            </w:r>
          </w:p>
        </w:tc>
        <w:tc>
          <w:tcPr>
            <w:tcW w:w="1701" w:type="dxa"/>
          </w:tcPr>
          <w:p w14:paraId="3F75CD20" w14:textId="77777777" w:rsidR="00AC212B" w:rsidRPr="00930237" w:rsidRDefault="00AC212B" w:rsidP="00710DDA">
            <w:pPr>
              <w:pStyle w:val="Text3"/>
              <w:spacing w:before="0" w:after="0"/>
              <w:ind w:left="0"/>
              <w:rPr>
                <w:b/>
                <w:noProof/>
                <w:sz w:val="20"/>
                <w:szCs w:val="20"/>
                <w:u w:val="single"/>
              </w:rPr>
            </w:pPr>
            <w:r w:rsidRPr="00930237">
              <w:rPr>
                <w:b/>
                <w:noProof/>
                <w:sz w:val="20"/>
                <w:szCs w:val="20"/>
                <w:u w:val="single"/>
              </w:rPr>
              <w:t>NO</w:t>
            </w:r>
          </w:p>
        </w:tc>
      </w:tr>
      <w:tr w:rsidR="00AC212B" w:rsidRPr="00930237" w14:paraId="13B94730" w14:textId="77777777" w:rsidTr="00710DDA">
        <w:tc>
          <w:tcPr>
            <w:tcW w:w="5920" w:type="dxa"/>
          </w:tcPr>
          <w:p w14:paraId="4E9484A0" w14:textId="77777777" w:rsidR="00AC212B" w:rsidRPr="00930237" w:rsidRDefault="00AC212B" w:rsidP="00710DDA">
            <w:pPr>
              <w:pStyle w:val="HTMLPreformatted"/>
              <w:shd w:val="clear" w:color="auto" w:fill="FFFFFF"/>
              <w:rPr>
                <w:rFonts w:ascii="Times New Roman" w:hAnsi="Times New Roman" w:cs="Times New Roman"/>
                <w:color w:val="212121"/>
              </w:rPr>
            </w:pPr>
            <w:r w:rsidRPr="00930237">
              <w:rPr>
                <w:rFonts w:ascii="Times New Roman" w:hAnsi="Times New Roman" w:cs="Times New Roman"/>
                <w:color w:val="212121"/>
              </w:rPr>
              <w:t>No apstiprinātas programmas tiks izmantoti attaisnotie izdevumi, kas balstīti uz vienas vienības izmaksām, vienreizējiem maksājumiem un vienotas likmes saskaņā ar KNR 88. pantu (ja jā, aizpildiet 1. papildinājumu)</w:t>
            </w:r>
          </w:p>
          <w:p w14:paraId="32B0CC50" w14:textId="77777777" w:rsidR="00AC212B" w:rsidRPr="00930237" w:rsidRDefault="00AC212B" w:rsidP="00710DDA">
            <w:pPr>
              <w:pStyle w:val="Text3"/>
              <w:spacing w:before="0" w:after="0"/>
              <w:ind w:left="0"/>
              <w:rPr>
                <w:b/>
                <w:noProof/>
                <w:sz w:val="20"/>
                <w:szCs w:val="20"/>
                <w:u w:val="single"/>
              </w:rPr>
            </w:pPr>
          </w:p>
        </w:tc>
        <w:tc>
          <w:tcPr>
            <w:tcW w:w="1701" w:type="dxa"/>
          </w:tcPr>
          <w:p w14:paraId="439AD8E7" w14:textId="151C9995" w:rsidR="00AC212B" w:rsidRPr="0091266A" w:rsidRDefault="0091266A" w:rsidP="00710DDA">
            <w:pPr>
              <w:pStyle w:val="Text3"/>
              <w:spacing w:before="0" w:after="0"/>
              <w:ind w:left="0"/>
              <w:rPr>
                <w:bCs/>
                <w:noProof/>
                <w:sz w:val="20"/>
                <w:szCs w:val="20"/>
              </w:rPr>
            </w:pPr>
            <w:r w:rsidRPr="0091266A">
              <w:rPr>
                <w:bCs/>
                <w:noProof/>
                <w:sz w:val="20"/>
                <w:szCs w:val="20"/>
              </w:rPr>
              <w:t>■</w:t>
            </w:r>
          </w:p>
        </w:tc>
        <w:tc>
          <w:tcPr>
            <w:tcW w:w="1701" w:type="dxa"/>
          </w:tcPr>
          <w:p w14:paraId="267FE678" w14:textId="01DF3387" w:rsidR="00AC212B" w:rsidRPr="0091266A" w:rsidRDefault="0091266A" w:rsidP="00710DDA">
            <w:pPr>
              <w:pStyle w:val="Text3"/>
              <w:spacing w:before="0" w:after="0"/>
              <w:ind w:left="0"/>
              <w:rPr>
                <w:bCs/>
                <w:noProof/>
                <w:sz w:val="20"/>
                <w:szCs w:val="20"/>
              </w:rPr>
            </w:pPr>
            <w:r w:rsidRPr="0091266A">
              <w:rPr>
                <w:bCs/>
                <w:noProof/>
                <w:sz w:val="20"/>
                <w:szCs w:val="20"/>
              </w:rPr>
              <w:t>□</w:t>
            </w:r>
          </w:p>
        </w:tc>
      </w:tr>
      <w:tr w:rsidR="00AC212B" w:rsidRPr="00930237" w14:paraId="1C32FB36" w14:textId="77777777" w:rsidTr="00710DDA">
        <w:tc>
          <w:tcPr>
            <w:tcW w:w="5920" w:type="dxa"/>
          </w:tcPr>
          <w:p w14:paraId="45ECBBC0" w14:textId="77777777" w:rsidR="00AC212B" w:rsidRPr="00930237" w:rsidRDefault="00AC212B" w:rsidP="00710DDA">
            <w:pPr>
              <w:pStyle w:val="HTMLPreformatted"/>
              <w:shd w:val="clear" w:color="auto" w:fill="FFFFFF"/>
              <w:rPr>
                <w:rFonts w:ascii="Times New Roman" w:hAnsi="Times New Roman" w:cs="Times New Roman"/>
                <w:color w:val="212121"/>
              </w:rPr>
            </w:pPr>
            <w:r w:rsidRPr="00930237">
              <w:rPr>
                <w:rFonts w:ascii="Times New Roman" w:hAnsi="Times New Roman" w:cs="Times New Roman"/>
                <w:color w:val="212121"/>
              </w:rPr>
              <w:t>No apstiprinātas programmas finansējuma izmantošana, kas nav saistīta ar izmaksām saskaņā ar KNR 89. pantu (ja jā, aizpildiet 2. papildinājumu)</w:t>
            </w:r>
          </w:p>
        </w:tc>
        <w:tc>
          <w:tcPr>
            <w:tcW w:w="1701" w:type="dxa"/>
          </w:tcPr>
          <w:p w14:paraId="25EBA140" w14:textId="6093E02E" w:rsidR="00AC212B" w:rsidRPr="0091266A" w:rsidRDefault="0091266A" w:rsidP="00710DDA">
            <w:pPr>
              <w:pStyle w:val="Text3"/>
              <w:spacing w:before="0" w:after="0"/>
              <w:ind w:left="0"/>
              <w:rPr>
                <w:bCs/>
                <w:noProof/>
                <w:sz w:val="20"/>
                <w:szCs w:val="20"/>
              </w:rPr>
            </w:pPr>
            <w:r w:rsidRPr="0091266A">
              <w:rPr>
                <w:bCs/>
                <w:noProof/>
                <w:sz w:val="20"/>
                <w:szCs w:val="20"/>
              </w:rPr>
              <w:t>□</w:t>
            </w:r>
          </w:p>
        </w:tc>
        <w:tc>
          <w:tcPr>
            <w:tcW w:w="1701" w:type="dxa"/>
          </w:tcPr>
          <w:p w14:paraId="5B95C853" w14:textId="368C40B0" w:rsidR="00AC212B" w:rsidRPr="0091266A" w:rsidRDefault="0091266A" w:rsidP="00710DDA">
            <w:pPr>
              <w:pStyle w:val="Text3"/>
              <w:spacing w:before="0" w:after="0"/>
              <w:ind w:left="0"/>
              <w:rPr>
                <w:bCs/>
                <w:noProof/>
                <w:sz w:val="20"/>
                <w:szCs w:val="20"/>
              </w:rPr>
            </w:pPr>
            <w:r w:rsidRPr="0091266A">
              <w:rPr>
                <w:bCs/>
                <w:noProof/>
                <w:sz w:val="20"/>
                <w:szCs w:val="20"/>
              </w:rPr>
              <w:t>■</w:t>
            </w:r>
          </w:p>
        </w:tc>
      </w:tr>
    </w:tbl>
    <w:p w14:paraId="6ADBFF09" w14:textId="77777777" w:rsidR="00AC212B" w:rsidRPr="00930237" w:rsidRDefault="00AC212B" w:rsidP="00AC212B">
      <w:pPr>
        <w:spacing w:before="0" w:after="0"/>
        <w:rPr>
          <w:rFonts w:eastAsia="Times New Roman"/>
          <w:noProof/>
          <w:sz w:val="20"/>
        </w:rPr>
      </w:pPr>
      <w:r w:rsidRPr="00930237">
        <w:rPr>
          <w:noProof/>
          <w:sz w:val="20"/>
        </w:rPr>
        <w:t>* Pilnīgu informāciju sniegs saskaņā ar modeļiem, kas pievienoti KNR.</w:t>
      </w:r>
    </w:p>
    <w:p w14:paraId="14D3F3DC" w14:textId="77777777" w:rsidR="00AC212B" w:rsidRPr="00930237" w:rsidRDefault="00AC212B" w:rsidP="00AC212B">
      <w:pPr>
        <w:spacing w:before="0" w:after="0"/>
        <w:jc w:val="left"/>
        <w:rPr>
          <w:rFonts w:eastAsia="Times New Roman"/>
          <w:b/>
          <w:noProof/>
          <w:sz w:val="20"/>
        </w:rPr>
      </w:pPr>
    </w:p>
    <w:p w14:paraId="223EEE81" w14:textId="77777777" w:rsidR="00AC212B" w:rsidRPr="00930237" w:rsidRDefault="00AC212B" w:rsidP="00AC212B">
      <w:pPr>
        <w:tabs>
          <w:tab w:val="center" w:pos="4862"/>
        </w:tabs>
        <w:spacing w:before="0" w:after="0"/>
        <w:rPr>
          <w:b/>
          <w:i/>
          <w:sz w:val="20"/>
          <w:u w:val="single" w:color="000000"/>
        </w:rPr>
      </w:pPr>
    </w:p>
    <w:p w14:paraId="63508B73" w14:textId="77777777" w:rsidR="00AC212B" w:rsidRPr="00930237" w:rsidRDefault="00AC212B" w:rsidP="00AC212B">
      <w:pPr>
        <w:pStyle w:val="Heading3"/>
        <w:numPr>
          <w:ilvl w:val="0"/>
          <w:numId w:val="0"/>
        </w:numPr>
        <w:spacing w:after="0"/>
        <w:rPr>
          <w:b/>
          <w:noProof/>
          <w:szCs w:val="24"/>
        </w:rPr>
      </w:pPr>
      <w:r w:rsidRPr="00930237">
        <w:rPr>
          <w:noProof/>
          <w:sz w:val="20"/>
        </w:rPr>
        <w:t xml:space="preserve"> </w:t>
      </w:r>
      <w:bookmarkStart w:id="66" w:name="_Toc69125438"/>
      <w:r w:rsidRPr="00930237">
        <w:rPr>
          <w:rStyle w:val="Heading3Char"/>
          <w:b/>
          <w:szCs w:val="24"/>
        </w:rPr>
        <w:t>1.papildinājums. Komisijas nodrošināta attiecināmo izdevumu atlīdzināšana dalībvalstij, pamatojoties uz vienas vienības izmaksām, vienreizējiem maksājumiem un vienotām likmēm</w:t>
      </w:r>
      <w:bookmarkEnd w:id="66"/>
      <w:r w:rsidRPr="00930237">
        <w:rPr>
          <w:b/>
          <w:noProof/>
          <w:szCs w:val="24"/>
        </w:rPr>
        <w:t xml:space="preserve"> </w:t>
      </w:r>
      <w:bookmarkStart w:id="67" w:name="_Toc380656957"/>
    </w:p>
    <w:p w14:paraId="2402AAA6" w14:textId="77777777" w:rsidR="00AC212B" w:rsidRPr="00930237" w:rsidRDefault="00AC212B" w:rsidP="00AC212B">
      <w:pPr>
        <w:spacing w:before="0" w:after="0"/>
        <w:jc w:val="center"/>
        <w:rPr>
          <w:b/>
          <w:noProof/>
          <w:sz w:val="20"/>
          <w:u w:val="single"/>
        </w:rPr>
      </w:pPr>
    </w:p>
    <w:p w14:paraId="15595D0D" w14:textId="77777777" w:rsidR="00AC212B" w:rsidRPr="00930237" w:rsidRDefault="00AC212B" w:rsidP="00AC212B">
      <w:pPr>
        <w:spacing w:before="0" w:after="0"/>
        <w:jc w:val="center"/>
        <w:rPr>
          <w:b/>
          <w:noProof/>
          <w:sz w:val="20"/>
          <w:u w:val="single"/>
        </w:rPr>
      </w:pPr>
      <w:r w:rsidRPr="00930237">
        <w:rPr>
          <w:b/>
          <w:noProof/>
          <w:sz w:val="20"/>
          <w:u w:val="single"/>
        </w:rPr>
        <w:t>Veidne datu iesniegšanai Komisijā izskatīšanai</w:t>
      </w:r>
    </w:p>
    <w:p w14:paraId="20537EC9" w14:textId="77777777" w:rsidR="00AC212B" w:rsidRPr="00930237" w:rsidRDefault="00AC212B" w:rsidP="00AC212B">
      <w:pPr>
        <w:spacing w:before="0" w:after="0"/>
        <w:jc w:val="center"/>
        <w:rPr>
          <w:b/>
          <w:i/>
          <w:noProof/>
          <w:sz w:val="20"/>
        </w:rPr>
      </w:pPr>
      <w:r w:rsidRPr="00930237">
        <w:rPr>
          <w:b/>
          <w:noProof/>
          <w:sz w:val="20"/>
          <w:u w:val="single"/>
        </w:rPr>
        <w:t>(88. pants)</w:t>
      </w:r>
    </w:p>
    <w:bookmarkEnd w:id="67"/>
    <w:p w14:paraId="3E33AE4D" w14:textId="77777777" w:rsidR="00AC212B" w:rsidRPr="00930237" w:rsidRDefault="00AC212B" w:rsidP="00AC212B">
      <w:pPr>
        <w:spacing w:before="0" w:after="0"/>
        <w:jc w:val="center"/>
        <w:rPr>
          <w:noProof/>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AC212B" w:rsidRPr="00930237" w14:paraId="40BE9916" w14:textId="77777777" w:rsidTr="00710DDA">
        <w:tc>
          <w:tcPr>
            <w:tcW w:w="4644" w:type="dxa"/>
            <w:shd w:val="clear" w:color="auto" w:fill="auto"/>
          </w:tcPr>
          <w:p w14:paraId="5FB28C2C" w14:textId="77777777" w:rsidR="00AC212B" w:rsidRPr="00930237" w:rsidRDefault="00AC212B" w:rsidP="00710DDA">
            <w:pPr>
              <w:spacing w:before="0" w:after="0"/>
              <w:rPr>
                <w:noProof/>
                <w:sz w:val="20"/>
              </w:rPr>
            </w:pPr>
            <w:r w:rsidRPr="00930237">
              <w:rPr>
                <w:noProof/>
                <w:sz w:val="20"/>
              </w:rPr>
              <w:t>Priekšlikuma iesniegšanas datums</w:t>
            </w:r>
          </w:p>
        </w:tc>
        <w:tc>
          <w:tcPr>
            <w:tcW w:w="4644" w:type="dxa"/>
            <w:shd w:val="clear" w:color="auto" w:fill="auto"/>
          </w:tcPr>
          <w:p w14:paraId="5FB869C5" w14:textId="77777777" w:rsidR="00AC212B" w:rsidRPr="00930237" w:rsidRDefault="00AC212B" w:rsidP="00710DDA">
            <w:pPr>
              <w:spacing w:before="0" w:after="0"/>
              <w:rPr>
                <w:noProof/>
                <w:sz w:val="20"/>
              </w:rPr>
            </w:pPr>
          </w:p>
        </w:tc>
      </w:tr>
    </w:tbl>
    <w:p w14:paraId="498F5151" w14:textId="77777777" w:rsidR="00AC212B" w:rsidRPr="00930237" w:rsidRDefault="00AC212B" w:rsidP="00AC212B">
      <w:pPr>
        <w:spacing w:before="0" w:after="0"/>
        <w:rPr>
          <w:noProof/>
          <w:sz w:val="20"/>
        </w:rPr>
      </w:pPr>
    </w:p>
    <w:p w14:paraId="1A2F755C" w14:textId="77777777" w:rsidR="00AC212B" w:rsidRPr="00930237" w:rsidRDefault="00AC212B" w:rsidP="00AC212B">
      <w:pPr>
        <w:spacing w:before="0" w:after="0"/>
        <w:rPr>
          <w:noProof/>
          <w:sz w:val="20"/>
        </w:rPr>
        <w:sectPr w:rsidR="00AC212B" w:rsidRPr="00930237">
          <w:pgSz w:w="11906" w:h="16838" w:code="9"/>
          <w:pgMar w:top="567" w:right="1134" w:bottom="567" w:left="1134" w:header="709" w:footer="709" w:gutter="0"/>
          <w:cols w:space="708"/>
          <w:titlePg/>
          <w:docGrid w:linePitch="360"/>
        </w:sectPr>
      </w:pPr>
    </w:p>
    <w:p w14:paraId="29B5FCB3" w14:textId="77777777" w:rsidR="00AC212B" w:rsidRPr="00930237" w:rsidRDefault="00AC212B" w:rsidP="00AC212B">
      <w:pPr>
        <w:pStyle w:val="Heading4"/>
        <w:numPr>
          <w:ilvl w:val="0"/>
          <w:numId w:val="0"/>
        </w:numPr>
        <w:spacing w:after="0"/>
        <w:ind w:left="426"/>
        <w:rPr>
          <w:b/>
          <w:noProof/>
          <w:sz w:val="20"/>
        </w:rPr>
      </w:pPr>
      <w:r w:rsidRPr="00930237">
        <w:rPr>
          <w:b/>
          <w:noProof/>
          <w:sz w:val="20"/>
        </w:rPr>
        <w:t>A.</w:t>
      </w:r>
      <w:r w:rsidRPr="00930237">
        <w:rPr>
          <w:b/>
          <w:noProof/>
          <w:sz w:val="20"/>
        </w:rPr>
        <w:tab/>
        <w:t xml:space="preserve">Galveno elementu kopsavilkums </w:t>
      </w:r>
    </w:p>
    <w:p w14:paraId="45AC344C" w14:textId="77777777" w:rsidR="00AC212B" w:rsidRPr="00930237" w:rsidRDefault="00AC212B" w:rsidP="00AC212B">
      <w:pPr>
        <w:spacing w:before="0" w:after="0"/>
        <w:rPr>
          <w:color w:val="FF0000"/>
        </w:rPr>
      </w:pPr>
      <w:r w:rsidRPr="00930237">
        <w:rPr>
          <w:color w:val="FF0000"/>
        </w:rPr>
        <w:t>[Tiks paildināts/ aktualizēts]</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778"/>
        <w:gridCol w:w="661"/>
        <w:gridCol w:w="1094"/>
        <w:gridCol w:w="2383"/>
        <w:gridCol w:w="1117"/>
        <w:gridCol w:w="1117"/>
        <w:gridCol w:w="1117"/>
        <w:gridCol w:w="1117"/>
        <w:gridCol w:w="1228"/>
        <w:gridCol w:w="1374"/>
        <w:gridCol w:w="2411"/>
      </w:tblGrid>
      <w:tr w:rsidR="00AC212B" w:rsidRPr="00930237" w14:paraId="76C1DC61" w14:textId="77777777" w:rsidTr="00710DDA">
        <w:tc>
          <w:tcPr>
            <w:tcW w:w="340" w:type="pct"/>
            <w:shd w:val="clear" w:color="auto" w:fill="D9D9D9" w:themeFill="background1" w:themeFillShade="D9"/>
          </w:tcPr>
          <w:p w14:paraId="7A5F1635" w14:textId="77777777" w:rsidR="00AC212B" w:rsidRPr="00930237" w:rsidRDefault="00AC212B" w:rsidP="00710DDA">
            <w:pPr>
              <w:spacing w:before="0" w:after="0"/>
              <w:jc w:val="center"/>
              <w:rPr>
                <w:b/>
                <w:noProof/>
                <w:sz w:val="20"/>
              </w:rPr>
            </w:pPr>
            <w:r w:rsidRPr="00930237">
              <w:rPr>
                <w:b/>
                <w:noProof/>
                <w:sz w:val="20"/>
              </w:rPr>
              <w:t xml:space="preserve">Prioritāte </w:t>
            </w:r>
          </w:p>
        </w:tc>
        <w:tc>
          <w:tcPr>
            <w:tcW w:w="252" w:type="pct"/>
            <w:shd w:val="clear" w:color="auto" w:fill="D9D9D9" w:themeFill="background1" w:themeFillShade="D9"/>
          </w:tcPr>
          <w:p w14:paraId="2CE3DDD9" w14:textId="77777777" w:rsidR="00AC212B" w:rsidRPr="00930237" w:rsidRDefault="00AC212B" w:rsidP="00710DDA">
            <w:pPr>
              <w:spacing w:before="0" w:after="0"/>
              <w:jc w:val="center"/>
              <w:rPr>
                <w:b/>
                <w:noProof/>
                <w:sz w:val="20"/>
              </w:rPr>
            </w:pPr>
            <w:r w:rsidRPr="00930237">
              <w:rPr>
                <w:b/>
                <w:noProof/>
                <w:sz w:val="20"/>
              </w:rPr>
              <w:t>Fonds</w:t>
            </w:r>
          </w:p>
        </w:tc>
        <w:tc>
          <w:tcPr>
            <w:tcW w:w="214" w:type="pct"/>
            <w:shd w:val="clear" w:color="auto" w:fill="D9D9D9" w:themeFill="background1" w:themeFillShade="D9"/>
          </w:tcPr>
          <w:p w14:paraId="3CC2AB91" w14:textId="77777777" w:rsidR="00AC212B" w:rsidRPr="00930237" w:rsidRDefault="00AC212B" w:rsidP="00710DDA">
            <w:pPr>
              <w:spacing w:before="0" w:after="0"/>
              <w:jc w:val="center"/>
              <w:rPr>
                <w:b/>
                <w:noProof/>
                <w:sz w:val="20"/>
              </w:rPr>
            </w:pPr>
            <w:r w:rsidRPr="00930237">
              <w:rPr>
                <w:b/>
                <w:noProof/>
                <w:sz w:val="20"/>
              </w:rPr>
              <w:t xml:space="preserve">SAM </w:t>
            </w:r>
          </w:p>
        </w:tc>
        <w:tc>
          <w:tcPr>
            <w:tcW w:w="354" w:type="pct"/>
            <w:shd w:val="clear" w:color="auto" w:fill="D9D9D9" w:themeFill="background1" w:themeFillShade="D9"/>
          </w:tcPr>
          <w:p w14:paraId="133CBC6F" w14:textId="77777777" w:rsidR="00AC212B" w:rsidRPr="00930237" w:rsidRDefault="00AC212B" w:rsidP="00710DDA">
            <w:pPr>
              <w:spacing w:before="0" w:after="0"/>
              <w:jc w:val="center"/>
              <w:rPr>
                <w:b/>
                <w:noProof/>
                <w:sz w:val="20"/>
              </w:rPr>
            </w:pPr>
            <w:r w:rsidRPr="00930237">
              <w:rPr>
                <w:b/>
                <w:noProof/>
                <w:sz w:val="20"/>
              </w:rPr>
              <w:t>Reģiona kategorija</w:t>
            </w:r>
          </w:p>
        </w:tc>
        <w:tc>
          <w:tcPr>
            <w:tcW w:w="775" w:type="pct"/>
            <w:shd w:val="clear" w:color="auto" w:fill="D9D9D9" w:themeFill="background1" w:themeFillShade="D9"/>
          </w:tcPr>
          <w:p w14:paraId="1C15B13D" w14:textId="2F3808BF" w:rsidR="00AC212B" w:rsidRPr="00930237" w:rsidRDefault="00AC212B" w:rsidP="009556B9">
            <w:pPr>
              <w:spacing w:before="0" w:after="0"/>
              <w:jc w:val="center"/>
              <w:rPr>
                <w:b/>
                <w:noProof/>
                <w:sz w:val="20"/>
              </w:rPr>
            </w:pPr>
            <w:r w:rsidRPr="00930237">
              <w:rPr>
                <w:b/>
                <w:noProof/>
                <w:sz w:val="20"/>
              </w:rPr>
              <w:t xml:space="preserve">Tā aplēstā proporcija no kopējā finanšu piešķīruma attiecīgajā prioritātē, kurai piemēros vienkāršotas izmaksu iespējas, % </w:t>
            </w:r>
          </w:p>
        </w:tc>
        <w:tc>
          <w:tcPr>
            <w:tcW w:w="724" w:type="pct"/>
            <w:gridSpan w:val="2"/>
            <w:shd w:val="clear" w:color="auto" w:fill="D9D9D9" w:themeFill="background1" w:themeFillShade="D9"/>
          </w:tcPr>
          <w:p w14:paraId="073D2C82" w14:textId="6295E0D6" w:rsidR="00AC212B" w:rsidRPr="00930237" w:rsidRDefault="009556B9" w:rsidP="009556B9">
            <w:pPr>
              <w:spacing w:before="0" w:after="0"/>
              <w:jc w:val="center"/>
              <w:rPr>
                <w:b/>
                <w:noProof/>
                <w:sz w:val="20"/>
              </w:rPr>
            </w:pPr>
            <w:r>
              <w:rPr>
                <w:b/>
                <w:noProof/>
                <w:sz w:val="20"/>
              </w:rPr>
              <w:t>Aptvertie d</w:t>
            </w:r>
            <w:r w:rsidR="00AC212B" w:rsidRPr="00930237">
              <w:rPr>
                <w:b/>
                <w:noProof/>
                <w:sz w:val="20"/>
              </w:rPr>
              <w:t>arbības veids (-i)</w:t>
            </w:r>
          </w:p>
        </w:tc>
        <w:tc>
          <w:tcPr>
            <w:tcW w:w="724" w:type="pct"/>
            <w:gridSpan w:val="2"/>
            <w:shd w:val="clear" w:color="auto" w:fill="D9D9D9" w:themeFill="background1" w:themeFillShade="D9"/>
          </w:tcPr>
          <w:p w14:paraId="50E1254F" w14:textId="26EAE70A" w:rsidR="00AC212B" w:rsidRPr="00930237" w:rsidRDefault="001A3745" w:rsidP="007F671C">
            <w:pPr>
              <w:spacing w:before="0" w:after="0"/>
              <w:jc w:val="center"/>
              <w:rPr>
                <w:b/>
                <w:noProof/>
                <w:sz w:val="20"/>
              </w:rPr>
            </w:pPr>
            <w:r>
              <w:rPr>
                <w:b/>
                <w:noProof/>
                <w:sz w:val="20"/>
              </w:rPr>
              <w:t>Ar maksājumu saistītais rādītājs</w:t>
            </w:r>
          </w:p>
        </w:tc>
        <w:tc>
          <w:tcPr>
            <w:tcW w:w="383" w:type="pct"/>
            <w:shd w:val="clear" w:color="auto" w:fill="D9D9D9" w:themeFill="background1" w:themeFillShade="D9"/>
          </w:tcPr>
          <w:p w14:paraId="6861165F" w14:textId="57F45429" w:rsidR="00AC212B" w:rsidRPr="00930237" w:rsidRDefault="001A3745" w:rsidP="00710DDA">
            <w:pPr>
              <w:spacing w:before="0" w:after="0"/>
              <w:jc w:val="center"/>
              <w:rPr>
                <w:b/>
                <w:noProof/>
                <w:sz w:val="20"/>
              </w:rPr>
            </w:pPr>
            <w:r>
              <w:rPr>
                <w:b/>
                <w:noProof/>
                <w:sz w:val="20"/>
              </w:rPr>
              <w:t>Ar maksājumu saistītā rādītāja mērvienība</w:t>
            </w:r>
          </w:p>
        </w:tc>
        <w:tc>
          <w:tcPr>
            <w:tcW w:w="452" w:type="pct"/>
            <w:shd w:val="clear" w:color="auto" w:fill="D9D9D9" w:themeFill="background1" w:themeFillShade="D9"/>
          </w:tcPr>
          <w:p w14:paraId="6FA43012" w14:textId="77777777" w:rsidR="00AC212B" w:rsidRPr="00930237" w:rsidRDefault="00AC212B" w:rsidP="00710DDA">
            <w:pPr>
              <w:spacing w:before="0" w:after="0"/>
              <w:jc w:val="center"/>
              <w:rPr>
                <w:b/>
                <w:noProof/>
                <w:sz w:val="20"/>
              </w:rPr>
            </w:pPr>
            <w:r w:rsidRPr="00930237">
              <w:rPr>
                <w:b/>
                <w:noProof/>
                <w:sz w:val="20"/>
              </w:rPr>
              <w:t>Vienkāršotas izmaksu iespējas veids (vienas vienības izmaksu, vienreizējo maksājumu vai vienotas likmes)</w:t>
            </w:r>
          </w:p>
        </w:tc>
        <w:tc>
          <w:tcPr>
            <w:tcW w:w="782" w:type="pct"/>
            <w:shd w:val="clear" w:color="auto" w:fill="D9D9D9" w:themeFill="background1" w:themeFillShade="D9"/>
          </w:tcPr>
          <w:p w14:paraId="01DAA5F7" w14:textId="77777777" w:rsidR="001A3745" w:rsidRDefault="001A3745" w:rsidP="00710DDA">
            <w:pPr>
              <w:spacing w:before="0" w:after="0"/>
              <w:jc w:val="center"/>
              <w:rPr>
                <w:b/>
                <w:noProof/>
                <w:sz w:val="20"/>
              </w:rPr>
            </w:pPr>
            <w:r>
              <w:rPr>
                <w:b/>
                <w:noProof/>
                <w:sz w:val="20"/>
              </w:rPr>
              <w:t>Apjoms (EUR) vai procenti (vienotās likmes vienkāršoto izmaksu gadījumā)</w:t>
            </w:r>
          </w:p>
          <w:p w14:paraId="739A0515" w14:textId="77777777" w:rsidR="00AC212B" w:rsidRPr="00930237" w:rsidRDefault="00AC212B" w:rsidP="001A3745">
            <w:pPr>
              <w:spacing w:before="0" w:after="0"/>
              <w:jc w:val="center"/>
              <w:rPr>
                <w:b/>
                <w:noProof/>
                <w:sz w:val="20"/>
              </w:rPr>
            </w:pPr>
          </w:p>
        </w:tc>
      </w:tr>
      <w:tr w:rsidR="00AC212B" w:rsidRPr="00930237" w14:paraId="1A966EDF" w14:textId="77777777" w:rsidTr="00710DDA">
        <w:tc>
          <w:tcPr>
            <w:tcW w:w="340" w:type="pct"/>
            <w:shd w:val="clear" w:color="auto" w:fill="D9D9D9" w:themeFill="background1" w:themeFillShade="D9"/>
          </w:tcPr>
          <w:p w14:paraId="063068DB" w14:textId="77777777" w:rsidR="00AC212B" w:rsidRPr="00930237" w:rsidRDefault="00AC212B" w:rsidP="00710DDA">
            <w:pPr>
              <w:spacing w:before="0" w:after="0"/>
              <w:jc w:val="center"/>
              <w:rPr>
                <w:noProof/>
                <w:sz w:val="20"/>
              </w:rPr>
            </w:pPr>
          </w:p>
        </w:tc>
        <w:tc>
          <w:tcPr>
            <w:tcW w:w="252" w:type="pct"/>
            <w:shd w:val="clear" w:color="auto" w:fill="D9D9D9" w:themeFill="background1" w:themeFillShade="D9"/>
          </w:tcPr>
          <w:p w14:paraId="0A335787" w14:textId="77777777" w:rsidR="00AC212B" w:rsidRPr="00930237" w:rsidRDefault="00AC212B" w:rsidP="00710DDA">
            <w:pPr>
              <w:spacing w:before="0" w:after="0"/>
              <w:jc w:val="center"/>
              <w:rPr>
                <w:noProof/>
                <w:sz w:val="20"/>
              </w:rPr>
            </w:pPr>
          </w:p>
        </w:tc>
        <w:tc>
          <w:tcPr>
            <w:tcW w:w="214" w:type="pct"/>
            <w:shd w:val="clear" w:color="auto" w:fill="D9D9D9" w:themeFill="background1" w:themeFillShade="D9"/>
          </w:tcPr>
          <w:p w14:paraId="6EB191D5" w14:textId="77777777" w:rsidR="00AC212B" w:rsidRPr="00930237" w:rsidRDefault="00AC212B" w:rsidP="00710DDA">
            <w:pPr>
              <w:spacing w:before="0" w:after="0"/>
              <w:jc w:val="center"/>
              <w:rPr>
                <w:noProof/>
                <w:sz w:val="20"/>
              </w:rPr>
            </w:pPr>
          </w:p>
        </w:tc>
        <w:tc>
          <w:tcPr>
            <w:tcW w:w="354" w:type="pct"/>
            <w:shd w:val="clear" w:color="auto" w:fill="D9D9D9" w:themeFill="background1" w:themeFillShade="D9"/>
          </w:tcPr>
          <w:p w14:paraId="2D3496A2" w14:textId="77777777" w:rsidR="00AC212B" w:rsidRPr="00930237" w:rsidRDefault="00AC212B" w:rsidP="00710DDA">
            <w:pPr>
              <w:spacing w:before="0" w:after="0"/>
              <w:jc w:val="center"/>
              <w:rPr>
                <w:noProof/>
                <w:sz w:val="20"/>
              </w:rPr>
            </w:pPr>
          </w:p>
        </w:tc>
        <w:tc>
          <w:tcPr>
            <w:tcW w:w="775" w:type="pct"/>
            <w:shd w:val="clear" w:color="auto" w:fill="D9D9D9" w:themeFill="background1" w:themeFillShade="D9"/>
          </w:tcPr>
          <w:p w14:paraId="5583A13D" w14:textId="77777777" w:rsidR="00AC212B" w:rsidRPr="00930237" w:rsidRDefault="00AC212B" w:rsidP="00710DDA">
            <w:pPr>
              <w:spacing w:before="0" w:after="0"/>
              <w:jc w:val="center"/>
              <w:rPr>
                <w:noProof/>
                <w:sz w:val="20"/>
              </w:rPr>
            </w:pPr>
          </w:p>
        </w:tc>
        <w:tc>
          <w:tcPr>
            <w:tcW w:w="362" w:type="pct"/>
            <w:shd w:val="clear" w:color="auto" w:fill="D9D9D9" w:themeFill="background1" w:themeFillShade="D9"/>
          </w:tcPr>
          <w:p w14:paraId="35CD7994" w14:textId="6F6C9CB2" w:rsidR="00AC212B" w:rsidRPr="00930237" w:rsidRDefault="00AC212B" w:rsidP="00710DDA">
            <w:pPr>
              <w:spacing w:before="0" w:after="0"/>
              <w:jc w:val="center"/>
              <w:rPr>
                <w:noProof/>
                <w:sz w:val="20"/>
              </w:rPr>
            </w:pPr>
            <w:r w:rsidRPr="00930237">
              <w:rPr>
                <w:noProof/>
                <w:sz w:val="20"/>
              </w:rPr>
              <w:t>Kods</w:t>
            </w:r>
            <w:r w:rsidR="007F671C">
              <w:rPr>
                <w:rStyle w:val="FootnoteReference"/>
                <w:noProof/>
                <w:sz w:val="20"/>
              </w:rPr>
              <w:footnoteReference w:id="175"/>
            </w:r>
          </w:p>
        </w:tc>
        <w:tc>
          <w:tcPr>
            <w:tcW w:w="362" w:type="pct"/>
            <w:shd w:val="clear" w:color="auto" w:fill="D9D9D9" w:themeFill="background1" w:themeFillShade="D9"/>
          </w:tcPr>
          <w:p w14:paraId="26BDE322" w14:textId="77777777" w:rsidR="00AC212B" w:rsidRPr="00930237" w:rsidRDefault="00AC212B" w:rsidP="00710DDA">
            <w:pPr>
              <w:spacing w:before="0" w:after="0"/>
              <w:jc w:val="center"/>
              <w:rPr>
                <w:noProof/>
                <w:sz w:val="20"/>
              </w:rPr>
            </w:pPr>
            <w:r w:rsidRPr="00930237">
              <w:rPr>
                <w:noProof/>
                <w:sz w:val="20"/>
              </w:rPr>
              <w:t>Apraksts</w:t>
            </w:r>
          </w:p>
        </w:tc>
        <w:tc>
          <w:tcPr>
            <w:tcW w:w="362" w:type="pct"/>
            <w:shd w:val="clear" w:color="auto" w:fill="D9D9D9" w:themeFill="background1" w:themeFillShade="D9"/>
          </w:tcPr>
          <w:p w14:paraId="5DBF43F3" w14:textId="225CAD66" w:rsidR="00AC212B" w:rsidRPr="00930237" w:rsidRDefault="00AC212B" w:rsidP="00710DDA">
            <w:pPr>
              <w:spacing w:before="0" w:after="0"/>
              <w:jc w:val="center"/>
              <w:rPr>
                <w:noProof/>
                <w:sz w:val="20"/>
              </w:rPr>
            </w:pPr>
            <w:r w:rsidRPr="00930237">
              <w:rPr>
                <w:noProof/>
                <w:sz w:val="20"/>
              </w:rPr>
              <w:t xml:space="preserve">Kods </w:t>
            </w:r>
            <w:r w:rsidR="007F671C">
              <w:rPr>
                <w:rStyle w:val="FootnoteReference"/>
                <w:noProof/>
                <w:sz w:val="20"/>
              </w:rPr>
              <w:footnoteReference w:id="176"/>
            </w:r>
          </w:p>
        </w:tc>
        <w:tc>
          <w:tcPr>
            <w:tcW w:w="362" w:type="pct"/>
            <w:shd w:val="clear" w:color="auto" w:fill="D9D9D9" w:themeFill="background1" w:themeFillShade="D9"/>
          </w:tcPr>
          <w:p w14:paraId="0D9EAEC0" w14:textId="77777777" w:rsidR="00AC212B" w:rsidRPr="00930237" w:rsidRDefault="00AC212B" w:rsidP="00710DDA">
            <w:pPr>
              <w:spacing w:before="0" w:after="0"/>
              <w:jc w:val="center"/>
              <w:rPr>
                <w:noProof/>
                <w:sz w:val="20"/>
              </w:rPr>
            </w:pPr>
            <w:r w:rsidRPr="00930237">
              <w:rPr>
                <w:noProof/>
                <w:sz w:val="20"/>
              </w:rPr>
              <w:t>Apraksts</w:t>
            </w:r>
          </w:p>
        </w:tc>
        <w:tc>
          <w:tcPr>
            <w:tcW w:w="383" w:type="pct"/>
            <w:shd w:val="clear" w:color="auto" w:fill="D9D9D9" w:themeFill="background1" w:themeFillShade="D9"/>
          </w:tcPr>
          <w:p w14:paraId="1BA2BDB0" w14:textId="77777777" w:rsidR="00AC212B" w:rsidRPr="00930237" w:rsidRDefault="00AC212B" w:rsidP="00710DDA">
            <w:pPr>
              <w:spacing w:before="0" w:after="0"/>
              <w:jc w:val="center"/>
              <w:rPr>
                <w:noProof/>
                <w:sz w:val="20"/>
              </w:rPr>
            </w:pPr>
          </w:p>
        </w:tc>
        <w:tc>
          <w:tcPr>
            <w:tcW w:w="452" w:type="pct"/>
            <w:shd w:val="clear" w:color="auto" w:fill="D9D9D9" w:themeFill="background1" w:themeFillShade="D9"/>
          </w:tcPr>
          <w:p w14:paraId="4D53DCC8" w14:textId="77777777" w:rsidR="00AC212B" w:rsidRPr="00930237" w:rsidRDefault="00AC212B" w:rsidP="00710DDA">
            <w:pPr>
              <w:spacing w:before="0" w:after="0"/>
              <w:jc w:val="center"/>
              <w:rPr>
                <w:noProof/>
                <w:sz w:val="20"/>
              </w:rPr>
            </w:pPr>
          </w:p>
        </w:tc>
        <w:tc>
          <w:tcPr>
            <w:tcW w:w="782" w:type="pct"/>
            <w:shd w:val="clear" w:color="auto" w:fill="D9D9D9" w:themeFill="background1" w:themeFillShade="D9"/>
          </w:tcPr>
          <w:p w14:paraId="2549C850" w14:textId="77777777" w:rsidR="00AC212B" w:rsidRPr="00930237" w:rsidRDefault="00AC212B" w:rsidP="00710DDA">
            <w:pPr>
              <w:spacing w:before="0" w:after="0"/>
              <w:jc w:val="center"/>
              <w:rPr>
                <w:noProof/>
                <w:sz w:val="20"/>
              </w:rPr>
            </w:pPr>
          </w:p>
        </w:tc>
      </w:tr>
      <w:tr w:rsidR="00AC212B" w:rsidRPr="00930237" w14:paraId="50D3CF1C" w14:textId="77777777" w:rsidTr="00710DDA">
        <w:tc>
          <w:tcPr>
            <w:tcW w:w="340" w:type="pct"/>
          </w:tcPr>
          <w:p w14:paraId="18281145" w14:textId="77777777" w:rsidR="00AC212B" w:rsidRPr="00930237" w:rsidRDefault="00AC212B" w:rsidP="00710DDA">
            <w:pPr>
              <w:spacing w:before="0" w:after="0"/>
              <w:jc w:val="center"/>
              <w:rPr>
                <w:b/>
                <w:i/>
                <w:noProof/>
                <w:sz w:val="20"/>
              </w:rPr>
            </w:pPr>
            <w:r w:rsidRPr="00930237">
              <w:rPr>
                <w:noProof/>
                <w:sz w:val="20"/>
              </w:rPr>
              <w:t>Visas</w:t>
            </w:r>
          </w:p>
        </w:tc>
        <w:tc>
          <w:tcPr>
            <w:tcW w:w="252" w:type="pct"/>
          </w:tcPr>
          <w:p w14:paraId="542B36A4" w14:textId="77777777" w:rsidR="00AC212B" w:rsidRPr="00930237" w:rsidRDefault="00AC212B" w:rsidP="00710DDA">
            <w:pPr>
              <w:spacing w:before="0" w:after="0"/>
              <w:jc w:val="center"/>
              <w:rPr>
                <w:b/>
                <w:i/>
                <w:noProof/>
                <w:sz w:val="20"/>
              </w:rPr>
            </w:pPr>
            <w:r w:rsidRPr="00930237">
              <w:rPr>
                <w:noProof/>
                <w:sz w:val="20"/>
              </w:rPr>
              <w:t>ERAF, ESF+, KF</w:t>
            </w:r>
          </w:p>
        </w:tc>
        <w:tc>
          <w:tcPr>
            <w:tcW w:w="214" w:type="pct"/>
          </w:tcPr>
          <w:p w14:paraId="18DC22B9" w14:textId="77777777" w:rsidR="00AC212B" w:rsidRPr="00930237" w:rsidRDefault="00AC212B" w:rsidP="00710DDA">
            <w:pPr>
              <w:spacing w:before="0" w:after="0"/>
              <w:jc w:val="center"/>
              <w:rPr>
                <w:b/>
                <w:i/>
                <w:noProof/>
                <w:sz w:val="20"/>
              </w:rPr>
            </w:pPr>
            <w:r w:rsidRPr="00930237">
              <w:rPr>
                <w:noProof/>
                <w:sz w:val="20"/>
              </w:rPr>
              <w:t>Visi</w:t>
            </w:r>
          </w:p>
        </w:tc>
        <w:tc>
          <w:tcPr>
            <w:tcW w:w="354" w:type="pct"/>
          </w:tcPr>
          <w:p w14:paraId="502CD152" w14:textId="77777777" w:rsidR="00AC212B" w:rsidRPr="00930237" w:rsidRDefault="00AC212B" w:rsidP="00710DDA">
            <w:pPr>
              <w:spacing w:before="0" w:after="0"/>
              <w:jc w:val="center"/>
              <w:rPr>
                <w:noProof/>
                <w:sz w:val="20"/>
              </w:rPr>
            </w:pPr>
            <w:r w:rsidRPr="00930237">
              <w:rPr>
                <w:noProof/>
                <w:sz w:val="20"/>
              </w:rPr>
              <w:t>Mazāk attīstīts reģions/ N/A</w:t>
            </w:r>
          </w:p>
        </w:tc>
        <w:tc>
          <w:tcPr>
            <w:tcW w:w="775" w:type="pct"/>
          </w:tcPr>
          <w:p w14:paraId="626726E1" w14:textId="77777777" w:rsidR="00AC212B" w:rsidRPr="00930237" w:rsidRDefault="00AC212B" w:rsidP="00710DDA">
            <w:pPr>
              <w:spacing w:before="0" w:after="0"/>
              <w:jc w:val="center"/>
              <w:rPr>
                <w:i/>
                <w:noProof/>
                <w:sz w:val="20"/>
              </w:rPr>
            </w:pPr>
            <w:r w:rsidRPr="00930237">
              <w:rPr>
                <w:i/>
                <w:noProof/>
                <w:color w:val="FF0000"/>
                <w:sz w:val="20"/>
              </w:rPr>
              <w:t>Tiks papildināts</w:t>
            </w:r>
          </w:p>
        </w:tc>
        <w:tc>
          <w:tcPr>
            <w:tcW w:w="362" w:type="pct"/>
            <w:shd w:val="clear" w:color="auto" w:fill="auto"/>
          </w:tcPr>
          <w:p w14:paraId="2A4B7BC1" w14:textId="77777777" w:rsidR="00AC212B" w:rsidRPr="00930237" w:rsidRDefault="00AC212B" w:rsidP="00710DDA">
            <w:pPr>
              <w:spacing w:before="0" w:after="0"/>
              <w:jc w:val="center"/>
              <w:rPr>
                <w:i/>
                <w:noProof/>
                <w:sz w:val="20"/>
              </w:rPr>
            </w:pPr>
            <w:r w:rsidRPr="00930237">
              <w:rPr>
                <w:i/>
                <w:noProof/>
                <w:color w:val="FF0000"/>
                <w:sz w:val="20"/>
              </w:rPr>
              <w:t>Tiks papildināts</w:t>
            </w:r>
          </w:p>
        </w:tc>
        <w:tc>
          <w:tcPr>
            <w:tcW w:w="362" w:type="pct"/>
          </w:tcPr>
          <w:p w14:paraId="2CD751D0" w14:textId="77777777" w:rsidR="00AC212B" w:rsidRPr="00930237" w:rsidRDefault="00AC212B" w:rsidP="00710DDA">
            <w:pPr>
              <w:spacing w:before="0" w:after="0"/>
              <w:jc w:val="center"/>
              <w:rPr>
                <w:i/>
                <w:noProof/>
                <w:sz w:val="20"/>
              </w:rPr>
            </w:pPr>
            <w:r w:rsidRPr="00930237">
              <w:rPr>
                <w:i/>
                <w:noProof/>
                <w:color w:val="FF0000"/>
                <w:sz w:val="20"/>
              </w:rPr>
              <w:t>Tiks papildināts</w:t>
            </w:r>
          </w:p>
        </w:tc>
        <w:tc>
          <w:tcPr>
            <w:tcW w:w="362" w:type="pct"/>
            <w:shd w:val="clear" w:color="auto" w:fill="auto"/>
          </w:tcPr>
          <w:p w14:paraId="5B6A62F7" w14:textId="77777777" w:rsidR="00AC212B" w:rsidRPr="00930237" w:rsidRDefault="00AC212B" w:rsidP="00710DDA">
            <w:pPr>
              <w:spacing w:before="0" w:after="0"/>
              <w:jc w:val="center"/>
              <w:rPr>
                <w:i/>
                <w:noProof/>
                <w:sz w:val="20"/>
              </w:rPr>
            </w:pPr>
            <w:r w:rsidRPr="00930237">
              <w:rPr>
                <w:i/>
                <w:noProof/>
                <w:color w:val="FF0000"/>
                <w:sz w:val="20"/>
              </w:rPr>
              <w:t>Tiks papildināts</w:t>
            </w:r>
          </w:p>
        </w:tc>
        <w:tc>
          <w:tcPr>
            <w:tcW w:w="362" w:type="pct"/>
          </w:tcPr>
          <w:p w14:paraId="1B6385BC" w14:textId="77777777" w:rsidR="00AC212B" w:rsidRPr="00930237" w:rsidRDefault="00AC212B" w:rsidP="00710DDA">
            <w:pPr>
              <w:spacing w:before="0" w:after="0"/>
              <w:jc w:val="center"/>
              <w:rPr>
                <w:i/>
                <w:noProof/>
                <w:sz w:val="20"/>
              </w:rPr>
            </w:pPr>
            <w:r w:rsidRPr="00930237">
              <w:rPr>
                <w:i/>
                <w:noProof/>
                <w:color w:val="FF0000"/>
                <w:sz w:val="20"/>
              </w:rPr>
              <w:t>Tiks papildināts</w:t>
            </w:r>
          </w:p>
        </w:tc>
        <w:tc>
          <w:tcPr>
            <w:tcW w:w="383" w:type="pct"/>
            <w:shd w:val="clear" w:color="auto" w:fill="auto"/>
          </w:tcPr>
          <w:p w14:paraId="540E3544" w14:textId="77777777" w:rsidR="00AC212B" w:rsidRPr="00930237" w:rsidRDefault="00AC212B" w:rsidP="00710DDA">
            <w:pPr>
              <w:spacing w:before="0" w:after="0"/>
              <w:jc w:val="center"/>
              <w:rPr>
                <w:b/>
                <w:i/>
                <w:noProof/>
                <w:sz w:val="20"/>
              </w:rPr>
            </w:pPr>
            <w:r w:rsidRPr="00930237">
              <w:rPr>
                <w:b/>
                <w:i/>
                <w:noProof/>
                <w:sz w:val="20"/>
              </w:rPr>
              <w:t>KM, viens brauciens</w:t>
            </w:r>
          </w:p>
        </w:tc>
        <w:tc>
          <w:tcPr>
            <w:tcW w:w="452" w:type="pct"/>
          </w:tcPr>
          <w:p w14:paraId="401E65D8" w14:textId="77777777" w:rsidR="00AC212B" w:rsidRPr="00930237" w:rsidRDefault="00AC212B" w:rsidP="00710DDA">
            <w:pPr>
              <w:spacing w:before="0" w:after="0"/>
              <w:jc w:val="center"/>
              <w:rPr>
                <w:i/>
                <w:noProof/>
                <w:sz w:val="20"/>
              </w:rPr>
            </w:pPr>
            <w:r w:rsidRPr="00930237">
              <w:rPr>
                <w:i/>
                <w:noProof/>
                <w:sz w:val="20"/>
              </w:rPr>
              <w:t>Viena vienība</w:t>
            </w:r>
          </w:p>
        </w:tc>
        <w:tc>
          <w:tcPr>
            <w:tcW w:w="782" w:type="pct"/>
            <w:shd w:val="clear" w:color="auto" w:fill="auto"/>
          </w:tcPr>
          <w:p w14:paraId="6935D7C6" w14:textId="119C9F4F" w:rsidR="00AC212B" w:rsidRPr="00930237" w:rsidRDefault="000D15A7" w:rsidP="00710DDA">
            <w:pPr>
              <w:spacing w:before="0" w:after="0"/>
              <w:rPr>
                <w:i/>
                <w:noProof/>
                <w:sz w:val="20"/>
              </w:rPr>
            </w:pPr>
            <w:r>
              <w:rPr>
                <w:i/>
                <w:noProof/>
                <w:sz w:val="20"/>
              </w:rPr>
              <w:t xml:space="preserve">1) </w:t>
            </w:r>
            <w:r w:rsidR="00AC212B" w:rsidRPr="00930237">
              <w:rPr>
                <w:i/>
                <w:noProof/>
                <w:sz w:val="20"/>
              </w:rPr>
              <w:t xml:space="preserve">0.12 EUR/KM (ar vieglo </w:t>
            </w:r>
            <w:r w:rsidRPr="000D15A7">
              <w:rPr>
                <w:i/>
                <w:noProof/>
                <w:sz w:val="20"/>
              </w:rPr>
              <w:t>transportlīdzekli</w:t>
            </w:r>
            <w:r w:rsidR="00AC212B" w:rsidRPr="00930237">
              <w:rPr>
                <w:i/>
                <w:noProof/>
                <w:sz w:val="20"/>
              </w:rPr>
              <w:t>),</w:t>
            </w:r>
          </w:p>
          <w:p w14:paraId="51A3ABA2" w14:textId="626CE32B" w:rsidR="00AC212B" w:rsidRPr="00930237" w:rsidRDefault="000D15A7" w:rsidP="00710DDA">
            <w:pPr>
              <w:spacing w:before="0" w:after="0"/>
              <w:rPr>
                <w:i/>
                <w:noProof/>
                <w:sz w:val="20"/>
              </w:rPr>
            </w:pPr>
            <w:r>
              <w:rPr>
                <w:i/>
                <w:noProof/>
                <w:sz w:val="20"/>
              </w:rPr>
              <w:t xml:space="preserve">2) </w:t>
            </w:r>
            <w:r w:rsidR="00AC212B" w:rsidRPr="00930237">
              <w:rPr>
                <w:i/>
                <w:noProof/>
                <w:sz w:val="20"/>
              </w:rPr>
              <w:t xml:space="preserve">0,61EUR/brauciens (citās apdzīvotās vietās ārpus Rīgas), </w:t>
            </w:r>
          </w:p>
          <w:p w14:paraId="0EFC447D" w14:textId="5DEBD33E" w:rsidR="00AC212B" w:rsidRPr="00930237" w:rsidRDefault="000D15A7" w:rsidP="00710DDA">
            <w:pPr>
              <w:spacing w:before="0" w:after="0"/>
              <w:rPr>
                <w:i/>
                <w:noProof/>
                <w:sz w:val="20"/>
              </w:rPr>
            </w:pPr>
            <w:r>
              <w:rPr>
                <w:i/>
                <w:noProof/>
                <w:sz w:val="20"/>
              </w:rPr>
              <w:t xml:space="preserve">3) </w:t>
            </w:r>
            <w:r w:rsidR="00AC212B" w:rsidRPr="00930237">
              <w:rPr>
                <w:i/>
                <w:noProof/>
                <w:sz w:val="20"/>
              </w:rPr>
              <w:t>1.15 EUR/braucien</w:t>
            </w:r>
            <w:r>
              <w:rPr>
                <w:i/>
                <w:noProof/>
                <w:sz w:val="20"/>
              </w:rPr>
              <w:t>s</w:t>
            </w:r>
            <w:r w:rsidR="00AC212B" w:rsidRPr="00930237">
              <w:rPr>
                <w:i/>
                <w:noProof/>
                <w:sz w:val="20"/>
              </w:rPr>
              <w:t xml:space="preserve"> (Rīga), </w:t>
            </w:r>
          </w:p>
          <w:p w14:paraId="7EDC32B1" w14:textId="40986228" w:rsidR="00AC212B" w:rsidRPr="00930237" w:rsidRDefault="000D15A7" w:rsidP="00710DDA">
            <w:pPr>
              <w:spacing w:before="0" w:after="0"/>
              <w:rPr>
                <w:i/>
                <w:noProof/>
                <w:sz w:val="20"/>
              </w:rPr>
            </w:pPr>
            <w:r>
              <w:rPr>
                <w:i/>
                <w:noProof/>
                <w:sz w:val="20"/>
              </w:rPr>
              <w:t xml:space="preserve">4) </w:t>
            </w:r>
            <w:r w:rsidR="00AC212B" w:rsidRPr="00930237">
              <w:rPr>
                <w:i/>
                <w:noProof/>
                <w:sz w:val="20"/>
              </w:rPr>
              <w:t>0.0</w:t>
            </w:r>
            <w:r>
              <w:rPr>
                <w:i/>
                <w:noProof/>
                <w:sz w:val="20"/>
              </w:rPr>
              <w:t>5</w:t>
            </w:r>
            <w:r w:rsidR="00AC212B" w:rsidRPr="00930237">
              <w:rPr>
                <w:i/>
                <w:noProof/>
                <w:sz w:val="20"/>
              </w:rPr>
              <w:t xml:space="preserve"> EUR/KM (starppilsētu reģionālās nozīmes sabiedriskais transports),</w:t>
            </w:r>
          </w:p>
          <w:p w14:paraId="6091B4D9" w14:textId="30FA64CF" w:rsidR="00AC212B" w:rsidRPr="00930237" w:rsidRDefault="000D15A7" w:rsidP="000D15A7">
            <w:pPr>
              <w:spacing w:before="0" w:after="0"/>
              <w:jc w:val="left"/>
              <w:rPr>
                <w:i/>
                <w:noProof/>
                <w:sz w:val="20"/>
              </w:rPr>
            </w:pPr>
            <w:r>
              <w:rPr>
                <w:i/>
                <w:noProof/>
                <w:sz w:val="20"/>
              </w:rPr>
              <w:t xml:space="preserve">5) </w:t>
            </w:r>
            <w:r w:rsidRPr="000D15A7">
              <w:rPr>
                <w:i/>
                <w:noProof/>
                <w:sz w:val="20"/>
              </w:rPr>
              <w:t xml:space="preserve">0.04 EUR/KM (vieglā transportlīdzekļa izmantošanas </w:t>
            </w:r>
            <w:r w:rsidR="00AC212B" w:rsidRPr="00930237">
              <w:rPr>
                <w:i/>
                <w:noProof/>
                <w:sz w:val="20"/>
              </w:rPr>
              <w:t>kompensācijas izmaksas</w:t>
            </w:r>
            <w:r>
              <w:rPr>
                <w:i/>
                <w:noProof/>
                <w:sz w:val="20"/>
              </w:rPr>
              <w:t>)</w:t>
            </w:r>
          </w:p>
        </w:tc>
      </w:tr>
      <w:tr w:rsidR="00AC212B" w:rsidRPr="00930237" w14:paraId="05C90F33" w14:textId="77777777" w:rsidTr="00710DDA">
        <w:tc>
          <w:tcPr>
            <w:tcW w:w="340" w:type="pct"/>
          </w:tcPr>
          <w:p w14:paraId="68BD3CB0" w14:textId="77777777" w:rsidR="00AC212B" w:rsidRPr="00930237" w:rsidRDefault="00AC212B" w:rsidP="00710DDA">
            <w:pPr>
              <w:spacing w:before="0" w:after="0"/>
              <w:jc w:val="center"/>
              <w:rPr>
                <w:b/>
                <w:i/>
                <w:noProof/>
                <w:sz w:val="20"/>
              </w:rPr>
            </w:pPr>
            <w:r w:rsidRPr="00930237">
              <w:rPr>
                <w:noProof/>
                <w:sz w:val="20"/>
              </w:rPr>
              <w:t>Visas</w:t>
            </w:r>
          </w:p>
        </w:tc>
        <w:tc>
          <w:tcPr>
            <w:tcW w:w="252" w:type="pct"/>
          </w:tcPr>
          <w:p w14:paraId="3ECE0BC5" w14:textId="77777777" w:rsidR="00AC212B" w:rsidRPr="00930237" w:rsidRDefault="00AC212B" w:rsidP="00710DDA">
            <w:pPr>
              <w:spacing w:before="0" w:after="0"/>
              <w:jc w:val="center"/>
              <w:rPr>
                <w:b/>
                <w:i/>
                <w:noProof/>
                <w:sz w:val="20"/>
              </w:rPr>
            </w:pPr>
            <w:r w:rsidRPr="00930237">
              <w:rPr>
                <w:noProof/>
                <w:sz w:val="20"/>
              </w:rPr>
              <w:t>ERAF, ESF+, KF</w:t>
            </w:r>
          </w:p>
        </w:tc>
        <w:tc>
          <w:tcPr>
            <w:tcW w:w="214" w:type="pct"/>
          </w:tcPr>
          <w:p w14:paraId="01A66A9F" w14:textId="77777777" w:rsidR="00AC212B" w:rsidRPr="00930237" w:rsidRDefault="00AC212B" w:rsidP="00710DDA">
            <w:pPr>
              <w:spacing w:before="0" w:after="0"/>
              <w:jc w:val="center"/>
              <w:rPr>
                <w:b/>
                <w:i/>
                <w:noProof/>
                <w:sz w:val="20"/>
              </w:rPr>
            </w:pPr>
            <w:r w:rsidRPr="00930237">
              <w:rPr>
                <w:noProof/>
                <w:sz w:val="20"/>
              </w:rPr>
              <w:t>Visi</w:t>
            </w:r>
          </w:p>
        </w:tc>
        <w:tc>
          <w:tcPr>
            <w:tcW w:w="354" w:type="pct"/>
          </w:tcPr>
          <w:p w14:paraId="6855185F" w14:textId="77777777" w:rsidR="00AC212B" w:rsidRPr="00930237" w:rsidRDefault="00AC212B" w:rsidP="00710DDA">
            <w:pPr>
              <w:spacing w:before="0" w:after="0"/>
              <w:jc w:val="center"/>
              <w:rPr>
                <w:b/>
                <w:i/>
                <w:noProof/>
                <w:sz w:val="20"/>
              </w:rPr>
            </w:pPr>
            <w:r w:rsidRPr="00930237">
              <w:rPr>
                <w:noProof/>
                <w:sz w:val="20"/>
              </w:rPr>
              <w:t>Mazāk attīstīts reģions/ N/A</w:t>
            </w:r>
          </w:p>
        </w:tc>
        <w:tc>
          <w:tcPr>
            <w:tcW w:w="775" w:type="pct"/>
          </w:tcPr>
          <w:p w14:paraId="2394E0B6" w14:textId="77777777" w:rsidR="00AC212B" w:rsidRPr="00930237" w:rsidRDefault="00AC212B" w:rsidP="00710DDA">
            <w:pPr>
              <w:spacing w:before="0" w:after="0"/>
              <w:jc w:val="center"/>
              <w:rPr>
                <w:b/>
                <w:i/>
                <w:noProof/>
                <w:sz w:val="20"/>
              </w:rPr>
            </w:pPr>
            <w:r w:rsidRPr="00930237">
              <w:rPr>
                <w:i/>
                <w:noProof/>
                <w:color w:val="FF0000"/>
                <w:sz w:val="20"/>
              </w:rPr>
              <w:t>Tiks papildināts</w:t>
            </w:r>
          </w:p>
        </w:tc>
        <w:tc>
          <w:tcPr>
            <w:tcW w:w="362" w:type="pct"/>
            <w:shd w:val="clear" w:color="auto" w:fill="auto"/>
          </w:tcPr>
          <w:p w14:paraId="217D7026" w14:textId="77777777" w:rsidR="00AC212B" w:rsidRPr="00930237" w:rsidRDefault="00AC212B" w:rsidP="00710DDA">
            <w:pPr>
              <w:spacing w:before="0" w:after="0"/>
              <w:jc w:val="center"/>
              <w:rPr>
                <w:i/>
                <w:noProof/>
                <w:sz w:val="20"/>
              </w:rPr>
            </w:pPr>
            <w:r w:rsidRPr="00930237">
              <w:rPr>
                <w:i/>
                <w:noProof/>
                <w:color w:val="FF0000"/>
                <w:sz w:val="20"/>
              </w:rPr>
              <w:t>Tiks papildināts</w:t>
            </w:r>
          </w:p>
        </w:tc>
        <w:tc>
          <w:tcPr>
            <w:tcW w:w="362" w:type="pct"/>
          </w:tcPr>
          <w:p w14:paraId="644426F6" w14:textId="77777777" w:rsidR="00AC212B" w:rsidRPr="00930237" w:rsidRDefault="00AC212B" w:rsidP="00710DDA">
            <w:pPr>
              <w:spacing w:before="0" w:after="0"/>
              <w:jc w:val="center"/>
              <w:rPr>
                <w:i/>
                <w:noProof/>
                <w:sz w:val="20"/>
              </w:rPr>
            </w:pPr>
            <w:r w:rsidRPr="00930237">
              <w:rPr>
                <w:i/>
                <w:noProof/>
                <w:color w:val="FF0000"/>
                <w:sz w:val="20"/>
              </w:rPr>
              <w:t>Tiks papildināts</w:t>
            </w:r>
          </w:p>
        </w:tc>
        <w:tc>
          <w:tcPr>
            <w:tcW w:w="362" w:type="pct"/>
            <w:shd w:val="clear" w:color="auto" w:fill="auto"/>
          </w:tcPr>
          <w:p w14:paraId="25979E4F" w14:textId="77777777" w:rsidR="00AC212B" w:rsidRPr="00930237" w:rsidRDefault="00AC212B" w:rsidP="00710DDA">
            <w:pPr>
              <w:spacing w:before="0" w:after="0"/>
              <w:jc w:val="center"/>
              <w:rPr>
                <w:i/>
                <w:noProof/>
                <w:sz w:val="20"/>
              </w:rPr>
            </w:pPr>
            <w:r w:rsidRPr="00930237">
              <w:rPr>
                <w:i/>
                <w:noProof/>
                <w:color w:val="FF0000"/>
                <w:sz w:val="20"/>
              </w:rPr>
              <w:t>Tiks papildināts</w:t>
            </w:r>
          </w:p>
        </w:tc>
        <w:tc>
          <w:tcPr>
            <w:tcW w:w="362" w:type="pct"/>
          </w:tcPr>
          <w:p w14:paraId="44A1089A" w14:textId="77777777" w:rsidR="00AC212B" w:rsidRPr="00930237" w:rsidRDefault="00AC212B" w:rsidP="00710DDA">
            <w:pPr>
              <w:spacing w:before="0" w:after="0"/>
              <w:jc w:val="center"/>
              <w:rPr>
                <w:i/>
                <w:noProof/>
                <w:sz w:val="20"/>
              </w:rPr>
            </w:pPr>
            <w:r w:rsidRPr="00930237">
              <w:rPr>
                <w:i/>
                <w:noProof/>
                <w:color w:val="FF0000"/>
                <w:sz w:val="20"/>
              </w:rPr>
              <w:t>Tiks papildināts</w:t>
            </w:r>
          </w:p>
        </w:tc>
        <w:tc>
          <w:tcPr>
            <w:tcW w:w="383" w:type="pct"/>
            <w:shd w:val="clear" w:color="auto" w:fill="auto"/>
          </w:tcPr>
          <w:p w14:paraId="70D3D5DB" w14:textId="77777777" w:rsidR="00AC212B" w:rsidRPr="00930237" w:rsidRDefault="00AC212B" w:rsidP="00710DDA">
            <w:pPr>
              <w:spacing w:before="0" w:after="0"/>
              <w:jc w:val="center"/>
              <w:rPr>
                <w:b/>
                <w:i/>
                <w:noProof/>
                <w:sz w:val="20"/>
              </w:rPr>
            </w:pPr>
            <w:r w:rsidRPr="00930237">
              <w:rPr>
                <w:b/>
                <w:i/>
                <w:noProof/>
                <w:sz w:val="20"/>
              </w:rPr>
              <w:t>Diena, diennakts</w:t>
            </w:r>
          </w:p>
        </w:tc>
        <w:tc>
          <w:tcPr>
            <w:tcW w:w="452" w:type="pct"/>
          </w:tcPr>
          <w:p w14:paraId="09C03191" w14:textId="77777777" w:rsidR="00AC212B" w:rsidRPr="00930237" w:rsidRDefault="00AC212B" w:rsidP="00710DDA">
            <w:pPr>
              <w:spacing w:before="0" w:after="0"/>
              <w:jc w:val="center"/>
              <w:rPr>
                <w:i/>
                <w:noProof/>
                <w:sz w:val="20"/>
              </w:rPr>
            </w:pPr>
            <w:r w:rsidRPr="00930237">
              <w:rPr>
                <w:i/>
                <w:noProof/>
                <w:sz w:val="20"/>
              </w:rPr>
              <w:t>Viena vienība</w:t>
            </w:r>
          </w:p>
        </w:tc>
        <w:tc>
          <w:tcPr>
            <w:tcW w:w="782" w:type="pct"/>
            <w:shd w:val="clear" w:color="auto" w:fill="auto"/>
          </w:tcPr>
          <w:p w14:paraId="2D3A36A8" w14:textId="74ED1353" w:rsidR="00AC212B" w:rsidRPr="00930237" w:rsidRDefault="000D15A7" w:rsidP="00710DDA">
            <w:pPr>
              <w:spacing w:before="0" w:after="0"/>
              <w:rPr>
                <w:i/>
                <w:noProof/>
                <w:sz w:val="20"/>
              </w:rPr>
            </w:pPr>
            <w:r>
              <w:rPr>
                <w:i/>
                <w:noProof/>
                <w:sz w:val="20"/>
              </w:rPr>
              <w:t xml:space="preserve">1) </w:t>
            </w:r>
            <w:r w:rsidR="00AC212B" w:rsidRPr="00930237">
              <w:rPr>
                <w:i/>
                <w:noProof/>
                <w:sz w:val="20"/>
              </w:rPr>
              <w:t>64.00 EUR (Rīgā),</w:t>
            </w:r>
          </w:p>
          <w:p w14:paraId="2D4FA09A" w14:textId="2864BB8E" w:rsidR="00AC212B" w:rsidRPr="00930237" w:rsidRDefault="000D15A7" w:rsidP="00710DDA">
            <w:pPr>
              <w:spacing w:before="0" w:after="0"/>
              <w:rPr>
                <w:i/>
                <w:noProof/>
                <w:sz w:val="20"/>
              </w:rPr>
            </w:pPr>
            <w:r>
              <w:rPr>
                <w:i/>
                <w:noProof/>
                <w:sz w:val="20"/>
              </w:rPr>
              <w:t xml:space="preserve">2) </w:t>
            </w:r>
            <w:r w:rsidR="00AC212B" w:rsidRPr="00930237">
              <w:rPr>
                <w:i/>
                <w:noProof/>
                <w:sz w:val="20"/>
              </w:rPr>
              <w:t>45.00 EUR (citās apdzīvotās vietās</w:t>
            </w:r>
            <w:r>
              <w:rPr>
                <w:i/>
                <w:noProof/>
                <w:sz w:val="20"/>
              </w:rPr>
              <w:t xml:space="preserve"> ārpus Rīgas</w:t>
            </w:r>
            <w:r w:rsidR="00AC212B" w:rsidRPr="00930237">
              <w:rPr>
                <w:i/>
                <w:noProof/>
                <w:sz w:val="20"/>
              </w:rPr>
              <w:t>)</w:t>
            </w:r>
          </w:p>
          <w:p w14:paraId="62D0F80E" w14:textId="10FA2F98" w:rsidR="00AC212B" w:rsidRPr="00930237" w:rsidRDefault="000D15A7" w:rsidP="00710DDA">
            <w:pPr>
              <w:spacing w:before="0" w:after="0"/>
              <w:rPr>
                <w:i/>
                <w:noProof/>
                <w:sz w:val="20"/>
              </w:rPr>
            </w:pPr>
            <w:r>
              <w:rPr>
                <w:i/>
                <w:noProof/>
                <w:sz w:val="20"/>
              </w:rPr>
              <w:t xml:space="preserve">3) </w:t>
            </w:r>
            <w:r w:rsidR="00AC212B" w:rsidRPr="00930237">
              <w:rPr>
                <w:i/>
                <w:noProof/>
                <w:sz w:val="20"/>
              </w:rPr>
              <w:t xml:space="preserve">8.00 EUR </w:t>
            </w:r>
            <w:r>
              <w:rPr>
                <w:i/>
                <w:noProof/>
                <w:sz w:val="20"/>
              </w:rPr>
              <w:t>d</w:t>
            </w:r>
            <w:r w:rsidR="00AC212B" w:rsidRPr="00930237">
              <w:rPr>
                <w:i/>
                <w:noProof/>
                <w:sz w:val="20"/>
              </w:rPr>
              <w:t>ienas nauda</w:t>
            </w:r>
          </w:p>
        </w:tc>
      </w:tr>
      <w:tr w:rsidR="00AC212B" w:rsidRPr="00930237" w14:paraId="704A328E" w14:textId="77777777" w:rsidTr="00710DDA">
        <w:tc>
          <w:tcPr>
            <w:tcW w:w="340" w:type="pct"/>
          </w:tcPr>
          <w:p w14:paraId="0D58D067" w14:textId="77777777" w:rsidR="00AC212B" w:rsidRPr="00930237" w:rsidRDefault="00AC212B" w:rsidP="00710DDA">
            <w:pPr>
              <w:spacing w:before="0" w:after="0"/>
              <w:jc w:val="center"/>
              <w:rPr>
                <w:noProof/>
                <w:sz w:val="20"/>
                <w:highlight w:val="yellow"/>
              </w:rPr>
            </w:pPr>
          </w:p>
        </w:tc>
        <w:tc>
          <w:tcPr>
            <w:tcW w:w="252" w:type="pct"/>
          </w:tcPr>
          <w:p w14:paraId="233FADBA" w14:textId="77777777" w:rsidR="00AC212B" w:rsidRPr="00930237" w:rsidRDefault="00AC212B" w:rsidP="00710DDA">
            <w:pPr>
              <w:spacing w:before="0" w:after="0"/>
              <w:jc w:val="center"/>
              <w:rPr>
                <w:noProof/>
                <w:sz w:val="20"/>
              </w:rPr>
            </w:pPr>
          </w:p>
        </w:tc>
        <w:tc>
          <w:tcPr>
            <w:tcW w:w="214" w:type="pct"/>
          </w:tcPr>
          <w:p w14:paraId="5CF875C9" w14:textId="77777777" w:rsidR="00AC212B" w:rsidRPr="00930237" w:rsidRDefault="00AC212B" w:rsidP="00710DDA">
            <w:pPr>
              <w:spacing w:before="0" w:after="0"/>
              <w:jc w:val="center"/>
              <w:rPr>
                <w:noProof/>
                <w:sz w:val="20"/>
                <w:highlight w:val="yellow"/>
              </w:rPr>
            </w:pPr>
          </w:p>
        </w:tc>
        <w:tc>
          <w:tcPr>
            <w:tcW w:w="354" w:type="pct"/>
          </w:tcPr>
          <w:p w14:paraId="42CB8938" w14:textId="77777777" w:rsidR="00AC212B" w:rsidRPr="00930237" w:rsidRDefault="00AC212B" w:rsidP="00710DDA">
            <w:pPr>
              <w:spacing w:before="0" w:after="0"/>
              <w:jc w:val="center"/>
              <w:rPr>
                <w:noProof/>
                <w:sz w:val="20"/>
              </w:rPr>
            </w:pPr>
          </w:p>
        </w:tc>
        <w:tc>
          <w:tcPr>
            <w:tcW w:w="775" w:type="pct"/>
          </w:tcPr>
          <w:p w14:paraId="155C0416" w14:textId="77777777" w:rsidR="00AC212B" w:rsidRPr="00930237" w:rsidRDefault="00AC212B" w:rsidP="00710DDA">
            <w:pPr>
              <w:spacing w:before="0" w:after="0"/>
              <w:jc w:val="center"/>
              <w:rPr>
                <w:noProof/>
                <w:sz w:val="20"/>
              </w:rPr>
            </w:pPr>
          </w:p>
        </w:tc>
        <w:tc>
          <w:tcPr>
            <w:tcW w:w="362" w:type="pct"/>
            <w:shd w:val="clear" w:color="auto" w:fill="auto"/>
          </w:tcPr>
          <w:p w14:paraId="06157233" w14:textId="77777777" w:rsidR="00AC212B" w:rsidRPr="00930237" w:rsidRDefault="00AC212B" w:rsidP="00710DDA">
            <w:pPr>
              <w:spacing w:before="0" w:after="0"/>
              <w:jc w:val="center"/>
              <w:rPr>
                <w:noProof/>
                <w:sz w:val="20"/>
              </w:rPr>
            </w:pPr>
          </w:p>
        </w:tc>
        <w:tc>
          <w:tcPr>
            <w:tcW w:w="362" w:type="pct"/>
          </w:tcPr>
          <w:p w14:paraId="7FCAB676" w14:textId="77777777" w:rsidR="00AC212B" w:rsidRPr="00930237" w:rsidRDefault="00AC212B" w:rsidP="00710DDA">
            <w:pPr>
              <w:spacing w:before="0" w:after="0"/>
              <w:jc w:val="center"/>
              <w:rPr>
                <w:noProof/>
                <w:sz w:val="20"/>
              </w:rPr>
            </w:pPr>
          </w:p>
        </w:tc>
        <w:tc>
          <w:tcPr>
            <w:tcW w:w="362" w:type="pct"/>
            <w:shd w:val="clear" w:color="auto" w:fill="auto"/>
          </w:tcPr>
          <w:p w14:paraId="1EC6C5F4" w14:textId="77777777" w:rsidR="00AC212B" w:rsidRPr="00930237" w:rsidRDefault="00AC212B" w:rsidP="00710DDA">
            <w:pPr>
              <w:spacing w:before="0" w:after="0"/>
              <w:jc w:val="center"/>
              <w:rPr>
                <w:noProof/>
                <w:sz w:val="20"/>
              </w:rPr>
            </w:pPr>
          </w:p>
        </w:tc>
        <w:tc>
          <w:tcPr>
            <w:tcW w:w="362" w:type="pct"/>
          </w:tcPr>
          <w:p w14:paraId="4AA4E97F" w14:textId="77777777" w:rsidR="00AC212B" w:rsidRPr="00930237" w:rsidRDefault="00AC212B" w:rsidP="00710DDA">
            <w:pPr>
              <w:spacing w:before="0" w:after="0"/>
              <w:jc w:val="center"/>
              <w:rPr>
                <w:noProof/>
                <w:sz w:val="20"/>
              </w:rPr>
            </w:pPr>
          </w:p>
        </w:tc>
        <w:tc>
          <w:tcPr>
            <w:tcW w:w="383" w:type="pct"/>
            <w:shd w:val="clear" w:color="auto" w:fill="auto"/>
          </w:tcPr>
          <w:p w14:paraId="339E8E65" w14:textId="77777777" w:rsidR="00AC212B" w:rsidRPr="00930237" w:rsidRDefault="00AC212B" w:rsidP="00710DDA">
            <w:pPr>
              <w:spacing w:before="0" w:after="0"/>
              <w:jc w:val="center"/>
              <w:rPr>
                <w:b/>
                <w:noProof/>
                <w:sz w:val="20"/>
              </w:rPr>
            </w:pPr>
          </w:p>
        </w:tc>
        <w:tc>
          <w:tcPr>
            <w:tcW w:w="452" w:type="pct"/>
          </w:tcPr>
          <w:p w14:paraId="64C989B0" w14:textId="77777777" w:rsidR="00AC212B" w:rsidRPr="00930237" w:rsidRDefault="00AC212B" w:rsidP="00710DDA">
            <w:pPr>
              <w:spacing w:before="0" w:after="0"/>
              <w:jc w:val="center"/>
              <w:rPr>
                <w:noProof/>
                <w:sz w:val="20"/>
              </w:rPr>
            </w:pPr>
          </w:p>
        </w:tc>
        <w:tc>
          <w:tcPr>
            <w:tcW w:w="782" w:type="pct"/>
            <w:shd w:val="clear" w:color="auto" w:fill="auto"/>
          </w:tcPr>
          <w:p w14:paraId="22B40C57" w14:textId="77777777" w:rsidR="00AC212B" w:rsidRPr="00930237" w:rsidRDefault="00AC212B" w:rsidP="00710DDA">
            <w:pPr>
              <w:spacing w:before="0" w:after="0"/>
              <w:jc w:val="center"/>
              <w:rPr>
                <w:noProof/>
                <w:sz w:val="20"/>
              </w:rPr>
            </w:pPr>
          </w:p>
        </w:tc>
      </w:tr>
      <w:tr w:rsidR="00AC212B" w:rsidRPr="00930237" w14:paraId="5E30505E" w14:textId="77777777" w:rsidTr="00710DDA">
        <w:tc>
          <w:tcPr>
            <w:tcW w:w="340" w:type="pct"/>
          </w:tcPr>
          <w:p w14:paraId="69826054" w14:textId="77777777" w:rsidR="00AC212B" w:rsidRPr="00930237" w:rsidRDefault="00AC212B" w:rsidP="00710DDA">
            <w:pPr>
              <w:spacing w:before="0" w:after="0"/>
              <w:jc w:val="center"/>
              <w:rPr>
                <w:noProof/>
                <w:sz w:val="20"/>
                <w:highlight w:val="yellow"/>
              </w:rPr>
            </w:pPr>
          </w:p>
        </w:tc>
        <w:tc>
          <w:tcPr>
            <w:tcW w:w="252" w:type="pct"/>
          </w:tcPr>
          <w:p w14:paraId="49B66256" w14:textId="77777777" w:rsidR="00AC212B" w:rsidRPr="00930237" w:rsidRDefault="00AC212B" w:rsidP="00710DDA">
            <w:pPr>
              <w:spacing w:before="0" w:after="0"/>
              <w:jc w:val="center"/>
              <w:rPr>
                <w:noProof/>
                <w:sz w:val="20"/>
              </w:rPr>
            </w:pPr>
          </w:p>
        </w:tc>
        <w:tc>
          <w:tcPr>
            <w:tcW w:w="214" w:type="pct"/>
          </w:tcPr>
          <w:p w14:paraId="74E765B0" w14:textId="77777777" w:rsidR="00AC212B" w:rsidRPr="00930237" w:rsidRDefault="00AC212B" w:rsidP="00710DDA">
            <w:pPr>
              <w:spacing w:before="0" w:after="0"/>
              <w:jc w:val="center"/>
              <w:rPr>
                <w:noProof/>
                <w:sz w:val="20"/>
                <w:highlight w:val="yellow"/>
              </w:rPr>
            </w:pPr>
          </w:p>
        </w:tc>
        <w:tc>
          <w:tcPr>
            <w:tcW w:w="354" w:type="pct"/>
          </w:tcPr>
          <w:p w14:paraId="6C351914" w14:textId="77777777" w:rsidR="00AC212B" w:rsidRPr="00930237" w:rsidRDefault="00AC212B" w:rsidP="00710DDA">
            <w:pPr>
              <w:spacing w:before="0" w:after="0"/>
              <w:jc w:val="center"/>
              <w:rPr>
                <w:noProof/>
                <w:sz w:val="20"/>
              </w:rPr>
            </w:pPr>
          </w:p>
        </w:tc>
        <w:tc>
          <w:tcPr>
            <w:tcW w:w="775" w:type="pct"/>
          </w:tcPr>
          <w:p w14:paraId="4C10161E" w14:textId="77777777" w:rsidR="00AC212B" w:rsidRPr="00930237" w:rsidRDefault="00AC212B" w:rsidP="00710DDA">
            <w:pPr>
              <w:spacing w:before="0" w:after="0"/>
              <w:jc w:val="center"/>
              <w:rPr>
                <w:noProof/>
                <w:sz w:val="20"/>
              </w:rPr>
            </w:pPr>
          </w:p>
        </w:tc>
        <w:tc>
          <w:tcPr>
            <w:tcW w:w="362" w:type="pct"/>
            <w:shd w:val="clear" w:color="auto" w:fill="auto"/>
          </w:tcPr>
          <w:p w14:paraId="202D4E7F" w14:textId="77777777" w:rsidR="00AC212B" w:rsidRPr="00930237" w:rsidRDefault="00AC212B" w:rsidP="00710DDA">
            <w:pPr>
              <w:spacing w:before="0" w:after="0"/>
              <w:jc w:val="center"/>
              <w:rPr>
                <w:noProof/>
                <w:sz w:val="20"/>
              </w:rPr>
            </w:pPr>
          </w:p>
        </w:tc>
        <w:tc>
          <w:tcPr>
            <w:tcW w:w="362" w:type="pct"/>
          </w:tcPr>
          <w:p w14:paraId="05293090" w14:textId="77777777" w:rsidR="00AC212B" w:rsidRPr="00930237" w:rsidRDefault="00AC212B" w:rsidP="00710DDA">
            <w:pPr>
              <w:spacing w:before="0" w:after="0"/>
              <w:jc w:val="center"/>
              <w:rPr>
                <w:noProof/>
                <w:sz w:val="20"/>
              </w:rPr>
            </w:pPr>
          </w:p>
        </w:tc>
        <w:tc>
          <w:tcPr>
            <w:tcW w:w="362" w:type="pct"/>
            <w:shd w:val="clear" w:color="auto" w:fill="auto"/>
          </w:tcPr>
          <w:p w14:paraId="1838B04C" w14:textId="77777777" w:rsidR="00AC212B" w:rsidRPr="00930237" w:rsidRDefault="00AC212B" w:rsidP="00710DDA">
            <w:pPr>
              <w:spacing w:before="0" w:after="0"/>
              <w:jc w:val="center"/>
              <w:rPr>
                <w:noProof/>
                <w:sz w:val="20"/>
              </w:rPr>
            </w:pPr>
          </w:p>
        </w:tc>
        <w:tc>
          <w:tcPr>
            <w:tcW w:w="362" w:type="pct"/>
          </w:tcPr>
          <w:p w14:paraId="51D01EFD" w14:textId="77777777" w:rsidR="00AC212B" w:rsidRPr="00930237" w:rsidRDefault="00AC212B" w:rsidP="00710DDA">
            <w:pPr>
              <w:spacing w:before="0" w:after="0"/>
              <w:jc w:val="center"/>
              <w:rPr>
                <w:noProof/>
                <w:sz w:val="20"/>
              </w:rPr>
            </w:pPr>
          </w:p>
        </w:tc>
        <w:tc>
          <w:tcPr>
            <w:tcW w:w="383" w:type="pct"/>
            <w:shd w:val="clear" w:color="auto" w:fill="auto"/>
          </w:tcPr>
          <w:p w14:paraId="38419F69" w14:textId="77777777" w:rsidR="00AC212B" w:rsidRPr="00930237" w:rsidRDefault="00AC212B" w:rsidP="00710DDA">
            <w:pPr>
              <w:spacing w:before="0" w:after="0"/>
              <w:jc w:val="center"/>
              <w:rPr>
                <w:b/>
                <w:noProof/>
                <w:sz w:val="20"/>
              </w:rPr>
            </w:pPr>
          </w:p>
        </w:tc>
        <w:tc>
          <w:tcPr>
            <w:tcW w:w="452" w:type="pct"/>
          </w:tcPr>
          <w:p w14:paraId="488D4E45" w14:textId="77777777" w:rsidR="00AC212B" w:rsidRPr="00930237" w:rsidRDefault="00AC212B" w:rsidP="00710DDA">
            <w:pPr>
              <w:spacing w:before="0" w:after="0"/>
              <w:jc w:val="center"/>
              <w:rPr>
                <w:noProof/>
                <w:sz w:val="20"/>
              </w:rPr>
            </w:pPr>
          </w:p>
        </w:tc>
        <w:tc>
          <w:tcPr>
            <w:tcW w:w="782" w:type="pct"/>
            <w:shd w:val="clear" w:color="auto" w:fill="auto"/>
          </w:tcPr>
          <w:p w14:paraId="70007FB6" w14:textId="77777777" w:rsidR="00AC212B" w:rsidRPr="00930237" w:rsidRDefault="00AC212B" w:rsidP="00710DDA">
            <w:pPr>
              <w:spacing w:before="0" w:after="0"/>
              <w:jc w:val="center"/>
              <w:rPr>
                <w:noProof/>
                <w:sz w:val="20"/>
              </w:rPr>
            </w:pPr>
          </w:p>
        </w:tc>
      </w:tr>
      <w:tr w:rsidR="00AC212B" w:rsidRPr="00930237" w14:paraId="0867F7DD" w14:textId="77777777" w:rsidTr="00710DDA">
        <w:tc>
          <w:tcPr>
            <w:tcW w:w="340" w:type="pct"/>
          </w:tcPr>
          <w:p w14:paraId="7E880BAC" w14:textId="77777777" w:rsidR="00AC212B" w:rsidRPr="00930237" w:rsidRDefault="00AC212B" w:rsidP="00710DDA">
            <w:pPr>
              <w:spacing w:before="0" w:after="0"/>
              <w:jc w:val="center"/>
              <w:rPr>
                <w:noProof/>
                <w:sz w:val="20"/>
                <w:highlight w:val="yellow"/>
              </w:rPr>
            </w:pPr>
          </w:p>
        </w:tc>
        <w:tc>
          <w:tcPr>
            <w:tcW w:w="252" w:type="pct"/>
          </w:tcPr>
          <w:p w14:paraId="4434CA68" w14:textId="77777777" w:rsidR="00AC212B" w:rsidRPr="00930237" w:rsidRDefault="00AC212B" w:rsidP="00710DDA">
            <w:pPr>
              <w:spacing w:before="0" w:after="0"/>
              <w:jc w:val="center"/>
              <w:rPr>
                <w:noProof/>
                <w:sz w:val="20"/>
              </w:rPr>
            </w:pPr>
          </w:p>
        </w:tc>
        <w:tc>
          <w:tcPr>
            <w:tcW w:w="214" w:type="pct"/>
          </w:tcPr>
          <w:p w14:paraId="3845DA9D" w14:textId="77777777" w:rsidR="00AC212B" w:rsidRPr="00930237" w:rsidRDefault="00AC212B" w:rsidP="00710DDA">
            <w:pPr>
              <w:spacing w:before="0" w:after="0"/>
              <w:jc w:val="center"/>
              <w:rPr>
                <w:noProof/>
                <w:sz w:val="20"/>
                <w:highlight w:val="yellow"/>
              </w:rPr>
            </w:pPr>
          </w:p>
        </w:tc>
        <w:tc>
          <w:tcPr>
            <w:tcW w:w="354" w:type="pct"/>
          </w:tcPr>
          <w:p w14:paraId="6AE082EA" w14:textId="77777777" w:rsidR="00AC212B" w:rsidRPr="00930237" w:rsidRDefault="00AC212B" w:rsidP="00710DDA">
            <w:pPr>
              <w:spacing w:before="0" w:after="0"/>
              <w:jc w:val="center"/>
              <w:rPr>
                <w:noProof/>
                <w:sz w:val="20"/>
              </w:rPr>
            </w:pPr>
          </w:p>
        </w:tc>
        <w:tc>
          <w:tcPr>
            <w:tcW w:w="775" w:type="pct"/>
          </w:tcPr>
          <w:p w14:paraId="420B2898" w14:textId="77777777" w:rsidR="00AC212B" w:rsidRPr="00930237" w:rsidRDefault="00AC212B" w:rsidP="00710DDA">
            <w:pPr>
              <w:spacing w:before="0" w:after="0"/>
              <w:jc w:val="center"/>
              <w:rPr>
                <w:noProof/>
                <w:sz w:val="20"/>
              </w:rPr>
            </w:pPr>
          </w:p>
        </w:tc>
        <w:tc>
          <w:tcPr>
            <w:tcW w:w="362" w:type="pct"/>
            <w:shd w:val="clear" w:color="auto" w:fill="auto"/>
          </w:tcPr>
          <w:p w14:paraId="4121241D" w14:textId="77777777" w:rsidR="00AC212B" w:rsidRPr="00930237" w:rsidRDefault="00AC212B" w:rsidP="00710DDA">
            <w:pPr>
              <w:spacing w:before="0" w:after="0"/>
              <w:jc w:val="center"/>
              <w:rPr>
                <w:noProof/>
                <w:sz w:val="20"/>
              </w:rPr>
            </w:pPr>
          </w:p>
        </w:tc>
        <w:tc>
          <w:tcPr>
            <w:tcW w:w="362" w:type="pct"/>
          </w:tcPr>
          <w:p w14:paraId="2F733EA8" w14:textId="77777777" w:rsidR="00AC212B" w:rsidRPr="00930237" w:rsidRDefault="00AC212B" w:rsidP="00710DDA">
            <w:pPr>
              <w:spacing w:before="0" w:after="0"/>
              <w:jc w:val="center"/>
              <w:rPr>
                <w:noProof/>
                <w:sz w:val="20"/>
              </w:rPr>
            </w:pPr>
          </w:p>
        </w:tc>
        <w:tc>
          <w:tcPr>
            <w:tcW w:w="362" w:type="pct"/>
            <w:shd w:val="clear" w:color="auto" w:fill="auto"/>
          </w:tcPr>
          <w:p w14:paraId="73378FDD" w14:textId="77777777" w:rsidR="00AC212B" w:rsidRPr="00930237" w:rsidRDefault="00AC212B" w:rsidP="00710DDA">
            <w:pPr>
              <w:spacing w:before="0" w:after="0"/>
              <w:jc w:val="center"/>
              <w:rPr>
                <w:noProof/>
                <w:sz w:val="20"/>
              </w:rPr>
            </w:pPr>
          </w:p>
        </w:tc>
        <w:tc>
          <w:tcPr>
            <w:tcW w:w="362" w:type="pct"/>
          </w:tcPr>
          <w:p w14:paraId="35971383" w14:textId="77777777" w:rsidR="00AC212B" w:rsidRPr="00930237" w:rsidRDefault="00AC212B" w:rsidP="00710DDA">
            <w:pPr>
              <w:spacing w:before="0" w:after="0"/>
              <w:jc w:val="center"/>
              <w:rPr>
                <w:noProof/>
                <w:sz w:val="20"/>
              </w:rPr>
            </w:pPr>
          </w:p>
        </w:tc>
        <w:tc>
          <w:tcPr>
            <w:tcW w:w="383" w:type="pct"/>
            <w:shd w:val="clear" w:color="auto" w:fill="auto"/>
          </w:tcPr>
          <w:p w14:paraId="7FD456BD" w14:textId="77777777" w:rsidR="00AC212B" w:rsidRPr="00930237" w:rsidRDefault="00AC212B" w:rsidP="00710DDA">
            <w:pPr>
              <w:spacing w:before="0" w:after="0"/>
              <w:jc w:val="center"/>
              <w:rPr>
                <w:noProof/>
                <w:sz w:val="20"/>
              </w:rPr>
            </w:pPr>
          </w:p>
        </w:tc>
        <w:tc>
          <w:tcPr>
            <w:tcW w:w="452" w:type="pct"/>
          </w:tcPr>
          <w:p w14:paraId="10107BD0" w14:textId="77777777" w:rsidR="00AC212B" w:rsidRPr="00930237" w:rsidRDefault="00AC212B" w:rsidP="00710DDA">
            <w:pPr>
              <w:spacing w:before="0" w:after="0"/>
              <w:jc w:val="center"/>
              <w:rPr>
                <w:noProof/>
                <w:sz w:val="20"/>
              </w:rPr>
            </w:pPr>
          </w:p>
        </w:tc>
        <w:tc>
          <w:tcPr>
            <w:tcW w:w="782" w:type="pct"/>
            <w:shd w:val="clear" w:color="auto" w:fill="auto"/>
          </w:tcPr>
          <w:p w14:paraId="636A8472" w14:textId="77777777" w:rsidR="00AC212B" w:rsidRPr="00930237" w:rsidRDefault="00AC212B" w:rsidP="00710DDA">
            <w:pPr>
              <w:spacing w:before="0" w:after="0"/>
              <w:jc w:val="center"/>
              <w:rPr>
                <w:noProof/>
                <w:sz w:val="20"/>
              </w:rPr>
            </w:pPr>
          </w:p>
        </w:tc>
      </w:tr>
      <w:tr w:rsidR="00AC212B" w:rsidRPr="00930237" w14:paraId="4CD1D89C" w14:textId="77777777" w:rsidTr="00710DDA">
        <w:tc>
          <w:tcPr>
            <w:tcW w:w="340" w:type="pct"/>
          </w:tcPr>
          <w:p w14:paraId="179C82B9" w14:textId="77777777" w:rsidR="00AC212B" w:rsidRPr="00930237" w:rsidRDefault="00AC212B" w:rsidP="00710DDA">
            <w:pPr>
              <w:spacing w:before="0" w:after="0"/>
              <w:jc w:val="center"/>
              <w:rPr>
                <w:noProof/>
                <w:sz w:val="20"/>
              </w:rPr>
            </w:pPr>
          </w:p>
        </w:tc>
        <w:tc>
          <w:tcPr>
            <w:tcW w:w="252" w:type="pct"/>
          </w:tcPr>
          <w:p w14:paraId="6A4FB7D7" w14:textId="77777777" w:rsidR="00AC212B" w:rsidRPr="00930237" w:rsidRDefault="00AC212B" w:rsidP="00710DDA">
            <w:pPr>
              <w:spacing w:before="0" w:after="0"/>
              <w:jc w:val="center"/>
              <w:rPr>
                <w:noProof/>
                <w:sz w:val="20"/>
              </w:rPr>
            </w:pPr>
          </w:p>
        </w:tc>
        <w:tc>
          <w:tcPr>
            <w:tcW w:w="214" w:type="pct"/>
          </w:tcPr>
          <w:p w14:paraId="0F4C9BA2" w14:textId="77777777" w:rsidR="00AC212B" w:rsidRPr="00930237" w:rsidRDefault="00AC212B" w:rsidP="00710DDA">
            <w:pPr>
              <w:spacing w:before="0" w:after="0"/>
              <w:jc w:val="center"/>
              <w:rPr>
                <w:noProof/>
                <w:sz w:val="20"/>
              </w:rPr>
            </w:pPr>
          </w:p>
        </w:tc>
        <w:tc>
          <w:tcPr>
            <w:tcW w:w="354" w:type="pct"/>
          </w:tcPr>
          <w:p w14:paraId="08FB583E" w14:textId="77777777" w:rsidR="00AC212B" w:rsidRPr="00930237" w:rsidRDefault="00AC212B" w:rsidP="00710DDA">
            <w:pPr>
              <w:spacing w:before="0" w:after="0"/>
              <w:jc w:val="center"/>
              <w:rPr>
                <w:noProof/>
                <w:sz w:val="20"/>
              </w:rPr>
            </w:pPr>
          </w:p>
        </w:tc>
        <w:tc>
          <w:tcPr>
            <w:tcW w:w="775" w:type="pct"/>
          </w:tcPr>
          <w:p w14:paraId="2D74F374" w14:textId="77777777" w:rsidR="00AC212B" w:rsidRPr="00930237" w:rsidRDefault="00AC212B" w:rsidP="00710DDA">
            <w:pPr>
              <w:spacing w:before="0" w:after="0"/>
              <w:jc w:val="center"/>
              <w:rPr>
                <w:noProof/>
                <w:sz w:val="20"/>
              </w:rPr>
            </w:pPr>
          </w:p>
        </w:tc>
        <w:tc>
          <w:tcPr>
            <w:tcW w:w="362" w:type="pct"/>
            <w:shd w:val="clear" w:color="auto" w:fill="auto"/>
          </w:tcPr>
          <w:p w14:paraId="7AAC7411" w14:textId="77777777" w:rsidR="00AC212B" w:rsidRPr="00930237" w:rsidRDefault="00AC212B" w:rsidP="00710DDA">
            <w:pPr>
              <w:spacing w:before="0" w:after="0"/>
              <w:jc w:val="center"/>
              <w:rPr>
                <w:noProof/>
                <w:sz w:val="20"/>
              </w:rPr>
            </w:pPr>
          </w:p>
        </w:tc>
        <w:tc>
          <w:tcPr>
            <w:tcW w:w="362" w:type="pct"/>
          </w:tcPr>
          <w:p w14:paraId="44EDA297" w14:textId="77777777" w:rsidR="00AC212B" w:rsidRPr="00930237" w:rsidRDefault="00AC212B" w:rsidP="00710DDA">
            <w:pPr>
              <w:spacing w:before="0" w:after="0"/>
              <w:jc w:val="center"/>
              <w:rPr>
                <w:noProof/>
                <w:sz w:val="20"/>
              </w:rPr>
            </w:pPr>
          </w:p>
        </w:tc>
        <w:tc>
          <w:tcPr>
            <w:tcW w:w="362" w:type="pct"/>
            <w:shd w:val="clear" w:color="auto" w:fill="auto"/>
          </w:tcPr>
          <w:p w14:paraId="6B8362C7" w14:textId="77777777" w:rsidR="00AC212B" w:rsidRPr="00930237" w:rsidRDefault="00AC212B" w:rsidP="00710DDA">
            <w:pPr>
              <w:spacing w:before="0" w:after="0"/>
              <w:jc w:val="center"/>
              <w:rPr>
                <w:noProof/>
                <w:sz w:val="20"/>
              </w:rPr>
            </w:pPr>
          </w:p>
        </w:tc>
        <w:tc>
          <w:tcPr>
            <w:tcW w:w="362" w:type="pct"/>
          </w:tcPr>
          <w:p w14:paraId="2A716A06" w14:textId="77777777" w:rsidR="00AC212B" w:rsidRPr="00930237" w:rsidRDefault="00AC212B" w:rsidP="00710DDA">
            <w:pPr>
              <w:spacing w:before="0" w:after="0"/>
              <w:jc w:val="center"/>
              <w:rPr>
                <w:noProof/>
                <w:sz w:val="20"/>
              </w:rPr>
            </w:pPr>
          </w:p>
        </w:tc>
        <w:tc>
          <w:tcPr>
            <w:tcW w:w="383" w:type="pct"/>
            <w:shd w:val="clear" w:color="auto" w:fill="auto"/>
          </w:tcPr>
          <w:p w14:paraId="5BFD3A3A" w14:textId="77777777" w:rsidR="00AC212B" w:rsidRPr="00930237" w:rsidRDefault="00AC212B" w:rsidP="00710DDA">
            <w:pPr>
              <w:spacing w:before="0" w:after="0"/>
              <w:jc w:val="center"/>
              <w:rPr>
                <w:noProof/>
                <w:sz w:val="20"/>
              </w:rPr>
            </w:pPr>
          </w:p>
        </w:tc>
        <w:tc>
          <w:tcPr>
            <w:tcW w:w="452" w:type="pct"/>
          </w:tcPr>
          <w:p w14:paraId="1CAF98F1" w14:textId="77777777" w:rsidR="00AC212B" w:rsidRPr="00930237" w:rsidRDefault="00AC212B" w:rsidP="00710DDA">
            <w:pPr>
              <w:spacing w:before="0" w:after="0"/>
              <w:jc w:val="center"/>
              <w:rPr>
                <w:noProof/>
                <w:sz w:val="20"/>
              </w:rPr>
            </w:pPr>
          </w:p>
        </w:tc>
        <w:tc>
          <w:tcPr>
            <w:tcW w:w="782" w:type="pct"/>
            <w:shd w:val="clear" w:color="auto" w:fill="auto"/>
          </w:tcPr>
          <w:p w14:paraId="178B0F2C" w14:textId="77777777" w:rsidR="00AC212B" w:rsidRPr="00930237" w:rsidRDefault="00AC212B" w:rsidP="00710DDA">
            <w:pPr>
              <w:spacing w:before="0" w:after="0"/>
              <w:jc w:val="center"/>
              <w:rPr>
                <w:noProof/>
                <w:sz w:val="20"/>
              </w:rPr>
            </w:pPr>
          </w:p>
        </w:tc>
      </w:tr>
      <w:tr w:rsidR="00AC212B" w:rsidRPr="00930237" w14:paraId="0EB3E900" w14:textId="77777777" w:rsidTr="00710DDA">
        <w:tc>
          <w:tcPr>
            <w:tcW w:w="340" w:type="pct"/>
          </w:tcPr>
          <w:p w14:paraId="296FB968" w14:textId="77777777" w:rsidR="00AC212B" w:rsidRPr="00930237" w:rsidRDefault="00AC212B" w:rsidP="00710DDA">
            <w:pPr>
              <w:spacing w:before="0" w:after="0"/>
              <w:jc w:val="center"/>
              <w:rPr>
                <w:noProof/>
                <w:sz w:val="20"/>
              </w:rPr>
            </w:pPr>
          </w:p>
        </w:tc>
        <w:tc>
          <w:tcPr>
            <w:tcW w:w="252" w:type="pct"/>
          </w:tcPr>
          <w:p w14:paraId="3E28915D" w14:textId="77777777" w:rsidR="00AC212B" w:rsidRPr="00930237" w:rsidRDefault="00AC212B" w:rsidP="00710DDA">
            <w:pPr>
              <w:spacing w:before="0" w:after="0"/>
              <w:jc w:val="center"/>
              <w:rPr>
                <w:noProof/>
                <w:sz w:val="20"/>
              </w:rPr>
            </w:pPr>
          </w:p>
        </w:tc>
        <w:tc>
          <w:tcPr>
            <w:tcW w:w="214" w:type="pct"/>
          </w:tcPr>
          <w:p w14:paraId="355D7AAC" w14:textId="77777777" w:rsidR="00AC212B" w:rsidRPr="00930237" w:rsidRDefault="00AC212B" w:rsidP="00710DDA">
            <w:pPr>
              <w:spacing w:before="0" w:after="0"/>
              <w:jc w:val="center"/>
              <w:rPr>
                <w:noProof/>
                <w:sz w:val="20"/>
              </w:rPr>
            </w:pPr>
          </w:p>
        </w:tc>
        <w:tc>
          <w:tcPr>
            <w:tcW w:w="354" w:type="pct"/>
          </w:tcPr>
          <w:p w14:paraId="5E37E2D0" w14:textId="77777777" w:rsidR="00AC212B" w:rsidRPr="00930237" w:rsidRDefault="00AC212B" w:rsidP="00710DDA">
            <w:pPr>
              <w:spacing w:before="0" w:after="0"/>
              <w:jc w:val="center"/>
              <w:rPr>
                <w:noProof/>
                <w:sz w:val="20"/>
              </w:rPr>
            </w:pPr>
          </w:p>
        </w:tc>
        <w:tc>
          <w:tcPr>
            <w:tcW w:w="775" w:type="pct"/>
          </w:tcPr>
          <w:p w14:paraId="21052699" w14:textId="77777777" w:rsidR="00AC212B" w:rsidRPr="00930237" w:rsidRDefault="00AC212B" w:rsidP="00710DDA">
            <w:pPr>
              <w:spacing w:before="0" w:after="0"/>
              <w:jc w:val="center"/>
              <w:rPr>
                <w:noProof/>
                <w:sz w:val="20"/>
              </w:rPr>
            </w:pPr>
          </w:p>
        </w:tc>
        <w:tc>
          <w:tcPr>
            <w:tcW w:w="362" w:type="pct"/>
            <w:shd w:val="clear" w:color="auto" w:fill="auto"/>
          </w:tcPr>
          <w:p w14:paraId="5DA677AC" w14:textId="77777777" w:rsidR="00AC212B" w:rsidRPr="00930237" w:rsidRDefault="00AC212B" w:rsidP="00710DDA">
            <w:pPr>
              <w:spacing w:before="0" w:after="0"/>
              <w:jc w:val="center"/>
              <w:rPr>
                <w:noProof/>
                <w:sz w:val="20"/>
              </w:rPr>
            </w:pPr>
          </w:p>
        </w:tc>
        <w:tc>
          <w:tcPr>
            <w:tcW w:w="362" w:type="pct"/>
          </w:tcPr>
          <w:p w14:paraId="5649F53F" w14:textId="77777777" w:rsidR="00AC212B" w:rsidRPr="00930237" w:rsidRDefault="00AC212B" w:rsidP="00710DDA">
            <w:pPr>
              <w:spacing w:before="0" w:after="0"/>
              <w:jc w:val="center"/>
              <w:rPr>
                <w:noProof/>
                <w:sz w:val="20"/>
              </w:rPr>
            </w:pPr>
          </w:p>
        </w:tc>
        <w:tc>
          <w:tcPr>
            <w:tcW w:w="362" w:type="pct"/>
            <w:shd w:val="clear" w:color="auto" w:fill="auto"/>
          </w:tcPr>
          <w:p w14:paraId="6E526413" w14:textId="77777777" w:rsidR="00AC212B" w:rsidRPr="00930237" w:rsidRDefault="00AC212B" w:rsidP="00710DDA">
            <w:pPr>
              <w:spacing w:before="0" w:after="0"/>
              <w:jc w:val="center"/>
              <w:rPr>
                <w:noProof/>
                <w:sz w:val="20"/>
              </w:rPr>
            </w:pPr>
          </w:p>
        </w:tc>
        <w:tc>
          <w:tcPr>
            <w:tcW w:w="362" w:type="pct"/>
          </w:tcPr>
          <w:p w14:paraId="69D62636" w14:textId="77777777" w:rsidR="00AC212B" w:rsidRPr="00930237" w:rsidRDefault="00AC212B" w:rsidP="00710DDA">
            <w:pPr>
              <w:spacing w:before="0" w:after="0"/>
              <w:jc w:val="center"/>
              <w:rPr>
                <w:noProof/>
                <w:sz w:val="20"/>
              </w:rPr>
            </w:pPr>
          </w:p>
        </w:tc>
        <w:tc>
          <w:tcPr>
            <w:tcW w:w="383" w:type="pct"/>
            <w:shd w:val="clear" w:color="auto" w:fill="auto"/>
          </w:tcPr>
          <w:p w14:paraId="5784C274" w14:textId="77777777" w:rsidR="00AC212B" w:rsidRPr="00930237" w:rsidRDefault="00AC212B" w:rsidP="00710DDA">
            <w:pPr>
              <w:spacing w:before="0" w:after="0"/>
              <w:jc w:val="center"/>
              <w:rPr>
                <w:noProof/>
                <w:sz w:val="20"/>
              </w:rPr>
            </w:pPr>
          </w:p>
        </w:tc>
        <w:tc>
          <w:tcPr>
            <w:tcW w:w="452" w:type="pct"/>
          </w:tcPr>
          <w:p w14:paraId="1B24B801" w14:textId="77777777" w:rsidR="00AC212B" w:rsidRPr="00930237" w:rsidRDefault="00AC212B" w:rsidP="00710DDA">
            <w:pPr>
              <w:spacing w:before="0" w:after="0"/>
              <w:jc w:val="center"/>
              <w:rPr>
                <w:noProof/>
                <w:sz w:val="20"/>
              </w:rPr>
            </w:pPr>
          </w:p>
        </w:tc>
        <w:tc>
          <w:tcPr>
            <w:tcW w:w="782" w:type="pct"/>
            <w:shd w:val="clear" w:color="auto" w:fill="auto"/>
          </w:tcPr>
          <w:p w14:paraId="6AB3CC5D" w14:textId="77777777" w:rsidR="00AC212B" w:rsidRPr="00930237" w:rsidRDefault="00AC212B" w:rsidP="00710DDA">
            <w:pPr>
              <w:spacing w:before="0" w:after="0"/>
              <w:jc w:val="center"/>
              <w:rPr>
                <w:noProof/>
                <w:sz w:val="20"/>
              </w:rPr>
            </w:pPr>
          </w:p>
        </w:tc>
      </w:tr>
      <w:tr w:rsidR="00AC212B" w:rsidRPr="00930237" w14:paraId="03B5C063" w14:textId="77777777" w:rsidTr="00710DDA">
        <w:tc>
          <w:tcPr>
            <w:tcW w:w="340" w:type="pct"/>
          </w:tcPr>
          <w:p w14:paraId="26FE56FB" w14:textId="77777777" w:rsidR="00AC212B" w:rsidRPr="00930237" w:rsidRDefault="00AC212B" w:rsidP="00710DDA">
            <w:pPr>
              <w:spacing w:before="0" w:after="0"/>
              <w:jc w:val="center"/>
              <w:rPr>
                <w:noProof/>
                <w:sz w:val="20"/>
              </w:rPr>
            </w:pPr>
          </w:p>
        </w:tc>
        <w:tc>
          <w:tcPr>
            <w:tcW w:w="252" w:type="pct"/>
          </w:tcPr>
          <w:p w14:paraId="065B9495" w14:textId="77777777" w:rsidR="00AC212B" w:rsidRPr="00930237" w:rsidRDefault="00AC212B" w:rsidP="00710DDA">
            <w:pPr>
              <w:spacing w:before="0" w:after="0"/>
              <w:jc w:val="center"/>
              <w:rPr>
                <w:noProof/>
                <w:sz w:val="20"/>
              </w:rPr>
            </w:pPr>
          </w:p>
        </w:tc>
        <w:tc>
          <w:tcPr>
            <w:tcW w:w="214" w:type="pct"/>
          </w:tcPr>
          <w:p w14:paraId="025FD0DB" w14:textId="77777777" w:rsidR="00AC212B" w:rsidRPr="00930237" w:rsidRDefault="00AC212B" w:rsidP="00710DDA">
            <w:pPr>
              <w:spacing w:before="0" w:after="0"/>
              <w:jc w:val="center"/>
              <w:rPr>
                <w:noProof/>
                <w:sz w:val="20"/>
              </w:rPr>
            </w:pPr>
          </w:p>
        </w:tc>
        <w:tc>
          <w:tcPr>
            <w:tcW w:w="354" w:type="pct"/>
          </w:tcPr>
          <w:p w14:paraId="30DC01EE" w14:textId="77777777" w:rsidR="00AC212B" w:rsidRPr="00930237" w:rsidRDefault="00AC212B" w:rsidP="00710DDA">
            <w:pPr>
              <w:spacing w:before="0" w:after="0"/>
              <w:jc w:val="center"/>
              <w:rPr>
                <w:noProof/>
                <w:sz w:val="20"/>
              </w:rPr>
            </w:pPr>
          </w:p>
        </w:tc>
        <w:tc>
          <w:tcPr>
            <w:tcW w:w="775" w:type="pct"/>
          </w:tcPr>
          <w:p w14:paraId="0342CCED" w14:textId="77777777" w:rsidR="00AC212B" w:rsidRPr="00930237" w:rsidRDefault="00AC212B" w:rsidP="00710DDA">
            <w:pPr>
              <w:spacing w:before="0" w:after="0"/>
              <w:jc w:val="center"/>
              <w:rPr>
                <w:noProof/>
                <w:sz w:val="20"/>
              </w:rPr>
            </w:pPr>
          </w:p>
        </w:tc>
        <w:tc>
          <w:tcPr>
            <w:tcW w:w="362" w:type="pct"/>
            <w:shd w:val="clear" w:color="auto" w:fill="auto"/>
          </w:tcPr>
          <w:p w14:paraId="34BC52D3" w14:textId="77777777" w:rsidR="00AC212B" w:rsidRPr="00930237" w:rsidRDefault="00AC212B" w:rsidP="00710DDA">
            <w:pPr>
              <w:spacing w:before="0" w:after="0"/>
              <w:jc w:val="center"/>
              <w:rPr>
                <w:noProof/>
                <w:sz w:val="20"/>
              </w:rPr>
            </w:pPr>
          </w:p>
        </w:tc>
        <w:tc>
          <w:tcPr>
            <w:tcW w:w="362" w:type="pct"/>
          </w:tcPr>
          <w:p w14:paraId="37C2415F" w14:textId="77777777" w:rsidR="00AC212B" w:rsidRPr="00930237" w:rsidRDefault="00AC212B" w:rsidP="00710DDA">
            <w:pPr>
              <w:spacing w:before="0" w:after="0"/>
              <w:jc w:val="center"/>
              <w:rPr>
                <w:noProof/>
                <w:sz w:val="20"/>
              </w:rPr>
            </w:pPr>
          </w:p>
        </w:tc>
        <w:tc>
          <w:tcPr>
            <w:tcW w:w="362" w:type="pct"/>
            <w:shd w:val="clear" w:color="auto" w:fill="auto"/>
          </w:tcPr>
          <w:p w14:paraId="3252A664" w14:textId="77777777" w:rsidR="00AC212B" w:rsidRPr="00930237" w:rsidRDefault="00AC212B" w:rsidP="00710DDA">
            <w:pPr>
              <w:spacing w:before="0" w:after="0"/>
              <w:jc w:val="center"/>
              <w:rPr>
                <w:noProof/>
                <w:sz w:val="20"/>
              </w:rPr>
            </w:pPr>
          </w:p>
        </w:tc>
        <w:tc>
          <w:tcPr>
            <w:tcW w:w="362" w:type="pct"/>
          </w:tcPr>
          <w:p w14:paraId="27C60BBE" w14:textId="77777777" w:rsidR="00AC212B" w:rsidRPr="00930237" w:rsidRDefault="00AC212B" w:rsidP="00710DDA">
            <w:pPr>
              <w:spacing w:before="0" w:after="0"/>
              <w:jc w:val="center"/>
              <w:rPr>
                <w:noProof/>
                <w:sz w:val="20"/>
              </w:rPr>
            </w:pPr>
          </w:p>
        </w:tc>
        <w:tc>
          <w:tcPr>
            <w:tcW w:w="383" w:type="pct"/>
            <w:shd w:val="clear" w:color="auto" w:fill="auto"/>
          </w:tcPr>
          <w:p w14:paraId="73BD4173" w14:textId="77777777" w:rsidR="00AC212B" w:rsidRPr="00930237" w:rsidRDefault="00AC212B" w:rsidP="00710DDA">
            <w:pPr>
              <w:spacing w:before="0" w:after="0"/>
              <w:jc w:val="center"/>
              <w:rPr>
                <w:noProof/>
                <w:sz w:val="20"/>
              </w:rPr>
            </w:pPr>
          </w:p>
        </w:tc>
        <w:tc>
          <w:tcPr>
            <w:tcW w:w="452" w:type="pct"/>
          </w:tcPr>
          <w:p w14:paraId="3E84D948" w14:textId="77777777" w:rsidR="00AC212B" w:rsidRPr="00930237" w:rsidRDefault="00AC212B" w:rsidP="00710DDA">
            <w:pPr>
              <w:spacing w:before="0" w:after="0"/>
              <w:jc w:val="center"/>
              <w:rPr>
                <w:noProof/>
                <w:sz w:val="20"/>
              </w:rPr>
            </w:pPr>
          </w:p>
        </w:tc>
        <w:tc>
          <w:tcPr>
            <w:tcW w:w="782" w:type="pct"/>
            <w:shd w:val="clear" w:color="auto" w:fill="auto"/>
          </w:tcPr>
          <w:p w14:paraId="0990666B" w14:textId="77777777" w:rsidR="00AC212B" w:rsidRPr="00930237" w:rsidRDefault="00AC212B" w:rsidP="00710DDA">
            <w:pPr>
              <w:spacing w:before="0" w:after="0"/>
              <w:jc w:val="center"/>
              <w:rPr>
                <w:noProof/>
                <w:sz w:val="20"/>
              </w:rPr>
            </w:pPr>
          </w:p>
        </w:tc>
      </w:tr>
      <w:tr w:rsidR="00AC212B" w:rsidRPr="00930237" w14:paraId="2E65E81D" w14:textId="77777777" w:rsidTr="00710DDA">
        <w:tc>
          <w:tcPr>
            <w:tcW w:w="340" w:type="pct"/>
          </w:tcPr>
          <w:p w14:paraId="6EA23B34" w14:textId="77777777" w:rsidR="00AC212B" w:rsidRPr="00930237" w:rsidRDefault="00AC212B" w:rsidP="00710DDA">
            <w:pPr>
              <w:spacing w:before="0" w:after="0"/>
              <w:jc w:val="center"/>
              <w:rPr>
                <w:noProof/>
                <w:sz w:val="20"/>
              </w:rPr>
            </w:pPr>
          </w:p>
        </w:tc>
        <w:tc>
          <w:tcPr>
            <w:tcW w:w="252" w:type="pct"/>
          </w:tcPr>
          <w:p w14:paraId="60C61E4B" w14:textId="77777777" w:rsidR="00AC212B" w:rsidRPr="00930237" w:rsidRDefault="00AC212B" w:rsidP="00710DDA">
            <w:pPr>
              <w:spacing w:before="0" w:after="0"/>
              <w:jc w:val="center"/>
              <w:rPr>
                <w:noProof/>
                <w:sz w:val="20"/>
              </w:rPr>
            </w:pPr>
          </w:p>
        </w:tc>
        <w:tc>
          <w:tcPr>
            <w:tcW w:w="214" w:type="pct"/>
          </w:tcPr>
          <w:p w14:paraId="2B850C5F" w14:textId="77777777" w:rsidR="00AC212B" w:rsidRPr="00930237" w:rsidRDefault="00AC212B" w:rsidP="00710DDA">
            <w:pPr>
              <w:spacing w:before="0" w:after="0"/>
              <w:jc w:val="center"/>
              <w:rPr>
                <w:noProof/>
                <w:sz w:val="20"/>
              </w:rPr>
            </w:pPr>
          </w:p>
        </w:tc>
        <w:tc>
          <w:tcPr>
            <w:tcW w:w="354" w:type="pct"/>
          </w:tcPr>
          <w:p w14:paraId="2A386C49" w14:textId="77777777" w:rsidR="00AC212B" w:rsidRPr="00930237" w:rsidRDefault="00AC212B" w:rsidP="00710DDA">
            <w:pPr>
              <w:spacing w:before="0" w:after="0"/>
              <w:jc w:val="center"/>
              <w:rPr>
                <w:noProof/>
                <w:sz w:val="20"/>
              </w:rPr>
            </w:pPr>
          </w:p>
        </w:tc>
        <w:tc>
          <w:tcPr>
            <w:tcW w:w="775" w:type="pct"/>
          </w:tcPr>
          <w:p w14:paraId="519EE2D8" w14:textId="77777777" w:rsidR="00AC212B" w:rsidRPr="00930237" w:rsidRDefault="00AC212B" w:rsidP="00710DDA">
            <w:pPr>
              <w:spacing w:before="0" w:after="0"/>
              <w:jc w:val="center"/>
              <w:rPr>
                <w:noProof/>
                <w:sz w:val="20"/>
              </w:rPr>
            </w:pPr>
          </w:p>
        </w:tc>
        <w:tc>
          <w:tcPr>
            <w:tcW w:w="362" w:type="pct"/>
            <w:shd w:val="clear" w:color="auto" w:fill="auto"/>
          </w:tcPr>
          <w:p w14:paraId="57714665" w14:textId="77777777" w:rsidR="00AC212B" w:rsidRPr="00930237" w:rsidRDefault="00AC212B" w:rsidP="00710DDA">
            <w:pPr>
              <w:spacing w:before="0" w:after="0"/>
              <w:jc w:val="center"/>
              <w:rPr>
                <w:noProof/>
                <w:sz w:val="20"/>
              </w:rPr>
            </w:pPr>
          </w:p>
        </w:tc>
        <w:tc>
          <w:tcPr>
            <w:tcW w:w="362" w:type="pct"/>
          </w:tcPr>
          <w:p w14:paraId="2FA666EF" w14:textId="77777777" w:rsidR="00AC212B" w:rsidRPr="00930237" w:rsidRDefault="00AC212B" w:rsidP="00710DDA">
            <w:pPr>
              <w:spacing w:before="0" w:after="0"/>
              <w:jc w:val="center"/>
              <w:rPr>
                <w:noProof/>
                <w:sz w:val="20"/>
              </w:rPr>
            </w:pPr>
          </w:p>
        </w:tc>
        <w:tc>
          <w:tcPr>
            <w:tcW w:w="362" w:type="pct"/>
            <w:shd w:val="clear" w:color="auto" w:fill="auto"/>
          </w:tcPr>
          <w:p w14:paraId="1DC7BB4A" w14:textId="77777777" w:rsidR="00AC212B" w:rsidRPr="00930237" w:rsidRDefault="00AC212B" w:rsidP="00710DDA">
            <w:pPr>
              <w:spacing w:before="0" w:after="0"/>
              <w:jc w:val="center"/>
              <w:rPr>
                <w:noProof/>
                <w:sz w:val="20"/>
              </w:rPr>
            </w:pPr>
          </w:p>
        </w:tc>
        <w:tc>
          <w:tcPr>
            <w:tcW w:w="362" w:type="pct"/>
          </w:tcPr>
          <w:p w14:paraId="1268BEE8" w14:textId="77777777" w:rsidR="00AC212B" w:rsidRPr="00930237" w:rsidRDefault="00AC212B" w:rsidP="00710DDA">
            <w:pPr>
              <w:spacing w:before="0" w:after="0"/>
              <w:jc w:val="center"/>
              <w:rPr>
                <w:noProof/>
                <w:sz w:val="20"/>
              </w:rPr>
            </w:pPr>
          </w:p>
        </w:tc>
        <w:tc>
          <w:tcPr>
            <w:tcW w:w="383" w:type="pct"/>
            <w:shd w:val="clear" w:color="auto" w:fill="auto"/>
          </w:tcPr>
          <w:p w14:paraId="57708686" w14:textId="77777777" w:rsidR="00AC212B" w:rsidRPr="00930237" w:rsidRDefault="00AC212B" w:rsidP="00710DDA">
            <w:pPr>
              <w:spacing w:before="0" w:after="0"/>
              <w:jc w:val="center"/>
              <w:rPr>
                <w:noProof/>
                <w:sz w:val="20"/>
              </w:rPr>
            </w:pPr>
          </w:p>
        </w:tc>
        <w:tc>
          <w:tcPr>
            <w:tcW w:w="452" w:type="pct"/>
          </w:tcPr>
          <w:p w14:paraId="12E59E05" w14:textId="77777777" w:rsidR="00AC212B" w:rsidRPr="00930237" w:rsidRDefault="00AC212B" w:rsidP="00710DDA">
            <w:pPr>
              <w:spacing w:before="0" w:after="0"/>
              <w:jc w:val="center"/>
              <w:rPr>
                <w:noProof/>
                <w:sz w:val="20"/>
              </w:rPr>
            </w:pPr>
          </w:p>
        </w:tc>
        <w:tc>
          <w:tcPr>
            <w:tcW w:w="782" w:type="pct"/>
            <w:shd w:val="clear" w:color="auto" w:fill="auto"/>
          </w:tcPr>
          <w:p w14:paraId="0DEBE968" w14:textId="77777777" w:rsidR="00AC212B" w:rsidRPr="00930237" w:rsidRDefault="00AC212B" w:rsidP="00710DDA">
            <w:pPr>
              <w:spacing w:before="0" w:after="0"/>
              <w:jc w:val="center"/>
              <w:rPr>
                <w:noProof/>
                <w:sz w:val="20"/>
              </w:rPr>
            </w:pPr>
          </w:p>
        </w:tc>
      </w:tr>
      <w:tr w:rsidR="00AC212B" w:rsidRPr="00930237" w14:paraId="2D430FD3" w14:textId="77777777" w:rsidTr="00710DDA">
        <w:tc>
          <w:tcPr>
            <w:tcW w:w="340" w:type="pct"/>
          </w:tcPr>
          <w:p w14:paraId="16867642" w14:textId="77777777" w:rsidR="00AC212B" w:rsidRPr="00930237" w:rsidRDefault="00AC212B" w:rsidP="00710DDA">
            <w:pPr>
              <w:spacing w:before="0" w:after="0"/>
              <w:jc w:val="center"/>
              <w:rPr>
                <w:noProof/>
                <w:sz w:val="20"/>
              </w:rPr>
            </w:pPr>
          </w:p>
        </w:tc>
        <w:tc>
          <w:tcPr>
            <w:tcW w:w="252" w:type="pct"/>
          </w:tcPr>
          <w:p w14:paraId="3F736DA9" w14:textId="77777777" w:rsidR="00AC212B" w:rsidRPr="00930237" w:rsidRDefault="00AC212B" w:rsidP="00710DDA">
            <w:pPr>
              <w:spacing w:before="0" w:after="0"/>
              <w:jc w:val="center"/>
              <w:rPr>
                <w:noProof/>
                <w:sz w:val="20"/>
              </w:rPr>
            </w:pPr>
          </w:p>
        </w:tc>
        <w:tc>
          <w:tcPr>
            <w:tcW w:w="214" w:type="pct"/>
          </w:tcPr>
          <w:p w14:paraId="4A42C243" w14:textId="77777777" w:rsidR="00AC212B" w:rsidRPr="00930237" w:rsidRDefault="00AC212B" w:rsidP="00710DDA">
            <w:pPr>
              <w:spacing w:before="0" w:after="0"/>
              <w:jc w:val="center"/>
              <w:rPr>
                <w:noProof/>
                <w:sz w:val="20"/>
              </w:rPr>
            </w:pPr>
          </w:p>
        </w:tc>
        <w:tc>
          <w:tcPr>
            <w:tcW w:w="354" w:type="pct"/>
          </w:tcPr>
          <w:p w14:paraId="7E236452" w14:textId="77777777" w:rsidR="00AC212B" w:rsidRPr="00930237" w:rsidRDefault="00AC212B" w:rsidP="00710DDA">
            <w:pPr>
              <w:spacing w:before="0" w:after="0"/>
              <w:jc w:val="center"/>
              <w:rPr>
                <w:noProof/>
                <w:sz w:val="20"/>
              </w:rPr>
            </w:pPr>
          </w:p>
        </w:tc>
        <w:tc>
          <w:tcPr>
            <w:tcW w:w="775" w:type="pct"/>
          </w:tcPr>
          <w:p w14:paraId="2ECC91C8" w14:textId="77777777" w:rsidR="00AC212B" w:rsidRPr="00930237" w:rsidRDefault="00AC212B" w:rsidP="00710DDA">
            <w:pPr>
              <w:spacing w:before="0" w:after="0"/>
              <w:jc w:val="center"/>
              <w:rPr>
                <w:noProof/>
                <w:sz w:val="20"/>
              </w:rPr>
            </w:pPr>
          </w:p>
        </w:tc>
        <w:tc>
          <w:tcPr>
            <w:tcW w:w="362" w:type="pct"/>
            <w:shd w:val="clear" w:color="auto" w:fill="auto"/>
          </w:tcPr>
          <w:p w14:paraId="79016006" w14:textId="77777777" w:rsidR="00AC212B" w:rsidRPr="00930237" w:rsidRDefault="00AC212B" w:rsidP="00710DDA">
            <w:pPr>
              <w:spacing w:before="0" w:after="0"/>
              <w:jc w:val="center"/>
              <w:rPr>
                <w:noProof/>
                <w:sz w:val="20"/>
              </w:rPr>
            </w:pPr>
          </w:p>
        </w:tc>
        <w:tc>
          <w:tcPr>
            <w:tcW w:w="362" w:type="pct"/>
          </w:tcPr>
          <w:p w14:paraId="44CDB320" w14:textId="77777777" w:rsidR="00AC212B" w:rsidRPr="00930237" w:rsidRDefault="00AC212B" w:rsidP="00710DDA">
            <w:pPr>
              <w:spacing w:before="0" w:after="0"/>
              <w:jc w:val="center"/>
              <w:rPr>
                <w:noProof/>
                <w:sz w:val="20"/>
              </w:rPr>
            </w:pPr>
          </w:p>
        </w:tc>
        <w:tc>
          <w:tcPr>
            <w:tcW w:w="362" w:type="pct"/>
            <w:shd w:val="clear" w:color="auto" w:fill="auto"/>
          </w:tcPr>
          <w:p w14:paraId="225DB0AA" w14:textId="77777777" w:rsidR="00AC212B" w:rsidRPr="00930237" w:rsidRDefault="00AC212B" w:rsidP="00710DDA">
            <w:pPr>
              <w:spacing w:before="0" w:after="0"/>
              <w:jc w:val="center"/>
              <w:rPr>
                <w:noProof/>
                <w:sz w:val="20"/>
              </w:rPr>
            </w:pPr>
          </w:p>
        </w:tc>
        <w:tc>
          <w:tcPr>
            <w:tcW w:w="362" w:type="pct"/>
          </w:tcPr>
          <w:p w14:paraId="7F4F1BA8" w14:textId="77777777" w:rsidR="00AC212B" w:rsidRPr="00930237" w:rsidRDefault="00AC212B" w:rsidP="00710DDA">
            <w:pPr>
              <w:spacing w:before="0" w:after="0"/>
              <w:jc w:val="center"/>
              <w:rPr>
                <w:noProof/>
                <w:sz w:val="20"/>
              </w:rPr>
            </w:pPr>
          </w:p>
        </w:tc>
        <w:tc>
          <w:tcPr>
            <w:tcW w:w="383" w:type="pct"/>
            <w:shd w:val="clear" w:color="auto" w:fill="auto"/>
          </w:tcPr>
          <w:p w14:paraId="18E4FB30" w14:textId="77777777" w:rsidR="00AC212B" w:rsidRPr="00930237" w:rsidRDefault="00AC212B" w:rsidP="00710DDA">
            <w:pPr>
              <w:spacing w:before="0" w:after="0"/>
              <w:jc w:val="center"/>
              <w:rPr>
                <w:noProof/>
                <w:sz w:val="20"/>
              </w:rPr>
            </w:pPr>
          </w:p>
        </w:tc>
        <w:tc>
          <w:tcPr>
            <w:tcW w:w="452" w:type="pct"/>
          </w:tcPr>
          <w:p w14:paraId="23851D5B" w14:textId="77777777" w:rsidR="00AC212B" w:rsidRPr="00930237" w:rsidRDefault="00AC212B" w:rsidP="00710DDA">
            <w:pPr>
              <w:spacing w:before="0" w:after="0"/>
              <w:jc w:val="center"/>
              <w:rPr>
                <w:noProof/>
                <w:sz w:val="20"/>
              </w:rPr>
            </w:pPr>
          </w:p>
        </w:tc>
        <w:tc>
          <w:tcPr>
            <w:tcW w:w="782" w:type="pct"/>
            <w:shd w:val="clear" w:color="auto" w:fill="auto"/>
          </w:tcPr>
          <w:p w14:paraId="44C3F962" w14:textId="77777777" w:rsidR="00AC212B" w:rsidRPr="00930237" w:rsidRDefault="00AC212B" w:rsidP="00710DDA">
            <w:pPr>
              <w:spacing w:before="0" w:after="0"/>
              <w:jc w:val="center"/>
              <w:rPr>
                <w:noProof/>
                <w:sz w:val="20"/>
              </w:rPr>
            </w:pPr>
          </w:p>
        </w:tc>
      </w:tr>
    </w:tbl>
    <w:p w14:paraId="00C2E8B9" w14:textId="77777777" w:rsidR="00AC212B" w:rsidRPr="00930237" w:rsidRDefault="00AC212B" w:rsidP="00AC212B">
      <w:pPr>
        <w:spacing w:before="0" w:after="0"/>
        <w:jc w:val="center"/>
        <w:rPr>
          <w:noProof/>
          <w:sz w:val="20"/>
        </w:rPr>
        <w:sectPr w:rsidR="00AC212B" w:rsidRPr="00930237">
          <w:headerReference w:type="even" r:id="rId168"/>
          <w:headerReference w:type="default" r:id="rId169"/>
          <w:footerReference w:type="even" r:id="rId170"/>
          <w:footerReference w:type="default" r:id="rId171"/>
          <w:headerReference w:type="first" r:id="rId172"/>
          <w:footerReference w:type="first" r:id="rId173"/>
          <w:pgSz w:w="16838" w:h="11906" w:orient="landscape" w:code="9"/>
          <w:pgMar w:top="1134" w:right="567" w:bottom="1134" w:left="567" w:header="709" w:footer="709" w:gutter="0"/>
          <w:cols w:space="708"/>
          <w:titlePg/>
          <w:docGrid w:linePitch="360"/>
        </w:sectPr>
      </w:pPr>
    </w:p>
    <w:p w14:paraId="5066B73B" w14:textId="77777777" w:rsidR="00AC212B" w:rsidRPr="00930237" w:rsidRDefault="00AC212B" w:rsidP="00AC212B">
      <w:pPr>
        <w:pStyle w:val="Heading4"/>
        <w:numPr>
          <w:ilvl w:val="0"/>
          <w:numId w:val="0"/>
        </w:numPr>
        <w:spacing w:after="0"/>
        <w:rPr>
          <w:b/>
          <w:noProof/>
          <w:sz w:val="20"/>
        </w:rPr>
      </w:pPr>
      <w:r w:rsidRPr="00930237">
        <w:rPr>
          <w:b/>
          <w:noProof/>
          <w:sz w:val="20"/>
        </w:rPr>
        <w:t>B. Sīkāka informācija pa darbības veidiem (aizpilda par katru darbības veidu)</w:t>
      </w:r>
    </w:p>
    <w:p w14:paraId="0F902ADA" w14:textId="63305349" w:rsidR="00AC212B" w:rsidRPr="00930237" w:rsidRDefault="00AC212B" w:rsidP="00AC212B">
      <w:pPr>
        <w:spacing w:before="0" w:after="0"/>
        <w:rPr>
          <w:color w:val="FF0000"/>
        </w:rPr>
      </w:pPr>
      <w:r w:rsidRPr="00930237">
        <w:rPr>
          <w:color w:val="FF0000"/>
        </w:rPr>
        <w:t xml:space="preserve">[Tiks </w:t>
      </w:r>
      <w:r w:rsidR="001A3745" w:rsidRPr="00930237">
        <w:rPr>
          <w:color w:val="FF0000"/>
        </w:rPr>
        <w:t>palidināts</w:t>
      </w:r>
      <w:r w:rsidRPr="00930237">
        <w:rPr>
          <w:color w:val="FF0000"/>
        </w:rPr>
        <w:t>/ aktualizēts]</w:t>
      </w:r>
    </w:p>
    <w:p w14:paraId="28C8B906" w14:textId="77777777" w:rsidR="00AC212B" w:rsidRPr="00930237" w:rsidRDefault="00AC212B" w:rsidP="00AC212B">
      <w:pPr>
        <w:spacing w:before="0" w:after="0"/>
        <w:rPr>
          <w:b/>
          <w:noProof/>
          <w:sz w:val="20"/>
        </w:rPr>
      </w:pPr>
    </w:p>
    <w:p w14:paraId="376EEE20" w14:textId="77777777" w:rsidR="00AC212B" w:rsidRPr="00930237" w:rsidRDefault="00AC212B" w:rsidP="00AC212B">
      <w:pPr>
        <w:spacing w:before="0" w:after="0"/>
        <w:rPr>
          <w:b/>
          <w:noProof/>
          <w:sz w:val="20"/>
        </w:rPr>
      </w:pPr>
      <w:r w:rsidRPr="00930237">
        <w:rPr>
          <w:b/>
          <w:noProof/>
          <w:sz w:val="20"/>
        </w:rPr>
        <w:t xml:space="preserve">Vai vadošā iestāde ir saņēmusi atbalstu no ārēja uzņēmuma, lai noteiktu turpmāk norādītās vienkāršotās izmaksas? </w:t>
      </w:r>
    </w:p>
    <w:p w14:paraId="35B21E63" w14:textId="024B41D0" w:rsidR="00AC212B" w:rsidRPr="00930237" w:rsidRDefault="00AC212B" w:rsidP="00AC212B">
      <w:pPr>
        <w:spacing w:before="0" w:after="0"/>
        <w:rPr>
          <w:b/>
          <w:noProof/>
          <w:sz w:val="20"/>
        </w:rPr>
      </w:pPr>
      <w:r w:rsidRPr="00930237">
        <w:rPr>
          <w:b/>
          <w:noProof/>
          <w:sz w:val="20"/>
        </w:rPr>
        <w:t xml:space="preserve">Ja tā ir, norādiet attiecīgo ārējo uzņēmumu: </w:t>
      </w:r>
      <w:r w:rsidRPr="00930237">
        <w:rPr>
          <w:noProof/>
          <w:sz w:val="20"/>
        </w:rPr>
        <w:tab/>
      </w:r>
      <w:r w:rsidR="000D15A7" w:rsidRPr="001A3745">
        <w:rPr>
          <w:b/>
          <w:noProof/>
          <w:color w:val="FFFFFF" w:themeColor="background1"/>
          <w:sz w:val="20"/>
          <w:bdr w:val="single" w:sz="4" w:space="0" w:color="auto"/>
        </w:rPr>
        <w:t>-</w:t>
      </w:r>
      <w:r w:rsidRPr="00930237">
        <w:rPr>
          <w:b/>
          <w:noProof/>
          <w:sz w:val="20"/>
          <w:bdr w:val="single" w:sz="4" w:space="0" w:color="auto"/>
        </w:rPr>
        <w:t xml:space="preserve">Nē </w:t>
      </w:r>
    </w:p>
    <w:p w14:paraId="0D4490DD" w14:textId="7883887C" w:rsidR="00AC212B" w:rsidRPr="00930237" w:rsidRDefault="00AC212B" w:rsidP="00AC212B">
      <w:pPr>
        <w:spacing w:before="0" w:after="0"/>
        <w:rPr>
          <w:noProof/>
          <w:sz w:val="20"/>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7"/>
        <w:gridCol w:w="5670"/>
      </w:tblGrid>
      <w:tr w:rsidR="00AC212B" w:rsidRPr="00930237" w14:paraId="74AA6B3D" w14:textId="77777777" w:rsidTr="00710DDA">
        <w:trPr>
          <w:trHeight w:val="300"/>
        </w:trPr>
        <w:tc>
          <w:tcPr>
            <w:tcW w:w="3417" w:type="dxa"/>
            <w:shd w:val="clear" w:color="auto" w:fill="D9D9D9" w:themeFill="background1" w:themeFillShade="D9"/>
            <w:noWrap/>
            <w:vAlign w:val="center"/>
          </w:tcPr>
          <w:p w14:paraId="1A761A0C" w14:textId="2DB6C747" w:rsidR="00AC212B" w:rsidRPr="00930237" w:rsidRDefault="00AC212B" w:rsidP="001A3745">
            <w:pPr>
              <w:spacing w:before="0" w:after="0"/>
              <w:rPr>
                <w:bCs/>
                <w:noProof/>
                <w:sz w:val="20"/>
              </w:rPr>
            </w:pPr>
            <w:r w:rsidRPr="00930237">
              <w:rPr>
                <w:noProof/>
                <w:sz w:val="20"/>
              </w:rPr>
              <w:t xml:space="preserve">1.1. Darbības veida apraksts </w:t>
            </w:r>
            <w:r w:rsidR="001A3745">
              <w:rPr>
                <w:noProof/>
                <w:sz w:val="20"/>
              </w:rPr>
              <w:t>iekļaujot īstenošanas laika grafiku</w:t>
            </w:r>
          </w:p>
        </w:tc>
        <w:tc>
          <w:tcPr>
            <w:tcW w:w="5670" w:type="dxa"/>
            <w:shd w:val="clear" w:color="auto" w:fill="D9D9D9" w:themeFill="background1" w:themeFillShade="D9"/>
            <w:vAlign w:val="center"/>
          </w:tcPr>
          <w:p w14:paraId="3FD1F4D5" w14:textId="1C286AF5" w:rsidR="00AC212B" w:rsidRPr="00930237" w:rsidRDefault="00AC212B" w:rsidP="000D15A7">
            <w:pPr>
              <w:spacing w:before="0" w:after="0"/>
              <w:jc w:val="left"/>
              <w:rPr>
                <w:noProof/>
                <w:sz w:val="20"/>
              </w:rPr>
            </w:pPr>
            <w:r w:rsidRPr="00930237">
              <w:rPr>
                <w:b/>
                <w:sz w:val="20"/>
              </w:rPr>
              <w:t>NOBRAUKTI KILOMETRI (KM)</w:t>
            </w:r>
            <w:r w:rsidRPr="00930237">
              <w:rPr>
                <w:sz w:val="20"/>
              </w:rPr>
              <w:t xml:space="preserve"> (ar vieglo </w:t>
            </w:r>
            <w:r w:rsidR="000D15A7">
              <w:rPr>
                <w:sz w:val="20"/>
              </w:rPr>
              <w:t>transportlīdzekli</w:t>
            </w:r>
            <w:r w:rsidR="000D15A7" w:rsidRPr="00930237">
              <w:rPr>
                <w:sz w:val="20"/>
              </w:rPr>
              <w:t xml:space="preserve"> </w:t>
            </w:r>
            <w:r w:rsidRPr="00930237">
              <w:rPr>
                <w:sz w:val="20"/>
              </w:rPr>
              <w:t xml:space="preserve">vai reģionālās nozīmes sabiedrisko transportu) un nobraukts brauciens sabiedriskajā transportā vienas apdzīvotas vietas ietvaros </w:t>
            </w:r>
          </w:p>
        </w:tc>
      </w:tr>
      <w:tr w:rsidR="00AC212B" w:rsidRPr="00930237" w14:paraId="71EC5F09" w14:textId="77777777" w:rsidTr="00710DDA">
        <w:trPr>
          <w:trHeight w:val="406"/>
        </w:trPr>
        <w:tc>
          <w:tcPr>
            <w:tcW w:w="3417" w:type="dxa"/>
            <w:shd w:val="clear" w:color="auto" w:fill="auto"/>
            <w:noWrap/>
            <w:vAlign w:val="center"/>
          </w:tcPr>
          <w:p w14:paraId="48E0F786" w14:textId="77777777" w:rsidR="00AC212B" w:rsidRPr="00930237" w:rsidRDefault="00AC212B" w:rsidP="00710DDA">
            <w:pPr>
              <w:spacing w:before="0" w:after="0"/>
              <w:rPr>
                <w:bCs/>
                <w:noProof/>
                <w:sz w:val="20"/>
              </w:rPr>
            </w:pPr>
            <w:r w:rsidRPr="00930237">
              <w:rPr>
                <w:noProof/>
                <w:sz w:val="20"/>
              </w:rPr>
              <w:t xml:space="preserve">1.2. SAM </w:t>
            </w:r>
          </w:p>
        </w:tc>
        <w:tc>
          <w:tcPr>
            <w:tcW w:w="5670" w:type="dxa"/>
            <w:vAlign w:val="center"/>
          </w:tcPr>
          <w:p w14:paraId="7984ACF6" w14:textId="77777777" w:rsidR="00AC212B" w:rsidRPr="00930237" w:rsidRDefault="00AC212B" w:rsidP="00710DDA">
            <w:pPr>
              <w:spacing w:before="0" w:after="0"/>
              <w:jc w:val="left"/>
              <w:rPr>
                <w:noProof/>
                <w:sz w:val="20"/>
              </w:rPr>
            </w:pPr>
            <w:r w:rsidRPr="00930237">
              <w:rPr>
                <w:sz w:val="20"/>
              </w:rPr>
              <w:t>Visi, kur minētās izmaksas ir attiecināmas</w:t>
            </w:r>
          </w:p>
        </w:tc>
      </w:tr>
    </w:tbl>
    <w:p w14:paraId="201CA2E5" w14:textId="77777777" w:rsidR="000266D9" w:rsidRDefault="000266D9" w:rsidP="00710DDA">
      <w:pPr>
        <w:spacing w:before="0" w:after="0"/>
        <w:rPr>
          <w:noProof/>
          <w:sz w:val="20"/>
        </w:rPr>
        <w:sectPr w:rsidR="000266D9">
          <w:headerReference w:type="even" r:id="rId174"/>
          <w:headerReference w:type="default" r:id="rId175"/>
          <w:footerReference w:type="even" r:id="rId176"/>
          <w:footerReference w:type="default" r:id="rId177"/>
          <w:headerReference w:type="first" r:id="rId178"/>
          <w:footerReference w:type="first" r:id="rId179"/>
          <w:footnotePr>
            <w:numRestart w:val="eachSect"/>
          </w:footnotePr>
          <w:pgSz w:w="11906" w:h="16838"/>
          <w:pgMar w:top="1417" w:right="1417" w:bottom="1417" w:left="1417" w:header="708" w:footer="708" w:gutter="0"/>
          <w:cols w:space="708"/>
          <w:docGrid w:linePitch="360"/>
        </w:sectPr>
      </w:pPr>
    </w:p>
    <w:p w14:paraId="6A947E2A" w14:textId="77777777" w:rsidR="000266D9" w:rsidRDefault="000266D9" w:rsidP="00710DDA">
      <w:pPr>
        <w:spacing w:before="0" w:after="0"/>
        <w:rPr>
          <w:noProof/>
          <w:sz w:val="20"/>
        </w:rPr>
        <w:sectPr w:rsidR="000266D9" w:rsidSect="000266D9">
          <w:footnotePr>
            <w:numRestart w:val="eachSect"/>
          </w:footnotePr>
          <w:type w:val="continuous"/>
          <w:pgSz w:w="11906" w:h="16838"/>
          <w:pgMar w:top="1417" w:right="1417" w:bottom="1417" w:left="1417" w:header="708" w:footer="708" w:gutter="0"/>
          <w:cols w:space="708"/>
          <w:docGrid w:linePitch="360"/>
        </w:sect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7"/>
        <w:gridCol w:w="5670"/>
      </w:tblGrid>
      <w:tr w:rsidR="00AC212B" w:rsidRPr="00930237" w14:paraId="51E0CA20" w14:textId="77777777" w:rsidTr="00710DDA">
        <w:trPr>
          <w:trHeight w:val="300"/>
        </w:trPr>
        <w:tc>
          <w:tcPr>
            <w:tcW w:w="3417" w:type="dxa"/>
            <w:shd w:val="clear" w:color="auto" w:fill="auto"/>
            <w:noWrap/>
            <w:vAlign w:val="center"/>
          </w:tcPr>
          <w:p w14:paraId="1406DE46" w14:textId="19E62CDC" w:rsidR="00AC212B" w:rsidRPr="00930237" w:rsidRDefault="00AC212B" w:rsidP="001A3745">
            <w:pPr>
              <w:spacing w:before="0" w:after="0"/>
              <w:rPr>
                <w:bCs/>
                <w:noProof/>
                <w:sz w:val="20"/>
              </w:rPr>
            </w:pPr>
            <w:r w:rsidRPr="00930237">
              <w:rPr>
                <w:noProof/>
                <w:sz w:val="20"/>
              </w:rPr>
              <w:t xml:space="preserve">1.3. </w:t>
            </w:r>
            <w:r w:rsidR="001A3745">
              <w:rPr>
                <w:noProof/>
                <w:sz w:val="20"/>
              </w:rPr>
              <w:t>Ar maksājumu saistītais rādītājs</w:t>
            </w:r>
            <w:r w:rsidRPr="00930237">
              <w:rPr>
                <w:rStyle w:val="FootnoteReference"/>
                <w:noProof/>
                <w:sz w:val="20"/>
              </w:rPr>
              <w:footnoteReference w:id="177"/>
            </w:r>
          </w:p>
        </w:tc>
        <w:tc>
          <w:tcPr>
            <w:tcW w:w="5670" w:type="dxa"/>
            <w:vAlign w:val="center"/>
          </w:tcPr>
          <w:p w14:paraId="6689DC99" w14:textId="77777777" w:rsidR="00AC212B" w:rsidRPr="00930237" w:rsidRDefault="00AC212B" w:rsidP="00710DDA">
            <w:pPr>
              <w:spacing w:before="0" w:after="0"/>
              <w:jc w:val="left"/>
              <w:rPr>
                <w:noProof/>
                <w:sz w:val="20"/>
              </w:rPr>
            </w:pPr>
          </w:p>
        </w:tc>
      </w:tr>
      <w:tr w:rsidR="00AC212B" w:rsidRPr="00930237" w14:paraId="55140A26" w14:textId="77777777" w:rsidTr="00710DDA">
        <w:trPr>
          <w:trHeight w:val="300"/>
        </w:trPr>
        <w:tc>
          <w:tcPr>
            <w:tcW w:w="3417" w:type="dxa"/>
            <w:shd w:val="clear" w:color="auto" w:fill="auto"/>
            <w:noWrap/>
            <w:vAlign w:val="center"/>
          </w:tcPr>
          <w:p w14:paraId="37B700B9" w14:textId="560D8C2B" w:rsidR="00AC212B" w:rsidRPr="00930237" w:rsidRDefault="00AC212B" w:rsidP="001A3745">
            <w:pPr>
              <w:spacing w:before="0" w:after="0"/>
              <w:rPr>
                <w:bCs/>
                <w:noProof/>
                <w:sz w:val="20"/>
              </w:rPr>
            </w:pPr>
            <w:r w:rsidRPr="00930237">
              <w:rPr>
                <w:noProof/>
                <w:sz w:val="20"/>
              </w:rPr>
              <w:t>1.4. </w:t>
            </w:r>
            <w:r w:rsidR="001A3745">
              <w:rPr>
                <w:noProof/>
                <w:sz w:val="20"/>
              </w:rPr>
              <w:t>Ar maksājumu saistītā rādītāja mērvienība</w:t>
            </w:r>
          </w:p>
        </w:tc>
        <w:tc>
          <w:tcPr>
            <w:tcW w:w="5670" w:type="dxa"/>
            <w:vAlign w:val="center"/>
          </w:tcPr>
          <w:p w14:paraId="02A37D8C" w14:textId="200F4F0A" w:rsidR="00AC212B" w:rsidRPr="00930237" w:rsidRDefault="00AC212B" w:rsidP="00710DDA">
            <w:pPr>
              <w:spacing w:before="0" w:after="0"/>
              <w:jc w:val="left"/>
              <w:rPr>
                <w:noProof/>
                <w:sz w:val="20"/>
              </w:rPr>
            </w:pPr>
            <w:r w:rsidRPr="00930237">
              <w:rPr>
                <w:sz w:val="20"/>
              </w:rPr>
              <w:t>Nobraukts 1 km un</w:t>
            </w:r>
            <w:r w:rsidR="000D15A7">
              <w:rPr>
                <w:sz w:val="20"/>
              </w:rPr>
              <w:t>/vai</w:t>
            </w:r>
            <w:r w:rsidRPr="00930237">
              <w:rPr>
                <w:sz w:val="20"/>
              </w:rPr>
              <w:t xml:space="preserve"> viens brauciens </w:t>
            </w:r>
          </w:p>
        </w:tc>
      </w:tr>
      <w:tr w:rsidR="00AC212B" w:rsidRPr="00930237" w14:paraId="34AA34E4" w14:textId="77777777" w:rsidTr="00710DDA">
        <w:trPr>
          <w:trHeight w:val="300"/>
        </w:trPr>
        <w:tc>
          <w:tcPr>
            <w:tcW w:w="3417" w:type="dxa"/>
            <w:shd w:val="clear" w:color="auto" w:fill="auto"/>
            <w:noWrap/>
            <w:vAlign w:val="center"/>
          </w:tcPr>
          <w:p w14:paraId="7CD626AD" w14:textId="77777777" w:rsidR="00AC212B" w:rsidRPr="00930237" w:rsidRDefault="00AC212B" w:rsidP="00710DDA">
            <w:pPr>
              <w:spacing w:before="0" w:after="0"/>
              <w:rPr>
                <w:bCs/>
                <w:noProof/>
                <w:sz w:val="20"/>
              </w:rPr>
            </w:pPr>
            <w:r w:rsidRPr="00930237">
              <w:rPr>
                <w:noProof/>
                <w:sz w:val="20"/>
              </w:rPr>
              <w:t>1.5. Vienas vienības izmaksu standarta likme, vienreizējais maksājums vai vienota likme</w:t>
            </w:r>
          </w:p>
        </w:tc>
        <w:tc>
          <w:tcPr>
            <w:tcW w:w="5670" w:type="dxa"/>
            <w:vAlign w:val="center"/>
          </w:tcPr>
          <w:p w14:paraId="3E96A7A5" w14:textId="77777777" w:rsidR="00AC212B" w:rsidRPr="00930237" w:rsidRDefault="00AC212B" w:rsidP="00710DDA">
            <w:pPr>
              <w:spacing w:before="0" w:after="0"/>
              <w:jc w:val="left"/>
              <w:rPr>
                <w:noProof/>
                <w:sz w:val="20"/>
              </w:rPr>
            </w:pPr>
            <w:r w:rsidRPr="00930237">
              <w:rPr>
                <w:sz w:val="20"/>
              </w:rPr>
              <w:t>Viena vienība</w:t>
            </w:r>
          </w:p>
        </w:tc>
      </w:tr>
      <w:tr w:rsidR="00AC212B" w:rsidRPr="00930237" w14:paraId="65CDD0FC" w14:textId="77777777" w:rsidTr="00710DDA">
        <w:trPr>
          <w:trHeight w:val="300"/>
        </w:trPr>
        <w:tc>
          <w:tcPr>
            <w:tcW w:w="3417" w:type="dxa"/>
            <w:shd w:val="clear" w:color="auto" w:fill="auto"/>
            <w:noWrap/>
            <w:vAlign w:val="center"/>
          </w:tcPr>
          <w:p w14:paraId="00BBE167" w14:textId="213F006A" w:rsidR="00AC212B" w:rsidRPr="00930237" w:rsidRDefault="00AC212B" w:rsidP="00710DDA">
            <w:pPr>
              <w:spacing w:before="0" w:after="0"/>
              <w:rPr>
                <w:bCs/>
                <w:noProof/>
                <w:sz w:val="20"/>
              </w:rPr>
            </w:pPr>
            <w:r w:rsidRPr="00930237">
              <w:rPr>
                <w:noProof/>
                <w:sz w:val="20"/>
              </w:rPr>
              <w:t xml:space="preserve">1.6. Summa </w:t>
            </w:r>
            <w:r w:rsidR="001A3745">
              <w:rPr>
                <w:noProof/>
                <w:sz w:val="20"/>
              </w:rPr>
              <w:t>par vienu mērvienības vienību vai procenti (vienotai likmei) vienkāršotajām izmaksām</w:t>
            </w:r>
          </w:p>
        </w:tc>
        <w:tc>
          <w:tcPr>
            <w:tcW w:w="5670" w:type="dxa"/>
            <w:vAlign w:val="center"/>
          </w:tcPr>
          <w:p w14:paraId="42C2E656" w14:textId="559BFACB" w:rsidR="00AC212B" w:rsidRPr="00930237" w:rsidRDefault="000D15A7" w:rsidP="00710DDA">
            <w:pPr>
              <w:spacing w:before="0" w:after="0"/>
              <w:rPr>
                <w:sz w:val="20"/>
              </w:rPr>
            </w:pPr>
            <w:r>
              <w:rPr>
                <w:b/>
                <w:sz w:val="20"/>
              </w:rPr>
              <w:t xml:space="preserve">1) </w:t>
            </w:r>
            <w:r w:rsidR="00AC212B" w:rsidRPr="00930237">
              <w:rPr>
                <w:b/>
                <w:sz w:val="20"/>
              </w:rPr>
              <w:t>0.12 EUR/KM</w:t>
            </w:r>
            <w:r w:rsidR="00AC212B" w:rsidRPr="00930237">
              <w:rPr>
                <w:sz w:val="20"/>
              </w:rPr>
              <w:t xml:space="preserve"> (ar vieglo </w:t>
            </w:r>
            <w:r>
              <w:rPr>
                <w:sz w:val="20"/>
              </w:rPr>
              <w:t>transportlīdzekli</w:t>
            </w:r>
            <w:r w:rsidR="00AC212B" w:rsidRPr="00930237">
              <w:rPr>
                <w:sz w:val="20"/>
              </w:rPr>
              <w:t>),</w:t>
            </w:r>
          </w:p>
          <w:p w14:paraId="4A0B5ABE" w14:textId="778D772B" w:rsidR="00AC212B" w:rsidRPr="00930237" w:rsidRDefault="000D15A7" w:rsidP="00710DDA">
            <w:pPr>
              <w:spacing w:before="0" w:after="0"/>
              <w:rPr>
                <w:sz w:val="20"/>
              </w:rPr>
            </w:pPr>
            <w:r>
              <w:rPr>
                <w:b/>
                <w:sz w:val="20"/>
              </w:rPr>
              <w:t xml:space="preserve">2) </w:t>
            </w:r>
            <w:r w:rsidR="00AC212B" w:rsidRPr="00930237">
              <w:rPr>
                <w:b/>
                <w:sz w:val="20"/>
              </w:rPr>
              <w:t>0.61 EUR/brauciens</w:t>
            </w:r>
            <w:r w:rsidR="00AC212B" w:rsidRPr="00930237">
              <w:rPr>
                <w:sz w:val="20"/>
              </w:rPr>
              <w:t xml:space="preserve"> (citās apdzīvotās vietās ārpus Rīgas), </w:t>
            </w:r>
          </w:p>
          <w:p w14:paraId="30A506BD" w14:textId="1054231E" w:rsidR="00AC212B" w:rsidRPr="00930237" w:rsidRDefault="000D15A7" w:rsidP="00710DDA">
            <w:pPr>
              <w:spacing w:before="0" w:after="0"/>
              <w:rPr>
                <w:sz w:val="20"/>
              </w:rPr>
            </w:pPr>
            <w:r>
              <w:rPr>
                <w:b/>
                <w:sz w:val="20"/>
              </w:rPr>
              <w:t xml:space="preserve">3) </w:t>
            </w:r>
            <w:r w:rsidR="00AC212B" w:rsidRPr="00930237">
              <w:rPr>
                <w:b/>
                <w:sz w:val="20"/>
              </w:rPr>
              <w:t>1.15 EUR/brauciens</w:t>
            </w:r>
            <w:r w:rsidR="00AC212B" w:rsidRPr="00930237">
              <w:rPr>
                <w:sz w:val="20"/>
              </w:rPr>
              <w:t xml:space="preserve"> (Rīga), </w:t>
            </w:r>
          </w:p>
          <w:p w14:paraId="460040B9" w14:textId="5BF11AA8" w:rsidR="00AC212B" w:rsidRPr="00930237" w:rsidRDefault="000D15A7" w:rsidP="00710DDA">
            <w:pPr>
              <w:spacing w:before="0" w:after="0"/>
              <w:rPr>
                <w:sz w:val="20"/>
              </w:rPr>
            </w:pPr>
            <w:r>
              <w:rPr>
                <w:b/>
                <w:sz w:val="20"/>
              </w:rPr>
              <w:t xml:space="preserve">4) </w:t>
            </w:r>
            <w:r w:rsidR="00AC212B" w:rsidRPr="00930237">
              <w:rPr>
                <w:b/>
                <w:sz w:val="20"/>
              </w:rPr>
              <w:t>0.0</w:t>
            </w:r>
            <w:r>
              <w:rPr>
                <w:b/>
                <w:sz w:val="20"/>
              </w:rPr>
              <w:t>5</w:t>
            </w:r>
            <w:r w:rsidR="00AC212B" w:rsidRPr="00930237">
              <w:rPr>
                <w:b/>
                <w:sz w:val="20"/>
              </w:rPr>
              <w:t xml:space="preserve"> EUR/KM</w:t>
            </w:r>
            <w:r w:rsidR="00AC212B" w:rsidRPr="00930237">
              <w:rPr>
                <w:sz w:val="20"/>
              </w:rPr>
              <w:t xml:space="preserve"> (starppilsētu reģionālās nozīmes sabiedriskais transports)</w:t>
            </w:r>
          </w:p>
          <w:p w14:paraId="12BFDEAA" w14:textId="4B9881DC" w:rsidR="00AC212B" w:rsidRPr="00930237" w:rsidRDefault="000D15A7" w:rsidP="000D15A7">
            <w:pPr>
              <w:spacing w:before="0" w:after="0"/>
              <w:jc w:val="left"/>
              <w:rPr>
                <w:noProof/>
                <w:sz w:val="20"/>
              </w:rPr>
            </w:pPr>
            <w:r>
              <w:rPr>
                <w:sz w:val="20"/>
              </w:rPr>
              <w:t xml:space="preserve">5) </w:t>
            </w:r>
            <w:r w:rsidRPr="00930237">
              <w:rPr>
                <w:b/>
                <w:sz w:val="20"/>
              </w:rPr>
              <w:t>0.04 EUR/KM</w:t>
            </w:r>
            <w:r w:rsidRPr="00930237">
              <w:rPr>
                <w:sz w:val="20"/>
              </w:rPr>
              <w:t xml:space="preserve"> </w:t>
            </w:r>
            <w:r>
              <w:rPr>
                <w:sz w:val="20"/>
              </w:rPr>
              <w:t>(</w:t>
            </w:r>
            <w:r w:rsidR="00AC212B" w:rsidRPr="00930237">
              <w:rPr>
                <w:sz w:val="20"/>
              </w:rPr>
              <w:t>nobraukta 1 km</w:t>
            </w:r>
            <w:r w:rsidR="00AC212B" w:rsidRPr="00930237">
              <w:t xml:space="preserve"> </w:t>
            </w:r>
            <w:r w:rsidR="00AC212B" w:rsidRPr="00930237">
              <w:rPr>
                <w:sz w:val="20"/>
              </w:rPr>
              <w:t>vieglā transportlīdzekļa kompensācijas izmaksas</w:t>
            </w:r>
            <w:r>
              <w:rPr>
                <w:sz w:val="20"/>
              </w:rPr>
              <w:t>)</w:t>
            </w:r>
            <w:r w:rsidR="00AC212B" w:rsidRPr="00930237">
              <w:rPr>
                <w:sz w:val="20"/>
              </w:rPr>
              <w:t xml:space="preserve"> </w:t>
            </w:r>
          </w:p>
        </w:tc>
      </w:tr>
      <w:tr w:rsidR="00AC212B" w:rsidRPr="00930237" w14:paraId="27BBD5B1" w14:textId="77777777" w:rsidTr="00710DDA">
        <w:trPr>
          <w:trHeight w:val="300"/>
        </w:trPr>
        <w:tc>
          <w:tcPr>
            <w:tcW w:w="3417" w:type="dxa"/>
            <w:shd w:val="clear" w:color="auto" w:fill="auto"/>
            <w:noWrap/>
            <w:vAlign w:val="center"/>
          </w:tcPr>
          <w:p w14:paraId="23D73A5A" w14:textId="77777777" w:rsidR="00AC212B" w:rsidRPr="00930237" w:rsidRDefault="00AC212B" w:rsidP="00710DDA">
            <w:pPr>
              <w:spacing w:before="0" w:after="0"/>
              <w:rPr>
                <w:bCs/>
                <w:noProof/>
                <w:sz w:val="20"/>
              </w:rPr>
            </w:pPr>
            <w:r w:rsidRPr="00930237">
              <w:rPr>
                <w:noProof/>
                <w:sz w:val="20"/>
              </w:rPr>
              <w:t>1.7. Izmaksu kategorijas, kas tiek segtas ar vienas vienības cenu, vienreizējo maksājumu vai vienotu likmi</w:t>
            </w:r>
          </w:p>
        </w:tc>
        <w:tc>
          <w:tcPr>
            <w:tcW w:w="5670" w:type="dxa"/>
            <w:vAlign w:val="center"/>
          </w:tcPr>
          <w:p w14:paraId="12E64A44" w14:textId="34BAC52A" w:rsidR="00AC212B" w:rsidRPr="00930237" w:rsidRDefault="000D15A7" w:rsidP="00710DDA">
            <w:pPr>
              <w:spacing w:before="0" w:after="0"/>
              <w:jc w:val="left"/>
              <w:rPr>
                <w:noProof/>
                <w:sz w:val="20"/>
              </w:rPr>
            </w:pPr>
            <w:r w:rsidRPr="000D15A7">
              <w:rPr>
                <w:sz w:val="20"/>
              </w:rPr>
              <w:t xml:space="preserve">Vieglā transportlīdzekļa </w:t>
            </w:r>
            <w:r>
              <w:rPr>
                <w:sz w:val="20"/>
              </w:rPr>
              <w:t>d</w:t>
            </w:r>
            <w:r w:rsidR="00AC212B" w:rsidRPr="00930237">
              <w:rPr>
                <w:sz w:val="20"/>
              </w:rPr>
              <w:t>egvielas, reģionālā un pilsētas ietvaru sabiedriskā transporta izmaksas</w:t>
            </w:r>
            <w:r>
              <w:rPr>
                <w:sz w:val="20"/>
              </w:rPr>
              <w:t xml:space="preserve"> </w:t>
            </w:r>
            <w:r w:rsidRPr="000D15A7">
              <w:rPr>
                <w:sz w:val="20"/>
              </w:rPr>
              <w:t>(km vai brauciena</w:t>
            </w:r>
            <w:r>
              <w:rPr>
                <w:sz w:val="20"/>
              </w:rPr>
              <w:t>)</w:t>
            </w:r>
            <w:r w:rsidR="00AC212B" w:rsidRPr="00930237">
              <w:rPr>
                <w:sz w:val="20"/>
              </w:rPr>
              <w:t>, vieglā transportlīdzekļa kompensācijas izmaksas (amortizācijas izmaksas).</w:t>
            </w:r>
          </w:p>
        </w:tc>
      </w:tr>
      <w:tr w:rsidR="00AC212B" w:rsidRPr="00930237" w14:paraId="7A4AE478" w14:textId="77777777" w:rsidTr="00710DDA">
        <w:trPr>
          <w:trHeight w:val="300"/>
        </w:trPr>
        <w:tc>
          <w:tcPr>
            <w:tcW w:w="3417" w:type="dxa"/>
            <w:shd w:val="clear" w:color="auto" w:fill="auto"/>
            <w:noWrap/>
            <w:vAlign w:val="center"/>
          </w:tcPr>
          <w:p w14:paraId="6C01A99C" w14:textId="77777777" w:rsidR="00AC212B" w:rsidRPr="00930237" w:rsidRDefault="00AC212B" w:rsidP="00710DDA">
            <w:pPr>
              <w:spacing w:before="0" w:after="0"/>
              <w:rPr>
                <w:bCs/>
                <w:noProof/>
                <w:sz w:val="20"/>
              </w:rPr>
            </w:pPr>
            <w:r w:rsidRPr="00930237">
              <w:rPr>
                <w:noProof/>
                <w:sz w:val="20"/>
              </w:rPr>
              <w:t>1.8. Vai šīs izmaksu kategorijas sedz visus darbības attiecināmos izdevumus? (Jā/Nē)</w:t>
            </w:r>
          </w:p>
        </w:tc>
        <w:tc>
          <w:tcPr>
            <w:tcW w:w="5670" w:type="dxa"/>
            <w:vAlign w:val="center"/>
          </w:tcPr>
          <w:p w14:paraId="16D4BC5C" w14:textId="77777777" w:rsidR="00AC212B" w:rsidRPr="00930237" w:rsidRDefault="00AC212B" w:rsidP="00710DDA">
            <w:pPr>
              <w:spacing w:before="0" w:after="0"/>
              <w:jc w:val="left"/>
              <w:rPr>
                <w:noProof/>
                <w:sz w:val="20"/>
              </w:rPr>
            </w:pPr>
            <w:r w:rsidRPr="00930237">
              <w:rPr>
                <w:sz w:val="20"/>
              </w:rPr>
              <w:t>Nē</w:t>
            </w:r>
          </w:p>
        </w:tc>
      </w:tr>
      <w:tr w:rsidR="00AC212B" w:rsidRPr="00930237" w14:paraId="35454157" w14:textId="77777777" w:rsidTr="00710DDA">
        <w:trPr>
          <w:trHeight w:val="300"/>
        </w:trPr>
        <w:tc>
          <w:tcPr>
            <w:tcW w:w="3417" w:type="dxa"/>
            <w:shd w:val="clear" w:color="auto" w:fill="auto"/>
            <w:noWrap/>
            <w:vAlign w:val="center"/>
          </w:tcPr>
          <w:p w14:paraId="262BC1A3" w14:textId="77777777" w:rsidR="00AC212B" w:rsidRPr="00930237" w:rsidRDefault="00AC212B" w:rsidP="00710DDA">
            <w:pPr>
              <w:spacing w:before="0" w:after="0"/>
              <w:rPr>
                <w:bCs/>
                <w:noProof/>
                <w:sz w:val="20"/>
              </w:rPr>
            </w:pPr>
            <w:r w:rsidRPr="00930237">
              <w:rPr>
                <w:noProof/>
                <w:sz w:val="20"/>
              </w:rPr>
              <w:t xml:space="preserve">1.9. Aktualizēšanas nosacījuma(-u) metode(-es) </w:t>
            </w:r>
          </w:p>
        </w:tc>
        <w:tc>
          <w:tcPr>
            <w:tcW w:w="5670" w:type="dxa"/>
            <w:vAlign w:val="center"/>
          </w:tcPr>
          <w:p w14:paraId="77B04F5F" w14:textId="7C2AB9D7" w:rsidR="00AC212B" w:rsidRPr="00930237" w:rsidRDefault="000D15A7" w:rsidP="00710DDA">
            <w:pPr>
              <w:spacing w:before="0" w:after="0"/>
              <w:rPr>
                <w:sz w:val="20"/>
              </w:rPr>
            </w:pPr>
            <w:r>
              <w:rPr>
                <w:b/>
                <w:sz w:val="20"/>
              </w:rPr>
              <w:t xml:space="preserve">1) </w:t>
            </w:r>
            <w:r w:rsidR="00AC212B" w:rsidRPr="00930237">
              <w:rPr>
                <w:b/>
                <w:sz w:val="20"/>
              </w:rPr>
              <w:t xml:space="preserve">0.12 EUR/KM (ar vieglo </w:t>
            </w:r>
            <w:r>
              <w:rPr>
                <w:b/>
                <w:sz w:val="20"/>
              </w:rPr>
              <w:t>transportlīdzekli</w:t>
            </w:r>
            <w:r w:rsidR="00AC212B" w:rsidRPr="00930237">
              <w:rPr>
                <w:b/>
                <w:sz w:val="20"/>
              </w:rPr>
              <w:t>)</w:t>
            </w:r>
            <w:r w:rsidR="00AC212B" w:rsidRPr="00930237">
              <w:rPr>
                <w:sz w:val="20"/>
              </w:rPr>
              <w:t xml:space="preserve"> – reizi gadā likme tiek pārskatīta, ja mainās </w:t>
            </w:r>
            <w:r>
              <w:rPr>
                <w:sz w:val="20"/>
              </w:rPr>
              <w:t xml:space="preserve">vidējās </w:t>
            </w:r>
            <w:r w:rsidR="00AC212B" w:rsidRPr="00930237">
              <w:rPr>
                <w:sz w:val="20"/>
              </w:rPr>
              <w:t>degvielas cenas valstī atbilstoši Centrālās statistikas pārvaldes sniegtajiem datiem.</w:t>
            </w:r>
          </w:p>
          <w:p w14:paraId="41E1E274" w14:textId="77777777" w:rsidR="00AC212B" w:rsidRPr="00930237" w:rsidRDefault="00AC212B" w:rsidP="00710DDA">
            <w:pPr>
              <w:spacing w:before="0" w:after="0"/>
              <w:rPr>
                <w:sz w:val="20"/>
              </w:rPr>
            </w:pPr>
          </w:p>
          <w:p w14:paraId="11B94832" w14:textId="07251F42" w:rsidR="00AC212B" w:rsidRDefault="000D15A7" w:rsidP="00710DDA">
            <w:pPr>
              <w:spacing w:before="0" w:after="0"/>
              <w:rPr>
                <w:sz w:val="20"/>
              </w:rPr>
            </w:pPr>
            <w:r>
              <w:rPr>
                <w:b/>
                <w:sz w:val="20"/>
              </w:rPr>
              <w:t xml:space="preserve">2) </w:t>
            </w:r>
            <w:r w:rsidR="00AC212B" w:rsidRPr="00930237">
              <w:rPr>
                <w:b/>
                <w:sz w:val="20"/>
              </w:rPr>
              <w:t>0.61EUR/brauciens (citās apdzīvotās vietās ārpus Rīgas)</w:t>
            </w:r>
            <w:r w:rsidR="00AC212B" w:rsidRPr="00930237">
              <w:rPr>
                <w:sz w:val="20"/>
              </w:rPr>
              <w:t xml:space="preserve"> – reizi gadā likme tiek pārskatīta, ja mainās sabiedriskā transporta cenas pilsētās ārpus Rīgas (izmaiņas cenrādī)</w:t>
            </w:r>
            <w:r>
              <w:rPr>
                <w:sz w:val="20"/>
              </w:rPr>
              <w:t>.</w:t>
            </w:r>
          </w:p>
          <w:p w14:paraId="362CEA90" w14:textId="77777777" w:rsidR="000D15A7" w:rsidRPr="00930237" w:rsidRDefault="000D15A7" w:rsidP="00710DDA">
            <w:pPr>
              <w:spacing w:before="0" w:after="0"/>
              <w:rPr>
                <w:sz w:val="20"/>
              </w:rPr>
            </w:pPr>
          </w:p>
          <w:p w14:paraId="0C1367A8" w14:textId="1213384B" w:rsidR="00AC212B" w:rsidRPr="00930237" w:rsidRDefault="000D15A7" w:rsidP="00710DDA">
            <w:pPr>
              <w:spacing w:before="0" w:after="0"/>
              <w:rPr>
                <w:sz w:val="20"/>
              </w:rPr>
            </w:pPr>
            <w:r>
              <w:rPr>
                <w:b/>
                <w:sz w:val="20"/>
              </w:rPr>
              <w:t xml:space="preserve">3) </w:t>
            </w:r>
            <w:r w:rsidR="00AC212B" w:rsidRPr="00930237">
              <w:rPr>
                <w:b/>
                <w:sz w:val="20"/>
              </w:rPr>
              <w:t>1.15 EUR/brauciens (Rīga)</w:t>
            </w:r>
            <w:r w:rsidR="00AC212B" w:rsidRPr="00930237">
              <w:rPr>
                <w:sz w:val="20"/>
              </w:rPr>
              <w:t xml:space="preserve"> – reizi gadā likme tiek pārskatīta, ja mainās sabiedriskā transporta cenas Rīgā (izmaiņas cenrādī) </w:t>
            </w:r>
          </w:p>
          <w:p w14:paraId="5F7C4210" w14:textId="77777777" w:rsidR="00AC212B" w:rsidRPr="00930237" w:rsidRDefault="00AC212B" w:rsidP="00710DDA">
            <w:pPr>
              <w:spacing w:before="0" w:after="0"/>
              <w:rPr>
                <w:sz w:val="20"/>
              </w:rPr>
            </w:pPr>
          </w:p>
          <w:p w14:paraId="3CFF5C32" w14:textId="0E28684A" w:rsidR="00AC212B" w:rsidRPr="00930237" w:rsidRDefault="000D15A7" w:rsidP="00710DDA">
            <w:pPr>
              <w:spacing w:before="0" w:after="0"/>
              <w:rPr>
                <w:sz w:val="20"/>
              </w:rPr>
            </w:pPr>
            <w:r>
              <w:rPr>
                <w:b/>
                <w:sz w:val="20"/>
              </w:rPr>
              <w:t xml:space="preserve">4) </w:t>
            </w:r>
            <w:r w:rsidR="00AC212B" w:rsidRPr="00930237">
              <w:rPr>
                <w:b/>
                <w:sz w:val="20"/>
              </w:rPr>
              <w:t>0.0</w:t>
            </w:r>
            <w:r>
              <w:rPr>
                <w:b/>
                <w:sz w:val="20"/>
              </w:rPr>
              <w:t>5</w:t>
            </w:r>
            <w:r w:rsidR="00AC212B" w:rsidRPr="00930237">
              <w:rPr>
                <w:b/>
                <w:sz w:val="20"/>
              </w:rPr>
              <w:t xml:space="preserve"> EUR/KM</w:t>
            </w:r>
            <w:r w:rsidR="00AC212B" w:rsidRPr="00930237">
              <w:rPr>
                <w:sz w:val="20"/>
              </w:rPr>
              <w:t xml:space="preserve"> (starppilsētu reģionālās nozīmes sabiedriskais transports) – reizi gadā likme tiek pārskatīta, ja mainās reģionālās nozīmes sabiedriskā transporta cenas atbilstoši Valsts SIA “Autotransporta direkcija” sniegtajai informācijai</w:t>
            </w:r>
          </w:p>
          <w:p w14:paraId="2B80B1B9" w14:textId="77777777" w:rsidR="00AC212B" w:rsidRPr="00930237" w:rsidRDefault="00AC212B" w:rsidP="00710DDA">
            <w:pPr>
              <w:spacing w:before="0" w:after="0"/>
              <w:rPr>
                <w:sz w:val="20"/>
              </w:rPr>
            </w:pPr>
          </w:p>
          <w:p w14:paraId="032ECB98" w14:textId="08C8FC3B" w:rsidR="00AC212B" w:rsidRPr="00930237" w:rsidRDefault="000D15A7" w:rsidP="00E4432B">
            <w:pPr>
              <w:spacing w:before="0" w:after="0"/>
              <w:rPr>
                <w:noProof/>
                <w:sz w:val="20"/>
              </w:rPr>
            </w:pPr>
            <w:r>
              <w:rPr>
                <w:sz w:val="20"/>
              </w:rPr>
              <w:t xml:space="preserve">5) </w:t>
            </w:r>
            <w:r w:rsidRPr="00930237">
              <w:rPr>
                <w:b/>
                <w:sz w:val="20"/>
              </w:rPr>
              <w:t>0.04 EUR/KM</w:t>
            </w:r>
            <w:r w:rsidRPr="00930237">
              <w:rPr>
                <w:sz w:val="20"/>
              </w:rPr>
              <w:t xml:space="preserve"> </w:t>
            </w:r>
            <w:r>
              <w:rPr>
                <w:sz w:val="20"/>
              </w:rPr>
              <w:t>(</w:t>
            </w:r>
            <w:r w:rsidR="00AC212B" w:rsidRPr="00930237">
              <w:rPr>
                <w:sz w:val="20"/>
              </w:rPr>
              <w:t xml:space="preserve">nobraukta 1 </w:t>
            </w:r>
            <w:r w:rsidR="00AC212B" w:rsidRPr="000D15A7">
              <w:rPr>
                <w:sz w:val="20"/>
              </w:rPr>
              <w:t xml:space="preserve">km </w:t>
            </w:r>
            <w:r w:rsidR="00AC212B" w:rsidRPr="00E4432B">
              <w:rPr>
                <w:sz w:val="20"/>
              </w:rPr>
              <w:t>vieglā transportlīdzekļa kompensācijas izmaksas</w:t>
            </w:r>
            <w:r>
              <w:rPr>
                <w:b/>
                <w:sz w:val="20"/>
              </w:rPr>
              <w:t>)</w:t>
            </w:r>
            <w:r w:rsidR="00AC212B" w:rsidRPr="00930237">
              <w:rPr>
                <w:b/>
                <w:sz w:val="20"/>
              </w:rPr>
              <w:t xml:space="preserve"> </w:t>
            </w:r>
            <w:r w:rsidR="00AC212B" w:rsidRPr="00930237">
              <w:rPr>
                <w:sz w:val="20"/>
              </w:rPr>
              <w:t>- reizi gadā likme tiek pārskatīta, ja tiek veiktas izmaiņas 2010.gada 21.septembra MK noteikumos Nr.899</w:t>
            </w:r>
            <w:r>
              <w:rPr>
                <w:rStyle w:val="FootnoteReference"/>
                <w:sz w:val="20"/>
              </w:rPr>
              <w:footnoteReference w:id="178"/>
            </w:r>
            <w:r w:rsidR="00AC212B" w:rsidRPr="00930237">
              <w:rPr>
                <w:sz w:val="20"/>
              </w:rPr>
              <w:t xml:space="preserve">. </w:t>
            </w:r>
          </w:p>
        </w:tc>
      </w:tr>
      <w:tr w:rsidR="00AC212B" w:rsidRPr="00930237" w14:paraId="2F9F5F4C" w14:textId="77777777" w:rsidTr="00710DDA">
        <w:trPr>
          <w:trHeight w:val="300"/>
        </w:trPr>
        <w:tc>
          <w:tcPr>
            <w:tcW w:w="3417" w:type="dxa"/>
            <w:shd w:val="clear" w:color="auto" w:fill="auto"/>
            <w:noWrap/>
            <w:vAlign w:val="center"/>
          </w:tcPr>
          <w:p w14:paraId="3CE86626" w14:textId="3F8EB6F9" w:rsidR="00AC212B" w:rsidRPr="00930237" w:rsidRDefault="00AC212B" w:rsidP="00710DDA">
            <w:pPr>
              <w:spacing w:before="0" w:after="0"/>
              <w:rPr>
                <w:noProof/>
                <w:sz w:val="20"/>
              </w:rPr>
            </w:pPr>
            <w:r w:rsidRPr="00930237">
              <w:rPr>
                <w:noProof/>
                <w:sz w:val="20"/>
              </w:rPr>
              <w:t xml:space="preserve">1.10. Mērvienības sasniegšanas verifikācija  </w:t>
            </w:r>
            <w:r w:rsidR="001A3745">
              <w:rPr>
                <w:noProof/>
                <w:sz w:val="20"/>
              </w:rPr>
              <w:t>[piegāde]</w:t>
            </w:r>
          </w:p>
          <w:p w14:paraId="3AA38B7C" w14:textId="5F4DA901" w:rsidR="00AC212B" w:rsidRPr="00930237" w:rsidRDefault="00AC212B" w:rsidP="00710DDA">
            <w:pPr>
              <w:spacing w:before="0" w:after="0"/>
              <w:rPr>
                <w:noProof/>
                <w:sz w:val="20"/>
              </w:rPr>
            </w:pPr>
            <w:r w:rsidRPr="00930237">
              <w:rPr>
                <w:noProof/>
                <w:sz w:val="20"/>
              </w:rPr>
              <w:t xml:space="preserve">- </w:t>
            </w:r>
            <w:r w:rsidR="001A3745">
              <w:rPr>
                <w:noProof/>
                <w:sz w:val="20"/>
              </w:rPr>
              <w:t xml:space="preserve">aprakstiet, </w:t>
            </w:r>
            <w:r w:rsidRPr="00930237">
              <w:rPr>
                <w:noProof/>
                <w:sz w:val="20"/>
              </w:rPr>
              <w:t>kāds(-i) dokuments(-i)</w:t>
            </w:r>
            <w:r w:rsidR="001A3745">
              <w:rPr>
                <w:noProof/>
                <w:sz w:val="20"/>
              </w:rPr>
              <w:t>/ sistēma</w:t>
            </w:r>
            <w:r w:rsidRPr="00930237">
              <w:rPr>
                <w:noProof/>
                <w:sz w:val="20"/>
              </w:rPr>
              <w:t xml:space="preserve"> tiks izmantots(-i), lai verificētu</w:t>
            </w:r>
            <w:r w:rsidR="001A3745">
              <w:rPr>
                <w:noProof/>
                <w:sz w:val="20"/>
              </w:rPr>
              <w:t xml:space="preserve"> [piegādātu]</w:t>
            </w:r>
            <w:r w:rsidRPr="00930237">
              <w:rPr>
                <w:noProof/>
                <w:sz w:val="20"/>
              </w:rPr>
              <w:t xml:space="preserve"> mērvienības sasniegšanu</w:t>
            </w:r>
          </w:p>
          <w:p w14:paraId="2F2AD90F" w14:textId="0A35F92B" w:rsidR="00AC212B" w:rsidRPr="00930237" w:rsidRDefault="00AC212B" w:rsidP="00710DDA">
            <w:pPr>
              <w:spacing w:before="0" w:after="0"/>
              <w:rPr>
                <w:noProof/>
                <w:sz w:val="20"/>
              </w:rPr>
            </w:pPr>
            <w:r w:rsidRPr="00930237">
              <w:rPr>
                <w:noProof/>
                <w:sz w:val="20"/>
              </w:rPr>
              <w:t xml:space="preserve">- aprakstiet, ko </w:t>
            </w:r>
            <w:r w:rsidR="001A3745">
              <w:rPr>
                <w:noProof/>
                <w:sz w:val="20"/>
              </w:rPr>
              <w:t xml:space="preserve">un kurš </w:t>
            </w:r>
            <w:r w:rsidRPr="00930237">
              <w:rPr>
                <w:noProof/>
                <w:sz w:val="20"/>
              </w:rPr>
              <w:t xml:space="preserve">pārbaudīs pārvaldības verifikācijas laikā (t. sk. uz vietas) </w:t>
            </w:r>
          </w:p>
          <w:p w14:paraId="3BC698E7" w14:textId="77777777" w:rsidR="001A3745" w:rsidRDefault="00AC212B" w:rsidP="00710DDA">
            <w:pPr>
              <w:spacing w:before="0" w:after="0"/>
              <w:rPr>
                <w:noProof/>
                <w:sz w:val="20"/>
              </w:rPr>
            </w:pPr>
            <w:r w:rsidRPr="00930237">
              <w:rPr>
                <w:noProof/>
                <w:sz w:val="20"/>
              </w:rPr>
              <w:t xml:space="preserve">- </w:t>
            </w:r>
            <w:r w:rsidR="001A3745">
              <w:rPr>
                <w:noProof/>
                <w:sz w:val="20"/>
              </w:rPr>
              <w:t>aprakstiet, kādas darības tiks veiktas, lai nodrošinātu saistošo datu/ dokumentu vākšanu un glabāšanu</w:t>
            </w:r>
          </w:p>
          <w:p w14:paraId="19D5D318" w14:textId="21B96930" w:rsidR="00AC212B" w:rsidRPr="00930237" w:rsidRDefault="001A3745" w:rsidP="001A3745">
            <w:pPr>
              <w:spacing w:before="0" w:after="0"/>
              <w:rPr>
                <w:noProof/>
                <w:sz w:val="20"/>
              </w:rPr>
            </w:pPr>
            <w:r>
              <w:rPr>
                <w:noProof/>
                <w:sz w:val="20"/>
              </w:rPr>
              <w:t xml:space="preserve"> </w:t>
            </w:r>
          </w:p>
        </w:tc>
        <w:tc>
          <w:tcPr>
            <w:tcW w:w="5670" w:type="dxa"/>
            <w:vAlign w:val="center"/>
          </w:tcPr>
          <w:p w14:paraId="3B0FED80" w14:textId="2181188F" w:rsidR="00AC212B" w:rsidRPr="00930237" w:rsidRDefault="000D15A7" w:rsidP="00710DDA">
            <w:pPr>
              <w:spacing w:before="0" w:after="0"/>
              <w:rPr>
                <w:sz w:val="20"/>
              </w:rPr>
            </w:pPr>
            <w:r>
              <w:rPr>
                <w:b/>
                <w:sz w:val="20"/>
              </w:rPr>
              <w:t xml:space="preserve">1) </w:t>
            </w:r>
            <w:r w:rsidR="00AC212B" w:rsidRPr="00930237">
              <w:rPr>
                <w:b/>
                <w:sz w:val="20"/>
              </w:rPr>
              <w:t xml:space="preserve">0.12 EUR/KM (ar vieglo </w:t>
            </w:r>
            <w:r>
              <w:rPr>
                <w:b/>
                <w:sz w:val="20"/>
              </w:rPr>
              <w:t>transportlīdzekli</w:t>
            </w:r>
            <w:r w:rsidR="00AC212B" w:rsidRPr="00930237">
              <w:rPr>
                <w:b/>
                <w:sz w:val="20"/>
              </w:rPr>
              <w:t>)</w:t>
            </w:r>
            <w:r w:rsidR="00AC212B" w:rsidRPr="00930237">
              <w:rPr>
                <w:sz w:val="20"/>
              </w:rPr>
              <w:t xml:space="preserve"> - Vienas vienības izmaksu standarta likme vieglajam transportlīdzeklim tiek piemērota faktiski nobraukto km skaitam, pamatojoties uz iesniegto maršruta lapu vai līdzvērtīgu dokumentu, kurā norādīts maršruts un nobraukto km kopsumma, ja konkrētā SAM MK noteikumos nav noteikts citādāk. Nobraukto km skaitu ar vieglo transportlīdzekli pārbauda, izmantojot tīmekļa vietni </w:t>
            </w:r>
            <w:hyperlink r:id="rId180" w:history="1">
              <w:r w:rsidR="00AC212B" w:rsidRPr="00930237">
                <w:rPr>
                  <w:rStyle w:val="Hyperlink"/>
                  <w:sz w:val="20"/>
                </w:rPr>
                <w:t>https://www.google.com/maps/</w:t>
              </w:r>
            </w:hyperlink>
            <w:r w:rsidR="00AC212B" w:rsidRPr="00930237">
              <w:rPr>
                <w:sz w:val="20"/>
              </w:rPr>
              <w:t xml:space="preserve"> vai   </w:t>
            </w:r>
            <w:hyperlink r:id="rId181" w:history="1">
              <w:r w:rsidR="00AC212B" w:rsidRPr="00930237">
                <w:rPr>
                  <w:rStyle w:val="Hyperlink"/>
                  <w:sz w:val="20"/>
                </w:rPr>
                <w:t>http://www.balticmaps.eu/</w:t>
              </w:r>
            </w:hyperlink>
            <w:r w:rsidR="00AC212B" w:rsidRPr="00930237">
              <w:rPr>
                <w:sz w:val="20"/>
              </w:rPr>
              <w:t xml:space="preserve"> </w:t>
            </w:r>
            <w:r w:rsidR="00AC212B" w:rsidRPr="00930237">
              <w:rPr>
                <w:b/>
                <w:sz w:val="20"/>
              </w:rPr>
              <w:t xml:space="preserve">(attiecas arī uz nobraukta 1 km vieglā transportlīdzekļa kompensācijas izmaksām 0.04 EUR/KM). </w:t>
            </w:r>
            <w:r w:rsidR="00AC212B" w:rsidRPr="00930237">
              <w:rPr>
                <w:sz w:val="20"/>
              </w:rPr>
              <w:t>Pārbaudīs norādīto km atbilstību un pamatojošā dokumenta orģinālu. Visi dokumenti glabājas pie finansējuma saņēmēja, un sadarbības iestādei tiek iesniegti tikai rezultātu pamatojošie dokumenti.</w:t>
            </w:r>
            <w:r w:rsidR="00AC212B" w:rsidRPr="00930237">
              <w:rPr>
                <w:b/>
                <w:sz w:val="20"/>
              </w:rPr>
              <w:t xml:space="preserve"> </w:t>
            </w:r>
          </w:p>
          <w:p w14:paraId="6D1720AA" w14:textId="77777777" w:rsidR="00AC212B" w:rsidRPr="00930237" w:rsidRDefault="00AC212B" w:rsidP="00710DDA">
            <w:pPr>
              <w:spacing w:before="0" w:after="0"/>
              <w:rPr>
                <w:sz w:val="20"/>
              </w:rPr>
            </w:pPr>
          </w:p>
          <w:p w14:paraId="2B4CF971" w14:textId="714FA0E8" w:rsidR="00AC212B" w:rsidRPr="00930237" w:rsidRDefault="000D15A7" w:rsidP="00710DDA">
            <w:pPr>
              <w:spacing w:before="0" w:after="0"/>
              <w:rPr>
                <w:sz w:val="20"/>
              </w:rPr>
            </w:pPr>
            <w:r>
              <w:rPr>
                <w:b/>
                <w:sz w:val="20"/>
              </w:rPr>
              <w:t xml:space="preserve">2) </w:t>
            </w:r>
            <w:r w:rsidR="00AC212B" w:rsidRPr="00930237">
              <w:rPr>
                <w:b/>
                <w:sz w:val="20"/>
              </w:rPr>
              <w:t>0.61 EUR/brauciens</w:t>
            </w:r>
            <w:r w:rsidR="00AC212B" w:rsidRPr="00930237">
              <w:rPr>
                <w:sz w:val="20"/>
              </w:rPr>
              <w:t xml:space="preserve"> (citās apdzīvotās vietās ārpus Rīgas) un </w:t>
            </w:r>
            <w:r w:rsidR="00AC212B" w:rsidRPr="00930237">
              <w:rPr>
                <w:b/>
                <w:sz w:val="20"/>
              </w:rPr>
              <w:t>1.15 EUR/brauciens</w:t>
            </w:r>
            <w:r w:rsidR="00AC212B" w:rsidRPr="00930237">
              <w:rPr>
                <w:sz w:val="20"/>
              </w:rPr>
              <w:t xml:space="preserve"> (Rīga) - Vienas vienības izmaksu standarta likme vietējam sabiedriskajam transportam tiek piemērota faktiski notikušo braucienu skaitam. Kopējo braucienu skaita  pamatošanai ir jāiesniedz dokuments, kurā var atšifrēt konkrēto personu un apstiprinājumu par dalību konkrētā pasākumā.</w:t>
            </w:r>
            <w:r w:rsidR="00AC212B" w:rsidRPr="00930237">
              <w:t xml:space="preserve"> </w:t>
            </w:r>
            <w:r w:rsidR="00AC212B" w:rsidRPr="00930237">
              <w:rPr>
                <w:sz w:val="20"/>
              </w:rPr>
              <w:t>Visi dokumenti glabājas pie finansējuma saņēmēja, un sadarbības iestādei tiek iesniegti tikai rezultātu pamatojošie dokumenti.</w:t>
            </w:r>
          </w:p>
          <w:p w14:paraId="430A3C3E" w14:textId="77777777" w:rsidR="00AC212B" w:rsidRPr="00930237" w:rsidRDefault="00AC212B" w:rsidP="00710DDA">
            <w:pPr>
              <w:spacing w:before="0" w:after="0"/>
              <w:rPr>
                <w:sz w:val="20"/>
              </w:rPr>
            </w:pPr>
          </w:p>
          <w:p w14:paraId="7AB5E858" w14:textId="7097F778" w:rsidR="00AC212B" w:rsidRPr="00930237" w:rsidRDefault="000D15A7" w:rsidP="00710DDA">
            <w:pPr>
              <w:spacing w:before="0" w:after="0"/>
              <w:jc w:val="left"/>
              <w:rPr>
                <w:noProof/>
                <w:sz w:val="20"/>
              </w:rPr>
            </w:pPr>
            <w:r>
              <w:rPr>
                <w:b/>
                <w:sz w:val="20"/>
              </w:rPr>
              <w:t xml:space="preserve">3) </w:t>
            </w:r>
            <w:r w:rsidR="00AC212B" w:rsidRPr="00930237">
              <w:rPr>
                <w:b/>
                <w:sz w:val="20"/>
              </w:rPr>
              <w:t>0.0</w:t>
            </w:r>
            <w:r>
              <w:rPr>
                <w:b/>
                <w:sz w:val="20"/>
              </w:rPr>
              <w:t>5</w:t>
            </w:r>
            <w:r w:rsidR="00AC212B" w:rsidRPr="00930237">
              <w:rPr>
                <w:b/>
                <w:sz w:val="20"/>
              </w:rPr>
              <w:t xml:space="preserve"> EUR/KM</w:t>
            </w:r>
            <w:r w:rsidR="00AC212B" w:rsidRPr="00930237">
              <w:rPr>
                <w:sz w:val="20"/>
              </w:rPr>
              <w:t xml:space="preserve"> (starppilsētu reģionālās nozīmes sabiedriskais transports) - Vienas vienības izmaksu standarta likme reģionālajam sabiedriskajam transportam tiek piemērota faktiski nobraukto km skaitam. Kopējo km skaita pamatošanai ir jāiesniedz dokuments, kurā norādīts maršruta sākums (autoosta/stacija vai pietura) un galapunkts (stacija/autoosta vai pietura), un kopējais km skaits abos virzienos (turp – atpakaļ). Konkrētā maršruta km skaitu nosaka, izmantojot tīmekļa vietni </w:t>
            </w:r>
            <w:hyperlink r:id="rId182" w:history="1">
              <w:r w:rsidR="00AC212B" w:rsidRPr="00930237">
                <w:rPr>
                  <w:rStyle w:val="Hyperlink"/>
                  <w:sz w:val="20"/>
                </w:rPr>
                <w:t>https://www.1188.lv/satiksme</w:t>
              </w:r>
            </w:hyperlink>
            <w:r w:rsidR="00AC212B" w:rsidRPr="00930237">
              <w:rPr>
                <w:sz w:val="20"/>
              </w:rPr>
              <w:t>. Visi dokumenti glabājas pie finansējuma saņēmēja un sadarbības iestādei tiek iesniegti tikai rezultātu pamatojošie dokumenti.</w:t>
            </w:r>
          </w:p>
        </w:tc>
      </w:tr>
      <w:tr w:rsidR="00AC212B" w:rsidRPr="00930237" w14:paraId="1DBF5B09" w14:textId="77777777" w:rsidTr="00710DDA">
        <w:trPr>
          <w:trHeight w:val="300"/>
        </w:trPr>
        <w:tc>
          <w:tcPr>
            <w:tcW w:w="3417" w:type="dxa"/>
            <w:shd w:val="clear" w:color="auto" w:fill="auto"/>
            <w:noWrap/>
            <w:vAlign w:val="center"/>
          </w:tcPr>
          <w:p w14:paraId="1D8FD313" w14:textId="38F212E8" w:rsidR="001A3745" w:rsidRDefault="00AC212B" w:rsidP="00710DDA">
            <w:pPr>
              <w:spacing w:before="0" w:after="0"/>
              <w:rPr>
                <w:noProof/>
                <w:sz w:val="20"/>
              </w:rPr>
            </w:pPr>
            <w:r w:rsidRPr="00930237">
              <w:rPr>
                <w:noProof/>
                <w:sz w:val="20"/>
              </w:rPr>
              <w:t>1.11. Iespējamais nevēlamais stimuls</w:t>
            </w:r>
            <w:r w:rsidR="001A3745">
              <w:rPr>
                <w:noProof/>
                <w:sz w:val="20"/>
              </w:rPr>
              <w:t>, tā mitigēšanas pasākumi un paredzētais (noteiktais) riska līmenis (augsts/ vidējs / zems)</w:t>
            </w:r>
          </w:p>
          <w:p w14:paraId="1017ACAC" w14:textId="1C760AA4" w:rsidR="00AC212B" w:rsidRPr="00930237" w:rsidRDefault="00AC212B" w:rsidP="001A3745">
            <w:pPr>
              <w:spacing w:before="0" w:after="0"/>
              <w:rPr>
                <w:bCs/>
                <w:noProof/>
                <w:sz w:val="20"/>
              </w:rPr>
            </w:pPr>
            <w:r w:rsidRPr="00930237">
              <w:rPr>
                <w:noProof/>
                <w:sz w:val="20"/>
              </w:rPr>
              <w:t xml:space="preserve"> </w:t>
            </w:r>
          </w:p>
        </w:tc>
        <w:tc>
          <w:tcPr>
            <w:tcW w:w="5670" w:type="dxa"/>
            <w:vAlign w:val="center"/>
          </w:tcPr>
          <w:p w14:paraId="7747EF97" w14:textId="77777777" w:rsidR="00AC212B" w:rsidRPr="00930237" w:rsidRDefault="00AC212B" w:rsidP="00710DDA">
            <w:pPr>
              <w:spacing w:before="0" w:after="0"/>
              <w:jc w:val="left"/>
              <w:rPr>
                <w:noProof/>
                <w:sz w:val="20"/>
              </w:rPr>
            </w:pPr>
            <w:r w:rsidRPr="00930237">
              <w:rPr>
                <w:sz w:val="20"/>
              </w:rPr>
              <w:t xml:space="preserve">Nav nevēlama stimula vai palielināts riska līmenis, ja piemēro norādītās likmes. </w:t>
            </w:r>
          </w:p>
        </w:tc>
      </w:tr>
      <w:tr w:rsidR="00AC212B" w:rsidRPr="00930237" w14:paraId="7AA8FE0E" w14:textId="77777777" w:rsidTr="00710DDA">
        <w:trPr>
          <w:trHeight w:val="300"/>
        </w:trPr>
        <w:tc>
          <w:tcPr>
            <w:tcW w:w="3417" w:type="dxa"/>
            <w:shd w:val="clear" w:color="auto" w:fill="auto"/>
            <w:noWrap/>
            <w:vAlign w:val="center"/>
          </w:tcPr>
          <w:p w14:paraId="51142064" w14:textId="08140955" w:rsidR="00AC212B" w:rsidRPr="00930237" w:rsidRDefault="00AC212B" w:rsidP="00710DDA">
            <w:pPr>
              <w:spacing w:before="0" w:after="0"/>
              <w:rPr>
                <w:noProof/>
                <w:sz w:val="20"/>
              </w:rPr>
            </w:pPr>
            <w:r w:rsidRPr="00930237">
              <w:rPr>
                <w:noProof/>
                <w:sz w:val="20"/>
              </w:rPr>
              <w:t xml:space="preserve">1.12. Kopsumma (valsts un ES), ko paredzēts </w:t>
            </w:r>
            <w:r w:rsidR="001A3745">
              <w:rPr>
                <w:noProof/>
                <w:sz w:val="20"/>
              </w:rPr>
              <w:t>pieprasīt EK atlīdzināšanai</w:t>
            </w:r>
          </w:p>
        </w:tc>
        <w:tc>
          <w:tcPr>
            <w:tcW w:w="5670" w:type="dxa"/>
            <w:vAlign w:val="center"/>
          </w:tcPr>
          <w:p w14:paraId="0C2B780B" w14:textId="77777777" w:rsidR="00AC212B" w:rsidRPr="00930237" w:rsidRDefault="00AC212B" w:rsidP="00710DDA">
            <w:pPr>
              <w:spacing w:before="0" w:after="0"/>
              <w:jc w:val="center"/>
              <w:rPr>
                <w:noProof/>
                <w:sz w:val="20"/>
              </w:rPr>
            </w:pPr>
          </w:p>
        </w:tc>
      </w:tr>
    </w:tbl>
    <w:p w14:paraId="40276AE7" w14:textId="77777777" w:rsidR="00AC212B" w:rsidRPr="00930237" w:rsidRDefault="00AC212B" w:rsidP="00AC212B">
      <w:pPr>
        <w:spacing w:before="0" w:after="0"/>
        <w:rPr>
          <w:b/>
          <w:noProof/>
          <w:sz w:val="20"/>
          <w:u w:val="single"/>
        </w:rPr>
      </w:pPr>
    </w:p>
    <w:p w14:paraId="433CF7A9" w14:textId="77777777" w:rsidR="00AC212B" w:rsidRPr="00930237" w:rsidRDefault="00AC212B" w:rsidP="00AC212B">
      <w:pPr>
        <w:pStyle w:val="Heading4"/>
        <w:numPr>
          <w:ilvl w:val="0"/>
          <w:numId w:val="0"/>
        </w:numPr>
        <w:spacing w:after="0"/>
        <w:rPr>
          <w:b/>
          <w:noProof/>
          <w:sz w:val="20"/>
        </w:rPr>
      </w:pPr>
      <w:r w:rsidRPr="00930237">
        <w:rPr>
          <w:b/>
          <w:noProof/>
          <w:sz w:val="20"/>
        </w:rPr>
        <w:t>C Vienas vienības izmaksu, vienreizējo maksājumu vai vienotu likmju aprēķināšana</w:t>
      </w:r>
    </w:p>
    <w:p w14:paraId="14F5DCC6" w14:textId="77777777" w:rsidR="00AC212B" w:rsidRPr="00930237" w:rsidRDefault="00AC212B" w:rsidP="00AC212B">
      <w:pPr>
        <w:spacing w:before="0" w:after="0"/>
        <w:rPr>
          <w:color w:val="FF0000"/>
        </w:rPr>
      </w:pPr>
      <w:r w:rsidRPr="00930237">
        <w:rPr>
          <w:color w:val="FF0000"/>
        </w:rPr>
        <w:t>[Tiks paildināts/ aktualizēts]</w:t>
      </w:r>
    </w:p>
    <w:p w14:paraId="37234B42" w14:textId="77777777" w:rsidR="00AC212B" w:rsidRPr="00930237" w:rsidRDefault="00AC212B" w:rsidP="00AC212B">
      <w:pPr>
        <w:spacing w:before="0" w:after="0"/>
        <w:rPr>
          <w:color w:val="FF0000"/>
        </w:rPr>
      </w:pPr>
    </w:p>
    <w:p w14:paraId="600AE6B6" w14:textId="77777777" w:rsidR="00AC212B" w:rsidRPr="00930237" w:rsidRDefault="00AC212B" w:rsidP="00AC212B">
      <w:pPr>
        <w:autoSpaceDE w:val="0"/>
        <w:autoSpaceDN w:val="0"/>
        <w:adjustRightInd w:val="0"/>
        <w:spacing w:before="0" w:after="0"/>
        <w:rPr>
          <w:noProof/>
          <w:sz w:val="20"/>
        </w:rPr>
      </w:pPr>
      <w:r w:rsidRPr="00930237">
        <w:rPr>
          <w:i/>
          <w:noProof/>
          <w:sz w:val="20"/>
        </w:rPr>
        <w:t>1.</w:t>
      </w:r>
      <w:r w:rsidRPr="00930237">
        <w:rPr>
          <w:noProof/>
          <w:sz w:val="20"/>
        </w:rPr>
        <w:t xml:space="preserve"> Vienas vienības izmaksu standarta likmju, vienreizējo maksājumu vai vienotu likmju aprēķināšanai izmantoto datu avots (kas sagatavojis datus; kur dati tiek glabāti; robeždatumi; validācija u. c.)</w:t>
      </w:r>
    </w:p>
    <w:p w14:paraId="1D41B5C0" w14:textId="77777777" w:rsidR="00AC212B" w:rsidRPr="00930237" w:rsidRDefault="00AC212B" w:rsidP="00AC212B">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sz w:val="20"/>
        </w:rPr>
      </w:pPr>
      <w:r w:rsidRPr="00930237">
        <w:rPr>
          <w:bCs/>
          <w:sz w:val="20"/>
        </w:rPr>
        <w:t>Aprēķins balstīts uz:</w:t>
      </w:r>
    </w:p>
    <w:p w14:paraId="7CE65439" w14:textId="77777777" w:rsidR="00AC212B" w:rsidRPr="00930237" w:rsidRDefault="00AC212B" w:rsidP="00AC212B">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sz w:val="20"/>
        </w:rPr>
      </w:pPr>
    </w:p>
    <w:p w14:paraId="2B3A07DE" w14:textId="7064201F" w:rsidR="00AC212B" w:rsidRPr="00930237" w:rsidRDefault="00AC212B" w:rsidP="00AC212B">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sz w:val="20"/>
        </w:rPr>
      </w:pPr>
      <w:r w:rsidRPr="00930237">
        <w:rPr>
          <w:bCs/>
          <w:sz w:val="20"/>
        </w:rPr>
        <w:t xml:space="preserve">1) </w:t>
      </w:r>
      <w:r w:rsidRPr="00930237">
        <w:rPr>
          <w:b/>
          <w:bCs/>
          <w:sz w:val="20"/>
        </w:rPr>
        <w:t xml:space="preserve">0.12 EUR/KM (ar vieglo </w:t>
      </w:r>
      <w:r w:rsidR="000D15A7">
        <w:rPr>
          <w:b/>
          <w:bCs/>
          <w:sz w:val="20"/>
        </w:rPr>
        <w:t>transportlīdzekli</w:t>
      </w:r>
      <w:r w:rsidRPr="00930237">
        <w:rPr>
          <w:b/>
          <w:bCs/>
          <w:sz w:val="20"/>
        </w:rPr>
        <w:t>)</w:t>
      </w:r>
      <w:r w:rsidRPr="00930237">
        <w:rPr>
          <w:bCs/>
          <w:sz w:val="20"/>
        </w:rPr>
        <w:t xml:space="preserve"> - vēsturisko datu aprēķins par vidējām nobraukta 1 km degvielas izmaksām vieglajam transportlīdzeklim </w:t>
      </w:r>
      <w:r w:rsidR="000D15A7" w:rsidRPr="000D15A7">
        <w:rPr>
          <w:bCs/>
          <w:sz w:val="20"/>
        </w:rPr>
        <w:t xml:space="preserve">veido vēsturiskās izmaksas </w:t>
      </w:r>
      <w:r w:rsidRPr="00930237">
        <w:rPr>
          <w:bCs/>
          <w:sz w:val="20"/>
        </w:rPr>
        <w:t xml:space="preserve">iestādēs </w:t>
      </w:r>
      <w:r w:rsidRPr="00930237">
        <w:rPr>
          <w:bCs/>
          <w:i/>
          <w:sz w:val="20"/>
        </w:rPr>
        <w:t>(kopā dati apkopoti par 4 (Vides aizsardzības un reģionālas attīstības ministrija, Labklājības ministrija, Finanšu ministrija, Centrālā finanšu un līgumu aģentūra) iestādēm (izlases veidā, kuras izrādīja iniciatīvu iesaistīties). Aprēķinā izmantoti dati par vieglaj</w:t>
      </w:r>
      <w:r w:rsidR="006F2073">
        <w:rPr>
          <w:bCs/>
          <w:i/>
          <w:sz w:val="20"/>
        </w:rPr>
        <w:t>ie</w:t>
      </w:r>
      <w:r w:rsidRPr="00930237">
        <w:rPr>
          <w:bCs/>
          <w:i/>
          <w:sz w:val="20"/>
        </w:rPr>
        <w:t xml:space="preserve">m </w:t>
      </w:r>
      <w:r w:rsidR="006F2073">
        <w:rPr>
          <w:bCs/>
          <w:i/>
          <w:sz w:val="20"/>
        </w:rPr>
        <w:t>transportlīdzekļiem</w:t>
      </w:r>
      <w:r w:rsidR="006F2073" w:rsidRPr="00930237">
        <w:rPr>
          <w:bCs/>
          <w:i/>
          <w:sz w:val="20"/>
        </w:rPr>
        <w:t xml:space="preserve"> </w:t>
      </w:r>
      <w:r w:rsidRPr="00930237">
        <w:rPr>
          <w:bCs/>
          <w:i/>
          <w:sz w:val="20"/>
        </w:rPr>
        <w:t>līdz 9 sēdvietām. Dati apkopoti par 2015., 2016. un 2017.gadu. Aprēķinā izmantoti izmaksu dati gan par dīzeļdegvielu, gan benzīnu apkopotā veidā)</w:t>
      </w:r>
      <w:r w:rsidRPr="00930237">
        <w:rPr>
          <w:bCs/>
          <w:sz w:val="20"/>
        </w:rPr>
        <w:t>, kuru izmaksas piesaistītas</w:t>
      </w:r>
      <w:r w:rsidRPr="00930237">
        <w:t xml:space="preserve"> </w:t>
      </w:r>
      <w:r w:rsidRPr="00930237">
        <w:rPr>
          <w:bCs/>
          <w:sz w:val="20"/>
        </w:rPr>
        <w:t xml:space="preserve">degvielas vidējām cenām Latvijā saskaņā ar statistikas datiem par patēriņa cenām no 2018.gada 3.ceturkšņa līdz 2019.gada 4.ceturksnim (oficiālie statistikas dati). Degvielas vidējās cenas Latvijā noteiktas, pamatojoties uz Centrālās statistikas pārvaldes sniegto informāciju par vidējām degvielas cenām par 2015., 2016, 2017.gadu. Centrālās statistikas pārvaldes apkopotie dati pieejami VI un Centrālās statistikas pārvaldes tīmekļa vietnē </w:t>
      </w:r>
      <w:hyperlink r:id="rId183" w:history="1">
        <w:r w:rsidRPr="00930237">
          <w:rPr>
            <w:rStyle w:val="Hyperlink"/>
            <w:bCs/>
            <w:sz w:val="20"/>
          </w:rPr>
          <w:t>https://www.csb.gov.lv/lv/statistika/meklet?keyword=pat%C4%93ri%C5%86a+cenas&amp;product_type%5Bpublication%5D=publication&amp;publication_date%5Bmin%5D=&amp;publication_date%5Bmax%5D</w:t>
        </w:r>
      </w:hyperlink>
      <w:r w:rsidRPr="00930237">
        <w:rPr>
          <w:bCs/>
          <w:sz w:val="20"/>
        </w:rPr>
        <w:t xml:space="preserve">.   </w:t>
      </w:r>
    </w:p>
    <w:p w14:paraId="6C4C9E8C" w14:textId="404DE59C" w:rsidR="00AC212B" w:rsidRPr="00930237" w:rsidRDefault="00AC212B" w:rsidP="00AC212B">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sz w:val="20"/>
        </w:rPr>
      </w:pPr>
      <w:r w:rsidRPr="00930237">
        <w:rPr>
          <w:bCs/>
          <w:sz w:val="20"/>
        </w:rPr>
        <w:t>Izvērtējot nepieciešamību precizēt vieglā transportlīdzekļa vienas vienības izmaksu likmi, 1 litra degvielas vidējās cenas svārstību procents tiks salīdzināts ar metodikas 10.punktā noteikto 1 litra degvielas vidējo cenu (1.266 EUR/litrā).</w:t>
      </w:r>
      <w:r w:rsidR="006F2073">
        <w:rPr>
          <w:bCs/>
          <w:sz w:val="20"/>
        </w:rPr>
        <w:t xml:space="preserve"> </w:t>
      </w:r>
      <w:r w:rsidR="006F2073" w:rsidRPr="006F2073">
        <w:rPr>
          <w:bCs/>
          <w:sz w:val="20"/>
        </w:rPr>
        <w:t>Ja degvielas izmaksu izmaiņu ietekme uz noteikto vienas vienības izmaksu standarta likmi vieglajam transportlīdzeklim pret vienas vienības izmaksu standarta likmes sākotnējo vērtību pārsniedz 3 %, tad VI var vērtēt un nepieciešamības gadījumā veikt atbilstošas izmaiņas vienas vienības standarta likmes vērtībā.</w:t>
      </w:r>
    </w:p>
    <w:p w14:paraId="526B44F6" w14:textId="77777777" w:rsidR="00AC212B" w:rsidRPr="00930237" w:rsidRDefault="00AC212B" w:rsidP="00AC212B">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sz w:val="20"/>
        </w:rPr>
      </w:pPr>
    </w:p>
    <w:p w14:paraId="784184FA" w14:textId="77777777" w:rsidR="00AC212B" w:rsidRPr="00930237" w:rsidRDefault="00AC212B" w:rsidP="00AC212B">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sz w:val="20"/>
        </w:rPr>
      </w:pPr>
    </w:p>
    <w:p w14:paraId="04977571" w14:textId="77777777" w:rsidR="00AC212B" w:rsidRPr="00930237" w:rsidRDefault="00AC212B" w:rsidP="00AC212B">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i/>
          <w:sz w:val="20"/>
        </w:rPr>
      </w:pPr>
      <w:r w:rsidRPr="00930237">
        <w:rPr>
          <w:bCs/>
          <w:sz w:val="20"/>
        </w:rPr>
        <w:t>2)</w:t>
      </w:r>
      <w:r w:rsidRPr="00930237">
        <w:t xml:space="preserve"> </w:t>
      </w:r>
      <w:r w:rsidRPr="00930237">
        <w:rPr>
          <w:bCs/>
          <w:sz w:val="20"/>
        </w:rPr>
        <w:t xml:space="preserve">nobraukta 1 km vieglā transportlīdzekļa kompensācijas izmaksas </w:t>
      </w:r>
      <w:r w:rsidRPr="00930237">
        <w:rPr>
          <w:b/>
          <w:bCs/>
          <w:sz w:val="20"/>
        </w:rPr>
        <w:t>0.04 EUR/KM</w:t>
      </w:r>
      <w:r w:rsidRPr="00930237">
        <w:rPr>
          <w:bCs/>
          <w:sz w:val="20"/>
        </w:rPr>
        <w:t xml:space="preserve"> - noteiktas 2010.gada 21.septembra MK noteikumos Nr.899 “Likumā “Par iedzīvotāju ienākuma nodokli” normu piemērošanas kārtība” 43.punktā: </w:t>
      </w:r>
      <w:r w:rsidRPr="00930237">
        <w:rPr>
          <w:bCs/>
          <w:i/>
          <w:sz w:val="20"/>
        </w:rPr>
        <w:t>Likuma 9.panta pirmās daļas 16.punkta izpratnē kompensācijas izmaksas ir arī summas, ko darba devējs darbiniekam izmaksā sakarā ar darbiniekam piederoša personiskā transportlīdzekļa (kas atbilstoši darba līgumam tiek izmantots darba vajadzībām) nolietošanos un kas noteikta 0,04 euro apmērā par katru nobraukto kilometru, bet ne vairāk kā 57 euro mēnesī.</w:t>
      </w:r>
    </w:p>
    <w:p w14:paraId="41812506" w14:textId="77777777" w:rsidR="00AC212B" w:rsidRPr="00930237" w:rsidRDefault="00AC212B" w:rsidP="00AC212B">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sz w:val="20"/>
        </w:rPr>
      </w:pPr>
    </w:p>
    <w:p w14:paraId="12764122" w14:textId="4C314B3C" w:rsidR="00AC212B" w:rsidRPr="00930237" w:rsidRDefault="00AC212B" w:rsidP="00AC212B">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sz w:val="20"/>
        </w:rPr>
      </w:pPr>
      <w:r w:rsidRPr="00930237">
        <w:rPr>
          <w:bCs/>
          <w:sz w:val="20"/>
        </w:rPr>
        <w:t xml:space="preserve">3) </w:t>
      </w:r>
      <w:r w:rsidRPr="00930237">
        <w:rPr>
          <w:b/>
          <w:bCs/>
          <w:sz w:val="20"/>
        </w:rPr>
        <w:t>0.0</w:t>
      </w:r>
      <w:r w:rsidR="006F2073">
        <w:rPr>
          <w:b/>
          <w:bCs/>
          <w:sz w:val="20"/>
        </w:rPr>
        <w:t>5</w:t>
      </w:r>
      <w:r w:rsidRPr="00930237">
        <w:rPr>
          <w:b/>
          <w:bCs/>
          <w:sz w:val="20"/>
        </w:rPr>
        <w:t xml:space="preserve"> EUR/KM</w:t>
      </w:r>
      <w:r w:rsidRPr="00930237">
        <w:rPr>
          <w:bCs/>
          <w:sz w:val="20"/>
        </w:rPr>
        <w:t xml:space="preserve"> (starppilsētu reģionālās nozīmes sabiedriskais transports) - likme noteikta, pamatojoties uz Valsts SIA “Autotransporta direkcija” sniegto informāciju par vidējo pasažiera maksu par vienu pasažierkilometru reģionālās nozīmes maršrutos. Autotransporta direkcija ir vienotas valsts politikas realizētāja pasažieru un kravu pārvadājumu jomā.</w:t>
      </w:r>
    </w:p>
    <w:p w14:paraId="5DAD62AF" w14:textId="77777777" w:rsidR="00AC212B" w:rsidRPr="00930237" w:rsidRDefault="00AC212B" w:rsidP="00AC212B">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sz w:val="20"/>
        </w:rPr>
      </w:pPr>
    </w:p>
    <w:p w14:paraId="5FAFA94A" w14:textId="161D86F4" w:rsidR="00AC212B" w:rsidRPr="00930237" w:rsidRDefault="00AC212B" w:rsidP="00AC212B">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sz w:val="20"/>
        </w:rPr>
      </w:pPr>
      <w:r w:rsidRPr="00930237">
        <w:rPr>
          <w:bCs/>
          <w:sz w:val="20"/>
        </w:rPr>
        <w:t xml:space="preserve">4) </w:t>
      </w:r>
      <w:r w:rsidRPr="00930237">
        <w:rPr>
          <w:b/>
          <w:bCs/>
          <w:sz w:val="20"/>
        </w:rPr>
        <w:t>0.61 EUR/brauciens</w:t>
      </w:r>
      <w:r w:rsidRPr="00930237">
        <w:rPr>
          <w:bCs/>
          <w:sz w:val="20"/>
        </w:rPr>
        <w:t xml:space="preserve"> (citās apdzīvotās vietās ārpus Rīgas) un </w:t>
      </w:r>
      <w:r w:rsidRPr="00930237">
        <w:rPr>
          <w:b/>
          <w:bCs/>
          <w:sz w:val="20"/>
        </w:rPr>
        <w:t>1.15 EUR/brauciens</w:t>
      </w:r>
      <w:r w:rsidRPr="00930237">
        <w:rPr>
          <w:bCs/>
          <w:sz w:val="20"/>
        </w:rPr>
        <w:t xml:space="preserve"> (Rīga) – VI veica tirgus izpēti, un aprēķinu balsta uz informāciju par viena brauciena vidējām izmaksām Ventspilī, Liepājā, Jūrmalā, Jelgavā, Valmierā, Daugavpilī, Jēkabpilī, Rēzeknē. </w:t>
      </w:r>
      <w:r w:rsidR="006F2073" w:rsidRPr="006F2073">
        <w:rPr>
          <w:bCs/>
          <w:sz w:val="20"/>
        </w:rPr>
        <w:t>Šīs reģionāla nozīmes pilsētas tika izvēlētas, jo tās aptver visu Latvijas teritoriju, kā arī mazāka izmēra pilsētās nepastāv sabiedriskais transports pilsētas ietvaros.</w:t>
      </w:r>
      <w:r w:rsidR="006F2073">
        <w:rPr>
          <w:bCs/>
          <w:sz w:val="20"/>
        </w:rPr>
        <w:t xml:space="preserve"> </w:t>
      </w:r>
      <w:r w:rsidRPr="00930237">
        <w:rPr>
          <w:bCs/>
          <w:sz w:val="20"/>
        </w:rPr>
        <w:t xml:space="preserve">Rīgā likme noteikta, pamatojoties uz SIA „Rīgas satiksme” cenrādi </w:t>
      </w:r>
      <w:hyperlink r:id="rId184" w:history="1">
        <w:r w:rsidRPr="00930237">
          <w:rPr>
            <w:rStyle w:val="Hyperlink"/>
            <w:bCs/>
            <w:sz w:val="20"/>
          </w:rPr>
          <w:t>https://www.rigassatiksme.lv/lv/biletes/bilesu-klasts-un-cenas-1/bilete-noteiktam-braucienu-skaitam/</w:t>
        </w:r>
      </w:hyperlink>
      <w:r w:rsidRPr="00930237">
        <w:rPr>
          <w:bCs/>
          <w:sz w:val="20"/>
        </w:rPr>
        <w:t xml:space="preserve">. </w:t>
      </w:r>
    </w:p>
    <w:p w14:paraId="70FE744A" w14:textId="77777777" w:rsidR="00AC212B" w:rsidRPr="00930237" w:rsidRDefault="00AC212B" w:rsidP="00AC212B">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p>
    <w:p w14:paraId="6CC0371D" w14:textId="77777777" w:rsidR="00AC212B" w:rsidRPr="00930237" w:rsidRDefault="00AC212B" w:rsidP="00AC212B">
      <w:pPr>
        <w:autoSpaceDE w:val="0"/>
        <w:autoSpaceDN w:val="0"/>
        <w:adjustRightInd w:val="0"/>
        <w:spacing w:before="0" w:after="0"/>
        <w:rPr>
          <w:i/>
          <w:noProof/>
          <w:sz w:val="20"/>
        </w:rPr>
      </w:pPr>
    </w:p>
    <w:p w14:paraId="250F33AC" w14:textId="77777777" w:rsidR="00AC212B" w:rsidRPr="00930237" w:rsidRDefault="00AC212B" w:rsidP="00AC212B">
      <w:pPr>
        <w:autoSpaceDE w:val="0"/>
        <w:autoSpaceDN w:val="0"/>
        <w:adjustRightInd w:val="0"/>
        <w:spacing w:before="0" w:after="0"/>
        <w:rPr>
          <w:bCs/>
          <w:noProof/>
          <w:sz w:val="20"/>
        </w:rPr>
      </w:pPr>
      <w:r w:rsidRPr="00930237">
        <w:rPr>
          <w:i/>
          <w:noProof/>
          <w:sz w:val="20"/>
        </w:rPr>
        <w:t>2.</w:t>
      </w:r>
      <w:r w:rsidRPr="00930237">
        <w:rPr>
          <w:noProof/>
          <w:sz w:val="20"/>
        </w:rPr>
        <w:t xml:space="preserve"> Norādiet, kāpēc ierosinātā metode un aprēķins atbilst darbības veidam.</w:t>
      </w:r>
    </w:p>
    <w:p w14:paraId="533E02C2" w14:textId="026E2F23" w:rsidR="00AC212B" w:rsidRPr="00930237" w:rsidRDefault="00AC212B" w:rsidP="00AC212B">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sz w:val="20"/>
        </w:rPr>
      </w:pPr>
      <w:r w:rsidRPr="00930237">
        <w:rPr>
          <w:bCs/>
          <w:sz w:val="20"/>
        </w:rPr>
        <w:t xml:space="preserve">Degvielas dati ir apkopoti no projektiem, kā arī salāgoti ar Centrālās statistikas pārvaldes apkopotajiem datiem par vidējām degvielas izmaksām valstī, veikta tirgus izpēte, apkopojot reālās sabiedriskā transporta biļešu cenas pilsētas ietvaros, reģionālās nozīmes sabiedriskā transporta likme noteikta, pamatojoties uz Valsts SIA “Autotransporta direkcija” sniegto informāciju. Degvielas un ceļa izdevumi sabiedriskajā transportā ir attiecināmās izmaksas. </w:t>
      </w:r>
      <w:r w:rsidR="006F2073" w:rsidRPr="006F2073">
        <w:rPr>
          <w:bCs/>
          <w:sz w:val="20"/>
        </w:rPr>
        <w:t>Minētās darbības ir vispiemērotākās konkrēto vienību aprēķināšanai.</w:t>
      </w:r>
    </w:p>
    <w:p w14:paraId="0CFCABF0" w14:textId="77777777" w:rsidR="00AC212B" w:rsidRPr="00930237" w:rsidRDefault="00AC212B" w:rsidP="00AC212B">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p>
    <w:p w14:paraId="545CD966" w14:textId="77777777" w:rsidR="00AC212B" w:rsidRPr="00930237" w:rsidRDefault="00AC212B" w:rsidP="00AC212B">
      <w:pPr>
        <w:autoSpaceDE w:val="0"/>
        <w:autoSpaceDN w:val="0"/>
        <w:adjustRightInd w:val="0"/>
        <w:spacing w:before="0" w:after="0"/>
        <w:rPr>
          <w:i/>
          <w:noProof/>
          <w:sz w:val="20"/>
        </w:rPr>
      </w:pPr>
    </w:p>
    <w:p w14:paraId="090CF546" w14:textId="263B1322" w:rsidR="00AC212B" w:rsidRPr="00930237" w:rsidRDefault="00AC212B" w:rsidP="00AC212B">
      <w:pPr>
        <w:autoSpaceDE w:val="0"/>
        <w:autoSpaceDN w:val="0"/>
        <w:adjustRightInd w:val="0"/>
        <w:spacing w:before="0" w:after="0"/>
        <w:rPr>
          <w:bCs/>
          <w:noProof/>
          <w:sz w:val="20"/>
        </w:rPr>
      </w:pPr>
      <w:r w:rsidRPr="00930237">
        <w:rPr>
          <w:i/>
          <w:noProof/>
          <w:sz w:val="20"/>
        </w:rPr>
        <w:t>3.</w:t>
      </w:r>
      <w:r w:rsidRPr="00930237">
        <w:rPr>
          <w:noProof/>
          <w:sz w:val="20"/>
        </w:rPr>
        <w:t xml:space="preserve"> Norādiet, kā tika veikti aprēķini, jo īpaši norādot pieņēmumus, kas veikti attiecībā uz kvalitāti vai daudzumu. Attiecīgā gadījumā izmanto </w:t>
      </w:r>
      <w:r w:rsidR="001A3745">
        <w:rPr>
          <w:noProof/>
          <w:sz w:val="20"/>
        </w:rPr>
        <w:t xml:space="preserve">nodrošinātos </w:t>
      </w:r>
      <w:r w:rsidRPr="00930237">
        <w:rPr>
          <w:noProof/>
          <w:sz w:val="20"/>
        </w:rPr>
        <w:t>statistikas datus un kritērijus formātā, kādā tos Komisija var izmantot</w:t>
      </w:r>
      <w:r w:rsidR="001A3745">
        <w:rPr>
          <w:noProof/>
          <w:sz w:val="20"/>
        </w:rPr>
        <w:t>, ja tādi tiks pieprasīti</w:t>
      </w:r>
      <w:r w:rsidRPr="00930237">
        <w:rPr>
          <w:noProof/>
          <w:sz w:val="20"/>
        </w:rPr>
        <w:t xml:space="preserve">. </w:t>
      </w:r>
    </w:p>
    <w:p w14:paraId="512A4264"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p>
    <w:p w14:paraId="5D41C680" w14:textId="1A202506"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
          <w:bCs/>
          <w:sz w:val="20"/>
        </w:rPr>
      </w:pPr>
      <w:r w:rsidRPr="00930237">
        <w:rPr>
          <w:bCs/>
          <w:sz w:val="20"/>
        </w:rPr>
        <w:t xml:space="preserve">1) </w:t>
      </w:r>
      <w:r w:rsidRPr="00930237">
        <w:rPr>
          <w:b/>
          <w:bCs/>
          <w:sz w:val="20"/>
        </w:rPr>
        <w:t xml:space="preserve">0.12 EUR/KM (ar vieglo </w:t>
      </w:r>
      <w:r w:rsidR="006F2073" w:rsidRPr="006F2073">
        <w:rPr>
          <w:b/>
          <w:bCs/>
          <w:sz w:val="20"/>
        </w:rPr>
        <w:t>transportlīdzekli</w:t>
      </w:r>
      <w:r w:rsidRPr="00930237">
        <w:rPr>
          <w:b/>
          <w:bCs/>
          <w:sz w:val="20"/>
        </w:rPr>
        <w:t xml:space="preserve">) </w:t>
      </w:r>
    </w:p>
    <w:tbl>
      <w:tblPr>
        <w:tblStyle w:val="TableGrid2"/>
        <w:tblW w:w="9067" w:type="dxa"/>
        <w:jc w:val="center"/>
        <w:tblLook w:val="04A0" w:firstRow="1" w:lastRow="0" w:firstColumn="1" w:lastColumn="0" w:noHBand="0" w:noVBand="1"/>
      </w:tblPr>
      <w:tblGrid>
        <w:gridCol w:w="3120"/>
        <w:gridCol w:w="2841"/>
        <w:gridCol w:w="3106"/>
      </w:tblGrid>
      <w:tr w:rsidR="00AC212B" w:rsidRPr="00930237" w14:paraId="09A40835" w14:textId="77777777" w:rsidTr="00710DDA">
        <w:trPr>
          <w:jc w:val="center"/>
        </w:trPr>
        <w:tc>
          <w:tcPr>
            <w:tcW w:w="3120" w:type="dxa"/>
            <w:shd w:val="clear" w:color="auto" w:fill="E7E6E6" w:themeFill="background2"/>
            <w:vAlign w:val="center"/>
          </w:tcPr>
          <w:p w14:paraId="3F6903FA" w14:textId="77777777" w:rsidR="00AC212B" w:rsidRPr="00930237" w:rsidRDefault="00AC212B" w:rsidP="00710DDA">
            <w:pPr>
              <w:autoSpaceDE w:val="0"/>
              <w:autoSpaceDN w:val="0"/>
              <w:adjustRightInd w:val="0"/>
              <w:spacing w:before="0" w:after="0"/>
              <w:contextualSpacing/>
              <w:jc w:val="center"/>
              <w:rPr>
                <w:b/>
                <w:sz w:val="20"/>
                <w:lang w:eastAsia="en-US" w:bidi="ar-SA"/>
              </w:rPr>
            </w:pPr>
            <w:r w:rsidRPr="00930237">
              <w:rPr>
                <w:b/>
                <w:sz w:val="20"/>
                <w:lang w:eastAsia="en-US" w:bidi="ar-SA"/>
              </w:rPr>
              <w:t>Periods</w:t>
            </w:r>
          </w:p>
        </w:tc>
        <w:tc>
          <w:tcPr>
            <w:tcW w:w="2841" w:type="dxa"/>
            <w:shd w:val="clear" w:color="auto" w:fill="E7E6E6" w:themeFill="background2"/>
            <w:vAlign w:val="center"/>
          </w:tcPr>
          <w:p w14:paraId="3ACA61BE" w14:textId="77777777" w:rsidR="00AC212B" w:rsidRPr="00930237" w:rsidRDefault="00AC212B" w:rsidP="00710DDA">
            <w:pPr>
              <w:autoSpaceDE w:val="0"/>
              <w:autoSpaceDN w:val="0"/>
              <w:adjustRightInd w:val="0"/>
              <w:spacing w:before="0" w:after="0"/>
              <w:contextualSpacing/>
              <w:jc w:val="center"/>
              <w:rPr>
                <w:b/>
                <w:sz w:val="20"/>
                <w:lang w:eastAsia="en-US" w:bidi="ar-SA"/>
              </w:rPr>
            </w:pPr>
            <w:r w:rsidRPr="00930237">
              <w:rPr>
                <w:b/>
                <w:sz w:val="20"/>
                <w:lang w:eastAsia="en-US" w:bidi="ar-SA"/>
              </w:rPr>
              <w:t>Nobraukta 1 km izmaksas</w:t>
            </w:r>
          </w:p>
        </w:tc>
        <w:tc>
          <w:tcPr>
            <w:tcW w:w="3106" w:type="dxa"/>
            <w:shd w:val="clear" w:color="auto" w:fill="E7E6E6" w:themeFill="background2"/>
            <w:vAlign w:val="center"/>
          </w:tcPr>
          <w:p w14:paraId="01147A4A" w14:textId="77777777" w:rsidR="00AC212B" w:rsidRPr="00930237" w:rsidRDefault="00AC212B" w:rsidP="00710DDA">
            <w:pPr>
              <w:autoSpaceDE w:val="0"/>
              <w:autoSpaceDN w:val="0"/>
              <w:adjustRightInd w:val="0"/>
              <w:spacing w:before="0" w:after="0"/>
              <w:contextualSpacing/>
              <w:jc w:val="center"/>
              <w:rPr>
                <w:b/>
                <w:sz w:val="20"/>
                <w:lang w:eastAsia="en-US" w:bidi="ar-SA"/>
              </w:rPr>
            </w:pPr>
            <w:r w:rsidRPr="00930237">
              <w:rPr>
                <w:b/>
                <w:sz w:val="20"/>
                <w:lang w:eastAsia="en-US" w:bidi="ar-SA"/>
              </w:rPr>
              <w:t>Vidējās 1 l degvielas cenas EUR</w:t>
            </w:r>
          </w:p>
        </w:tc>
      </w:tr>
      <w:tr w:rsidR="00AC212B" w:rsidRPr="00930237" w14:paraId="087019B4" w14:textId="77777777" w:rsidTr="00710DDA">
        <w:trPr>
          <w:jc w:val="center"/>
        </w:trPr>
        <w:tc>
          <w:tcPr>
            <w:tcW w:w="3120" w:type="dxa"/>
            <w:vAlign w:val="center"/>
          </w:tcPr>
          <w:p w14:paraId="74DB89E1" w14:textId="77777777" w:rsidR="00AC212B" w:rsidRPr="00930237" w:rsidRDefault="00AC212B" w:rsidP="00710DDA">
            <w:pPr>
              <w:autoSpaceDE w:val="0"/>
              <w:autoSpaceDN w:val="0"/>
              <w:adjustRightInd w:val="0"/>
              <w:spacing w:before="0" w:after="0"/>
              <w:contextualSpacing/>
              <w:jc w:val="center"/>
              <w:rPr>
                <w:sz w:val="20"/>
                <w:lang w:eastAsia="en-US" w:bidi="ar-SA"/>
              </w:rPr>
            </w:pPr>
            <w:r w:rsidRPr="00930237">
              <w:rPr>
                <w:sz w:val="20"/>
                <w:lang w:eastAsia="en-US" w:bidi="ar-SA"/>
              </w:rPr>
              <w:t>2015.,2016.,2017.gads</w:t>
            </w:r>
          </w:p>
        </w:tc>
        <w:tc>
          <w:tcPr>
            <w:tcW w:w="2841" w:type="dxa"/>
            <w:vAlign w:val="center"/>
          </w:tcPr>
          <w:p w14:paraId="25458406" w14:textId="77777777" w:rsidR="00AC212B" w:rsidRPr="00930237" w:rsidRDefault="00AC212B" w:rsidP="00710DDA">
            <w:pPr>
              <w:autoSpaceDE w:val="0"/>
              <w:autoSpaceDN w:val="0"/>
              <w:adjustRightInd w:val="0"/>
              <w:spacing w:before="0" w:after="0"/>
              <w:contextualSpacing/>
              <w:jc w:val="center"/>
              <w:rPr>
                <w:sz w:val="20"/>
                <w:lang w:eastAsia="en-US" w:bidi="ar-SA"/>
              </w:rPr>
            </w:pPr>
            <w:r w:rsidRPr="00930237">
              <w:rPr>
                <w:sz w:val="20"/>
                <w:lang w:eastAsia="en-US" w:bidi="ar-SA"/>
              </w:rPr>
              <w:t>0.099 EUR</w:t>
            </w:r>
            <w:r w:rsidRPr="00930237">
              <w:rPr>
                <w:sz w:val="20"/>
                <w:vertAlign w:val="superscript"/>
                <w:lang w:eastAsia="en-US" w:bidi="ar-SA"/>
              </w:rPr>
              <w:footnoteReference w:id="179"/>
            </w:r>
          </w:p>
        </w:tc>
        <w:tc>
          <w:tcPr>
            <w:tcW w:w="3106" w:type="dxa"/>
            <w:vAlign w:val="center"/>
          </w:tcPr>
          <w:p w14:paraId="76E69F09" w14:textId="77777777" w:rsidR="00AC212B" w:rsidRPr="00930237" w:rsidRDefault="00AC212B" w:rsidP="00710DDA">
            <w:pPr>
              <w:autoSpaceDE w:val="0"/>
              <w:autoSpaceDN w:val="0"/>
              <w:adjustRightInd w:val="0"/>
              <w:spacing w:before="0" w:after="0"/>
              <w:contextualSpacing/>
              <w:jc w:val="center"/>
              <w:rPr>
                <w:sz w:val="20"/>
                <w:lang w:eastAsia="en-US" w:bidi="ar-SA"/>
              </w:rPr>
            </w:pPr>
            <w:r w:rsidRPr="00930237">
              <w:rPr>
                <w:sz w:val="20"/>
                <w:lang w:eastAsia="en-US" w:bidi="ar-SA"/>
              </w:rPr>
              <w:t>1.097</w:t>
            </w:r>
            <w:r w:rsidRPr="00930237">
              <w:rPr>
                <w:sz w:val="20"/>
                <w:vertAlign w:val="superscript"/>
                <w:lang w:eastAsia="en-US" w:bidi="ar-SA"/>
              </w:rPr>
              <w:footnoteReference w:id="180"/>
            </w:r>
          </w:p>
        </w:tc>
      </w:tr>
      <w:tr w:rsidR="00AC212B" w:rsidRPr="00930237" w14:paraId="5449BC3C" w14:textId="77777777" w:rsidTr="00710DDA">
        <w:trPr>
          <w:jc w:val="center"/>
        </w:trPr>
        <w:tc>
          <w:tcPr>
            <w:tcW w:w="3120" w:type="dxa"/>
            <w:vAlign w:val="center"/>
          </w:tcPr>
          <w:p w14:paraId="4F96C490" w14:textId="77777777" w:rsidR="00AC212B" w:rsidRPr="00930237" w:rsidRDefault="00AC212B" w:rsidP="00710DDA">
            <w:pPr>
              <w:autoSpaceDE w:val="0"/>
              <w:autoSpaceDN w:val="0"/>
              <w:adjustRightInd w:val="0"/>
              <w:spacing w:before="0" w:after="0"/>
              <w:contextualSpacing/>
              <w:jc w:val="center"/>
              <w:rPr>
                <w:sz w:val="20"/>
                <w:lang w:eastAsia="en-US" w:bidi="ar-SA"/>
              </w:rPr>
            </w:pPr>
            <w:r w:rsidRPr="00930237">
              <w:rPr>
                <w:sz w:val="20"/>
                <w:lang w:eastAsia="en-US" w:bidi="ar-SA"/>
              </w:rPr>
              <w:t>2018.gada 1. un 2.ceturksnis</w:t>
            </w:r>
          </w:p>
        </w:tc>
        <w:tc>
          <w:tcPr>
            <w:tcW w:w="2841" w:type="dxa"/>
            <w:vAlign w:val="center"/>
          </w:tcPr>
          <w:p w14:paraId="65FFAEAA" w14:textId="77777777" w:rsidR="00AC212B" w:rsidRPr="00930237" w:rsidRDefault="00AC212B" w:rsidP="00710DDA">
            <w:pPr>
              <w:autoSpaceDE w:val="0"/>
              <w:autoSpaceDN w:val="0"/>
              <w:adjustRightInd w:val="0"/>
              <w:spacing w:before="0" w:after="0"/>
              <w:contextualSpacing/>
              <w:jc w:val="center"/>
              <w:rPr>
                <w:sz w:val="20"/>
                <w:lang w:eastAsia="en-US" w:bidi="ar-SA"/>
              </w:rPr>
            </w:pPr>
            <w:r w:rsidRPr="00930237">
              <w:rPr>
                <w:sz w:val="20"/>
                <w:lang w:eastAsia="en-US" w:bidi="ar-SA"/>
              </w:rPr>
              <w:t>0.112</w:t>
            </w:r>
            <w:r w:rsidRPr="00930237">
              <w:rPr>
                <w:sz w:val="20"/>
                <w:vertAlign w:val="superscript"/>
                <w:lang w:eastAsia="en-US" w:bidi="ar-SA"/>
              </w:rPr>
              <w:t>1</w:t>
            </w:r>
            <w:r w:rsidRPr="00930237">
              <w:rPr>
                <w:sz w:val="20"/>
                <w:lang w:eastAsia="en-US" w:bidi="ar-SA"/>
              </w:rPr>
              <w:t>*</w:t>
            </w:r>
          </w:p>
        </w:tc>
        <w:tc>
          <w:tcPr>
            <w:tcW w:w="3106" w:type="dxa"/>
            <w:vAlign w:val="center"/>
          </w:tcPr>
          <w:p w14:paraId="1CDC8E3F" w14:textId="77777777" w:rsidR="00AC212B" w:rsidRPr="00930237" w:rsidRDefault="00AC212B" w:rsidP="00710DDA">
            <w:pPr>
              <w:autoSpaceDE w:val="0"/>
              <w:autoSpaceDN w:val="0"/>
              <w:adjustRightInd w:val="0"/>
              <w:spacing w:before="0" w:after="0"/>
              <w:contextualSpacing/>
              <w:jc w:val="center"/>
              <w:rPr>
                <w:sz w:val="20"/>
                <w:lang w:eastAsia="en-US" w:bidi="ar-SA"/>
              </w:rPr>
            </w:pPr>
            <w:r w:rsidRPr="00930237">
              <w:rPr>
                <w:sz w:val="20"/>
                <w:lang w:eastAsia="en-US" w:bidi="ar-SA"/>
              </w:rPr>
              <w:t>1.236</w:t>
            </w:r>
            <w:r w:rsidRPr="00930237">
              <w:rPr>
                <w:sz w:val="20"/>
                <w:vertAlign w:val="superscript"/>
                <w:lang w:eastAsia="en-US" w:bidi="ar-SA"/>
              </w:rPr>
              <w:footnoteReference w:id="181"/>
            </w:r>
          </w:p>
        </w:tc>
      </w:tr>
      <w:tr w:rsidR="00AC212B" w:rsidRPr="00930237" w14:paraId="7255E7D9" w14:textId="77777777" w:rsidTr="00710DDA">
        <w:trPr>
          <w:jc w:val="center"/>
        </w:trPr>
        <w:tc>
          <w:tcPr>
            <w:tcW w:w="3120" w:type="dxa"/>
            <w:vAlign w:val="center"/>
          </w:tcPr>
          <w:p w14:paraId="2BC7303A" w14:textId="77777777" w:rsidR="00AC212B" w:rsidRPr="00930237" w:rsidRDefault="00AC212B" w:rsidP="00710DDA">
            <w:pPr>
              <w:autoSpaceDE w:val="0"/>
              <w:autoSpaceDN w:val="0"/>
              <w:adjustRightInd w:val="0"/>
              <w:spacing w:before="0" w:after="0"/>
              <w:contextualSpacing/>
              <w:jc w:val="center"/>
              <w:rPr>
                <w:sz w:val="20"/>
                <w:lang w:eastAsia="en-US" w:bidi="ar-SA"/>
              </w:rPr>
            </w:pPr>
            <w:r w:rsidRPr="00930237">
              <w:rPr>
                <w:sz w:val="20"/>
                <w:lang w:eastAsia="en-US" w:bidi="ar-SA"/>
              </w:rPr>
              <w:t>2018.gada 3.ceturksnis līdz 2019.gada 31.decembris</w:t>
            </w:r>
          </w:p>
        </w:tc>
        <w:tc>
          <w:tcPr>
            <w:tcW w:w="2841" w:type="dxa"/>
            <w:vAlign w:val="center"/>
          </w:tcPr>
          <w:p w14:paraId="1391E02A" w14:textId="77777777" w:rsidR="00AC212B" w:rsidRPr="00930237" w:rsidRDefault="00AC212B" w:rsidP="00710DDA">
            <w:pPr>
              <w:autoSpaceDE w:val="0"/>
              <w:autoSpaceDN w:val="0"/>
              <w:adjustRightInd w:val="0"/>
              <w:spacing w:before="0" w:after="0"/>
              <w:contextualSpacing/>
              <w:jc w:val="center"/>
              <w:rPr>
                <w:sz w:val="20"/>
                <w:lang w:eastAsia="en-US" w:bidi="ar-SA"/>
              </w:rPr>
            </w:pPr>
            <w:r w:rsidRPr="00930237">
              <w:rPr>
                <w:sz w:val="20"/>
                <w:lang w:eastAsia="en-US" w:bidi="ar-SA"/>
              </w:rPr>
              <w:t>0.12</w:t>
            </w:r>
            <w:r w:rsidRPr="00930237">
              <w:rPr>
                <w:sz w:val="20"/>
                <w:vertAlign w:val="superscript"/>
                <w:lang w:eastAsia="en-US" w:bidi="ar-SA"/>
              </w:rPr>
              <w:t>2*</w:t>
            </w:r>
          </w:p>
        </w:tc>
        <w:tc>
          <w:tcPr>
            <w:tcW w:w="3106" w:type="dxa"/>
            <w:vAlign w:val="center"/>
          </w:tcPr>
          <w:p w14:paraId="5E515C7C" w14:textId="77777777" w:rsidR="00AC212B" w:rsidRPr="00930237" w:rsidRDefault="00AC212B" w:rsidP="00710DDA">
            <w:pPr>
              <w:autoSpaceDE w:val="0"/>
              <w:autoSpaceDN w:val="0"/>
              <w:adjustRightInd w:val="0"/>
              <w:spacing w:before="0" w:after="0"/>
              <w:contextualSpacing/>
              <w:jc w:val="center"/>
              <w:rPr>
                <w:sz w:val="20"/>
                <w:lang w:eastAsia="en-US" w:bidi="ar-SA"/>
              </w:rPr>
            </w:pPr>
            <w:r w:rsidRPr="00930237">
              <w:rPr>
                <w:sz w:val="20"/>
                <w:lang w:eastAsia="en-US" w:bidi="ar-SA"/>
              </w:rPr>
              <w:t>1.266</w:t>
            </w:r>
            <w:r w:rsidRPr="00930237">
              <w:rPr>
                <w:sz w:val="20"/>
                <w:vertAlign w:val="superscript"/>
                <w:lang w:eastAsia="en-US" w:bidi="ar-SA"/>
              </w:rPr>
              <w:footnoteReference w:id="182"/>
            </w:r>
          </w:p>
        </w:tc>
      </w:tr>
    </w:tbl>
    <w:p w14:paraId="64AC51C3"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vertAlign w:val="superscript"/>
        </w:rPr>
        <w:t>2</w:t>
      </w:r>
      <w:r w:rsidRPr="00930237">
        <w:rPr>
          <w:bCs/>
          <w:sz w:val="20"/>
        </w:rPr>
        <w:t xml:space="preserve"> Likme aprēķināta kā vidējās izmaksas trīs gadu periodā.</w:t>
      </w:r>
    </w:p>
    <w:p w14:paraId="41C98F44"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vertAlign w:val="superscript"/>
        </w:rPr>
        <w:t>3</w:t>
      </w:r>
      <w:r w:rsidRPr="00930237">
        <w:rPr>
          <w:bCs/>
          <w:sz w:val="20"/>
        </w:rPr>
        <w:t xml:space="preserve"> Vidējā cena noteikta, pamatojoties uz Centrālās statistikas pārvaldes Informatīvā pārskata par patēriņa cenām par periodu no 2015.-2017.gadam datiem.  </w:t>
      </w:r>
    </w:p>
    <w:p w14:paraId="6C89ECFB"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vertAlign w:val="superscript"/>
        </w:rPr>
        <w:t>4</w:t>
      </w:r>
      <w:r w:rsidRPr="00930237">
        <w:rPr>
          <w:bCs/>
          <w:sz w:val="20"/>
        </w:rPr>
        <w:t xml:space="preserve"> Vidējā cena noteikta, pamatojoties uz Centrālās statistikas pārvaldes Informatīvā pārskata par patēriņa cenām par 2018.gada 1. un 2.ceturksni datiem. </w:t>
      </w:r>
    </w:p>
    <w:p w14:paraId="02554BC1"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vertAlign w:val="superscript"/>
        </w:rPr>
        <w:t>5</w:t>
      </w:r>
      <w:r w:rsidRPr="00930237">
        <w:rPr>
          <w:bCs/>
          <w:sz w:val="20"/>
        </w:rPr>
        <w:t xml:space="preserve"> Vidējā cena noteikta pamatojoties uz Centrālās statistikas pārvaldes Informatīvā pārskata par patēriņa cenām no 2018.gada 3.ceturkšņa līdz 2019.gada 4.ceturksnim datiem.  </w:t>
      </w:r>
    </w:p>
    <w:p w14:paraId="1D47D440"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p>
    <w:p w14:paraId="67A66A60"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rPr>
        <w:t>1)</w:t>
      </w:r>
      <w:r w:rsidRPr="00930237">
        <w:rPr>
          <w:bCs/>
          <w:sz w:val="20"/>
        </w:rPr>
        <w:tab/>
        <w:t>Vienas vienības likme spēkā līdz metodikas versijas Nr.2 apstiprināšanai:</w:t>
      </w:r>
    </w:p>
    <w:p w14:paraId="764BCE85"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vertAlign w:val="superscript"/>
        </w:rPr>
        <w:t>1*</w:t>
      </w:r>
      <w:r w:rsidRPr="00930237">
        <w:rPr>
          <w:bCs/>
          <w:sz w:val="20"/>
        </w:rPr>
        <w:t>Vidējās 1 l degvielas cenas ir palielinājušās par 12.67%</w:t>
      </w:r>
      <w:r w:rsidRPr="00930237">
        <w:rPr>
          <w:bCs/>
          <w:sz w:val="20"/>
          <w:vertAlign w:val="superscript"/>
        </w:rPr>
        <w:t>6</w:t>
      </w:r>
      <w:r w:rsidRPr="00930237">
        <w:rPr>
          <w:bCs/>
          <w:sz w:val="20"/>
        </w:rPr>
        <w:t xml:space="preserve"> ; </w:t>
      </w:r>
    </w:p>
    <w:p w14:paraId="553EC8DD"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rPr>
        <w:t>0.099 + 12.67% = 0.112 EUR</w:t>
      </w:r>
    </w:p>
    <w:p w14:paraId="64ACAC8F"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rPr>
        <w:t>2)</w:t>
      </w:r>
      <w:r w:rsidRPr="00930237">
        <w:rPr>
          <w:bCs/>
          <w:sz w:val="20"/>
        </w:rPr>
        <w:tab/>
        <w:t>Vienas vienības likme:</w:t>
      </w:r>
    </w:p>
    <w:p w14:paraId="4F64E7D4"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vertAlign w:val="superscript"/>
        </w:rPr>
        <w:t>2*</w:t>
      </w:r>
      <w:r w:rsidRPr="00930237">
        <w:rPr>
          <w:bCs/>
          <w:sz w:val="20"/>
        </w:rPr>
        <w:t>Vidējās 1 l degvielas cenas ir palielinājušās par 2.38%</w:t>
      </w:r>
      <w:r w:rsidRPr="00930237">
        <w:rPr>
          <w:bCs/>
          <w:sz w:val="20"/>
          <w:vertAlign w:val="superscript"/>
        </w:rPr>
        <w:t>7</w:t>
      </w:r>
      <w:r w:rsidRPr="00930237">
        <w:rPr>
          <w:bCs/>
          <w:sz w:val="20"/>
        </w:rPr>
        <w:t xml:space="preserve"> </w:t>
      </w:r>
    </w:p>
    <w:p w14:paraId="6D1E8FD9"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rPr>
        <w:t xml:space="preserve"> 0.112 + 2.38% = 0.003</w:t>
      </w:r>
      <w:r w:rsidRPr="00930237">
        <w:rPr>
          <w:bCs/>
          <w:sz w:val="20"/>
          <w:vertAlign w:val="superscript"/>
        </w:rPr>
        <w:t>8</w:t>
      </w:r>
      <w:r w:rsidRPr="00930237">
        <w:rPr>
          <w:bCs/>
          <w:sz w:val="20"/>
        </w:rPr>
        <w:t xml:space="preserve">  + 0.112 </w:t>
      </w:r>
      <w:r w:rsidRPr="00930237">
        <w:rPr>
          <w:b/>
          <w:bCs/>
          <w:sz w:val="20"/>
        </w:rPr>
        <w:t>= 0.12</w:t>
      </w:r>
      <w:r w:rsidRPr="00930237">
        <w:rPr>
          <w:b/>
          <w:bCs/>
          <w:sz w:val="20"/>
          <w:vertAlign w:val="superscript"/>
        </w:rPr>
        <w:t>9</w:t>
      </w:r>
      <w:r w:rsidRPr="00930237">
        <w:rPr>
          <w:b/>
          <w:bCs/>
          <w:sz w:val="20"/>
        </w:rPr>
        <w:t xml:space="preserve">  EUR/KM</w:t>
      </w:r>
    </w:p>
    <w:p w14:paraId="48815DE2"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p>
    <w:p w14:paraId="25FB903A"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vertAlign w:val="superscript"/>
        </w:rPr>
        <w:t>6</w:t>
      </w:r>
      <w:r w:rsidRPr="00930237">
        <w:rPr>
          <w:bCs/>
          <w:sz w:val="20"/>
        </w:rPr>
        <w:t xml:space="preserve">Pamatojoties uz degvielas izmaksu pieaugumu, VI aprēķināto 1 km izmaksu likmi par 2015.-2017.gadu palielina par 12.67%, lai likme atbilstu aktuālajai situācijai uz metodikas 1.versijas izstrādes brīdi (2018.gada 3.ceturksnis). </w:t>
      </w:r>
    </w:p>
    <w:p w14:paraId="3ED8D4D7"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vertAlign w:val="superscript"/>
        </w:rPr>
        <w:t>7</w:t>
      </w:r>
      <w:r w:rsidRPr="00930237">
        <w:rPr>
          <w:bCs/>
          <w:sz w:val="20"/>
        </w:rPr>
        <w:t xml:space="preserve">Izmantojot Excel funkciju: =ROUND(((1.236/1.266)-1);4) = 2.38% </w:t>
      </w:r>
    </w:p>
    <w:p w14:paraId="1F6A18CB"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vertAlign w:val="superscript"/>
        </w:rPr>
        <w:t>8</w:t>
      </w:r>
      <w:r w:rsidRPr="00930237">
        <w:rPr>
          <w:bCs/>
          <w:sz w:val="20"/>
        </w:rPr>
        <w:t>Izmantojot Excel funkciju: =ROUND((0.112*2.38%);3) = 0.003 EUR</w:t>
      </w:r>
    </w:p>
    <w:p w14:paraId="4445F1AC"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vertAlign w:val="superscript"/>
        </w:rPr>
        <w:t>9</w:t>
      </w:r>
      <w:r w:rsidRPr="00930237">
        <w:rPr>
          <w:bCs/>
          <w:sz w:val="20"/>
        </w:rPr>
        <w:t>Izmantojot Excel funkciju: =ROUND((0.112+0.003);2) = 0.12 EUR</w:t>
      </w:r>
    </w:p>
    <w:p w14:paraId="4A5529BA"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p>
    <w:p w14:paraId="402EA108"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
          <w:bCs/>
          <w:sz w:val="20"/>
        </w:rPr>
      </w:pPr>
      <w:r w:rsidRPr="00930237">
        <w:rPr>
          <w:bCs/>
          <w:sz w:val="20"/>
        </w:rPr>
        <w:t>2</w:t>
      </w:r>
      <w:r w:rsidRPr="00930237">
        <w:rPr>
          <w:b/>
          <w:bCs/>
          <w:sz w:val="20"/>
        </w:rPr>
        <w:t>) nobraukta 1 km vieglā transportlīdzekļa kompensācijas izmaksas 0.04 EUR/KM</w:t>
      </w:r>
    </w:p>
    <w:p w14:paraId="57E48F4A"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rPr>
        <w:t>Likme noteikta 2010.gada 21.septembra MK noteikumos Nr.899 “Likumā “Par iedzīvotāju ienākuma nodokli” normu piemērošanas kārtība” 43.punktā.</w:t>
      </w:r>
    </w:p>
    <w:p w14:paraId="7659EC7C"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p>
    <w:p w14:paraId="72D252BF" w14:textId="62E11873"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rPr>
        <w:t>3)</w:t>
      </w:r>
      <w:r w:rsidRPr="00930237">
        <w:rPr>
          <w:b/>
          <w:bCs/>
          <w:sz w:val="20"/>
        </w:rPr>
        <w:t xml:space="preserve"> 0.0</w:t>
      </w:r>
      <w:r w:rsidR="006F2073">
        <w:rPr>
          <w:b/>
          <w:bCs/>
          <w:sz w:val="20"/>
        </w:rPr>
        <w:t>5</w:t>
      </w:r>
      <w:r w:rsidRPr="00930237">
        <w:rPr>
          <w:b/>
          <w:bCs/>
          <w:sz w:val="20"/>
        </w:rPr>
        <w:t xml:space="preserve"> EUR/KM (starppilsētu reģionālās nozīmes sabiedriskais transports)</w:t>
      </w:r>
    </w:p>
    <w:p w14:paraId="09BD536A"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p>
    <w:p w14:paraId="67A4CCA0" w14:textId="680436ED" w:rsidR="006F2073" w:rsidRPr="00930237" w:rsidRDefault="006F2073" w:rsidP="00AC212B">
      <w:pPr>
        <w:pBdr>
          <w:top w:val="single" w:sz="4" w:space="15" w:color="auto"/>
          <w:left w:val="single" w:sz="4" w:space="4" w:color="auto"/>
          <w:bottom w:val="single" w:sz="4" w:space="1" w:color="auto"/>
          <w:right w:val="single" w:sz="4" w:space="4" w:color="auto"/>
        </w:pBdr>
        <w:autoSpaceDE w:val="0"/>
        <w:autoSpaceDN w:val="0"/>
        <w:adjustRightInd w:val="0"/>
        <w:spacing w:before="0" w:after="0"/>
        <w:rPr>
          <w:bCs/>
          <w:sz w:val="20"/>
        </w:rPr>
      </w:pPr>
      <w:r w:rsidRPr="006F2073">
        <w:rPr>
          <w:bCs/>
          <w:sz w:val="20"/>
        </w:rPr>
        <w:t>Likme noteikta pamatojoties uz Valsts SIA “Autotransporta direkcija” datiem par 2020.gada 10 mēnešiem (janvāris – oktobris). Nepilna gada periods izmantots, jo pamatojoties uz Sabiedriskā transporta padomes 2019.gada 6.decembra Lēmumu Nr.1 (prot. Nr. 12§1), no 2020.gada 15.janvāra reģionālās nozīmes autobusu maršrutos un vilcienos tika paaugstinātas braukšanas biļešu cenas.</w:t>
      </w:r>
    </w:p>
    <w:p w14:paraId="01CE561C" w14:textId="77777777" w:rsidR="00AC212B" w:rsidRPr="00930237" w:rsidRDefault="00AC212B" w:rsidP="00AC212B">
      <w:pPr>
        <w:pBdr>
          <w:top w:val="single" w:sz="4" w:space="15" w:color="auto"/>
          <w:left w:val="single" w:sz="4" w:space="4" w:color="auto"/>
          <w:bottom w:val="single" w:sz="4" w:space="1" w:color="auto"/>
          <w:right w:val="single" w:sz="4" w:space="4" w:color="auto"/>
        </w:pBdr>
        <w:autoSpaceDE w:val="0"/>
        <w:autoSpaceDN w:val="0"/>
        <w:adjustRightInd w:val="0"/>
        <w:spacing w:before="0" w:after="0"/>
        <w:rPr>
          <w:bCs/>
          <w:sz w:val="20"/>
        </w:rPr>
      </w:pPr>
    </w:p>
    <w:p w14:paraId="63CA2E10" w14:textId="77777777" w:rsidR="00AC212B" w:rsidRPr="00930237" w:rsidRDefault="00AC212B" w:rsidP="00AC212B">
      <w:pPr>
        <w:pBdr>
          <w:top w:val="single" w:sz="4" w:space="15" w:color="auto"/>
          <w:left w:val="single" w:sz="4" w:space="4" w:color="auto"/>
          <w:bottom w:val="single" w:sz="4" w:space="1" w:color="auto"/>
          <w:right w:val="single" w:sz="4" w:space="4" w:color="auto"/>
        </w:pBdr>
        <w:autoSpaceDE w:val="0"/>
        <w:autoSpaceDN w:val="0"/>
        <w:adjustRightInd w:val="0"/>
        <w:spacing w:before="0" w:after="0"/>
        <w:rPr>
          <w:bCs/>
          <w:sz w:val="20"/>
        </w:rPr>
      </w:pPr>
    </w:p>
    <w:p w14:paraId="5E55F700" w14:textId="77777777" w:rsidR="00AC212B" w:rsidRPr="00930237" w:rsidRDefault="00AC212B" w:rsidP="00AC212B">
      <w:pPr>
        <w:pBdr>
          <w:top w:val="single" w:sz="4" w:space="15"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rPr>
        <w:t xml:space="preserve">4) </w:t>
      </w:r>
      <w:r w:rsidRPr="00930237">
        <w:rPr>
          <w:b/>
          <w:bCs/>
          <w:sz w:val="20"/>
        </w:rPr>
        <w:t>0.61 EUR/brauciens</w:t>
      </w:r>
      <w:r w:rsidRPr="00930237">
        <w:rPr>
          <w:bCs/>
          <w:sz w:val="20"/>
        </w:rPr>
        <w:t xml:space="preserve"> (citās apdzīvotās vietās) un </w:t>
      </w:r>
      <w:r w:rsidRPr="00930237">
        <w:rPr>
          <w:b/>
          <w:bCs/>
          <w:sz w:val="20"/>
        </w:rPr>
        <w:t>1.15 EUR/brauciens</w:t>
      </w:r>
      <w:r w:rsidRPr="00930237">
        <w:rPr>
          <w:bCs/>
          <w:sz w:val="20"/>
        </w:rPr>
        <w:t xml:space="preserve"> (Rīga)</w:t>
      </w:r>
    </w:p>
    <w:p w14:paraId="22F1AE04" w14:textId="77777777" w:rsidR="00AC212B" w:rsidRPr="00930237" w:rsidRDefault="00AC212B" w:rsidP="00AC212B">
      <w:pPr>
        <w:pBdr>
          <w:top w:val="single" w:sz="4" w:space="15" w:color="auto"/>
          <w:left w:val="single" w:sz="4" w:space="4" w:color="auto"/>
          <w:bottom w:val="single" w:sz="4" w:space="1" w:color="auto"/>
          <w:right w:val="single" w:sz="4" w:space="4" w:color="auto"/>
        </w:pBdr>
        <w:autoSpaceDE w:val="0"/>
        <w:autoSpaceDN w:val="0"/>
        <w:adjustRightInd w:val="0"/>
        <w:spacing w:before="0" w:after="0"/>
        <w:rPr>
          <w:bCs/>
          <w:sz w:val="20"/>
        </w:rPr>
      </w:pPr>
    </w:p>
    <w:p w14:paraId="2CADA253" w14:textId="77777777" w:rsidR="00AC212B" w:rsidRPr="00930237" w:rsidRDefault="00AC212B" w:rsidP="00AC212B">
      <w:pPr>
        <w:pBdr>
          <w:top w:val="single" w:sz="4" w:space="15"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noProof/>
          <w:lang w:val="en-GB" w:eastAsia="en-GB" w:bidi="ne-NP"/>
        </w:rPr>
        <w:drawing>
          <wp:inline distT="0" distB="0" distL="0" distR="0" wp14:anchorId="2D551728" wp14:editId="346612C7">
            <wp:extent cx="1982435" cy="3057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2000303" cy="3085084"/>
                    </a:xfrm>
                    <a:prstGeom prst="rect">
                      <a:avLst/>
                    </a:prstGeom>
                    <a:noFill/>
                    <a:ln>
                      <a:noFill/>
                    </a:ln>
                  </pic:spPr>
                </pic:pic>
              </a:graphicData>
            </a:graphic>
          </wp:inline>
        </w:drawing>
      </w:r>
    </w:p>
    <w:p w14:paraId="1C391FF3"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p>
    <w:p w14:paraId="568B5FEE"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p>
    <w:p w14:paraId="3BEBFF35" w14:textId="77777777" w:rsidR="00AC212B" w:rsidRPr="00930237" w:rsidRDefault="00AC212B" w:rsidP="00AC212B">
      <w:pPr>
        <w:autoSpaceDE w:val="0"/>
        <w:autoSpaceDN w:val="0"/>
        <w:adjustRightInd w:val="0"/>
        <w:spacing w:before="0" w:after="0"/>
        <w:rPr>
          <w:i/>
          <w:noProof/>
          <w:sz w:val="20"/>
        </w:rPr>
      </w:pPr>
    </w:p>
    <w:p w14:paraId="67AA749C" w14:textId="77777777" w:rsidR="00AC212B" w:rsidRPr="00930237" w:rsidRDefault="00AC212B" w:rsidP="00AC212B">
      <w:pPr>
        <w:autoSpaceDE w:val="0"/>
        <w:autoSpaceDN w:val="0"/>
        <w:adjustRightInd w:val="0"/>
        <w:spacing w:before="0" w:after="0"/>
        <w:rPr>
          <w:bCs/>
          <w:noProof/>
          <w:sz w:val="20"/>
        </w:rPr>
      </w:pPr>
      <w:r w:rsidRPr="00930237">
        <w:rPr>
          <w:i/>
          <w:noProof/>
          <w:sz w:val="20"/>
        </w:rPr>
        <w:t>4</w:t>
      </w:r>
      <w:r w:rsidRPr="00930237">
        <w:rPr>
          <w:noProof/>
          <w:sz w:val="20"/>
        </w:rPr>
        <w:t>. Izskaidrojiet, kā Jūs nodrošinājāt, ka vienas vienības izmaksu standarta likmes, vienreizējā maksājuma vai vienotu likmju aprēķināšanā tika ietverti tikai attiecināmie izdevumi.</w:t>
      </w:r>
    </w:p>
    <w:p w14:paraId="11487524" w14:textId="78AEFED3"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rPr>
        <w:t xml:space="preserve">Degvielas izmaksas un sabiedriskā transporta izmaksas ir attiecināmās izmaksas, un šo izmaksu kategoriju komponentes sastāv tikai no </w:t>
      </w:r>
      <w:r w:rsidR="006F2073">
        <w:rPr>
          <w:bCs/>
          <w:sz w:val="20"/>
        </w:rPr>
        <w:t xml:space="preserve">vienas izmaksu </w:t>
      </w:r>
      <w:r w:rsidRPr="00930237">
        <w:rPr>
          <w:bCs/>
          <w:sz w:val="20"/>
        </w:rPr>
        <w:t>pozīcij</w:t>
      </w:r>
      <w:r w:rsidR="006F2073">
        <w:rPr>
          <w:bCs/>
          <w:sz w:val="20"/>
        </w:rPr>
        <w:t>as</w:t>
      </w:r>
      <w:r w:rsidRPr="00930237">
        <w:rPr>
          <w:bCs/>
          <w:sz w:val="20"/>
        </w:rPr>
        <w:t xml:space="preserve">, kura ir attiecināma. </w:t>
      </w:r>
      <w:r w:rsidR="006F2073" w:rsidRPr="006F2073">
        <w:rPr>
          <w:bCs/>
          <w:sz w:val="20"/>
        </w:rPr>
        <w:t>Nepastāv risks, ka vienības ietvaros tiek kompensētas izmaksas, kas ir neattiecināmas.</w:t>
      </w:r>
    </w:p>
    <w:p w14:paraId="23C2B235"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p>
    <w:p w14:paraId="7F3B63B5" w14:textId="77777777" w:rsidR="00AC212B" w:rsidRPr="00930237" w:rsidRDefault="00AC212B" w:rsidP="00AC212B">
      <w:pPr>
        <w:spacing w:before="0" w:after="0"/>
        <w:rPr>
          <w:i/>
          <w:noProof/>
          <w:sz w:val="20"/>
        </w:rPr>
      </w:pPr>
    </w:p>
    <w:p w14:paraId="246D0965" w14:textId="77777777" w:rsidR="00AC212B" w:rsidRPr="00930237" w:rsidRDefault="00AC212B" w:rsidP="00AC212B">
      <w:pPr>
        <w:spacing w:before="0" w:after="0"/>
        <w:rPr>
          <w:bCs/>
          <w:noProof/>
          <w:sz w:val="20"/>
        </w:rPr>
      </w:pPr>
      <w:r w:rsidRPr="00930237">
        <w:rPr>
          <w:i/>
          <w:noProof/>
          <w:sz w:val="20"/>
        </w:rPr>
        <w:t>5</w:t>
      </w:r>
      <w:r w:rsidRPr="00930237">
        <w:rPr>
          <w:noProof/>
          <w:sz w:val="20"/>
        </w:rPr>
        <w:t>. Revīzijas iestādes(-žu) veikts aprēķināšanas metodoloģijas un summu novērtējums, un kārtība, kas nodrošina datu verifikāciju, kvalitāti, vākšanu un glabāšanu.</w:t>
      </w:r>
    </w:p>
    <w:p w14:paraId="060E3E3D"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r w:rsidRPr="00930237">
        <w:rPr>
          <w:bCs/>
          <w:sz w:val="20"/>
        </w:rPr>
        <w:t xml:space="preserve">Revīzijas iestāde veikusi metodikas (likmju) pārbaudi. Netika norādīti būtiski riski no revīzijas iestādes puses. </w:t>
      </w:r>
    </w:p>
    <w:p w14:paraId="6B7655C4" w14:textId="77777777" w:rsidR="00AC212B" w:rsidRPr="00930237" w:rsidRDefault="00AC212B" w:rsidP="00AC212B">
      <w:pPr>
        <w:spacing w:before="0" w:after="0"/>
        <w:rPr>
          <w:noProof/>
          <w:sz w:val="20"/>
        </w:rPr>
      </w:pPr>
    </w:p>
    <w:p w14:paraId="35C53578" w14:textId="77777777" w:rsidR="00AC212B" w:rsidRPr="00930237" w:rsidRDefault="00AC212B" w:rsidP="00AC212B">
      <w:pPr>
        <w:spacing w:before="0" w:after="0"/>
        <w:rPr>
          <w:noProof/>
          <w:sz w:val="20"/>
        </w:rPr>
      </w:pPr>
    </w:p>
    <w:p w14:paraId="69A0FA68" w14:textId="77777777" w:rsidR="00AC212B" w:rsidRPr="00930237" w:rsidRDefault="00AC212B" w:rsidP="00AC212B">
      <w:pPr>
        <w:pStyle w:val="Heading4"/>
        <w:numPr>
          <w:ilvl w:val="0"/>
          <w:numId w:val="0"/>
        </w:numPr>
        <w:spacing w:after="0"/>
        <w:rPr>
          <w:b/>
          <w:noProof/>
          <w:sz w:val="20"/>
        </w:rPr>
      </w:pPr>
      <w:r w:rsidRPr="00930237">
        <w:rPr>
          <w:b/>
          <w:noProof/>
          <w:sz w:val="20"/>
        </w:rPr>
        <w:t>B. Sīkāka informācija pa darbības veidiem (aizpilda par katru darbības veidu)</w:t>
      </w:r>
    </w:p>
    <w:p w14:paraId="5FB3625D" w14:textId="43F2C59F" w:rsidR="00AC212B" w:rsidRPr="00930237" w:rsidRDefault="00AC212B" w:rsidP="00AC212B">
      <w:pPr>
        <w:spacing w:before="0" w:after="0"/>
        <w:rPr>
          <w:color w:val="FF0000"/>
        </w:rPr>
      </w:pPr>
      <w:r w:rsidRPr="00930237">
        <w:rPr>
          <w:color w:val="FF0000"/>
        </w:rPr>
        <w:t>[Tiks pa</w:t>
      </w:r>
      <w:r w:rsidR="006F2073">
        <w:rPr>
          <w:color w:val="FF0000"/>
        </w:rPr>
        <w:t>p</w:t>
      </w:r>
      <w:r w:rsidRPr="00930237">
        <w:rPr>
          <w:color w:val="FF0000"/>
        </w:rPr>
        <w:t>ildināts/ aktualizēts]</w:t>
      </w:r>
    </w:p>
    <w:p w14:paraId="7FD169EA" w14:textId="77777777" w:rsidR="00AC212B" w:rsidRPr="00930237" w:rsidRDefault="00AC212B" w:rsidP="00AC212B">
      <w:pPr>
        <w:spacing w:before="0" w:after="0"/>
        <w:rPr>
          <w:b/>
          <w:noProof/>
          <w:sz w:val="20"/>
        </w:rPr>
      </w:pPr>
    </w:p>
    <w:p w14:paraId="1FD937F0" w14:textId="77777777" w:rsidR="00AC212B" w:rsidRPr="00930237" w:rsidRDefault="00AC212B" w:rsidP="00AC212B">
      <w:pPr>
        <w:spacing w:before="0" w:after="0"/>
        <w:rPr>
          <w:b/>
          <w:noProof/>
          <w:sz w:val="20"/>
        </w:rPr>
      </w:pPr>
      <w:r w:rsidRPr="00930237">
        <w:rPr>
          <w:b/>
          <w:noProof/>
          <w:sz w:val="20"/>
        </w:rPr>
        <w:t xml:space="preserve">Vai vadošā iestāde ir saņēmusi atbalstu no ārēja uzņēmuma, lai noteiktu turpmāk norādītās vienkāršotās izmaksas? </w:t>
      </w:r>
    </w:p>
    <w:p w14:paraId="6B43A476" w14:textId="0AFCA2C3" w:rsidR="00AC212B" w:rsidRPr="00930237" w:rsidRDefault="00AC212B" w:rsidP="00AC212B">
      <w:pPr>
        <w:spacing w:before="0" w:after="0"/>
        <w:rPr>
          <w:b/>
          <w:noProof/>
          <w:sz w:val="20"/>
        </w:rPr>
      </w:pPr>
      <w:r w:rsidRPr="008C4727">
        <w:rPr>
          <w:b/>
          <w:noProof/>
          <w:sz w:val="20"/>
          <w:highlight w:val="yellow"/>
        </w:rPr>
        <w:t>Ja tā ir, norādiet attiecīgo ārējo uzņēmumu</w:t>
      </w:r>
      <w:r w:rsidRPr="00930237">
        <w:rPr>
          <w:b/>
          <w:noProof/>
          <w:sz w:val="20"/>
        </w:rPr>
        <w:t xml:space="preserve">: </w:t>
      </w:r>
      <w:r w:rsidRPr="00930237">
        <w:rPr>
          <w:noProof/>
          <w:sz w:val="20"/>
        </w:rPr>
        <w:tab/>
      </w:r>
      <w:r w:rsidRPr="00930237">
        <w:rPr>
          <w:b/>
          <w:noProof/>
          <w:sz w:val="20"/>
          <w:u w:val="single"/>
          <w:bdr w:val="single" w:sz="4" w:space="0" w:color="auto"/>
        </w:rPr>
        <w:t>Nē</w:t>
      </w:r>
      <w:r w:rsidRPr="00930237">
        <w:rPr>
          <w:b/>
          <w:noProof/>
          <w:sz w:val="20"/>
          <w:bdr w:val="single" w:sz="4" w:space="0" w:color="auto"/>
        </w:rPr>
        <w:t xml:space="preserve"> </w:t>
      </w:r>
    </w:p>
    <w:p w14:paraId="1D093E80" w14:textId="77777777" w:rsidR="00AC212B" w:rsidRPr="00930237" w:rsidRDefault="00AC212B" w:rsidP="00AC212B">
      <w:pPr>
        <w:spacing w:before="0" w:after="0"/>
        <w:rPr>
          <w:noProof/>
          <w:sz w:val="20"/>
        </w:rPr>
      </w:pPr>
      <w:r w:rsidRPr="00930237">
        <w:rPr>
          <w:noProof/>
          <w:sz w:val="20"/>
        </w:rPr>
        <w:t>Darbības veidi</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7"/>
        <w:gridCol w:w="5670"/>
      </w:tblGrid>
      <w:tr w:rsidR="00AC212B" w:rsidRPr="00930237" w14:paraId="56F5525D" w14:textId="77777777" w:rsidTr="00710DDA">
        <w:trPr>
          <w:trHeight w:val="300"/>
        </w:trPr>
        <w:tc>
          <w:tcPr>
            <w:tcW w:w="3417" w:type="dxa"/>
            <w:shd w:val="clear" w:color="auto" w:fill="D9D9D9" w:themeFill="background1" w:themeFillShade="D9"/>
            <w:vAlign w:val="center"/>
          </w:tcPr>
          <w:p w14:paraId="06AF8341" w14:textId="51F9B478" w:rsidR="00AC212B" w:rsidRPr="00930237" w:rsidRDefault="008C4727" w:rsidP="00710DDA">
            <w:pPr>
              <w:spacing w:before="0" w:after="0"/>
              <w:rPr>
                <w:b/>
                <w:noProof/>
                <w:sz w:val="20"/>
              </w:rPr>
            </w:pPr>
            <w:r w:rsidRPr="00930237">
              <w:rPr>
                <w:noProof/>
                <w:sz w:val="20"/>
              </w:rPr>
              <w:t xml:space="preserve">1.1. Darbības veida apraksts </w:t>
            </w:r>
            <w:r>
              <w:rPr>
                <w:noProof/>
                <w:sz w:val="20"/>
              </w:rPr>
              <w:t>iekļaujot īstenošanas laika grafiku</w:t>
            </w:r>
          </w:p>
        </w:tc>
        <w:tc>
          <w:tcPr>
            <w:tcW w:w="5670" w:type="dxa"/>
            <w:shd w:val="clear" w:color="auto" w:fill="D9D9D9" w:themeFill="background1" w:themeFillShade="D9"/>
            <w:vAlign w:val="center"/>
          </w:tcPr>
          <w:p w14:paraId="164B046C" w14:textId="77777777" w:rsidR="00AC212B" w:rsidRPr="00930237" w:rsidRDefault="00AC212B" w:rsidP="00710DDA">
            <w:pPr>
              <w:spacing w:before="0" w:after="0"/>
              <w:jc w:val="center"/>
              <w:rPr>
                <w:b/>
                <w:sz w:val="20"/>
              </w:rPr>
            </w:pPr>
            <w:r w:rsidRPr="00930237">
              <w:rPr>
                <w:b/>
                <w:sz w:val="20"/>
              </w:rPr>
              <w:t xml:space="preserve">Viena diennakts naktsmītnē Latvijas teritorijā un dienas nauda par iekšzemes komandējuma dienu </w:t>
            </w:r>
          </w:p>
        </w:tc>
      </w:tr>
      <w:tr w:rsidR="00AC212B" w:rsidRPr="00930237" w14:paraId="48B3C689" w14:textId="77777777" w:rsidTr="00710DDA">
        <w:trPr>
          <w:trHeight w:val="406"/>
        </w:trPr>
        <w:tc>
          <w:tcPr>
            <w:tcW w:w="3417" w:type="dxa"/>
            <w:vAlign w:val="center"/>
          </w:tcPr>
          <w:p w14:paraId="1C659D4B" w14:textId="77777777" w:rsidR="00AC212B" w:rsidRPr="00930237" w:rsidRDefault="00AC212B" w:rsidP="00710DDA">
            <w:pPr>
              <w:spacing w:before="0" w:after="0"/>
              <w:rPr>
                <w:noProof/>
                <w:sz w:val="20"/>
              </w:rPr>
            </w:pPr>
            <w:r w:rsidRPr="00930237">
              <w:rPr>
                <w:noProof/>
                <w:sz w:val="20"/>
              </w:rPr>
              <w:t xml:space="preserve">1.2. SAM </w:t>
            </w:r>
          </w:p>
        </w:tc>
        <w:tc>
          <w:tcPr>
            <w:tcW w:w="5670" w:type="dxa"/>
            <w:vAlign w:val="center"/>
          </w:tcPr>
          <w:p w14:paraId="0150021E" w14:textId="77777777" w:rsidR="00AC212B" w:rsidRPr="00930237" w:rsidRDefault="00AC212B" w:rsidP="00710DDA">
            <w:pPr>
              <w:spacing w:before="0" w:after="0"/>
              <w:jc w:val="left"/>
              <w:rPr>
                <w:sz w:val="20"/>
              </w:rPr>
            </w:pPr>
          </w:p>
          <w:p w14:paraId="756DF164" w14:textId="77777777" w:rsidR="00AC212B" w:rsidRPr="00930237" w:rsidRDefault="00AC212B" w:rsidP="00710DDA">
            <w:pPr>
              <w:spacing w:before="0" w:after="0"/>
              <w:jc w:val="left"/>
              <w:rPr>
                <w:sz w:val="20"/>
              </w:rPr>
            </w:pPr>
            <w:r w:rsidRPr="00930237">
              <w:rPr>
                <w:sz w:val="20"/>
              </w:rPr>
              <w:t>Visi, kur minētās izmaksas ir attiecināmas</w:t>
            </w:r>
          </w:p>
          <w:p w14:paraId="15D287E3" w14:textId="77777777" w:rsidR="00AC212B" w:rsidRPr="00930237" w:rsidRDefault="00AC212B" w:rsidP="00710DDA">
            <w:pPr>
              <w:spacing w:before="0" w:after="0"/>
              <w:jc w:val="left"/>
              <w:rPr>
                <w:sz w:val="20"/>
              </w:rPr>
            </w:pPr>
          </w:p>
        </w:tc>
      </w:tr>
      <w:tr w:rsidR="008C4727" w:rsidRPr="00930237" w14:paraId="48EE5C0A" w14:textId="77777777" w:rsidTr="00710DDA">
        <w:trPr>
          <w:trHeight w:val="300"/>
        </w:trPr>
        <w:tc>
          <w:tcPr>
            <w:tcW w:w="3417" w:type="dxa"/>
            <w:vAlign w:val="center"/>
          </w:tcPr>
          <w:p w14:paraId="33D46304" w14:textId="3A669920" w:rsidR="008C4727" w:rsidRPr="00930237" w:rsidRDefault="008C4727" w:rsidP="008C4727">
            <w:pPr>
              <w:spacing w:before="0" w:after="0"/>
              <w:rPr>
                <w:noProof/>
                <w:sz w:val="20"/>
              </w:rPr>
            </w:pPr>
            <w:r w:rsidRPr="00930237">
              <w:rPr>
                <w:noProof/>
                <w:sz w:val="20"/>
              </w:rPr>
              <w:t xml:space="preserve">1.3. </w:t>
            </w:r>
            <w:r>
              <w:rPr>
                <w:noProof/>
                <w:sz w:val="20"/>
              </w:rPr>
              <w:t>Ar maksājumu saistītais rādītājs</w:t>
            </w:r>
            <w:r w:rsidRPr="00930237">
              <w:rPr>
                <w:rStyle w:val="FootnoteReference"/>
                <w:noProof/>
                <w:sz w:val="20"/>
              </w:rPr>
              <w:footnoteReference w:id="183"/>
            </w:r>
          </w:p>
        </w:tc>
        <w:tc>
          <w:tcPr>
            <w:tcW w:w="5670" w:type="dxa"/>
            <w:vAlign w:val="center"/>
          </w:tcPr>
          <w:p w14:paraId="75E763D8" w14:textId="77777777" w:rsidR="008C4727" w:rsidRPr="00930237" w:rsidRDefault="008C4727" w:rsidP="008C4727">
            <w:pPr>
              <w:spacing w:before="0" w:after="0"/>
              <w:jc w:val="left"/>
              <w:rPr>
                <w:sz w:val="20"/>
              </w:rPr>
            </w:pPr>
          </w:p>
        </w:tc>
      </w:tr>
      <w:tr w:rsidR="008C4727" w:rsidRPr="00930237" w14:paraId="3ADDE958" w14:textId="77777777" w:rsidTr="00710DDA">
        <w:trPr>
          <w:trHeight w:val="300"/>
        </w:trPr>
        <w:tc>
          <w:tcPr>
            <w:tcW w:w="3417" w:type="dxa"/>
            <w:vAlign w:val="center"/>
          </w:tcPr>
          <w:p w14:paraId="7B4DCE29" w14:textId="57101C1E" w:rsidR="008C4727" w:rsidRPr="00930237" w:rsidRDefault="008C4727" w:rsidP="008C4727">
            <w:pPr>
              <w:spacing w:before="0" w:after="0"/>
              <w:rPr>
                <w:noProof/>
                <w:sz w:val="20"/>
              </w:rPr>
            </w:pPr>
            <w:r w:rsidRPr="00930237">
              <w:rPr>
                <w:noProof/>
                <w:sz w:val="20"/>
              </w:rPr>
              <w:t>1.4. </w:t>
            </w:r>
            <w:r>
              <w:rPr>
                <w:noProof/>
                <w:sz w:val="20"/>
              </w:rPr>
              <w:t>Ar maksājumu saistītā rādītāja mērvienība</w:t>
            </w:r>
          </w:p>
        </w:tc>
        <w:tc>
          <w:tcPr>
            <w:tcW w:w="5670" w:type="dxa"/>
            <w:vAlign w:val="center"/>
          </w:tcPr>
          <w:p w14:paraId="72EAF5A0" w14:textId="77777777" w:rsidR="008C4727" w:rsidRPr="00930237" w:rsidRDefault="008C4727" w:rsidP="008C4727">
            <w:pPr>
              <w:spacing w:before="0" w:after="0"/>
              <w:rPr>
                <w:sz w:val="20"/>
              </w:rPr>
            </w:pPr>
            <w:r w:rsidRPr="00930237">
              <w:rPr>
                <w:sz w:val="20"/>
              </w:rPr>
              <w:t>Viena diennakts, viena komandējuma diena</w:t>
            </w:r>
          </w:p>
        </w:tc>
      </w:tr>
      <w:tr w:rsidR="008C4727" w:rsidRPr="00930237" w14:paraId="55D3FD9E" w14:textId="77777777" w:rsidTr="00710DDA">
        <w:trPr>
          <w:trHeight w:val="300"/>
        </w:trPr>
        <w:tc>
          <w:tcPr>
            <w:tcW w:w="3417" w:type="dxa"/>
            <w:vAlign w:val="center"/>
          </w:tcPr>
          <w:p w14:paraId="6E4DB64C" w14:textId="2961E69E" w:rsidR="008C4727" w:rsidRPr="00930237" w:rsidRDefault="008C4727" w:rsidP="008C4727">
            <w:pPr>
              <w:spacing w:before="0" w:after="0"/>
              <w:rPr>
                <w:noProof/>
                <w:sz w:val="20"/>
              </w:rPr>
            </w:pPr>
            <w:r w:rsidRPr="00930237">
              <w:rPr>
                <w:noProof/>
                <w:sz w:val="20"/>
              </w:rPr>
              <w:t>1.5. Vienas vienības izmaksu standarta likme, vienreizējais maksājums vai vienota likme</w:t>
            </w:r>
          </w:p>
        </w:tc>
        <w:tc>
          <w:tcPr>
            <w:tcW w:w="5670" w:type="dxa"/>
            <w:vAlign w:val="center"/>
          </w:tcPr>
          <w:p w14:paraId="36577FF0" w14:textId="77777777" w:rsidR="008C4727" w:rsidRPr="00930237" w:rsidRDefault="008C4727" w:rsidP="008C4727">
            <w:pPr>
              <w:spacing w:before="0" w:after="0"/>
              <w:rPr>
                <w:sz w:val="20"/>
              </w:rPr>
            </w:pPr>
            <w:r w:rsidRPr="00930237">
              <w:rPr>
                <w:sz w:val="20"/>
              </w:rPr>
              <w:t>Viena vienība</w:t>
            </w:r>
          </w:p>
        </w:tc>
      </w:tr>
      <w:tr w:rsidR="008C4727" w:rsidRPr="00930237" w14:paraId="50AD7782" w14:textId="77777777" w:rsidTr="00710DDA">
        <w:trPr>
          <w:trHeight w:val="300"/>
        </w:trPr>
        <w:tc>
          <w:tcPr>
            <w:tcW w:w="3417" w:type="dxa"/>
            <w:vAlign w:val="center"/>
          </w:tcPr>
          <w:p w14:paraId="40B571A9" w14:textId="3DE06712" w:rsidR="008C4727" w:rsidRPr="00930237" w:rsidRDefault="008C4727" w:rsidP="008C4727">
            <w:pPr>
              <w:spacing w:before="0" w:after="0"/>
              <w:rPr>
                <w:noProof/>
                <w:sz w:val="20"/>
              </w:rPr>
            </w:pPr>
            <w:r w:rsidRPr="00930237">
              <w:rPr>
                <w:noProof/>
                <w:sz w:val="20"/>
              </w:rPr>
              <w:t xml:space="preserve">1.6. Summa </w:t>
            </w:r>
            <w:r>
              <w:rPr>
                <w:noProof/>
                <w:sz w:val="20"/>
              </w:rPr>
              <w:t>par vienu mērvienības vienību vai procenti (vienotai likmei) vienkāršotajām izmaksām</w:t>
            </w:r>
          </w:p>
        </w:tc>
        <w:tc>
          <w:tcPr>
            <w:tcW w:w="5670" w:type="dxa"/>
            <w:vAlign w:val="center"/>
          </w:tcPr>
          <w:p w14:paraId="0BD64361" w14:textId="77777777" w:rsidR="008C4727" w:rsidRPr="00930237" w:rsidRDefault="008C4727" w:rsidP="008C4727">
            <w:pPr>
              <w:spacing w:before="0" w:after="0"/>
              <w:rPr>
                <w:noProof/>
                <w:sz w:val="20"/>
              </w:rPr>
            </w:pPr>
            <w:r w:rsidRPr="00930237">
              <w:rPr>
                <w:noProof/>
                <w:sz w:val="20"/>
              </w:rPr>
              <w:t xml:space="preserve">1) </w:t>
            </w:r>
            <w:r w:rsidRPr="00930237">
              <w:rPr>
                <w:b/>
                <w:noProof/>
                <w:sz w:val="20"/>
              </w:rPr>
              <w:t>64.00 EUR</w:t>
            </w:r>
            <w:r w:rsidRPr="00930237">
              <w:rPr>
                <w:noProof/>
                <w:sz w:val="20"/>
              </w:rPr>
              <w:t xml:space="preserve"> (viena diennakts naktsmītnē Rīgā)</w:t>
            </w:r>
          </w:p>
          <w:p w14:paraId="35E391B1" w14:textId="77777777" w:rsidR="008C4727" w:rsidRPr="00930237" w:rsidRDefault="008C4727" w:rsidP="008C4727">
            <w:pPr>
              <w:spacing w:before="0" w:after="0"/>
              <w:rPr>
                <w:noProof/>
                <w:sz w:val="20"/>
              </w:rPr>
            </w:pPr>
            <w:r w:rsidRPr="00930237">
              <w:rPr>
                <w:noProof/>
                <w:sz w:val="20"/>
              </w:rPr>
              <w:t xml:space="preserve">2) </w:t>
            </w:r>
            <w:r w:rsidRPr="00930237">
              <w:rPr>
                <w:b/>
                <w:noProof/>
                <w:sz w:val="20"/>
              </w:rPr>
              <w:t xml:space="preserve">45.00 EUR </w:t>
            </w:r>
            <w:r w:rsidRPr="00930237">
              <w:rPr>
                <w:noProof/>
                <w:sz w:val="20"/>
              </w:rPr>
              <w:t>(viena diennakts naktsmītnē citās apdzīvotās vietās)</w:t>
            </w:r>
          </w:p>
          <w:p w14:paraId="765908A4" w14:textId="77777777" w:rsidR="008C4727" w:rsidRPr="00930237" w:rsidRDefault="008C4727" w:rsidP="008C4727">
            <w:pPr>
              <w:spacing w:before="0" w:after="0"/>
              <w:rPr>
                <w:noProof/>
                <w:sz w:val="20"/>
              </w:rPr>
            </w:pPr>
            <w:r w:rsidRPr="00930237">
              <w:rPr>
                <w:noProof/>
                <w:sz w:val="20"/>
              </w:rPr>
              <w:t xml:space="preserve">3) </w:t>
            </w:r>
            <w:r w:rsidRPr="00930237">
              <w:rPr>
                <w:b/>
                <w:noProof/>
                <w:sz w:val="20"/>
              </w:rPr>
              <w:t>8.00 EUR</w:t>
            </w:r>
            <w:r w:rsidRPr="00930237">
              <w:rPr>
                <w:noProof/>
                <w:sz w:val="20"/>
              </w:rPr>
              <w:t xml:space="preserve"> (dienas naudas apmērs) </w:t>
            </w:r>
          </w:p>
        </w:tc>
      </w:tr>
      <w:tr w:rsidR="008C4727" w:rsidRPr="00930237" w14:paraId="78ABDEBA" w14:textId="77777777" w:rsidTr="00710DDA">
        <w:trPr>
          <w:trHeight w:val="300"/>
        </w:trPr>
        <w:tc>
          <w:tcPr>
            <w:tcW w:w="3417" w:type="dxa"/>
            <w:vAlign w:val="center"/>
          </w:tcPr>
          <w:p w14:paraId="29CEA0DA" w14:textId="59187229" w:rsidR="008C4727" w:rsidRPr="00930237" w:rsidRDefault="008C4727" w:rsidP="008C4727">
            <w:pPr>
              <w:spacing w:before="0" w:after="0"/>
              <w:rPr>
                <w:noProof/>
                <w:sz w:val="20"/>
              </w:rPr>
            </w:pPr>
            <w:r w:rsidRPr="00930237">
              <w:rPr>
                <w:noProof/>
                <w:sz w:val="20"/>
              </w:rPr>
              <w:t>1.7. Izmaksu kategorijas, kas tiek segtas ar vienas vienības cenu, vienreizējo maksājumu vai vienotu likmi</w:t>
            </w:r>
          </w:p>
        </w:tc>
        <w:tc>
          <w:tcPr>
            <w:tcW w:w="5670" w:type="dxa"/>
            <w:vAlign w:val="center"/>
          </w:tcPr>
          <w:p w14:paraId="76FD90E0" w14:textId="77777777" w:rsidR="008C4727" w:rsidRPr="00930237" w:rsidRDefault="008C4727" w:rsidP="008C4727">
            <w:pPr>
              <w:spacing w:before="0" w:after="0"/>
              <w:rPr>
                <w:noProof/>
                <w:sz w:val="20"/>
              </w:rPr>
            </w:pPr>
            <w:r w:rsidRPr="00930237">
              <w:rPr>
                <w:noProof/>
                <w:sz w:val="20"/>
              </w:rPr>
              <w:t xml:space="preserve">Naktsmītnes izdevumi un dienas nauda Latvijas teritorijā </w:t>
            </w:r>
          </w:p>
        </w:tc>
      </w:tr>
      <w:tr w:rsidR="008C4727" w:rsidRPr="00930237" w14:paraId="47B5A59F" w14:textId="77777777" w:rsidTr="00710DDA">
        <w:trPr>
          <w:trHeight w:val="300"/>
        </w:trPr>
        <w:tc>
          <w:tcPr>
            <w:tcW w:w="3417" w:type="dxa"/>
            <w:vAlign w:val="center"/>
          </w:tcPr>
          <w:p w14:paraId="748C816D" w14:textId="5063EE60" w:rsidR="008C4727" w:rsidRPr="00930237" w:rsidRDefault="008C4727" w:rsidP="008C4727">
            <w:pPr>
              <w:spacing w:before="0" w:after="0"/>
              <w:rPr>
                <w:noProof/>
                <w:sz w:val="20"/>
              </w:rPr>
            </w:pPr>
            <w:r w:rsidRPr="00930237">
              <w:rPr>
                <w:noProof/>
                <w:sz w:val="20"/>
              </w:rPr>
              <w:t>1.8. Vai šīs izmaksu kategorijas sedz visus darbības attiecināmos izdevumus? (Jā/Nē)</w:t>
            </w:r>
          </w:p>
        </w:tc>
        <w:tc>
          <w:tcPr>
            <w:tcW w:w="5670" w:type="dxa"/>
            <w:vAlign w:val="center"/>
          </w:tcPr>
          <w:p w14:paraId="4D4E162D" w14:textId="77777777" w:rsidR="008C4727" w:rsidRPr="00930237" w:rsidRDefault="008C4727" w:rsidP="008C4727">
            <w:pPr>
              <w:spacing w:before="0" w:after="0"/>
              <w:rPr>
                <w:i/>
                <w:noProof/>
                <w:sz w:val="20"/>
              </w:rPr>
            </w:pPr>
            <w:r w:rsidRPr="00930237">
              <w:rPr>
                <w:i/>
                <w:noProof/>
                <w:sz w:val="20"/>
              </w:rPr>
              <w:t>Nē</w:t>
            </w:r>
          </w:p>
        </w:tc>
      </w:tr>
      <w:tr w:rsidR="008C4727" w:rsidRPr="00930237" w14:paraId="3D48DA57" w14:textId="77777777" w:rsidTr="00710DDA">
        <w:trPr>
          <w:trHeight w:val="300"/>
        </w:trPr>
        <w:tc>
          <w:tcPr>
            <w:tcW w:w="3417" w:type="dxa"/>
            <w:vAlign w:val="center"/>
          </w:tcPr>
          <w:p w14:paraId="1E9FA678" w14:textId="75F5CA17" w:rsidR="008C4727" w:rsidRPr="00930237" w:rsidRDefault="008C4727" w:rsidP="008C4727">
            <w:pPr>
              <w:spacing w:before="0" w:after="0"/>
              <w:rPr>
                <w:noProof/>
                <w:sz w:val="20"/>
              </w:rPr>
            </w:pPr>
            <w:r w:rsidRPr="00930237">
              <w:rPr>
                <w:noProof/>
                <w:sz w:val="20"/>
              </w:rPr>
              <w:t xml:space="preserve">1.9. Aktualizēšanas nosacījuma(-u) metode(-es) </w:t>
            </w:r>
          </w:p>
        </w:tc>
        <w:tc>
          <w:tcPr>
            <w:tcW w:w="5670" w:type="dxa"/>
            <w:vAlign w:val="center"/>
          </w:tcPr>
          <w:p w14:paraId="6DC21E09" w14:textId="77777777" w:rsidR="008C4727" w:rsidRPr="00930237" w:rsidRDefault="008C4727" w:rsidP="008C4727">
            <w:pPr>
              <w:spacing w:before="0" w:after="0"/>
              <w:rPr>
                <w:noProof/>
                <w:sz w:val="20"/>
              </w:rPr>
            </w:pPr>
            <w:r w:rsidRPr="00930237">
              <w:rPr>
                <w:noProof/>
                <w:sz w:val="20"/>
              </w:rPr>
              <w:t xml:space="preserve">1) </w:t>
            </w:r>
            <w:r w:rsidRPr="00930237">
              <w:rPr>
                <w:b/>
                <w:noProof/>
                <w:sz w:val="20"/>
              </w:rPr>
              <w:t>64.00 EUR</w:t>
            </w:r>
            <w:r w:rsidRPr="00930237">
              <w:rPr>
                <w:noProof/>
                <w:sz w:val="20"/>
              </w:rPr>
              <w:t xml:space="preserve"> (viena diennakts naktsmītnē Rīgā) – VI nepieciešamības gadījumā veic tirgus izpēti un precizē vienību, ja novērojamas būtiskas izmaksu svārstības (liela inflācija, cenu pieaugums u.c.) , ievērojot 2010.gada 12.oktobra MK noteikumos Nr.969 “Kārtība, kādā atlīdzināmi ar komandējumiem saistītie izdevumi” noteiktos ierobežojumus.</w:t>
            </w:r>
          </w:p>
          <w:p w14:paraId="4B07344F" w14:textId="77777777" w:rsidR="008C4727" w:rsidRPr="00930237" w:rsidRDefault="008C4727" w:rsidP="008C4727">
            <w:pPr>
              <w:spacing w:before="0" w:after="0"/>
              <w:rPr>
                <w:noProof/>
                <w:sz w:val="20"/>
              </w:rPr>
            </w:pPr>
          </w:p>
          <w:p w14:paraId="6E6E8A0C" w14:textId="77777777" w:rsidR="008C4727" w:rsidRPr="00930237" w:rsidRDefault="008C4727" w:rsidP="008C4727">
            <w:pPr>
              <w:spacing w:before="0" w:after="0"/>
              <w:rPr>
                <w:noProof/>
                <w:sz w:val="20"/>
              </w:rPr>
            </w:pPr>
          </w:p>
          <w:p w14:paraId="21B2D5EA" w14:textId="77777777" w:rsidR="008C4727" w:rsidRPr="00930237" w:rsidRDefault="008C4727" w:rsidP="008C4727">
            <w:pPr>
              <w:spacing w:before="0" w:after="0"/>
              <w:rPr>
                <w:noProof/>
                <w:sz w:val="20"/>
              </w:rPr>
            </w:pPr>
            <w:r w:rsidRPr="00930237">
              <w:rPr>
                <w:noProof/>
                <w:sz w:val="20"/>
              </w:rPr>
              <w:t xml:space="preserve">2) </w:t>
            </w:r>
            <w:r w:rsidRPr="00930237">
              <w:rPr>
                <w:b/>
                <w:noProof/>
                <w:sz w:val="20"/>
              </w:rPr>
              <w:t xml:space="preserve">45.00 EUR </w:t>
            </w:r>
            <w:r w:rsidRPr="00930237">
              <w:rPr>
                <w:noProof/>
                <w:sz w:val="20"/>
              </w:rPr>
              <w:t>(viena diennakts naktsmītnē citās apdzīvotās vietās) - VI nepieciešamības gadījumā veic tirgus izpēti un precizē vienību , ja novērojamas būtiskas izmaksu svārstības (liela inflācija, cenu pieaugums u.c.), ievērojot 2010.gada 12.oktobra MK noteikumos Nr.969 “Kārtība, kādā atlīdzināmi ar komandējumiem saistītie izdevumi” noteiktos ierobežojumus.</w:t>
            </w:r>
          </w:p>
          <w:p w14:paraId="64C526AE" w14:textId="77777777" w:rsidR="008C4727" w:rsidRPr="00930237" w:rsidRDefault="008C4727" w:rsidP="008C4727">
            <w:pPr>
              <w:spacing w:before="0" w:after="0"/>
              <w:rPr>
                <w:noProof/>
                <w:sz w:val="20"/>
              </w:rPr>
            </w:pPr>
          </w:p>
          <w:p w14:paraId="7A69D5A5" w14:textId="77777777" w:rsidR="008C4727" w:rsidRPr="00930237" w:rsidRDefault="008C4727" w:rsidP="008C4727">
            <w:pPr>
              <w:spacing w:before="0" w:after="0"/>
              <w:rPr>
                <w:noProof/>
                <w:sz w:val="20"/>
              </w:rPr>
            </w:pPr>
          </w:p>
          <w:p w14:paraId="4936257C" w14:textId="3AF9CDB6" w:rsidR="008C4727" w:rsidRPr="00930237" w:rsidRDefault="008C4727" w:rsidP="008C4727">
            <w:pPr>
              <w:spacing w:before="0" w:after="0"/>
              <w:rPr>
                <w:noProof/>
                <w:sz w:val="20"/>
              </w:rPr>
            </w:pPr>
            <w:r w:rsidRPr="00930237">
              <w:rPr>
                <w:noProof/>
                <w:sz w:val="20"/>
              </w:rPr>
              <w:t xml:space="preserve">3) </w:t>
            </w:r>
            <w:r w:rsidRPr="00930237">
              <w:rPr>
                <w:b/>
                <w:noProof/>
                <w:sz w:val="20"/>
              </w:rPr>
              <w:t>8.00 EUR</w:t>
            </w:r>
            <w:r w:rsidRPr="00930237">
              <w:rPr>
                <w:noProof/>
                <w:sz w:val="20"/>
              </w:rPr>
              <w:t xml:space="preserve"> (dienas naudas apmērs) – ja tiek veiktas izmaiņas</w:t>
            </w:r>
            <w:r w:rsidRPr="00930237">
              <w:t xml:space="preserve"> </w:t>
            </w:r>
            <w:r w:rsidRPr="00930237">
              <w:rPr>
                <w:noProof/>
                <w:sz w:val="20"/>
              </w:rPr>
              <w:t>2010.gada 12.oktobra MK noteikumos Nr.969 “Kārtība, kādā atlīdzināmi ar komandējumiem saistītie izdevumi”</w:t>
            </w:r>
            <w:r>
              <w:rPr>
                <w:rStyle w:val="FootnoteReference"/>
                <w:noProof/>
                <w:sz w:val="20"/>
              </w:rPr>
              <w:footnoteReference w:id="184"/>
            </w:r>
            <w:r w:rsidRPr="00930237">
              <w:rPr>
                <w:noProof/>
                <w:sz w:val="20"/>
              </w:rPr>
              <w:t>.</w:t>
            </w:r>
          </w:p>
        </w:tc>
      </w:tr>
      <w:tr w:rsidR="008C4727" w:rsidRPr="00930237" w14:paraId="7C917773" w14:textId="77777777" w:rsidTr="00710DDA">
        <w:trPr>
          <w:trHeight w:val="300"/>
        </w:trPr>
        <w:tc>
          <w:tcPr>
            <w:tcW w:w="3417" w:type="dxa"/>
            <w:vAlign w:val="center"/>
          </w:tcPr>
          <w:p w14:paraId="28D7FE49" w14:textId="77777777" w:rsidR="008C4727" w:rsidRPr="00930237" w:rsidRDefault="008C4727" w:rsidP="008C4727">
            <w:pPr>
              <w:spacing w:before="0" w:after="0"/>
              <w:rPr>
                <w:noProof/>
                <w:sz w:val="20"/>
              </w:rPr>
            </w:pPr>
            <w:r w:rsidRPr="00930237">
              <w:rPr>
                <w:noProof/>
                <w:sz w:val="20"/>
              </w:rPr>
              <w:t xml:space="preserve">1.10. Mērvienības sasniegšanas verifikācija  </w:t>
            </w:r>
            <w:r>
              <w:rPr>
                <w:noProof/>
                <w:sz w:val="20"/>
              </w:rPr>
              <w:t>[piegāde]</w:t>
            </w:r>
          </w:p>
          <w:p w14:paraId="0142F863" w14:textId="77777777" w:rsidR="008C4727" w:rsidRPr="00930237" w:rsidRDefault="008C4727" w:rsidP="008C4727">
            <w:pPr>
              <w:spacing w:before="0" w:after="0"/>
              <w:rPr>
                <w:noProof/>
                <w:sz w:val="20"/>
              </w:rPr>
            </w:pPr>
            <w:r w:rsidRPr="00930237">
              <w:rPr>
                <w:noProof/>
                <w:sz w:val="20"/>
              </w:rPr>
              <w:t xml:space="preserve">- </w:t>
            </w:r>
            <w:r>
              <w:rPr>
                <w:noProof/>
                <w:sz w:val="20"/>
              </w:rPr>
              <w:t xml:space="preserve">aprakstiet, </w:t>
            </w:r>
            <w:r w:rsidRPr="00930237">
              <w:rPr>
                <w:noProof/>
                <w:sz w:val="20"/>
              </w:rPr>
              <w:t>kāds(-i) dokuments(-i)</w:t>
            </w:r>
            <w:r>
              <w:rPr>
                <w:noProof/>
                <w:sz w:val="20"/>
              </w:rPr>
              <w:t>/ sistēma</w:t>
            </w:r>
            <w:r w:rsidRPr="00930237">
              <w:rPr>
                <w:noProof/>
                <w:sz w:val="20"/>
              </w:rPr>
              <w:t xml:space="preserve"> tiks izmantots(-i), lai verificētu</w:t>
            </w:r>
            <w:r>
              <w:rPr>
                <w:noProof/>
                <w:sz w:val="20"/>
              </w:rPr>
              <w:t xml:space="preserve"> [piegādātu]</w:t>
            </w:r>
            <w:r w:rsidRPr="00930237">
              <w:rPr>
                <w:noProof/>
                <w:sz w:val="20"/>
              </w:rPr>
              <w:t xml:space="preserve"> mērvienības sasniegšanu</w:t>
            </w:r>
          </w:p>
          <w:p w14:paraId="013F947B" w14:textId="77777777" w:rsidR="008C4727" w:rsidRPr="00930237" w:rsidRDefault="008C4727" w:rsidP="008C4727">
            <w:pPr>
              <w:spacing w:before="0" w:after="0"/>
              <w:rPr>
                <w:noProof/>
                <w:sz w:val="20"/>
              </w:rPr>
            </w:pPr>
            <w:r w:rsidRPr="00930237">
              <w:rPr>
                <w:noProof/>
                <w:sz w:val="20"/>
              </w:rPr>
              <w:t xml:space="preserve">- aprakstiet, ko </w:t>
            </w:r>
            <w:r>
              <w:rPr>
                <w:noProof/>
                <w:sz w:val="20"/>
              </w:rPr>
              <w:t xml:space="preserve">un kurš </w:t>
            </w:r>
            <w:r w:rsidRPr="00930237">
              <w:rPr>
                <w:noProof/>
                <w:sz w:val="20"/>
              </w:rPr>
              <w:t xml:space="preserve">pārbaudīs pārvaldības verifikācijas laikā (t. sk. uz vietas) </w:t>
            </w:r>
          </w:p>
          <w:p w14:paraId="7F2FF418" w14:textId="77777777" w:rsidR="008C4727" w:rsidRDefault="008C4727" w:rsidP="008C4727">
            <w:pPr>
              <w:spacing w:before="0" w:after="0"/>
              <w:rPr>
                <w:noProof/>
                <w:sz w:val="20"/>
              </w:rPr>
            </w:pPr>
            <w:r w:rsidRPr="00930237">
              <w:rPr>
                <w:noProof/>
                <w:sz w:val="20"/>
              </w:rPr>
              <w:t xml:space="preserve">- </w:t>
            </w:r>
            <w:r>
              <w:rPr>
                <w:noProof/>
                <w:sz w:val="20"/>
              </w:rPr>
              <w:t>aprakstiet, kādas darības tiks veiktas, lai nodrošinātu saistošo datu/ dokumentu vākšanu un glabāšanu</w:t>
            </w:r>
          </w:p>
          <w:p w14:paraId="46492AB7" w14:textId="6DB43802" w:rsidR="008C4727" w:rsidRPr="00930237" w:rsidRDefault="008C4727" w:rsidP="008C4727">
            <w:pPr>
              <w:spacing w:before="0" w:after="0"/>
              <w:rPr>
                <w:noProof/>
                <w:sz w:val="20"/>
              </w:rPr>
            </w:pPr>
            <w:r>
              <w:rPr>
                <w:noProof/>
                <w:sz w:val="20"/>
              </w:rPr>
              <w:t xml:space="preserve"> </w:t>
            </w:r>
          </w:p>
        </w:tc>
        <w:tc>
          <w:tcPr>
            <w:tcW w:w="5670" w:type="dxa"/>
            <w:vAlign w:val="center"/>
          </w:tcPr>
          <w:p w14:paraId="7FF89714" w14:textId="77777777" w:rsidR="008C4727" w:rsidRPr="00930237" w:rsidRDefault="008C4727" w:rsidP="008C4727">
            <w:pPr>
              <w:spacing w:before="0" w:after="0"/>
              <w:rPr>
                <w:noProof/>
                <w:sz w:val="20"/>
              </w:rPr>
            </w:pPr>
            <w:r w:rsidRPr="00930237">
              <w:rPr>
                <w:noProof/>
                <w:sz w:val="20"/>
              </w:rPr>
              <w:t>Naktsmītņu vienas vienības izmaksu standarta likme tiek piemērota faktisko komandējuma diennakšu skaitam, bet dienas naudas vienas vienības izmaksu standarta likme tiek piemērota atbilstoši faktisko komandējuma dienu skaitam, pamatojoties uz komandējuma rīkojumu, kurā norādīts komandējuma dienu skaits un vieta, uz kuru persona tiek sūtīta komandējumā, un komandējuma mērķis, ja konkrētā SAM MK noteikumos nav noteikts citādāk.</w:t>
            </w:r>
          </w:p>
          <w:p w14:paraId="7EC8C9FB" w14:textId="77777777" w:rsidR="008C4727" w:rsidRPr="00930237" w:rsidRDefault="008C4727" w:rsidP="008C4727">
            <w:pPr>
              <w:spacing w:before="0" w:after="0"/>
              <w:rPr>
                <w:i/>
                <w:noProof/>
                <w:sz w:val="20"/>
              </w:rPr>
            </w:pPr>
          </w:p>
          <w:p w14:paraId="77F99BCA" w14:textId="77777777" w:rsidR="008C4727" w:rsidRPr="00930237" w:rsidRDefault="008C4727" w:rsidP="008C4727">
            <w:pPr>
              <w:spacing w:before="0" w:after="0"/>
              <w:rPr>
                <w:i/>
                <w:noProof/>
                <w:sz w:val="20"/>
              </w:rPr>
            </w:pPr>
            <w:r w:rsidRPr="00930237">
              <w:rPr>
                <w:i/>
                <w:noProof/>
                <w:sz w:val="20"/>
              </w:rPr>
              <w:t>(Komandējuma rīkojums vai līdzvērtīgs dokuments, kurā norādīts komandējuma dienu skaits un vieta, uz kuru darbinieks tiek sūtīts komandējumā, lai varētu identificēt, kura no naktsmītņu vienas vienības izmaksu likmēm ir piemērojama (rīkojumā ir jābūt norādei, vai konkrētajam darbiniekam tiek apmaksāta naktsmītne un vai darbiniekam</w:t>
            </w:r>
            <w:r w:rsidRPr="00930237">
              <w:rPr>
                <w:i/>
              </w:rPr>
              <w:t xml:space="preserve"> </w:t>
            </w:r>
            <w:r w:rsidRPr="00930237">
              <w:rPr>
                <w:i/>
                <w:noProof/>
                <w:sz w:val="20"/>
              </w:rPr>
              <w:t>par konkrēto komandējumu tiek maksāta dienas nauda konkrētā komandējuma ietvaros), datums, personas vārds un uzvārds, atsauce uz projektu, lai sadarbības iestāde var pārliecināties par izdevumu aprēķina korektumu un atbilstību projektam. Nepieciešamības gadījumā finansējuma saņēmējam jāspēj pierādīt, ka ir sasniegts komandējuma mērķis (piemēram, dalība pasākumā, mācībās u.c. aktivitātēs atbilstoši projekta mērķim)).</w:t>
            </w:r>
          </w:p>
          <w:p w14:paraId="3DDA8D18" w14:textId="77777777" w:rsidR="008C4727" w:rsidRPr="00930237" w:rsidRDefault="008C4727" w:rsidP="008C4727">
            <w:pPr>
              <w:spacing w:before="0" w:after="0"/>
              <w:rPr>
                <w:i/>
                <w:noProof/>
                <w:sz w:val="20"/>
              </w:rPr>
            </w:pPr>
          </w:p>
          <w:p w14:paraId="04639D2D" w14:textId="77777777" w:rsidR="008C4727" w:rsidRPr="00930237" w:rsidRDefault="008C4727" w:rsidP="008C4727">
            <w:pPr>
              <w:spacing w:before="0" w:after="0"/>
              <w:rPr>
                <w:noProof/>
                <w:sz w:val="20"/>
              </w:rPr>
            </w:pPr>
            <w:r w:rsidRPr="00930237">
              <w:rPr>
                <w:noProof/>
                <w:sz w:val="20"/>
              </w:rPr>
              <w:t>Visi dokumenti glabājas pie finansējuma saņēmēja un sadarbības iestādei tiek iesniegti tikai rezultātu pamatojošie dokumenti.</w:t>
            </w:r>
          </w:p>
        </w:tc>
      </w:tr>
      <w:tr w:rsidR="008C4727" w:rsidRPr="00930237" w14:paraId="787B408A" w14:textId="77777777" w:rsidTr="00710DDA">
        <w:trPr>
          <w:trHeight w:val="300"/>
        </w:trPr>
        <w:tc>
          <w:tcPr>
            <w:tcW w:w="3417" w:type="dxa"/>
            <w:vAlign w:val="center"/>
          </w:tcPr>
          <w:p w14:paraId="5EF45DEA" w14:textId="77777777" w:rsidR="008C4727" w:rsidRDefault="008C4727" w:rsidP="008C4727">
            <w:pPr>
              <w:spacing w:before="0" w:after="0"/>
              <w:rPr>
                <w:noProof/>
                <w:sz w:val="20"/>
              </w:rPr>
            </w:pPr>
            <w:r w:rsidRPr="00930237">
              <w:rPr>
                <w:noProof/>
                <w:sz w:val="20"/>
              </w:rPr>
              <w:t>1.11. Iespējamais nevēlamais stimuls</w:t>
            </w:r>
            <w:r>
              <w:rPr>
                <w:noProof/>
                <w:sz w:val="20"/>
              </w:rPr>
              <w:t>, tā mitigēšanas pasākumi un paredzētais (noteiktais) riska līmenis (augsts/ vidējs / zems)</w:t>
            </w:r>
          </w:p>
          <w:p w14:paraId="73A06824" w14:textId="5FC3C933" w:rsidR="008C4727" w:rsidRPr="00930237" w:rsidRDefault="008C4727" w:rsidP="008C4727">
            <w:pPr>
              <w:spacing w:before="0" w:after="0"/>
              <w:rPr>
                <w:noProof/>
                <w:sz w:val="20"/>
              </w:rPr>
            </w:pPr>
            <w:r w:rsidRPr="00930237">
              <w:rPr>
                <w:noProof/>
                <w:sz w:val="20"/>
              </w:rPr>
              <w:t xml:space="preserve"> </w:t>
            </w:r>
          </w:p>
        </w:tc>
        <w:tc>
          <w:tcPr>
            <w:tcW w:w="5670" w:type="dxa"/>
            <w:vAlign w:val="center"/>
          </w:tcPr>
          <w:p w14:paraId="6BC82689" w14:textId="77777777" w:rsidR="008C4727" w:rsidRPr="00930237" w:rsidRDefault="008C4727" w:rsidP="008C4727">
            <w:pPr>
              <w:spacing w:before="0" w:after="0"/>
              <w:rPr>
                <w:noProof/>
                <w:sz w:val="20"/>
              </w:rPr>
            </w:pPr>
            <w:r w:rsidRPr="00930237">
              <w:rPr>
                <w:noProof/>
                <w:sz w:val="20"/>
              </w:rPr>
              <w:t>Nav nevēlama stimula vai palielināts riska līmenis, ja piemēro norādītās likmes.</w:t>
            </w:r>
          </w:p>
        </w:tc>
      </w:tr>
      <w:tr w:rsidR="008C4727" w:rsidRPr="00930237" w14:paraId="5303213C" w14:textId="77777777" w:rsidTr="00710DDA">
        <w:trPr>
          <w:trHeight w:val="300"/>
        </w:trPr>
        <w:tc>
          <w:tcPr>
            <w:tcW w:w="3417" w:type="dxa"/>
            <w:vAlign w:val="center"/>
          </w:tcPr>
          <w:p w14:paraId="2B67E831" w14:textId="328EDA18" w:rsidR="008C4727" w:rsidRPr="00930237" w:rsidRDefault="008C4727" w:rsidP="008C4727">
            <w:pPr>
              <w:spacing w:before="0" w:after="0"/>
              <w:rPr>
                <w:noProof/>
                <w:sz w:val="20"/>
              </w:rPr>
            </w:pPr>
            <w:r w:rsidRPr="00930237">
              <w:rPr>
                <w:noProof/>
                <w:sz w:val="20"/>
              </w:rPr>
              <w:t xml:space="preserve">1.12. Kopsumma (valsts un ES), ko paredzēts </w:t>
            </w:r>
            <w:r>
              <w:rPr>
                <w:noProof/>
                <w:sz w:val="20"/>
              </w:rPr>
              <w:t>pieprasīt EK atlīdzināšanai</w:t>
            </w:r>
          </w:p>
        </w:tc>
        <w:tc>
          <w:tcPr>
            <w:tcW w:w="5670" w:type="dxa"/>
            <w:vAlign w:val="center"/>
          </w:tcPr>
          <w:p w14:paraId="4C437598" w14:textId="77777777" w:rsidR="008C4727" w:rsidRPr="00930237" w:rsidRDefault="008C4727" w:rsidP="008C4727">
            <w:pPr>
              <w:spacing w:before="0" w:after="0"/>
              <w:jc w:val="center"/>
              <w:rPr>
                <w:noProof/>
                <w:sz w:val="20"/>
              </w:rPr>
            </w:pPr>
          </w:p>
        </w:tc>
      </w:tr>
    </w:tbl>
    <w:p w14:paraId="3A1ECC8B" w14:textId="77777777" w:rsidR="00AC212B" w:rsidRPr="00930237" w:rsidRDefault="00AC212B" w:rsidP="00AC212B">
      <w:pPr>
        <w:spacing w:before="0" w:after="0"/>
        <w:rPr>
          <w:b/>
          <w:noProof/>
          <w:sz w:val="20"/>
          <w:u w:val="single"/>
        </w:rPr>
      </w:pPr>
    </w:p>
    <w:p w14:paraId="4A99D0DB" w14:textId="77777777" w:rsidR="00AC212B" w:rsidRPr="00930237" w:rsidRDefault="00AC212B" w:rsidP="00AC212B">
      <w:pPr>
        <w:spacing w:before="0" w:after="0"/>
        <w:rPr>
          <w:b/>
          <w:noProof/>
          <w:sz w:val="20"/>
          <w:u w:val="single"/>
        </w:rPr>
      </w:pPr>
    </w:p>
    <w:p w14:paraId="09EE2BAB" w14:textId="77777777" w:rsidR="00AC212B" w:rsidRPr="00930237" w:rsidRDefault="00AC212B" w:rsidP="00AC212B">
      <w:pPr>
        <w:pStyle w:val="Heading4"/>
        <w:numPr>
          <w:ilvl w:val="0"/>
          <w:numId w:val="0"/>
        </w:numPr>
        <w:spacing w:after="0"/>
        <w:rPr>
          <w:b/>
          <w:noProof/>
          <w:sz w:val="20"/>
        </w:rPr>
      </w:pPr>
      <w:r w:rsidRPr="00930237">
        <w:rPr>
          <w:b/>
          <w:noProof/>
          <w:sz w:val="20"/>
        </w:rPr>
        <w:t>C Vienas vienības izmaksu, vienreizējo maksājumu vai vienotu likmju aprēķināšana</w:t>
      </w:r>
    </w:p>
    <w:p w14:paraId="110DE4E3" w14:textId="01A69479" w:rsidR="00AC212B" w:rsidRPr="00930237" w:rsidRDefault="00AC212B" w:rsidP="00AC212B">
      <w:pPr>
        <w:spacing w:before="0" w:after="0"/>
        <w:rPr>
          <w:color w:val="FF0000"/>
        </w:rPr>
      </w:pPr>
      <w:r w:rsidRPr="00930237">
        <w:rPr>
          <w:color w:val="FF0000"/>
        </w:rPr>
        <w:t>[Tiks pa</w:t>
      </w:r>
      <w:r w:rsidR="006F2073">
        <w:rPr>
          <w:color w:val="FF0000"/>
        </w:rPr>
        <w:t>p</w:t>
      </w:r>
      <w:r w:rsidRPr="00930237">
        <w:rPr>
          <w:color w:val="FF0000"/>
        </w:rPr>
        <w:t>ildināts/ aktualizēts]</w:t>
      </w:r>
    </w:p>
    <w:p w14:paraId="5D12A0EB" w14:textId="77777777" w:rsidR="00AC212B" w:rsidRPr="00930237" w:rsidRDefault="00AC212B" w:rsidP="00AC212B">
      <w:pPr>
        <w:spacing w:before="0" w:after="0"/>
        <w:rPr>
          <w:color w:val="FF0000"/>
        </w:rPr>
      </w:pPr>
    </w:p>
    <w:p w14:paraId="2EB44A03" w14:textId="77777777" w:rsidR="00AC212B" w:rsidRPr="00930237" w:rsidRDefault="00AC212B" w:rsidP="00AC212B">
      <w:pPr>
        <w:autoSpaceDE w:val="0"/>
        <w:autoSpaceDN w:val="0"/>
        <w:adjustRightInd w:val="0"/>
        <w:spacing w:before="0" w:after="0"/>
        <w:rPr>
          <w:noProof/>
          <w:sz w:val="20"/>
        </w:rPr>
      </w:pPr>
      <w:r w:rsidRPr="00930237">
        <w:rPr>
          <w:i/>
          <w:noProof/>
          <w:sz w:val="20"/>
        </w:rPr>
        <w:t>1.</w:t>
      </w:r>
      <w:r w:rsidRPr="00930237">
        <w:rPr>
          <w:noProof/>
          <w:sz w:val="20"/>
        </w:rPr>
        <w:t xml:space="preserve"> Vienas vienības izmaksu standarta likmju, vienreizējo maksājumu vai vienotu likmju aprēķināšanai izmantoto datu avots (kas sagatavojis datus; kur dati tiek glabāti; robeždatumi; validācija u. c.)</w:t>
      </w:r>
    </w:p>
    <w:p w14:paraId="55882B7B" w14:textId="77777777" w:rsidR="00AC212B" w:rsidRPr="00930237" w:rsidRDefault="00AC212B" w:rsidP="00AC212B">
      <w:pPr>
        <w:autoSpaceDE w:val="0"/>
        <w:autoSpaceDN w:val="0"/>
        <w:adjustRightInd w:val="0"/>
        <w:spacing w:before="0" w:after="0"/>
        <w:rPr>
          <w:i/>
          <w:noProof/>
          <w:sz w:val="20"/>
        </w:rPr>
      </w:pPr>
    </w:p>
    <w:p w14:paraId="63F8F814" w14:textId="77777777" w:rsidR="00AC212B" w:rsidRPr="00930237" w:rsidRDefault="00AC212B" w:rsidP="00AC212B">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p>
    <w:p w14:paraId="615214C5" w14:textId="77777777" w:rsidR="00AC212B" w:rsidRPr="00930237" w:rsidRDefault="00AC212B" w:rsidP="00AC212B">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r w:rsidRPr="00930237">
        <w:rPr>
          <w:bCs/>
          <w:noProof/>
          <w:sz w:val="20"/>
        </w:rPr>
        <w:t>Noteiktās vienas vienības izmaksu standarta likmes nepārsniedz 2010.gada 12.oktobra MK noteikumu Nr.969 noteiktās normas.</w:t>
      </w:r>
    </w:p>
    <w:p w14:paraId="24F3ACEC" w14:textId="77777777" w:rsidR="00AC212B" w:rsidRPr="00930237" w:rsidRDefault="00AC212B" w:rsidP="00AC212B">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p>
    <w:p w14:paraId="333DAE08" w14:textId="77777777" w:rsidR="00AC212B" w:rsidRPr="00930237" w:rsidRDefault="00AC212B" w:rsidP="00AC212B">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r w:rsidRPr="00930237">
        <w:rPr>
          <w:bCs/>
          <w:noProof/>
          <w:sz w:val="20"/>
        </w:rPr>
        <w:t xml:space="preserve">1) </w:t>
      </w:r>
      <w:r w:rsidRPr="00930237">
        <w:rPr>
          <w:b/>
          <w:bCs/>
          <w:noProof/>
          <w:sz w:val="20"/>
        </w:rPr>
        <w:t>64.00 EUR</w:t>
      </w:r>
      <w:r w:rsidRPr="00930237">
        <w:rPr>
          <w:bCs/>
          <w:noProof/>
          <w:sz w:val="20"/>
        </w:rPr>
        <w:t xml:space="preserve"> (viena diennakts naktsmītnē Rīgā) – VI veic tirgus izpēti un precizē vienību, ievērojot 2010.gada 12.oktobra MK noteikumos Nr.969 noteiktos ierobežojumus.</w:t>
      </w:r>
      <w:r w:rsidRPr="00930237">
        <w:t xml:space="preserve"> </w:t>
      </w:r>
      <w:r w:rsidRPr="00930237">
        <w:rPr>
          <w:bCs/>
          <w:noProof/>
          <w:sz w:val="20"/>
        </w:rPr>
        <w:t>Vienas vienības izmaksu standarta likme par vienu diennakti viesnīcā (naktsmītnē) Rīgā likme pamatota ar cenu aptauju/tirgus izpēti par Rīgā esošajām 3* un 4* viesnīcām.VI veica cenu aptauju/tirgus izpēti, pamatojoties uz Latvijas Viesnīcu un restorānu asociācijas (LVRC) tīmekļa vietnē pieejamo LVRC biedru sarakstu (</w:t>
      </w:r>
      <w:hyperlink r:id="rId186" w:history="1">
        <w:r w:rsidRPr="00930237">
          <w:rPr>
            <w:rStyle w:val="Hyperlink"/>
            <w:bCs/>
            <w:noProof/>
            <w:sz w:val="20"/>
          </w:rPr>
          <w:t>http://www.lvra.lv/lv/dalibnieki/viesnicas.html</w:t>
        </w:r>
      </w:hyperlink>
      <w:r w:rsidRPr="00930237">
        <w:rPr>
          <w:bCs/>
          <w:noProof/>
          <w:sz w:val="20"/>
        </w:rPr>
        <w:t>). Likmes aprēķinā izmantotas 32 viesnīcu cenas par diennakti. Aprēķinā izmantotie dati pieejami VI.</w:t>
      </w:r>
    </w:p>
    <w:p w14:paraId="604A29A5" w14:textId="77777777" w:rsidR="00AC212B" w:rsidRPr="00930237" w:rsidRDefault="00AC212B" w:rsidP="00AC212B">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p>
    <w:p w14:paraId="182C7663" w14:textId="77777777" w:rsidR="00AC212B" w:rsidRPr="00930237" w:rsidRDefault="00AC212B" w:rsidP="00AC212B">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r w:rsidRPr="00930237">
        <w:rPr>
          <w:bCs/>
          <w:noProof/>
          <w:sz w:val="20"/>
        </w:rPr>
        <w:t xml:space="preserve">2) </w:t>
      </w:r>
      <w:r w:rsidRPr="00930237">
        <w:rPr>
          <w:b/>
          <w:bCs/>
          <w:noProof/>
          <w:sz w:val="20"/>
        </w:rPr>
        <w:t xml:space="preserve">45.00 EUR </w:t>
      </w:r>
      <w:r w:rsidRPr="00930237">
        <w:rPr>
          <w:bCs/>
          <w:noProof/>
          <w:sz w:val="20"/>
        </w:rPr>
        <w:t>(viena diennakts naktsmītnē citās apdzīvotās vietās) - VI veic tirgus izpēti un precizē vienību, ievērojot 2010.gada 12.oktobra MK noteikumos Nr.969  noteiktos ierobežojumus.</w:t>
      </w:r>
      <w:r w:rsidRPr="00930237">
        <w:t xml:space="preserve"> </w:t>
      </w:r>
      <w:r w:rsidRPr="00930237">
        <w:rPr>
          <w:bCs/>
          <w:noProof/>
          <w:sz w:val="20"/>
        </w:rPr>
        <w:t xml:space="preserve">Ņemot vērā, ka MK noteikumu Nr. 969 21.3. punktā ir noteiktas maksimālās normas viesnīcu (naktsmītņu) izdevumiem citās apdzīvotās vietās diennaktī, VI veica tirgus izpēti/cenu aptauju republikas pilsētās, ar kurām VI bija noslēgusi deleģēšanas līgumu par integrētu teritoriālo investīciju projektu iesniegumu atlases nodrošināšanu (turpmāk – ITI)  2014 – 2020 gada plānošanas periodā (izņemot Rīgu), kā arī, lai datu izlase aptvertu plašāku valsts teritoriju, papildus tirgus izpēte tika veikta arī par naktsmītņu cenām Cēsīs, Tukumā, Siguldā, Saldū, Talsos, Bauskā, Gulbenē. </w:t>
      </w:r>
    </w:p>
    <w:p w14:paraId="7CC66677" w14:textId="77777777" w:rsidR="00AC212B" w:rsidRPr="00930237" w:rsidRDefault="00AC212B" w:rsidP="00AC212B">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r w:rsidRPr="00930237">
        <w:rPr>
          <w:bCs/>
          <w:noProof/>
          <w:sz w:val="20"/>
        </w:rPr>
        <w:t>ITI pilsētās esošās viesnīcas tika izvēlētas pēc nejaušības principa, ierakstot vienā no pasaules lielākajām viesnīcu rezervācijas platformām (www.booking.com) pilsētas nosaukumu un izvēloties 3* un 4* viesnīcas ar brokastīm. Veicot cenu apkopojumu, tika secināts, ka ITI pilsētās, izņemot Jūrmalu un Daugavpili, nav vairāk par 3 viesnīcām, kuras atbilst izvēlētajiem kritērijiem, līdz ar to veiktais cenu apkopojums un analīze ir pietiekoši visaptveroša. Pārējās iepriekš uzskaitītajās pilsētās e-pasti ar aicinājumu iesniegt informāciju par vienas diennakts cenām naktsmītnē tika nosūtīti uz naktsmītnēm, kuras atbilda iepriekš noteiktajiem kritērijiem. Ņemot vērā, ka naktsmītņu skaits, kas atbilst iepriekš noteiktajiem kritērijiem ir neliels, tad aprēķinā tika iekļauti visi saņemtie cenu piedāvājumi un cenas no tīmekļa vietnēs pieejamajiem cenrāžiem. Jūrmalas 4* viesnīcas netika iekļautas aprēķinā, jo, veicot cenu analīzi, tika secināts, ka cenas ir būtiski lielākas nekā citu ITI pilsētu viesnīcu cenas, līdz ar to, lai datu kopa būtu salīdzināma un netiktu aprēķinā iekļautas viesnīcas ar izteikti augstākām cenām, šīs viesnīcas tika izņemtas no kopējā aprēķina. Likmes aprēķinā izmantotas 36 viesnīcu cenas par diennakti. Aprēķinā izmantotie dati pieejami VI.</w:t>
      </w:r>
    </w:p>
    <w:p w14:paraId="6255CD67" w14:textId="77777777" w:rsidR="00AC212B" w:rsidRPr="00930237" w:rsidRDefault="00AC212B" w:rsidP="00AC212B">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p>
    <w:p w14:paraId="10B5D119" w14:textId="77777777" w:rsidR="00AC212B" w:rsidRPr="00930237" w:rsidRDefault="00AC212B" w:rsidP="00AC212B">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r w:rsidRPr="00930237">
        <w:rPr>
          <w:bCs/>
          <w:noProof/>
          <w:sz w:val="20"/>
        </w:rPr>
        <w:t xml:space="preserve">3) </w:t>
      </w:r>
      <w:r w:rsidRPr="00930237">
        <w:rPr>
          <w:b/>
          <w:bCs/>
          <w:noProof/>
          <w:sz w:val="20"/>
        </w:rPr>
        <w:t>8.00 EUR</w:t>
      </w:r>
      <w:r w:rsidRPr="00930237">
        <w:rPr>
          <w:bCs/>
          <w:noProof/>
          <w:sz w:val="20"/>
        </w:rPr>
        <w:t xml:space="preserve"> (dienas naudas apmērs) – likme noteikta 2010.gada 12.oktobra MK noteikumu Nr.969 21.2.punktā.</w:t>
      </w:r>
    </w:p>
    <w:p w14:paraId="2A23560B" w14:textId="77777777" w:rsidR="00AC212B" w:rsidRPr="00930237" w:rsidRDefault="00AC212B" w:rsidP="00AC212B">
      <w:pPr>
        <w:autoSpaceDE w:val="0"/>
        <w:autoSpaceDN w:val="0"/>
        <w:adjustRightInd w:val="0"/>
        <w:spacing w:before="0" w:after="0"/>
        <w:rPr>
          <w:i/>
          <w:noProof/>
          <w:sz w:val="20"/>
        </w:rPr>
      </w:pPr>
    </w:p>
    <w:p w14:paraId="28A8B30C" w14:textId="77777777" w:rsidR="00AC212B" w:rsidRPr="00930237" w:rsidRDefault="00AC212B" w:rsidP="00AC212B">
      <w:pPr>
        <w:autoSpaceDE w:val="0"/>
        <w:autoSpaceDN w:val="0"/>
        <w:adjustRightInd w:val="0"/>
        <w:spacing w:before="0" w:after="0"/>
        <w:rPr>
          <w:bCs/>
          <w:noProof/>
          <w:sz w:val="20"/>
        </w:rPr>
      </w:pPr>
      <w:r w:rsidRPr="00930237">
        <w:rPr>
          <w:i/>
          <w:noProof/>
          <w:sz w:val="20"/>
        </w:rPr>
        <w:t>2.</w:t>
      </w:r>
      <w:r w:rsidRPr="00930237">
        <w:rPr>
          <w:noProof/>
          <w:sz w:val="20"/>
        </w:rPr>
        <w:t xml:space="preserve"> Norādiet, kāpēc ierosinātā metode un aprēķins atbilst darbības veidam.</w:t>
      </w:r>
    </w:p>
    <w:p w14:paraId="6AE99F09" w14:textId="77777777" w:rsidR="00AC212B" w:rsidRPr="00930237" w:rsidRDefault="00AC212B" w:rsidP="00AC212B">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p>
    <w:p w14:paraId="1F8707A5" w14:textId="1F4DFA33" w:rsidR="00AC212B" w:rsidRPr="00930237" w:rsidRDefault="00AC212B" w:rsidP="00AC212B">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r w:rsidRPr="00930237">
        <w:rPr>
          <w:bCs/>
          <w:noProof/>
          <w:sz w:val="20"/>
        </w:rPr>
        <w:t xml:space="preserve">Noteiktās vienas vienības izmaksu standarta likmes nepārsniedz MK noteikumu Nr.969 un aprēķinos izmantota informācija no Latvijas teritorijā esošajām naltsmītnēm. </w:t>
      </w:r>
      <w:r w:rsidR="006F2073" w:rsidRPr="006F2073">
        <w:rPr>
          <w:bCs/>
          <w:noProof/>
          <w:sz w:val="20"/>
        </w:rPr>
        <w:t>Minētās darbības ir vispiemērotākās konkrēto vienību aprēķināšanai.</w:t>
      </w:r>
    </w:p>
    <w:p w14:paraId="1A3D03A9" w14:textId="77777777" w:rsidR="00AC212B" w:rsidRPr="00930237" w:rsidRDefault="00AC212B" w:rsidP="00AC212B">
      <w:pPr>
        <w:autoSpaceDE w:val="0"/>
        <w:autoSpaceDN w:val="0"/>
        <w:adjustRightInd w:val="0"/>
        <w:spacing w:before="0" w:after="0"/>
        <w:rPr>
          <w:i/>
          <w:noProof/>
          <w:sz w:val="20"/>
        </w:rPr>
      </w:pPr>
    </w:p>
    <w:p w14:paraId="132EFD4C" w14:textId="77777777" w:rsidR="00653ACF" w:rsidRPr="00930237" w:rsidRDefault="00AC212B" w:rsidP="00653ACF">
      <w:pPr>
        <w:autoSpaceDE w:val="0"/>
        <w:autoSpaceDN w:val="0"/>
        <w:adjustRightInd w:val="0"/>
        <w:spacing w:before="0" w:after="0"/>
        <w:rPr>
          <w:bCs/>
          <w:noProof/>
          <w:sz w:val="20"/>
        </w:rPr>
      </w:pPr>
      <w:r w:rsidRPr="00930237">
        <w:rPr>
          <w:i/>
          <w:noProof/>
          <w:sz w:val="20"/>
        </w:rPr>
        <w:t>3.</w:t>
      </w:r>
      <w:r w:rsidRPr="00930237">
        <w:rPr>
          <w:noProof/>
          <w:sz w:val="20"/>
        </w:rPr>
        <w:t xml:space="preserve"> </w:t>
      </w:r>
      <w:r w:rsidR="00653ACF" w:rsidRPr="00930237">
        <w:rPr>
          <w:noProof/>
          <w:sz w:val="20"/>
        </w:rPr>
        <w:t xml:space="preserve">Norādiet, kā tika veikti aprēķini, jo īpaši norādot pieņēmumus, kas veikti attiecībā uz kvalitāti vai daudzumu. Attiecīgā gadījumā izmanto </w:t>
      </w:r>
      <w:r w:rsidR="00653ACF">
        <w:rPr>
          <w:noProof/>
          <w:sz w:val="20"/>
        </w:rPr>
        <w:t xml:space="preserve">nodrošinātos </w:t>
      </w:r>
      <w:r w:rsidR="00653ACF" w:rsidRPr="00930237">
        <w:rPr>
          <w:noProof/>
          <w:sz w:val="20"/>
        </w:rPr>
        <w:t>statistikas datus un kritērijus formātā, kādā tos Komisija var izmantot</w:t>
      </w:r>
      <w:r w:rsidR="00653ACF">
        <w:rPr>
          <w:noProof/>
          <w:sz w:val="20"/>
        </w:rPr>
        <w:t>, ja tādi tiks pieprasīti</w:t>
      </w:r>
      <w:r w:rsidR="00653ACF" w:rsidRPr="00930237">
        <w:rPr>
          <w:noProof/>
          <w:sz w:val="20"/>
        </w:rPr>
        <w:t xml:space="preserve">. </w:t>
      </w:r>
    </w:p>
    <w:p w14:paraId="7F31A37B"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r w:rsidRPr="00930237">
        <w:rPr>
          <w:b/>
          <w:bCs/>
          <w:noProof/>
          <w:sz w:val="20"/>
        </w:rPr>
        <w:t>64.00 EUR</w:t>
      </w:r>
      <w:r w:rsidRPr="00930237">
        <w:rPr>
          <w:bCs/>
          <w:noProof/>
          <w:sz w:val="20"/>
        </w:rPr>
        <w:t xml:space="preserve"> (viena diennakts naktsmītnē Rīgā) - Likmes aprēķinā izmantotas 32 viesnīcu cenas par diennakti. Aprēķinā izmantotie dati pieejami VI.</w:t>
      </w:r>
    </w:p>
    <w:p w14:paraId="2E59AC1B"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p>
    <w:p w14:paraId="412C5C8E"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r w:rsidRPr="00930237">
        <w:rPr>
          <w:bCs/>
          <w:noProof/>
          <w:sz w:val="20"/>
        </w:rPr>
        <w:t xml:space="preserve">2) </w:t>
      </w:r>
      <w:r w:rsidRPr="00930237">
        <w:rPr>
          <w:b/>
          <w:bCs/>
          <w:noProof/>
          <w:sz w:val="20"/>
        </w:rPr>
        <w:t xml:space="preserve">45.00 EUR </w:t>
      </w:r>
      <w:r w:rsidRPr="00930237">
        <w:rPr>
          <w:bCs/>
          <w:noProof/>
          <w:sz w:val="20"/>
        </w:rPr>
        <w:t>(viena diennakts naktsmītnē citās apdzīvotās vietās) - Likmes aprēķinā izmantotas 36 viesnīcu cenas par diennakti. Aprēķinā izmantotie dati pieejami VI.</w:t>
      </w:r>
    </w:p>
    <w:p w14:paraId="5DE777C5"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p>
    <w:p w14:paraId="13EAA5A6"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r w:rsidRPr="00930237">
        <w:rPr>
          <w:bCs/>
          <w:noProof/>
          <w:sz w:val="20"/>
        </w:rPr>
        <w:t xml:space="preserve">3) </w:t>
      </w:r>
      <w:r w:rsidRPr="00930237">
        <w:rPr>
          <w:b/>
          <w:bCs/>
          <w:noProof/>
          <w:sz w:val="20"/>
        </w:rPr>
        <w:t>8.00 EUR</w:t>
      </w:r>
      <w:r w:rsidRPr="00930237">
        <w:rPr>
          <w:bCs/>
          <w:noProof/>
          <w:sz w:val="20"/>
        </w:rPr>
        <w:t xml:space="preserve"> (dienas naudas apmērs) – likme noteikta 2010.gada 12.oktobra MK noteikumu Nr.969 21.2.punktā.</w:t>
      </w:r>
    </w:p>
    <w:p w14:paraId="2BE1860E" w14:textId="77777777" w:rsidR="00AC212B" w:rsidRPr="00930237" w:rsidRDefault="00AC212B" w:rsidP="00AC212B">
      <w:pPr>
        <w:autoSpaceDE w:val="0"/>
        <w:autoSpaceDN w:val="0"/>
        <w:adjustRightInd w:val="0"/>
        <w:spacing w:before="0" w:after="0"/>
        <w:rPr>
          <w:i/>
          <w:noProof/>
          <w:sz w:val="20"/>
        </w:rPr>
      </w:pPr>
    </w:p>
    <w:p w14:paraId="05E09C22" w14:textId="77777777" w:rsidR="00AC212B" w:rsidRPr="00930237" w:rsidRDefault="00AC212B" w:rsidP="00AC212B">
      <w:pPr>
        <w:autoSpaceDE w:val="0"/>
        <w:autoSpaceDN w:val="0"/>
        <w:adjustRightInd w:val="0"/>
        <w:spacing w:before="0" w:after="0"/>
        <w:rPr>
          <w:bCs/>
          <w:noProof/>
          <w:sz w:val="20"/>
        </w:rPr>
      </w:pPr>
      <w:r w:rsidRPr="00930237">
        <w:rPr>
          <w:i/>
          <w:noProof/>
          <w:sz w:val="20"/>
        </w:rPr>
        <w:t>4</w:t>
      </w:r>
      <w:r w:rsidRPr="00930237">
        <w:rPr>
          <w:noProof/>
          <w:sz w:val="20"/>
        </w:rPr>
        <w:t>. Izskaidrojiet, kā Jūs nodrošinājāt, ka vienības izmaksu standarta likmes, fiksētas summas maksājuma vai vienotu likmju aprēķināšanā tika ietverti tikai attiecināmie izdevumi.</w:t>
      </w:r>
    </w:p>
    <w:p w14:paraId="14D27E0D"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p>
    <w:p w14:paraId="6A3A66F3" w14:textId="0AD70E81"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r w:rsidRPr="00930237">
        <w:rPr>
          <w:bCs/>
          <w:noProof/>
          <w:sz w:val="20"/>
        </w:rPr>
        <w:t xml:space="preserve">Naktsmītnes izmaksu pozīcija nesastāv no dažādām izmaksu kategorijām, līdz ar to naktsmītnes un dienas naudas likmes ietver tikai attiecināmās izmaksas. </w:t>
      </w:r>
      <w:r w:rsidR="006F2073" w:rsidRPr="006F2073">
        <w:rPr>
          <w:bCs/>
          <w:noProof/>
          <w:sz w:val="20"/>
        </w:rPr>
        <w:t>Nepastāv risks, ka vienības ietvaros tiek kompensētas izmaksas, kas ir neattiecināmas.</w:t>
      </w:r>
    </w:p>
    <w:p w14:paraId="5D8C7B40"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p>
    <w:p w14:paraId="71613391" w14:textId="77777777" w:rsidR="00AC212B" w:rsidRPr="00930237" w:rsidRDefault="00AC212B" w:rsidP="00AC212B">
      <w:pPr>
        <w:spacing w:before="0" w:after="0"/>
        <w:rPr>
          <w:i/>
          <w:noProof/>
          <w:sz w:val="20"/>
        </w:rPr>
      </w:pPr>
    </w:p>
    <w:p w14:paraId="39044267" w14:textId="77777777" w:rsidR="00AC212B" w:rsidRPr="00930237" w:rsidRDefault="00AC212B" w:rsidP="00AC212B">
      <w:pPr>
        <w:spacing w:before="0" w:after="0"/>
        <w:rPr>
          <w:bCs/>
          <w:noProof/>
          <w:sz w:val="20"/>
        </w:rPr>
      </w:pPr>
      <w:r w:rsidRPr="00930237">
        <w:rPr>
          <w:i/>
          <w:noProof/>
          <w:sz w:val="20"/>
        </w:rPr>
        <w:t>5</w:t>
      </w:r>
      <w:r w:rsidRPr="00930237">
        <w:rPr>
          <w:noProof/>
          <w:sz w:val="20"/>
        </w:rPr>
        <w:t>. Revīzijas iestādes(-žu) veikts aprēķināšanas metodoloģijas un summu novērtējums, un kārtība, kas nodrošina datu verifikāciju, kvalitāti, vākšanu un glabāšanu.</w:t>
      </w:r>
    </w:p>
    <w:p w14:paraId="737445A7"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p>
    <w:p w14:paraId="4EA10882"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rPr>
        <w:t>Revīzijas iestāde veikusi metodikas (likmju) pārbaudi. Netika norādīti būtiski riski no revīzijas iestādes puses.</w:t>
      </w:r>
    </w:p>
    <w:p w14:paraId="12D05259"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p>
    <w:p w14:paraId="5CF3E21E" w14:textId="77777777" w:rsidR="00AC212B" w:rsidRPr="00930237" w:rsidRDefault="00AC212B" w:rsidP="00AC212B">
      <w:pPr>
        <w:spacing w:before="0" w:after="0"/>
        <w:rPr>
          <w:noProof/>
          <w:sz w:val="20"/>
        </w:rPr>
      </w:pPr>
    </w:p>
    <w:p w14:paraId="1336852C" w14:textId="77777777" w:rsidR="00AC212B" w:rsidRPr="00930237" w:rsidRDefault="00AC212B" w:rsidP="00AC212B">
      <w:pPr>
        <w:spacing w:before="0" w:after="0"/>
        <w:jc w:val="left"/>
        <w:rPr>
          <w:noProof/>
          <w:sz w:val="20"/>
        </w:rPr>
      </w:pPr>
    </w:p>
    <w:p w14:paraId="2A4BAD9C" w14:textId="77777777" w:rsidR="00AC212B" w:rsidRPr="00930237" w:rsidRDefault="00AC212B" w:rsidP="00AC212B">
      <w:pPr>
        <w:tabs>
          <w:tab w:val="left" w:pos="3068"/>
        </w:tabs>
        <w:spacing w:before="0" w:after="0"/>
        <w:jc w:val="left"/>
        <w:rPr>
          <w:noProof/>
          <w:sz w:val="20"/>
        </w:rPr>
      </w:pPr>
      <w:r w:rsidRPr="00930237">
        <w:rPr>
          <w:sz w:val="20"/>
        </w:rPr>
        <w:tab/>
      </w:r>
      <w:r w:rsidRPr="00930237">
        <w:rPr>
          <w:noProof/>
          <w:sz w:val="20"/>
        </w:rPr>
        <w:br w:type="page"/>
      </w:r>
    </w:p>
    <w:p w14:paraId="344FF012" w14:textId="77777777" w:rsidR="00AC212B" w:rsidRPr="00930237" w:rsidRDefault="00AC212B" w:rsidP="00AC212B">
      <w:pPr>
        <w:pStyle w:val="Heading3"/>
        <w:numPr>
          <w:ilvl w:val="0"/>
          <w:numId w:val="0"/>
        </w:numPr>
        <w:spacing w:after="0"/>
        <w:rPr>
          <w:b/>
          <w:i w:val="0"/>
          <w:noProof/>
          <w:sz w:val="20"/>
        </w:rPr>
      </w:pPr>
      <w:bookmarkStart w:id="68" w:name="_Toc69125439"/>
      <w:r w:rsidRPr="00930237">
        <w:rPr>
          <w:b/>
          <w:i w:val="0"/>
          <w:noProof/>
          <w:sz w:val="20"/>
        </w:rPr>
        <w:t>2. papildinājums. Finansējums, kas nav saistīts ar izmaksām</w:t>
      </w:r>
      <w:bookmarkEnd w:id="68"/>
    </w:p>
    <w:p w14:paraId="79B9B76E" w14:textId="77777777" w:rsidR="00AC212B" w:rsidRPr="00930237" w:rsidRDefault="00AC212B" w:rsidP="00AC212B">
      <w:pPr>
        <w:spacing w:before="0" w:after="0"/>
        <w:rPr>
          <w:color w:val="FF0000"/>
        </w:rPr>
      </w:pPr>
      <w:r w:rsidRPr="00930237">
        <w:rPr>
          <w:color w:val="FF0000"/>
        </w:rPr>
        <w:t>[</w:t>
      </w:r>
      <w:r w:rsidRPr="00930237">
        <w:rPr>
          <w:color w:val="FF0000"/>
          <w:sz w:val="20"/>
        </w:rPr>
        <w:t>Netiek plānots piemērot KNR 89.pantu</w:t>
      </w:r>
      <w:r w:rsidRPr="00930237">
        <w:rPr>
          <w:color w:val="FF0000"/>
        </w:rPr>
        <w:t>]</w:t>
      </w:r>
    </w:p>
    <w:p w14:paraId="64BEEF72" w14:textId="77777777" w:rsidR="00AC212B" w:rsidRPr="00930237" w:rsidRDefault="00AC212B" w:rsidP="00AC212B">
      <w:pPr>
        <w:spacing w:before="0" w:after="0"/>
        <w:jc w:val="center"/>
        <w:rPr>
          <w:b/>
          <w:noProof/>
          <w:sz w:val="20"/>
          <w:u w:val="single"/>
        </w:rPr>
      </w:pPr>
    </w:p>
    <w:p w14:paraId="0BF4C541" w14:textId="77777777" w:rsidR="00AC212B" w:rsidRPr="00930237" w:rsidRDefault="00AC212B" w:rsidP="00AC212B">
      <w:pPr>
        <w:spacing w:before="0" w:after="0"/>
        <w:jc w:val="center"/>
        <w:rPr>
          <w:b/>
          <w:noProof/>
          <w:sz w:val="20"/>
          <w:u w:val="single"/>
        </w:rPr>
      </w:pPr>
      <w:r w:rsidRPr="00930237">
        <w:rPr>
          <w:b/>
          <w:noProof/>
          <w:sz w:val="20"/>
          <w:u w:val="single"/>
        </w:rPr>
        <w:t>Veidne datu iesniegšanai Komisijā izskatīšanai</w:t>
      </w:r>
    </w:p>
    <w:p w14:paraId="4840041D" w14:textId="77777777" w:rsidR="00AC212B" w:rsidRPr="00930237" w:rsidRDefault="00AC212B" w:rsidP="00AC212B">
      <w:pPr>
        <w:spacing w:before="0" w:after="0"/>
        <w:jc w:val="center"/>
        <w:rPr>
          <w:b/>
          <w:i/>
          <w:noProof/>
          <w:sz w:val="20"/>
        </w:rPr>
      </w:pPr>
      <w:r w:rsidRPr="00930237">
        <w:rPr>
          <w:b/>
          <w:noProof/>
          <w:sz w:val="20"/>
          <w:u w:val="single"/>
        </w:rPr>
        <w:t>(89. pants)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4516"/>
      </w:tblGrid>
      <w:tr w:rsidR="00AC212B" w:rsidRPr="00930237" w14:paraId="6710B386" w14:textId="77777777" w:rsidTr="00653ACF">
        <w:tc>
          <w:tcPr>
            <w:tcW w:w="4546" w:type="dxa"/>
            <w:shd w:val="clear" w:color="auto" w:fill="auto"/>
          </w:tcPr>
          <w:p w14:paraId="5AEA9A89" w14:textId="77777777" w:rsidR="00AC212B" w:rsidRPr="00930237" w:rsidRDefault="00AC212B" w:rsidP="00710DDA">
            <w:pPr>
              <w:spacing w:before="0" w:after="0"/>
              <w:rPr>
                <w:noProof/>
                <w:sz w:val="20"/>
              </w:rPr>
            </w:pPr>
            <w:r w:rsidRPr="00930237">
              <w:rPr>
                <w:noProof/>
                <w:sz w:val="20"/>
              </w:rPr>
              <w:t>Priekšlikuma iesniegšanas datums</w:t>
            </w:r>
          </w:p>
        </w:tc>
        <w:tc>
          <w:tcPr>
            <w:tcW w:w="4516" w:type="dxa"/>
            <w:shd w:val="clear" w:color="auto" w:fill="auto"/>
          </w:tcPr>
          <w:p w14:paraId="753756FA" w14:textId="77777777" w:rsidR="00AC212B" w:rsidRPr="00930237" w:rsidRDefault="00AC212B" w:rsidP="00710DDA">
            <w:pPr>
              <w:spacing w:before="0" w:after="0"/>
              <w:rPr>
                <w:noProof/>
                <w:sz w:val="20"/>
              </w:rPr>
            </w:pPr>
          </w:p>
        </w:tc>
      </w:tr>
    </w:tbl>
    <w:p w14:paraId="3048FF6C" w14:textId="77777777" w:rsidR="00AC212B" w:rsidRPr="00930237" w:rsidRDefault="00AC212B" w:rsidP="00AC212B">
      <w:pPr>
        <w:spacing w:before="0" w:after="0"/>
        <w:jc w:val="center"/>
        <w:rPr>
          <w:rFonts w:eastAsia="Times New Roman"/>
          <w:b/>
          <w:i/>
          <w:iCs/>
          <w:noProof/>
          <w:sz w:val="20"/>
        </w:rPr>
      </w:pPr>
    </w:p>
    <w:p w14:paraId="7B7B90CC" w14:textId="77777777" w:rsidR="00AC212B" w:rsidRPr="00930237" w:rsidRDefault="00AC212B" w:rsidP="00AC212B">
      <w:pPr>
        <w:spacing w:before="0" w:after="0"/>
        <w:rPr>
          <w:b/>
          <w:noProof/>
          <w:sz w:val="20"/>
          <w:u w:val="single"/>
        </w:rPr>
      </w:pPr>
    </w:p>
    <w:p w14:paraId="4E6ED5A6" w14:textId="77777777" w:rsidR="00AC212B" w:rsidRPr="00930237" w:rsidRDefault="00AC212B" w:rsidP="00AC212B">
      <w:pPr>
        <w:spacing w:before="0" w:after="0"/>
        <w:rPr>
          <w:sz w:val="20"/>
        </w:rPr>
      </w:pPr>
    </w:p>
    <w:p w14:paraId="0D071EBE" w14:textId="77777777" w:rsidR="00AC212B" w:rsidRPr="00930237" w:rsidRDefault="00AC212B" w:rsidP="00AC212B">
      <w:pPr>
        <w:spacing w:before="0" w:after="0"/>
        <w:rPr>
          <w:sz w:val="20"/>
        </w:rPr>
      </w:pPr>
    </w:p>
    <w:p w14:paraId="653325E7" w14:textId="77777777" w:rsidR="00AC212B" w:rsidRPr="00930237" w:rsidRDefault="00AC212B" w:rsidP="00AC212B">
      <w:pPr>
        <w:spacing w:before="0" w:after="0"/>
        <w:rPr>
          <w:sz w:val="20"/>
        </w:rPr>
      </w:pPr>
    </w:p>
    <w:p w14:paraId="764208AC" w14:textId="77777777" w:rsidR="00AC212B" w:rsidRPr="00930237" w:rsidRDefault="00AC212B" w:rsidP="00AC212B">
      <w:pPr>
        <w:spacing w:before="0" w:after="0"/>
        <w:rPr>
          <w:sz w:val="20"/>
        </w:rPr>
      </w:pPr>
    </w:p>
    <w:p w14:paraId="5E53B50E" w14:textId="77777777" w:rsidR="00AC212B" w:rsidRPr="00930237" w:rsidRDefault="00AC212B" w:rsidP="00AC212B">
      <w:pPr>
        <w:spacing w:before="0" w:after="0"/>
        <w:rPr>
          <w:sz w:val="20"/>
        </w:rPr>
        <w:sectPr w:rsidR="00AC212B" w:rsidRPr="00930237" w:rsidSect="000266D9">
          <w:type w:val="continuous"/>
          <w:pgSz w:w="11906" w:h="16838"/>
          <w:pgMar w:top="1417" w:right="1417" w:bottom="1417" w:left="1417" w:header="708" w:footer="708" w:gutter="0"/>
          <w:cols w:space="708"/>
          <w:docGrid w:linePitch="360"/>
        </w:sectPr>
      </w:pPr>
    </w:p>
    <w:p w14:paraId="4C55BC9E" w14:textId="77777777" w:rsidR="00AC212B" w:rsidRPr="00930237" w:rsidRDefault="00AC212B" w:rsidP="00AC212B">
      <w:pPr>
        <w:pStyle w:val="Heading4"/>
        <w:numPr>
          <w:ilvl w:val="0"/>
          <w:numId w:val="0"/>
        </w:numPr>
        <w:spacing w:after="0"/>
        <w:rPr>
          <w:b/>
          <w:noProof/>
          <w:sz w:val="20"/>
        </w:rPr>
      </w:pPr>
      <w:r w:rsidRPr="00930237">
        <w:rPr>
          <w:b/>
          <w:noProof/>
          <w:sz w:val="20"/>
        </w:rPr>
        <w:t>A.</w:t>
      </w:r>
      <w:r w:rsidRPr="00930237">
        <w:rPr>
          <w:b/>
          <w:noProof/>
          <w:sz w:val="20"/>
        </w:rPr>
        <w:tab/>
        <w:t xml:space="preserve">Galveno elementu kopsavilkums </w:t>
      </w:r>
    </w:p>
    <w:p w14:paraId="1031CDC5" w14:textId="77777777" w:rsidR="00AC212B" w:rsidRPr="00930237" w:rsidRDefault="00AC212B" w:rsidP="00AC212B">
      <w:pPr>
        <w:spacing w:before="0" w:after="0"/>
        <w:rPr>
          <w:color w:val="FF0000"/>
        </w:rPr>
      </w:pPr>
      <w:r w:rsidRPr="00930237">
        <w:rPr>
          <w:color w:val="FF0000"/>
        </w:rPr>
        <w:t>[</w:t>
      </w:r>
      <w:r w:rsidRPr="00930237">
        <w:rPr>
          <w:color w:val="FF0000"/>
          <w:sz w:val="20"/>
        </w:rPr>
        <w:t>Netiek plānots piemērot KNR 89.pantu</w:t>
      </w:r>
      <w:r w:rsidRPr="00930237">
        <w:rPr>
          <w:color w:val="FF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739"/>
        <w:gridCol w:w="1094"/>
        <w:gridCol w:w="940"/>
        <w:gridCol w:w="1570"/>
        <w:gridCol w:w="1027"/>
        <w:gridCol w:w="1327"/>
        <w:gridCol w:w="1551"/>
        <w:gridCol w:w="898"/>
        <w:gridCol w:w="929"/>
        <w:gridCol w:w="1551"/>
        <w:gridCol w:w="1318"/>
      </w:tblGrid>
      <w:tr w:rsidR="00653ACF" w:rsidRPr="00930237" w14:paraId="146FDE4D" w14:textId="5C7CD2F4" w:rsidTr="00653ACF">
        <w:tc>
          <w:tcPr>
            <w:tcW w:w="375" w:type="pct"/>
          </w:tcPr>
          <w:p w14:paraId="61AFC645" w14:textId="77777777" w:rsidR="00653ACF" w:rsidRPr="00930237" w:rsidRDefault="00653ACF" w:rsidP="00710DDA">
            <w:pPr>
              <w:spacing w:before="0" w:after="0"/>
              <w:jc w:val="center"/>
              <w:rPr>
                <w:b/>
                <w:noProof/>
                <w:sz w:val="20"/>
              </w:rPr>
            </w:pPr>
            <w:r w:rsidRPr="00930237">
              <w:rPr>
                <w:b/>
                <w:noProof/>
                <w:sz w:val="20"/>
              </w:rPr>
              <w:t xml:space="preserve">Prioritāte </w:t>
            </w:r>
          </w:p>
        </w:tc>
        <w:tc>
          <w:tcPr>
            <w:tcW w:w="264" w:type="pct"/>
          </w:tcPr>
          <w:p w14:paraId="2F563EC0" w14:textId="77777777" w:rsidR="00653ACF" w:rsidRPr="00930237" w:rsidRDefault="00653ACF" w:rsidP="00710DDA">
            <w:pPr>
              <w:spacing w:before="0" w:after="0"/>
              <w:jc w:val="center"/>
              <w:rPr>
                <w:b/>
                <w:noProof/>
                <w:sz w:val="20"/>
              </w:rPr>
            </w:pPr>
            <w:r w:rsidRPr="00930237">
              <w:rPr>
                <w:b/>
                <w:noProof/>
                <w:sz w:val="20"/>
              </w:rPr>
              <w:t>Fonds</w:t>
            </w:r>
          </w:p>
        </w:tc>
        <w:tc>
          <w:tcPr>
            <w:tcW w:w="391" w:type="pct"/>
          </w:tcPr>
          <w:p w14:paraId="1AB224FE" w14:textId="77777777" w:rsidR="00653ACF" w:rsidRPr="00930237" w:rsidRDefault="00653ACF" w:rsidP="00710DDA">
            <w:pPr>
              <w:spacing w:before="0" w:after="0"/>
              <w:jc w:val="center"/>
              <w:rPr>
                <w:b/>
                <w:noProof/>
                <w:sz w:val="20"/>
              </w:rPr>
            </w:pPr>
            <w:r w:rsidRPr="00930237">
              <w:rPr>
                <w:b/>
                <w:noProof/>
                <w:sz w:val="20"/>
              </w:rPr>
              <w:t>Reģiona kategorija</w:t>
            </w:r>
          </w:p>
        </w:tc>
        <w:tc>
          <w:tcPr>
            <w:tcW w:w="336" w:type="pct"/>
          </w:tcPr>
          <w:p w14:paraId="3F41E490" w14:textId="77777777" w:rsidR="00653ACF" w:rsidRPr="00930237" w:rsidRDefault="00653ACF" w:rsidP="00710DDA">
            <w:pPr>
              <w:spacing w:before="0" w:after="0"/>
              <w:jc w:val="center"/>
              <w:rPr>
                <w:b/>
                <w:noProof/>
                <w:sz w:val="20"/>
              </w:rPr>
            </w:pPr>
            <w:r w:rsidRPr="00930237">
              <w:rPr>
                <w:b/>
                <w:noProof/>
                <w:sz w:val="20"/>
              </w:rPr>
              <w:t xml:space="preserve">SAM </w:t>
            </w:r>
          </w:p>
        </w:tc>
        <w:tc>
          <w:tcPr>
            <w:tcW w:w="561" w:type="pct"/>
          </w:tcPr>
          <w:p w14:paraId="5DEA3C4E" w14:textId="77777777" w:rsidR="00653ACF" w:rsidRPr="00930237" w:rsidRDefault="00653ACF" w:rsidP="00710DDA">
            <w:pPr>
              <w:spacing w:before="0" w:after="0"/>
              <w:jc w:val="center"/>
              <w:rPr>
                <w:b/>
                <w:noProof/>
                <w:sz w:val="20"/>
              </w:rPr>
            </w:pPr>
            <w:r w:rsidRPr="00930237">
              <w:rPr>
                <w:b/>
                <w:i/>
                <w:noProof/>
                <w:sz w:val="20"/>
              </w:rPr>
              <w:t>Summa, kuru sedz no finansējuma, kas nav saistīts ar izmaksām</w:t>
            </w:r>
          </w:p>
        </w:tc>
        <w:tc>
          <w:tcPr>
            <w:tcW w:w="841" w:type="pct"/>
            <w:gridSpan w:val="2"/>
            <w:shd w:val="clear" w:color="auto" w:fill="auto"/>
          </w:tcPr>
          <w:p w14:paraId="7BBB8492" w14:textId="6D5BF913" w:rsidR="00653ACF" w:rsidRPr="00930237" w:rsidRDefault="00653ACF" w:rsidP="00710DDA">
            <w:pPr>
              <w:spacing w:before="0" w:after="0"/>
              <w:jc w:val="center"/>
              <w:rPr>
                <w:b/>
                <w:noProof/>
                <w:sz w:val="20"/>
              </w:rPr>
            </w:pPr>
            <w:r>
              <w:rPr>
                <w:b/>
                <w:noProof/>
                <w:sz w:val="20"/>
              </w:rPr>
              <w:t>Aptvertie d</w:t>
            </w:r>
            <w:r w:rsidRPr="00930237">
              <w:rPr>
                <w:b/>
                <w:noProof/>
                <w:sz w:val="20"/>
              </w:rPr>
              <w:t>arbības veids (-i)</w:t>
            </w:r>
          </w:p>
        </w:tc>
        <w:tc>
          <w:tcPr>
            <w:tcW w:w="554" w:type="pct"/>
          </w:tcPr>
          <w:p w14:paraId="0A3E0507" w14:textId="26ADFC79" w:rsidR="00653ACF" w:rsidRPr="00930237" w:rsidRDefault="00653ACF" w:rsidP="00710DDA">
            <w:pPr>
              <w:spacing w:before="0" w:after="0"/>
              <w:jc w:val="center"/>
              <w:rPr>
                <w:b/>
                <w:noProof/>
                <w:sz w:val="20"/>
              </w:rPr>
            </w:pPr>
            <w:r w:rsidRPr="00930237">
              <w:rPr>
                <w:b/>
                <w:noProof/>
                <w:sz w:val="20"/>
              </w:rPr>
              <w:t>Izpildāmie nosacījumi/ gūstamie rezultāti</w:t>
            </w:r>
            <w:r>
              <w:rPr>
                <w:b/>
                <w:noProof/>
                <w:sz w:val="20"/>
              </w:rPr>
              <w:t xml:space="preserve"> saistīti ar EK pieprasāmajām atmaksām</w:t>
            </w:r>
          </w:p>
        </w:tc>
        <w:tc>
          <w:tcPr>
            <w:tcW w:w="653" w:type="pct"/>
            <w:gridSpan w:val="2"/>
            <w:shd w:val="clear" w:color="auto" w:fill="auto"/>
          </w:tcPr>
          <w:p w14:paraId="08538EA0" w14:textId="6ACEA8BE" w:rsidR="00653ACF" w:rsidRPr="00930237" w:rsidRDefault="00653ACF" w:rsidP="00653ACF">
            <w:pPr>
              <w:spacing w:before="0" w:after="0"/>
              <w:jc w:val="center"/>
              <w:rPr>
                <w:b/>
                <w:noProof/>
                <w:sz w:val="20"/>
              </w:rPr>
            </w:pPr>
            <w:r>
              <w:rPr>
                <w:b/>
                <w:noProof/>
                <w:sz w:val="20"/>
              </w:rPr>
              <w:t>Rādītājs</w:t>
            </w:r>
          </w:p>
        </w:tc>
        <w:tc>
          <w:tcPr>
            <w:tcW w:w="554" w:type="pct"/>
            <w:shd w:val="clear" w:color="auto" w:fill="auto"/>
          </w:tcPr>
          <w:p w14:paraId="089342A1" w14:textId="628B05E8" w:rsidR="00653ACF" w:rsidRPr="00930237" w:rsidRDefault="00653ACF" w:rsidP="00710DDA">
            <w:pPr>
              <w:spacing w:before="0" w:after="0"/>
              <w:jc w:val="center"/>
              <w:rPr>
                <w:b/>
                <w:noProof/>
                <w:sz w:val="20"/>
              </w:rPr>
            </w:pPr>
            <w:r w:rsidRPr="00930237">
              <w:rPr>
                <w:b/>
                <w:noProof/>
                <w:sz w:val="20"/>
              </w:rPr>
              <w:t>Rādītāja mērvienība</w:t>
            </w:r>
            <w:r>
              <w:rPr>
                <w:b/>
                <w:noProof/>
                <w:sz w:val="20"/>
              </w:rPr>
              <w:t xml:space="preserve"> izpildāmajiem nosacījumiem resultātu sasniegšanai, kas saistīti ar EK pieprasāmajām atmaksām</w:t>
            </w:r>
          </w:p>
        </w:tc>
        <w:tc>
          <w:tcPr>
            <w:tcW w:w="471" w:type="pct"/>
          </w:tcPr>
          <w:p w14:paraId="3BB5CC88" w14:textId="7F47993D" w:rsidR="00653ACF" w:rsidRPr="00930237" w:rsidRDefault="00653ACF" w:rsidP="00653ACF">
            <w:pPr>
              <w:spacing w:before="0" w:after="0"/>
              <w:jc w:val="center"/>
              <w:rPr>
                <w:b/>
                <w:noProof/>
                <w:sz w:val="20"/>
              </w:rPr>
            </w:pPr>
            <w:r>
              <w:rPr>
                <w:b/>
                <w:noProof/>
                <w:sz w:val="20"/>
              </w:rPr>
              <w:t>Pārskatītā finansējuma saņēmēja izmantotā atmaksas veida metode</w:t>
            </w:r>
          </w:p>
        </w:tc>
      </w:tr>
      <w:tr w:rsidR="00653ACF" w:rsidRPr="00930237" w14:paraId="65BFA61A" w14:textId="48745AD7" w:rsidTr="00653ACF">
        <w:tc>
          <w:tcPr>
            <w:tcW w:w="375" w:type="pct"/>
          </w:tcPr>
          <w:p w14:paraId="22AFF236" w14:textId="77777777" w:rsidR="00653ACF" w:rsidRPr="00930237" w:rsidRDefault="00653ACF" w:rsidP="00710DDA">
            <w:pPr>
              <w:spacing w:before="0" w:after="0"/>
              <w:jc w:val="center"/>
              <w:rPr>
                <w:noProof/>
                <w:sz w:val="20"/>
              </w:rPr>
            </w:pPr>
          </w:p>
        </w:tc>
        <w:tc>
          <w:tcPr>
            <w:tcW w:w="264" w:type="pct"/>
          </w:tcPr>
          <w:p w14:paraId="52EBCAF9" w14:textId="77777777" w:rsidR="00653ACF" w:rsidRPr="00930237" w:rsidRDefault="00653ACF" w:rsidP="00710DDA">
            <w:pPr>
              <w:spacing w:before="0" w:after="0"/>
              <w:jc w:val="center"/>
              <w:rPr>
                <w:noProof/>
                <w:sz w:val="20"/>
              </w:rPr>
            </w:pPr>
          </w:p>
        </w:tc>
        <w:tc>
          <w:tcPr>
            <w:tcW w:w="391" w:type="pct"/>
          </w:tcPr>
          <w:p w14:paraId="3AD685A1" w14:textId="77777777" w:rsidR="00653ACF" w:rsidRPr="00930237" w:rsidRDefault="00653ACF" w:rsidP="00710DDA">
            <w:pPr>
              <w:spacing w:before="0" w:after="0"/>
              <w:jc w:val="center"/>
              <w:rPr>
                <w:noProof/>
                <w:sz w:val="20"/>
              </w:rPr>
            </w:pPr>
          </w:p>
        </w:tc>
        <w:tc>
          <w:tcPr>
            <w:tcW w:w="336" w:type="pct"/>
          </w:tcPr>
          <w:p w14:paraId="52D13CCA" w14:textId="77777777" w:rsidR="00653ACF" w:rsidRPr="00930237" w:rsidRDefault="00653ACF" w:rsidP="00710DDA">
            <w:pPr>
              <w:spacing w:before="0" w:after="0"/>
              <w:jc w:val="center"/>
              <w:rPr>
                <w:noProof/>
                <w:sz w:val="20"/>
              </w:rPr>
            </w:pPr>
          </w:p>
        </w:tc>
        <w:tc>
          <w:tcPr>
            <w:tcW w:w="561" w:type="pct"/>
          </w:tcPr>
          <w:p w14:paraId="40160047" w14:textId="77777777" w:rsidR="00653ACF" w:rsidRPr="00930237" w:rsidRDefault="00653ACF" w:rsidP="00710DDA">
            <w:pPr>
              <w:spacing w:before="0" w:after="0"/>
              <w:jc w:val="center"/>
              <w:rPr>
                <w:noProof/>
                <w:sz w:val="20"/>
              </w:rPr>
            </w:pPr>
          </w:p>
        </w:tc>
        <w:tc>
          <w:tcPr>
            <w:tcW w:w="367" w:type="pct"/>
            <w:shd w:val="clear" w:color="auto" w:fill="auto"/>
          </w:tcPr>
          <w:p w14:paraId="2715770A" w14:textId="65308215" w:rsidR="00653ACF" w:rsidRPr="00930237" w:rsidRDefault="00653ACF" w:rsidP="00710DDA">
            <w:pPr>
              <w:spacing w:before="0" w:after="0"/>
              <w:jc w:val="center"/>
              <w:rPr>
                <w:noProof/>
                <w:sz w:val="20"/>
              </w:rPr>
            </w:pPr>
            <w:r>
              <w:rPr>
                <w:noProof/>
                <w:sz w:val="20"/>
              </w:rPr>
              <w:t>Kods</w:t>
            </w:r>
            <w:r>
              <w:rPr>
                <w:rStyle w:val="FootnoteReference"/>
                <w:noProof/>
                <w:sz w:val="20"/>
              </w:rPr>
              <w:footnoteReference w:id="185"/>
            </w:r>
          </w:p>
        </w:tc>
        <w:tc>
          <w:tcPr>
            <w:tcW w:w="474" w:type="pct"/>
          </w:tcPr>
          <w:p w14:paraId="36B3FED3" w14:textId="7D0ECA2C" w:rsidR="00653ACF" w:rsidRPr="00930237" w:rsidRDefault="00653ACF" w:rsidP="00710DDA">
            <w:pPr>
              <w:spacing w:before="0" w:after="0"/>
              <w:jc w:val="center"/>
              <w:rPr>
                <w:noProof/>
                <w:sz w:val="20"/>
              </w:rPr>
            </w:pPr>
            <w:r>
              <w:rPr>
                <w:noProof/>
                <w:sz w:val="20"/>
              </w:rPr>
              <w:t>Apraksts</w:t>
            </w:r>
          </w:p>
        </w:tc>
        <w:tc>
          <w:tcPr>
            <w:tcW w:w="554" w:type="pct"/>
          </w:tcPr>
          <w:p w14:paraId="7D848CE7" w14:textId="63D9D457" w:rsidR="00653ACF" w:rsidRPr="00930237" w:rsidRDefault="00653ACF" w:rsidP="00710DDA">
            <w:pPr>
              <w:spacing w:before="0" w:after="0"/>
              <w:jc w:val="center"/>
              <w:rPr>
                <w:noProof/>
                <w:sz w:val="20"/>
              </w:rPr>
            </w:pPr>
          </w:p>
        </w:tc>
        <w:tc>
          <w:tcPr>
            <w:tcW w:w="321" w:type="pct"/>
            <w:shd w:val="clear" w:color="auto" w:fill="auto"/>
          </w:tcPr>
          <w:p w14:paraId="611E64B0" w14:textId="0DDCCA28" w:rsidR="00653ACF" w:rsidRPr="00930237" w:rsidRDefault="00653ACF" w:rsidP="00710DDA">
            <w:pPr>
              <w:spacing w:before="0" w:after="0"/>
              <w:jc w:val="center"/>
              <w:rPr>
                <w:noProof/>
                <w:sz w:val="20"/>
              </w:rPr>
            </w:pPr>
            <w:r>
              <w:rPr>
                <w:noProof/>
                <w:sz w:val="20"/>
              </w:rPr>
              <w:t>Kods</w:t>
            </w:r>
            <w:r>
              <w:rPr>
                <w:rStyle w:val="FootnoteReference"/>
                <w:noProof/>
                <w:sz w:val="20"/>
              </w:rPr>
              <w:footnoteReference w:id="186"/>
            </w:r>
          </w:p>
        </w:tc>
        <w:tc>
          <w:tcPr>
            <w:tcW w:w="332" w:type="pct"/>
          </w:tcPr>
          <w:p w14:paraId="6609ADFE" w14:textId="77777777" w:rsidR="00653ACF" w:rsidRPr="00930237" w:rsidRDefault="00653ACF" w:rsidP="00710DDA">
            <w:pPr>
              <w:spacing w:before="0" w:after="0"/>
              <w:jc w:val="center"/>
              <w:rPr>
                <w:noProof/>
                <w:sz w:val="20"/>
              </w:rPr>
            </w:pPr>
            <w:r w:rsidRPr="00930237">
              <w:rPr>
                <w:noProof/>
                <w:sz w:val="20"/>
              </w:rPr>
              <w:t>Apraksts</w:t>
            </w:r>
          </w:p>
        </w:tc>
        <w:tc>
          <w:tcPr>
            <w:tcW w:w="554" w:type="pct"/>
            <w:shd w:val="clear" w:color="auto" w:fill="auto"/>
          </w:tcPr>
          <w:p w14:paraId="1C64E55B" w14:textId="77777777" w:rsidR="00653ACF" w:rsidRPr="00930237" w:rsidRDefault="00653ACF" w:rsidP="00710DDA">
            <w:pPr>
              <w:spacing w:before="0" w:after="0"/>
              <w:jc w:val="center"/>
              <w:rPr>
                <w:noProof/>
                <w:sz w:val="20"/>
              </w:rPr>
            </w:pPr>
          </w:p>
        </w:tc>
        <w:tc>
          <w:tcPr>
            <w:tcW w:w="471" w:type="pct"/>
          </w:tcPr>
          <w:p w14:paraId="32CDD75A" w14:textId="77777777" w:rsidR="00653ACF" w:rsidRPr="00930237" w:rsidRDefault="00653ACF" w:rsidP="00710DDA">
            <w:pPr>
              <w:spacing w:before="0" w:after="0"/>
              <w:jc w:val="center"/>
              <w:rPr>
                <w:noProof/>
                <w:sz w:val="20"/>
              </w:rPr>
            </w:pPr>
          </w:p>
        </w:tc>
      </w:tr>
      <w:tr w:rsidR="00653ACF" w:rsidRPr="00930237" w14:paraId="3EF21D0D" w14:textId="1DCB6B18" w:rsidTr="00653ACF">
        <w:tc>
          <w:tcPr>
            <w:tcW w:w="375" w:type="pct"/>
          </w:tcPr>
          <w:p w14:paraId="04542FAE" w14:textId="77777777" w:rsidR="00653ACF" w:rsidRPr="00930237" w:rsidRDefault="00653ACF" w:rsidP="00710DDA">
            <w:pPr>
              <w:spacing w:before="0" w:after="0"/>
              <w:jc w:val="center"/>
              <w:rPr>
                <w:b/>
                <w:i/>
                <w:noProof/>
                <w:sz w:val="20"/>
              </w:rPr>
            </w:pPr>
          </w:p>
        </w:tc>
        <w:tc>
          <w:tcPr>
            <w:tcW w:w="264" w:type="pct"/>
          </w:tcPr>
          <w:p w14:paraId="2CB5DFD5" w14:textId="77777777" w:rsidR="00653ACF" w:rsidRPr="00930237" w:rsidRDefault="00653ACF" w:rsidP="00710DDA">
            <w:pPr>
              <w:spacing w:before="0" w:after="0"/>
              <w:jc w:val="center"/>
              <w:rPr>
                <w:b/>
                <w:i/>
                <w:noProof/>
                <w:sz w:val="20"/>
              </w:rPr>
            </w:pPr>
          </w:p>
        </w:tc>
        <w:tc>
          <w:tcPr>
            <w:tcW w:w="391" w:type="pct"/>
          </w:tcPr>
          <w:p w14:paraId="5858BC01" w14:textId="77777777" w:rsidR="00653ACF" w:rsidRPr="00930237" w:rsidRDefault="00653ACF" w:rsidP="00710DDA">
            <w:pPr>
              <w:spacing w:before="0" w:after="0"/>
              <w:jc w:val="center"/>
              <w:rPr>
                <w:b/>
                <w:i/>
                <w:noProof/>
                <w:sz w:val="20"/>
              </w:rPr>
            </w:pPr>
          </w:p>
        </w:tc>
        <w:tc>
          <w:tcPr>
            <w:tcW w:w="336" w:type="pct"/>
          </w:tcPr>
          <w:p w14:paraId="5F315318" w14:textId="77777777" w:rsidR="00653ACF" w:rsidRPr="00930237" w:rsidRDefault="00653ACF" w:rsidP="00710DDA">
            <w:pPr>
              <w:spacing w:before="0" w:after="0"/>
              <w:jc w:val="center"/>
              <w:rPr>
                <w:b/>
                <w:i/>
                <w:noProof/>
                <w:sz w:val="20"/>
              </w:rPr>
            </w:pPr>
          </w:p>
        </w:tc>
        <w:tc>
          <w:tcPr>
            <w:tcW w:w="561" w:type="pct"/>
          </w:tcPr>
          <w:p w14:paraId="024DACAB" w14:textId="77777777" w:rsidR="00653ACF" w:rsidRPr="00930237" w:rsidRDefault="00653ACF" w:rsidP="00710DDA">
            <w:pPr>
              <w:spacing w:before="0" w:after="0"/>
              <w:jc w:val="center"/>
              <w:rPr>
                <w:b/>
                <w:i/>
                <w:noProof/>
                <w:sz w:val="20"/>
              </w:rPr>
            </w:pPr>
          </w:p>
        </w:tc>
        <w:tc>
          <w:tcPr>
            <w:tcW w:w="367" w:type="pct"/>
            <w:shd w:val="clear" w:color="auto" w:fill="auto"/>
          </w:tcPr>
          <w:p w14:paraId="78E5D3A4" w14:textId="77777777" w:rsidR="00653ACF" w:rsidRPr="00930237" w:rsidRDefault="00653ACF" w:rsidP="00710DDA">
            <w:pPr>
              <w:spacing w:before="0" w:after="0"/>
              <w:jc w:val="center"/>
              <w:rPr>
                <w:i/>
                <w:noProof/>
                <w:sz w:val="20"/>
              </w:rPr>
            </w:pPr>
          </w:p>
        </w:tc>
        <w:tc>
          <w:tcPr>
            <w:tcW w:w="474" w:type="pct"/>
          </w:tcPr>
          <w:p w14:paraId="68D37D44" w14:textId="77777777" w:rsidR="00653ACF" w:rsidRPr="00930237" w:rsidRDefault="00653ACF" w:rsidP="00710DDA">
            <w:pPr>
              <w:spacing w:before="0" w:after="0"/>
              <w:jc w:val="center"/>
              <w:rPr>
                <w:i/>
                <w:noProof/>
                <w:sz w:val="20"/>
              </w:rPr>
            </w:pPr>
          </w:p>
        </w:tc>
        <w:tc>
          <w:tcPr>
            <w:tcW w:w="554" w:type="pct"/>
          </w:tcPr>
          <w:p w14:paraId="23F52B46" w14:textId="3243A9BD" w:rsidR="00653ACF" w:rsidRPr="00930237" w:rsidRDefault="00653ACF" w:rsidP="00710DDA">
            <w:pPr>
              <w:spacing w:before="0" w:after="0"/>
              <w:jc w:val="center"/>
              <w:rPr>
                <w:i/>
                <w:noProof/>
                <w:sz w:val="20"/>
              </w:rPr>
            </w:pPr>
          </w:p>
        </w:tc>
        <w:tc>
          <w:tcPr>
            <w:tcW w:w="321" w:type="pct"/>
            <w:shd w:val="clear" w:color="auto" w:fill="auto"/>
          </w:tcPr>
          <w:p w14:paraId="0F89EE2E" w14:textId="77777777" w:rsidR="00653ACF" w:rsidRPr="00930237" w:rsidRDefault="00653ACF" w:rsidP="00710DDA">
            <w:pPr>
              <w:spacing w:before="0" w:after="0"/>
              <w:jc w:val="center"/>
              <w:rPr>
                <w:i/>
                <w:noProof/>
                <w:sz w:val="20"/>
              </w:rPr>
            </w:pPr>
          </w:p>
        </w:tc>
        <w:tc>
          <w:tcPr>
            <w:tcW w:w="332" w:type="pct"/>
          </w:tcPr>
          <w:p w14:paraId="398314B5" w14:textId="77777777" w:rsidR="00653ACF" w:rsidRPr="00930237" w:rsidRDefault="00653ACF" w:rsidP="00710DDA">
            <w:pPr>
              <w:spacing w:before="0" w:after="0"/>
              <w:jc w:val="center"/>
              <w:rPr>
                <w:i/>
                <w:noProof/>
                <w:sz w:val="20"/>
              </w:rPr>
            </w:pPr>
          </w:p>
        </w:tc>
        <w:tc>
          <w:tcPr>
            <w:tcW w:w="554" w:type="pct"/>
            <w:shd w:val="clear" w:color="auto" w:fill="auto"/>
          </w:tcPr>
          <w:p w14:paraId="74BE2DDB" w14:textId="77777777" w:rsidR="00653ACF" w:rsidRPr="00930237" w:rsidRDefault="00653ACF" w:rsidP="00710DDA">
            <w:pPr>
              <w:spacing w:before="0" w:after="0"/>
              <w:jc w:val="center"/>
              <w:rPr>
                <w:i/>
                <w:noProof/>
                <w:sz w:val="20"/>
              </w:rPr>
            </w:pPr>
          </w:p>
        </w:tc>
        <w:tc>
          <w:tcPr>
            <w:tcW w:w="471" w:type="pct"/>
          </w:tcPr>
          <w:p w14:paraId="1FD83191" w14:textId="77777777" w:rsidR="00653ACF" w:rsidRPr="00930237" w:rsidRDefault="00653ACF" w:rsidP="00710DDA">
            <w:pPr>
              <w:spacing w:before="0" w:after="0"/>
              <w:jc w:val="center"/>
              <w:rPr>
                <w:i/>
                <w:noProof/>
                <w:sz w:val="20"/>
              </w:rPr>
            </w:pPr>
          </w:p>
        </w:tc>
      </w:tr>
      <w:tr w:rsidR="00653ACF" w:rsidRPr="00930237" w14:paraId="453E1666" w14:textId="43F243D8" w:rsidTr="00653ACF">
        <w:tc>
          <w:tcPr>
            <w:tcW w:w="375" w:type="pct"/>
          </w:tcPr>
          <w:p w14:paraId="6951442D" w14:textId="77777777" w:rsidR="00653ACF" w:rsidRPr="00930237" w:rsidRDefault="00653ACF" w:rsidP="00710DDA">
            <w:pPr>
              <w:spacing w:before="0" w:after="0"/>
              <w:jc w:val="center"/>
              <w:rPr>
                <w:b/>
                <w:i/>
                <w:noProof/>
                <w:sz w:val="20"/>
              </w:rPr>
            </w:pPr>
          </w:p>
        </w:tc>
        <w:tc>
          <w:tcPr>
            <w:tcW w:w="264" w:type="pct"/>
          </w:tcPr>
          <w:p w14:paraId="6DB164FC" w14:textId="77777777" w:rsidR="00653ACF" w:rsidRPr="00930237" w:rsidRDefault="00653ACF" w:rsidP="00710DDA">
            <w:pPr>
              <w:spacing w:before="0" w:after="0"/>
              <w:jc w:val="center"/>
              <w:rPr>
                <w:b/>
                <w:i/>
                <w:noProof/>
                <w:sz w:val="20"/>
              </w:rPr>
            </w:pPr>
          </w:p>
        </w:tc>
        <w:tc>
          <w:tcPr>
            <w:tcW w:w="391" w:type="pct"/>
          </w:tcPr>
          <w:p w14:paraId="497C144D" w14:textId="77777777" w:rsidR="00653ACF" w:rsidRPr="00930237" w:rsidRDefault="00653ACF" w:rsidP="00710DDA">
            <w:pPr>
              <w:spacing w:before="0" w:after="0"/>
              <w:jc w:val="center"/>
              <w:rPr>
                <w:b/>
                <w:i/>
                <w:noProof/>
                <w:sz w:val="20"/>
              </w:rPr>
            </w:pPr>
          </w:p>
        </w:tc>
        <w:tc>
          <w:tcPr>
            <w:tcW w:w="336" w:type="pct"/>
          </w:tcPr>
          <w:p w14:paraId="3823B872" w14:textId="77777777" w:rsidR="00653ACF" w:rsidRPr="00930237" w:rsidRDefault="00653ACF" w:rsidP="00710DDA">
            <w:pPr>
              <w:spacing w:before="0" w:after="0"/>
              <w:jc w:val="center"/>
              <w:rPr>
                <w:b/>
                <w:i/>
                <w:noProof/>
                <w:sz w:val="20"/>
              </w:rPr>
            </w:pPr>
          </w:p>
        </w:tc>
        <w:tc>
          <w:tcPr>
            <w:tcW w:w="561" w:type="pct"/>
          </w:tcPr>
          <w:p w14:paraId="4D67CB86" w14:textId="77777777" w:rsidR="00653ACF" w:rsidRPr="00930237" w:rsidRDefault="00653ACF" w:rsidP="00710DDA">
            <w:pPr>
              <w:spacing w:before="0" w:after="0"/>
              <w:jc w:val="center"/>
              <w:rPr>
                <w:b/>
                <w:i/>
                <w:noProof/>
                <w:sz w:val="20"/>
              </w:rPr>
            </w:pPr>
          </w:p>
        </w:tc>
        <w:tc>
          <w:tcPr>
            <w:tcW w:w="367" w:type="pct"/>
            <w:shd w:val="clear" w:color="auto" w:fill="auto"/>
          </w:tcPr>
          <w:p w14:paraId="21F7B2EA" w14:textId="77777777" w:rsidR="00653ACF" w:rsidRPr="00930237" w:rsidRDefault="00653ACF" w:rsidP="00710DDA">
            <w:pPr>
              <w:spacing w:before="0" w:after="0"/>
              <w:jc w:val="center"/>
              <w:rPr>
                <w:i/>
                <w:noProof/>
                <w:sz w:val="20"/>
              </w:rPr>
            </w:pPr>
          </w:p>
        </w:tc>
        <w:tc>
          <w:tcPr>
            <w:tcW w:w="474" w:type="pct"/>
          </w:tcPr>
          <w:p w14:paraId="16999BE6" w14:textId="77777777" w:rsidR="00653ACF" w:rsidRPr="00930237" w:rsidRDefault="00653ACF" w:rsidP="00710DDA">
            <w:pPr>
              <w:spacing w:before="0" w:after="0"/>
              <w:jc w:val="center"/>
              <w:rPr>
                <w:i/>
                <w:noProof/>
                <w:sz w:val="20"/>
              </w:rPr>
            </w:pPr>
          </w:p>
        </w:tc>
        <w:tc>
          <w:tcPr>
            <w:tcW w:w="554" w:type="pct"/>
          </w:tcPr>
          <w:p w14:paraId="36978FAD" w14:textId="14799018" w:rsidR="00653ACF" w:rsidRPr="00930237" w:rsidRDefault="00653ACF" w:rsidP="00710DDA">
            <w:pPr>
              <w:spacing w:before="0" w:after="0"/>
              <w:jc w:val="center"/>
              <w:rPr>
                <w:i/>
                <w:noProof/>
                <w:sz w:val="20"/>
              </w:rPr>
            </w:pPr>
          </w:p>
        </w:tc>
        <w:tc>
          <w:tcPr>
            <w:tcW w:w="321" w:type="pct"/>
            <w:shd w:val="clear" w:color="auto" w:fill="auto"/>
          </w:tcPr>
          <w:p w14:paraId="6F6FC36D" w14:textId="77777777" w:rsidR="00653ACF" w:rsidRPr="00930237" w:rsidRDefault="00653ACF" w:rsidP="00710DDA">
            <w:pPr>
              <w:spacing w:before="0" w:after="0"/>
              <w:jc w:val="center"/>
              <w:rPr>
                <w:i/>
                <w:noProof/>
                <w:sz w:val="20"/>
              </w:rPr>
            </w:pPr>
          </w:p>
        </w:tc>
        <w:tc>
          <w:tcPr>
            <w:tcW w:w="332" w:type="pct"/>
          </w:tcPr>
          <w:p w14:paraId="2DA915CC" w14:textId="77777777" w:rsidR="00653ACF" w:rsidRPr="00930237" w:rsidRDefault="00653ACF" w:rsidP="00710DDA">
            <w:pPr>
              <w:spacing w:before="0" w:after="0"/>
              <w:jc w:val="center"/>
              <w:rPr>
                <w:i/>
                <w:noProof/>
                <w:sz w:val="20"/>
              </w:rPr>
            </w:pPr>
          </w:p>
        </w:tc>
        <w:tc>
          <w:tcPr>
            <w:tcW w:w="554" w:type="pct"/>
            <w:shd w:val="clear" w:color="auto" w:fill="auto"/>
          </w:tcPr>
          <w:p w14:paraId="4AB60DD9" w14:textId="77777777" w:rsidR="00653ACF" w:rsidRPr="00930237" w:rsidRDefault="00653ACF" w:rsidP="00710DDA">
            <w:pPr>
              <w:spacing w:before="0" w:after="0"/>
              <w:jc w:val="center"/>
              <w:rPr>
                <w:i/>
                <w:noProof/>
                <w:sz w:val="20"/>
              </w:rPr>
            </w:pPr>
          </w:p>
        </w:tc>
        <w:tc>
          <w:tcPr>
            <w:tcW w:w="471" w:type="pct"/>
          </w:tcPr>
          <w:p w14:paraId="402189D7" w14:textId="77777777" w:rsidR="00653ACF" w:rsidRPr="00930237" w:rsidRDefault="00653ACF" w:rsidP="00710DDA">
            <w:pPr>
              <w:spacing w:before="0" w:after="0"/>
              <w:jc w:val="center"/>
              <w:rPr>
                <w:i/>
                <w:noProof/>
                <w:sz w:val="20"/>
              </w:rPr>
            </w:pPr>
          </w:p>
        </w:tc>
      </w:tr>
      <w:tr w:rsidR="00653ACF" w:rsidRPr="00930237" w14:paraId="0E9C9CD2" w14:textId="61B1C4CF" w:rsidTr="00653ACF">
        <w:tc>
          <w:tcPr>
            <w:tcW w:w="375" w:type="pct"/>
          </w:tcPr>
          <w:p w14:paraId="79EE155A" w14:textId="77777777" w:rsidR="00653ACF" w:rsidRPr="00930237" w:rsidRDefault="00653ACF" w:rsidP="00710DDA">
            <w:pPr>
              <w:spacing w:before="0" w:after="0"/>
              <w:jc w:val="center"/>
              <w:rPr>
                <w:noProof/>
                <w:sz w:val="20"/>
              </w:rPr>
            </w:pPr>
          </w:p>
        </w:tc>
        <w:tc>
          <w:tcPr>
            <w:tcW w:w="264" w:type="pct"/>
          </w:tcPr>
          <w:p w14:paraId="3DB616C8" w14:textId="77777777" w:rsidR="00653ACF" w:rsidRPr="00930237" w:rsidRDefault="00653ACF" w:rsidP="00710DDA">
            <w:pPr>
              <w:spacing w:before="0" w:after="0"/>
              <w:jc w:val="center"/>
              <w:rPr>
                <w:noProof/>
                <w:sz w:val="20"/>
              </w:rPr>
            </w:pPr>
          </w:p>
        </w:tc>
        <w:tc>
          <w:tcPr>
            <w:tcW w:w="391" w:type="pct"/>
          </w:tcPr>
          <w:p w14:paraId="0D94BE84" w14:textId="77777777" w:rsidR="00653ACF" w:rsidRPr="00930237" w:rsidRDefault="00653ACF" w:rsidP="00710DDA">
            <w:pPr>
              <w:spacing w:before="0" w:after="0"/>
              <w:jc w:val="center"/>
              <w:rPr>
                <w:noProof/>
                <w:sz w:val="20"/>
              </w:rPr>
            </w:pPr>
          </w:p>
        </w:tc>
        <w:tc>
          <w:tcPr>
            <w:tcW w:w="336" w:type="pct"/>
          </w:tcPr>
          <w:p w14:paraId="1E5D88D9" w14:textId="77777777" w:rsidR="00653ACF" w:rsidRPr="00930237" w:rsidRDefault="00653ACF" w:rsidP="00710DDA">
            <w:pPr>
              <w:spacing w:before="0" w:after="0"/>
              <w:jc w:val="center"/>
              <w:rPr>
                <w:noProof/>
                <w:sz w:val="20"/>
              </w:rPr>
            </w:pPr>
          </w:p>
        </w:tc>
        <w:tc>
          <w:tcPr>
            <w:tcW w:w="561" w:type="pct"/>
          </w:tcPr>
          <w:p w14:paraId="0557BDD5" w14:textId="77777777" w:rsidR="00653ACF" w:rsidRPr="00930237" w:rsidRDefault="00653ACF" w:rsidP="00710DDA">
            <w:pPr>
              <w:spacing w:before="0" w:after="0"/>
              <w:jc w:val="center"/>
              <w:rPr>
                <w:noProof/>
                <w:sz w:val="20"/>
              </w:rPr>
            </w:pPr>
          </w:p>
        </w:tc>
        <w:tc>
          <w:tcPr>
            <w:tcW w:w="367" w:type="pct"/>
            <w:shd w:val="clear" w:color="auto" w:fill="auto"/>
          </w:tcPr>
          <w:p w14:paraId="121A556B" w14:textId="77777777" w:rsidR="00653ACF" w:rsidRPr="00930237" w:rsidRDefault="00653ACF" w:rsidP="00710DDA">
            <w:pPr>
              <w:spacing w:before="0" w:after="0"/>
              <w:jc w:val="center"/>
              <w:rPr>
                <w:noProof/>
                <w:sz w:val="20"/>
              </w:rPr>
            </w:pPr>
          </w:p>
        </w:tc>
        <w:tc>
          <w:tcPr>
            <w:tcW w:w="474" w:type="pct"/>
          </w:tcPr>
          <w:p w14:paraId="46F57292" w14:textId="77777777" w:rsidR="00653ACF" w:rsidRPr="00930237" w:rsidRDefault="00653ACF" w:rsidP="00710DDA">
            <w:pPr>
              <w:spacing w:before="0" w:after="0"/>
              <w:jc w:val="center"/>
              <w:rPr>
                <w:noProof/>
                <w:sz w:val="20"/>
              </w:rPr>
            </w:pPr>
          </w:p>
        </w:tc>
        <w:tc>
          <w:tcPr>
            <w:tcW w:w="554" w:type="pct"/>
          </w:tcPr>
          <w:p w14:paraId="174BB6D3" w14:textId="1DFE7C5B" w:rsidR="00653ACF" w:rsidRPr="00930237" w:rsidRDefault="00653ACF" w:rsidP="00710DDA">
            <w:pPr>
              <w:spacing w:before="0" w:after="0"/>
              <w:jc w:val="center"/>
              <w:rPr>
                <w:noProof/>
                <w:sz w:val="20"/>
              </w:rPr>
            </w:pPr>
          </w:p>
        </w:tc>
        <w:tc>
          <w:tcPr>
            <w:tcW w:w="321" w:type="pct"/>
            <w:shd w:val="clear" w:color="auto" w:fill="auto"/>
          </w:tcPr>
          <w:p w14:paraId="4EB18508" w14:textId="77777777" w:rsidR="00653ACF" w:rsidRPr="00930237" w:rsidRDefault="00653ACF" w:rsidP="00710DDA">
            <w:pPr>
              <w:spacing w:before="0" w:after="0"/>
              <w:jc w:val="center"/>
              <w:rPr>
                <w:noProof/>
                <w:sz w:val="20"/>
              </w:rPr>
            </w:pPr>
          </w:p>
        </w:tc>
        <w:tc>
          <w:tcPr>
            <w:tcW w:w="332" w:type="pct"/>
          </w:tcPr>
          <w:p w14:paraId="0B496F95" w14:textId="77777777" w:rsidR="00653ACF" w:rsidRPr="00930237" w:rsidRDefault="00653ACF" w:rsidP="00710DDA">
            <w:pPr>
              <w:spacing w:before="0" w:after="0"/>
              <w:jc w:val="center"/>
              <w:rPr>
                <w:noProof/>
                <w:sz w:val="20"/>
              </w:rPr>
            </w:pPr>
          </w:p>
        </w:tc>
        <w:tc>
          <w:tcPr>
            <w:tcW w:w="554" w:type="pct"/>
            <w:shd w:val="clear" w:color="auto" w:fill="auto"/>
          </w:tcPr>
          <w:p w14:paraId="1B4A5B48" w14:textId="77777777" w:rsidR="00653ACF" w:rsidRPr="00930237" w:rsidRDefault="00653ACF" w:rsidP="00710DDA">
            <w:pPr>
              <w:spacing w:before="0" w:after="0"/>
              <w:jc w:val="center"/>
              <w:rPr>
                <w:noProof/>
                <w:sz w:val="20"/>
              </w:rPr>
            </w:pPr>
          </w:p>
        </w:tc>
        <w:tc>
          <w:tcPr>
            <w:tcW w:w="471" w:type="pct"/>
          </w:tcPr>
          <w:p w14:paraId="7BD832E1" w14:textId="77777777" w:rsidR="00653ACF" w:rsidRPr="00930237" w:rsidRDefault="00653ACF" w:rsidP="00710DDA">
            <w:pPr>
              <w:spacing w:before="0" w:after="0"/>
              <w:jc w:val="center"/>
              <w:rPr>
                <w:noProof/>
                <w:sz w:val="20"/>
              </w:rPr>
            </w:pPr>
          </w:p>
        </w:tc>
      </w:tr>
      <w:tr w:rsidR="00653ACF" w:rsidRPr="00930237" w14:paraId="0F9E1330" w14:textId="3024E158" w:rsidTr="00653ACF">
        <w:tc>
          <w:tcPr>
            <w:tcW w:w="375" w:type="pct"/>
          </w:tcPr>
          <w:p w14:paraId="2938D897" w14:textId="77777777" w:rsidR="00653ACF" w:rsidRPr="00930237" w:rsidRDefault="00653ACF" w:rsidP="00710DDA">
            <w:pPr>
              <w:spacing w:before="0" w:after="0"/>
              <w:jc w:val="center"/>
              <w:rPr>
                <w:noProof/>
                <w:sz w:val="20"/>
              </w:rPr>
            </w:pPr>
          </w:p>
        </w:tc>
        <w:tc>
          <w:tcPr>
            <w:tcW w:w="264" w:type="pct"/>
          </w:tcPr>
          <w:p w14:paraId="04D9EA75" w14:textId="77777777" w:rsidR="00653ACF" w:rsidRPr="00930237" w:rsidRDefault="00653ACF" w:rsidP="00710DDA">
            <w:pPr>
              <w:spacing w:before="0" w:after="0"/>
              <w:jc w:val="center"/>
              <w:rPr>
                <w:noProof/>
                <w:sz w:val="20"/>
              </w:rPr>
            </w:pPr>
          </w:p>
        </w:tc>
        <w:tc>
          <w:tcPr>
            <w:tcW w:w="391" w:type="pct"/>
          </w:tcPr>
          <w:p w14:paraId="37043690" w14:textId="77777777" w:rsidR="00653ACF" w:rsidRPr="00930237" w:rsidRDefault="00653ACF" w:rsidP="00710DDA">
            <w:pPr>
              <w:spacing w:before="0" w:after="0"/>
              <w:jc w:val="center"/>
              <w:rPr>
                <w:noProof/>
                <w:sz w:val="20"/>
              </w:rPr>
            </w:pPr>
          </w:p>
        </w:tc>
        <w:tc>
          <w:tcPr>
            <w:tcW w:w="336" w:type="pct"/>
          </w:tcPr>
          <w:p w14:paraId="37AE04A9" w14:textId="77777777" w:rsidR="00653ACF" w:rsidRPr="00930237" w:rsidRDefault="00653ACF" w:rsidP="00710DDA">
            <w:pPr>
              <w:spacing w:before="0" w:after="0"/>
              <w:jc w:val="center"/>
              <w:rPr>
                <w:noProof/>
                <w:sz w:val="20"/>
              </w:rPr>
            </w:pPr>
          </w:p>
        </w:tc>
        <w:tc>
          <w:tcPr>
            <w:tcW w:w="561" w:type="pct"/>
          </w:tcPr>
          <w:p w14:paraId="29F592C6" w14:textId="77777777" w:rsidR="00653ACF" w:rsidRPr="00930237" w:rsidRDefault="00653ACF" w:rsidP="00710DDA">
            <w:pPr>
              <w:spacing w:before="0" w:after="0"/>
              <w:jc w:val="center"/>
              <w:rPr>
                <w:noProof/>
                <w:sz w:val="20"/>
              </w:rPr>
            </w:pPr>
          </w:p>
        </w:tc>
        <w:tc>
          <w:tcPr>
            <w:tcW w:w="367" w:type="pct"/>
            <w:shd w:val="clear" w:color="auto" w:fill="auto"/>
          </w:tcPr>
          <w:p w14:paraId="4D0C856E" w14:textId="77777777" w:rsidR="00653ACF" w:rsidRPr="00930237" w:rsidRDefault="00653ACF" w:rsidP="00710DDA">
            <w:pPr>
              <w:spacing w:before="0" w:after="0"/>
              <w:jc w:val="center"/>
              <w:rPr>
                <w:noProof/>
                <w:sz w:val="20"/>
              </w:rPr>
            </w:pPr>
          </w:p>
        </w:tc>
        <w:tc>
          <w:tcPr>
            <w:tcW w:w="474" w:type="pct"/>
          </w:tcPr>
          <w:p w14:paraId="1651940C" w14:textId="77777777" w:rsidR="00653ACF" w:rsidRPr="00930237" w:rsidRDefault="00653ACF" w:rsidP="00710DDA">
            <w:pPr>
              <w:spacing w:before="0" w:after="0"/>
              <w:jc w:val="center"/>
              <w:rPr>
                <w:noProof/>
                <w:sz w:val="20"/>
              </w:rPr>
            </w:pPr>
          </w:p>
        </w:tc>
        <w:tc>
          <w:tcPr>
            <w:tcW w:w="554" w:type="pct"/>
          </w:tcPr>
          <w:p w14:paraId="74679C15" w14:textId="513917C4" w:rsidR="00653ACF" w:rsidRPr="00930237" w:rsidRDefault="00653ACF" w:rsidP="00710DDA">
            <w:pPr>
              <w:spacing w:before="0" w:after="0"/>
              <w:jc w:val="center"/>
              <w:rPr>
                <w:noProof/>
                <w:sz w:val="20"/>
              </w:rPr>
            </w:pPr>
          </w:p>
        </w:tc>
        <w:tc>
          <w:tcPr>
            <w:tcW w:w="321" w:type="pct"/>
            <w:shd w:val="clear" w:color="auto" w:fill="auto"/>
          </w:tcPr>
          <w:p w14:paraId="45DBCAA3" w14:textId="77777777" w:rsidR="00653ACF" w:rsidRPr="00930237" w:rsidRDefault="00653ACF" w:rsidP="00710DDA">
            <w:pPr>
              <w:spacing w:before="0" w:after="0"/>
              <w:jc w:val="center"/>
              <w:rPr>
                <w:noProof/>
                <w:sz w:val="20"/>
              </w:rPr>
            </w:pPr>
          </w:p>
        </w:tc>
        <w:tc>
          <w:tcPr>
            <w:tcW w:w="332" w:type="pct"/>
          </w:tcPr>
          <w:p w14:paraId="1BF9B68B" w14:textId="77777777" w:rsidR="00653ACF" w:rsidRPr="00930237" w:rsidRDefault="00653ACF" w:rsidP="00710DDA">
            <w:pPr>
              <w:spacing w:before="0" w:after="0"/>
              <w:jc w:val="center"/>
              <w:rPr>
                <w:noProof/>
                <w:sz w:val="20"/>
              </w:rPr>
            </w:pPr>
          </w:p>
        </w:tc>
        <w:tc>
          <w:tcPr>
            <w:tcW w:w="554" w:type="pct"/>
            <w:shd w:val="clear" w:color="auto" w:fill="auto"/>
          </w:tcPr>
          <w:p w14:paraId="55DCB87A" w14:textId="77777777" w:rsidR="00653ACF" w:rsidRPr="00930237" w:rsidRDefault="00653ACF" w:rsidP="00710DDA">
            <w:pPr>
              <w:spacing w:before="0" w:after="0"/>
              <w:jc w:val="center"/>
              <w:rPr>
                <w:noProof/>
                <w:sz w:val="20"/>
              </w:rPr>
            </w:pPr>
          </w:p>
        </w:tc>
        <w:tc>
          <w:tcPr>
            <w:tcW w:w="471" w:type="pct"/>
          </w:tcPr>
          <w:p w14:paraId="11E5AD56" w14:textId="77777777" w:rsidR="00653ACF" w:rsidRPr="00930237" w:rsidRDefault="00653ACF" w:rsidP="00710DDA">
            <w:pPr>
              <w:spacing w:before="0" w:after="0"/>
              <w:jc w:val="center"/>
              <w:rPr>
                <w:noProof/>
                <w:sz w:val="20"/>
              </w:rPr>
            </w:pPr>
          </w:p>
        </w:tc>
      </w:tr>
      <w:tr w:rsidR="00653ACF" w:rsidRPr="00930237" w14:paraId="05E8CE67" w14:textId="333770D8" w:rsidTr="00653ACF">
        <w:tc>
          <w:tcPr>
            <w:tcW w:w="375" w:type="pct"/>
          </w:tcPr>
          <w:p w14:paraId="3E52DD5F" w14:textId="77777777" w:rsidR="00653ACF" w:rsidRPr="00930237" w:rsidRDefault="00653ACF" w:rsidP="00710DDA">
            <w:pPr>
              <w:spacing w:before="0" w:after="0"/>
              <w:jc w:val="center"/>
              <w:rPr>
                <w:noProof/>
                <w:sz w:val="20"/>
              </w:rPr>
            </w:pPr>
            <w:r w:rsidRPr="00930237">
              <w:rPr>
                <w:noProof/>
                <w:sz w:val="20"/>
              </w:rPr>
              <w:t>Kopējā summa, kuru sedz</w:t>
            </w:r>
          </w:p>
        </w:tc>
        <w:tc>
          <w:tcPr>
            <w:tcW w:w="264" w:type="pct"/>
          </w:tcPr>
          <w:p w14:paraId="0C03638D" w14:textId="77777777" w:rsidR="00653ACF" w:rsidRPr="00930237" w:rsidRDefault="00653ACF" w:rsidP="00710DDA">
            <w:pPr>
              <w:spacing w:before="0" w:after="0"/>
              <w:jc w:val="center"/>
              <w:rPr>
                <w:noProof/>
                <w:sz w:val="20"/>
              </w:rPr>
            </w:pPr>
          </w:p>
        </w:tc>
        <w:tc>
          <w:tcPr>
            <w:tcW w:w="391" w:type="pct"/>
          </w:tcPr>
          <w:p w14:paraId="790ECA1F" w14:textId="77777777" w:rsidR="00653ACF" w:rsidRPr="00930237" w:rsidRDefault="00653ACF" w:rsidP="00710DDA">
            <w:pPr>
              <w:spacing w:before="0" w:after="0"/>
              <w:jc w:val="center"/>
              <w:rPr>
                <w:noProof/>
                <w:sz w:val="20"/>
              </w:rPr>
            </w:pPr>
          </w:p>
        </w:tc>
        <w:tc>
          <w:tcPr>
            <w:tcW w:w="336" w:type="pct"/>
          </w:tcPr>
          <w:p w14:paraId="476D066A" w14:textId="77777777" w:rsidR="00653ACF" w:rsidRPr="00930237" w:rsidRDefault="00653ACF" w:rsidP="00710DDA">
            <w:pPr>
              <w:spacing w:before="0" w:after="0"/>
              <w:jc w:val="center"/>
              <w:rPr>
                <w:noProof/>
                <w:sz w:val="20"/>
              </w:rPr>
            </w:pPr>
          </w:p>
        </w:tc>
        <w:tc>
          <w:tcPr>
            <w:tcW w:w="561" w:type="pct"/>
          </w:tcPr>
          <w:p w14:paraId="3C9BF3CA" w14:textId="77777777" w:rsidR="00653ACF" w:rsidRPr="00930237" w:rsidRDefault="00653ACF" w:rsidP="00710DDA">
            <w:pPr>
              <w:spacing w:before="0" w:after="0"/>
              <w:jc w:val="center"/>
              <w:rPr>
                <w:noProof/>
                <w:sz w:val="20"/>
              </w:rPr>
            </w:pPr>
          </w:p>
        </w:tc>
        <w:tc>
          <w:tcPr>
            <w:tcW w:w="367" w:type="pct"/>
            <w:shd w:val="clear" w:color="auto" w:fill="auto"/>
          </w:tcPr>
          <w:p w14:paraId="45E459B5" w14:textId="77777777" w:rsidR="00653ACF" w:rsidRPr="00930237" w:rsidRDefault="00653ACF" w:rsidP="00710DDA">
            <w:pPr>
              <w:spacing w:before="0" w:after="0"/>
              <w:jc w:val="center"/>
              <w:rPr>
                <w:noProof/>
                <w:sz w:val="20"/>
              </w:rPr>
            </w:pPr>
          </w:p>
        </w:tc>
        <w:tc>
          <w:tcPr>
            <w:tcW w:w="474" w:type="pct"/>
          </w:tcPr>
          <w:p w14:paraId="4162E883" w14:textId="77777777" w:rsidR="00653ACF" w:rsidRPr="00930237" w:rsidRDefault="00653ACF" w:rsidP="00710DDA">
            <w:pPr>
              <w:spacing w:before="0" w:after="0"/>
              <w:jc w:val="center"/>
              <w:rPr>
                <w:noProof/>
                <w:sz w:val="20"/>
              </w:rPr>
            </w:pPr>
          </w:p>
        </w:tc>
        <w:tc>
          <w:tcPr>
            <w:tcW w:w="554" w:type="pct"/>
          </w:tcPr>
          <w:p w14:paraId="64525FF9" w14:textId="52A93BAB" w:rsidR="00653ACF" w:rsidRPr="00930237" w:rsidRDefault="00653ACF" w:rsidP="00710DDA">
            <w:pPr>
              <w:spacing w:before="0" w:after="0"/>
              <w:jc w:val="center"/>
              <w:rPr>
                <w:noProof/>
                <w:sz w:val="20"/>
              </w:rPr>
            </w:pPr>
          </w:p>
        </w:tc>
        <w:tc>
          <w:tcPr>
            <w:tcW w:w="321" w:type="pct"/>
            <w:shd w:val="clear" w:color="auto" w:fill="auto"/>
          </w:tcPr>
          <w:p w14:paraId="4738D0E3" w14:textId="77777777" w:rsidR="00653ACF" w:rsidRPr="00930237" w:rsidRDefault="00653ACF" w:rsidP="00710DDA">
            <w:pPr>
              <w:spacing w:before="0" w:after="0"/>
              <w:jc w:val="center"/>
              <w:rPr>
                <w:noProof/>
                <w:sz w:val="20"/>
              </w:rPr>
            </w:pPr>
          </w:p>
        </w:tc>
        <w:tc>
          <w:tcPr>
            <w:tcW w:w="332" w:type="pct"/>
          </w:tcPr>
          <w:p w14:paraId="69B270D9" w14:textId="77777777" w:rsidR="00653ACF" w:rsidRPr="00930237" w:rsidRDefault="00653ACF" w:rsidP="00710DDA">
            <w:pPr>
              <w:spacing w:before="0" w:after="0"/>
              <w:jc w:val="center"/>
              <w:rPr>
                <w:noProof/>
                <w:sz w:val="20"/>
              </w:rPr>
            </w:pPr>
          </w:p>
        </w:tc>
        <w:tc>
          <w:tcPr>
            <w:tcW w:w="554" w:type="pct"/>
            <w:shd w:val="clear" w:color="auto" w:fill="auto"/>
          </w:tcPr>
          <w:p w14:paraId="7DA0339B" w14:textId="77777777" w:rsidR="00653ACF" w:rsidRPr="00930237" w:rsidRDefault="00653ACF" w:rsidP="00710DDA">
            <w:pPr>
              <w:spacing w:before="0" w:after="0"/>
              <w:jc w:val="center"/>
              <w:rPr>
                <w:noProof/>
                <w:sz w:val="20"/>
              </w:rPr>
            </w:pPr>
          </w:p>
        </w:tc>
        <w:tc>
          <w:tcPr>
            <w:tcW w:w="471" w:type="pct"/>
          </w:tcPr>
          <w:p w14:paraId="70F0D593" w14:textId="77777777" w:rsidR="00653ACF" w:rsidRPr="00930237" w:rsidRDefault="00653ACF" w:rsidP="00710DDA">
            <w:pPr>
              <w:spacing w:before="0" w:after="0"/>
              <w:jc w:val="center"/>
              <w:rPr>
                <w:noProof/>
                <w:sz w:val="20"/>
              </w:rPr>
            </w:pPr>
          </w:p>
        </w:tc>
      </w:tr>
    </w:tbl>
    <w:p w14:paraId="4F42FA18" w14:textId="77777777" w:rsidR="00AC212B" w:rsidRPr="00930237" w:rsidRDefault="00AC212B" w:rsidP="00AC212B">
      <w:pPr>
        <w:spacing w:before="0" w:after="0"/>
        <w:rPr>
          <w:b/>
          <w:noProof/>
          <w:sz w:val="20"/>
          <w:u w:val="single"/>
        </w:rPr>
      </w:pPr>
    </w:p>
    <w:p w14:paraId="578138CB" w14:textId="77777777" w:rsidR="00AC212B" w:rsidRPr="00930237" w:rsidRDefault="00AC212B" w:rsidP="00AC212B">
      <w:pPr>
        <w:spacing w:before="0" w:after="0"/>
        <w:rPr>
          <w:b/>
          <w:noProof/>
          <w:sz w:val="20"/>
          <w:u w:val="single"/>
        </w:rPr>
        <w:sectPr w:rsidR="00AC212B" w:rsidRPr="00930237">
          <w:headerReference w:type="even" r:id="rId187"/>
          <w:headerReference w:type="default" r:id="rId188"/>
          <w:footerReference w:type="even" r:id="rId189"/>
          <w:footerReference w:type="default" r:id="rId190"/>
          <w:headerReference w:type="first" r:id="rId191"/>
          <w:footerReference w:type="first" r:id="rId192"/>
          <w:pgSz w:w="16838" w:h="11906" w:orient="landscape"/>
          <w:pgMar w:top="1417" w:right="1417" w:bottom="1417" w:left="1417" w:header="708" w:footer="708" w:gutter="0"/>
          <w:cols w:space="708"/>
          <w:docGrid w:linePitch="360"/>
        </w:sectPr>
      </w:pPr>
    </w:p>
    <w:p w14:paraId="136CA7EE" w14:textId="77777777" w:rsidR="00AC212B" w:rsidRPr="00930237" w:rsidRDefault="00AC212B" w:rsidP="00AC212B">
      <w:pPr>
        <w:spacing w:before="0" w:after="0"/>
        <w:rPr>
          <w:b/>
          <w:noProof/>
          <w:sz w:val="20"/>
          <w:u w:val="single"/>
        </w:rPr>
      </w:pPr>
      <w:r w:rsidRPr="00930237">
        <w:rPr>
          <w:b/>
          <w:noProof/>
          <w:sz w:val="20"/>
          <w:u w:val="single"/>
        </w:rPr>
        <w:t>B. Sīkāka informācija pa darbības veidiem (aizpilda par katru darbības veidu)</w:t>
      </w:r>
    </w:p>
    <w:p w14:paraId="4A730351" w14:textId="77777777" w:rsidR="00AC212B" w:rsidRPr="00930237" w:rsidRDefault="00AC212B" w:rsidP="00AC212B">
      <w:pPr>
        <w:spacing w:before="0" w:after="0"/>
        <w:rPr>
          <w:color w:val="FF0000"/>
        </w:rPr>
      </w:pPr>
      <w:r w:rsidRPr="00930237">
        <w:rPr>
          <w:color w:val="FF0000"/>
        </w:rPr>
        <w:t>[</w:t>
      </w:r>
      <w:r w:rsidRPr="00930237">
        <w:rPr>
          <w:color w:val="FF0000"/>
          <w:sz w:val="20"/>
        </w:rPr>
        <w:t>Ntiek plānots piemērot KNR 89.pantu</w:t>
      </w:r>
      <w:r w:rsidRPr="00930237">
        <w:rPr>
          <w:color w:val="FF0000"/>
        </w:rPr>
        <w:t>]</w:t>
      </w:r>
    </w:p>
    <w:p w14:paraId="39531A8F" w14:textId="77777777" w:rsidR="00AC212B" w:rsidRPr="00930237" w:rsidRDefault="00AC212B" w:rsidP="00AC212B">
      <w:pPr>
        <w:spacing w:before="0" w:after="0"/>
        <w:rPr>
          <w:noProof/>
          <w:sz w:val="20"/>
        </w:rPr>
      </w:pPr>
      <w:r w:rsidRPr="00930237">
        <w:rPr>
          <w:noProof/>
          <w:sz w:val="20"/>
        </w:rPr>
        <w:t>Darbības veidi</w:t>
      </w:r>
    </w:p>
    <w:tbl>
      <w:tblPr>
        <w:tblW w:w="8946" w:type="dxa"/>
        <w:tblInd w:w="93" w:type="dxa"/>
        <w:tblLook w:val="0000" w:firstRow="0" w:lastRow="0" w:firstColumn="0" w:lastColumn="0" w:noHBand="0" w:noVBand="0"/>
      </w:tblPr>
      <w:tblGrid>
        <w:gridCol w:w="4095"/>
        <w:gridCol w:w="2280"/>
        <w:gridCol w:w="1474"/>
        <w:gridCol w:w="1097"/>
      </w:tblGrid>
      <w:tr w:rsidR="00AC212B" w:rsidRPr="00930237" w14:paraId="55B811F6" w14:textId="77777777" w:rsidTr="00710DDA">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EBB83" w14:textId="77777777" w:rsidR="00AC212B" w:rsidRPr="00930237" w:rsidRDefault="00AC212B" w:rsidP="00710DDA">
            <w:pPr>
              <w:spacing w:before="0" w:after="0"/>
              <w:rPr>
                <w:bCs/>
                <w:noProof/>
                <w:sz w:val="20"/>
              </w:rPr>
            </w:pPr>
            <w:r w:rsidRPr="00930237">
              <w:rPr>
                <w:noProof/>
                <w:sz w:val="20"/>
              </w:rPr>
              <w:t xml:space="preserve">1.1. Darbības veida apraksts </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4FDC6914" w14:textId="77777777" w:rsidR="00AC212B" w:rsidRPr="00930237" w:rsidRDefault="00AC212B" w:rsidP="00710DDA">
            <w:pPr>
              <w:spacing w:before="0" w:after="0"/>
              <w:jc w:val="center"/>
              <w:rPr>
                <w:noProof/>
                <w:sz w:val="20"/>
              </w:rPr>
            </w:pPr>
          </w:p>
        </w:tc>
      </w:tr>
      <w:tr w:rsidR="00AC212B" w:rsidRPr="00930237" w14:paraId="5A834A35" w14:textId="77777777" w:rsidTr="00710DDA">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5E136" w14:textId="77777777" w:rsidR="00AC212B" w:rsidRPr="00930237" w:rsidRDefault="00AC212B" w:rsidP="00710DDA">
            <w:pPr>
              <w:spacing w:before="0" w:after="0"/>
              <w:rPr>
                <w:bCs/>
                <w:noProof/>
                <w:sz w:val="20"/>
              </w:rPr>
            </w:pPr>
            <w:r w:rsidRPr="00930237">
              <w:rPr>
                <w:noProof/>
                <w:sz w:val="20"/>
              </w:rPr>
              <w:t xml:space="preserve">1.2. SAM </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3DED9C19" w14:textId="77777777" w:rsidR="00AC212B" w:rsidRPr="00930237" w:rsidRDefault="00AC212B" w:rsidP="00710DDA">
            <w:pPr>
              <w:spacing w:before="0" w:after="0"/>
              <w:jc w:val="center"/>
              <w:rPr>
                <w:noProof/>
                <w:sz w:val="20"/>
              </w:rPr>
            </w:pPr>
          </w:p>
          <w:p w14:paraId="5F8A4FDC" w14:textId="77777777" w:rsidR="00AC212B" w:rsidRPr="00930237" w:rsidRDefault="00AC212B" w:rsidP="00710DDA">
            <w:pPr>
              <w:spacing w:before="0" w:after="0"/>
              <w:jc w:val="center"/>
              <w:rPr>
                <w:noProof/>
                <w:sz w:val="20"/>
              </w:rPr>
            </w:pPr>
          </w:p>
          <w:p w14:paraId="58269086" w14:textId="77777777" w:rsidR="00AC212B" w:rsidRPr="00930237" w:rsidRDefault="00AC212B" w:rsidP="00710DDA">
            <w:pPr>
              <w:spacing w:before="0" w:after="0"/>
              <w:jc w:val="center"/>
              <w:rPr>
                <w:noProof/>
                <w:sz w:val="20"/>
              </w:rPr>
            </w:pPr>
          </w:p>
        </w:tc>
      </w:tr>
      <w:tr w:rsidR="00AC212B" w:rsidRPr="00930237" w14:paraId="69B53BE7" w14:textId="77777777" w:rsidTr="00710DDA">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2B1CF" w14:textId="77777777" w:rsidR="00AC212B" w:rsidRPr="00930237" w:rsidRDefault="00AC212B" w:rsidP="00710DDA">
            <w:pPr>
              <w:spacing w:before="0" w:after="0"/>
              <w:rPr>
                <w:bCs/>
                <w:noProof/>
                <w:sz w:val="20"/>
              </w:rPr>
            </w:pPr>
            <w:r w:rsidRPr="00930237">
              <w:rPr>
                <w:noProof/>
                <w:sz w:val="20"/>
              </w:rPr>
              <w:t xml:space="preserve">1.3. Izpildāmie nosacījumi vai gūstamie rezultāti </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3D2C5B3E" w14:textId="77777777" w:rsidR="00AC212B" w:rsidRPr="00930237" w:rsidRDefault="00AC212B" w:rsidP="00710DDA">
            <w:pPr>
              <w:spacing w:before="0" w:after="0"/>
              <w:jc w:val="center"/>
              <w:rPr>
                <w:noProof/>
                <w:sz w:val="20"/>
              </w:rPr>
            </w:pPr>
          </w:p>
        </w:tc>
      </w:tr>
      <w:tr w:rsidR="00AC212B" w:rsidRPr="00930237" w14:paraId="207A9B89" w14:textId="77777777" w:rsidTr="00710DDA">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7F9B6" w14:textId="77777777" w:rsidR="00AC212B" w:rsidRPr="00930237" w:rsidRDefault="00AC212B" w:rsidP="00710DDA">
            <w:pPr>
              <w:spacing w:before="0" w:after="0"/>
              <w:rPr>
                <w:bCs/>
                <w:noProof/>
                <w:sz w:val="20"/>
              </w:rPr>
            </w:pPr>
            <w:r w:rsidRPr="00930237">
              <w:rPr>
                <w:noProof/>
                <w:sz w:val="20"/>
              </w:rPr>
              <w:t>1.4. Nosacījumu izpildes vai rezultātu gūšanas termiņš</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5AC3B16D" w14:textId="77777777" w:rsidR="00AC212B" w:rsidRPr="00930237" w:rsidRDefault="00AC212B" w:rsidP="00710DDA">
            <w:pPr>
              <w:spacing w:before="0" w:after="0"/>
              <w:jc w:val="center"/>
              <w:rPr>
                <w:noProof/>
                <w:sz w:val="20"/>
              </w:rPr>
            </w:pPr>
          </w:p>
        </w:tc>
      </w:tr>
      <w:tr w:rsidR="00AC212B" w:rsidRPr="00930237" w14:paraId="49B7AF5B" w14:textId="77777777" w:rsidTr="00710DDA">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21844" w14:textId="4EBB83BD" w:rsidR="00AC212B" w:rsidRPr="00930237" w:rsidRDefault="00AC212B" w:rsidP="001F3611">
            <w:pPr>
              <w:spacing w:before="0" w:after="0"/>
              <w:rPr>
                <w:bCs/>
                <w:noProof/>
                <w:sz w:val="20"/>
              </w:rPr>
            </w:pPr>
            <w:r w:rsidRPr="00930237">
              <w:rPr>
                <w:noProof/>
                <w:sz w:val="20"/>
              </w:rPr>
              <w:t>1.</w:t>
            </w:r>
            <w:r w:rsidR="001F3611">
              <w:rPr>
                <w:noProof/>
                <w:sz w:val="20"/>
              </w:rPr>
              <w:t>5</w:t>
            </w:r>
            <w:r w:rsidRPr="00930237">
              <w:rPr>
                <w:noProof/>
                <w:sz w:val="20"/>
              </w:rPr>
              <w:t>. </w:t>
            </w:r>
            <w:r w:rsidR="001F3611" w:rsidRPr="001F3611">
              <w:rPr>
                <w:noProof/>
                <w:sz w:val="20"/>
              </w:rPr>
              <w:t>Rādītāja mērvienība izpildāmajiem nosacījumiem resultātu sasniegšanai, kas saistīti ar EK pieprasāmajām atmaksām</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4409DEDD" w14:textId="77777777" w:rsidR="00AC212B" w:rsidRPr="00930237" w:rsidRDefault="00AC212B" w:rsidP="00710DDA">
            <w:pPr>
              <w:spacing w:before="0" w:after="0"/>
              <w:jc w:val="center"/>
              <w:rPr>
                <w:noProof/>
                <w:sz w:val="20"/>
              </w:rPr>
            </w:pPr>
          </w:p>
        </w:tc>
      </w:tr>
      <w:tr w:rsidR="00AC212B" w:rsidRPr="00930237" w14:paraId="1A1EB4DB" w14:textId="77777777" w:rsidTr="00710DDA">
        <w:trPr>
          <w:trHeight w:val="360"/>
        </w:trPr>
        <w:tc>
          <w:tcPr>
            <w:tcW w:w="4095" w:type="dxa"/>
            <w:vMerge w:val="restart"/>
            <w:tcBorders>
              <w:top w:val="single" w:sz="4" w:space="0" w:color="auto"/>
              <w:left w:val="single" w:sz="4" w:space="0" w:color="auto"/>
              <w:right w:val="single" w:sz="4" w:space="0" w:color="auto"/>
            </w:tcBorders>
            <w:shd w:val="clear" w:color="auto" w:fill="auto"/>
            <w:noWrap/>
            <w:vAlign w:val="center"/>
          </w:tcPr>
          <w:p w14:paraId="26CF258E" w14:textId="79CB3952" w:rsidR="00AC212B" w:rsidRPr="00930237" w:rsidRDefault="00AC212B" w:rsidP="001F3611">
            <w:pPr>
              <w:spacing w:before="0" w:after="0"/>
              <w:rPr>
                <w:bCs/>
                <w:noProof/>
                <w:sz w:val="20"/>
              </w:rPr>
            </w:pPr>
            <w:r w:rsidRPr="00930237">
              <w:rPr>
                <w:noProof/>
                <w:sz w:val="20"/>
              </w:rPr>
              <w:t>1.</w:t>
            </w:r>
            <w:r w:rsidR="001F3611">
              <w:rPr>
                <w:noProof/>
                <w:sz w:val="20"/>
              </w:rPr>
              <w:t>6</w:t>
            </w:r>
            <w:r w:rsidRPr="00930237">
              <w:rPr>
                <w:noProof/>
                <w:sz w:val="20"/>
              </w:rPr>
              <w:t>. Starpposma nodevumi (ja ir), pēc kuru sasniegšanas Komisija veic atlīdzināšanu, un atlīdzināšanas grafiks</w:t>
            </w:r>
          </w:p>
        </w:tc>
        <w:tc>
          <w:tcPr>
            <w:tcW w:w="2280" w:type="dxa"/>
            <w:tcBorders>
              <w:top w:val="single" w:sz="4" w:space="0" w:color="auto"/>
              <w:left w:val="single" w:sz="4" w:space="0" w:color="auto"/>
              <w:bottom w:val="single" w:sz="4" w:space="0" w:color="auto"/>
              <w:right w:val="single" w:sz="4" w:space="0" w:color="auto"/>
            </w:tcBorders>
            <w:vAlign w:val="center"/>
          </w:tcPr>
          <w:p w14:paraId="73E076D9" w14:textId="77777777" w:rsidR="00AC212B" w:rsidRPr="00930237" w:rsidRDefault="00AC212B" w:rsidP="00710DDA">
            <w:pPr>
              <w:spacing w:before="0" w:after="0"/>
              <w:jc w:val="center"/>
              <w:rPr>
                <w:noProof/>
                <w:sz w:val="20"/>
              </w:rPr>
            </w:pPr>
            <w:r w:rsidRPr="00930237">
              <w:rPr>
                <w:noProof/>
                <w:sz w:val="20"/>
              </w:rPr>
              <w:t xml:space="preserve">Starpposma nodevumi </w:t>
            </w:r>
          </w:p>
        </w:tc>
        <w:tc>
          <w:tcPr>
            <w:tcW w:w="1474" w:type="dxa"/>
            <w:tcBorders>
              <w:top w:val="single" w:sz="4" w:space="0" w:color="auto"/>
              <w:left w:val="single" w:sz="4" w:space="0" w:color="auto"/>
              <w:bottom w:val="single" w:sz="4" w:space="0" w:color="auto"/>
              <w:right w:val="single" w:sz="4" w:space="0" w:color="auto"/>
            </w:tcBorders>
            <w:vAlign w:val="center"/>
          </w:tcPr>
          <w:p w14:paraId="053C60DE" w14:textId="792F2EB0" w:rsidR="00AC212B" w:rsidRPr="00930237" w:rsidRDefault="001F3611" w:rsidP="001F3611">
            <w:pPr>
              <w:spacing w:before="0" w:after="0"/>
              <w:rPr>
                <w:noProof/>
                <w:sz w:val="20"/>
              </w:rPr>
            </w:pPr>
            <w:r>
              <w:rPr>
                <w:noProof/>
                <w:sz w:val="20"/>
              </w:rPr>
              <w:t>Izskatīšanas datums</w:t>
            </w:r>
          </w:p>
        </w:tc>
        <w:tc>
          <w:tcPr>
            <w:tcW w:w="1097" w:type="dxa"/>
            <w:tcBorders>
              <w:top w:val="single" w:sz="4" w:space="0" w:color="auto"/>
              <w:left w:val="single" w:sz="4" w:space="0" w:color="auto"/>
              <w:bottom w:val="single" w:sz="4" w:space="0" w:color="auto"/>
              <w:right w:val="single" w:sz="4" w:space="0" w:color="auto"/>
            </w:tcBorders>
            <w:vAlign w:val="center"/>
          </w:tcPr>
          <w:p w14:paraId="785CC5D7" w14:textId="244F4A70" w:rsidR="00AC212B" w:rsidRPr="00930237" w:rsidRDefault="00AC212B" w:rsidP="00710DDA">
            <w:pPr>
              <w:spacing w:before="0" w:after="0"/>
              <w:jc w:val="center"/>
              <w:rPr>
                <w:noProof/>
                <w:sz w:val="20"/>
              </w:rPr>
            </w:pPr>
            <w:r w:rsidRPr="00930237">
              <w:rPr>
                <w:noProof/>
                <w:sz w:val="20"/>
              </w:rPr>
              <w:t>Summa</w:t>
            </w:r>
            <w:r w:rsidR="001F3611">
              <w:rPr>
                <w:noProof/>
                <w:sz w:val="20"/>
              </w:rPr>
              <w:t xml:space="preserve"> (EUR)</w:t>
            </w:r>
          </w:p>
        </w:tc>
      </w:tr>
      <w:tr w:rsidR="00AC212B" w:rsidRPr="00930237" w14:paraId="6298AC6B" w14:textId="77777777" w:rsidTr="00710DDA">
        <w:trPr>
          <w:trHeight w:val="360"/>
        </w:trPr>
        <w:tc>
          <w:tcPr>
            <w:tcW w:w="4095" w:type="dxa"/>
            <w:vMerge/>
            <w:tcBorders>
              <w:left w:val="single" w:sz="4" w:space="0" w:color="auto"/>
              <w:right w:val="single" w:sz="4" w:space="0" w:color="auto"/>
            </w:tcBorders>
            <w:shd w:val="clear" w:color="auto" w:fill="auto"/>
            <w:noWrap/>
            <w:vAlign w:val="center"/>
          </w:tcPr>
          <w:p w14:paraId="270CF0D4" w14:textId="77777777" w:rsidR="00AC212B" w:rsidRPr="00930237" w:rsidRDefault="00AC212B" w:rsidP="00710DDA">
            <w:pPr>
              <w:spacing w:before="0" w:after="0"/>
              <w:rPr>
                <w:bCs/>
                <w:noProof/>
                <w:sz w:val="20"/>
              </w:rPr>
            </w:pPr>
          </w:p>
        </w:tc>
        <w:tc>
          <w:tcPr>
            <w:tcW w:w="2280" w:type="dxa"/>
            <w:tcBorders>
              <w:top w:val="single" w:sz="4" w:space="0" w:color="auto"/>
              <w:left w:val="single" w:sz="4" w:space="0" w:color="auto"/>
              <w:bottom w:val="single" w:sz="4" w:space="0" w:color="auto"/>
              <w:right w:val="single" w:sz="4" w:space="0" w:color="auto"/>
            </w:tcBorders>
            <w:vAlign w:val="center"/>
          </w:tcPr>
          <w:p w14:paraId="367FC27E" w14:textId="77777777" w:rsidR="00AC212B" w:rsidRPr="00930237" w:rsidRDefault="00AC212B" w:rsidP="00710DDA">
            <w:pPr>
              <w:spacing w:before="0" w:after="0"/>
              <w:jc w:val="center"/>
              <w:rPr>
                <w:noProof/>
                <w:sz w:val="20"/>
              </w:rPr>
            </w:pPr>
          </w:p>
        </w:tc>
        <w:tc>
          <w:tcPr>
            <w:tcW w:w="1474" w:type="dxa"/>
            <w:tcBorders>
              <w:top w:val="single" w:sz="4" w:space="0" w:color="auto"/>
              <w:left w:val="single" w:sz="4" w:space="0" w:color="auto"/>
              <w:bottom w:val="single" w:sz="4" w:space="0" w:color="auto"/>
              <w:right w:val="single" w:sz="4" w:space="0" w:color="auto"/>
            </w:tcBorders>
            <w:vAlign w:val="center"/>
          </w:tcPr>
          <w:p w14:paraId="5E552E91" w14:textId="77777777" w:rsidR="00AC212B" w:rsidRPr="00930237" w:rsidRDefault="00AC212B" w:rsidP="00710DDA">
            <w:pPr>
              <w:spacing w:before="0" w:after="0"/>
              <w:jc w:val="center"/>
              <w:rPr>
                <w:noProof/>
                <w:sz w:val="20"/>
              </w:rPr>
            </w:pPr>
          </w:p>
        </w:tc>
        <w:tc>
          <w:tcPr>
            <w:tcW w:w="1097" w:type="dxa"/>
            <w:tcBorders>
              <w:top w:val="single" w:sz="4" w:space="0" w:color="auto"/>
              <w:left w:val="single" w:sz="4" w:space="0" w:color="auto"/>
              <w:bottom w:val="single" w:sz="4" w:space="0" w:color="auto"/>
              <w:right w:val="single" w:sz="4" w:space="0" w:color="auto"/>
            </w:tcBorders>
            <w:vAlign w:val="center"/>
          </w:tcPr>
          <w:p w14:paraId="04E865DE" w14:textId="77777777" w:rsidR="00AC212B" w:rsidRPr="00930237" w:rsidRDefault="00AC212B" w:rsidP="00710DDA">
            <w:pPr>
              <w:spacing w:before="0" w:after="0"/>
              <w:jc w:val="center"/>
              <w:rPr>
                <w:noProof/>
                <w:sz w:val="20"/>
              </w:rPr>
            </w:pPr>
          </w:p>
        </w:tc>
      </w:tr>
      <w:tr w:rsidR="00AC212B" w:rsidRPr="00930237" w14:paraId="46378797" w14:textId="77777777" w:rsidTr="00710DDA">
        <w:trPr>
          <w:trHeight w:val="360"/>
        </w:trPr>
        <w:tc>
          <w:tcPr>
            <w:tcW w:w="4095" w:type="dxa"/>
            <w:vMerge/>
            <w:tcBorders>
              <w:left w:val="single" w:sz="4" w:space="0" w:color="auto"/>
              <w:bottom w:val="single" w:sz="4" w:space="0" w:color="auto"/>
              <w:right w:val="single" w:sz="4" w:space="0" w:color="auto"/>
            </w:tcBorders>
            <w:shd w:val="clear" w:color="auto" w:fill="auto"/>
            <w:noWrap/>
            <w:vAlign w:val="center"/>
          </w:tcPr>
          <w:p w14:paraId="161B7C9C" w14:textId="77777777" w:rsidR="00AC212B" w:rsidRPr="00930237" w:rsidRDefault="00AC212B" w:rsidP="00710DDA">
            <w:pPr>
              <w:spacing w:before="0" w:after="0"/>
              <w:rPr>
                <w:bCs/>
                <w:noProof/>
                <w:sz w:val="20"/>
              </w:rPr>
            </w:pPr>
          </w:p>
        </w:tc>
        <w:tc>
          <w:tcPr>
            <w:tcW w:w="2280" w:type="dxa"/>
            <w:tcBorders>
              <w:top w:val="single" w:sz="4" w:space="0" w:color="auto"/>
              <w:left w:val="single" w:sz="4" w:space="0" w:color="auto"/>
              <w:bottom w:val="single" w:sz="4" w:space="0" w:color="auto"/>
              <w:right w:val="single" w:sz="4" w:space="0" w:color="auto"/>
            </w:tcBorders>
            <w:vAlign w:val="center"/>
          </w:tcPr>
          <w:p w14:paraId="37882A30" w14:textId="77777777" w:rsidR="00AC212B" w:rsidRPr="00930237" w:rsidRDefault="00AC212B" w:rsidP="00710DDA">
            <w:pPr>
              <w:spacing w:before="0" w:after="0"/>
              <w:jc w:val="center"/>
              <w:rPr>
                <w:noProof/>
                <w:sz w:val="20"/>
              </w:rPr>
            </w:pPr>
          </w:p>
        </w:tc>
        <w:tc>
          <w:tcPr>
            <w:tcW w:w="1474" w:type="dxa"/>
            <w:tcBorders>
              <w:top w:val="single" w:sz="4" w:space="0" w:color="auto"/>
              <w:left w:val="single" w:sz="4" w:space="0" w:color="auto"/>
              <w:bottom w:val="single" w:sz="4" w:space="0" w:color="auto"/>
              <w:right w:val="single" w:sz="4" w:space="0" w:color="auto"/>
            </w:tcBorders>
            <w:vAlign w:val="center"/>
          </w:tcPr>
          <w:p w14:paraId="7DC75225" w14:textId="77777777" w:rsidR="00AC212B" w:rsidRPr="00930237" w:rsidRDefault="00AC212B" w:rsidP="00710DDA">
            <w:pPr>
              <w:spacing w:before="0" w:after="0"/>
              <w:jc w:val="center"/>
              <w:rPr>
                <w:noProof/>
                <w:sz w:val="20"/>
              </w:rPr>
            </w:pPr>
          </w:p>
        </w:tc>
        <w:tc>
          <w:tcPr>
            <w:tcW w:w="1097" w:type="dxa"/>
            <w:tcBorders>
              <w:top w:val="single" w:sz="4" w:space="0" w:color="auto"/>
              <w:left w:val="single" w:sz="4" w:space="0" w:color="auto"/>
              <w:bottom w:val="single" w:sz="4" w:space="0" w:color="auto"/>
              <w:right w:val="single" w:sz="4" w:space="0" w:color="auto"/>
            </w:tcBorders>
            <w:vAlign w:val="center"/>
          </w:tcPr>
          <w:p w14:paraId="62A7460F" w14:textId="77777777" w:rsidR="00AC212B" w:rsidRPr="00930237" w:rsidRDefault="00AC212B" w:rsidP="00710DDA">
            <w:pPr>
              <w:spacing w:before="0" w:after="0"/>
              <w:jc w:val="center"/>
              <w:rPr>
                <w:noProof/>
                <w:sz w:val="20"/>
              </w:rPr>
            </w:pPr>
          </w:p>
        </w:tc>
      </w:tr>
      <w:tr w:rsidR="00AC212B" w:rsidRPr="00930237" w14:paraId="1E23F0DC" w14:textId="77777777" w:rsidTr="00710DDA">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97309" w14:textId="2C2CFCA2" w:rsidR="00AC212B" w:rsidRPr="00930237" w:rsidRDefault="00AC212B" w:rsidP="001F3611">
            <w:pPr>
              <w:spacing w:before="0" w:after="0"/>
              <w:rPr>
                <w:bCs/>
                <w:noProof/>
                <w:sz w:val="20"/>
              </w:rPr>
            </w:pPr>
            <w:r w:rsidRPr="00930237">
              <w:rPr>
                <w:noProof/>
                <w:sz w:val="20"/>
              </w:rPr>
              <w:t>1.</w:t>
            </w:r>
            <w:r w:rsidR="001F3611">
              <w:rPr>
                <w:noProof/>
                <w:sz w:val="20"/>
              </w:rPr>
              <w:t>7</w:t>
            </w:r>
            <w:r w:rsidRPr="00930237">
              <w:rPr>
                <w:noProof/>
                <w:sz w:val="20"/>
              </w:rPr>
              <w:t>. Kopsumma (t. sk. ES un valsts finansējums)</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119F0F8B" w14:textId="77777777" w:rsidR="00AC212B" w:rsidRPr="00930237" w:rsidRDefault="00AC212B" w:rsidP="00710DDA">
            <w:pPr>
              <w:spacing w:before="0" w:after="0"/>
              <w:jc w:val="center"/>
              <w:rPr>
                <w:noProof/>
                <w:sz w:val="20"/>
              </w:rPr>
            </w:pPr>
          </w:p>
        </w:tc>
      </w:tr>
      <w:tr w:rsidR="00AC212B" w:rsidRPr="00930237" w14:paraId="52F05F17" w14:textId="77777777" w:rsidTr="00710DDA">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BE596" w14:textId="65A92381" w:rsidR="00AC212B" w:rsidRPr="00930237" w:rsidRDefault="00AC212B" w:rsidP="001F3611">
            <w:pPr>
              <w:spacing w:before="0" w:after="0"/>
              <w:rPr>
                <w:bCs/>
                <w:noProof/>
                <w:sz w:val="20"/>
              </w:rPr>
            </w:pPr>
            <w:r w:rsidRPr="00930237">
              <w:rPr>
                <w:noProof/>
                <w:sz w:val="20"/>
              </w:rPr>
              <w:t>1.</w:t>
            </w:r>
            <w:r w:rsidR="001F3611">
              <w:rPr>
                <w:noProof/>
                <w:sz w:val="20"/>
              </w:rPr>
              <w:t>8</w:t>
            </w:r>
            <w:r w:rsidRPr="00930237">
              <w:rPr>
                <w:noProof/>
                <w:sz w:val="20"/>
              </w:rPr>
              <w:t>. Korekcijas(-u) metode(-es)</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06039824" w14:textId="77777777" w:rsidR="00AC212B" w:rsidRPr="00930237" w:rsidRDefault="00AC212B" w:rsidP="00710DDA">
            <w:pPr>
              <w:spacing w:before="0" w:after="0"/>
              <w:jc w:val="center"/>
              <w:rPr>
                <w:i/>
                <w:noProof/>
                <w:sz w:val="20"/>
              </w:rPr>
            </w:pPr>
          </w:p>
        </w:tc>
      </w:tr>
      <w:tr w:rsidR="00AC212B" w:rsidRPr="00930237" w14:paraId="0874EE3F" w14:textId="77777777" w:rsidTr="00710DDA">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CD02B" w14:textId="030B9B93" w:rsidR="00AC212B" w:rsidRPr="00930237" w:rsidRDefault="00AC212B" w:rsidP="00710DDA">
            <w:pPr>
              <w:spacing w:before="0" w:after="0"/>
              <w:rPr>
                <w:noProof/>
                <w:sz w:val="20"/>
              </w:rPr>
            </w:pPr>
            <w:r w:rsidRPr="00930237">
              <w:rPr>
                <w:noProof/>
                <w:sz w:val="20"/>
              </w:rPr>
              <w:t>1.</w:t>
            </w:r>
            <w:r w:rsidR="001F3611">
              <w:rPr>
                <w:noProof/>
                <w:sz w:val="20"/>
              </w:rPr>
              <w:t>9</w:t>
            </w:r>
            <w:r w:rsidRPr="00930237">
              <w:rPr>
                <w:noProof/>
                <w:sz w:val="20"/>
              </w:rPr>
              <w:t>. Rezultāta (attiecīgā gadījuma arī starpposma nodevumu) sasniegšanas vai nosacījumu izpildes verifikācija</w:t>
            </w:r>
          </w:p>
          <w:p w14:paraId="514AE127" w14:textId="14752603" w:rsidR="00AC212B" w:rsidRPr="00930237" w:rsidRDefault="00AC212B" w:rsidP="00710DDA">
            <w:pPr>
              <w:spacing w:before="0" w:after="0"/>
              <w:rPr>
                <w:noProof/>
                <w:sz w:val="20"/>
              </w:rPr>
            </w:pPr>
            <w:r w:rsidRPr="00930237">
              <w:rPr>
                <w:noProof/>
                <w:sz w:val="20"/>
              </w:rPr>
              <w:t>- aprakstiet, kāds(-i) dokuments(-i)</w:t>
            </w:r>
            <w:r w:rsidR="001F3611">
              <w:rPr>
                <w:noProof/>
                <w:sz w:val="20"/>
              </w:rPr>
              <w:t>/ sistēma</w:t>
            </w:r>
            <w:r w:rsidRPr="00930237">
              <w:rPr>
                <w:noProof/>
                <w:sz w:val="20"/>
              </w:rPr>
              <w:t xml:space="preserve"> tiks izmantots(-i), lai pārbaudītu rezultāta sasniegšanu vai nosacījumu izpildi</w:t>
            </w:r>
            <w:r w:rsidR="001F3611">
              <w:rPr>
                <w:noProof/>
                <w:sz w:val="20"/>
              </w:rPr>
              <w:t xml:space="preserve"> (un, kur relavanti, katru no starpposma rezultātiem)</w:t>
            </w:r>
          </w:p>
          <w:p w14:paraId="40AC85B6" w14:textId="244855EB" w:rsidR="00AC212B" w:rsidRPr="00930237" w:rsidRDefault="00AC212B" w:rsidP="00710DDA">
            <w:pPr>
              <w:spacing w:before="0" w:after="0"/>
              <w:rPr>
                <w:noProof/>
                <w:sz w:val="20"/>
              </w:rPr>
            </w:pPr>
            <w:r w:rsidRPr="00930237">
              <w:rPr>
                <w:noProof/>
                <w:sz w:val="20"/>
              </w:rPr>
              <w:t xml:space="preserve">- aprakstiet, </w:t>
            </w:r>
            <w:r w:rsidR="001F3611">
              <w:rPr>
                <w:noProof/>
                <w:sz w:val="20"/>
              </w:rPr>
              <w:t xml:space="preserve">kā </w:t>
            </w:r>
            <w:r w:rsidRPr="00930237">
              <w:rPr>
                <w:noProof/>
                <w:sz w:val="20"/>
              </w:rPr>
              <w:t>pārvaldības verifikācija</w:t>
            </w:r>
            <w:r w:rsidR="001F3611">
              <w:rPr>
                <w:noProof/>
                <w:sz w:val="20"/>
              </w:rPr>
              <w:t xml:space="preserve"> </w:t>
            </w:r>
            <w:r w:rsidRPr="00930237">
              <w:rPr>
                <w:noProof/>
                <w:sz w:val="20"/>
              </w:rPr>
              <w:t xml:space="preserve">(t. sk. uz vietas) </w:t>
            </w:r>
            <w:r w:rsidR="001F3611">
              <w:rPr>
                <w:noProof/>
                <w:sz w:val="20"/>
              </w:rPr>
              <w:t xml:space="preserve">tiks veikta, </w:t>
            </w:r>
            <w:r w:rsidRPr="00930237">
              <w:rPr>
                <w:noProof/>
                <w:sz w:val="20"/>
              </w:rPr>
              <w:t>un kurš to veiks</w:t>
            </w:r>
          </w:p>
          <w:p w14:paraId="35926A37" w14:textId="72F92F3E" w:rsidR="00AC212B" w:rsidRPr="00930237" w:rsidRDefault="00AC212B" w:rsidP="00710DDA">
            <w:pPr>
              <w:spacing w:before="0" w:after="0"/>
              <w:rPr>
                <w:noProof/>
                <w:sz w:val="20"/>
              </w:rPr>
            </w:pPr>
            <w:r w:rsidRPr="00930237">
              <w:rPr>
                <w:noProof/>
                <w:sz w:val="20"/>
              </w:rPr>
              <w:t xml:space="preserve">- aprakstiet </w:t>
            </w:r>
            <w:r w:rsidR="001F3611">
              <w:rPr>
                <w:noProof/>
                <w:sz w:val="20"/>
              </w:rPr>
              <w:t xml:space="preserve">kā tiks organozēta saistīto </w:t>
            </w:r>
            <w:r w:rsidRPr="00930237">
              <w:rPr>
                <w:noProof/>
                <w:sz w:val="20"/>
              </w:rPr>
              <w:t>datu/ dokumentu vākšanas un glabāšana</w:t>
            </w:r>
            <w:r w:rsidR="001F3611">
              <w:rPr>
                <w:noProof/>
                <w:sz w:val="20"/>
              </w:rPr>
              <w:t xml:space="preserve"> tiks nodrošināta</w:t>
            </w:r>
            <w:r w:rsidRPr="00930237">
              <w:rPr>
                <w:noProof/>
                <w:sz w:val="20"/>
              </w:rPr>
              <w:t xml:space="preserve">  </w:t>
            </w:r>
          </w:p>
          <w:p w14:paraId="4D018451" w14:textId="77777777" w:rsidR="00AC212B" w:rsidRPr="00930237" w:rsidRDefault="00AC212B" w:rsidP="00710DDA">
            <w:pPr>
              <w:spacing w:before="0" w:after="0"/>
              <w:rPr>
                <w:bCs/>
                <w:noProof/>
                <w:sz w:val="20"/>
              </w:rPr>
            </w:pP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4E3DE414" w14:textId="77777777" w:rsidR="00AC212B" w:rsidRPr="00930237" w:rsidRDefault="00AC212B" w:rsidP="00710DDA">
            <w:pPr>
              <w:spacing w:before="0" w:after="0"/>
              <w:jc w:val="center"/>
              <w:rPr>
                <w:noProof/>
                <w:sz w:val="20"/>
              </w:rPr>
            </w:pPr>
          </w:p>
          <w:p w14:paraId="3763A623" w14:textId="77777777" w:rsidR="00AC212B" w:rsidRPr="00930237" w:rsidRDefault="00AC212B" w:rsidP="00710DDA">
            <w:pPr>
              <w:spacing w:before="0" w:after="0"/>
              <w:jc w:val="center"/>
              <w:rPr>
                <w:noProof/>
                <w:sz w:val="20"/>
              </w:rPr>
            </w:pPr>
          </w:p>
          <w:p w14:paraId="04E96283" w14:textId="77777777" w:rsidR="00AC212B" w:rsidRPr="00930237" w:rsidRDefault="00AC212B" w:rsidP="00710DDA">
            <w:pPr>
              <w:spacing w:before="0" w:after="0"/>
              <w:jc w:val="center"/>
              <w:rPr>
                <w:noProof/>
                <w:sz w:val="20"/>
              </w:rPr>
            </w:pPr>
          </w:p>
        </w:tc>
      </w:tr>
      <w:tr w:rsidR="00AC212B" w:rsidRPr="00930237" w14:paraId="0DF6BCB5" w14:textId="77777777" w:rsidTr="00710DDA">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49246" w14:textId="77777777" w:rsidR="00AC212B" w:rsidRPr="00930237" w:rsidRDefault="00AC212B" w:rsidP="00710DDA">
            <w:pPr>
              <w:spacing w:before="0" w:after="0"/>
              <w:rPr>
                <w:noProof/>
                <w:sz w:val="20"/>
              </w:rPr>
            </w:pPr>
            <w:r w:rsidRPr="00930237">
              <w:rPr>
                <w:noProof/>
                <w:sz w:val="20"/>
              </w:rPr>
              <w:t>1.10.a Vai atbalsts (grants), ko dalībvalsts piešķir saņēmējiem, notiek finansējuma veidā, kas nav saistīts ar izmaksām? [Jā / Nē]</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43CC416D" w14:textId="77777777" w:rsidR="00AC212B" w:rsidRPr="00930237" w:rsidRDefault="00AC212B" w:rsidP="00710DDA">
            <w:pPr>
              <w:spacing w:before="0" w:after="0"/>
              <w:jc w:val="center"/>
              <w:rPr>
                <w:noProof/>
                <w:sz w:val="20"/>
              </w:rPr>
            </w:pPr>
          </w:p>
        </w:tc>
      </w:tr>
      <w:tr w:rsidR="00AC212B" w:rsidRPr="00930237" w14:paraId="29219AA6" w14:textId="77777777" w:rsidTr="00710DDA">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21184" w14:textId="77777777" w:rsidR="00AC212B" w:rsidRPr="00930237" w:rsidRDefault="00AC212B" w:rsidP="00710DDA">
            <w:pPr>
              <w:spacing w:before="0" w:after="0"/>
              <w:rPr>
                <w:noProof/>
                <w:sz w:val="20"/>
              </w:rPr>
            </w:pPr>
            <w:r w:rsidRPr="00930237">
              <w:rPr>
                <w:noProof/>
                <w:sz w:val="20"/>
              </w:rPr>
              <w:t xml:space="preserve">1.11. Kārtība, ar ko nodrošina revīzijas izsekojamību </w:t>
            </w:r>
          </w:p>
          <w:p w14:paraId="4356E3C6" w14:textId="77777777" w:rsidR="00AC212B" w:rsidRPr="00930237" w:rsidRDefault="00AC212B" w:rsidP="00710DDA">
            <w:pPr>
              <w:spacing w:before="0" w:after="0"/>
              <w:rPr>
                <w:bCs/>
                <w:noProof/>
                <w:sz w:val="20"/>
              </w:rPr>
            </w:pPr>
            <w:r w:rsidRPr="00930237">
              <w:rPr>
                <w:noProof/>
                <w:sz w:val="20"/>
              </w:rPr>
              <w:t>Norādiet struktūru(-as), kas ir atbildīga(-as) par šīs kārtības īstenošanu.</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776CEF34" w14:textId="77777777" w:rsidR="00AC212B" w:rsidRPr="00930237" w:rsidRDefault="00AC212B" w:rsidP="00710DDA">
            <w:pPr>
              <w:spacing w:before="0" w:after="0"/>
              <w:jc w:val="center"/>
              <w:rPr>
                <w:noProof/>
                <w:sz w:val="20"/>
              </w:rPr>
            </w:pPr>
          </w:p>
        </w:tc>
      </w:tr>
    </w:tbl>
    <w:p w14:paraId="0936966B" w14:textId="77777777" w:rsidR="00AC212B" w:rsidRPr="00930237" w:rsidRDefault="00AC212B" w:rsidP="00AC212B">
      <w:pPr>
        <w:tabs>
          <w:tab w:val="left" w:pos="1291"/>
        </w:tabs>
        <w:spacing w:before="0" w:after="0"/>
        <w:rPr>
          <w:rFonts w:eastAsia="Times New Roman"/>
          <w:b/>
          <w:noProof/>
          <w:sz w:val="20"/>
        </w:rPr>
      </w:pPr>
      <w:r w:rsidRPr="00930237">
        <w:rPr>
          <w:rFonts w:eastAsia="Times New Roman"/>
          <w:b/>
          <w:noProof/>
          <w:sz w:val="20"/>
        </w:rPr>
        <w:tab/>
      </w:r>
    </w:p>
    <w:p w14:paraId="0E353E9F" w14:textId="77777777" w:rsidR="00AC212B" w:rsidRPr="00930237" w:rsidRDefault="00AC212B" w:rsidP="00AC212B">
      <w:pPr>
        <w:tabs>
          <w:tab w:val="left" w:pos="1291"/>
        </w:tabs>
        <w:spacing w:before="0" w:after="0"/>
        <w:rPr>
          <w:rFonts w:eastAsia="Times New Roman"/>
          <w:b/>
          <w:noProof/>
          <w:sz w:val="20"/>
        </w:rPr>
      </w:pPr>
    </w:p>
    <w:p w14:paraId="2BB012A2" w14:textId="77777777" w:rsidR="00AC212B" w:rsidRPr="00930237" w:rsidRDefault="00AC212B" w:rsidP="00AC212B">
      <w:pPr>
        <w:spacing w:before="0" w:after="0"/>
        <w:jc w:val="left"/>
        <w:rPr>
          <w:rFonts w:eastAsia="Times New Roman"/>
          <w:b/>
          <w:noProof/>
          <w:sz w:val="20"/>
        </w:rPr>
      </w:pPr>
    </w:p>
    <w:p w14:paraId="1CC7A586" w14:textId="77777777" w:rsidR="00AC212B" w:rsidRPr="00930237" w:rsidRDefault="00AC212B" w:rsidP="00AC212B">
      <w:pPr>
        <w:tabs>
          <w:tab w:val="left" w:pos="1291"/>
        </w:tabs>
        <w:spacing w:before="0" w:after="0"/>
        <w:rPr>
          <w:rFonts w:eastAsia="Times New Roman"/>
          <w:b/>
          <w:noProof/>
          <w:sz w:val="20"/>
        </w:rPr>
      </w:pPr>
      <w:r w:rsidRPr="00930237">
        <w:rPr>
          <w:rFonts w:eastAsia="Times New Roman"/>
          <w:b/>
          <w:noProof/>
          <w:sz w:val="20"/>
        </w:rPr>
        <w:tab/>
      </w:r>
    </w:p>
    <w:p w14:paraId="7249D3D0" w14:textId="3C2BFA3D" w:rsidR="00AC212B" w:rsidRPr="00653ACF" w:rsidRDefault="00AC212B" w:rsidP="00653ACF"/>
    <w:p w14:paraId="154FCE46" w14:textId="77777777" w:rsidR="008260FF" w:rsidRPr="00260507" w:rsidRDefault="008260FF">
      <w:pPr>
        <w:rPr>
          <w:szCs w:val="24"/>
        </w:rPr>
      </w:pPr>
    </w:p>
    <w:sectPr w:rsidR="008260FF" w:rsidRPr="00260507">
      <w:headerReference w:type="even" r:id="rId193"/>
      <w:headerReference w:type="default" r:id="rId194"/>
      <w:footerReference w:type="even" r:id="rId195"/>
      <w:footerReference w:type="default" r:id="rId196"/>
      <w:headerReference w:type="first" r:id="rId197"/>
      <w:footerReference w:type="first" r:id="rId19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B330A" w14:textId="77777777" w:rsidR="006624B3" w:rsidRDefault="006624B3" w:rsidP="00AC212B">
      <w:pPr>
        <w:spacing w:before="0" w:after="0"/>
      </w:pPr>
      <w:r>
        <w:separator/>
      </w:r>
    </w:p>
  </w:endnote>
  <w:endnote w:type="continuationSeparator" w:id="0">
    <w:p w14:paraId="17AC1ECF" w14:textId="77777777" w:rsidR="006624B3" w:rsidRDefault="006624B3" w:rsidP="00AC212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EUAlbertina">
    <w:altName w:val="Times New Roman"/>
    <w:charset w:val="00"/>
    <w:family w:val="auto"/>
    <w:pitch w:val="variable"/>
    <w:sig w:usb0="800002EF" w:usb1="1000E0FB" w:usb2="00000000" w:usb3="00000000" w:csb0="0000009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135673"/>
      <w:docPartObj>
        <w:docPartGallery w:val="Page Numbers (Bottom of Page)"/>
        <w:docPartUnique/>
      </w:docPartObj>
    </w:sdtPr>
    <w:sdtEndPr>
      <w:rPr>
        <w:noProof/>
      </w:rPr>
    </w:sdtEndPr>
    <w:sdtContent>
      <w:p w14:paraId="3922160A" w14:textId="210884B2" w:rsidR="006624B3" w:rsidRDefault="006624B3">
        <w:pPr>
          <w:pStyle w:val="Footer"/>
          <w:jc w:val="center"/>
        </w:pPr>
        <w:r>
          <w:fldChar w:fldCharType="begin"/>
        </w:r>
        <w:r>
          <w:instrText xml:space="preserve"> PAGE   \* MERGEFORMAT </w:instrText>
        </w:r>
        <w:r>
          <w:fldChar w:fldCharType="separate"/>
        </w:r>
        <w:r w:rsidR="00E25CE3">
          <w:rPr>
            <w:noProof/>
          </w:rPr>
          <w:t>48</w:t>
        </w:r>
        <w:r>
          <w:rPr>
            <w:noProof/>
          </w:rPr>
          <w:fldChar w:fldCharType="end"/>
        </w:r>
      </w:p>
    </w:sdtContent>
  </w:sdt>
  <w:p w14:paraId="08C02900" w14:textId="77777777" w:rsidR="006624B3" w:rsidRDefault="006624B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A58FB" w14:textId="77777777" w:rsidR="006624B3" w:rsidRDefault="006624B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0542795"/>
      <w:docPartObj>
        <w:docPartGallery w:val="Page Numbers (Bottom of Page)"/>
        <w:docPartUnique/>
      </w:docPartObj>
    </w:sdtPr>
    <w:sdtEndPr>
      <w:rPr>
        <w:noProof/>
      </w:rPr>
    </w:sdtEndPr>
    <w:sdtContent>
      <w:p w14:paraId="616B566F" w14:textId="1AFB0DCE" w:rsidR="006624B3" w:rsidRDefault="006624B3">
        <w:pPr>
          <w:pStyle w:val="Footer"/>
          <w:jc w:val="center"/>
        </w:pPr>
        <w:r>
          <w:fldChar w:fldCharType="begin"/>
        </w:r>
        <w:r>
          <w:instrText xml:space="preserve"> PAGE   \* MERGEFORMAT </w:instrText>
        </w:r>
        <w:r>
          <w:fldChar w:fldCharType="separate"/>
        </w:r>
        <w:r w:rsidR="00EF1813">
          <w:rPr>
            <w:noProof/>
          </w:rPr>
          <w:t>245</w:t>
        </w:r>
        <w:r>
          <w:rPr>
            <w:noProof/>
          </w:rPr>
          <w:fldChar w:fldCharType="end"/>
        </w:r>
      </w:p>
    </w:sdtContent>
  </w:sdt>
  <w:p w14:paraId="6DDFC181" w14:textId="77777777" w:rsidR="006624B3" w:rsidRDefault="006624B3">
    <w:pPr>
      <w:pStyle w:val="Footer"/>
      <w:jc w:val="righ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4A326" w14:textId="77777777" w:rsidR="006624B3" w:rsidRDefault="006624B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1439D" w14:textId="77777777" w:rsidR="006624B3" w:rsidRDefault="006624B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3385560"/>
      <w:docPartObj>
        <w:docPartGallery w:val="Page Numbers (Bottom of Page)"/>
        <w:docPartUnique/>
      </w:docPartObj>
    </w:sdtPr>
    <w:sdtEndPr>
      <w:rPr>
        <w:noProof/>
      </w:rPr>
    </w:sdtEndPr>
    <w:sdtContent>
      <w:p w14:paraId="157D14F1" w14:textId="261447A1" w:rsidR="006624B3" w:rsidRDefault="006624B3">
        <w:pPr>
          <w:pStyle w:val="Footer"/>
          <w:jc w:val="center"/>
        </w:pPr>
        <w:r>
          <w:fldChar w:fldCharType="begin"/>
        </w:r>
        <w:r>
          <w:instrText xml:space="preserve"> PAGE   \* MERGEFORMAT </w:instrText>
        </w:r>
        <w:r>
          <w:fldChar w:fldCharType="separate"/>
        </w:r>
        <w:r w:rsidR="00EF1813">
          <w:rPr>
            <w:noProof/>
          </w:rPr>
          <w:t>246</w:t>
        </w:r>
        <w:r>
          <w:rPr>
            <w:noProof/>
          </w:rPr>
          <w:fldChar w:fldCharType="end"/>
        </w:r>
      </w:p>
    </w:sdtContent>
  </w:sdt>
  <w:p w14:paraId="7A991519" w14:textId="77777777" w:rsidR="006624B3" w:rsidRDefault="006624B3">
    <w:pPr>
      <w:pStyle w:val="Footer"/>
      <w:jc w:val="righ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B8BAD" w14:textId="77777777" w:rsidR="006624B3" w:rsidRDefault="006624B3">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1117D" w14:textId="77777777" w:rsidR="006624B3" w:rsidRDefault="006624B3">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0013743"/>
      <w:docPartObj>
        <w:docPartGallery w:val="Page Numbers (Bottom of Page)"/>
        <w:docPartUnique/>
      </w:docPartObj>
    </w:sdtPr>
    <w:sdtEndPr>
      <w:rPr>
        <w:noProof/>
      </w:rPr>
    </w:sdtEndPr>
    <w:sdtContent>
      <w:p w14:paraId="0B72F3A6" w14:textId="5E521413" w:rsidR="006624B3" w:rsidRDefault="006624B3">
        <w:pPr>
          <w:pStyle w:val="Footer"/>
          <w:jc w:val="center"/>
        </w:pPr>
        <w:r>
          <w:fldChar w:fldCharType="begin"/>
        </w:r>
        <w:r>
          <w:instrText xml:space="preserve"> PAGE   \* MERGEFORMAT </w:instrText>
        </w:r>
        <w:r>
          <w:fldChar w:fldCharType="separate"/>
        </w:r>
        <w:r w:rsidR="00EF1813">
          <w:rPr>
            <w:noProof/>
          </w:rPr>
          <w:t>247</w:t>
        </w:r>
        <w:r>
          <w:rPr>
            <w:noProof/>
          </w:rPr>
          <w:fldChar w:fldCharType="end"/>
        </w:r>
      </w:p>
    </w:sdtContent>
  </w:sdt>
  <w:p w14:paraId="53F9E019" w14:textId="77777777" w:rsidR="006624B3" w:rsidRDefault="006624B3">
    <w:pPr>
      <w:pStyle w:val="Footer"/>
      <w:jc w:val="righ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21F42" w14:textId="77777777" w:rsidR="006624B3" w:rsidRDefault="006624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631726"/>
      <w:docPartObj>
        <w:docPartGallery w:val="Page Numbers (Bottom of Page)"/>
        <w:docPartUnique/>
      </w:docPartObj>
    </w:sdtPr>
    <w:sdtEndPr>
      <w:rPr>
        <w:noProof/>
      </w:rPr>
    </w:sdtEndPr>
    <w:sdtContent>
      <w:p w14:paraId="059E969D" w14:textId="7BA331F9" w:rsidR="006624B3" w:rsidRDefault="006624B3">
        <w:pPr>
          <w:pStyle w:val="Footer"/>
          <w:jc w:val="center"/>
        </w:pPr>
        <w:r>
          <w:fldChar w:fldCharType="begin"/>
        </w:r>
        <w:r>
          <w:instrText xml:space="preserve"> PAGE   \* MERGEFORMAT </w:instrText>
        </w:r>
        <w:r>
          <w:fldChar w:fldCharType="separate"/>
        </w:r>
        <w:r w:rsidR="003B48FA">
          <w:rPr>
            <w:noProof/>
          </w:rPr>
          <w:t>138</w:t>
        </w:r>
        <w:r>
          <w:rPr>
            <w:noProof/>
          </w:rPr>
          <w:fldChar w:fldCharType="end"/>
        </w:r>
      </w:p>
    </w:sdtContent>
  </w:sdt>
  <w:p w14:paraId="3004B2E4" w14:textId="77777777" w:rsidR="006624B3" w:rsidRDefault="006624B3">
    <w:pPr>
      <w:pStyle w:val="Footer"/>
      <w:pBdr>
        <w:top w:val="single" w:sz="4" w:space="1" w:color="808080"/>
      </w:pBdr>
      <w:jc w:val="right"/>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8868838"/>
      <w:docPartObj>
        <w:docPartGallery w:val="Page Numbers (Bottom of Page)"/>
        <w:docPartUnique/>
      </w:docPartObj>
    </w:sdtPr>
    <w:sdtEndPr>
      <w:rPr>
        <w:noProof/>
      </w:rPr>
    </w:sdtEndPr>
    <w:sdtContent>
      <w:p w14:paraId="6FDE1CED" w14:textId="75D72F2A" w:rsidR="006624B3" w:rsidRDefault="006624B3">
        <w:pPr>
          <w:pStyle w:val="Footer"/>
          <w:jc w:val="center"/>
        </w:pPr>
        <w:r>
          <w:fldChar w:fldCharType="begin"/>
        </w:r>
        <w:r>
          <w:instrText xml:space="preserve"> PAGE   \* MERGEFORMAT </w:instrText>
        </w:r>
        <w:r>
          <w:fldChar w:fldCharType="separate"/>
        </w:r>
        <w:r w:rsidR="00E25CE3">
          <w:rPr>
            <w:noProof/>
          </w:rPr>
          <w:t>132</w:t>
        </w:r>
        <w:r>
          <w:rPr>
            <w:noProof/>
          </w:rPr>
          <w:fldChar w:fldCharType="end"/>
        </w:r>
      </w:p>
    </w:sdtContent>
  </w:sdt>
  <w:p w14:paraId="3708AEF4" w14:textId="77777777" w:rsidR="006624B3" w:rsidRDefault="006624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C8FE5" w14:textId="77777777" w:rsidR="006624B3" w:rsidRDefault="006624B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47065"/>
      <w:docPartObj>
        <w:docPartGallery w:val="Page Numbers (Bottom of Page)"/>
        <w:docPartUnique/>
      </w:docPartObj>
    </w:sdtPr>
    <w:sdtEndPr>
      <w:rPr>
        <w:noProof/>
      </w:rPr>
    </w:sdtEndPr>
    <w:sdtContent>
      <w:p w14:paraId="13484690" w14:textId="188C1733" w:rsidR="006624B3" w:rsidRDefault="006624B3">
        <w:pPr>
          <w:pStyle w:val="Footer"/>
          <w:jc w:val="center"/>
        </w:pPr>
        <w:r>
          <w:fldChar w:fldCharType="begin"/>
        </w:r>
        <w:r>
          <w:instrText xml:space="preserve"> PAGE   \* MERGEFORMAT </w:instrText>
        </w:r>
        <w:r>
          <w:fldChar w:fldCharType="separate"/>
        </w:r>
        <w:r w:rsidR="00EF1813">
          <w:rPr>
            <w:noProof/>
          </w:rPr>
          <w:t>234</w:t>
        </w:r>
        <w:r>
          <w:rPr>
            <w:noProof/>
          </w:rPr>
          <w:fldChar w:fldCharType="end"/>
        </w:r>
      </w:p>
    </w:sdtContent>
  </w:sdt>
  <w:p w14:paraId="56C7AD78" w14:textId="77777777" w:rsidR="006624B3" w:rsidRDefault="006624B3" w:rsidP="00710DDA">
    <w:pPr>
      <w:pStyle w:val="Footer"/>
      <w:pBdr>
        <w:top w:val="single" w:sz="4" w:space="1" w:color="808080"/>
      </w:pBdr>
      <w:jc w:val="center"/>
      <w:rPr>
        <w:rStyle w:val="PageNumbe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0317590"/>
      <w:docPartObj>
        <w:docPartGallery w:val="Page Numbers (Bottom of Page)"/>
        <w:docPartUnique/>
      </w:docPartObj>
    </w:sdtPr>
    <w:sdtEndPr>
      <w:rPr>
        <w:noProof/>
      </w:rPr>
    </w:sdtEndPr>
    <w:sdtContent>
      <w:p w14:paraId="02069CA8" w14:textId="32BCB944" w:rsidR="006624B3" w:rsidRDefault="006624B3">
        <w:pPr>
          <w:pStyle w:val="Footer"/>
          <w:jc w:val="center"/>
        </w:pPr>
        <w:r>
          <w:fldChar w:fldCharType="begin"/>
        </w:r>
        <w:r>
          <w:instrText xml:space="preserve"> PAGE   \* MERGEFORMAT </w:instrText>
        </w:r>
        <w:r>
          <w:fldChar w:fldCharType="separate"/>
        </w:r>
        <w:r w:rsidR="00EF1813">
          <w:rPr>
            <w:noProof/>
          </w:rPr>
          <w:t>232</w:t>
        </w:r>
        <w:r>
          <w:rPr>
            <w:noProof/>
          </w:rPr>
          <w:fldChar w:fldCharType="end"/>
        </w:r>
      </w:p>
    </w:sdtContent>
  </w:sdt>
  <w:p w14:paraId="52B49666" w14:textId="77777777" w:rsidR="006624B3" w:rsidRDefault="006624B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DBBAF" w14:textId="77777777" w:rsidR="006624B3" w:rsidRDefault="006624B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628CD" w14:textId="5AB4C309" w:rsidR="006624B3" w:rsidRDefault="006624B3">
    <w:pPr>
      <w:pStyle w:val="Footer"/>
      <w:pBdr>
        <w:top w:val="single" w:sz="4" w:space="1" w:color="808080"/>
      </w:pBd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EF1813">
      <w:rPr>
        <w:rStyle w:val="PageNumber"/>
        <w:noProof/>
      </w:rPr>
      <w:t>237</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8583940"/>
      <w:docPartObj>
        <w:docPartGallery w:val="Page Numbers (Bottom of Page)"/>
        <w:docPartUnique/>
      </w:docPartObj>
    </w:sdtPr>
    <w:sdtEndPr>
      <w:rPr>
        <w:noProof/>
      </w:rPr>
    </w:sdtEndPr>
    <w:sdtContent>
      <w:p w14:paraId="7F524B57" w14:textId="5F5901C9" w:rsidR="006624B3" w:rsidRDefault="006624B3">
        <w:pPr>
          <w:pStyle w:val="Footer"/>
          <w:jc w:val="center"/>
        </w:pPr>
        <w:r>
          <w:fldChar w:fldCharType="begin"/>
        </w:r>
        <w:r>
          <w:instrText xml:space="preserve"> PAGE   \* MERGEFORMAT </w:instrText>
        </w:r>
        <w:r>
          <w:fldChar w:fldCharType="separate"/>
        </w:r>
        <w:r w:rsidR="00EF1813">
          <w:rPr>
            <w:noProof/>
          </w:rPr>
          <w:t>236</w:t>
        </w:r>
        <w:r>
          <w:rPr>
            <w:noProof/>
          </w:rPr>
          <w:fldChar w:fldCharType="end"/>
        </w:r>
      </w:p>
    </w:sdtContent>
  </w:sdt>
  <w:p w14:paraId="1321388D" w14:textId="77777777" w:rsidR="006624B3" w:rsidRDefault="00662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197A6" w14:textId="77777777" w:rsidR="006624B3" w:rsidRDefault="006624B3" w:rsidP="00AC212B">
      <w:pPr>
        <w:spacing w:before="0" w:after="0"/>
      </w:pPr>
      <w:r>
        <w:separator/>
      </w:r>
    </w:p>
  </w:footnote>
  <w:footnote w:type="continuationSeparator" w:id="0">
    <w:p w14:paraId="0B09DFCD" w14:textId="77777777" w:rsidR="006624B3" w:rsidRDefault="006624B3" w:rsidP="00AC212B">
      <w:pPr>
        <w:spacing w:before="0" w:after="0"/>
      </w:pPr>
      <w:r>
        <w:continuationSeparator/>
      </w:r>
    </w:p>
  </w:footnote>
  <w:footnote w:id="1">
    <w:p w14:paraId="18981D8F" w14:textId="77777777" w:rsidR="006624B3" w:rsidRPr="00FD2BE0" w:rsidRDefault="006624B3"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w:t>
      </w:r>
      <w:hyperlink r:id="rId1" w:history="1">
        <w:r w:rsidRPr="00FD2BE0">
          <w:rPr>
            <w:rStyle w:val="Hyperlink"/>
            <w:color w:val="auto"/>
            <w:sz w:val="18"/>
            <w:szCs w:val="18"/>
          </w:rPr>
          <w:t>https://likumi.lv/ta/id/310954-par-regionalas-politikas-pamatnostadnem-2021-2027-gadam</w:t>
        </w:r>
      </w:hyperlink>
    </w:p>
  </w:footnote>
  <w:footnote w:id="2">
    <w:p w14:paraId="1EB2AF39" w14:textId="77777777" w:rsidR="006624B3" w:rsidRPr="00FD2BE0" w:rsidRDefault="006624B3" w:rsidP="00AC212B">
      <w:pPr>
        <w:pStyle w:val="FootnoteText"/>
        <w:ind w:left="0" w:firstLine="0"/>
        <w:rPr>
          <w:sz w:val="18"/>
          <w:szCs w:val="18"/>
        </w:rPr>
      </w:pPr>
      <w:r w:rsidRPr="00FD2BE0">
        <w:rPr>
          <w:rStyle w:val="FootnoteReference"/>
          <w:sz w:val="18"/>
          <w:szCs w:val="18"/>
        </w:rPr>
        <w:footnoteRef/>
      </w:r>
      <w:hyperlink r:id="rId2" w:history="1">
        <w:r w:rsidRPr="00FD2BE0">
          <w:rPr>
            <w:rStyle w:val="Hyperlink"/>
            <w:color w:val="auto"/>
            <w:sz w:val="18"/>
            <w:szCs w:val="18"/>
          </w:rPr>
          <w:t>http://ec.europa.eu/social/main.jsp?catId=104&amp;langId=lv</w:t>
        </w:r>
      </w:hyperlink>
      <w:r w:rsidRPr="00FD2BE0">
        <w:rPr>
          <w:sz w:val="18"/>
          <w:szCs w:val="18"/>
        </w:rPr>
        <w:t xml:space="preserve">; </w:t>
      </w:r>
      <w:hyperlink r:id="rId3" w:history="1">
        <w:r w:rsidRPr="00FD2BE0">
          <w:rPr>
            <w:rStyle w:val="Hyperlink"/>
            <w:color w:val="auto"/>
            <w:sz w:val="18"/>
            <w:szCs w:val="18"/>
          </w:rPr>
          <w:t>http://europa.eu.int/comm/employment_social/local_employment/</w:t>
        </w:r>
      </w:hyperlink>
      <w:r w:rsidRPr="00FD2BE0">
        <w:rPr>
          <w:sz w:val="18"/>
          <w:szCs w:val="18"/>
        </w:rPr>
        <w:t>index_en.htm</w:t>
      </w:r>
    </w:p>
  </w:footnote>
  <w:footnote w:id="3">
    <w:p w14:paraId="47F8E0FE" w14:textId="77777777" w:rsidR="006624B3" w:rsidRPr="00005311" w:rsidRDefault="006624B3" w:rsidP="00AC212B">
      <w:pPr>
        <w:pStyle w:val="FootnoteText"/>
        <w:ind w:left="0" w:firstLine="0"/>
        <w:jc w:val="left"/>
        <w:rPr>
          <w:sz w:val="18"/>
          <w:szCs w:val="18"/>
        </w:rPr>
      </w:pPr>
      <w:r w:rsidRPr="00005311">
        <w:rPr>
          <w:rStyle w:val="FootnoteReference"/>
          <w:sz w:val="18"/>
          <w:szCs w:val="18"/>
        </w:rPr>
        <w:footnoteRef/>
      </w:r>
      <w:r w:rsidRPr="00005311">
        <w:rPr>
          <w:sz w:val="18"/>
          <w:szCs w:val="18"/>
        </w:rPr>
        <w:t xml:space="preserve"> Eurostat dati  </w:t>
      </w:r>
      <w:hyperlink r:id="rId4" w:history="1">
        <w:r w:rsidRPr="00005311">
          <w:rPr>
            <w:rStyle w:val="Hyperlink"/>
            <w:sz w:val="18"/>
            <w:szCs w:val="18"/>
          </w:rPr>
          <w:t>https://ieej.lv/SjlVN</w:t>
        </w:r>
      </w:hyperlink>
      <w:r w:rsidRPr="00005311">
        <w:rPr>
          <w:sz w:val="18"/>
          <w:szCs w:val="18"/>
        </w:rPr>
        <w:t xml:space="preserve"> </w:t>
      </w:r>
    </w:p>
  </w:footnote>
  <w:footnote w:id="4">
    <w:p w14:paraId="31DC4E76" w14:textId="77777777" w:rsidR="006624B3" w:rsidRPr="00005311" w:rsidRDefault="006624B3" w:rsidP="00AC212B">
      <w:pPr>
        <w:pStyle w:val="FootnoteText"/>
        <w:ind w:left="0" w:firstLine="0"/>
        <w:jc w:val="left"/>
        <w:rPr>
          <w:sz w:val="18"/>
          <w:szCs w:val="18"/>
        </w:rPr>
      </w:pPr>
      <w:r w:rsidRPr="00005311">
        <w:rPr>
          <w:rStyle w:val="FootnoteReference"/>
          <w:sz w:val="18"/>
          <w:szCs w:val="18"/>
        </w:rPr>
        <w:footnoteRef/>
      </w:r>
      <w:r w:rsidRPr="00005311">
        <w:rPr>
          <w:sz w:val="18"/>
          <w:szCs w:val="18"/>
        </w:rPr>
        <w:t xml:space="preserve"> </w:t>
      </w:r>
      <w:hyperlink r:id="rId5" w:history="1">
        <w:r w:rsidRPr="00005311">
          <w:rPr>
            <w:rStyle w:val="Hyperlink"/>
            <w:sz w:val="18"/>
            <w:szCs w:val="18"/>
          </w:rPr>
          <w:t>https://ieej.lv/ED0qg</w:t>
        </w:r>
      </w:hyperlink>
      <w:r w:rsidRPr="00005311">
        <w:rPr>
          <w:sz w:val="18"/>
          <w:szCs w:val="18"/>
        </w:rPr>
        <w:t xml:space="preserve"> </w:t>
      </w:r>
    </w:p>
  </w:footnote>
  <w:footnote w:id="5">
    <w:p w14:paraId="6BBAC4B4" w14:textId="77777777" w:rsidR="006624B3" w:rsidRPr="00005311" w:rsidRDefault="006624B3" w:rsidP="00AC212B">
      <w:pPr>
        <w:tabs>
          <w:tab w:val="left" w:pos="9020"/>
        </w:tabs>
        <w:spacing w:before="0" w:after="0"/>
        <w:jc w:val="left"/>
        <w:rPr>
          <w:sz w:val="18"/>
          <w:szCs w:val="18"/>
        </w:rPr>
      </w:pPr>
      <w:r w:rsidRPr="00005311">
        <w:rPr>
          <w:rStyle w:val="FootnoteReference"/>
          <w:sz w:val="18"/>
          <w:szCs w:val="18"/>
        </w:rPr>
        <w:footnoteRef/>
      </w:r>
      <w:r w:rsidRPr="00005311">
        <w:rPr>
          <w:sz w:val="18"/>
          <w:szCs w:val="18"/>
        </w:rPr>
        <w:t xml:space="preserve"> RPP</w:t>
      </w:r>
    </w:p>
  </w:footnote>
  <w:footnote w:id="6">
    <w:p w14:paraId="7719244C" w14:textId="77777777" w:rsidR="006624B3" w:rsidRPr="00FD2BE0" w:rsidRDefault="006624B3" w:rsidP="00AC212B">
      <w:pPr>
        <w:spacing w:before="0" w:after="0"/>
        <w:jc w:val="left"/>
        <w:rPr>
          <w:rFonts w:eastAsia="Times New Roman"/>
          <w:sz w:val="18"/>
          <w:szCs w:val="18"/>
        </w:rPr>
      </w:pPr>
      <w:r w:rsidRPr="00005311">
        <w:rPr>
          <w:rFonts w:eastAsia="Times New Roman"/>
          <w:sz w:val="18"/>
          <w:szCs w:val="18"/>
          <w:vertAlign w:val="superscript"/>
        </w:rPr>
        <w:footnoteRef/>
      </w:r>
      <w:r>
        <w:rPr>
          <w:rFonts w:eastAsia="Times New Roman"/>
          <w:sz w:val="18"/>
          <w:szCs w:val="18"/>
        </w:rPr>
        <w:t xml:space="preserve"> CSP dati, 2016.gads</w:t>
      </w:r>
    </w:p>
  </w:footnote>
  <w:footnote w:id="7">
    <w:p w14:paraId="1A928201" w14:textId="77777777" w:rsidR="006624B3" w:rsidRPr="00C9332D" w:rsidRDefault="006624B3" w:rsidP="00AC212B">
      <w:pPr>
        <w:pStyle w:val="FootnoteText"/>
        <w:ind w:left="0" w:firstLine="0"/>
        <w:rPr>
          <w:sz w:val="18"/>
          <w:szCs w:val="18"/>
        </w:rPr>
      </w:pPr>
      <w:r w:rsidRPr="00C9332D">
        <w:rPr>
          <w:rStyle w:val="FootnoteReference"/>
          <w:sz w:val="18"/>
          <w:szCs w:val="18"/>
        </w:rPr>
        <w:footnoteRef/>
      </w:r>
      <w:r w:rsidRPr="00C9332D">
        <w:rPr>
          <w:sz w:val="18"/>
          <w:szCs w:val="18"/>
        </w:rPr>
        <w:t xml:space="preserve"> </w:t>
      </w:r>
      <w:r w:rsidRPr="00C9332D">
        <w:rPr>
          <w:i/>
          <w:sz w:val="18"/>
          <w:szCs w:val="18"/>
        </w:rPr>
        <w:t>European Innovation Scoreboard</w:t>
      </w:r>
      <w:r w:rsidRPr="00C9332D">
        <w:rPr>
          <w:sz w:val="18"/>
          <w:szCs w:val="18"/>
        </w:rPr>
        <w:t xml:space="preserve"> 2019 </w:t>
      </w:r>
      <w:hyperlink r:id="rId6" w:history="1">
        <w:r w:rsidRPr="00C9332D">
          <w:rPr>
            <w:rStyle w:val="Hyperlink"/>
            <w:sz w:val="18"/>
            <w:szCs w:val="18"/>
          </w:rPr>
          <w:t>file:///C:/Users/ESD437/Downloads/Latvia.pdf</w:t>
        </w:r>
      </w:hyperlink>
    </w:p>
  </w:footnote>
  <w:footnote w:id="8">
    <w:p w14:paraId="019226BA" w14:textId="77777777" w:rsidR="006624B3" w:rsidRPr="00C9332D" w:rsidRDefault="006624B3" w:rsidP="00AC212B">
      <w:pPr>
        <w:pStyle w:val="FootnoteText"/>
        <w:rPr>
          <w:sz w:val="18"/>
          <w:szCs w:val="18"/>
        </w:rPr>
      </w:pPr>
      <w:r w:rsidRPr="00C9332D">
        <w:rPr>
          <w:rStyle w:val="FootnoteReference"/>
          <w:sz w:val="18"/>
          <w:szCs w:val="18"/>
        </w:rPr>
        <w:footnoteRef/>
      </w:r>
      <w:r w:rsidRPr="00C9332D">
        <w:rPr>
          <w:sz w:val="18"/>
          <w:szCs w:val="18"/>
        </w:rPr>
        <w:t xml:space="preserve"> Nacionālās industriālās pamatnostādnes 20201-2027 (projekts)</w:t>
      </w:r>
    </w:p>
  </w:footnote>
  <w:footnote w:id="9">
    <w:p w14:paraId="5EE45030" w14:textId="77777777" w:rsidR="006624B3" w:rsidRPr="00C9332D" w:rsidRDefault="006624B3" w:rsidP="00AC212B">
      <w:pPr>
        <w:pStyle w:val="FootnoteText"/>
      </w:pPr>
      <w:r w:rsidRPr="00C9332D">
        <w:rPr>
          <w:rStyle w:val="FootnoteReference"/>
          <w:sz w:val="18"/>
          <w:szCs w:val="18"/>
        </w:rPr>
        <w:footnoteRef/>
      </w:r>
      <w:r w:rsidRPr="00C9332D">
        <w:rPr>
          <w:sz w:val="18"/>
          <w:szCs w:val="18"/>
        </w:rPr>
        <w:t xml:space="preserve"> Zinātnes, tehnoloģijas attīstības un inovāciju pamatnostādnes 2021-2027.gadam (projekts)</w:t>
      </w:r>
    </w:p>
  </w:footnote>
  <w:footnote w:id="10">
    <w:p w14:paraId="77E51821" w14:textId="77777777" w:rsidR="006624B3" w:rsidRPr="00C9332D" w:rsidRDefault="006624B3" w:rsidP="00AC212B">
      <w:pPr>
        <w:spacing w:before="0" w:after="0"/>
        <w:rPr>
          <w:rStyle w:val="Hyperlink"/>
          <w:rFonts w:eastAsia="Calibri Light"/>
          <w:color w:val="0563C1"/>
          <w:sz w:val="18"/>
          <w:szCs w:val="18"/>
          <w:lang w:val="en-GB"/>
        </w:rPr>
      </w:pPr>
      <w:r w:rsidRPr="00C9332D">
        <w:rPr>
          <w:sz w:val="18"/>
          <w:szCs w:val="18"/>
          <w:vertAlign w:val="superscript"/>
        </w:rPr>
        <w:footnoteRef/>
      </w:r>
      <w:r w:rsidRPr="00C9332D">
        <w:rPr>
          <w:sz w:val="18"/>
          <w:szCs w:val="18"/>
        </w:rPr>
        <w:t xml:space="preserve"> </w:t>
      </w:r>
      <w:r w:rsidRPr="00C9332D">
        <w:rPr>
          <w:rFonts w:eastAsia="Calibri Light"/>
          <w:sz w:val="18"/>
          <w:szCs w:val="18"/>
          <w:lang w:val="en-GB"/>
        </w:rPr>
        <w:t xml:space="preserve">EIS 2019 datubāze </w:t>
      </w:r>
      <w:hyperlink r:id="rId7" w:history="1">
        <w:r w:rsidRPr="00C9332D">
          <w:rPr>
            <w:rStyle w:val="Hyperlink"/>
            <w:rFonts w:eastAsia="Calibri Light"/>
            <w:sz w:val="18"/>
            <w:szCs w:val="18"/>
            <w:lang w:val="en-GB"/>
          </w:rPr>
          <w:t>https://ieej.lv/Vu9v6</w:t>
        </w:r>
      </w:hyperlink>
      <w:r w:rsidRPr="00C9332D">
        <w:rPr>
          <w:rFonts w:eastAsia="Calibri Light"/>
          <w:sz w:val="18"/>
          <w:szCs w:val="18"/>
          <w:lang w:val="en-GB"/>
        </w:rPr>
        <w:t xml:space="preserve"> </w:t>
      </w:r>
    </w:p>
  </w:footnote>
  <w:footnote w:id="11">
    <w:p w14:paraId="7EDA6E0F" w14:textId="46CFA495" w:rsidR="006624B3" w:rsidRDefault="006624B3">
      <w:pPr>
        <w:pStyle w:val="FootnoteText"/>
      </w:pPr>
      <w:r>
        <w:rPr>
          <w:rStyle w:val="FootnoteReference"/>
        </w:rPr>
        <w:footnoteRef/>
      </w:r>
      <w:r>
        <w:t xml:space="preserve"> </w:t>
      </w:r>
      <w:r w:rsidRPr="00E37040">
        <w:rPr>
          <w:sz w:val="18"/>
          <w:szCs w:val="18"/>
        </w:rPr>
        <w:t>CSP, 2019.gads</w:t>
      </w:r>
    </w:p>
  </w:footnote>
  <w:footnote w:id="12">
    <w:p w14:paraId="2ADB955D" w14:textId="77777777" w:rsidR="006624B3" w:rsidRPr="00C9332D" w:rsidRDefault="006624B3" w:rsidP="00AC212B">
      <w:pPr>
        <w:pStyle w:val="FootnoteText"/>
        <w:ind w:left="0" w:firstLine="0"/>
        <w:rPr>
          <w:sz w:val="18"/>
          <w:szCs w:val="18"/>
        </w:rPr>
      </w:pPr>
      <w:r w:rsidRPr="00FD2BE0">
        <w:rPr>
          <w:rStyle w:val="FootnoteReference"/>
          <w:sz w:val="18"/>
          <w:szCs w:val="18"/>
        </w:rPr>
        <w:footnoteRef/>
      </w:r>
      <w:r>
        <w:rPr>
          <w:sz w:val="18"/>
          <w:szCs w:val="18"/>
        </w:rPr>
        <w:t xml:space="preserve"> </w:t>
      </w:r>
      <w:r w:rsidRPr="00C9332D">
        <w:rPr>
          <w:sz w:val="18"/>
          <w:szCs w:val="18"/>
        </w:rPr>
        <w:t xml:space="preserve">Eiropadomes secinājumi - Jauna stratēģiskā programma 2019.–2024.gadam, (2019.gada jūnijs) </w:t>
      </w:r>
      <w:hyperlink r:id="rId8" w:history="1">
        <w:r w:rsidRPr="00C9332D">
          <w:rPr>
            <w:rStyle w:val="Hyperlink"/>
            <w:sz w:val="18"/>
            <w:szCs w:val="18"/>
          </w:rPr>
          <w:t>https://ieej.lv/lQpKn</w:t>
        </w:r>
      </w:hyperlink>
      <w:r w:rsidRPr="00C9332D">
        <w:rPr>
          <w:sz w:val="18"/>
          <w:szCs w:val="18"/>
        </w:rPr>
        <w:t xml:space="preserve"> 4.lpp.</w:t>
      </w:r>
    </w:p>
  </w:footnote>
  <w:footnote w:id="13">
    <w:p w14:paraId="44FDCF80" w14:textId="77777777" w:rsidR="006624B3" w:rsidRPr="00C9332D" w:rsidRDefault="006624B3"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w:t>
      </w:r>
      <w:r w:rsidRPr="00C9332D">
        <w:rPr>
          <w:sz w:val="18"/>
          <w:szCs w:val="18"/>
        </w:rPr>
        <w:t xml:space="preserve">Piekrastes plānojuma 5.darba materiāls 5.Publiskās infrastruktūras izvērtējums pašvaldību griezumā </w:t>
      </w:r>
      <w:hyperlink r:id="rId9" w:history="1">
        <w:r w:rsidRPr="00C9332D">
          <w:rPr>
            <w:rStyle w:val="Hyperlink"/>
            <w:sz w:val="18"/>
            <w:szCs w:val="18"/>
          </w:rPr>
          <w:t>https://ieej.lv/AD6q8</w:t>
        </w:r>
      </w:hyperlink>
      <w:r w:rsidRPr="00C9332D">
        <w:rPr>
          <w:sz w:val="18"/>
          <w:szCs w:val="18"/>
        </w:rPr>
        <w:t xml:space="preserve"> </w:t>
      </w:r>
    </w:p>
  </w:footnote>
  <w:footnote w:id="14">
    <w:p w14:paraId="65B93517" w14:textId="77777777" w:rsidR="006624B3" w:rsidRDefault="006624B3" w:rsidP="00E706B9">
      <w:pPr>
        <w:pStyle w:val="FootnoteText"/>
      </w:pPr>
      <w:r>
        <w:rPr>
          <w:rStyle w:val="FootnoteReference"/>
        </w:rPr>
        <w:footnoteRef/>
      </w:r>
      <w:r>
        <w:t xml:space="preserve"> </w:t>
      </w:r>
      <w:r w:rsidRPr="00FD2BE0">
        <w:rPr>
          <w:sz w:val="18"/>
          <w:szCs w:val="18"/>
        </w:rPr>
        <w:t>Digital Economy and Society Index 2020</w:t>
      </w:r>
      <w:r>
        <w:rPr>
          <w:sz w:val="18"/>
          <w:szCs w:val="18"/>
        </w:rPr>
        <w:t xml:space="preserve"> – 9%.</w:t>
      </w:r>
    </w:p>
  </w:footnote>
  <w:footnote w:id="15">
    <w:p w14:paraId="35382814" w14:textId="77777777" w:rsidR="006624B3" w:rsidRPr="00FD2BE0" w:rsidRDefault="006624B3"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Digital Economy and Society Index 2020</w:t>
      </w:r>
    </w:p>
  </w:footnote>
  <w:footnote w:id="16">
    <w:p w14:paraId="46666753" w14:textId="67891E7F" w:rsidR="006624B3" w:rsidRPr="00FD2BE0" w:rsidRDefault="006624B3"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Saskaņā ar pašvaldību sniegtajiem datiem 20</w:t>
      </w:r>
      <w:r>
        <w:rPr>
          <w:sz w:val="18"/>
          <w:szCs w:val="18"/>
        </w:rPr>
        <w:t>20</w:t>
      </w:r>
      <w:r w:rsidRPr="00FD2BE0">
        <w:rPr>
          <w:sz w:val="18"/>
          <w:szCs w:val="18"/>
        </w:rPr>
        <w:t>.gada oktobrī</w:t>
      </w:r>
    </w:p>
  </w:footnote>
  <w:footnote w:id="17">
    <w:p w14:paraId="26B2BDDE" w14:textId="77777777" w:rsidR="006624B3" w:rsidRDefault="006624B3" w:rsidP="00AF1798">
      <w:pPr>
        <w:pStyle w:val="FootnoteText"/>
      </w:pPr>
      <w:r>
        <w:rPr>
          <w:rStyle w:val="FootnoteReference"/>
        </w:rPr>
        <w:footnoteRef/>
      </w:r>
      <w:r>
        <w:t xml:space="preserve"> </w:t>
      </w:r>
      <w:hyperlink r:id="rId10" w:history="1">
        <w:r w:rsidRPr="00EA0CC8">
          <w:rPr>
            <w:rStyle w:val="Hyperlink"/>
          </w:rPr>
          <w:t>https://www.csdd.lv/celu-satiksmes-negadijumi/celu-satiksmes-negadijumu-skaits</w:t>
        </w:r>
      </w:hyperlink>
      <w:r>
        <w:t xml:space="preserve">, </w:t>
      </w:r>
      <w:r w:rsidRPr="00306B81">
        <w:t xml:space="preserve">(provizoriskie dati uz </w:t>
      </w:r>
    </w:p>
    <w:p w14:paraId="322AA28D" w14:textId="77777777" w:rsidR="006624B3" w:rsidRDefault="006624B3" w:rsidP="00AF1798">
      <w:pPr>
        <w:pStyle w:val="FootnoteText"/>
      </w:pPr>
      <w:r>
        <w:t>0</w:t>
      </w:r>
      <w:r w:rsidRPr="00306B81">
        <w:t>7.01.2021.)</w:t>
      </w:r>
    </w:p>
  </w:footnote>
  <w:footnote w:id="18">
    <w:p w14:paraId="061D9B3B" w14:textId="77777777" w:rsidR="006624B3" w:rsidRPr="002F3CA1" w:rsidRDefault="006624B3" w:rsidP="00AF1798">
      <w:pPr>
        <w:pStyle w:val="FootnoteText"/>
      </w:pPr>
      <w:r>
        <w:rPr>
          <w:rStyle w:val="FootnoteReference"/>
        </w:rPr>
        <w:footnoteRef/>
      </w:r>
      <w:r>
        <w:t xml:space="preserve"> </w:t>
      </w:r>
      <w:r w:rsidRPr="002F3CA1">
        <w:t>Ilgtspējīgi pārvietošanās veidi ir pārvietošanās ar kājām, ar velosipēdu, ar sabiedrisko transportu, ar</w:t>
      </w:r>
    </w:p>
    <w:p w14:paraId="38D8EB85" w14:textId="77777777" w:rsidR="006624B3" w:rsidRDefault="006624B3" w:rsidP="00AF1798">
      <w:pPr>
        <w:pStyle w:val="FootnoteText"/>
      </w:pPr>
      <w:r w:rsidRPr="002F3CA1">
        <w:t>automobiļiem, kas aprīkoti ar elektrisko vai hibrīda dzinēju, un izmanto multimodālo transporta sistēmu.</w:t>
      </w:r>
    </w:p>
  </w:footnote>
  <w:footnote w:id="19">
    <w:p w14:paraId="74D012EC" w14:textId="77777777" w:rsidR="006624B3" w:rsidRPr="00FD2BE0" w:rsidRDefault="006624B3" w:rsidP="00AF1798">
      <w:pPr>
        <w:pStyle w:val="FootnoteText"/>
        <w:tabs>
          <w:tab w:val="left" w:pos="426"/>
        </w:tabs>
        <w:ind w:left="0" w:firstLine="0"/>
        <w:jc w:val="left"/>
        <w:rPr>
          <w:sz w:val="18"/>
          <w:szCs w:val="18"/>
        </w:rPr>
      </w:pPr>
      <w:r w:rsidRPr="00FD2BE0">
        <w:rPr>
          <w:rStyle w:val="FootnoteReference"/>
          <w:sz w:val="18"/>
          <w:szCs w:val="18"/>
        </w:rPr>
        <w:footnoteRef/>
      </w:r>
      <w:r w:rsidRPr="00FD2BE0">
        <w:rPr>
          <w:sz w:val="18"/>
          <w:szCs w:val="18"/>
        </w:rPr>
        <w:t xml:space="preserve"> </w:t>
      </w:r>
      <w:r>
        <w:rPr>
          <w:sz w:val="18"/>
          <w:szCs w:val="18"/>
        </w:rPr>
        <w:t>CSP,</w:t>
      </w:r>
      <w:r w:rsidRPr="00FD2BE0">
        <w:rPr>
          <w:sz w:val="18"/>
          <w:szCs w:val="18"/>
        </w:rPr>
        <w:t xml:space="preserve"> </w:t>
      </w:r>
      <w:hyperlink r:id="rId11" w:history="1">
        <w:r w:rsidRPr="004232B5">
          <w:rPr>
            <w:rStyle w:val="Hyperlink"/>
            <w:sz w:val="18"/>
            <w:szCs w:val="18"/>
          </w:rPr>
          <w:t>https://ieej.lv/TtZRl</w:t>
        </w:r>
      </w:hyperlink>
      <w:r>
        <w:rPr>
          <w:sz w:val="18"/>
          <w:szCs w:val="18"/>
        </w:rPr>
        <w:t xml:space="preserve"> </w:t>
      </w:r>
    </w:p>
  </w:footnote>
  <w:footnote w:id="20">
    <w:p w14:paraId="6196AFBF" w14:textId="77777777" w:rsidR="006624B3" w:rsidRPr="00FD2BE0" w:rsidRDefault="006624B3"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Ēku atjaunošanas ilgtermiņa stratēģija (izstrādē)</w:t>
      </w:r>
    </w:p>
  </w:footnote>
  <w:footnote w:id="21">
    <w:p w14:paraId="6CE10EFF" w14:textId="77777777" w:rsidR="006624B3" w:rsidRPr="00FD2BE0" w:rsidRDefault="006624B3"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EK Vides politikas īstenošanas pārskata par Latviju un 2017.gada, 2018.gada un 2019.gada ziņojumos par strukturālo reformu īstenošanu Latvijā</w:t>
      </w:r>
    </w:p>
  </w:footnote>
  <w:footnote w:id="22">
    <w:p w14:paraId="59D5EEC3" w14:textId="77777777" w:rsidR="006624B3" w:rsidRDefault="006624B3" w:rsidP="007323C7">
      <w:pPr>
        <w:pStyle w:val="FootnoteText"/>
        <w:ind w:left="284" w:hanging="284"/>
      </w:pPr>
      <w:r w:rsidRPr="007323C7">
        <w:rPr>
          <w:rStyle w:val="FootnoteReference"/>
          <w:sz w:val="18"/>
          <w:szCs w:val="18"/>
        </w:rPr>
        <w:footnoteRef/>
      </w:r>
      <w:r>
        <w:rPr>
          <w:sz w:val="18"/>
          <w:szCs w:val="18"/>
        </w:rPr>
        <w:t xml:space="preserve"> </w:t>
      </w:r>
      <w:r w:rsidRPr="007323C7">
        <w:rPr>
          <w:sz w:val="18"/>
          <w:szCs w:val="18"/>
        </w:rPr>
        <w:t>EK ziņojums (2019).</w:t>
      </w:r>
      <w:r>
        <w:t xml:space="preserve"> </w:t>
      </w:r>
      <w:r w:rsidRPr="007323C7">
        <w:rPr>
          <w:sz w:val="18"/>
          <w:szCs w:val="18"/>
        </w:rPr>
        <w:t>Otro upju baseinu apsaimniekošanas plāni - Dalībvalsts: Latvija</w:t>
      </w:r>
      <w:r>
        <w:rPr>
          <w:sz w:val="18"/>
          <w:szCs w:val="18"/>
        </w:rPr>
        <w:t xml:space="preserve">. </w:t>
      </w:r>
      <w:r w:rsidRPr="0049746B">
        <w:rPr>
          <w:sz w:val="18"/>
          <w:szCs w:val="18"/>
        </w:rPr>
        <w:t>https://ieej.lv/bWAm1</w:t>
      </w:r>
    </w:p>
  </w:footnote>
  <w:footnote w:id="23">
    <w:p w14:paraId="59BB87E6" w14:textId="77777777" w:rsidR="006624B3" w:rsidRPr="007323C7" w:rsidRDefault="006624B3" w:rsidP="007323C7">
      <w:pPr>
        <w:pStyle w:val="FootnoteText"/>
        <w:rPr>
          <w:sz w:val="18"/>
          <w:szCs w:val="18"/>
        </w:rPr>
      </w:pPr>
      <w:r w:rsidRPr="007323C7">
        <w:rPr>
          <w:rStyle w:val="FootnoteReference"/>
          <w:sz w:val="18"/>
          <w:szCs w:val="18"/>
        </w:rPr>
        <w:footnoteRef/>
      </w:r>
      <w:r w:rsidRPr="007323C7">
        <w:rPr>
          <w:sz w:val="18"/>
          <w:szCs w:val="18"/>
        </w:rPr>
        <w:t xml:space="preserve"> Dabas aizsardzības pārvalde. (2019) Biotopu direktīvas ziņojums. </w:t>
      </w:r>
      <w:r w:rsidRPr="00BC2EB0">
        <w:rPr>
          <w:sz w:val="18"/>
          <w:szCs w:val="18"/>
        </w:rPr>
        <w:t>https://ieej.lv/9RaBR</w:t>
      </w:r>
    </w:p>
  </w:footnote>
  <w:footnote w:id="24">
    <w:p w14:paraId="2408D587" w14:textId="77777777" w:rsidR="006624B3" w:rsidRPr="00487038" w:rsidRDefault="006624B3" w:rsidP="00105543">
      <w:pPr>
        <w:pStyle w:val="FootnoteText"/>
        <w:ind w:left="0" w:firstLine="0"/>
        <w:rPr>
          <w:sz w:val="18"/>
          <w:szCs w:val="18"/>
        </w:rPr>
      </w:pPr>
      <w:r w:rsidRPr="00487038">
        <w:rPr>
          <w:rStyle w:val="FootnoteReference"/>
          <w:sz w:val="18"/>
          <w:szCs w:val="18"/>
        </w:rPr>
        <w:footnoteRef/>
      </w:r>
      <w:r w:rsidRPr="00487038">
        <w:rPr>
          <w:sz w:val="18"/>
          <w:szCs w:val="18"/>
        </w:rPr>
        <w:t xml:space="preserve"> </w:t>
      </w:r>
      <w:r w:rsidRPr="00487038">
        <w:rPr>
          <w:rFonts w:eastAsia="Times New Roman"/>
          <w:iCs/>
          <w:noProof/>
          <w:sz w:val="18"/>
          <w:szCs w:val="18"/>
        </w:rPr>
        <w:t>The Forth Work Plan of the North Sea – Baltic Core Network Corridor</w:t>
      </w:r>
    </w:p>
  </w:footnote>
  <w:footnote w:id="25">
    <w:p w14:paraId="01F46BFF" w14:textId="77777777" w:rsidR="006624B3" w:rsidRPr="00FD2BE0" w:rsidRDefault="006624B3" w:rsidP="00105543">
      <w:pPr>
        <w:pStyle w:val="FootnoteText"/>
        <w:ind w:left="0" w:firstLine="0"/>
        <w:rPr>
          <w:sz w:val="18"/>
          <w:szCs w:val="18"/>
        </w:rPr>
      </w:pPr>
      <w:r w:rsidRPr="00FD2BE0">
        <w:rPr>
          <w:rStyle w:val="FootnoteReference"/>
          <w:sz w:val="18"/>
          <w:szCs w:val="18"/>
        </w:rPr>
        <w:footnoteRef/>
      </w:r>
      <w:r w:rsidRPr="00FD2BE0">
        <w:rPr>
          <w:sz w:val="18"/>
          <w:szCs w:val="18"/>
        </w:rPr>
        <w:t xml:space="preserve"> VAS “Ceļu satiksmes drošības direkcija”, </w:t>
      </w:r>
      <w:hyperlink r:id="rId12" w:history="1">
        <w:r w:rsidRPr="00FD2BE0">
          <w:rPr>
            <w:rStyle w:val="Hyperlink"/>
            <w:sz w:val="18"/>
            <w:szCs w:val="18"/>
          </w:rPr>
          <w:t>https://ieej.lv/bk8oH</w:t>
        </w:r>
      </w:hyperlink>
      <w:r w:rsidRPr="00FD2BE0">
        <w:rPr>
          <w:sz w:val="18"/>
          <w:szCs w:val="18"/>
        </w:rPr>
        <w:t xml:space="preserve"> </w:t>
      </w:r>
    </w:p>
  </w:footnote>
  <w:footnote w:id="26">
    <w:p w14:paraId="18DFC1D9" w14:textId="77777777" w:rsidR="006624B3" w:rsidRPr="00EA4818" w:rsidRDefault="006624B3" w:rsidP="00105543">
      <w:pPr>
        <w:autoSpaceDE w:val="0"/>
        <w:autoSpaceDN w:val="0"/>
        <w:adjustRightInd w:val="0"/>
        <w:spacing w:after="0"/>
        <w:rPr>
          <w:rStyle w:val="Hyperlink"/>
          <w:sz w:val="20"/>
        </w:rPr>
      </w:pPr>
      <w:r w:rsidRPr="00EA4818">
        <w:rPr>
          <w:rStyle w:val="FootnoteReference"/>
          <w:sz w:val="18"/>
          <w:szCs w:val="18"/>
        </w:rPr>
        <w:footnoteRef/>
      </w:r>
      <w:r w:rsidRPr="00EA4818">
        <w:rPr>
          <w:sz w:val="18"/>
          <w:szCs w:val="18"/>
        </w:rPr>
        <w:t xml:space="preserve"> </w:t>
      </w:r>
      <w:r w:rsidRPr="00EA4818">
        <w:rPr>
          <w:rStyle w:val="Hyperlink"/>
          <w:sz w:val="20"/>
        </w:rPr>
        <w:t xml:space="preserve">RĪCIBAS PLĀNS RĪGAS METROPOLES AREĀLA ATTĪSTIBAI, http://rpr.gov.lv/wp-content/uploads/2020/06/Rigas-metropoles-areala-ricibas-plans_Web-1.pdf </w:t>
      </w:r>
    </w:p>
  </w:footnote>
  <w:footnote w:id="27">
    <w:p w14:paraId="5B1C5BC1" w14:textId="77777777" w:rsidR="006624B3" w:rsidRPr="009E5BF1" w:rsidRDefault="006624B3" w:rsidP="00105543">
      <w:pPr>
        <w:pStyle w:val="FootnoteText"/>
      </w:pPr>
      <w:r w:rsidRPr="004766E6">
        <w:rPr>
          <w:rStyle w:val="FootnoteReference"/>
        </w:rPr>
        <w:footnoteRef/>
      </w:r>
      <w:r w:rsidRPr="004766E6">
        <w:t xml:space="preserve"> LATVIJAS NACIONĀLAIS ENERĢĒTIKAS UN KLIMATA PLĀNS 2021.-2030. GADAM, Autotransporta direkcija</w:t>
      </w:r>
    </w:p>
  </w:footnote>
  <w:footnote w:id="28">
    <w:p w14:paraId="69F8D540" w14:textId="77777777" w:rsidR="006624B3" w:rsidRPr="00FC61C3" w:rsidRDefault="006624B3" w:rsidP="00105543">
      <w:pPr>
        <w:pStyle w:val="FootnoteText"/>
      </w:pPr>
      <w:r>
        <w:rPr>
          <w:rStyle w:val="FootnoteReference"/>
        </w:rPr>
        <w:footnoteRef/>
      </w:r>
      <w:r>
        <w:t xml:space="preserve"> </w:t>
      </w:r>
      <w:bookmarkStart w:id="11" w:name="_Hlk64449868"/>
      <w:r w:rsidRPr="00FC61C3">
        <w:t>https://www.rdpad.lv/wp-content/uploads/2014/11/STRATEGIJA_WEB.pdf</w:t>
      </w:r>
    </w:p>
    <w:bookmarkEnd w:id="11"/>
  </w:footnote>
  <w:footnote w:id="29">
    <w:p w14:paraId="0A19E5CC" w14:textId="77777777" w:rsidR="006624B3" w:rsidRDefault="006624B3" w:rsidP="00105543">
      <w:pPr>
        <w:pStyle w:val="FootnoteText"/>
        <w:ind w:left="0" w:hanging="11"/>
      </w:pPr>
      <w:r w:rsidRPr="00FC61C3">
        <w:rPr>
          <w:rStyle w:val="FootnoteReference"/>
        </w:rPr>
        <w:footnoteRef/>
      </w:r>
      <w:r w:rsidRPr="00FC61C3">
        <w:t xml:space="preserve"> Mobilitātes punkta nolūks ir atvieglot pāreju no viena transporta veida uz otru, nodrošināt ērtu savienojumu starp galamērķiem un nodrošināt daudzveidīgu atbalsta infrastruktūru (norādes, pārvietošanos atbalstoši pakalpojumi, aplikācijas utt.) “pēdējam kilometram”. Mobilitātes punktā koncentrējas vairāki transporta veidi (vilciens, autotransports, sabiedriskais transports), no tā ir izveidota velo un gājēju infrastruktūra līdz apkārtnē esošajiem iepirkšanās, izklaides, atpūtas un citiem pakalpojumiem. Mobilitātes punktu attīstība ietver dalītās lietošanas automašīnu, velosipēdu, skrejriteņu nomas pakalpojumus, viedtālruņa lietotnes, kurās apkopoti sabiedriskā transporta maršruti, transporta veidu pakalpojumi un apkārtnē pieejamie pakalpojumi.</w:t>
      </w:r>
      <w:r>
        <w:t xml:space="preserve"> </w:t>
      </w:r>
    </w:p>
  </w:footnote>
  <w:footnote w:id="30">
    <w:p w14:paraId="07C02A99" w14:textId="77777777" w:rsidR="006624B3" w:rsidRPr="00FD2BE0" w:rsidRDefault="006624B3"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“Pētījums Eiropas Savienības fondu 2021.–2027.gada plānošanas perioda ieguldījumu priekšnosacījumu izpildei” (izstrādes stadijā). SM jau šobrīd pirmsšķietami secina, ka pētījums uzrādīs investīciju nepietiekamību ļoti augstas veiktspējas elektronisko sakaru tīklu attīstībai.</w:t>
      </w:r>
    </w:p>
  </w:footnote>
  <w:footnote w:id="31">
    <w:p w14:paraId="7559B5B0" w14:textId="77777777" w:rsidR="006624B3" w:rsidRPr="000A6DE2" w:rsidRDefault="006624B3" w:rsidP="004A3BF5">
      <w:pPr>
        <w:pStyle w:val="FootnoteText"/>
        <w:ind w:left="0" w:firstLine="0"/>
        <w:rPr>
          <w:sz w:val="18"/>
          <w:szCs w:val="18"/>
        </w:rPr>
      </w:pPr>
      <w:r>
        <w:rPr>
          <w:rStyle w:val="FootnoteReference"/>
        </w:rPr>
        <w:footnoteRef/>
      </w:r>
      <w:r>
        <w:t xml:space="preserve"> </w:t>
      </w:r>
      <w:r w:rsidRPr="000A6DE2">
        <w:rPr>
          <w:sz w:val="18"/>
          <w:szCs w:val="18"/>
        </w:rPr>
        <w:t>Informatīvais ziņojums “Ceļvedis piektās paaudzes (5G) publisko mobilo elektronisko sakaru tīklu ieviešanai Latvijā”, izskatīts MK 18.02.2020.</w:t>
      </w:r>
    </w:p>
  </w:footnote>
  <w:footnote w:id="32">
    <w:p w14:paraId="722EDA70" w14:textId="77777777" w:rsidR="006624B3" w:rsidRPr="00FD2BE0" w:rsidRDefault="006624B3"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w:t>
      </w:r>
      <w:hyperlink r:id="rId13" w:history="1">
        <w:r w:rsidRPr="003B74F4">
          <w:rPr>
            <w:rStyle w:val="Hyperlink"/>
            <w:sz w:val="18"/>
            <w:szCs w:val="18"/>
          </w:rPr>
          <w:t>https://ieej.lv/n5k2o</w:t>
        </w:r>
      </w:hyperlink>
      <w:r>
        <w:rPr>
          <w:sz w:val="18"/>
          <w:szCs w:val="18"/>
        </w:rPr>
        <w:t xml:space="preserve"> </w:t>
      </w:r>
    </w:p>
  </w:footnote>
  <w:footnote w:id="33">
    <w:p w14:paraId="0A7EF6FF" w14:textId="77777777" w:rsidR="006624B3" w:rsidRPr="00FD2BE0" w:rsidRDefault="006624B3"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Sabiedrības veselības pamatnostādņu 2021.-2027.gadam projekts</w:t>
      </w:r>
    </w:p>
  </w:footnote>
  <w:footnote w:id="34">
    <w:p w14:paraId="43D6554D" w14:textId="77777777" w:rsidR="006624B3" w:rsidRPr="00FD2BE0" w:rsidRDefault="006624B3" w:rsidP="00AC212B">
      <w:pPr>
        <w:pStyle w:val="FootnoteText"/>
        <w:ind w:left="0" w:firstLine="0"/>
        <w:rPr>
          <w:sz w:val="18"/>
          <w:szCs w:val="18"/>
        </w:rPr>
      </w:pPr>
      <w:r w:rsidRPr="00FD2BE0">
        <w:rPr>
          <w:rStyle w:val="FootnoteReference"/>
          <w:sz w:val="18"/>
          <w:szCs w:val="18"/>
        </w:rPr>
        <w:footnoteRef/>
      </w:r>
      <w:r w:rsidRPr="00FD2BE0">
        <w:rPr>
          <w:rStyle w:val="FootnoteReference"/>
          <w:sz w:val="18"/>
          <w:szCs w:val="18"/>
        </w:rPr>
        <w:t xml:space="preserve"> </w:t>
      </w:r>
      <w:r w:rsidRPr="00FD2BE0">
        <w:rPr>
          <w:sz w:val="18"/>
          <w:szCs w:val="18"/>
        </w:rPr>
        <w:t>2017. gadā, mirstot Latvijas iedzīvotājiem vecumā līdz 64 gadiem, zaudēti gandrīz 84 tūkstoši potenciālo mūža gadu (pirms desmit gadiem – 132 tūkstoši), SPKC “Potenciāli zaudētie mūža gadi Latvijā 2017. gadā”.</w:t>
      </w:r>
    </w:p>
  </w:footnote>
  <w:footnote w:id="35">
    <w:p w14:paraId="10933B73" w14:textId="77777777" w:rsidR="006624B3" w:rsidRPr="00FD2BE0" w:rsidRDefault="006624B3"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Valsts kancelejas 2018.gada aptauja “Par sabiedrības līdzdalību valsts un pašvaldību iestāžu darbā”</w:t>
      </w:r>
    </w:p>
  </w:footnote>
  <w:footnote w:id="36">
    <w:p w14:paraId="7B5C6166" w14:textId="77777777" w:rsidR="006624B3" w:rsidRPr="00FD2BE0" w:rsidRDefault="006624B3"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Trešo valstu pilsoņu situācijas izpēte Latvijā 2017, nodibinājums „Baltic Institute of Social Sciences”</w:t>
      </w:r>
    </w:p>
  </w:footnote>
  <w:footnote w:id="37">
    <w:p w14:paraId="22116FDB" w14:textId="77777777" w:rsidR="006624B3" w:rsidRPr="00FD2BE0" w:rsidRDefault="006624B3" w:rsidP="00AC212B">
      <w:pPr>
        <w:pStyle w:val="FootnoteText"/>
        <w:ind w:left="0" w:firstLine="0"/>
        <w:rPr>
          <w:sz w:val="18"/>
          <w:szCs w:val="18"/>
        </w:rPr>
      </w:pPr>
      <w:r w:rsidRPr="00FD2BE0">
        <w:rPr>
          <w:rStyle w:val="FootnoteReference"/>
          <w:sz w:val="18"/>
          <w:szCs w:val="18"/>
        </w:rPr>
        <w:footnoteRef/>
      </w:r>
      <w:r w:rsidRPr="00FD2BE0">
        <w:rPr>
          <w:sz w:val="18"/>
          <w:szCs w:val="18"/>
        </w:rPr>
        <w:t>Pieejams:</w:t>
      </w:r>
      <w:hyperlink r:id="rId14" w:history="1">
        <w:r w:rsidRPr="00FD2BE0">
          <w:rPr>
            <w:rStyle w:val="Hyperlink"/>
            <w:sz w:val="18"/>
            <w:szCs w:val="18"/>
          </w:rPr>
          <w:t>https://www.km.gov.lv/uploads/ckeditor/files/kultura_timekli/petijumi/LKA%20ZPC_Kult%C5%ABras%20pat%C4%93ri%C5%86%C5%A1%20un%20l%C4%ABdzdal%C4%ABba%202018.pdf</w:t>
        </w:r>
      </w:hyperlink>
    </w:p>
  </w:footnote>
  <w:footnote w:id="38">
    <w:p w14:paraId="11FCEA52" w14:textId="77777777" w:rsidR="006624B3" w:rsidRPr="00FD2BE0" w:rsidRDefault="006624B3"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VARAM aprēķins, izmantojot CSP datus. CSP. ISG020. Iedzīvotāju skaits un tā izmaiņas statistiskajos reģionos, republikas pilsētās, novadu pilsētās un novados. Pieejams: </w:t>
      </w:r>
      <w:hyperlink r:id="rId15" w:history="1">
        <w:r w:rsidRPr="00FD2BE0">
          <w:rPr>
            <w:rStyle w:val="Hyperlink"/>
            <w:sz w:val="18"/>
            <w:szCs w:val="18"/>
          </w:rPr>
          <w:t>https://data1.csb.gov.lv/pxweb/lv/iedz/iedz__iedzskaits__ikgad/ISG020.px/table/tableViewLayout1/?rxid=e95c167f-85dd-4d2c-9b01-4e1188a34492</w:t>
        </w:r>
      </w:hyperlink>
      <w:r w:rsidRPr="00FD2BE0">
        <w:rPr>
          <w:sz w:val="18"/>
          <w:szCs w:val="18"/>
        </w:rPr>
        <w:t xml:space="preserve"> </w:t>
      </w:r>
    </w:p>
  </w:footnote>
  <w:footnote w:id="39">
    <w:p w14:paraId="2EB60363" w14:textId="77777777" w:rsidR="006624B3" w:rsidRPr="00FD2BE0" w:rsidRDefault="006624B3" w:rsidP="00AC212B">
      <w:pPr>
        <w:spacing w:before="0" w:after="0"/>
        <w:rPr>
          <w:sz w:val="18"/>
          <w:szCs w:val="18"/>
        </w:rPr>
      </w:pPr>
      <w:r w:rsidRPr="00FD2BE0">
        <w:rPr>
          <w:rStyle w:val="FootnoteReference"/>
          <w:sz w:val="18"/>
          <w:szCs w:val="18"/>
        </w:rPr>
        <w:footnoteRef/>
      </w:r>
      <w:r w:rsidRPr="00FD2BE0">
        <w:rPr>
          <w:sz w:val="18"/>
          <w:szCs w:val="18"/>
        </w:rPr>
        <w:t xml:space="preserve"> Netiek veidots jauns  attīstības plānošanas dokumenta veids.  Atbilstoši Attīstības plānošanas sistēmas likumam tiek izmantota attīstības programma, kas katram reģionam ir jāizstrādā vidējam termiņam (šobrīd spēkā esošās reģionu programmas atbilst 2014.-2020.periodam, nākošā plānota 2021.-2027.periodam ). </w:t>
      </w:r>
    </w:p>
  </w:footnote>
  <w:footnote w:id="40">
    <w:p w14:paraId="17ACBE44" w14:textId="77777777" w:rsidR="006624B3" w:rsidRPr="00FD2BE0" w:rsidRDefault="006624B3"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Saskaņā ar VARAM rīcībā esošiem datiem, 2019.gadā 30 pašvaldībās nav speciālista, kas specifiski būtu atbildīgs tieši par uzņēmējdarbības jautājumiem, lai arī tā ir viena no pašvaldības funkcijām. Tāpat vairākiem uzņēmējdarbības speciālistiem tie nav vienīgie pienākumi (50 pašvaldībās tas ir pamatuzdevums attiecīgajam speciālistam).</w:t>
      </w:r>
    </w:p>
  </w:footnote>
  <w:footnote w:id="41">
    <w:p w14:paraId="2AFF9D1F" w14:textId="7AF430AD" w:rsidR="006624B3" w:rsidRDefault="006624B3">
      <w:pPr>
        <w:pStyle w:val="FootnoteText"/>
      </w:pPr>
      <w:r>
        <w:rPr>
          <w:rStyle w:val="FootnoteReference"/>
        </w:rPr>
        <w:footnoteRef/>
      </w:r>
      <w:r>
        <w:t xml:space="preserve"> </w:t>
      </w:r>
      <w:hyperlink r:id="rId16" w:history="1">
        <w:r w:rsidRPr="00965954">
          <w:rPr>
            <w:rStyle w:val="Hyperlink"/>
          </w:rPr>
          <w:t>https://balticsea-region-strategy.eu/action-plan</w:t>
        </w:r>
      </w:hyperlink>
      <w:r>
        <w:t xml:space="preserve"> </w:t>
      </w:r>
    </w:p>
  </w:footnote>
  <w:footnote w:id="42">
    <w:p w14:paraId="590BED40" w14:textId="34BC6C62" w:rsidR="006624B3" w:rsidRPr="00FD2BE0" w:rsidRDefault="006624B3" w:rsidP="00AC212B">
      <w:pPr>
        <w:pStyle w:val="FootnoteText"/>
        <w:ind w:left="0" w:firstLine="0"/>
        <w:jc w:val="left"/>
        <w:rPr>
          <w:sz w:val="18"/>
          <w:szCs w:val="18"/>
        </w:rPr>
      </w:pPr>
      <w:r>
        <w:rPr>
          <w:rStyle w:val="FootnoteReference"/>
        </w:rPr>
        <w:footnoteRef/>
      </w:r>
      <w:r w:rsidRPr="00FD2BE0">
        <w:rPr>
          <w:sz w:val="18"/>
          <w:szCs w:val="18"/>
        </w:rPr>
        <w:t xml:space="preserve"> 2018.gads, CSP</w:t>
      </w:r>
    </w:p>
  </w:footnote>
  <w:footnote w:id="43">
    <w:p w14:paraId="39999315" w14:textId="77777777" w:rsidR="006624B3" w:rsidRPr="00FD2BE0" w:rsidRDefault="006624B3" w:rsidP="00AC212B">
      <w:pPr>
        <w:pStyle w:val="FootnoteText"/>
        <w:ind w:left="0" w:firstLine="0"/>
        <w:jc w:val="left"/>
        <w:rPr>
          <w:sz w:val="18"/>
          <w:szCs w:val="18"/>
        </w:rPr>
      </w:pPr>
      <w:r w:rsidRPr="00FD2BE0">
        <w:rPr>
          <w:rStyle w:val="FootnoteReference"/>
          <w:sz w:val="18"/>
          <w:szCs w:val="18"/>
        </w:rPr>
        <w:footnoteRef/>
      </w:r>
      <w:r w:rsidRPr="00FD2BE0">
        <w:rPr>
          <w:sz w:val="18"/>
          <w:szCs w:val="18"/>
        </w:rPr>
        <w:t xml:space="preserve"> 2018.gads</w:t>
      </w:r>
    </w:p>
  </w:footnote>
  <w:footnote w:id="44">
    <w:p w14:paraId="53AC5682" w14:textId="77777777" w:rsidR="006624B3" w:rsidRPr="00FD2BE0" w:rsidRDefault="006624B3" w:rsidP="00AC212B">
      <w:pPr>
        <w:pStyle w:val="FootnoteText"/>
        <w:ind w:left="0" w:firstLine="0"/>
        <w:jc w:val="left"/>
        <w:rPr>
          <w:sz w:val="18"/>
          <w:szCs w:val="18"/>
        </w:rPr>
      </w:pPr>
      <w:r w:rsidRPr="00FD2BE0">
        <w:rPr>
          <w:rStyle w:val="FootnoteReference"/>
          <w:sz w:val="18"/>
          <w:szCs w:val="18"/>
        </w:rPr>
        <w:footnoteRef/>
      </w:r>
      <w:r w:rsidRPr="00FD2BE0">
        <w:rPr>
          <w:sz w:val="18"/>
          <w:szCs w:val="18"/>
        </w:rPr>
        <w:t xml:space="preserve"> </w:t>
      </w:r>
      <w:hyperlink r:id="rId17" w:history="1">
        <w:r w:rsidRPr="00FD2BE0">
          <w:rPr>
            <w:rStyle w:val="Hyperlink"/>
            <w:color w:val="auto"/>
            <w:sz w:val="18"/>
            <w:szCs w:val="18"/>
          </w:rPr>
          <w:t>https://www.oecd.org/dev/Global-Value-Chain-Development-Report-2019-Technological-Innovation-Supply-Chain-Trade-and-Workers-in-a-Globalized-World.pdf</w:t>
        </w:r>
      </w:hyperlink>
      <w:r w:rsidRPr="00FD2BE0">
        <w:rPr>
          <w:sz w:val="18"/>
          <w:szCs w:val="18"/>
        </w:rPr>
        <w:t xml:space="preserve"> </w:t>
      </w:r>
      <w:r w:rsidRPr="00FD2BE0">
        <w:rPr>
          <w:i/>
          <w:iCs/>
          <w:sz w:val="18"/>
          <w:szCs w:val="18"/>
        </w:rPr>
        <w:t>(skatīt nodevuma 26.-34.lpp).</w:t>
      </w:r>
    </w:p>
  </w:footnote>
  <w:footnote w:id="45">
    <w:p w14:paraId="157F96D1" w14:textId="77777777" w:rsidR="006624B3" w:rsidRPr="00FD2BE0" w:rsidRDefault="006624B3" w:rsidP="00AC212B">
      <w:pPr>
        <w:pStyle w:val="FootnoteText"/>
        <w:ind w:left="0" w:firstLine="0"/>
        <w:jc w:val="left"/>
        <w:rPr>
          <w:sz w:val="18"/>
          <w:szCs w:val="18"/>
        </w:rPr>
      </w:pPr>
      <w:r w:rsidRPr="00FD2BE0">
        <w:rPr>
          <w:rStyle w:val="FootnoteReference"/>
          <w:sz w:val="18"/>
          <w:szCs w:val="18"/>
        </w:rPr>
        <w:footnoteRef/>
      </w:r>
      <w:r w:rsidRPr="00FD2BE0">
        <w:rPr>
          <w:sz w:val="18"/>
          <w:szCs w:val="18"/>
        </w:rPr>
        <w:t xml:space="preserve"> Schools of the Future. Defining New Models of Education for the Fourth Industrial Revolution; Pasaules ekonomikas foruma pētījums (2020) -</w:t>
      </w:r>
      <w:hyperlink r:id="rId18" w:history="1">
        <w:r w:rsidRPr="00FD2BE0">
          <w:rPr>
            <w:rStyle w:val="Hyperlink"/>
            <w:color w:val="auto"/>
            <w:sz w:val="18"/>
            <w:szCs w:val="18"/>
          </w:rPr>
          <w:t>http://www3.weforum.org/docs/WEF_Schools_of_the_Future_Report_2019.pdf</w:t>
        </w:r>
      </w:hyperlink>
    </w:p>
  </w:footnote>
  <w:footnote w:id="46">
    <w:p w14:paraId="24CD161F" w14:textId="77777777" w:rsidR="006624B3" w:rsidRPr="00384B0D" w:rsidRDefault="006624B3" w:rsidP="004E6451">
      <w:pPr>
        <w:pStyle w:val="FootnoteText"/>
        <w:ind w:left="0" w:firstLine="0"/>
      </w:pPr>
      <w:r w:rsidRPr="00384B0D">
        <w:rPr>
          <w:rStyle w:val="FootnoteReference"/>
        </w:rPr>
        <w:footnoteRef/>
      </w:r>
      <w:r w:rsidRPr="00384B0D">
        <w:t xml:space="preserve"> </w:t>
      </w:r>
      <w:r w:rsidRPr="00C0310F">
        <w:rPr>
          <w:rFonts w:eastAsia="Times New Roman"/>
          <w:noProof/>
        </w:rPr>
        <w:t xml:space="preserve">SIA PricewaterhouseCoopers </w:t>
      </w:r>
      <w:r>
        <w:rPr>
          <w:rFonts w:eastAsia="Times New Roman"/>
          <w:noProof/>
        </w:rPr>
        <w:t>Izvērtējuma ziņojums “</w:t>
      </w:r>
      <w:r w:rsidRPr="00384B0D">
        <w:rPr>
          <w:rFonts w:eastAsia="Times New Roman"/>
          <w:noProof/>
        </w:rPr>
        <w:t xml:space="preserve">ES fondu ieguldījumu izvērtēšana informācijas un komunikāciju tehnoloģiju pasākumu atbalstam 2007. – 2013. gada plānošanas periodā un šo ieguldījumu ietekmes noteikšana”, 124. </w:t>
      </w:r>
    </w:p>
  </w:footnote>
  <w:footnote w:id="47">
    <w:p w14:paraId="5AC97E61" w14:textId="77777777" w:rsidR="006624B3" w:rsidRPr="00FD2BE0" w:rsidRDefault="006624B3" w:rsidP="00AC212B">
      <w:pPr>
        <w:pStyle w:val="FootnoteText"/>
        <w:ind w:left="0" w:firstLine="0"/>
        <w:jc w:val="left"/>
        <w:rPr>
          <w:sz w:val="18"/>
          <w:szCs w:val="18"/>
        </w:rPr>
      </w:pPr>
      <w:r w:rsidRPr="00FD2BE0">
        <w:rPr>
          <w:rStyle w:val="FootnoteReference"/>
          <w:sz w:val="18"/>
          <w:szCs w:val="18"/>
        </w:rPr>
        <w:footnoteRef/>
      </w:r>
      <w:r w:rsidRPr="00FD2BE0">
        <w:rPr>
          <w:sz w:val="18"/>
          <w:szCs w:val="18"/>
        </w:rPr>
        <w:t xml:space="preserve"> Digital Economy and Society Index 2020 </w:t>
      </w:r>
    </w:p>
  </w:footnote>
  <w:footnote w:id="48">
    <w:p w14:paraId="7F0240C0" w14:textId="77777777" w:rsidR="006624B3" w:rsidRPr="00FD2BE0" w:rsidRDefault="006624B3" w:rsidP="00AC212B">
      <w:pPr>
        <w:pStyle w:val="FootnoteText"/>
        <w:ind w:left="0" w:firstLine="0"/>
        <w:jc w:val="left"/>
        <w:rPr>
          <w:sz w:val="18"/>
          <w:szCs w:val="18"/>
        </w:rPr>
      </w:pPr>
      <w:r w:rsidRPr="00FD2BE0">
        <w:rPr>
          <w:rStyle w:val="FootnoteReference"/>
          <w:sz w:val="18"/>
          <w:szCs w:val="18"/>
        </w:rPr>
        <w:footnoteRef/>
      </w:r>
      <w:r w:rsidRPr="00FD2BE0">
        <w:rPr>
          <w:sz w:val="18"/>
          <w:szCs w:val="18"/>
        </w:rPr>
        <w:t xml:space="preserve"> </w:t>
      </w:r>
      <w:hyperlink r:id="rId19" w:history="1">
        <w:r w:rsidRPr="00FD2BE0">
          <w:rPr>
            <w:rStyle w:val="Hyperlink"/>
            <w:color w:val="auto"/>
            <w:sz w:val="18"/>
            <w:szCs w:val="18"/>
          </w:rPr>
          <w:t>http://www.sam.gov.lv/images/modules/items/PDF/item_8196_DESI_2019_Latvia_-LV_-_oficil_publikcija_11June_2019_(002).pdf</w:t>
        </w:r>
      </w:hyperlink>
    </w:p>
  </w:footnote>
  <w:footnote w:id="49">
    <w:p w14:paraId="4FB1472D" w14:textId="77777777" w:rsidR="006624B3" w:rsidRPr="00FD2BE0" w:rsidRDefault="006624B3" w:rsidP="00AC212B">
      <w:pPr>
        <w:spacing w:before="0" w:after="0"/>
        <w:jc w:val="left"/>
        <w:rPr>
          <w:rFonts w:eastAsia="Times New Roman"/>
          <w:sz w:val="18"/>
          <w:szCs w:val="18"/>
        </w:rPr>
      </w:pPr>
      <w:r w:rsidRPr="00FD2BE0">
        <w:rPr>
          <w:rStyle w:val="FootnoteReference"/>
          <w:sz w:val="18"/>
          <w:szCs w:val="18"/>
        </w:rPr>
        <w:footnoteRef/>
      </w:r>
      <w:r w:rsidRPr="00FD2BE0">
        <w:rPr>
          <w:sz w:val="18"/>
          <w:szCs w:val="18"/>
        </w:rPr>
        <w:t xml:space="preserve"> </w:t>
      </w:r>
      <w:hyperlink r:id="rId20" w:history="1">
        <w:r w:rsidRPr="00FD2BE0">
          <w:rPr>
            <w:rStyle w:val="Hyperlink"/>
            <w:rFonts w:eastAsia="Times New Roman"/>
            <w:color w:val="auto"/>
            <w:sz w:val="18"/>
            <w:szCs w:val="18"/>
          </w:rPr>
          <w:t>https://eur-lex.europa.eu/legal-content/LV/TXT/PDF/?uri=CELEX:32019H0905(14)&amp;from=LV</w:t>
        </w:r>
      </w:hyperlink>
    </w:p>
  </w:footnote>
  <w:footnote w:id="50">
    <w:p w14:paraId="5F0468CE" w14:textId="77777777" w:rsidR="006624B3" w:rsidRPr="00FD2BE0" w:rsidRDefault="006624B3" w:rsidP="00AC212B">
      <w:pPr>
        <w:pStyle w:val="FootnoteText"/>
        <w:ind w:left="0" w:firstLine="0"/>
        <w:jc w:val="left"/>
        <w:rPr>
          <w:sz w:val="18"/>
          <w:szCs w:val="18"/>
        </w:rPr>
      </w:pPr>
      <w:r w:rsidRPr="00FD2BE0">
        <w:rPr>
          <w:rStyle w:val="FootnoteReference"/>
          <w:sz w:val="18"/>
          <w:szCs w:val="18"/>
        </w:rPr>
        <w:footnoteRef/>
      </w:r>
      <w:r w:rsidRPr="00FD2BE0">
        <w:rPr>
          <w:sz w:val="18"/>
          <w:szCs w:val="18"/>
        </w:rPr>
        <w:t xml:space="preserve"> </w:t>
      </w:r>
      <w:hyperlink r:id="rId21">
        <w:r w:rsidRPr="00FD2BE0">
          <w:rPr>
            <w:rFonts w:eastAsia="Times New Roman"/>
            <w:sz w:val="18"/>
            <w:szCs w:val="18"/>
            <w:highlight w:val="white"/>
            <w:u w:val="single"/>
          </w:rPr>
          <w:t>https://ec.europa.eu/info/sites/info/files/file_import/2019-european-semester-country-report-latvia_lv.pdf</w:t>
        </w:r>
      </w:hyperlink>
    </w:p>
  </w:footnote>
  <w:footnote w:id="51">
    <w:p w14:paraId="47359069" w14:textId="77777777" w:rsidR="006624B3" w:rsidRPr="00FD2BE0" w:rsidRDefault="006624B3" w:rsidP="00AC212B">
      <w:pPr>
        <w:pStyle w:val="Normal1"/>
        <w:spacing w:line="240" w:lineRule="auto"/>
        <w:rPr>
          <w:rFonts w:ascii="Times New Roman" w:eastAsia="Times New Roman" w:hAnsi="Times New Roman" w:cs="Times New Roman"/>
          <w:sz w:val="18"/>
          <w:szCs w:val="18"/>
          <w:highlight w:val="white"/>
        </w:rPr>
      </w:pPr>
      <w:r w:rsidRPr="00FD2BE0">
        <w:rPr>
          <w:rFonts w:ascii="Times New Roman" w:hAnsi="Times New Roman" w:cs="Times New Roman"/>
          <w:sz w:val="18"/>
          <w:szCs w:val="18"/>
          <w:vertAlign w:val="superscript"/>
        </w:rPr>
        <w:footnoteRef/>
      </w:r>
      <w:r w:rsidRPr="00FD2BE0">
        <w:rPr>
          <w:rFonts w:ascii="Times New Roman" w:hAnsi="Times New Roman" w:cs="Times New Roman"/>
          <w:sz w:val="18"/>
          <w:szCs w:val="18"/>
        </w:rPr>
        <w:t xml:space="preserve"> </w:t>
      </w:r>
      <w:hyperlink r:id="rId22">
        <w:r w:rsidRPr="00FD2BE0">
          <w:rPr>
            <w:rFonts w:ascii="Times New Roman" w:eastAsia="Times New Roman" w:hAnsi="Times New Roman" w:cs="Times New Roman"/>
            <w:sz w:val="18"/>
            <w:szCs w:val="18"/>
            <w:highlight w:val="white"/>
            <w:u w:val="single"/>
          </w:rPr>
          <w:t>https://ec.europa.eu/info/sites/info/files/2020-european_semester_country-report-latvia_lv.pdf</w:t>
        </w:r>
      </w:hyperlink>
    </w:p>
  </w:footnote>
  <w:footnote w:id="52">
    <w:p w14:paraId="785EAC4F" w14:textId="77777777" w:rsidR="006624B3" w:rsidRPr="00FD2BE0" w:rsidRDefault="006624B3"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“Cisco” ikgadējais ziņojums, </w:t>
      </w:r>
      <w:hyperlink r:id="rId23" w:history="1">
        <w:r w:rsidRPr="004232B5">
          <w:rPr>
            <w:rStyle w:val="Hyperlink"/>
            <w:sz w:val="18"/>
            <w:szCs w:val="18"/>
          </w:rPr>
          <w:t>https://ieej.lv/GxB9P</w:t>
        </w:r>
      </w:hyperlink>
      <w:r>
        <w:rPr>
          <w:sz w:val="18"/>
          <w:szCs w:val="18"/>
        </w:rPr>
        <w:t xml:space="preserve"> </w:t>
      </w:r>
    </w:p>
  </w:footnote>
  <w:footnote w:id="53">
    <w:p w14:paraId="63054184" w14:textId="77777777" w:rsidR="006624B3" w:rsidRPr="00FD2BE0" w:rsidRDefault="006624B3"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w:t>
      </w:r>
      <w:r>
        <w:rPr>
          <w:sz w:val="18"/>
          <w:szCs w:val="18"/>
        </w:rPr>
        <w:t>CSP</w:t>
      </w:r>
      <w:r w:rsidRPr="00FD2BE0">
        <w:rPr>
          <w:sz w:val="18"/>
          <w:szCs w:val="18"/>
        </w:rPr>
        <w:t xml:space="preserve"> dati par iedzīvotāju skaitu statistiskajos reģionos, republikas pilsētās, 21 attīstības centrā un novados 2019.g. un dati par strādājošo mēneša vidējā darba samaksa republikas pilsētās un novados (</w:t>
      </w:r>
      <w:r w:rsidRPr="004652BF">
        <w:rPr>
          <w:i/>
          <w:iCs/>
          <w:sz w:val="18"/>
          <w:szCs w:val="18"/>
        </w:rPr>
        <w:t>euro</w:t>
      </w:r>
      <w:r w:rsidRPr="00FD2BE0">
        <w:rPr>
          <w:sz w:val="18"/>
          <w:szCs w:val="18"/>
        </w:rPr>
        <w:t>) 2019.g.</w:t>
      </w:r>
    </w:p>
  </w:footnote>
  <w:footnote w:id="54">
    <w:p w14:paraId="5BAF57AB" w14:textId="77777777" w:rsidR="006624B3" w:rsidRPr="00FD2BE0" w:rsidRDefault="006624B3"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Ņemot vērā 2007.–2013.g un 2014.-2020.g. plānošanas perioda valsts atbalsta programmas “Nākamās paaudzes tīkli lauku teritorijās” īstenoto projektu analīzi, kā arī datus un secinājumus, kas izriet no Digitālās ekonomikas un sabiedrības indeksa (DESI) 2019. gada ziņojuma “Latvija”, https://ec.europa.eu/digital-single-market/en/scoreboard/latvia, kā arī Centrālās statistikas pārvaldes informatīvā apskata “Informācijas un komunikācijas tehnoloģiju lietošana mājsaimniecībās 2019. gadā”, https://www.csb.gov.lv/lv/statistika/statistikas-temas/zinatne-ikt/datori-internets/meklet-tema/389-informacijas-un-komunikacijas-tehnologiju</w:t>
      </w:r>
    </w:p>
  </w:footnote>
  <w:footnote w:id="55">
    <w:p w14:paraId="70C3187B" w14:textId="77777777" w:rsidR="006624B3" w:rsidRPr="00FD2BE0" w:rsidRDefault="006624B3"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EK 2016.gada Savienojamības paziņojumā attiecībā uz elektronisko sakaru tīklu izvēršanu līdz 2025.gadam </w:t>
      </w:r>
      <w:r w:rsidRPr="00FD2BE0">
        <w:rPr>
          <w:rFonts w:eastAsia="Times New Roman"/>
          <w:iCs/>
          <w:noProof/>
          <w:sz w:val="18"/>
          <w:szCs w:val="18"/>
        </w:rPr>
        <w:t xml:space="preserve"> trīs stratēģiskie mērķi 2025.gadam: 1) gigabitu savienojamība (interneta pieslēgums, kas lejuplīnijā un augšuplīnijā nodrošina vismaz vienu Gb/s) visiem galvenajiem sociālekonomiskajiem virzītājspēkiem, piemēram, skolām, bibliotēkām, pētniecības centriem, biznesa centriem, dzelzceļa stacijām, ostām, lidostām, ārstu praksēm, slimnīcām, stadioniem, valsts pārvaldes un pašvaldību ēkām, galvenajiem sabiedrisko pakalpojumu sniedzējiem, kā arī uzņēmumiem, kas intensīvi izmanto digitālos resursus; 2) visām lielām pilsētām ar tām piegulošām pārvietošanās zonām un visām sauszemes transporta maģistrālēm ir nepārtraukts 5G pārklājums; 3) visām ES mājsaimniecībām gan laukos, gan pilsētās ir pieejams interneta pieslēgums ar vismaz 100 Mb/s lejuplīnijas ātrumu, ko var uzlabot līdz gigabitu ātrumam.</w:t>
      </w:r>
      <w:r w:rsidRPr="00FD2BE0">
        <w:rPr>
          <w:rStyle w:val="FootnoteReference"/>
          <w:sz w:val="18"/>
          <w:szCs w:val="18"/>
        </w:rPr>
        <w:t>2</w:t>
      </w:r>
    </w:p>
  </w:footnote>
  <w:footnote w:id="56">
    <w:p w14:paraId="6CF1E35C" w14:textId="77777777" w:rsidR="006624B3" w:rsidRPr="00FD2BE0" w:rsidRDefault="006624B3" w:rsidP="00AC212B">
      <w:pPr>
        <w:pStyle w:val="FootnoteText"/>
        <w:ind w:left="0" w:firstLine="0"/>
        <w:jc w:val="left"/>
        <w:rPr>
          <w:sz w:val="18"/>
          <w:szCs w:val="18"/>
        </w:rPr>
      </w:pPr>
      <w:r w:rsidRPr="00FD2BE0">
        <w:rPr>
          <w:rStyle w:val="FootnoteReference"/>
          <w:sz w:val="18"/>
          <w:szCs w:val="18"/>
        </w:rPr>
        <w:footnoteRef/>
      </w:r>
      <w:r w:rsidRPr="00FD2BE0">
        <w:rPr>
          <w:sz w:val="18"/>
          <w:szCs w:val="18"/>
        </w:rPr>
        <w:t xml:space="preserve"> Nacionālais enerģētikas un klimata plāns</w:t>
      </w:r>
    </w:p>
  </w:footnote>
  <w:footnote w:id="57">
    <w:p w14:paraId="16AC2ABF" w14:textId="77777777" w:rsidR="006624B3" w:rsidRPr="00FE2F27" w:rsidRDefault="006624B3" w:rsidP="00AC212B">
      <w:pPr>
        <w:pStyle w:val="FootnoteText"/>
        <w:ind w:left="0" w:firstLine="0"/>
        <w:jc w:val="left"/>
        <w:rPr>
          <w:sz w:val="18"/>
          <w:szCs w:val="18"/>
        </w:rPr>
      </w:pPr>
      <w:r w:rsidRPr="00FE2F27">
        <w:rPr>
          <w:rStyle w:val="FootnoteReference"/>
          <w:sz w:val="18"/>
          <w:szCs w:val="18"/>
        </w:rPr>
        <w:footnoteRef/>
      </w:r>
      <w:r w:rsidRPr="00FE2F27">
        <w:rPr>
          <w:sz w:val="18"/>
          <w:szCs w:val="18"/>
        </w:rPr>
        <w:t xml:space="preserve"> Īsa atsauce uz NAP un NEKP.</w:t>
      </w:r>
    </w:p>
  </w:footnote>
  <w:footnote w:id="58">
    <w:p w14:paraId="7165EE59" w14:textId="099F3636" w:rsidR="006624B3" w:rsidRPr="00FE2F27" w:rsidRDefault="006624B3" w:rsidP="00FE2F27">
      <w:pPr>
        <w:pStyle w:val="FootnoteText"/>
        <w:rPr>
          <w:sz w:val="18"/>
          <w:szCs w:val="18"/>
        </w:rPr>
      </w:pPr>
      <w:r w:rsidRPr="00FE2F27">
        <w:rPr>
          <w:rStyle w:val="FootnoteReference"/>
          <w:sz w:val="18"/>
          <w:szCs w:val="18"/>
        </w:rPr>
        <w:footnoteRef/>
      </w:r>
      <w:r w:rsidRPr="00FE2F27">
        <w:rPr>
          <w:sz w:val="18"/>
          <w:szCs w:val="18"/>
        </w:rPr>
        <w:t xml:space="preserve"> Eiropas Parlamenta un Padomes 2018.gada 11.decembra direktīva (ES) Nr. 2018/2001 par no atjaunojamajiem energoresursiem iegūtas enerģijas izmantošanas veicināšanu</w:t>
      </w:r>
    </w:p>
  </w:footnote>
  <w:footnote w:id="59">
    <w:p w14:paraId="5DDB824B" w14:textId="77777777" w:rsidR="006624B3" w:rsidRPr="00FE2F27" w:rsidRDefault="006624B3" w:rsidP="00AC212B">
      <w:pPr>
        <w:pBdr>
          <w:top w:val="nil"/>
          <w:left w:val="nil"/>
          <w:bottom w:val="nil"/>
          <w:right w:val="nil"/>
          <w:between w:val="nil"/>
        </w:pBdr>
        <w:tabs>
          <w:tab w:val="left" w:pos="709"/>
        </w:tabs>
        <w:spacing w:before="0" w:after="0"/>
        <w:rPr>
          <w:rFonts w:eastAsia="Times New Roman"/>
          <w:sz w:val="18"/>
          <w:szCs w:val="18"/>
        </w:rPr>
      </w:pPr>
      <w:r w:rsidRPr="00FE2F27">
        <w:rPr>
          <w:rStyle w:val="FootnoteReference"/>
          <w:sz w:val="18"/>
          <w:szCs w:val="18"/>
        </w:rPr>
        <w:footnoteRef/>
      </w:r>
      <w:r w:rsidRPr="00FE2F27">
        <w:rPr>
          <w:sz w:val="18"/>
          <w:szCs w:val="18"/>
        </w:rPr>
        <w:t xml:space="preserve"> Mērķa vērtības noteiktas, pieņemot, ka līdz 2026. gadam pakāpeniski tiek izbeigta t. s. pirmās paaudzes biodegvielu ieskaite.</w:t>
      </w:r>
      <w:r w:rsidRPr="00FE2F27">
        <w:rPr>
          <w:rFonts w:eastAsia="Times New Roman"/>
          <w:sz w:val="18"/>
          <w:szCs w:val="18"/>
        </w:rPr>
        <w:t xml:space="preserve"> Latvijā ir plaši pieejami dabas resursi, kas izmantojami videi draudzīgu, viedu, tautsaimniecības attīstībai nozīmīgu materiālu un pakalpojumu radīšanai.</w:t>
      </w:r>
    </w:p>
    <w:p w14:paraId="49226D68" w14:textId="77777777" w:rsidR="006624B3" w:rsidRPr="00FE2F27" w:rsidRDefault="006624B3" w:rsidP="00AC212B">
      <w:pPr>
        <w:pBdr>
          <w:top w:val="nil"/>
          <w:left w:val="nil"/>
          <w:bottom w:val="nil"/>
          <w:right w:val="nil"/>
          <w:between w:val="nil"/>
        </w:pBdr>
        <w:tabs>
          <w:tab w:val="left" w:pos="709"/>
        </w:tabs>
        <w:spacing w:before="0" w:after="0"/>
        <w:rPr>
          <w:sz w:val="18"/>
          <w:szCs w:val="18"/>
        </w:rPr>
      </w:pPr>
      <w:r w:rsidRPr="00FE2F27">
        <w:rPr>
          <w:rFonts w:eastAsia="Times New Roman"/>
          <w:sz w:val="18"/>
          <w:szCs w:val="18"/>
        </w:rPr>
        <w:t>Energoefektivitātes uzlabošana un fosilo energoresursu aizvietošana, izmantojot vietējos un atjaunojamos resursus, jo īpaši saules un vēja enerģiju, mazinās valsts atkarību no enerģijas importa, paaugstinās energoapgādes drošību un mazinās gaisa piesārņojumu.</w:t>
      </w:r>
    </w:p>
  </w:footnote>
  <w:footnote w:id="60">
    <w:p w14:paraId="2EE1A6A0" w14:textId="2028370E" w:rsidR="006624B3" w:rsidRDefault="006624B3">
      <w:pPr>
        <w:pStyle w:val="FootnoteText"/>
      </w:pPr>
      <w:r>
        <w:rPr>
          <w:rStyle w:val="FootnoteReference"/>
        </w:rPr>
        <w:footnoteRef/>
      </w:r>
      <w:r>
        <w:t xml:space="preserve"> </w:t>
      </w:r>
      <w:r w:rsidRPr="00E931A4">
        <w:t>https://ieej.lv/zoO3S</w:t>
      </w:r>
    </w:p>
  </w:footnote>
  <w:footnote w:id="61">
    <w:p w14:paraId="0F048BC1" w14:textId="77777777" w:rsidR="006624B3" w:rsidRPr="00FD2BE0" w:rsidRDefault="006624B3" w:rsidP="00197045">
      <w:pPr>
        <w:pStyle w:val="FootnoteText"/>
        <w:tabs>
          <w:tab w:val="left" w:pos="0"/>
          <w:tab w:val="left" w:pos="142"/>
        </w:tabs>
        <w:ind w:left="0" w:firstLine="0"/>
        <w:rPr>
          <w:sz w:val="18"/>
          <w:szCs w:val="18"/>
        </w:rPr>
      </w:pPr>
      <w:r w:rsidRPr="00FD2BE0">
        <w:rPr>
          <w:rStyle w:val="FootnoteReference"/>
          <w:sz w:val="18"/>
          <w:szCs w:val="18"/>
        </w:rPr>
        <w:footnoteRef/>
      </w:r>
      <w:r w:rsidRPr="00FD2BE0">
        <w:rPr>
          <w:sz w:val="18"/>
          <w:szCs w:val="18"/>
        </w:rPr>
        <w:tab/>
        <w:t>https://ieej.lv/G3yIO</w:t>
      </w:r>
      <w:r w:rsidRPr="00FD2BE0" w:rsidDel="00897940">
        <w:rPr>
          <w:sz w:val="18"/>
          <w:szCs w:val="18"/>
        </w:rPr>
        <w:t xml:space="preserve"> </w:t>
      </w:r>
    </w:p>
  </w:footnote>
  <w:footnote w:id="62">
    <w:p w14:paraId="5905CFD1" w14:textId="77777777" w:rsidR="006624B3" w:rsidRPr="00FD2BE0" w:rsidRDefault="006624B3"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https://ieej.lv/BkQFX</w:t>
      </w:r>
    </w:p>
  </w:footnote>
  <w:footnote w:id="63">
    <w:p w14:paraId="56EBF324" w14:textId="77777777" w:rsidR="006624B3" w:rsidRPr="00FD2BE0" w:rsidRDefault="006624B3"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w:t>
      </w:r>
      <w:r w:rsidRPr="00FD2BE0">
        <w:rPr>
          <w:rFonts w:eastAsia="Times New Roman"/>
          <w:sz w:val="18"/>
          <w:szCs w:val="18"/>
          <w:u w:val="single"/>
        </w:rPr>
        <w:t>https://ieej.lv/4FMNi</w:t>
      </w:r>
    </w:p>
  </w:footnote>
  <w:footnote w:id="64">
    <w:p w14:paraId="34DBA2D7" w14:textId="77777777" w:rsidR="006624B3" w:rsidRPr="00FD2BE0" w:rsidRDefault="006624B3"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w:t>
      </w:r>
      <w:r w:rsidRPr="00FD2BE0">
        <w:rPr>
          <w:rFonts w:eastAsia="Times New Roman"/>
          <w:sz w:val="18"/>
          <w:szCs w:val="18"/>
          <w:u w:val="single"/>
        </w:rPr>
        <w:t>https://ieej.lv/rOMVW</w:t>
      </w:r>
      <w:r w:rsidRPr="00FD2BE0">
        <w:rPr>
          <w:sz w:val="18"/>
          <w:szCs w:val="18"/>
        </w:rPr>
        <w:t xml:space="preserve">  </w:t>
      </w:r>
    </w:p>
  </w:footnote>
  <w:footnote w:id="65">
    <w:p w14:paraId="6902E81F" w14:textId="77777777" w:rsidR="006624B3" w:rsidRPr="00FD2BE0" w:rsidRDefault="006624B3"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w:t>
      </w:r>
      <w:r w:rsidRPr="00FD2BE0">
        <w:rPr>
          <w:rFonts w:eastAsia="Times New Roman"/>
          <w:sz w:val="18"/>
          <w:szCs w:val="18"/>
          <w:u w:val="single"/>
        </w:rPr>
        <w:t xml:space="preserve"> https://ieej.lv/ba5UH, https://ieej.lv/xFRsL https://ieej.lv/kr2cx, https://ieej.lv/vjShx</w:t>
      </w:r>
    </w:p>
  </w:footnote>
  <w:footnote w:id="66">
    <w:p w14:paraId="2F8FDB2F" w14:textId="77777777" w:rsidR="006624B3" w:rsidRPr="00FD2BE0" w:rsidRDefault="006624B3"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https://likumi.lv/doc.php?id=221378</w:t>
      </w:r>
    </w:p>
  </w:footnote>
  <w:footnote w:id="67">
    <w:p w14:paraId="3CD85F75" w14:textId="77777777" w:rsidR="006624B3" w:rsidRPr="00FD2BE0" w:rsidRDefault="006624B3"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w:t>
      </w:r>
      <w:r w:rsidRPr="00FD2BE0">
        <w:rPr>
          <w:rFonts w:eastAsia="Times New Roman"/>
          <w:sz w:val="18"/>
          <w:szCs w:val="18"/>
          <w:u w:val="single"/>
        </w:rPr>
        <w:t>https://ieej.lv/ba5UH</w:t>
      </w:r>
    </w:p>
  </w:footnote>
  <w:footnote w:id="68">
    <w:p w14:paraId="11A51B47" w14:textId="77777777" w:rsidR="006624B3" w:rsidRPr="00280A45" w:rsidRDefault="006624B3" w:rsidP="00A21383">
      <w:pPr>
        <w:pStyle w:val="FootnoteText"/>
        <w:rPr>
          <w:sz w:val="18"/>
          <w:szCs w:val="18"/>
        </w:rPr>
      </w:pPr>
      <w:r w:rsidRPr="00280A45">
        <w:rPr>
          <w:rStyle w:val="FootnoteReference"/>
          <w:sz w:val="18"/>
          <w:szCs w:val="18"/>
        </w:rPr>
        <w:footnoteRef/>
      </w:r>
      <w:r w:rsidRPr="00280A45">
        <w:rPr>
          <w:sz w:val="18"/>
          <w:szCs w:val="18"/>
        </w:rPr>
        <w:t xml:space="preserve"> https://ieej.lv/FQFcK</w:t>
      </w:r>
    </w:p>
  </w:footnote>
  <w:footnote w:id="69">
    <w:p w14:paraId="06141DCE" w14:textId="77777777" w:rsidR="006624B3" w:rsidRPr="00FE2C48" w:rsidRDefault="006624B3" w:rsidP="00A21383">
      <w:pPr>
        <w:pStyle w:val="FootnoteText"/>
        <w:rPr>
          <w:sz w:val="18"/>
          <w:szCs w:val="18"/>
        </w:rPr>
      </w:pPr>
      <w:r w:rsidRPr="00FE2C48">
        <w:rPr>
          <w:rStyle w:val="FootnoteReference"/>
          <w:sz w:val="18"/>
          <w:szCs w:val="18"/>
        </w:rPr>
        <w:footnoteRef/>
      </w:r>
      <w:r w:rsidRPr="00FE2C48">
        <w:rPr>
          <w:sz w:val="18"/>
          <w:szCs w:val="18"/>
        </w:rPr>
        <w:t xml:space="preserve"> https://ieej.lv/wVDp3</w:t>
      </w:r>
    </w:p>
  </w:footnote>
  <w:footnote w:id="70">
    <w:p w14:paraId="530D543C" w14:textId="77777777" w:rsidR="006624B3" w:rsidRDefault="006624B3" w:rsidP="00197045">
      <w:pPr>
        <w:pStyle w:val="FootnoteText"/>
      </w:pPr>
      <w:r>
        <w:rPr>
          <w:rStyle w:val="FootnoteReference"/>
        </w:rPr>
        <w:footnoteRef/>
      </w:r>
      <w:r>
        <w:t xml:space="preserve"> </w:t>
      </w:r>
      <w:r w:rsidRPr="00400888">
        <w:rPr>
          <w:sz w:val="18"/>
          <w:szCs w:val="18"/>
        </w:rPr>
        <w:t>https://ieej.lv/gpi47</w:t>
      </w:r>
    </w:p>
  </w:footnote>
  <w:footnote w:id="71">
    <w:p w14:paraId="408FEE74" w14:textId="77777777" w:rsidR="006624B3" w:rsidRDefault="006624B3" w:rsidP="00197045">
      <w:pPr>
        <w:pStyle w:val="FootnoteText"/>
      </w:pPr>
      <w:r>
        <w:rPr>
          <w:rStyle w:val="FootnoteReference"/>
        </w:rPr>
        <w:footnoteRef/>
      </w:r>
      <w:r>
        <w:t xml:space="preserve"> </w:t>
      </w:r>
      <w:r w:rsidRPr="00E86C97">
        <w:rPr>
          <w:sz w:val="18"/>
          <w:szCs w:val="18"/>
        </w:rPr>
        <w:t>https://ieej.lv/s3BuR</w:t>
      </w:r>
    </w:p>
  </w:footnote>
  <w:footnote w:id="72">
    <w:p w14:paraId="1AA5C763" w14:textId="77777777" w:rsidR="006624B3" w:rsidRDefault="006624B3" w:rsidP="00197045">
      <w:pPr>
        <w:pStyle w:val="FootnoteText"/>
      </w:pPr>
      <w:r>
        <w:rPr>
          <w:rStyle w:val="FootnoteReference"/>
        </w:rPr>
        <w:footnoteRef/>
      </w:r>
      <w:r>
        <w:t xml:space="preserve"> </w:t>
      </w:r>
      <w:r w:rsidRPr="00400888">
        <w:rPr>
          <w:sz w:val="18"/>
          <w:szCs w:val="18"/>
        </w:rPr>
        <w:t>https://ieej.lv/y5vBh</w:t>
      </w:r>
    </w:p>
  </w:footnote>
  <w:footnote w:id="73">
    <w:p w14:paraId="1315F017" w14:textId="77777777" w:rsidR="006624B3" w:rsidRDefault="006624B3" w:rsidP="00197045">
      <w:pPr>
        <w:pStyle w:val="FootnoteText"/>
      </w:pPr>
      <w:r>
        <w:rPr>
          <w:rStyle w:val="FootnoteReference"/>
        </w:rPr>
        <w:footnoteRef/>
      </w:r>
      <w:r>
        <w:t xml:space="preserve"> </w:t>
      </w:r>
      <w:r w:rsidRPr="00400888">
        <w:rPr>
          <w:sz w:val="18"/>
          <w:szCs w:val="18"/>
        </w:rPr>
        <w:t>https://ieej.lv/0kv99</w:t>
      </w:r>
    </w:p>
  </w:footnote>
  <w:footnote w:id="74">
    <w:p w14:paraId="348A68CC" w14:textId="77777777" w:rsidR="006624B3" w:rsidRDefault="006624B3" w:rsidP="00197045">
      <w:pPr>
        <w:pStyle w:val="FootnoteText"/>
      </w:pPr>
      <w:r>
        <w:rPr>
          <w:rStyle w:val="FootnoteReference"/>
        </w:rPr>
        <w:footnoteRef/>
      </w:r>
      <w:r>
        <w:t xml:space="preserve"> </w:t>
      </w:r>
      <w:r w:rsidRPr="00400888">
        <w:rPr>
          <w:sz w:val="18"/>
          <w:szCs w:val="18"/>
        </w:rPr>
        <w:t>https://ieej.lv/BkQFX</w:t>
      </w:r>
    </w:p>
  </w:footnote>
  <w:footnote w:id="75">
    <w:p w14:paraId="08AA6F8B" w14:textId="77777777" w:rsidR="006624B3" w:rsidRDefault="006624B3" w:rsidP="00197045">
      <w:pPr>
        <w:pStyle w:val="FootnoteText"/>
      </w:pPr>
      <w:r>
        <w:rPr>
          <w:rStyle w:val="FootnoteReference"/>
        </w:rPr>
        <w:footnoteRef/>
      </w:r>
      <w:r>
        <w:t xml:space="preserve"> </w:t>
      </w:r>
      <w:r w:rsidRPr="00400888">
        <w:rPr>
          <w:sz w:val="18"/>
          <w:szCs w:val="18"/>
        </w:rPr>
        <w:t>https://ieej.lv/AlVZK; https://ieej.lv/ahzcX, https://ieej.lv/BpcdD</w:t>
      </w:r>
    </w:p>
  </w:footnote>
  <w:footnote w:id="76">
    <w:p w14:paraId="7B420BC7" w14:textId="282CEAB3" w:rsidR="006624B3" w:rsidRPr="00FD2BE0" w:rsidRDefault="006624B3" w:rsidP="00AC212B">
      <w:pPr>
        <w:pStyle w:val="FootnoteText"/>
        <w:ind w:left="0" w:firstLine="0"/>
        <w:jc w:val="left"/>
        <w:rPr>
          <w:sz w:val="18"/>
          <w:szCs w:val="18"/>
          <w:lang w:val="en-US"/>
        </w:rPr>
      </w:pPr>
      <w:r w:rsidRPr="00FD2BE0">
        <w:rPr>
          <w:rStyle w:val="FootnoteReference"/>
          <w:sz w:val="18"/>
          <w:szCs w:val="18"/>
        </w:rPr>
        <w:footnoteRef/>
      </w:r>
      <w:r w:rsidRPr="00FD2BE0">
        <w:rPr>
          <w:sz w:val="18"/>
          <w:szCs w:val="18"/>
        </w:rPr>
        <w:t xml:space="preserve"> </w:t>
      </w:r>
      <w:r w:rsidRPr="00FD2BE0">
        <w:rPr>
          <w:rFonts w:eastAsia="Times New Roman"/>
          <w:sz w:val="18"/>
          <w:szCs w:val="18"/>
        </w:rPr>
        <w:t>Latvia`s national inventory report (submission under UNFCCC and the Kyoto Protocol Common Reporting Formats (CRF)), 1990 – 2018</w:t>
      </w:r>
    </w:p>
  </w:footnote>
  <w:footnote w:id="77">
    <w:p w14:paraId="2FCAD026" w14:textId="77777777" w:rsidR="006624B3" w:rsidRPr="00FD2BE0" w:rsidRDefault="006624B3" w:rsidP="00AC212B">
      <w:pPr>
        <w:pStyle w:val="FootnoteText"/>
        <w:ind w:left="0" w:firstLine="0"/>
        <w:jc w:val="left"/>
        <w:rPr>
          <w:rFonts w:eastAsia="Times New Roman"/>
          <w:sz w:val="18"/>
          <w:szCs w:val="18"/>
        </w:rPr>
      </w:pPr>
      <w:r w:rsidRPr="00FD2BE0">
        <w:rPr>
          <w:rStyle w:val="FootnoteReference"/>
          <w:sz w:val="18"/>
          <w:szCs w:val="18"/>
        </w:rPr>
        <w:footnoteRef/>
      </w:r>
      <w:r w:rsidRPr="00FD2BE0">
        <w:rPr>
          <w:sz w:val="18"/>
          <w:szCs w:val="18"/>
        </w:rPr>
        <w:t xml:space="preserve"> </w:t>
      </w:r>
      <w:r>
        <w:rPr>
          <w:rFonts w:eastAsia="Times New Roman"/>
          <w:sz w:val="18"/>
          <w:szCs w:val="18"/>
        </w:rPr>
        <w:t>NEKP</w:t>
      </w:r>
    </w:p>
  </w:footnote>
  <w:footnote w:id="78">
    <w:p w14:paraId="12A00937" w14:textId="77777777" w:rsidR="006624B3" w:rsidRPr="00FD2BE0" w:rsidRDefault="006624B3" w:rsidP="00AC212B">
      <w:pPr>
        <w:pStyle w:val="FootnoteText"/>
        <w:ind w:left="0" w:firstLine="0"/>
        <w:jc w:val="left"/>
        <w:rPr>
          <w:sz w:val="18"/>
          <w:szCs w:val="18"/>
        </w:rPr>
      </w:pPr>
      <w:r w:rsidRPr="00FD2BE0">
        <w:rPr>
          <w:rStyle w:val="FootnoteReference"/>
          <w:sz w:val="18"/>
          <w:szCs w:val="18"/>
        </w:rPr>
        <w:footnoteRef/>
      </w:r>
      <w:r w:rsidRPr="00FD2BE0">
        <w:rPr>
          <w:sz w:val="18"/>
          <w:szCs w:val="18"/>
        </w:rPr>
        <w:t xml:space="preserve"> </w:t>
      </w:r>
      <w:hyperlink r:id="rId24" w:history="1">
        <w:r w:rsidRPr="004232B5">
          <w:rPr>
            <w:rStyle w:val="Hyperlink"/>
            <w:sz w:val="18"/>
            <w:szCs w:val="18"/>
          </w:rPr>
          <w:t>https://ieej.lv/P76yv</w:t>
        </w:r>
      </w:hyperlink>
      <w:r>
        <w:rPr>
          <w:sz w:val="18"/>
          <w:szCs w:val="18"/>
        </w:rPr>
        <w:t xml:space="preserve"> </w:t>
      </w:r>
    </w:p>
  </w:footnote>
  <w:footnote w:id="79">
    <w:p w14:paraId="3D55FCDE" w14:textId="77777777" w:rsidR="006624B3" w:rsidRPr="00487038" w:rsidRDefault="006624B3" w:rsidP="00AC212B">
      <w:pPr>
        <w:pStyle w:val="FootnoteText"/>
        <w:ind w:left="0" w:firstLine="0"/>
        <w:rPr>
          <w:sz w:val="18"/>
          <w:szCs w:val="18"/>
        </w:rPr>
      </w:pPr>
      <w:r w:rsidRPr="00487038">
        <w:rPr>
          <w:rStyle w:val="FootnoteReference"/>
          <w:sz w:val="18"/>
          <w:szCs w:val="18"/>
        </w:rPr>
        <w:footnoteRef/>
      </w:r>
      <w:r w:rsidRPr="00487038">
        <w:rPr>
          <w:sz w:val="18"/>
          <w:szCs w:val="18"/>
        </w:rPr>
        <w:t xml:space="preserve"> Atbilstoši EK izdevumam Motorways 2018 uz divbrauktuvju ceļiem salīdzinot ar vienbrauktuves divjoslu ceļiem ir par 50-90% mazāk ceļu satiksmes negadījumu.  </w:t>
      </w:r>
      <w:r w:rsidRPr="00487038">
        <w:rPr>
          <w:rFonts w:eastAsia="Times New Roman"/>
          <w:iCs/>
          <w:noProof/>
          <w:sz w:val="18"/>
          <w:szCs w:val="18"/>
        </w:rPr>
        <w:t xml:space="preserve">Arī izdevumā </w:t>
      </w:r>
      <w:r w:rsidRPr="00487038">
        <w:rPr>
          <w:rFonts w:eastAsia="Times New Roman"/>
          <w:i/>
          <w:iCs/>
          <w:noProof/>
          <w:sz w:val="18"/>
          <w:szCs w:val="18"/>
        </w:rPr>
        <w:t>The handbook of road safety measures. Second edition. Rune Elvik, 2009</w:t>
      </w:r>
      <w:r w:rsidRPr="00487038">
        <w:rPr>
          <w:rFonts w:eastAsia="Times New Roman"/>
          <w:iCs/>
          <w:noProof/>
          <w:sz w:val="18"/>
          <w:szCs w:val="18"/>
        </w:rPr>
        <w:t>, ņemot vērā Norvēģijas, Zviedrijas, Dānijas, Somijas, UK, Vācijas un Nīderlandes ceļu satiksmes negadījumu statistiku, ir norādīti analogi satiksmes drošības uzlabošanās ieguvumi.</w:t>
      </w:r>
    </w:p>
  </w:footnote>
  <w:footnote w:id="80">
    <w:p w14:paraId="26D2AB3D" w14:textId="77777777" w:rsidR="006624B3" w:rsidRPr="00487038" w:rsidRDefault="006624B3" w:rsidP="00AC212B">
      <w:pPr>
        <w:pStyle w:val="FootnoteText"/>
        <w:ind w:left="0" w:firstLine="0"/>
        <w:jc w:val="left"/>
        <w:rPr>
          <w:sz w:val="18"/>
          <w:szCs w:val="18"/>
        </w:rPr>
      </w:pPr>
      <w:r w:rsidRPr="00487038">
        <w:rPr>
          <w:rStyle w:val="FootnoteReference"/>
          <w:sz w:val="18"/>
          <w:szCs w:val="18"/>
        </w:rPr>
        <w:footnoteRef/>
      </w:r>
      <w:r w:rsidRPr="00487038">
        <w:rPr>
          <w:sz w:val="18"/>
          <w:szCs w:val="18"/>
        </w:rPr>
        <w:t xml:space="preserve"> https://ieej.lv/kC2NM</w:t>
      </w:r>
    </w:p>
  </w:footnote>
  <w:footnote w:id="81">
    <w:p w14:paraId="2C2CB901" w14:textId="77777777" w:rsidR="006624B3" w:rsidRPr="000266D9" w:rsidRDefault="006624B3" w:rsidP="00AC212B">
      <w:pPr>
        <w:pStyle w:val="FootnoteText"/>
        <w:rPr>
          <w:lang w:val="en-GB"/>
        </w:rPr>
      </w:pPr>
      <w:r>
        <w:rPr>
          <w:rStyle w:val="FootnoteReference"/>
        </w:rPr>
        <w:footnoteRef/>
      </w:r>
      <w:r>
        <w:t xml:space="preserve"> </w:t>
      </w:r>
      <w:r w:rsidRPr="000266D9">
        <w:rPr>
          <w:lang w:val="en-GB"/>
        </w:rPr>
        <w:t>Shaping the future policy of the European Maritime Space. Motorways of the Sea. Detailed Implementation Plan of the European Coordinator, Kurt Bodewig, June 2020.</w:t>
      </w:r>
    </w:p>
  </w:footnote>
  <w:footnote w:id="82">
    <w:p w14:paraId="4AC21D26" w14:textId="77777777" w:rsidR="006624B3" w:rsidRDefault="006624B3" w:rsidP="00AC212B">
      <w:pPr>
        <w:pStyle w:val="FootnoteText"/>
      </w:pPr>
      <w:r w:rsidRPr="000266D9">
        <w:rPr>
          <w:rStyle w:val="FootnoteReference"/>
          <w:lang w:val="en-GB"/>
        </w:rPr>
        <w:footnoteRef/>
      </w:r>
      <w:r w:rsidRPr="000266D9">
        <w:rPr>
          <w:lang w:val="en-GB"/>
        </w:rPr>
        <w:t xml:space="preserve"> Blue Growth Strategy</w:t>
      </w:r>
    </w:p>
  </w:footnote>
  <w:footnote w:id="83">
    <w:p w14:paraId="13E52714" w14:textId="77777777" w:rsidR="006624B3" w:rsidRPr="00FD2BE0" w:rsidRDefault="006624B3"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w:t>
      </w:r>
      <w:hyperlink r:id="rId25" w:history="1">
        <w:r w:rsidRPr="00FD2BE0">
          <w:rPr>
            <w:rStyle w:val="Hyperlink"/>
            <w:sz w:val="18"/>
            <w:szCs w:val="18"/>
          </w:rPr>
          <w:t>https://www.spkc.gov.lv/lv/latvijas-veselibas-aprupes-statistikas-gadagramata</w:t>
        </w:r>
      </w:hyperlink>
      <w:r w:rsidRPr="00FD2BE0">
        <w:rPr>
          <w:sz w:val="18"/>
          <w:szCs w:val="18"/>
        </w:rPr>
        <w:t xml:space="preserve"> </w:t>
      </w:r>
    </w:p>
  </w:footnote>
  <w:footnote w:id="84">
    <w:p w14:paraId="2CB45487" w14:textId="1D89BE01" w:rsidR="006624B3" w:rsidRPr="00FD2BE0" w:rsidRDefault="006624B3"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w:t>
      </w:r>
      <w:r w:rsidRPr="00016316">
        <w:rPr>
          <w:sz w:val="18"/>
          <w:szCs w:val="18"/>
        </w:rPr>
        <w:t>https://www.un.org/sustainabledevelopment/sustainable-development-goals/</w:t>
      </w:r>
    </w:p>
  </w:footnote>
  <w:footnote w:id="85">
    <w:p w14:paraId="6C19CA0F" w14:textId="37083393" w:rsidR="006624B3" w:rsidRDefault="006624B3">
      <w:pPr>
        <w:pStyle w:val="FootnoteText"/>
      </w:pPr>
      <w:r>
        <w:rPr>
          <w:rStyle w:val="FootnoteReference"/>
        </w:rPr>
        <w:footnoteRef/>
      </w:r>
      <w:r>
        <w:t xml:space="preserve"> </w:t>
      </w:r>
      <w:hyperlink r:id="rId26" w:history="1">
        <w:r w:rsidRPr="005E1C0A">
          <w:rPr>
            <w:rStyle w:val="Hyperlink"/>
          </w:rPr>
          <w:t>https://www.oecd-ilibrary.org/employment/evaluating-latvia-s-active-labour-market-policies_6037200a-en</w:t>
        </w:r>
      </w:hyperlink>
      <w:r>
        <w:t xml:space="preserve"> </w:t>
      </w:r>
    </w:p>
  </w:footnote>
  <w:footnote w:id="86">
    <w:p w14:paraId="57802148" w14:textId="2CCBD47A" w:rsidR="006624B3" w:rsidRDefault="006624B3">
      <w:pPr>
        <w:pStyle w:val="FootnoteText"/>
      </w:pPr>
      <w:r>
        <w:rPr>
          <w:rStyle w:val="FootnoteReference"/>
        </w:rPr>
        <w:footnoteRef/>
      </w:r>
      <w:r>
        <w:t xml:space="preserve"> </w:t>
      </w:r>
      <w:r w:rsidRPr="00FD2BE0">
        <w:rPr>
          <w:sz w:val="18"/>
          <w:szCs w:val="18"/>
        </w:rPr>
        <w:t>Trešo valstu pilsoņu situācijas izpēte Latvijā 2017, nodibinājums “Baltic Institute of Social Sciences”</w:t>
      </w:r>
    </w:p>
  </w:footnote>
  <w:footnote w:id="87">
    <w:p w14:paraId="5134175C" w14:textId="0205EB9E" w:rsidR="006624B3" w:rsidRDefault="006624B3">
      <w:pPr>
        <w:pStyle w:val="FootnoteText"/>
      </w:pPr>
      <w:r>
        <w:rPr>
          <w:rStyle w:val="FootnoteReference"/>
        </w:rPr>
        <w:footnoteRef/>
      </w:r>
      <w:r>
        <w:t xml:space="preserve"> </w:t>
      </w:r>
      <w:r w:rsidRPr="00DF7DD6">
        <w:t>http://polsis.mk.gov.lv/documents/3323</w:t>
      </w:r>
    </w:p>
  </w:footnote>
  <w:footnote w:id="88">
    <w:p w14:paraId="175E4903" w14:textId="77777777" w:rsidR="006624B3" w:rsidRPr="00FD2BE0" w:rsidRDefault="006624B3" w:rsidP="00C66517">
      <w:pPr>
        <w:pStyle w:val="FootnoteText"/>
        <w:ind w:left="0" w:firstLine="0"/>
        <w:rPr>
          <w:sz w:val="18"/>
          <w:szCs w:val="18"/>
        </w:rPr>
      </w:pPr>
      <w:r w:rsidRPr="00FD2BE0">
        <w:rPr>
          <w:rStyle w:val="FootnoteReference"/>
          <w:sz w:val="18"/>
          <w:szCs w:val="18"/>
        </w:rPr>
        <w:footnoteRef/>
      </w:r>
      <w:r w:rsidRPr="00FD2BE0">
        <w:rPr>
          <w:sz w:val="18"/>
          <w:szCs w:val="18"/>
        </w:rPr>
        <w:t xml:space="preserve"> Culture and Local Development. https://ej.uz/7956</w:t>
      </w:r>
    </w:p>
  </w:footnote>
  <w:footnote w:id="89">
    <w:p w14:paraId="1723B349" w14:textId="77777777" w:rsidR="006624B3" w:rsidRPr="00FD2BE0" w:rsidRDefault="006624B3" w:rsidP="00C66517">
      <w:pPr>
        <w:pStyle w:val="FootnoteText"/>
        <w:ind w:left="0" w:firstLine="0"/>
        <w:rPr>
          <w:sz w:val="18"/>
          <w:szCs w:val="18"/>
        </w:rPr>
      </w:pPr>
      <w:r w:rsidRPr="00FD2BE0">
        <w:rPr>
          <w:rStyle w:val="FootnoteReference"/>
          <w:sz w:val="18"/>
          <w:szCs w:val="18"/>
        </w:rPr>
        <w:footnoteRef/>
      </w:r>
      <w:r w:rsidRPr="00FD2BE0">
        <w:rPr>
          <w:sz w:val="18"/>
          <w:szCs w:val="18"/>
        </w:rPr>
        <w:t xml:space="preserve"> Vidzemes reģiona attīstības programmas 2015.-2020.gadam ilgtermiņa prioritātes 7.”Vietu pievilcība” vidēja termiņa attīstības prioritāte 6.2.”Aktīva pilsoniskā sabiedrība un iesaistoša kultūrvide”.</w:t>
      </w:r>
    </w:p>
  </w:footnote>
  <w:footnote w:id="90">
    <w:p w14:paraId="7DBB567D" w14:textId="77777777" w:rsidR="006624B3" w:rsidRPr="00FD2BE0" w:rsidRDefault="006624B3"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Uz 01.01.2019</w:t>
      </w:r>
    </w:p>
  </w:footnote>
  <w:footnote w:id="91">
    <w:p w14:paraId="51AD50E7" w14:textId="288D5773" w:rsidR="006624B3" w:rsidRPr="00FD2BE0" w:rsidRDefault="006624B3" w:rsidP="00AC212B">
      <w:pPr>
        <w:pStyle w:val="FootnoteText"/>
        <w:ind w:left="0" w:firstLine="0"/>
        <w:jc w:val="left"/>
        <w:rPr>
          <w:sz w:val="18"/>
          <w:szCs w:val="18"/>
        </w:rPr>
      </w:pPr>
      <w:r>
        <w:rPr>
          <w:rStyle w:val="FootnoteReference"/>
        </w:rPr>
        <w:footnoteRef/>
      </w:r>
      <w:r w:rsidRPr="00FD2BE0">
        <w:rPr>
          <w:sz w:val="18"/>
          <w:szCs w:val="18"/>
        </w:rPr>
        <w:t xml:space="preserve"> “</w:t>
      </w:r>
      <w:r w:rsidRPr="00FD2BE0">
        <w:rPr>
          <w:iCs/>
          <w:sz w:val="18"/>
          <w:szCs w:val="18"/>
        </w:rPr>
        <w:t>Apvārsnis Eiropa”</w:t>
      </w:r>
      <w:r w:rsidRPr="00FD2BE0">
        <w:rPr>
          <w:sz w:val="18"/>
          <w:szCs w:val="18"/>
        </w:rPr>
        <w:t xml:space="preserve"> finansējums plānots ap 92 miljardiem </w:t>
      </w:r>
      <w:r w:rsidRPr="0093095E">
        <w:rPr>
          <w:i/>
          <w:sz w:val="18"/>
          <w:szCs w:val="18"/>
        </w:rPr>
        <w:t>euro</w:t>
      </w:r>
      <w:r w:rsidRPr="00FD2BE0">
        <w:rPr>
          <w:sz w:val="18"/>
          <w:szCs w:val="18"/>
        </w:rPr>
        <w:t xml:space="preserve"> salīdzinājumā ar 77 miljardiem </w:t>
      </w:r>
      <w:r w:rsidRPr="0093095E">
        <w:rPr>
          <w:i/>
          <w:sz w:val="18"/>
          <w:szCs w:val="18"/>
        </w:rPr>
        <w:t>euro</w:t>
      </w:r>
      <w:r w:rsidRPr="00FD2BE0">
        <w:rPr>
          <w:sz w:val="18"/>
          <w:szCs w:val="18"/>
        </w:rPr>
        <w:t xml:space="preserve"> programmā “</w:t>
      </w:r>
      <w:r w:rsidRPr="00FD2BE0">
        <w:rPr>
          <w:iCs/>
          <w:sz w:val="18"/>
          <w:szCs w:val="18"/>
        </w:rPr>
        <w:t>Apvārsnis 2020”</w:t>
      </w:r>
    </w:p>
  </w:footnote>
  <w:footnote w:id="92">
    <w:p w14:paraId="01059519" w14:textId="77777777" w:rsidR="006624B3" w:rsidRPr="00BF507F" w:rsidRDefault="006624B3" w:rsidP="00BF507F">
      <w:pPr>
        <w:pStyle w:val="FootnoteText"/>
        <w:ind w:left="0" w:firstLine="0"/>
        <w:jc w:val="left"/>
        <w:rPr>
          <w:sz w:val="18"/>
          <w:szCs w:val="18"/>
        </w:rPr>
      </w:pPr>
      <w:r w:rsidRPr="00BF507F">
        <w:rPr>
          <w:rStyle w:val="FootnoteReference"/>
          <w:sz w:val="18"/>
          <w:szCs w:val="18"/>
        </w:rPr>
        <w:footnoteRef/>
      </w:r>
      <w:r w:rsidRPr="00BF507F">
        <w:rPr>
          <w:sz w:val="18"/>
          <w:szCs w:val="18"/>
        </w:rPr>
        <w:t xml:space="preserve"> Latvijas dalībnieki piesaistījuši 77 milj. </w:t>
      </w:r>
      <w:r w:rsidRPr="00BF507F">
        <w:rPr>
          <w:iCs/>
          <w:sz w:val="18"/>
          <w:szCs w:val="18"/>
        </w:rPr>
        <w:t>euro</w:t>
      </w:r>
      <w:r w:rsidRPr="00BF507F">
        <w:rPr>
          <w:sz w:val="18"/>
          <w:szCs w:val="18"/>
        </w:rPr>
        <w:t xml:space="preserve"> salīdzinājumā ar 43 milj. </w:t>
      </w:r>
      <w:r w:rsidRPr="00BF507F">
        <w:rPr>
          <w:i/>
          <w:sz w:val="18"/>
          <w:szCs w:val="18"/>
        </w:rPr>
        <w:t>euro</w:t>
      </w:r>
      <w:r w:rsidRPr="00BF507F">
        <w:rPr>
          <w:sz w:val="18"/>
          <w:szCs w:val="18"/>
        </w:rPr>
        <w:t xml:space="preserve"> 7.IP ietvaros. </w:t>
      </w:r>
      <w:r w:rsidRPr="00BF507F">
        <w:rPr>
          <w:iCs/>
          <w:sz w:val="18"/>
          <w:szCs w:val="18"/>
        </w:rPr>
        <w:t>Avots</w:t>
      </w:r>
      <w:r w:rsidRPr="00BF507F">
        <w:rPr>
          <w:sz w:val="18"/>
          <w:szCs w:val="18"/>
        </w:rPr>
        <w:t>: Latvia Horizon 2020 Key achievements and impacts, EC, January 2020</w:t>
      </w:r>
    </w:p>
  </w:footnote>
  <w:footnote w:id="93">
    <w:p w14:paraId="43E54909" w14:textId="40051704" w:rsidR="006624B3" w:rsidRPr="00BF507F" w:rsidRDefault="006624B3" w:rsidP="00BF507F">
      <w:pPr>
        <w:pStyle w:val="FootnoteText"/>
        <w:ind w:left="0" w:firstLine="0"/>
        <w:rPr>
          <w:sz w:val="18"/>
          <w:szCs w:val="18"/>
        </w:rPr>
      </w:pPr>
      <w:r w:rsidRPr="00BF507F">
        <w:rPr>
          <w:rStyle w:val="FootnoteReference"/>
          <w:sz w:val="18"/>
          <w:szCs w:val="18"/>
        </w:rPr>
        <w:footnoteRef/>
      </w:r>
      <w:r w:rsidRPr="00BF507F">
        <w:rPr>
          <w:sz w:val="18"/>
          <w:szCs w:val="18"/>
        </w:rPr>
        <w:t xml:space="preserve"> Vērtējot RIS 3 pētniecības un inovāciju izcilības centru attīstību un izveidi par pamatu tiks izmantos Izglītības un zinātnes ministrijasinformatīvais ziņojums “Par Latvijas dalības aktualizāciju Eiropas pētniecības infrastruktūru stratēģijas foruma (ESFRI) Eiropas pētniecības infrastruktūru Ceļa kartes konsorcijos” un plānotais nacionālās nozīmes pētniecības infrastruktūras kartējums, kuru plānots izstrādāt 2021.gada 1.cetruksnī.</w:t>
      </w:r>
    </w:p>
  </w:footnote>
  <w:footnote w:id="94">
    <w:p w14:paraId="04F51688" w14:textId="725B666E" w:rsidR="006624B3" w:rsidRPr="00BF507F" w:rsidRDefault="006624B3" w:rsidP="00BF507F">
      <w:pPr>
        <w:pStyle w:val="FootnoteText"/>
        <w:ind w:left="0" w:firstLine="0"/>
        <w:rPr>
          <w:sz w:val="18"/>
          <w:szCs w:val="18"/>
        </w:rPr>
      </w:pPr>
      <w:r w:rsidRPr="00BF507F">
        <w:rPr>
          <w:rStyle w:val="FootnoteReference"/>
          <w:sz w:val="18"/>
          <w:szCs w:val="18"/>
        </w:rPr>
        <w:footnoteRef/>
      </w:r>
      <w:r w:rsidRPr="00BF507F">
        <w:rPr>
          <w:sz w:val="18"/>
          <w:szCs w:val="18"/>
        </w:rPr>
        <w:t xml:space="preserve"> </w:t>
      </w:r>
      <w:r w:rsidRPr="00BF507F">
        <w:rPr>
          <w:rFonts w:eastAsia="Times New Roman"/>
          <w:sz w:val="18"/>
          <w:szCs w:val="18"/>
        </w:rPr>
        <w:t xml:space="preserve">Atbalsts plānots praktiskas ievirzes un sadarbības (zinātniskās institūcijas un </w:t>
      </w:r>
      <w:r>
        <w:rPr>
          <w:rFonts w:eastAsia="Times New Roman"/>
          <w:sz w:val="18"/>
          <w:szCs w:val="18"/>
        </w:rPr>
        <w:t>saimnieciskās darbības veicēji</w:t>
      </w:r>
      <w:r w:rsidRPr="00BF507F">
        <w:rPr>
          <w:rFonts w:eastAsia="Times New Roman"/>
          <w:sz w:val="18"/>
          <w:szCs w:val="18"/>
        </w:rPr>
        <w:t>) pētījumu īstenošanai, kas paredz Latvijas tautsaimniecības inovācijas sistēmas kapacitātes un eksportspējas palielināšanu atbilstoši RIS3 stratēģijai. Inovācijas sistēmas kapacitāti tieši palielina to zināšanu pārnese, t</w:t>
      </w:r>
      <w:r>
        <w:rPr>
          <w:rFonts w:eastAsia="Times New Roman"/>
          <w:sz w:val="18"/>
          <w:szCs w:val="18"/>
        </w:rPr>
        <w:t>.sk.,</w:t>
      </w:r>
      <w:r w:rsidRPr="00BF507F">
        <w:rPr>
          <w:rFonts w:eastAsia="Times New Roman"/>
          <w:sz w:val="18"/>
          <w:szCs w:val="18"/>
        </w:rPr>
        <w:t xml:space="preserve"> tehnoloģiju tiesību komercializācija, kas iegūtas rūpniecisko pētījumu, tostarp agrīnas stadijas rūpniecisko pētījumu, un eksperimentālo izstrāžu ietvaros. Praktisko pētījumu ietvaros fundamentālie pētījumi atbalstāmi tiktāl, ciktāl to ietvaros iegūst tautsaimniecības izaugsmei nepieciešamās zināšanas rūpniecisko pētījumu un eksperimentālo izstrāžu veikšanai, lai izstrādātu prototipus ar tehnoloģiskās gatavības līmeni TRL 4-5, (atsevišķos gadījumos līdz TRL 7 (uzsākot projektu TRL var būt zemāks, taču ne zemāks par TRL2). </w:t>
      </w:r>
    </w:p>
  </w:footnote>
  <w:footnote w:id="95">
    <w:p w14:paraId="4CEE813A" w14:textId="718C0F12" w:rsidR="006624B3" w:rsidRDefault="006624B3" w:rsidP="00DF234A">
      <w:pPr>
        <w:pStyle w:val="FootnoteText"/>
        <w:ind w:left="0" w:firstLine="0"/>
        <w:jc w:val="left"/>
      </w:pPr>
      <w:r>
        <w:rPr>
          <w:rStyle w:val="FootnoteReference"/>
        </w:rPr>
        <w:footnoteRef/>
      </w:r>
      <w:r>
        <w:t xml:space="preserve"> </w:t>
      </w:r>
      <w:r w:rsidRPr="00461E83">
        <w:rPr>
          <w:sz w:val="18"/>
          <w:szCs w:val="18"/>
        </w:rPr>
        <w:t>Sadarbības modelis starp augstskolām, industriju jeb biznesu un valdības vai pašvaldī</w:t>
      </w:r>
      <w:r>
        <w:rPr>
          <w:sz w:val="18"/>
          <w:szCs w:val="18"/>
        </w:rPr>
        <w:t xml:space="preserve">bu institūcijām ar kopīgu mērķi </w:t>
      </w:r>
      <w:r w:rsidRPr="00461E83">
        <w:rPr>
          <w:sz w:val="18"/>
          <w:szCs w:val="18"/>
        </w:rPr>
        <w:t>veicināt inovāciju, konkurētspēju un vispārēju reģionālo un ekonomisko attīstību.</w:t>
      </w:r>
    </w:p>
  </w:footnote>
  <w:footnote w:id="96">
    <w:p w14:paraId="7229A7BF" w14:textId="77777777" w:rsidR="006624B3" w:rsidRPr="00BF507F" w:rsidRDefault="006624B3" w:rsidP="00C36EA7">
      <w:pPr>
        <w:pStyle w:val="FootnoteText"/>
        <w:jc w:val="left"/>
        <w:rPr>
          <w:sz w:val="18"/>
          <w:szCs w:val="18"/>
        </w:rPr>
      </w:pPr>
      <w:r w:rsidRPr="00BF507F">
        <w:rPr>
          <w:rStyle w:val="FootnoteReference"/>
          <w:sz w:val="18"/>
          <w:szCs w:val="18"/>
        </w:rPr>
        <w:footnoteRef/>
      </w:r>
      <w:r w:rsidRPr="00BF507F">
        <w:rPr>
          <w:sz w:val="18"/>
          <w:szCs w:val="18"/>
        </w:rPr>
        <w:t xml:space="preserve"> https://ec.europa.eu/docsroom/documents/41864 (skatīt izklājlapu (sheet) ”ANNEX C").</w:t>
      </w:r>
    </w:p>
  </w:footnote>
  <w:footnote w:id="97">
    <w:p w14:paraId="431533E3" w14:textId="77777777" w:rsidR="006624B3" w:rsidRPr="00BF507F" w:rsidRDefault="006624B3" w:rsidP="00C36EA7">
      <w:pPr>
        <w:pStyle w:val="FootnoteText"/>
        <w:ind w:left="0" w:firstLine="0"/>
        <w:jc w:val="left"/>
        <w:rPr>
          <w:sz w:val="18"/>
          <w:szCs w:val="18"/>
        </w:rPr>
      </w:pPr>
      <w:r w:rsidRPr="00BF507F">
        <w:rPr>
          <w:rStyle w:val="FootnoteReference"/>
          <w:sz w:val="18"/>
          <w:szCs w:val="18"/>
        </w:rPr>
        <w:footnoteRef/>
      </w:r>
      <w:r w:rsidRPr="00BF507F">
        <w:rPr>
          <w:sz w:val="18"/>
          <w:szCs w:val="18"/>
        </w:rPr>
        <w:t xml:space="preserve"> </w:t>
      </w:r>
      <w:hyperlink r:id="rId27" w:history="1">
        <w:r w:rsidRPr="00BF507F">
          <w:rPr>
            <w:rStyle w:val="Hyperlink"/>
            <w:sz w:val="18"/>
            <w:szCs w:val="18"/>
          </w:rPr>
          <w:t>https://www.oecd.org/dev/Global-Value-Chain-Development-Report-2019-Technological-Innovation-Supply-Chain-Trade-and-Workers-in-a-Globalized-World.pdf</w:t>
        </w:r>
      </w:hyperlink>
      <w:r w:rsidRPr="00BF507F">
        <w:rPr>
          <w:sz w:val="18"/>
          <w:szCs w:val="18"/>
        </w:rPr>
        <w:t xml:space="preserve"> </w:t>
      </w:r>
      <w:r w:rsidRPr="00BF507F">
        <w:rPr>
          <w:i/>
          <w:iCs/>
          <w:sz w:val="18"/>
          <w:szCs w:val="18"/>
        </w:rPr>
        <w:t>(skatīt nodevuma 26.-34.lpp)</w:t>
      </w:r>
    </w:p>
  </w:footnote>
  <w:footnote w:id="98">
    <w:p w14:paraId="4E359821" w14:textId="77777777" w:rsidR="006624B3" w:rsidRPr="00BF507F" w:rsidRDefault="006624B3" w:rsidP="00C36EA7">
      <w:pPr>
        <w:pStyle w:val="FootnoteText"/>
        <w:ind w:left="0" w:firstLine="0"/>
        <w:jc w:val="left"/>
        <w:rPr>
          <w:sz w:val="18"/>
          <w:szCs w:val="18"/>
        </w:rPr>
      </w:pPr>
      <w:r w:rsidRPr="00BF507F">
        <w:rPr>
          <w:rStyle w:val="FootnoteReference"/>
          <w:sz w:val="18"/>
          <w:szCs w:val="18"/>
        </w:rPr>
        <w:footnoteRef/>
      </w:r>
      <w:r w:rsidRPr="00BF507F">
        <w:rPr>
          <w:sz w:val="18"/>
          <w:szCs w:val="18"/>
        </w:rPr>
        <w:t xml:space="preserve"> </w:t>
      </w:r>
      <w:hyperlink r:id="rId28" w:history="1">
        <w:r w:rsidRPr="00BF507F">
          <w:rPr>
            <w:rStyle w:val="Hyperlink"/>
            <w:color w:val="auto"/>
            <w:sz w:val="18"/>
            <w:szCs w:val="18"/>
          </w:rPr>
          <w:t>https://webgate.ec.europa.eu/dashboard/sense/app/a976d168-2023-41d8-acec-e77640154726/sheet/0c8af38b-b73c-4da2-ba41-73ea34ab7ac4/state/analysis</w:t>
        </w:r>
      </w:hyperlink>
    </w:p>
  </w:footnote>
  <w:footnote w:id="99">
    <w:p w14:paraId="7D1ED364" w14:textId="77777777" w:rsidR="006624B3" w:rsidRDefault="006624B3" w:rsidP="00B8254F">
      <w:pPr>
        <w:pStyle w:val="FootnoteText"/>
      </w:pPr>
      <w:r>
        <w:rPr>
          <w:rStyle w:val="FootnoteReference"/>
        </w:rPr>
        <w:footnoteRef/>
      </w:r>
      <w:r>
        <w:t xml:space="preserve"> </w:t>
      </w:r>
      <w:r w:rsidRPr="00260507">
        <w:t>Tabulā iekļautās plānotās sasniedzamās vērtības var precizēties, ņemot vērā nozaru plānošanas dokumentu, ar to saistīto izvērtējumu veikšanas stadiju</w:t>
      </w:r>
    </w:p>
  </w:footnote>
  <w:footnote w:id="100">
    <w:p w14:paraId="6231A3CC" w14:textId="77777777" w:rsidR="006624B3" w:rsidRPr="00FD2BE0" w:rsidRDefault="006624B3" w:rsidP="00B8254F">
      <w:pPr>
        <w:pStyle w:val="FootnoteText"/>
        <w:ind w:left="0" w:firstLine="0"/>
        <w:rPr>
          <w:sz w:val="18"/>
          <w:szCs w:val="18"/>
        </w:rPr>
      </w:pPr>
      <w:r w:rsidRPr="00FD2BE0">
        <w:rPr>
          <w:rStyle w:val="FootnoteReference"/>
          <w:sz w:val="18"/>
          <w:szCs w:val="18"/>
        </w:rPr>
        <w:footnoteRef/>
      </w:r>
      <w:r w:rsidRPr="00FD2BE0">
        <w:rPr>
          <w:sz w:val="18"/>
          <w:szCs w:val="18"/>
        </w:rPr>
        <w:t xml:space="preserve"> Tabulā iekļautās plānotās sasniedzamās vērtības var precizēties, ņemot vērā nozaru plānošanas dokumentu, ar to saistīto izvērtējumu veikšanas stadiju.</w:t>
      </w:r>
    </w:p>
  </w:footnote>
  <w:footnote w:id="101">
    <w:p w14:paraId="5EC7BE78" w14:textId="77777777" w:rsidR="006624B3" w:rsidRPr="00FD2BE0" w:rsidRDefault="006624B3" w:rsidP="00AC212B">
      <w:pPr>
        <w:pStyle w:val="FootnoteText"/>
        <w:ind w:left="0" w:firstLine="0"/>
        <w:jc w:val="left"/>
        <w:rPr>
          <w:sz w:val="18"/>
          <w:szCs w:val="18"/>
        </w:rPr>
      </w:pPr>
      <w:r w:rsidRPr="00FD2BE0">
        <w:rPr>
          <w:rStyle w:val="FootnoteReference"/>
          <w:sz w:val="18"/>
          <w:szCs w:val="18"/>
        </w:rPr>
        <w:footnoteRef/>
      </w:r>
      <w:r w:rsidRPr="00FD2BE0">
        <w:rPr>
          <w:sz w:val="18"/>
          <w:szCs w:val="18"/>
        </w:rPr>
        <w:t xml:space="preserve"> Direktīvas 2012/27/EC 2.panta (24)(7)(27) apakšpunktu un 18.panta izpratnē.</w:t>
      </w:r>
    </w:p>
  </w:footnote>
  <w:footnote w:id="102">
    <w:p w14:paraId="1BDF735D" w14:textId="77777777" w:rsidR="006624B3" w:rsidRPr="00FD2BE0" w:rsidRDefault="006624B3" w:rsidP="000A2D5F">
      <w:pPr>
        <w:pStyle w:val="FootnoteText"/>
        <w:tabs>
          <w:tab w:val="left" w:pos="0"/>
          <w:tab w:val="left" w:pos="142"/>
        </w:tabs>
        <w:ind w:left="0" w:firstLine="0"/>
        <w:rPr>
          <w:sz w:val="18"/>
          <w:szCs w:val="18"/>
        </w:rPr>
      </w:pPr>
      <w:r w:rsidRPr="00FD2BE0">
        <w:rPr>
          <w:rStyle w:val="FootnoteReference"/>
          <w:sz w:val="18"/>
          <w:szCs w:val="18"/>
        </w:rPr>
        <w:footnoteRef/>
      </w:r>
      <w:r w:rsidRPr="00FD2BE0">
        <w:rPr>
          <w:rStyle w:val="FootnoteReference"/>
          <w:sz w:val="18"/>
          <w:szCs w:val="18"/>
        </w:rPr>
        <w:tab/>
      </w:r>
      <w:r w:rsidRPr="00FD2BE0">
        <w:rPr>
          <w:sz w:val="18"/>
          <w:szCs w:val="18"/>
        </w:rPr>
        <w:t xml:space="preserve"> Atbilstoši Teritorijas attīstības plānošanas likumam, vietējās (pašvaldību) klimata pielāgošanās stratēģijas tiek plānotas kā pašvaldību attīstības programmu sastāvdaļa (likuma 22.pants)</w:t>
      </w:r>
    </w:p>
  </w:footnote>
  <w:footnote w:id="103">
    <w:p w14:paraId="2D25C1B4" w14:textId="77777777" w:rsidR="006624B3" w:rsidRPr="00FD2BE0" w:rsidRDefault="006624B3"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LVĢMC, Sākotnējais plūdu riska novērtējums 2019.-2024.gadam. https://ieej.lv/znvgC</w:t>
      </w:r>
    </w:p>
  </w:footnote>
  <w:footnote w:id="104">
    <w:p w14:paraId="1C84ECEF" w14:textId="77777777" w:rsidR="006624B3" w:rsidRPr="00FD2BE0" w:rsidRDefault="006624B3"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Plūdu riska pārvaldības plāni 2021. –2027.gadam tiks izstrādāti līdz 31.12.2021.</w:t>
      </w:r>
    </w:p>
  </w:footnote>
  <w:footnote w:id="105">
    <w:p w14:paraId="4C768149" w14:textId="77777777" w:rsidR="006624B3" w:rsidRPr="0068185D" w:rsidRDefault="006624B3" w:rsidP="00311C51">
      <w:pPr>
        <w:pStyle w:val="FootnoteText"/>
        <w:ind w:left="426" w:hanging="436"/>
        <w:jc w:val="left"/>
      </w:pPr>
      <w:r w:rsidRPr="0068185D">
        <w:rPr>
          <w:rStyle w:val="FootnoteReference"/>
          <w:vertAlign w:val="baseline"/>
        </w:rPr>
        <w:footnoteRef/>
      </w:r>
      <w:r w:rsidRPr="0068185D">
        <w:t xml:space="preserve"> http://tap.mk.gov.lv/lv/mk/tap/?pid=40493683</w:t>
      </w:r>
    </w:p>
  </w:footnote>
  <w:footnote w:id="106">
    <w:p w14:paraId="794AA6AE" w14:textId="77777777" w:rsidR="006624B3" w:rsidRPr="0068185D" w:rsidRDefault="006624B3" w:rsidP="00311C51">
      <w:pPr>
        <w:pStyle w:val="FootnoteText"/>
        <w:ind w:left="426" w:hanging="436"/>
        <w:jc w:val="left"/>
        <w:rPr>
          <w:rFonts w:eastAsia="Times New Roman"/>
          <w:noProof/>
        </w:rPr>
      </w:pPr>
      <w:r w:rsidRPr="0068185D">
        <w:rPr>
          <w:rFonts w:eastAsia="Times New Roman"/>
          <w:noProof/>
        </w:rPr>
        <w:footnoteRef/>
      </w:r>
      <w:r w:rsidRPr="0068185D">
        <w:rPr>
          <w:rFonts w:eastAsia="Times New Roman"/>
          <w:noProof/>
        </w:rPr>
        <w:t xml:space="preserve"> https://www.varam.gov.lv/sites/varam/files/content/investiciju-vajadzibu-izvertejums-aavp-2021_2028-geoconsultants-2020.pdf</w:t>
      </w:r>
    </w:p>
  </w:footnote>
  <w:footnote w:id="107">
    <w:p w14:paraId="3FE96742" w14:textId="77777777" w:rsidR="006624B3" w:rsidRPr="0068185D" w:rsidRDefault="006624B3" w:rsidP="00311C51">
      <w:pPr>
        <w:spacing w:before="0" w:after="0"/>
        <w:ind w:left="426" w:hanging="436"/>
        <w:jc w:val="left"/>
        <w:rPr>
          <w:sz w:val="20"/>
        </w:rPr>
      </w:pPr>
      <w:r w:rsidRPr="0068185D">
        <w:rPr>
          <w:rFonts w:eastAsia="Times New Roman"/>
          <w:noProof/>
          <w:sz w:val="20"/>
        </w:rPr>
        <w:footnoteRef/>
      </w:r>
      <w:r w:rsidRPr="0068185D">
        <w:rPr>
          <w:rFonts w:eastAsia="Times New Roman"/>
          <w:noProof/>
          <w:sz w:val="20"/>
        </w:rPr>
        <w:t xml:space="preserve"> https://likumi.lv/ta/id/317168-par-ricibas-planu-parejai-uz-aprites-ekonomiku-20202027-gadam</w:t>
      </w:r>
    </w:p>
  </w:footnote>
  <w:footnote w:id="108">
    <w:p w14:paraId="62C1D8E9" w14:textId="6B0A32CA" w:rsidR="006624B3" w:rsidRDefault="006624B3" w:rsidP="000A182C">
      <w:pPr>
        <w:pStyle w:val="FootnoteText"/>
        <w:ind w:left="567" w:hanging="567"/>
      </w:pPr>
      <w:r>
        <w:rPr>
          <w:rStyle w:val="FootnoteReference"/>
        </w:rPr>
        <w:footnoteRef/>
      </w:r>
      <w:r>
        <w:t xml:space="preserve"> </w:t>
      </w:r>
      <w:r w:rsidRPr="004A58D0">
        <w:t>Natura 2000 teritoriju prioritāro rīcību programmā 2021.–2027.gadam (saskaņošanā ar EK)</w:t>
      </w:r>
    </w:p>
  </w:footnote>
  <w:footnote w:id="109">
    <w:p w14:paraId="1CA8DCF1" w14:textId="4A53F3F6" w:rsidR="006624B3" w:rsidRDefault="006624B3" w:rsidP="000A182C">
      <w:pPr>
        <w:pStyle w:val="FootnoteText"/>
        <w:ind w:left="567" w:hanging="567"/>
      </w:pPr>
      <w:r>
        <w:rPr>
          <w:rStyle w:val="FootnoteReference"/>
        </w:rPr>
        <w:footnoteRef/>
      </w:r>
      <w:r>
        <w:t xml:space="preserve"> </w:t>
      </w:r>
      <w:r w:rsidRPr="004A58D0">
        <w:t>Eiropas Padomes 1992.gada 21.maija direktīva 92/43/EEK par dabisko dzīvotņu, savvaļas faunas un floras aizsardzību un Eiropas Parlamenta un Padomes 2009. gada 30. novembra direktīva 2009/147/EK par savvaļas putnu aizsardzību</w:t>
      </w:r>
    </w:p>
  </w:footnote>
  <w:footnote w:id="110">
    <w:p w14:paraId="342C34F5" w14:textId="77777777" w:rsidR="006624B3" w:rsidRDefault="006624B3" w:rsidP="000A182C">
      <w:pPr>
        <w:pStyle w:val="FootnoteText"/>
        <w:ind w:left="567" w:hanging="567"/>
      </w:pPr>
      <w:r>
        <w:rPr>
          <w:rStyle w:val="FootnoteReference"/>
        </w:rPr>
        <w:footnoteRef/>
      </w:r>
      <w:r>
        <w:t xml:space="preserve"> Dabas aizsardzības pārvalde. (2019) Biotopu direktīvas ziņojums</w:t>
      </w:r>
    </w:p>
    <w:p w14:paraId="42993366" w14:textId="1EF85E97" w:rsidR="006624B3" w:rsidRDefault="006624B3" w:rsidP="000A182C">
      <w:pPr>
        <w:pStyle w:val="FootnoteText"/>
        <w:ind w:left="567" w:hanging="567"/>
      </w:pPr>
      <w:r>
        <w:t>https://www.daba.gov.lv/public/publikacijas_un_parskati/</w:t>
      </w:r>
    </w:p>
  </w:footnote>
  <w:footnote w:id="111">
    <w:p w14:paraId="2A155B37" w14:textId="78DCC803" w:rsidR="006624B3" w:rsidRDefault="006624B3" w:rsidP="000A182C">
      <w:pPr>
        <w:pStyle w:val="FootnoteText"/>
        <w:ind w:left="567" w:hanging="567"/>
      </w:pPr>
      <w:r>
        <w:rPr>
          <w:rStyle w:val="FootnoteReference"/>
        </w:rPr>
        <w:footnoteRef/>
      </w:r>
      <w:r>
        <w:t xml:space="preserve"> </w:t>
      </w:r>
      <w:r w:rsidRPr="004A58D0">
        <w:t>Eiropas Komisijas Bioloģiskās daudzveidības stratēģija līdz 2030. gadam https://ec.europa.eu/environment/nature/</w:t>
      </w:r>
    </w:p>
  </w:footnote>
  <w:footnote w:id="112">
    <w:p w14:paraId="22032005" w14:textId="77777777" w:rsidR="006624B3" w:rsidRDefault="006624B3" w:rsidP="00C34272">
      <w:pPr>
        <w:pStyle w:val="FootnoteText"/>
      </w:pPr>
      <w:r>
        <w:rPr>
          <w:rStyle w:val="FootnoteReference"/>
        </w:rPr>
        <w:footnoteRef/>
      </w:r>
      <w:r>
        <w:t xml:space="preserve"> Direktīva 2020/2184 par dzeramā ūdens kvalitāti (pārstrādātā redakcija)</w:t>
      </w:r>
      <w:r w:rsidRPr="0031582B">
        <w:t xml:space="preserve"> https://ieej.lv/mToBx</w:t>
      </w:r>
    </w:p>
  </w:footnote>
  <w:footnote w:id="113">
    <w:p w14:paraId="17DFDD07" w14:textId="77777777" w:rsidR="006624B3" w:rsidRDefault="006624B3" w:rsidP="00C34272">
      <w:pPr>
        <w:pStyle w:val="FootnoteText"/>
      </w:pPr>
      <w:r>
        <w:rPr>
          <w:rStyle w:val="FootnoteReference"/>
        </w:rPr>
        <w:footnoteRef/>
      </w:r>
      <w:r>
        <w:t xml:space="preserve"> https://ieej.lv/DqW8f  </w:t>
      </w:r>
    </w:p>
  </w:footnote>
  <w:footnote w:id="114">
    <w:p w14:paraId="2214B7C7" w14:textId="71CE7840" w:rsidR="006624B3" w:rsidRDefault="006624B3" w:rsidP="006260C9">
      <w:pPr>
        <w:spacing w:before="0" w:after="0"/>
      </w:pPr>
      <w:r w:rsidRPr="007323C7">
        <w:rPr>
          <w:rFonts w:eastAsia="Times New Roman Bold" w:cs="Times New Roman Bold"/>
          <w:sz w:val="20"/>
          <w:vertAlign w:val="superscript"/>
        </w:rPr>
        <w:footnoteRef/>
      </w:r>
      <w:r w:rsidRPr="007323C7">
        <w:rPr>
          <w:rFonts w:eastAsia="Times New Roman Bold"/>
          <w:sz w:val="16"/>
          <w:szCs w:val="16"/>
        </w:rPr>
        <w:t xml:space="preserve"> </w:t>
      </w:r>
      <w:r w:rsidRPr="007323C7">
        <w:rPr>
          <w:rFonts w:eastAsia="Times New Roman Bold"/>
          <w:color w:val="414142"/>
          <w:sz w:val="16"/>
          <w:szCs w:val="16"/>
        </w:rPr>
        <w:t xml:space="preserve">Eiropas Parlamenta un Padomes 2008.gada 21.maija Direktīva </w:t>
      </w:r>
      <w:hyperlink r:id="rId29" w:history="1">
        <w:r w:rsidRPr="007323C7">
          <w:rPr>
            <w:rStyle w:val="Hyperlink"/>
            <w:rFonts w:eastAsia="Arial"/>
            <w:sz w:val="16"/>
            <w:szCs w:val="16"/>
          </w:rPr>
          <w:t>2008/50/EK</w:t>
        </w:r>
      </w:hyperlink>
      <w:r w:rsidRPr="007323C7">
        <w:rPr>
          <w:rFonts w:eastAsia="Times New Roman Bold"/>
          <w:color w:val="414142"/>
          <w:sz w:val="16"/>
          <w:szCs w:val="16"/>
        </w:rPr>
        <w:t xml:space="preserve"> par gaisa kvalitāti un tīrāku gaisu Eiropai</w:t>
      </w:r>
      <w:r>
        <w:rPr>
          <w:rFonts w:eastAsia="Times New Roman Bold"/>
          <w:color w:val="414142"/>
          <w:sz w:val="16"/>
          <w:szCs w:val="16"/>
        </w:rPr>
        <w:t xml:space="preserve"> un </w:t>
      </w:r>
      <w:r w:rsidRPr="007323C7">
        <w:rPr>
          <w:rFonts w:eastAsia="Times New Roman Bold"/>
          <w:color w:val="414142"/>
          <w:sz w:val="16"/>
          <w:szCs w:val="16"/>
        </w:rPr>
        <w:t xml:space="preserve">Eiropas Parlamenta un Padomes 2004.gada 15.decembra Direktīva </w:t>
      </w:r>
      <w:hyperlink r:id="rId30" w:history="1">
        <w:r w:rsidRPr="007323C7">
          <w:rPr>
            <w:rStyle w:val="Hyperlink"/>
            <w:rFonts w:eastAsia="Arial"/>
            <w:sz w:val="16"/>
            <w:szCs w:val="16"/>
          </w:rPr>
          <w:t>2004/107/EK</w:t>
        </w:r>
      </w:hyperlink>
      <w:r w:rsidRPr="007323C7">
        <w:rPr>
          <w:rFonts w:eastAsia="Times New Roman Bold"/>
          <w:color w:val="414142"/>
          <w:sz w:val="16"/>
          <w:szCs w:val="16"/>
        </w:rPr>
        <w:t xml:space="preserve"> par arsēnu, kadmiju, dzīvsudrabu, niķeli un policikliskajiem aromātiskajiem ogļūdeņražiem</w:t>
      </w:r>
      <w:r>
        <w:rPr>
          <w:rFonts w:eastAsia="Times New Roman Bold"/>
          <w:color w:val="414142"/>
          <w:sz w:val="16"/>
          <w:szCs w:val="16"/>
        </w:rPr>
        <w:t>.</w:t>
      </w:r>
    </w:p>
  </w:footnote>
  <w:footnote w:id="115">
    <w:p w14:paraId="31143AEB" w14:textId="4030E87B" w:rsidR="006624B3" w:rsidRDefault="006624B3" w:rsidP="006260C9">
      <w:pPr>
        <w:pStyle w:val="FootnoteText"/>
      </w:pPr>
      <w:r>
        <w:rPr>
          <w:rStyle w:val="FootnoteReference"/>
        </w:rPr>
        <w:footnoteRef/>
      </w:r>
      <w:r>
        <w:t xml:space="preserve"> </w:t>
      </w:r>
      <w:r w:rsidRPr="004A58D0">
        <w:t>https://ieej.lv/y5vBh</w:t>
      </w:r>
    </w:p>
  </w:footnote>
  <w:footnote w:id="116">
    <w:p w14:paraId="24BBAB4F" w14:textId="77777777" w:rsidR="006624B3" w:rsidRDefault="006624B3" w:rsidP="00B8254F">
      <w:pPr>
        <w:pStyle w:val="FootnoteText"/>
      </w:pPr>
      <w:r>
        <w:rPr>
          <w:rStyle w:val="FootnoteReference"/>
        </w:rPr>
        <w:footnoteRef/>
      </w:r>
      <w:r>
        <w:t xml:space="preserve"> </w:t>
      </w:r>
      <w:r w:rsidRPr="00260507">
        <w:t>Tabulā iekļautās plānotās sasniedzamās vērtības var precizēties, ņemot vērā nozaru plānošanas dokumentu, ar to saistīto izvērtējumu veikšanas stadiju</w:t>
      </w:r>
    </w:p>
  </w:footnote>
  <w:footnote w:id="117">
    <w:p w14:paraId="777DCAD7" w14:textId="77777777" w:rsidR="006624B3" w:rsidRPr="00FD2BE0" w:rsidRDefault="006624B3" w:rsidP="00340D0B">
      <w:pPr>
        <w:pStyle w:val="FootnoteText"/>
        <w:ind w:left="0" w:firstLine="0"/>
        <w:rPr>
          <w:sz w:val="18"/>
          <w:szCs w:val="18"/>
        </w:rPr>
      </w:pPr>
      <w:r w:rsidRPr="00FD2BE0">
        <w:rPr>
          <w:rStyle w:val="FootnoteReference"/>
          <w:sz w:val="18"/>
          <w:szCs w:val="18"/>
        </w:rPr>
        <w:footnoteRef/>
      </w:r>
      <w:r w:rsidRPr="00FD2BE0">
        <w:rPr>
          <w:sz w:val="18"/>
          <w:szCs w:val="18"/>
        </w:rPr>
        <w:t xml:space="preserve"> Tabulā iekļautās plānotās sasniedzamās vērtības var precizēties, ņemot vērā nozaru plānošanas dokumentu, ar to saistīto izvērtējumu veikšanas stadiju.</w:t>
      </w:r>
    </w:p>
  </w:footnote>
  <w:footnote w:id="118">
    <w:p w14:paraId="5B1C0BD2" w14:textId="77777777" w:rsidR="006624B3" w:rsidRDefault="006624B3" w:rsidP="00340D0B">
      <w:pPr>
        <w:pStyle w:val="FootnoteText"/>
      </w:pPr>
      <w:r>
        <w:rPr>
          <w:rStyle w:val="FootnoteReference"/>
        </w:rPr>
        <w:footnoteRef/>
      </w:r>
      <w:r>
        <w:t xml:space="preserve"> </w:t>
      </w:r>
      <w:r w:rsidRPr="00260507">
        <w:t>Tabulā iekļautās plānotās sasniedzamās vērtības var precizēties, ņemot vērā nozaru plānošanas dokumentu, ar to saistīto izvērtējumu veikšanas stadiju</w:t>
      </w:r>
    </w:p>
  </w:footnote>
  <w:footnote w:id="119">
    <w:p w14:paraId="5DFE5E8A" w14:textId="77777777" w:rsidR="006624B3" w:rsidRPr="00FD2BE0" w:rsidRDefault="006624B3" w:rsidP="00340D0B">
      <w:pPr>
        <w:pStyle w:val="FootnoteText"/>
        <w:ind w:left="0" w:firstLine="0"/>
        <w:rPr>
          <w:sz w:val="18"/>
          <w:szCs w:val="18"/>
        </w:rPr>
      </w:pPr>
      <w:r w:rsidRPr="00FD2BE0">
        <w:rPr>
          <w:rStyle w:val="FootnoteReference"/>
          <w:sz w:val="18"/>
          <w:szCs w:val="18"/>
        </w:rPr>
        <w:footnoteRef/>
      </w:r>
      <w:r w:rsidRPr="00FD2BE0">
        <w:rPr>
          <w:sz w:val="18"/>
          <w:szCs w:val="18"/>
        </w:rPr>
        <w:t xml:space="preserve"> Tabulā iekļautās plānotās sasniedzamās vērtības var precizēties, ņemot vērā nozaru plānošanas dokumentu, ar to saistīto izvērtējumu veikšanas stadiju.</w:t>
      </w:r>
    </w:p>
  </w:footnote>
  <w:footnote w:id="120">
    <w:p w14:paraId="32825ECC" w14:textId="77777777" w:rsidR="006624B3" w:rsidRPr="00FD2BE0" w:rsidRDefault="006624B3"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Minētās darbības vērstas uz Eiropas Semestra rekomendācijām Latvijai 2019.gadā veselības jomā: “Veselības rezultāti ir vāji, un savlaicīga piekļuve cenas ziņā pieejamai veselības aprūpei un ilgtermiņa aprūpei ir ierobežota. Tāpēc ir noteiktas augstas prioritātes investīciju vajadzības, lai uzlabotu vienlīdzīgu un savlaicīgu piekļuvi sociālajiem, veselības aprūpes un ilgtermiņa aprūpes pakalpojumiem, t. sk. izmantojot infrastruktūru, un jo īpaši lai: nodrošinātu vienlīdzīgu piekļuvi cenas ziņā un citādi pieejamiem labas kvalitātes sociālajiem pakalpojumiem un veselības aprūpei; atbalstītu veselības, ilgtermiņa un sociālās aprūpes darbinieku pārkvalifikāciju, prasmju pilnveidošanu un saglabāšanu darbā; atbalstītu pāreju no institucionālās aprūpes uz neatkarīgu dzīvi un kopienā balstītas aprūpes pakalpojumiem, uzsvaru liekot uz sadarbību starp veselības aprūpes un sociālajiem dienestiem; nostiprinātu slimību profilaksi un veselības aprūpes sistēmas darbību, ievērojot uz indivīdu vērstu pieeju.”</w:t>
      </w:r>
    </w:p>
  </w:footnote>
  <w:footnote w:id="121">
    <w:p w14:paraId="6E1322D8" w14:textId="3294EBA8" w:rsidR="006624B3" w:rsidRPr="006E3AD2" w:rsidRDefault="006624B3" w:rsidP="006E3AD2">
      <w:pPr>
        <w:pStyle w:val="FootnoteText"/>
        <w:ind w:left="0" w:firstLine="0"/>
        <w:rPr>
          <w:sz w:val="18"/>
          <w:szCs w:val="18"/>
        </w:rPr>
      </w:pPr>
      <w:r w:rsidRPr="006E3AD2">
        <w:rPr>
          <w:rStyle w:val="FootnoteReference"/>
          <w:sz w:val="18"/>
          <w:szCs w:val="18"/>
        </w:rPr>
        <w:footnoteRef/>
      </w:r>
      <w:r w:rsidRPr="006E3AD2">
        <w:rPr>
          <w:sz w:val="18"/>
          <w:szCs w:val="18"/>
        </w:rPr>
        <w:t xml:space="preserve"> </w:t>
      </w:r>
      <w:r w:rsidRPr="00DD6FE5">
        <w:rPr>
          <w:sz w:val="18"/>
          <w:szCs w:val="18"/>
        </w:rPr>
        <w:t xml:space="preserve">Esošais kartējums pamatojas uz </w:t>
      </w:r>
      <w:r w:rsidRPr="006E3AD2">
        <w:rPr>
          <w:sz w:val="18"/>
          <w:szCs w:val="18"/>
        </w:rPr>
        <w:t>Pasaules Bankas veselības tīklu attīstības vadlīnij</w:t>
      </w:r>
      <w:r>
        <w:rPr>
          <w:sz w:val="18"/>
          <w:szCs w:val="18"/>
        </w:rPr>
        <w:t>ām</w:t>
      </w:r>
      <w:r w:rsidRPr="006E3AD2">
        <w:rPr>
          <w:sz w:val="18"/>
          <w:szCs w:val="18"/>
        </w:rPr>
        <w:t>, Sabiedrības veselības pamatnostādn</w:t>
      </w:r>
      <w:r>
        <w:rPr>
          <w:sz w:val="18"/>
          <w:szCs w:val="18"/>
        </w:rPr>
        <w:t>ēm</w:t>
      </w:r>
      <w:r w:rsidRPr="006E3AD2">
        <w:rPr>
          <w:sz w:val="18"/>
          <w:szCs w:val="18"/>
        </w:rPr>
        <w:t xml:space="preserve"> 2021.-20207.gadam un Veselības aprūpes pakalpojumu organizēšanas un finansēšanas kārtīb</w:t>
      </w:r>
      <w:r>
        <w:rPr>
          <w:sz w:val="18"/>
          <w:szCs w:val="18"/>
        </w:rPr>
        <w:t xml:space="preserve">u. </w:t>
      </w:r>
      <w:r w:rsidRPr="00DD6FE5">
        <w:rPr>
          <w:sz w:val="18"/>
          <w:szCs w:val="18"/>
        </w:rPr>
        <w:t>Ieguldījumu priekšnosacījums attiecībā uz veselības un ilgtermiņa aprūpes vajadzību apzināšanu, lai nodrošinātu ilgtspējīgus un saskaņotus pasākumus tiks nodrošināts izstrādājot dokumentu, kurā tiks atrunāts ārstniecības iestāžu kartējums un galvenie attīstības virzieni</w:t>
      </w:r>
    </w:p>
  </w:footnote>
  <w:footnote w:id="122">
    <w:p w14:paraId="6CAB4E3D" w14:textId="648BFDB1" w:rsidR="006624B3" w:rsidRDefault="006624B3">
      <w:pPr>
        <w:pStyle w:val="FootnoteText"/>
      </w:pPr>
      <w:r>
        <w:rPr>
          <w:rStyle w:val="FootnoteReference"/>
        </w:rPr>
        <w:footnoteRef/>
      </w:r>
      <w:r>
        <w:t xml:space="preserve"> </w:t>
      </w:r>
      <w:r w:rsidRPr="00601AA2">
        <w:t>Bezdarbnieku, darba meklētāju un bezdarba riskam pakļauto personu kvalifikācijas un prasmju paaugstināšanas pasākumi tiks īstenoti sākot ar 2026.gadu elastības finansējuma ietvaros</w:t>
      </w:r>
    </w:p>
  </w:footnote>
  <w:footnote w:id="123">
    <w:p w14:paraId="51277C8F" w14:textId="77777777" w:rsidR="006624B3" w:rsidRDefault="006624B3" w:rsidP="003155B0">
      <w:pPr>
        <w:pStyle w:val="FootnoteText"/>
      </w:pPr>
      <w:r>
        <w:rPr>
          <w:rStyle w:val="FootnoteReference"/>
        </w:rPr>
        <w:footnoteRef/>
      </w:r>
      <w:r>
        <w:t xml:space="preserve"> </w:t>
      </w:r>
      <w:r w:rsidRPr="00260507">
        <w:t>Tabulā iekļautās plānotās sasniedzamās vērtības var precizēties, ņemot vērā nozaru plānošanas dokumentu, ar to saistīto izvērtējumu veikšanas stadiju</w:t>
      </w:r>
    </w:p>
  </w:footnote>
  <w:footnote w:id="124">
    <w:p w14:paraId="72E24DB7" w14:textId="77777777" w:rsidR="006624B3" w:rsidRPr="00FD2BE0" w:rsidRDefault="006624B3" w:rsidP="003155B0">
      <w:pPr>
        <w:pStyle w:val="FootnoteText"/>
        <w:ind w:left="0" w:firstLine="0"/>
        <w:rPr>
          <w:sz w:val="18"/>
          <w:szCs w:val="18"/>
        </w:rPr>
      </w:pPr>
      <w:r w:rsidRPr="00FD2BE0">
        <w:rPr>
          <w:rStyle w:val="FootnoteReference"/>
          <w:sz w:val="18"/>
          <w:szCs w:val="18"/>
        </w:rPr>
        <w:footnoteRef/>
      </w:r>
      <w:r w:rsidRPr="00FD2BE0">
        <w:rPr>
          <w:sz w:val="18"/>
          <w:szCs w:val="18"/>
        </w:rPr>
        <w:t xml:space="preserve"> Tabulā iekļautās plānotās sasniedzamās vērtības var precizēties, ņemot vērā nozaru plānošanas dokumentu, ar to saistīto izvērtējumu veikšanas stadiju.</w:t>
      </w:r>
    </w:p>
  </w:footnote>
  <w:footnote w:id="125">
    <w:p w14:paraId="47F98BE9" w14:textId="34319A00" w:rsidR="006624B3" w:rsidRDefault="006624B3" w:rsidP="00231E56">
      <w:pPr>
        <w:pStyle w:val="FootnoteText"/>
        <w:ind w:left="284" w:hanging="284"/>
      </w:pPr>
      <w:r>
        <w:rPr>
          <w:rStyle w:val="FootnoteReference"/>
        </w:rPr>
        <w:footnoteRef/>
      </w:r>
      <w:r>
        <w:t xml:space="preserve"> </w:t>
      </w:r>
      <w:r w:rsidRPr="00FD2BE0">
        <w:rPr>
          <w:sz w:val="18"/>
          <w:szCs w:val="18"/>
        </w:rPr>
        <w:t xml:space="preserve">Zaļā infrastruktūra – stratēģiski plānots pilnīgi vai daļēji dabisku teritoriju tīkls kombinācijā ar citiem vides objektiem, kas ir izveidots un tiek pārvaldīts, lai sniegtu plašu ekosistēmu pakalpojumu klāstu. Tas ietver zaļās zonas (vai zilās, ja attiecas uz ūdens ekosistēmām) un citus fiziskus elementus sauszemes (tostarp piekrastes) un jūras teritorijās. Avots: </w:t>
      </w:r>
      <w:hyperlink r:id="rId31" w:history="1">
        <w:r w:rsidRPr="00FD2BE0">
          <w:rPr>
            <w:rStyle w:val="Hyperlink"/>
            <w:sz w:val="18"/>
            <w:szCs w:val="18"/>
          </w:rPr>
          <w:t>https://eur-lex.europa.eu/legal-content/LV/TXT/HTML/?uri=CELEX:52013DC0249&amp;from=lv</w:t>
        </w:r>
      </w:hyperlink>
    </w:p>
  </w:footnote>
  <w:footnote w:id="126">
    <w:p w14:paraId="0943F487" w14:textId="0123C0A9" w:rsidR="006624B3" w:rsidRDefault="006624B3" w:rsidP="001A6E01">
      <w:pPr>
        <w:pStyle w:val="FootnoteText"/>
        <w:ind w:left="0" w:firstLine="0"/>
      </w:pPr>
      <w:r>
        <w:rPr>
          <w:rStyle w:val="FootnoteReference"/>
        </w:rPr>
        <w:footnoteRef/>
      </w:r>
      <w:r>
        <w:t xml:space="preserve"> </w:t>
      </w:r>
      <w:r w:rsidRPr="00CD22FA">
        <w:t>"</w:t>
      </w:r>
      <w:r w:rsidRPr="001A6E01">
        <w:rPr>
          <w:sz w:val="18"/>
          <w:szCs w:val="18"/>
        </w:rPr>
        <w:t xml:space="preserve">Latvija 2030" nosaka šādas mērķteritorijas: nacionālas nozīmes attīstības centri - Rīga, </w:t>
      </w:r>
      <w:r w:rsidRPr="0075735F">
        <w:rPr>
          <w:sz w:val="18"/>
          <w:szCs w:val="18"/>
        </w:rPr>
        <w:t xml:space="preserve">Daugavpils, Jelgava, Jēkabpils, </w:t>
      </w:r>
      <w:r w:rsidRPr="001A6E01">
        <w:rPr>
          <w:sz w:val="18"/>
          <w:szCs w:val="18"/>
        </w:rPr>
        <w:t>Liepāja, Rēzekne, Valmiera, Ventspils un Jūrmala; reģionālas nozīmes attīstības centri - Kuldīga, Talsi, Tukums, Saldus, Dobele, Bauska, Ogre, Aizkraukle, Sigulda, Cēsis, Limbaži, Smiltene, Alūksne, Gulbene, Balvi, Preiļi, Līvāni, Ludza, Krāslava, Madona, Valka</w:t>
      </w:r>
    </w:p>
  </w:footnote>
  <w:footnote w:id="127">
    <w:p w14:paraId="1A00F6E8" w14:textId="77777777" w:rsidR="006624B3" w:rsidRPr="00FD2BE0" w:rsidRDefault="006624B3" w:rsidP="004661FA">
      <w:pPr>
        <w:pStyle w:val="FootnoteText"/>
        <w:ind w:left="0" w:firstLine="0"/>
        <w:rPr>
          <w:sz w:val="18"/>
          <w:szCs w:val="18"/>
        </w:rPr>
      </w:pPr>
      <w:r w:rsidRPr="00FD2BE0">
        <w:rPr>
          <w:rStyle w:val="FootnoteReference"/>
          <w:sz w:val="18"/>
          <w:szCs w:val="18"/>
        </w:rPr>
        <w:footnoteRef/>
      </w:r>
      <w:r w:rsidRPr="00FD2BE0">
        <w:rPr>
          <w:sz w:val="18"/>
          <w:szCs w:val="18"/>
        </w:rPr>
        <w:t xml:space="preserve">Funkcionālā pilsētas teritorija ir nacionālas un reģionālas nozīmes attīstības centri atbilstoši Stratēģijā “Latvija 2030” noteiktajam un to apkārtējās teritorijas (var būt arī vienas vai vairāku pašvaldību ietvaros), starp kurām ir ikdienas darba spēka migrācija vai  kopīgs pakalpojumu tīkls.  </w:t>
      </w:r>
    </w:p>
  </w:footnote>
  <w:footnote w:id="128">
    <w:p w14:paraId="36602FD1" w14:textId="77777777" w:rsidR="006624B3" w:rsidRPr="00FD2BE0" w:rsidRDefault="006624B3"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ES fondu 2007. – 2013. gada plānošanas perioda ieguldījumu pilsētvidē lietderības un ietekmes izvērtējums (</w:t>
      </w:r>
      <w:hyperlink r:id="rId32" w:history="1">
        <w:r w:rsidRPr="00FD2BE0">
          <w:rPr>
            <w:rStyle w:val="Hyperlink"/>
            <w:sz w:val="18"/>
            <w:szCs w:val="18"/>
          </w:rPr>
          <w:t>http://www.esfondi.lv/upload/izvertejumi/pilsetvides-zinojums-2019.pdf</w:t>
        </w:r>
      </w:hyperlink>
      <w:r w:rsidRPr="00FD2BE0">
        <w:rPr>
          <w:sz w:val="18"/>
          <w:szCs w:val="18"/>
        </w:rPr>
        <w:t>)</w:t>
      </w:r>
    </w:p>
  </w:footnote>
  <w:footnote w:id="129">
    <w:p w14:paraId="4F11A864" w14:textId="77777777" w:rsidR="006624B3" w:rsidRPr="00FD2BE0" w:rsidRDefault="006624B3"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Lauku attīstības telpa ir lauku teritorijas, kur atrodas valsts ekonomikai nozīmīgākie dabas resursi. Balstoties uz funkcionālo pilsētu teritoriju un lauku attīstības telpas formulējumu, daudzos gadījumos minētās funkcionālās teritorijas ietvers arī lauku attīstības telpu, ņemot vērā, ka lauku attīstības telpā atrodas ne tikai ekonomikai nozīmīgi dabas resursi, bet arī tiek veiktas uzņēmējdarbības aktivitātes, kā rezultātā tajā notiek arī ikdienas darbaspēka migrācija.</w:t>
      </w:r>
    </w:p>
  </w:footnote>
  <w:footnote w:id="130">
    <w:p w14:paraId="46954DC6" w14:textId="77777777" w:rsidR="006624B3" w:rsidRDefault="006624B3" w:rsidP="00B471B0">
      <w:pPr>
        <w:pStyle w:val="FootnoteText"/>
      </w:pPr>
      <w:r>
        <w:rPr>
          <w:rStyle w:val="FootnoteReference"/>
        </w:rPr>
        <w:footnoteRef/>
      </w:r>
      <w:r>
        <w:t xml:space="preserve"> </w:t>
      </w:r>
      <w:r w:rsidRPr="00260507">
        <w:t>Tabulā iekļautās plānotās sasniedzamās vērtības var precizēties, ņemot vērā nozaru plānošanas dokumentu, ar to saistīto izvērtējumu veikšanas stadiju</w:t>
      </w:r>
    </w:p>
  </w:footnote>
  <w:footnote w:id="131">
    <w:p w14:paraId="68D58968" w14:textId="77777777" w:rsidR="006624B3" w:rsidRPr="00FD2BE0" w:rsidRDefault="006624B3" w:rsidP="00B471B0">
      <w:pPr>
        <w:pStyle w:val="FootnoteText"/>
        <w:ind w:left="0" w:firstLine="0"/>
        <w:rPr>
          <w:sz w:val="18"/>
          <w:szCs w:val="18"/>
        </w:rPr>
      </w:pPr>
      <w:r w:rsidRPr="00FD2BE0">
        <w:rPr>
          <w:rStyle w:val="FootnoteReference"/>
          <w:sz w:val="18"/>
          <w:szCs w:val="18"/>
        </w:rPr>
        <w:footnoteRef/>
      </w:r>
      <w:r w:rsidRPr="00FD2BE0">
        <w:rPr>
          <w:sz w:val="18"/>
          <w:szCs w:val="18"/>
        </w:rPr>
        <w:t xml:space="preserve"> Tabulā iekļautās plānotās sasniedzamās vērtības var precizēties, ņemot vērā nozaru plānošanas dokumentu, ar to saistīto izvērtējumu veikšanas stadiju.</w:t>
      </w:r>
    </w:p>
  </w:footnote>
  <w:footnote w:id="132">
    <w:p w14:paraId="10C645BB" w14:textId="4F2DC4DC" w:rsidR="006624B3" w:rsidRDefault="006624B3" w:rsidP="00382AE9">
      <w:pPr>
        <w:pStyle w:val="FootnoteText"/>
        <w:ind w:left="0" w:firstLine="0"/>
      </w:pPr>
      <w:r>
        <w:rPr>
          <w:rStyle w:val="FootnoteReference"/>
        </w:rPr>
        <w:footnoteRef/>
      </w:r>
      <w:r>
        <w:t xml:space="preserve"> </w:t>
      </w:r>
      <w:r w:rsidRPr="004A58D0">
        <w:t>Reģioniem ar augstāku energopatēriņu pret saražoto IKP vienību ir lielāks izaicinājums virzīties ceļā uz klimatneitrālu ekonomiku, t.sk Latgalei ir augstākais siltumenerģijas patēriņš IKP vienības radīšanai (481 kWh uz 1000 EUR IKP) un trešais augstākais elektroenerģijas patēriņš uz IKP (113,8 kWh uz 1000 EUR), bet vienlaikus zemākais IKP uz 1 iedzīvotāju (7164 EUR). Latgalei ir arī trešais lielākais elektroenerģijas patēriņš pievienotās vērtības radīšanai (130,4 kWh uz 1000 EUR pievienotās vērtības).</w:t>
      </w:r>
    </w:p>
  </w:footnote>
  <w:footnote w:id="133">
    <w:p w14:paraId="270B7431" w14:textId="77777777" w:rsidR="006624B3" w:rsidRDefault="006624B3" w:rsidP="00B471B0">
      <w:pPr>
        <w:pStyle w:val="FootnoteText"/>
      </w:pPr>
      <w:r>
        <w:rPr>
          <w:rStyle w:val="FootnoteReference"/>
        </w:rPr>
        <w:footnoteRef/>
      </w:r>
      <w:r>
        <w:t xml:space="preserve"> </w:t>
      </w:r>
      <w:r w:rsidRPr="00260507">
        <w:t>Tabulā iekļautās plānotās sasniedzamās vērtības var precizēties, ņemot vērā nozaru plānošanas dokumentu, ar to saistīto izvērtējumu veikšanas stadiju</w:t>
      </w:r>
    </w:p>
  </w:footnote>
  <w:footnote w:id="134">
    <w:p w14:paraId="7D755530" w14:textId="77777777" w:rsidR="006624B3" w:rsidRPr="00FD2BE0" w:rsidRDefault="006624B3" w:rsidP="00B471B0">
      <w:pPr>
        <w:pStyle w:val="FootnoteText"/>
        <w:ind w:left="0" w:firstLine="0"/>
        <w:rPr>
          <w:sz w:val="18"/>
          <w:szCs w:val="18"/>
        </w:rPr>
      </w:pPr>
      <w:r w:rsidRPr="00FD2BE0">
        <w:rPr>
          <w:rStyle w:val="FootnoteReference"/>
          <w:sz w:val="18"/>
          <w:szCs w:val="18"/>
        </w:rPr>
        <w:footnoteRef/>
      </w:r>
      <w:r w:rsidRPr="00FD2BE0">
        <w:rPr>
          <w:sz w:val="18"/>
          <w:szCs w:val="18"/>
        </w:rPr>
        <w:t xml:space="preserve"> Tabulā iekļautās plānotās sasniedzamās vērtības var precizēties, ņemot vērā nozaru plānošanas dokumentu, ar to saistīto izvērtējumu veikšanas stadiju.</w:t>
      </w:r>
    </w:p>
  </w:footnote>
  <w:footnote w:id="135">
    <w:p w14:paraId="47FDA371" w14:textId="6279304D" w:rsidR="006624B3" w:rsidRDefault="006624B3">
      <w:pPr>
        <w:pStyle w:val="FootnoteText"/>
      </w:pPr>
      <w:r>
        <w:rPr>
          <w:rStyle w:val="FootnoteReference"/>
        </w:rPr>
        <w:footnoteRef/>
      </w:r>
      <w:r>
        <w:t xml:space="preserve"> Finansējuma apjoms bez Tehniskās palīdzības finansējuma </w:t>
      </w:r>
    </w:p>
  </w:footnote>
  <w:footnote w:id="136">
    <w:p w14:paraId="7A1D860E" w14:textId="1877C559" w:rsidR="006624B3" w:rsidRDefault="006624B3" w:rsidP="00905E88">
      <w:pPr>
        <w:pStyle w:val="FootnoteText"/>
      </w:pPr>
      <w:r>
        <w:rPr>
          <w:rStyle w:val="FootnoteReference"/>
        </w:rPr>
        <w:footnoteRef/>
      </w:r>
      <w:r>
        <w:t xml:space="preserve"> Finansējuma apjoms bez Tehniskās palīdzības finansējuma </w:t>
      </w:r>
    </w:p>
  </w:footnote>
  <w:footnote w:id="137">
    <w:p w14:paraId="6C5D1DA8" w14:textId="1953BAC4" w:rsidR="006624B3" w:rsidRDefault="006624B3" w:rsidP="00905E88">
      <w:pPr>
        <w:pStyle w:val="FootnoteText"/>
      </w:pPr>
      <w:r>
        <w:rPr>
          <w:rStyle w:val="FootnoteReference"/>
        </w:rPr>
        <w:footnoteRef/>
      </w:r>
      <w:r>
        <w:t xml:space="preserve"> Finansējuma apjoms bez Tehniskās palīdzības finansējuma </w:t>
      </w:r>
    </w:p>
  </w:footnote>
  <w:footnote w:id="138">
    <w:p w14:paraId="33533DA0" w14:textId="082B0F33" w:rsidR="006624B3" w:rsidRDefault="006624B3" w:rsidP="00905E88">
      <w:pPr>
        <w:pStyle w:val="FootnoteText"/>
      </w:pPr>
      <w:r>
        <w:rPr>
          <w:rStyle w:val="FootnoteReference"/>
        </w:rPr>
        <w:footnoteRef/>
      </w:r>
      <w:r>
        <w:t xml:space="preserve"> Finansējuma apjoms bez Tehniskās palīdzības finansējuma </w:t>
      </w:r>
    </w:p>
  </w:footnote>
  <w:footnote w:id="139">
    <w:p w14:paraId="44A2137D" w14:textId="79AB5C4A" w:rsidR="006624B3" w:rsidRDefault="006624B3" w:rsidP="00E508BF">
      <w:pPr>
        <w:pStyle w:val="FootnoteText"/>
      </w:pPr>
      <w:r>
        <w:rPr>
          <w:rStyle w:val="FootnoteReference"/>
        </w:rPr>
        <w:footnoteRef/>
      </w:r>
      <w:r>
        <w:t xml:space="preserve"> Finansējuma apjoms bez Tehniskās palīdzības finansējuma </w:t>
      </w:r>
    </w:p>
  </w:footnote>
  <w:footnote w:id="140">
    <w:p w14:paraId="69EDC282" w14:textId="047126F9" w:rsidR="006624B3" w:rsidRDefault="006624B3" w:rsidP="006D468D">
      <w:pPr>
        <w:pStyle w:val="FootnoteText"/>
      </w:pPr>
      <w:r>
        <w:rPr>
          <w:rStyle w:val="FootnoteReference"/>
        </w:rPr>
        <w:footnoteRef/>
      </w:r>
      <w:r>
        <w:t xml:space="preserve"> MFF – Atbilstoši Eiropas daudzgadu budžeta satvaram (</w:t>
      </w:r>
      <w:r w:rsidRPr="005F58DE">
        <w:rPr>
          <w:i/>
          <w:iCs/>
          <w:lang w:val="en-GB"/>
        </w:rPr>
        <w:t>Multiannual Financial Framework</w:t>
      </w:r>
      <w:r>
        <w:t>)</w:t>
      </w:r>
    </w:p>
  </w:footnote>
  <w:footnote w:id="141">
    <w:p w14:paraId="1F9E4DCD" w14:textId="68A7687D" w:rsidR="006624B3" w:rsidRDefault="006624B3" w:rsidP="006D468D">
      <w:pPr>
        <w:pStyle w:val="FootnoteText"/>
      </w:pPr>
      <w:r>
        <w:rPr>
          <w:rStyle w:val="FootnoteReference"/>
        </w:rPr>
        <w:footnoteRef/>
      </w:r>
      <w:r>
        <w:t xml:space="preserve"> NextGen - </w:t>
      </w:r>
      <w:r w:rsidRPr="005F58DE">
        <w:t>Nākamās paaudzes ES instruments, lai uz laiku palielinātu ES budžeta finanšu spēku ar finanšu tirgos piesaistītiem līdzekļiem</w:t>
      </w:r>
      <w:r>
        <w:t xml:space="preserve"> (</w:t>
      </w:r>
      <w:r w:rsidRPr="005F58DE">
        <w:rPr>
          <w:i/>
          <w:iCs/>
          <w:lang w:val="en-GB"/>
        </w:rPr>
        <w:t>Next Generation EU instrument</w:t>
      </w:r>
      <w:r>
        <w:t>)</w:t>
      </w:r>
    </w:p>
  </w:footnote>
  <w:footnote w:id="142">
    <w:p w14:paraId="5E6B2537" w14:textId="77777777" w:rsidR="006624B3" w:rsidRPr="00FD2BE0" w:rsidRDefault="006624B3" w:rsidP="007545BD">
      <w:pPr>
        <w:pStyle w:val="FootnoteText"/>
        <w:ind w:left="0" w:firstLine="0"/>
        <w:rPr>
          <w:sz w:val="18"/>
          <w:szCs w:val="18"/>
        </w:rPr>
      </w:pPr>
      <w:r w:rsidRPr="00FD2BE0">
        <w:rPr>
          <w:rStyle w:val="FootnoteReference"/>
          <w:sz w:val="18"/>
          <w:szCs w:val="18"/>
        </w:rPr>
        <w:footnoteRef/>
      </w:r>
      <w:r w:rsidRPr="00FD2BE0">
        <w:rPr>
          <w:sz w:val="18"/>
          <w:szCs w:val="18"/>
        </w:rPr>
        <w:t xml:space="preserve"> Regula vēl nav pieņemta</w:t>
      </w:r>
    </w:p>
  </w:footnote>
  <w:footnote w:id="143">
    <w:p w14:paraId="4F7F878C" w14:textId="77777777" w:rsidR="006624B3" w:rsidRDefault="006624B3" w:rsidP="007545BD">
      <w:pPr>
        <w:pStyle w:val="FootnoteText"/>
      </w:pPr>
      <w:r>
        <w:rPr>
          <w:rStyle w:val="FootnoteReference"/>
        </w:rPr>
        <w:footnoteRef/>
      </w:r>
      <w:r>
        <w:t xml:space="preserve">Saite: </w:t>
      </w:r>
      <w:hyperlink r:id="rId33" w:history="1">
        <w:r>
          <w:rPr>
            <w:rStyle w:val="Hyperlink"/>
          </w:rPr>
          <w:t>https://ec.europa.eu/echo/funding-novērtējums/finansējums-civilā-aizsardzības-europe/atlasītie-projekti/track-i-feasibility-study_en</w:t>
        </w:r>
      </w:hyperlink>
    </w:p>
  </w:footnote>
  <w:footnote w:id="144">
    <w:p w14:paraId="6A7FD428" w14:textId="77777777" w:rsidR="006624B3" w:rsidRPr="00FD2BE0" w:rsidRDefault="006624B3" w:rsidP="007545BD">
      <w:pPr>
        <w:pStyle w:val="FootnoteText"/>
        <w:ind w:left="0" w:firstLine="0"/>
        <w:rPr>
          <w:sz w:val="18"/>
          <w:szCs w:val="18"/>
        </w:rPr>
      </w:pPr>
      <w:r w:rsidRPr="00FD2BE0">
        <w:rPr>
          <w:rStyle w:val="FootnoteReference"/>
          <w:sz w:val="18"/>
          <w:szCs w:val="18"/>
        </w:rPr>
        <w:footnoteRef/>
      </w:r>
      <w:r w:rsidRPr="00FD2BE0">
        <w:rPr>
          <w:sz w:val="18"/>
          <w:szCs w:val="18"/>
        </w:rPr>
        <w:t xml:space="preserve"> Kā novērtēts riska pārvaldības spēju novērtējumā, kas noteikts saskaņā ar Lēmuma 1313/2013 6. panta c) punktu</w:t>
      </w:r>
    </w:p>
  </w:footnote>
  <w:footnote w:id="145">
    <w:p w14:paraId="44FAFB9E" w14:textId="77777777" w:rsidR="006624B3" w:rsidRDefault="006624B3" w:rsidP="007545BD">
      <w:pPr>
        <w:pStyle w:val="FootnoteText"/>
      </w:pPr>
      <w:r>
        <w:rPr>
          <w:rStyle w:val="FootnoteReference"/>
        </w:rPr>
        <w:footnoteRef/>
      </w:r>
      <w:r>
        <w:t xml:space="preserve"> Tiešsaiste: </w:t>
      </w:r>
      <w:hyperlink r:id="rId34" w:history="1">
        <w:r w:rsidRPr="00A86AD1">
          <w:rPr>
            <w:rStyle w:val="Hyperlink"/>
          </w:rPr>
          <w:t>https://klimatam.lv/norvegijas-grantu-projekts/par-projektu/</w:t>
        </w:r>
      </w:hyperlink>
      <w:r>
        <w:t xml:space="preserve"> </w:t>
      </w:r>
    </w:p>
  </w:footnote>
  <w:footnote w:id="146">
    <w:p w14:paraId="6B93A441" w14:textId="77777777" w:rsidR="006624B3" w:rsidRDefault="006624B3" w:rsidP="007545BD">
      <w:pPr>
        <w:pStyle w:val="FootnoteText"/>
      </w:pPr>
      <w:r>
        <w:rPr>
          <w:rStyle w:val="FootnoteReference"/>
        </w:rPr>
        <w:footnoteRef/>
      </w:r>
      <w:r>
        <w:t xml:space="preserve"> Komentārs – izveidotā </w:t>
      </w:r>
      <w:r>
        <w:rPr>
          <w:rFonts w:eastAsia="Times New Roman"/>
        </w:rPr>
        <w:t>priekšnosacījumu ieviešanas metodika/pieeja, kura tiks iekļauta Valsts civilās aizsardzības plāna (VCAP) pielikumā tiek saskaņota ar Eiropas Komisiju.</w:t>
      </w:r>
    </w:p>
  </w:footnote>
  <w:footnote w:id="147">
    <w:p w14:paraId="1A1132DF" w14:textId="77777777" w:rsidR="006624B3" w:rsidRDefault="006624B3" w:rsidP="007545BD">
      <w:pPr>
        <w:pStyle w:val="FootnoteText"/>
        <w:rPr>
          <w:sz w:val="18"/>
          <w:szCs w:val="18"/>
        </w:rPr>
      </w:pPr>
      <w:r>
        <w:rPr>
          <w:rStyle w:val="FootnoteReference"/>
          <w:sz w:val="18"/>
          <w:szCs w:val="18"/>
        </w:rPr>
        <w:footnoteRef/>
      </w:r>
      <w:r>
        <w:rPr>
          <w:sz w:val="18"/>
          <w:szCs w:val="18"/>
        </w:rPr>
        <w:t xml:space="preserve">Saite (latviešu valodā): </w:t>
      </w:r>
      <w:hyperlink r:id="rId35" w:history="1">
        <w:r>
          <w:rPr>
            <w:rStyle w:val="Hyperlink"/>
            <w:sz w:val="18"/>
            <w:szCs w:val="18"/>
          </w:rPr>
          <w:t>https://likumi.lv/ta/id/308330-par-latvijas-pielagosanas-klimata-parmainam-planu-posmam-lidz-2030-gadam</w:t>
        </w:r>
      </w:hyperlink>
    </w:p>
  </w:footnote>
  <w:footnote w:id="148">
    <w:p w14:paraId="20D96629" w14:textId="77777777" w:rsidR="006624B3" w:rsidRDefault="006624B3" w:rsidP="007545BD">
      <w:pPr>
        <w:pStyle w:val="FootnoteText"/>
        <w:rPr>
          <w:sz w:val="18"/>
          <w:szCs w:val="18"/>
        </w:rPr>
      </w:pPr>
      <w:r>
        <w:rPr>
          <w:rStyle w:val="FootnoteReference"/>
          <w:sz w:val="18"/>
          <w:szCs w:val="18"/>
        </w:rPr>
        <w:footnoteRef/>
      </w:r>
      <w:r>
        <w:rPr>
          <w:sz w:val="18"/>
          <w:szCs w:val="18"/>
        </w:rPr>
        <w:t xml:space="preserve">Saite (latviešu valodā): </w:t>
      </w:r>
      <w:hyperlink r:id="rId36" w:history="1">
        <w:r>
          <w:rPr>
            <w:rStyle w:val="Hyperlink"/>
            <w:sz w:val="18"/>
            <w:szCs w:val="18"/>
          </w:rPr>
          <w:t>https://likumi.lv/ta/id/312423-par-latvijas-nacionalo-energetikas-un¬ klimata-planu-20212030-gadam</w:t>
        </w:r>
      </w:hyperlink>
    </w:p>
  </w:footnote>
  <w:footnote w:id="149">
    <w:p w14:paraId="4F3101DE" w14:textId="77777777" w:rsidR="006624B3" w:rsidRDefault="006624B3" w:rsidP="007545BD">
      <w:pPr>
        <w:pStyle w:val="FootnoteText"/>
      </w:pPr>
      <w:r>
        <w:rPr>
          <w:rStyle w:val="FootnoteReference"/>
        </w:rPr>
        <w:footnoteRef/>
      </w:r>
      <w:r>
        <w:t xml:space="preserve"> Komentārs – izveidotā </w:t>
      </w:r>
      <w:r>
        <w:rPr>
          <w:rFonts w:eastAsia="Times New Roman"/>
        </w:rPr>
        <w:t>priekšnosacījumu ieviešanas metodika/pieeja, kura tiks iekļauta Valsts civilās aizsardzības plāna (VCAP) pielikumā tiek saskaņota ar Eiropas Komisiju.</w:t>
      </w:r>
    </w:p>
  </w:footnote>
  <w:footnote w:id="150">
    <w:p w14:paraId="26218CB9" w14:textId="77777777" w:rsidR="006624B3" w:rsidRPr="00FD2BE0" w:rsidRDefault="006624B3" w:rsidP="007545BD">
      <w:pPr>
        <w:spacing w:after="0"/>
        <w:rPr>
          <w:sz w:val="18"/>
          <w:szCs w:val="18"/>
        </w:rPr>
      </w:pPr>
      <w:r w:rsidRPr="00FD2BE0">
        <w:rPr>
          <w:rStyle w:val="FootnoteReference"/>
          <w:sz w:val="18"/>
          <w:szCs w:val="18"/>
        </w:rPr>
        <w:footnoteRef/>
      </w:r>
      <w:r w:rsidRPr="00FD2BE0">
        <w:rPr>
          <w:sz w:val="18"/>
          <w:szCs w:val="18"/>
        </w:rPr>
        <w:t xml:space="preserve"> </w:t>
      </w:r>
      <w:r w:rsidRPr="00D53484">
        <w:rPr>
          <w:sz w:val="18"/>
          <w:szCs w:val="18"/>
        </w:rPr>
        <w:t>Kā noteikts EK paziņojumā: “Virzība uz Eiropas Gigabitu sabiedrību”, COM(2016)587, https://ec.europa.eu/digital-single-market/en/policies</w:t>
      </w:r>
      <w:r w:rsidRPr="00FD2BE0">
        <w:rPr>
          <w:sz w:val="18"/>
          <w:szCs w:val="18"/>
        </w:rPr>
        <w:t>/improving-connectivity-and-access.</w:t>
      </w:r>
    </w:p>
  </w:footnote>
  <w:footnote w:id="151">
    <w:p w14:paraId="70205E56" w14:textId="77777777" w:rsidR="006624B3" w:rsidRPr="00FD2BE0" w:rsidRDefault="006624B3" w:rsidP="007545BD">
      <w:pPr>
        <w:pStyle w:val="FootnoteText"/>
        <w:ind w:left="0" w:firstLine="0"/>
        <w:rPr>
          <w:sz w:val="18"/>
          <w:szCs w:val="18"/>
        </w:rPr>
      </w:pPr>
      <w:r w:rsidRPr="00FD2BE0">
        <w:rPr>
          <w:rStyle w:val="FootnoteReference"/>
          <w:sz w:val="18"/>
          <w:szCs w:val="18"/>
        </w:rPr>
        <w:footnoteRef/>
      </w:r>
      <w:r w:rsidRPr="00FD2BE0">
        <w:rPr>
          <w:sz w:val="18"/>
          <w:szCs w:val="18"/>
        </w:rPr>
        <w:t xml:space="preserve"> Saskaņā ar 22. pantu [priekšlikumā] Eiropas Parlamenta un Padomes direktīvai par Eiropas elektronisko sakaru kodeksa izveidi</w:t>
      </w:r>
    </w:p>
  </w:footnote>
  <w:footnote w:id="152">
    <w:p w14:paraId="24CFEDDF" w14:textId="77777777" w:rsidR="006624B3" w:rsidRDefault="006624B3" w:rsidP="007545BD">
      <w:pPr>
        <w:pStyle w:val="FootnoteText"/>
      </w:pPr>
      <w:r>
        <w:rPr>
          <w:rStyle w:val="FootnoteReference"/>
        </w:rPr>
        <w:footnoteRef/>
      </w:r>
      <w:r>
        <w:t xml:space="preserve"> </w:t>
      </w:r>
      <w:r w:rsidRPr="00D501F7">
        <w:t xml:space="preserve">Pieejams šeit: </w:t>
      </w:r>
      <w:hyperlink r:id="rId37" w:tgtFrame="_blank" w:history="1">
        <w:r w:rsidRPr="00D501F7">
          <w:rPr>
            <w:rStyle w:val="Hyperlink"/>
          </w:rPr>
          <w:t>https://www.sam.gov.lv/lv/petijumi</w:t>
        </w:r>
      </w:hyperlink>
      <w:r w:rsidRPr="00D501F7">
        <w:t>.</w:t>
      </w:r>
    </w:p>
  </w:footnote>
  <w:footnote w:id="153">
    <w:p w14:paraId="57E55BC0" w14:textId="77777777" w:rsidR="006624B3" w:rsidRPr="00FD2BE0" w:rsidRDefault="006624B3" w:rsidP="007545BD">
      <w:pPr>
        <w:pStyle w:val="FootnoteText"/>
        <w:ind w:left="0" w:firstLine="0"/>
        <w:rPr>
          <w:sz w:val="18"/>
          <w:szCs w:val="18"/>
        </w:rPr>
      </w:pPr>
      <w:r w:rsidRPr="00FD2BE0">
        <w:rPr>
          <w:rStyle w:val="FootnoteReference"/>
          <w:sz w:val="18"/>
          <w:szCs w:val="18"/>
        </w:rPr>
        <w:footnoteRef/>
      </w:r>
      <w:r w:rsidRPr="00FD2BE0">
        <w:rPr>
          <w:sz w:val="18"/>
          <w:szCs w:val="18"/>
        </w:rPr>
        <w:t xml:space="preserve"> Direktīva 2014/61/ES</w:t>
      </w:r>
    </w:p>
  </w:footnote>
  <w:footnote w:id="154">
    <w:p w14:paraId="14FDC97E" w14:textId="77777777" w:rsidR="006624B3" w:rsidRDefault="006624B3" w:rsidP="007545BD">
      <w:pPr>
        <w:pStyle w:val="FootnoteText"/>
      </w:pPr>
      <w:r>
        <w:rPr>
          <w:rStyle w:val="FootnoteReference"/>
        </w:rPr>
        <w:footnoteRef/>
      </w:r>
      <w:r>
        <w:t xml:space="preserve"> </w:t>
      </w:r>
      <w:bookmarkStart w:id="60" w:name="_Hlk63410453"/>
      <w:r w:rsidRPr="00D501F7">
        <w:t xml:space="preserve">Pieejams šeit: </w:t>
      </w:r>
      <w:hyperlink r:id="rId38" w:tgtFrame="_blank" w:history="1">
        <w:r w:rsidRPr="00D501F7">
          <w:rPr>
            <w:rStyle w:val="Hyperlink"/>
          </w:rPr>
          <w:t>https://www.sam.gov.lv/lv/petijumi</w:t>
        </w:r>
      </w:hyperlink>
      <w:r w:rsidRPr="00D501F7">
        <w:t xml:space="preserve">. </w:t>
      </w:r>
      <w:bookmarkEnd w:id="60"/>
    </w:p>
  </w:footnote>
  <w:footnote w:id="155">
    <w:p w14:paraId="67279A19" w14:textId="77777777" w:rsidR="006624B3" w:rsidRDefault="006624B3" w:rsidP="007545BD">
      <w:pPr>
        <w:pStyle w:val="FootnoteText"/>
      </w:pPr>
      <w:r>
        <w:rPr>
          <w:rStyle w:val="FootnoteReference"/>
        </w:rPr>
        <w:footnoteRef/>
      </w:r>
      <w:r>
        <w:t xml:space="preserve"> </w:t>
      </w:r>
      <w:hyperlink r:id="rId39" w:history="1">
        <w:r w:rsidRPr="005874AD">
          <w:rPr>
            <w:rStyle w:val="Hyperlink"/>
          </w:rPr>
          <w:t>https://www.lm.gov.lv/lv/pamatnostadnu-projekts-socialas-aizsardzibas-un-darba-tirgus-politikas-pamatnostadnes-2021-2027-gadam</w:t>
        </w:r>
      </w:hyperlink>
      <w:r>
        <w:t xml:space="preserve"> </w:t>
      </w:r>
    </w:p>
  </w:footnote>
  <w:footnote w:id="156">
    <w:p w14:paraId="754F9B2D" w14:textId="77777777" w:rsidR="006624B3" w:rsidRDefault="006624B3" w:rsidP="007545BD">
      <w:pPr>
        <w:pStyle w:val="FootnoteText"/>
      </w:pPr>
      <w:r>
        <w:rPr>
          <w:rStyle w:val="FootnoteReference"/>
        </w:rPr>
        <w:footnoteRef/>
      </w:r>
      <w:r>
        <w:t xml:space="preserve"> </w:t>
      </w:r>
      <w:hyperlink r:id="rId40" w:history="1">
        <w:r w:rsidRPr="003452B9">
          <w:rPr>
            <w:rStyle w:val="Hyperlink"/>
          </w:rPr>
          <w:t>https://likumi.lv/ta/id/62539-bezdarbnieku-un-darba-mekletaju-atbalsta-likums</w:t>
        </w:r>
      </w:hyperlink>
    </w:p>
  </w:footnote>
  <w:footnote w:id="157">
    <w:p w14:paraId="0A011559" w14:textId="77777777" w:rsidR="006624B3" w:rsidRDefault="006624B3" w:rsidP="007545BD">
      <w:pPr>
        <w:pStyle w:val="FootnoteText"/>
      </w:pPr>
      <w:r>
        <w:rPr>
          <w:rStyle w:val="FootnoteReference"/>
        </w:rPr>
        <w:footnoteRef/>
      </w:r>
      <w:r>
        <w:t xml:space="preserve"> </w:t>
      </w:r>
      <w:hyperlink r:id="rId41" w:history="1">
        <w:r w:rsidRPr="00382579">
          <w:rPr>
            <w:rStyle w:val="Hyperlink"/>
          </w:rPr>
          <w:t>https://likumi.lv/ta/id/225425-noteikumi-par-aktivo-nodarbinatibas-pasakumu-un-preventivo-bezdarba-samazinasanas-pasakumu-organizesanas-un-finansesanas</w:t>
        </w:r>
      </w:hyperlink>
    </w:p>
  </w:footnote>
  <w:footnote w:id="158">
    <w:p w14:paraId="669C9E84" w14:textId="77777777" w:rsidR="006624B3" w:rsidRDefault="006624B3" w:rsidP="007545BD">
      <w:pPr>
        <w:pStyle w:val="FootnoteText"/>
      </w:pPr>
      <w:r>
        <w:rPr>
          <w:rStyle w:val="FootnoteReference"/>
        </w:rPr>
        <w:footnoteRef/>
      </w:r>
      <w:r>
        <w:t xml:space="preserve"> </w:t>
      </w:r>
      <w:r w:rsidRPr="001C7FAB">
        <w:t>https://likumi.lv/ta/id/289731-bezdarbnieku-uzskaites-un-registreto-vakancu-informacijas-sistemas-noteikumi</w:t>
      </w:r>
    </w:p>
  </w:footnote>
  <w:footnote w:id="159">
    <w:p w14:paraId="217A2E15" w14:textId="77777777" w:rsidR="006624B3" w:rsidRDefault="006624B3" w:rsidP="007545BD">
      <w:pPr>
        <w:pStyle w:val="FootnoteText"/>
      </w:pPr>
      <w:r>
        <w:rPr>
          <w:rStyle w:val="FootnoteReference"/>
        </w:rPr>
        <w:footnoteRef/>
      </w:r>
      <w:r>
        <w:t xml:space="preserve"> </w:t>
      </w:r>
      <w:hyperlink r:id="rId42" w:history="1">
        <w:r w:rsidRPr="005874AD">
          <w:rPr>
            <w:rStyle w:val="Hyperlink"/>
          </w:rPr>
          <w:t>https://likumi.lv/ta/id/225425-noteikumi-par-aktivo-nodarbinatibas-pasakumu-un-preventivo-bezdarba-samazinasanas-pasakumu-organizesanas-un-finansesanas</w:t>
        </w:r>
      </w:hyperlink>
      <w:r>
        <w:t xml:space="preserve"> </w:t>
      </w:r>
    </w:p>
  </w:footnote>
  <w:footnote w:id="160">
    <w:p w14:paraId="6746A655" w14:textId="77777777" w:rsidR="006624B3" w:rsidRDefault="006624B3" w:rsidP="007545BD">
      <w:pPr>
        <w:pStyle w:val="FootnoteText"/>
      </w:pPr>
      <w:r>
        <w:rPr>
          <w:rStyle w:val="FootnoteReference"/>
        </w:rPr>
        <w:footnoteRef/>
      </w:r>
      <w:r>
        <w:t xml:space="preserve"> </w:t>
      </w:r>
      <w:r w:rsidRPr="001C7FAB">
        <w:t>https://likumi.lv/ta/id/253579-nodarbinatibas-valsts-agenturas-nolikums</w:t>
      </w:r>
    </w:p>
  </w:footnote>
  <w:footnote w:id="161">
    <w:p w14:paraId="1C67E864" w14:textId="77777777" w:rsidR="006624B3" w:rsidRDefault="006624B3" w:rsidP="007545BD">
      <w:pPr>
        <w:pStyle w:val="FootnoteText"/>
      </w:pPr>
      <w:r>
        <w:rPr>
          <w:rStyle w:val="FootnoteReference"/>
        </w:rPr>
        <w:footnoteRef/>
      </w:r>
      <w:r>
        <w:t xml:space="preserve"> </w:t>
      </w:r>
      <w:r w:rsidRPr="001C7FAB">
        <w:t>https://www.nva.gov.lv/lv/strategija</w:t>
      </w:r>
    </w:p>
  </w:footnote>
  <w:footnote w:id="162">
    <w:p w14:paraId="594B122D" w14:textId="77777777" w:rsidR="006624B3" w:rsidRDefault="006624B3" w:rsidP="007545BD">
      <w:pPr>
        <w:pStyle w:val="FootnoteText"/>
      </w:pPr>
      <w:r>
        <w:rPr>
          <w:rStyle w:val="FootnoteReference"/>
        </w:rPr>
        <w:footnoteRef/>
      </w:r>
      <w:r>
        <w:t xml:space="preserve"> </w:t>
      </w:r>
      <w:r w:rsidRPr="001C7FAB">
        <w:t>https://www.nva.gov.lv/lv/darba-tirgus-istermina-prognozesana</w:t>
      </w:r>
    </w:p>
  </w:footnote>
  <w:footnote w:id="163">
    <w:p w14:paraId="30053DFD" w14:textId="77777777" w:rsidR="006624B3" w:rsidRDefault="006624B3" w:rsidP="007545BD">
      <w:pPr>
        <w:pStyle w:val="FootnoteText"/>
      </w:pPr>
      <w:r>
        <w:rPr>
          <w:rStyle w:val="FootnoteReference"/>
        </w:rPr>
        <w:footnoteRef/>
      </w:r>
      <w:r>
        <w:t xml:space="preserve"> </w:t>
      </w:r>
      <w:hyperlink r:id="rId43" w:history="1">
        <w:r w:rsidRPr="005874AD">
          <w:rPr>
            <w:rStyle w:val="Hyperlink"/>
          </w:rPr>
          <w:t>https://likumi.lv/ta/id/225425-noteikumi-par-aktivo-nodarbinatibas-pasakumu-un-preventivo-bezdarba-samazinasanas-pasakumu-organizesanas-un-finansesanas</w:t>
        </w:r>
      </w:hyperlink>
      <w:r>
        <w:t xml:space="preserve"> </w:t>
      </w:r>
    </w:p>
  </w:footnote>
  <w:footnote w:id="164">
    <w:p w14:paraId="5427CD21" w14:textId="77777777" w:rsidR="006624B3" w:rsidRDefault="006624B3" w:rsidP="007545BD">
      <w:pPr>
        <w:pStyle w:val="FootnoteText"/>
      </w:pPr>
      <w:r>
        <w:rPr>
          <w:rStyle w:val="FootnoteReference"/>
        </w:rPr>
        <w:footnoteRef/>
      </w:r>
      <w:r>
        <w:t xml:space="preserve"> </w:t>
      </w:r>
      <w:r w:rsidRPr="001C7FAB">
        <w:t>https://likumi.lv/ta/id/253579-nodarbinatibas-valsts-agenturas-nolikums</w:t>
      </w:r>
    </w:p>
  </w:footnote>
  <w:footnote w:id="165">
    <w:p w14:paraId="15F54A00" w14:textId="77777777" w:rsidR="006624B3" w:rsidRDefault="006624B3" w:rsidP="007545BD">
      <w:pPr>
        <w:pStyle w:val="FootnoteText"/>
      </w:pPr>
      <w:r>
        <w:rPr>
          <w:rStyle w:val="FootnoteReference"/>
        </w:rPr>
        <w:footnoteRef/>
      </w:r>
      <w:r>
        <w:t xml:space="preserve"> </w:t>
      </w:r>
      <w:r w:rsidRPr="001C7FAB">
        <w:t>https://www.nva.gov.lv/lv/strategija</w:t>
      </w:r>
    </w:p>
  </w:footnote>
  <w:footnote w:id="166">
    <w:p w14:paraId="7E24A1C3" w14:textId="77777777" w:rsidR="006624B3" w:rsidRDefault="006624B3" w:rsidP="007545BD">
      <w:pPr>
        <w:pStyle w:val="FootnoteText"/>
      </w:pPr>
      <w:r>
        <w:rPr>
          <w:rStyle w:val="FootnoteReference"/>
        </w:rPr>
        <w:footnoteRef/>
      </w:r>
      <w:r>
        <w:t xml:space="preserve"> </w:t>
      </w:r>
      <w:r w:rsidRPr="001C7FAB">
        <w:t>https://www.nva.gov.lv/lv/darba-tirgus-istermina-prognozesana</w:t>
      </w:r>
    </w:p>
  </w:footnote>
  <w:footnote w:id="167">
    <w:p w14:paraId="5E5EA5C8" w14:textId="77777777" w:rsidR="006624B3" w:rsidRDefault="006624B3" w:rsidP="007545BD">
      <w:pPr>
        <w:pStyle w:val="FootnoteText"/>
      </w:pPr>
      <w:r>
        <w:rPr>
          <w:rStyle w:val="FootnoteReference"/>
        </w:rPr>
        <w:footnoteRef/>
      </w:r>
      <w:r>
        <w:t xml:space="preserve"> </w:t>
      </w:r>
      <w:hyperlink r:id="rId44" w:history="1">
        <w:r w:rsidRPr="005874AD">
          <w:rPr>
            <w:rStyle w:val="Hyperlink"/>
          </w:rPr>
          <w:t>https://likumi.lv/ta/id/225425-noteikumi-par-aktivo-nodarbinatibas-pasakumu-un-preventivo-bezdarba-samazinasanas-pasakumu-organizesanas-un-finansesanas</w:t>
        </w:r>
      </w:hyperlink>
      <w:r>
        <w:t xml:space="preserve"> </w:t>
      </w:r>
    </w:p>
  </w:footnote>
  <w:footnote w:id="168">
    <w:p w14:paraId="700AD1E1" w14:textId="77777777" w:rsidR="006624B3" w:rsidRDefault="006624B3" w:rsidP="007545BD">
      <w:pPr>
        <w:pStyle w:val="FootnoteText"/>
      </w:pPr>
      <w:r>
        <w:rPr>
          <w:rStyle w:val="FootnoteReference"/>
        </w:rPr>
        <w:footnoteRef/>
      </w:r>
      <w:r>
        <w:t xml:space="preserve"> </w:t>
      </w:r>
      <w:r w:rsidRPr="001C7FAB">
        <w:t>https://likumi.lv/ta/id/253579-nodarbinatibas-valsts-agenturas-nolikums</w:t>
      </w:r>
    </w:p>
  </w:footnote>
  <w:footnote w:id="169">
    <w:p w14:paraId="6A2297FA" w14:textId="77777777" w:rsidR="006624B3" w:rsidRDefault="006624B3" w:rsidP="007545BD">
      <w:pPr>
        <w:pStyle w:val="FootnoteText"/>
      </w:pPr>
      <w:r>
        <w:rPr>
          <w:rStyle w:val="FootnoteReference"/>
        </w:rPr>
        <w:footnoteRef/>
      </w:r>
      <w:r>
        <w:t xml:space="preserve"> </w:t>
      </w:r>
      <w:r w:rsidRPr="001C7FAB">
        <w:t>https://www.nva.gov.lv/lv/strategija</w:t>
      </w:r>
    </w:p>
  </w:footnote>
  <w:footnote w:id="170">
    <w:p w14:paraId="4C2D39BF" w14:textId="77777777" w:rsidR="006624B3" w:rsidRDefault="006624B3" w:rsidP="007545BD">
      <w:pPr>
        <w:pStyle w:val="FootnoteText"/>
      </w:pPr>
      <w:r>
        <w:rPr>
          <w:rStyle w:val="FootnoteReference"/>
        </w:rPr>
        <w:footnoteRef/>
      </w:r>
      <w:r>
        <w:t xml:space="preserve"> </w:t>
      </w:r>
      <w:r w:rsidRPr="001C7FAB">
        <w:t>https://www.nva.gov.lv/lv/darba-tirgus-istermina-prognozesana</w:t>
      </w:r>
    </w:p>
  </w:footnote>
  <w:footnote w:id="171">
    <w:p w14:paraId="7E0D2BC0" w14:textId="77777777" w:rsidR="006624B3" w:rsidRDefault="006624B3" w:rsidP="007545BD">
      <w:pPr>
        <w:pStyle w:val="FootnoteText"/>
      </w:pPr>
      <w:r>
        <w:rPr>
          <w:rStyle w:val="FootnoteReference"/>
        </w:rPr>
        <w:footnoteRef/>
      </w:r>
      <w:r>
        <w:t xml:space="preserve"> </w:t>
      </w:r>
      <w:hyperlink r:id="rId45" w:history="1">
        <w:r w:rsidRPr="005874AD">
          <w:rPr>
            <w:rStyle w:val="Hyperlink"/>
          </w:rPr>
          <w:t>https://www.lm.gov.lv/lv/pamatnostadnu-projekts-socialas-aizsardzibas-un-darba-tirgus-politikas-pamatnostadnes-2021-2027-gadam</w:t>
        </w:r>
      </w:hyperlink>
      <w:r>
        <w:t xml:space="preserve"> </w:t>
      </w:r>
    </w:p>
  </w:footnote>
  <w:footnote w:id="172">
    <w:p w14:paraId="5A545D02" w14:textId="77777777" w:rsidR="006624B3" w:rsidRDefault="006624B3" w:rsidP="007545BD">
      <w:pPr>
        <w:pStyle w:val="FootnoteText"/>
      </w:pPr>
      <w:r>
        <w:rPr>
          <w:rStyle w:val="FootnoteReference"/>
        </w:rPr>
        <w:footnoteRef/>
      </w:r>
      <w:r>
        <w:t xml:space="preserve"> </w:t>
      </w:r>
      <w:hyperlink r:id="rId46" w:history="1">
        <w:r w:rsidRPr="005874AD">
          <w:rPr>
            <w:rStyle w:val="Hyperlink"/>
          </w:rPr>
          <w:t>https://www.lm.gov.lv/lv/pamatnostadnu-projekts-socialas-aizsardzibas-un-darba-tirgus-politikas-pamatnostadnes-2021-2027-gadam</w:t>
        </w:r>
      </w:hyperlink>
      <w:r>
        <w:t xml:space="preserve"> </w:t>
      </w:r>
    </w:p>
  </w:footnote>
  <w:footnote w:id="173">
    <w:p w14:paraId="28F07E8B" w14:textId="17A04CFF" w:rsidR="006624B3" w:rsidRDefault="006624B3" w:rsidP="00966BAC">
      <w:pPr>
        <w:pStyle w:val="FootnoteText"/>
        <w:ind w:left="284" w:hanging="284"/>
      </w:pPr>
      <w:r>
        <w:rPr>
          <w:rStyle w:val="FootnoteReference"/>
        </w:rPr>
        <w:footnoteRef/>
      </w:r>
      <w:r>
        <w:t xml:space="preserve"> </w:t>
      </w:r>
      <w:r w:rsidRPr="00966BAC">
        <w:t>Saskaņā ar likumā “Par ietekmes uz vidi novērtējumu” un Ministru kabineta 2004.gada 23.marta noteikumos Nr.157 “Kārtība, kādā veicams ietekmes uz vidi stratēģiskais novērtējums” noteikto kārtību un nosacījumiem DP ir plānošanas dokuments, kam ir nepieciešams veikt stratēģisko ietekmes uz vidi novērtējumu.</w:t>
      </w:r>
    </w:p>
  </w:footnote>
  <w:footnote w:id="174">
    <w:p w14:paraId="12B0FC99" w14:textId="77777777" w:rsidR="006624B3" w:rsidRPr="00FD2BE0" w:rsidRDefault="006624B3"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“KP fondu komunikācijas stratēģijā 2021.–2027.gadam”. Stratēģijas izstrādi paredzēts balstīt uz “ES struktūrfondu un Kohēzijas fonda 2014.–2020. gada plānošanas perioda komunikācijas stratēģijas 2015.–2023. gadam ieviešanas efektivitātes vidusposma (mid-term) izvērtējumā”</w:t>
      </w:r>
    </w:p>
  </w:footnote>
  <w:footnote w:id="175">
    <w:p w14:paraId="34C45545" w14:textId="1F10FA9B" w:rsidR="006624B3" w:rsidRDefault="006624B3">
      <w:pPr>
        <w:pStyle w:val="FootnoteText"/>
      </w:pPr>
      <w:r>
        <w:rPr>
          <w:rStyle w:val="FootnoteReference"/>
        </w:rPr>
        <w:footnoteRef/>
      </w:r>
      <w:r>
        <w:t xml:space="preserve"> Intervences kods atbilstoši Kopējo noteikumu regulas I pielikuma 1.tabulai – intervences laukumi</w:t>
      </w:r>
    </w:p>
  </w:footnote>
  <w:footnote w:id="176">
    <w:p w14:paraId="5874F1A1" w14:textId="18515B8C" w:rsidR="006624B3" w:rsidRDefault="006624B3">
      <w:pPr>
        <w:pStyle w:val="FootnoteText"/>
      </w:pPr>
      <w:r>
        <w:rPr>
          <w:rStyle w:val="FootnoteReference"/>
        </w:rPr>
        <w:footnoteRef/>
      </w:r>
      <w:r>
        <w:t xml:space="preserve"> Rādītāja kods atbilstoši ERAF/ KF vai ESF+ regulā definētajiem kopīgajiem rādītājiem, ja attiecināms</w:t>
      </w:r>
    </w:p>
  </w:footnote>
  <w:footnote w:id="177">
    <w:p w14:paraId="2AD734A1" w14:textId="77777777" w:rsidR="006624B3" w:rsidRPr="00FD2BE0" w:rsidRDefault="006624B3"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Vienam darbības veidam ir iespējami vairāki papildu rādītāji (piemēram, viens iznākuma rādītājs un viens rezultātu rādītājs). Šādos gadījumos 1.3. līdz 1.11. punktus aizpilda par katru rādītāju.</w:t>
      </w:r>
    </w:p>
  </w:footnote>
  <w:footnote w:id="178">
    <w:p w14:paraId="6FD7BB9C" w14:textId="6FE6341A" w:rsidR="006624B3" w:rsidRDefault="006624B3">
      <w:pPr>
        <w:pStyle w:val="FootnoteText"/>
      </w:pPr>
      <w:r>
        <w:rPr>
          <w:rStyle w:val="FootnoteReference"/>
        </w:rPr>
        <w:footnoteRef/>
      </w:r>
      <w:r>
        <w:t xml:space="preserve"> </w:t>
      </w:r>
      <w:r w:rsidRPr="000D15A7">
        <w:t>https://likumi.lv/ta/id/218825-likuma-par-iedzivotaju-ienakuma-nodokli-normu-piemerosanas-kartiba</w:t>
      </w:r>
    </w:p>
  </w:footnote>
  <w:footnote w:id="179">
    <w:p w14:paraId="1D0ABD10" w14:textId="77777777" w:rsidR="006624B3" w:rsidRPr="00FD2BE0" w:rsidRDefault="006624B3" w:rsidP="00AC212B">
      <w:pPr>
        <w:pStyle w:val="FootnoteText"/>
        <w:ind w:left="0" w:firstLine="0"/>
        <w:rPr>
          <w:sz w:val="18"/>
          <w:szCs w:val="18"/>
        </w:rPr>
      </w:pPr>
    </w:p>
  </w:footnote>
  <w:footnote w:id="180">
    <w:p w14:paraId="4003C79C" w14:textId="77777777" w:rsidR="006624B3" w:rsidRPr="00FD2BE0" w:rsidRDefault="006624B3" w:rsidP="00AC212B">
      <w:pPr>
        <w:pStyle w:val="FootnoteText"/>
        <w:ind w:left="0" w:firstLine="0"/>
        <w:rPr>
          <w:sz w:val="18"/>
          <w:szCs w:val="18"/>
        </w:rPr>
      </w:pPr>
    </w:p>
  </w:footnote>
  <w:footnote w:id="181">
    <w:p w14:paraId="6C0D795F" w14:textId="77777777" w:rsidR="006624B3" w:rsidRPr="00FD2BE0" w:rsidRDefault="006624B3" w:rsidP="00AC212B">
      <w:pPr>
        <w:pStyle w:val="FootnoteText"/>
        <w:ind w:left="0" w:firstLine="0"/>
        <w:rPr>
          <w:sz w:val="18"/>
          <w:szCs w:val="18"/>
        </w:rPr>
      </w:pPr>
    </w:p>
  </w:footnote>
  <w:footnote w:id="182">
    <w:p w14:paraId="5BF61936" w14:textId="77777777" w:rsidR="006624B3" w:rsidRPr="00FD2BE0" w:rsidRDefault="006624B3" w:rsidP="00AC212B">
      <w:pPr>
        <w:pStyle w:val="FootnoteText"/>
        <w:ind w:left="0" w:firstLine="0"/>
        <w:rPr>
          <w:sz w:val="18"/>
          <w:szCs w:val="18"/>
        </w:rPr>
      </w:pPr>
    </w:p>
  </w:footnote>
  <w:footnote w:id="183">
    <w:p w14:paraId="0D0D372C" w14:textId="77777777" w:rsidR="006624B3" w:rsidRPr="00FD2BE0" w:rsidRDefault="006624B3"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Vienam darbības veidam ir iespējami vairāki papildu rādītāji (piemēram, viens iznākuma rādītājs un viens rezultātu rādītājs). Šādos gadījumos 1.3. līdz 1.11. punktus aizpilda par katru rādītāju.</w:t>
      </w:r>
    </w:p>
  </w:footnote>
  <w:footnote w:id="184">
    <w:p w14:paraId="1C5595BD" w14:textId="139CD64B" w:rsidR="006624B3" w:rsidRDefault="006624B3" w:rsidP="00E4432B">
      <w:pPr>
        <w:pStyle w:val="FootnoteText"/>
        <w:ind w:left="0" w:hanging="11"/>
      </w:pPr>
      <w:r>
        <w:rPr>
          <w:rStyle w:val="FootnoteReference"/>
        </w:rPr>
        <w:footnoteRef/>
      </w:r>
      <w:r>
        <w:t xml:space="preserve"> </w:t>
      </w:r>
      <w:r w:rsidRPr="006F2073">
        <w:t>https://likumi.lv/ta/id/310937-grozijumi-ministru-kabineta-2010-gada-12-oktobra-noteikumos-nr-969-kartiba-kada-atlidzinami-ar-komandejumiem-saistitie-izdevumi-</w:t>
      </w:r>
    </w:p>
  </w:footnote>
  <w:footnote w:id="185">
    <w:p w14:paraId="10FB4DED" w14:textId="77777777" w:rsidR="006624B3" w:rsidRDefault="006624B3" w:rsidP="00653ACF">
      <w:pPr>
        <w:pStyle w:val="FootnoteText"/>
      </w:pPr>
      <w:r>
        <w:rPr>
          <w:rStyle w:val="FootnoteReference"/>
        </w:rPr>
        <w:footnoteRef/>
      </w:r>
      <w:r>
        <w:t xml:space="preserve"> Intervences kods atbilstoši Kopējo noteikumu regulas I pielikuma 1.tabulai – intervences laukumi</w:t>
      </w:r>
    </w:p>
  </w:footnote>
  <w:footnote w:id="186">
    <w:p w14:paraId="3C14F8C6" w14:textId="77777777" w:rsidR="006624B3" w:rsidRDefault="006624B3" w:rsidP="00653ACF">
      <w:pPr>
        <w:pStyle w:val="FootnoteText"/>
      </w:pPr>
      <w:r>
        <w:rPr>
          <w:rStyle w:val="FootnoteReference"/>
        </w:rPr>
        <w:footnoteRef/>
      </w:r>
      <w:r>
        <w:t xml:space="preserve"> Rādītāja kods atbilstoši ERAF/ KF vai ESF+ regulā definētajiem kopīgajiem rādītājiem, ja attiecināms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2402C" w14:textId="77777777" w:rsidR="006624B3" w:rsidRDefault="006624B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4C55A" w14:textId="77777777" w:rsidR="006624B3" w:rsidRDefault="006624B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8914D" w14:textId="77777777" w:rsidR="006624B3" w:rsidRDefault="006624B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BA456" w14:textId="77777777" w:rsidR="006624B3" w:rsidRDefault="006624B3">
    <w:pPr>
      <w:pStyle w:val="HeaderLandscap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73D54" w14:textId="77777777" w:rsidR="006624B3" w:rsidRDefault="006624B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BDBFB" w14:textId="77777777" w:rsidR="006624B3" w:rsidRDefault="006624B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65A24" w14:textId="77777777" w:rsidR="006624B3" w:rsidRDefault="006624B3">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86420" w14:textId="77777777" w:rsidR="006624B3" w:rsidRDefault="006624B3">
    <w:pPr>
      <w:pStyle w:val="Footer"/>
      <w:pBdr>
        <w:bottom w:val="single" w:sz="4" w:space="1" w:color="7B6F46"/>
      </w:pBdr>
      <w:tabs>
        <w:tab w:val="right" w:pos="8820"/>
      </w:tabs>
      <w:ind w:right="3027"/>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6809D" w14:textId="77777777" w:rsidR="006624B3" w:rsidRDefault="006624B3">
    <w:pPr>
      <w:pStyle w:val="HeaderLandscap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F8984" w14:textId="77777777" w:rsidR="006624B3" w:rsidRDefault="006624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35BF8" w14:textId="77777777" w:rsidR="006624B3" w:rsidRDefault="006624B3">
    <w:pPr>
      <w:pStyle w:val="Footer"/>
      <w:pBdr>
        <w:bottom w:val="single" w:sz="4" w:space="1" w:color="7B6F46"/>
      </w:pBdr>
      <w:tabs>
        <w:tab w:val="right" w:pos="8820"/>
      </w:tabs>
      <w:ind w:right="3027"/>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58236" w14:textId="77777777" w:rsidR="006624B3" w:rsidRDefault="006624B3">
    <w:pPr>
      <w:pStyle w:val="HeaderLandscap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87DE" w14:textId="77777777" w:rsidR="006624B3" w:rsidRDefault="006624B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3D9C4" w14:textId="77777777" w:rsidR="006624B3" w:rsidRDefault="006624B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94323" w14:textId="77777777" w:rsidR="006624B3" w:rsidRDefault="006624B3">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ListNumber5"/>
      <w:lvlText w:val="%1."/>
      <w:lvlJc w:val="left"/>
      <w:pPr>
        <w:tabs>
          <w:tab w:val="num" w:pos="1129"/>
        </w:tabs>
        <w:ind w:left="1129"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244F1CE"/>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C94FA2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4638C7"/>
    <w:multiLevelType w:val="hybridMultilevel"/>
    <w:tmpl w:val="AD669F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1345882"/>
    <w:multiLevelType w:val="hybridMultilevel"/>
    <w:tmpl w:val="E65E636E"/>
    <w:lvl w:ilvl="0" w:tplc="EF4245D6">
      <w:start w:val="1"/>
      <w:numFmt w:val="decimal"/>
      <w:lvlText w:val="%1)"/>
      <w:lvlJc w:val="left"/>
      <w:pPr>
        <w:ind w:left="360" w:hanging="360"/>
      </w:pPr>
      <w:rPr>
        <w:rFonts w:ascii="Times New Roman" w:eastAsiaTheme="minorHAnsi" w:hAnsi="Times New Roman" w:cs="Times New Roman"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5D60184"/>
    <w:multiLevelType w:val="hybridMultilevel"/>
    <w:tmpl w:val="A5620F58"/>
    <w:lvl w:ilvl="0" w:tplc="0426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8153227"/>
    <w:multiLevelType w:val="hybridMultilevel"/>
    <w:tmpl w:val="E7343D7E"/>
    <w:lvl w:ilvl="0" w:tplc="6F16015E">
      <w:start w:val="1"/>
      <w:numFmt w:val="decimal"/>
      <w:lvlText w:val="(%1)"/>
      <w:lvlJc w:val="left"/>
      <w:pPr>
        <w:ind w:left="720" w:hanging="360"/>
      </w:pPr>
      <w:rPr>
        <w:rFonts w:ascii="Times New Roman" w:hAnsi="Times New Roman" w:cs="Times New Roman" w:hint="default"/>
        <w:b w:val="0"/>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2508AE"/>
    <w:multiLevelType w:val="hybridMultilevel"/>
    <w:tmpl w:val="53CEA190"/>
    <w:lvl w:ilvl="0" w:tplc="BA76C5CE">
      <w:start w:val="1"/>
      <w:numFmt w:val="decimal"/>
      <w:lvlText w:val="%1)"/>
      <w:lvlJc w:val="left"/>
      <w:pPr>
        <w:ind w:left="360" w:hanging="360"/>
      </w:pPr>
      <w:rPr>
        <w:rFonts w:ascii="Times New Roman" w:hAnsi="Times New Roman"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0B5570C9"/>
    <w:multiLevelType w:val="hybridMultilevel"/>
    <w:tmpl w:val="EDD0E214"/>
    <w:lvl w:ilvl="0" w:tplc="ABAC9B14">
      <w:start w:val="1"/>
      <w:numFmt w:val="lowerLetter"/>
      <w:lvlText w:val="%1)"/>
      <w:lvlJc w:val="left"/>
      <w:pPr>
        <w:ind w:left="927" w:hanging="360"/>
      </w:pPr>
      <w:rPr>
        <w:rFonts w:hint="default"/>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0BEB6589"/>
    <w:multiLevelType w:val="hybridMultilevel"/>
    <w:tmpl w:val="32241984"/>
    <w:lvl w:ilvl="0" w:tplc="2BF49092">
      <w:start w:val="1"/>
      <w:numFmt w:val="decimal"/>
      <w:lvlText w:val="%1)"/>
      <w:lvlJc w:val="left"/>
      <w:pPr>
        <w:ind w:left="720" w:hanging="360"/>
      </w:pPr>
      <w:rPr>
        <w:rFonts w:ascii="Times New Roman" w:hAnsi="Times New Roman" w:cs="Times New Roman"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23A7357"/>
    <w:multiLevelType w:val="hybridMultilevel"/>
    <w:tmpl w:val="204C4EE2"/>
    <w:lvl w:ilvl="0" w:tplc="04260001">
      <w:start w:val="1"/>
      <w:numFmt w:val="bullet"/>
      <w:lvlText w:val=""/>
      <w:lvlJc w:val="left"/>
      <w:pPr>
        <w:ind w:left="720" w:hanging="360"/>
      </w:pPr>
      <w:rPr>
        <w:rFonts w:ascii="Symbol" w:hAnsi="Symbol"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36962B3"/>
    <w:multiLevelType w:val="hybridMultilevel"/>
    <w:tmpl w:val="0E1243C8"/>
    <w:lvl w:ilvl="0" w:tplc="04260019">
      <w:start w:val="1"/>
      <w:numFmt w:val="lowerLetter"/>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1B3C78B8"/>
    <w:multiLevelType w:val="multilevel"/>
    <w:tmpl w:val="5C1E6B1C"/>
    <w:lvl w:ilvl="0">
      <w:start w:val="1"/>
      <w:numFmt w:val="decimal"/>
      <w:lvlRestart w:val="0"/>
      <w:pStyle w:val="Point0number"/>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pStyle w:val="Point0number"/>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8" w15:restartNumberingAfterBreak="0">
    <w:nsid w:val="1D3951BF"/>
    <w:multiLevelType w:val="hybridMultilevel"/>
    <w:tmpl w:val="03F4152C"/>
    <w:lvl w:ilvl="0" w:tplc="957C340C">
      <w:start w:val="1"/>
      <w:numFmt w:val="decimal"/>
      <w:lvlText w:val="%1)"/>
      <w:lvlJc w:val="left"/>
      <w:pPr>
        <w:ind w:left="360" w:hanging="360"/>
      </w:pPr>
      <w:rPr>
        <w:rFonts w:ascii="Times New Roman" w:hAnsi="Times New Roman" w:cs="Times New Roman"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1FD01B9A"/>
    <w:multiLevelType w:val="hybridMultilevel"/>
    <w:tmpl w:val="E8DA7A0A"/>
    <w:lvl w:ilvl="0" w:tplc="33F83092">
      <w:start w:val="1"/>
      <w:numFmt w:val="decimal"/>
      <w:lvlText w:val="%1."/>
      <w:lvlJc w:val="left"/>
      <w:pPr>
        <w:ind w:left="360" w:hanging="360"/>
      </w:pPr>
      <w:rPr>
        <w:rFonts w:ascii="Times New Roman" w:hAnsi="Times New Roman"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20C562F8"/>
    <w:multiLevelType w:val="hybridMultilevel"/>
    <w:tmpl w:val="424A8962"/>
    <w:lvl w:ilvl="0" w:tplc="71DC7264">
      <w:start w:val="1"/>
      <w:numFmt w:val="decimal"/>
      <w:lvlText w:val="(%1)"/>
      <w:lvlJc w:val="left"/>
      <w:pPr>
        <w:ind w:left="720" w:hanging="360"/>
      </w:pPr>
      <w:rPr>
        <w:rFonts w:ascii="Times New Roman" w:hAnsi="Times New Roman" w:cs="Times New Roman" w:hint="default"/>
        <w:b w:val="0"/>
        <w:i w:val="0"/>
        <w:color w:val="auto"/>
        <w:sz w:val="24"/>
        <w:szCs w:val="24"/>
      </w:rPr>
    </w:lvl>
    <w:lvl w:ilvl="1" w:tplc="237A83C2">
      <w:start w:val="1"/>
      <w:numFmt w:val="bullet"/>
      <w:lvlText w:val="-"/>
      <w:lvlJc w:val="left"/>
      <w:pPr>
        <w:ind w:left="1440" w:hanging="360"/>
      </w:pPr>
      <w:rPr>
        <w:rFonts w:ascii="Times New Roman" w:eastAsiaTheme="minorHAnsi"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1311964"/>
    <w:multiLevelType w:val="multilevel"/>
    <w:tmpl w:val="6B4A7F5A"/>
    <w:lvl w:ilvl="0">
      <w:start w:val="1"/>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23425807"/>
    <w:multiLevelType w:val="hybridMultilevel"/>
    <w:tmpl w:val="1F3CC5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37C13DF"/>
    <w:multiLevelType w:val="hybridMultilevel"/>
    <w:tmpl w:val="1A78E19A"/>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5" w15:restartNumberingAfterBreak="0">
    <w:nsid w:val="2656603D"/>
    <w:multiLevelType w:val="hybridMultilevel"/>
    <w:tmpl w:val="A9221F4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272319D4"/>
    <w:multiLevelType w:val="multilevel"/>
    <w:tmpl w:val="A3BE3606"/>
    <w:lvl w:ilvl="0">
      <w:start w:val="1"/>
      <w:numFmt w:val="decimal"/>
      <w:lvlText w:val="%1."/>
      <w:lvlJc w:val="left"/>
      <w:pPr>
        <w:ind w:left="502" w:hanging="360"/>
      </w:pPr>
      <w:rPr>
        <w:rFonts w:hint="default"/>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27" w15:restartNumberingAfterBreak="0">
    <w:nsid w:val="2C14250E"/>
    <w:multiLevelType w:val="hybridMultilevel"/>
    <w:tmpl w:val="9B7C5232"/>
    <w:lvl w:ilvl="0" w:tplc="71DC7264">
      <w:start w:val="1"/>
      <w:numFmt w:val="decimal"/>
      <w:lvlText w:val="(%1)"/>
      <w:lvlJc w:val="left"/>
      <w:pPr>
        <w:ind w:left="720" w:hanging="360"/>
      </w:pPr>
      <w:rPr>
        <w:rFonts w:ascii="Times New Roman" w:hAnsi="Times New Roman" w:cs="Times New Roman" w:hint="default"/>
        <w:b w:val="0"/>
        <w:i w:val="0"/>
        <w:color w:val="auto"/>
        <w:sz w:val="24"/>
        <w:szCs w:val="24"/>
      </w:rPr>
    </w:lvl>
    <w:lvl w:ilvl="1" w:tplc="237A83C2">
      <w:start w:val="1"/>
      <w:numFmt w:val="bullet"/>
      <w:lvlText w:val="-"/>
      <w:lvlJc w:val="left"/>
      <w:pPr>
        <w:ind w:left="1440" w:hanging="360"/>
      </w:pPr>
      <w:rPr>
        <w:rFonts w:ascii="Times New Roman" w:eastAsiaTheme="minorHAnsi"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30" w15:restartNumberingAfterBreak="0">
    <w:nsid w:val="2FA16E77"/>
    <w:multiLevelType w:val="hybridMultilevel"/>
    <w:tmpl w:val="53CEA190"/>
    <w:lvl w:ilvl="0" w:tplc="BA76C5CE">
      <w:start w:val="1"/>
      <w:numFmt w:val="decimal"/>
      <w:lvlText w:val="%1)"/>
      <w:lvlJc w:val="left"/>
      <w:pPr>
        <w:ind w:left="360" w:hanging="360"/>
      </w:pPr>
      <w:rPr>
        <w:rFonts w:ascii="Times New Roman" w:hAnsi="Times New Roman"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366162E5"/>
    <w:multiLevelType w:val="hybridMultilevel"/>
    <w:tmpl w:val="90D2516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DE83EDA"/>
    <w:multiLevelType w:val="hybridMultilevel"/>
    <w:tmpl w:val="C9DC96F8"/>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5216848E">
      <w:start w:val="3"/>
      <w:numFmt w:val="decimal"/>
      <w:lvlText w:val="%3.)"/>
      <w:lvlJc w:val="left"/>
      <w:pPr>
        <w:ind w:left="2340" w:hanging="360"/>
      </w:pPr>
      <w:rPr>
        <w:rFonts w:hint="default"/>
      </w:rPr>
    </w:lvl>
    <w:lvl w:ilvl="3" w:tplc="237A83C2">
      <w:start w:val="1"/>
      <w:numFmt w:val="bullet"/>
      <w:lvlText w:val="-"/>
      <w:lvlJc w:val="left"/>
      <w:pPr>
        <w:ind w:left="2062" w:hanging="360"/>
      </w:pPr>
      <w:rPr>
        <w:rFonts w:ascii="Times New Roman" w:eastAsiaTheme="minorHAns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EB1971"/>
    <w:multiLevelType w:val="multilevel"/>
    <w:tmpl w:val="64A8146E"/>
    <w:lvl w:ilvl="0">
      <w:start w:val="1"/>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2DC2F0B"/>
    <w:multiLevelType w:val="hybridMultilevel"/>
    <w:tmpl w:val="CA467290"/>
    <w:lvl w:ilvl="0" w:tplc="71DC7264">
      <w:start w:val="1"/>
      <w:numFmt w:val="decimal"/>
      <w:lvlText w:val="(%1)"/>
      <w:lvlJc w:val="left"/>
      <w:pPr>
        <w:ind w:left="720" w:hanging="360"/>
      </w:pPr>
      <w:rPr>
        <w:rFonts w:ascii="Times New Roman" w:hAnsi="Times New Roman" w:cs="Times New Roman" w:hint="default"/>
        <w:b w:val="0"/>
        <w:i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8" w15:restartNumberingAfterBreak="0">
    <w:nsid w:val="433C2759"/>
    <w:multiLevelType w:val="hybridMultilevel"/>
    <w:tmpl w:val="5A922FA0"/>
    <w:lvl w:ilvl="0" w:tplc="5E6CCFF4">
      <w:start w:val="1"/>
      <w:numFmt w:val="decimal"/>
      <w:lvlText w:val="%1."/>
      <w:lvlJc w:val="left"/>
      <w:pPr>
        <w:ind w:left="360" w:hanging="360"/>
      </w:pPr>
      <w:rPr>
        <w:rFonts w:ascii="Times New Roman" w:eastAsiaTheme="minorHAnsi" w:hAnsi="Times New Roman" w:cs="Times New Roman"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9" w15:restartNumberingAfterBreak="0">
    <w:nsid w:val="45145B05"/>
    <w:multiLevelType w:val="multilevel"/>
    <w:tmpl w:val="58B0DF66"/>
    <w:lvl w:ilvl="0">
      <w:start w:val="1"/>
      <w:numFmt w:val="decimal"/>
      <w:lvlText w:val="%1."/>
      <w:lvlJc w:val="left"/>
      <w:pPr>
        <w:ind w:left="502" w:hanging="360"/>
      </w:pPr>
      <w:rPr>
        <w:rFonts w:hint="default"/>
      </w:rPr>
    </w:lvl>
    <w:lvl w:ilvl="1">
      <w:start w:val="1"/>
      <w:numFmt w:val="decimal"/>
      <w:isLgl/>
      <w:lvlText w:val="%1.%2."/>
      <w:lvlJc w:val="left"/>
      <w:pPr>
        <w:ind w:left="682" w:hanging="540"/>
      </w:pPr>
      <w:rPr>
        <w:rFonts w:hint="default"/>
        <w:b/>
        <w:i w:val="0"/>
      </w:rPr>
    </w:lvl>
    <w:lvl w:ilvl="2">
      <w:start w:val="2"/>
      <w:numFmt w:val="decimal"/>
      <w:isLgl/>
      <w:lvlText w:val="%1.%2.%3."/>
      <w:lvlJc w:val="left"/>
      <w:pPr>
        <w:ind w:left="-76"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0"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2" w15:restartNumberingAfterBreak="0">
    <w:nsid w:val="45F87B51"/>
    <w:multiLevelType w:val="hybridMultilevel"/>
    <w:tmpl w:val="4D46C6F8"/>
    <w:lvl w:ilvl="0" w:tplc="71DC7264">
      <w:start w:val="1"/>
      <w:numFmt w:val="decimal"/>
      <w:lvlText w:val="(%1)"/>
      <w:lvlJc w:val="left"/>
      <w:pPr>
        <w:ind w:left="720" w:hanging="360"/>
      </w:pPr>
      <w:rPr>
        <w:rFonts w:ascii="Times New Roman" w:hAnsi="Times New Roman" w:cs="Times New Roman" w:hint="default"/>
        <w:b w:val="0"/>
        <w:i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4BA36C30"/>
    <w:multiLevelType w:val="hybridMultilevel"/>
    <w:tmpl w:val="9448F822"/>
    <w:lvl w:ilvl="0" w:tplc="04260017">
      <w:start w:val="1"/>
      <w:numFmt w:val="lowerLetter"/>
      <w:lvlText w:val="%1)"/>
      <w:lvlJc w:val="left"/>
      <w:pPr>
        <w:ind w:left="786" w:hanging="360"/>
      </w:pPr>
      <w:rPr>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E8F01C4"/>
    <w:multiLevelType w:val="hybridMultilevel"/>
    <w:tmpl w:val="13DC63E8"/>
    <w:lvl w:ilvl="0" w:tplc="8160A90E">
      <w:start w:val="1"/>
      <w:numFmt w:val="decimal"/>
      <w:lvlText w:val="%1)"/>
      <w:lvlJc w:val="left"/>
      <w:pPr>
        <w:ind w:left="671" w:hanging="360"/>
      </w:pPr>
      <w:rPr>
        <w:rFonts w:hint="default"/>
      </w:rPr>
    </w:lvl>
    <w:lvl w:ilvl="1" w:tplc="08090019" w:tentative="1">
      <w:start w:val="1"/>
      <w:numFmt w:val="lowerLetter"/>
      <w:lvlText w:val="%2."/>
      <w:lvlJc w:val="left"/>
      <w:pPr>
        <w:ind w:left="1391" w:hanging="360"/>
      </w:pPr>
    </w:lvl>
    <w:lvl w:ilvl="2" w:tplc="0809001B" w:tentative="1">
      <w:start w:val="1"/>
      <w:numFmt w:val="lowerRoman"/>
      <w:lvlText w:val="%3."/>
      <w:lvlJc w:val="right"/>
      <w:pPr>
        <w:ind w:left="2111" w:hanging="180"/>
      </w:pPr>
    </w:lvl>
    <w:lvl w:ilvl="3" w:tplc="0809000F" w:tentative="1">
      <w:start w:val="1"/>
      <w:numFmt w:val="decimal"/>
      <w:lvlText w:val="%4."/>
      <w:lvlJc w:val="left"/>
      <w:pPr>
        <w:ind w:left="2831" w:hanging="360"/>
      </w:pPr>
    </w:lvl>
    <w:lvl w:ilvl="4" w:tplc="08090019" w:tentative="1">
      <w:start w:val="1"/>
      <w:numFmt w:val="lowerLetter"/>
      <w:lvlText w:val="%5."/>
      <w:lvlJc w:val="left"/>
      <w:pPr>
        <w:ind w:left="3551" w:hanging="360"/>
      </w:pPr>
    </w:lvl>
    <w:lvl w:ilvl="5" w:tplc="0809001B" w:tentative="1">
      <w:start w:val="1"/>
      <w:numFmt w:val="lowerRoman"/>
      <w:lvlText w:val="%6."/>
      <w:lvlJc w:val="right"/>
      <w:pPr>
        <w:ind w:left="4271" w:hanging="180"/>
      </w:pPr>
    </w:lvl>
    <w:lvl w:ilvl="6" w:tplc="0809000F" w:tentative="1">
      <w:start w:val="1"/>
      <w:numFmt w:val="decimal"/>
      <w:lvlText w:val="%7."/>
      <w:lvlJc w:val="left"/>
      <w:pPr>
        <w:ind w:left="4991" w:hanging="360"/>
      </w:pPr>
    </w:lvl>
    <w:lvl w:ilvl="7" w:tplc="08090019" w:tentative="1">
      <w:start w:val="1"/>
      <w:numFmt w:val="lowerLetter"/>
      <w:lvlText w:val="%8."/>
      <w:lvlJc w:val="left"/>
      <w:pPr>
        <w:ind w:left="5711" w:hanging="360"/>
      </w:pPr>
    </w:lvl>
    <w:lvl w:ilvl="8" w:tplc="0809001B" w:tentative="1">
      <w:start w:val="1"/>
      <w:numFmt w:val="lowerRoman"/>
      <w:lvlText w:val="%9."/>
      <w:lvlJc w:val="right"/>
      <w:pPr>
        <w:ind w:left="6431" w:hanging="180"/>
      </w:pPr>
    </w:lvl>
  </w:abstractNum>
  <w:abstractNum w:abstractNumId="4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9" w15:restartNumberingAfterBreak="0">
    <w:nsid w:val="56CA4106"/>
    <w:multiLevelType w:val="hybridMultilevel"/>
    <w:tmpl w:val="906891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83E10EA"/>
    <w:multiLevelType w:val="hybridMultilevel"/>
    <w:tmpl w:val="55E256BC"/>
    <w:lvl w:ilvl="0" w:tplc="12D02802">
      <w:start w:val="1"/>
      <w:numFmt w:val="decimal"/>
      <w:lvlText w:val="[%1.]"/>
      <w:lvlJc w:val="left"/>
      <w:pPr>
        <w:ind w:left="502" w:hanging="360"/>
      </w:pPr>
      <w:rPr>
        <w:rFonts w:ascii="Times New Roman" w:hAnsi="Times New Roman" w:cs="Times New Roman" w:hint="default"/>
        <w:b w:val="0"/>
        <w:i w:val="0"/>
        <w:iCs w:val="0"/>
        <w:sz w:val="24"/>
        <w:szCs w:val="24"/>
        <w:vertAlign w:val="baseline"/>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5AD97C80"/>
    <w:multiLevelType w:val="hybridMultilevel"/>
    <w:tmpl w:val="A42CCA70"/>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2"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53" w15:restartNumberingAfterBreak="0">
    <w:nsid w:val="5BE51C55"/>
    <w:multiLevelType w:val="hybridMultilevel"/>
    <w:tmpl w:val="1C16D32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5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15:restartNumberingAfterBreak="0">
    <w:nsid w:val="604B7A9B"/>
    <w:multiLevelType w:val="hybridMultilevel"/>
    <w:tmpl w:val="9CB8E806"/>
    <w:lvl w:ilvl="0" w:tplc="DF380296">
      <w:start w:val="1"/>
      <w:numFmt w:val="decimal"/>
      <w:lvlText w:val="%1."/>
      <w:lvlJc w:val="left"/>
      <w:pPr>
        <w:ind w:left="990" w:hanging="63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629669DA"/>
    <w:multiLevelType w:val="hybridMultilevel"/>
    <w:tmpl w:val="DC261A1A"/>
    <w:lvl w:ilvl="0" w:tplc="C7EAFA3E">
      <w:start w:val="1"/>
      <w:numFmt w:val="lowerLetter"/>
      <w:lvlText w:val="%1)"/>
      <w:lvlJc w:val="left"/>
      <w:pPr>
        <w:ind w:left="502" w:hanging="360"/>
      </w:pPr>
      <w:rPr>
        <w:rFonts w:hint="default"/>
        <w:b w:val="0"/>
        <w:i w:val="0"/>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62C158DE"/>
    <w:multiLevelType w:val="hybridMultilevel"/>
    <w:tmpl w:val="5A922FA0"/>
    <w:lvl w:ilvl="0" w:tplc="5E6CCFF4">
      <w:start w:val="1"/>
      <w:numFmt w:val="decimal"/>
      <w:lvlText w:val="%1."/>
      <w:lvlJc w:val="left"/>
      <w:pPr>
        <w:ind w:left="360" w:hanging="360"/>
      </w:pPr>
      <w:rPr>
        <w:rFonts w:ascii="Times New Roman" w:eastAsiaTheme="minorHAnsi" w:hAnsi="Times New Roman" w:cs="Times New Roman"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6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61" w15:restartNumberingAfterBreak="0">
    <w:nsid w:val="67114B92"/>
    <w:multiLevelType w:val="hybridMultilevel"/>
    <w:tmpl w:val="6E4A91EC"/>
    <w:lvl w:ilvl="0" w:tplc="A0D830F4">
      <w:start w:val="1"/>
      <w:numFmt w:val="decimal"/>
      <w:lvlText w:val="%1)"/>
      <w:lvlJc w:val="left"/>
      <w:pPr>
        <w:ind w:left="360" w:hanging="360"/>
      </w:pPr>
      <w:rPr>
        <w:rFonts w:ascii="Times New Roman" w:hAnsi="Times New Roman" w:cs="Times New Roman" w:hint="default"/>
      </w:rPr>
    </w:lvl>
    <w:lvl w:ilvl="1" w:tplc="04260019" w:tentative="1">
      <w:start w:val="1"/>
      <w:numFmt w:val="lowerLetter"/>
      <w:lvlText w:val="%2."/>
      <w:lvlJc w:val="left"/>
      <w:pPr>
        <w:ind w:left="1301" w:hanging="360"/>
      </w:pPr>
    </w:lvl>
    <w:lvl w:ilvl="2" w:tplc="0426001B" w:tentative="1">
      <w:start w:val="1"/>
      <w:numFmt w:val="lowerRoman"/>
      <w:lvlText w:val="%3."/>
      <w:lvlJc w:val="right"/>
      <w:pPr>
        <w:ind w:left="2021" w:hanging="180"/>
      </w:pPr>
    </w:lvl>
    <w:lvl w:ilvl="3" w:tplc="0426000F" w:tentative="1">
      <w:start w:val="1"/>
      <w:numFmt w:val="decimal"/>
      <w:lvlText w:val="%4."/>
      <w:lvlJc w:val="left"/>
      <w:pPr>
        <w:ind w:left="2741" w:hanging="360"/>
      </w:pPr>
    </w:lvl>
    <w:lvl w:ilvl="4" w:tplc="04260019" w:tentative="1">
      <w:start w:val="1"/>
      <w:numFmt w:val="lowerLetter"/>
      <w:lvlText w:val="%5."/>
      <w:lvlJc w:val="left"/>
      <w:pPr>
        <w:ind w:left="3461" w:hanging="360"/>
      </w:pPr>
    </w:lvl>
    <w:lvl w:ilvl="5" w:tplc="0426001B" w:tentative="1">
      <w:start w:val="1"/>
      <w:numFmt w:val="lowerRoman"/>
      <w:lvlText w:val="%6."/>
      <w:lvlJc w:val="right"/>
      <w:pPr>
        <w:ind w:left="4181" w:hanging="180"/>
      </w:pPr>
    </w:lvl>
    <w:lvl w:ilvl="6" w:tplc="0426000F" w:tentative="1">
      <w:start w:val="1"/>
      <w:numFmt w:val="decimal"/>
      <w:lvlText w:val="%7."/>
      <w:lvlJc w:val="left"/>
      <w:pPr>
        <w:ind w:left="4901" w:hanging="360"/>
      </w:pPr>
    </w:lvl>
    <w:lvl w:ilvl="7" w:tplc="04260019" w:tentative="1">
      <w:start w:val="1"/>
      <w:numFmt w:val="lowerLetter"/>
      <w:lvlText w:val="%8."/>
      <w:lvlJc w:val="left"/>
      <w:pPr>
        <w:ind w:left="5621" w:hanging="360"/>
      </w:pPr>
    </w:lvl>
    <w:lvl w:ilvl="8" w:tplc="0426001B" w:tentative="1">
      <w:start w:val="1"/>
      <w:numFmt w:val="lowerRoman"/>
      <w:lvlText w:val="%9."/>
      <w:lvlJc w:val="right"/>
      <w:pPr>
        <w:ind w:left="6341" w:hanging="180"/>
      </w:pPr>
    </w:lvl>
  </w:abstractNum>
  <w:abstractNum w:abstractNumId="6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63" w15:restartNumberingAfterBreak="0">
    <w:nsid w:val="67AA24BA"/>
    <w:multiLevelType w:val="hybridMultilevel"/>
    <w:tmpl w:val="3B8CDFEC"/>
    <w:lvl w:ilvl="0" w:tplc="DDF0E2D0">
      <w:start w:val="1"/>
      <w:numFmt w:val="decimal"/>
      <w:lvlText w:val="%1)"/>
      <w:lvlJc w:val="left"/>
      <w:pPr>
        <w:ind w:left="723" w:hanging="360"/>
      </w:pPr>
      <w:rPr>
        <w:rFonts w:ascii="Times New Roman" w:hAnsi="Times New Roman" w:cs="Times New Roman" w:hint="default"/>
      </w:rPr>
    </w:lvl>
    <w:lvl w:ilvl="1" w:tplc="04260019" w:tentative="1">
      <w:start w:val="1"/>
      <w:numFmt w:val="lowerLetter"/>
      <w:lvlText w:val="%2."/>
      <w:lvlJc w:val="left"/>
      <w:pPr>
        <w:ind w:left="1443" w:hanging="360"/>
      </w:pPr>
    </w:lvl>
    <w:lvl w:ilvl="2" w:tplc="0426001B" w:tentative="1">
      <w:start w:val="1"/>
      <w:numFmt w:val="lowerRoman"/>
      <w:lvlText w:val="%3."/>
      <w:lvlJc w:val="right"/>
      <w:pPr>
        <w:ind w:left="2163" w:hanging="180"/>
      </w:pPr>
    </w:lvl>
    <w:lvl w:ilvl="3" w:tplc="0426000F" w:tentative="1">
      <w:start w:val="1"/>
      <w:numFmt w:val="decimal"/>
      <w:lvlText w:val="%4."/>
      <w:lvlJc w:val="left"/>
      <w:pPr>
        <w:ind w:left="2883" w:hanging="360"/>
      </w:pPr>
    </w:lvl>
    <w:lvl w:ilvl="4" w:tplc="04260019" w:tentative="1">
      <w:start w:val="1"/>
      <w:numFmt w:val="lowerLetter"/>
      <w:lvlText w:val="%5."/>
      <w:lvlJc w:val="left"/>
      <w:pPr>
        <w:ind w:left="3603" w:hanging="360"/>
      </w:pPr>
    </w:lvl>
    <w:lvl w:ilvl="5" w:tplc="0426001B" w:tentative="1">
      <w:start w:val="1"/>
      <w:numFmt w:val="lowerRoman"/>
      <w:lvlText w:val="%6."/>
      <w:lvlJc w:val="right"/>
      <w:pPr>
        <w:ind w:left="4323" w:hanging="180"/>
      </w:pPr>
    </w:lvl>
    <w:lvl w:ilvl="6" w:tplc="0426000F" w:tentative="1">
      <w:start w:val="1"/>
      <w:numFmt w:val="decimal"/>
      <w:lvlText w:val="%7."/>
      <w:lvlJc w:val="left"/>
      <w:pPr>
        <w:ind w:left="5043" w:hanging="360"/>
      </w:pPr>
    </w:lvl>
    <w:lvl w:ilvl="7" w:tplc="04260019" w:tentative="1">
      <w:start w:val="1"/>
      <w:numFmt w:val="lowerLetter"/>
      <w:lvlText w:val="%8."/>
      <w:lvlJc w:val="left"/>
      <w:pPr>
        <w:ind w:left="5763" w:hanging="360"/>
      </w:pPr>
    </w:lvl>
    <w:lvl w:ilvl="8" w:tplc="0426001B" w:tentative="1">
      <w:start w:val="1"/>
      <w:numFmt w:val="lowerRoman"/>
      <w:lvlText w:val="%9."/>
      <w:lvlJc w:val="right"/>
      <w:pPr>
        <w:ind w:left="6483" w:hanging="180"/>
      </w:pPr>
    </w:lvl>
  </w:abstractNum>
  <w:abstractNum w:abstractNumId="6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65" w15:restartNumberingAfterBreak="0">
    <w:nsid w:val="6B1729C7"/>
    <w:multiLevelType w:val="hybridMultilevel"/>
    <w:tmpl w:val="046880E4"/>
    <w:lvl w:ilvl="0" w:tplc="04260001">
      <w:start w:val="1"/>
      <w:numFmt w:val="bullet"/>
      <w:lvlText w:val=""/>
      <w:lvlJc w:val="left"/>
      <w:pPr>
        <w:ind w:left="927" w:hanging="360"/>
      </w:pPr>
      <w:rPr>
        <w:rFonts w:ascii="Symbol" w:hAnsi="Symbo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66" w15:restartNumberingAfterBreak="0">
    <w:nsid w:val="6CCF7E3B"/>
    <w:multiLevelType w:val="hybridMultilevel"/>
    <w:tmpl w:val="76C0107C"/>
    <w:lvl w:ilvl="0" w:tplc="E0DAC09A">
      <w:start w:val="1"/>
      <w:numFmt w:val="lowerRoman"/>
      <w:lvlText w:val="%1."/>
      <w:lvlJc w:val="right"/>
      <w:pPr>
        <w:ind w:left="1560" w:hanging="360"/>
      </w:pPr>
      <w:rPr>
        <w:rFonts w:ascii="Times New Roman" w:hAnsi="Times New Roman" w:cs="Times New Roman" w:hint="default"/>
      </w:rPr>
    </w:lvl>
    <w:lvl w:ilvl="1" w:tplc="04260019" w:tentative="1">
      <w:start w:val="1"/>
      <w:numFmt w:val="lowerLetter"/>
      <w:lvlText w:val="%2."/>
      <w:lvlJc w:val="left"/>
      <w:pPr>
        <w:ind w:left="2280" w:hanging="360"/>
      </w:pPr>
    </w:lvl>
    <w:lvl w:ilvl="2" w:tplc="0426001B" w:tentative="1">
      <w:start w:val="1"/>
      <w:numFmt w:val="lowerRoman"/>
      <w:lvlText w:val="%3."/>
      <w:lvlJc w:val="right"/>
      <w:pPr>
        <w:ind w:left="3000" w:hanging="180"/>
      </w:pPr>
    </w:lvl>
    <w:lvl w:ilvl="3" w:tplc="0426000F" w:tentative="1">
      <w:start w:val="1"/>
      <w:numFmt w:val="decimal"/>
      <w:lvlText w:val="%4."/>
      <w:lvlJc w:val="left"/>
      <w:pPr>
        <w:ind w:left="3720" w:hanging="360"/>
      </w:pPr>
    </w:lvl>
    <w:lvl w:ilvl="4" w:tplc="04260019" w:tentative="1">
      <w:start w:val="1"/>
      <w:numFmt w:val="lowerLetter"/>
      <w:lvlText w:val="%5."/>
      <w:lvlJc w:val="left"/>
      <w:pPr>
        <w:ind w:left="4440" w:hanging="360"/>
      </w:pPr>
    </w:lvl>
    <w:lvl w:ilvl="5" w:tplc="0426001B" w:tentative="1">
      <w:start w:val="1"/>
      <w:numFmt w:val="lowerRoman"/>
      <w:lvlText w:val="%6."/>
      <w:lvlJc w:val="right"/>
      <w:pPr>
        <w:ind w:left="5160" w:hanging="180"/>
      </w:pPr>
    </w:lvl>
    <w:lvl w:ilvl="6" w:tplc="0426000F" w:tentative="1">
      <w:start w:val="1"/>
      <w:numFmt w:val="decimal"/>
      <w:lvlText w:val="%7."/>
      <w:lvlJc w:val="left"/>
      <w:pPr>
        <w:ind w:left="5880" w:hanging="360"/>
      </w:pPr>
    </w:lvl>
    <w:lvl w:ilvl="7" w:tplc="04260019" w:tentative="1">
      <w:start w:val="1"/>
      <w:numFmt w:val="lowerLetter"/>
      <w:lvlText w:val="%8."/>
      <w:lvlJc w:val="left"/>
      <w:pPr>
        <w:ind w:left="6600" w:hanging="360"/>
      </w:pPr>
    </w:lvl>
    <w:lvl w:ilvl="8" w:tplc="0426001B" w:tentative="1">
      <w:start w:val="1"/>
      <w:numFmt w:val="lowerRoman"/>
      <w:lvlText w:val="%9."/>
      <w:lvlJc w:val="right"/>
      <w:pPr>
        <w:ind w:left="7320" w:hanging="180"/>
      </w:pPr>
    </w:lvl>
  </w:abstractNum>
  <w:abstractNum w:abstractNumId="67"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68" w15:restartNumberingAfterBreak="0">
    <w:nsid w:val="6F670371"/>
    <w:multiLevelType w:val="multilevel"/>
    <w:tmpl w:val="81227DB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9" w15:restartNumberingAfterBreak="0">
    <w:nsid w:val="71E41760"/>
    <w:multiLevelType w:val="multilevel"/>
    <w:tmpl w:val="D52A42D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749D7A9D"/>
    <w:multiLevelType w:val="hybridMultilevel"/>
    <w:tmpl w:val="D334F9F4"/>
    <w:lvl w:ilvl="0" w:tplc="0C9401AE">
      <w:start w:val="1"/>
      <w:numFmt w:val="decimal"/>
      <w:lvlText w:val="%1."/>
      <w:lvlJc w:val="left"/>
      <w:pPr>
        <w:ind w:left="541" w:hanging="360"/>
      </w:pPr>
      <w:rPr>
        <w:rFonts w:hint="default"/>
      </w:rPr>
    </w:lvl>
    <w:lvl w:ilvl="1" w:tplc="04260019" w:tentative="1">
      <w:start w:val="1"/>
      <w:numFmt w:val="lowerLetter"/>
      <w:lvlText w:val="%2."/>
      <w:lvlJc w:val="left"/>
      <w:pPr>
        <w:ind w:left="1261" w:hanging="360"/>
      </w:pPr>
    </w:lvl>
    <w:lvl w:ilvl="2" w:tplc="0426001B" w:tentative="1">
      <w:start w:val="1"/>
      <w:numFmt w:val="lowerRoman"/>
      <w:lvlText w:val="%3."/>
      <w:lvlJc w:val="right"/>
      <w:pPr>
        <w:ind w:left="1981" w:hanging="180"/>
      </w:pPr>
    </w:lvl>
    <w:lvl w:ilvl="3" w:tplc="0426000F" w:tentative="1">
      <w:start w:val="1"/>
      <w:numFmt w:val="decimal"/>
      <w:lvlText w:val="%4."/>
      <w:lvlJc w:val="left"/>
      <w:pPr>
        <w:ind w:left="2701" w:hanging="360"/>
      </w:pPr>
    </w:lvl>
    <w:lvl w:ilvl="4" w:tplc="04260019" w:tentative="1">
      <w:start w:val="1"/>
      <w:numFmt w:val="lowerLetter"/>
      <w:lvlText w:val="%5."/>
      <w:lvlJc w:val="left"/>
      <w:pPr>
        <w:ind w:left="3421" w:hanging="360"/>
      </w:pPr>
    </w:lvl>
    <w:lvl w:ilvl="5" w:tplc="0426001B" w:tentative="1">
      <w:start w:val="1"/>
      <w:numFmt w:val="lowerRoman"/>
      <w:lvlText w:val="%6."/>
      <w:lvlJc w:val="right"/>
      <w:pPr>
        <w:ind w:left="4141" w:hanging="180"/>
      </w:pPr>
    </w:lvl>
    <w:lvl w:ilvl="6" w:tplc="0426000F" w:tentative="1">
      <w:start w:val="1"/>
      <w:numFmt w:val="decimal"/>
      <w:lvlText w:val="%7."/>
      <w:lvlJc w:val="left"/>
      <w:pPr>
        <w:ind w:left="4861" w:hanging="360"/>
      </w:pPr>
    </w:lvl>
    <w:lvl w:ilvl="7" w:tplc="04260019" w:tentative="1">
      <w:start w:val="1"/>
      <w:numFmt w:val="lowerLetter"/>
      <w:lvlText w:val="%8."/>
      <w:lvlJc w:val="left"/>
      <w:pPr>
        <w:ind w:left="5581" w:hanging="360"/>
      </w:pPr>
    </w:lvl>
    <w:lvl w:ilvl="8" w:tplc="0426001B" w:tentative="1">
      <w:start w:val="1"/>
      <w:numFmt w:val="lowerRoman"/>
      <w:lvlText w:val="%9."/>
      <w:lvlJc w:val="right"/>
      <w:pPr>
        <w:ind w:left="6301" w:hanging="180"/>
      </w:pPr>
    </w:lvl>
  </w:abstractNum>
  <w:abstractNum w:abstractNumId="71" w15:restartNumberingAfterBreak="0">
    <w:nsid w:val="767F4AB5"/>
    <w:multiLevelType w:val="hybridMultilevel"/>
    <w:tmpl w:val="6CAEDC20"/>
    <w:lvl w:ilvl="0" w:tplc="7AAA46E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pStyle w:val="StyleHeading3BoldNotItalic"/>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7996D6C"/>
    <w:multiLevelType w:val="hybridMultilevel"/>
    <w:tmpl w:val="4F0A9FF8"/>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3" w15:restartNumberingAfterBreak="0">
    <w:nsid w:val="7B717228"/>
    <w:multiLevelType w:val="multilevel"/>
    <w:tmpl w:val="88581D72"/>
    <w:lvl w:ilvl="0">
      <w:start w:val="1"/>
      <w:numFmt w:val="decimal"/>
      <w:lvlText w:val="%1)"/>
      <w:lvlJc w:val="left"/>
      <w:pPr>
        <w:ind w:left="284" w:hanging="284"/>
      </w:pPr>
      <w:rPr>
        <w:rFonts w:ascii="Times New Roman" w:eastAsia="Times New Roman" w:hAnsi="Times New Roman" w:cs="Times New Roman"/>
        <w:caps w:val="0"/>
        <w:smallCaps w:val="0"/>
        <w:strike w:val="0"/>
        <w:dstrike w:val="0"/>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85" w:hanging="785"/>
      </w:pPr>
      <w:rPr>
        <w:rFonts w:hint="default"/>
        <w:caps w:val="0"/>
        <w:smallCaps w:val="0"/>
        <w:strike w:val="0"/>
        <w:dstrike w:val="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4"/>
        </w:tabs>
        <w:ind w:left="1499" w:hanging="711"/>
      </w:pPr>
      <w:rPr>
        <w:rFonts w:hint="default"/>
        <w:caps w:val="0"/>
        <w:smallCaps w:val="0"/>
        <w:strike w:val="0"/>
        <w:dstrike w:val="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4"/>
        </w:tabs>
        <w:ind w:left="2225" w:hanging="785"/>
      </w:pPr>
      <w:rPr>
        <w:rFonts w:hint="default"/>
        <w:caps w:val="0"/>
        <w:smallCaps w:val="0"/>
        <w:strike w:val="0"/>
        <w:dstrike w:val="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4"/>
        </w:tabs>
        <w:ind w:left="2945" w:hanging="785"/>
      </w:pPr>
      <w:rPr>
        <w:rFonts w:hint="default"/>
        <w:caps w:val="0"/>
        <w:smallCaps w:val="0"/>
        <w:strike w:val="0"/>
        <w:dstrike w:val="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84"/>
        </w:tabs>
        <w:ind w:left="3659" w:hanging="711"/>
      </w:pPr>
      <w:rPr>
        <w:rFonts w:hint="default"/>
        <w:caps w:val="0"/>
        <w:smallCaps w:val="0"/>
        <w:strike w:val="0"/>
        <w:dstrike w:val="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84"/>
        </w:tabs>
        <w:ind w:left="4385" w:hanging="785"/>
      </w:pPr>
      <w:rPr>
        <w:rFonts w:hint="default"/>
        <w:caps w:val="0"/>
        <w:smallCaps w:val="0"/>
        <w:strike w:val="0"/>
        <w:dstrike w:val="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4"/>
        </w:tabs>
        <w:ind w:left="5105" w:hanging="785"/>
      </w:pPr>
      <w:rPr>
        <w:rFonts w:hint="default"/>
        <w:caps w:val="0"/>
        <w:smallCaps w:val="0"/>
        <w:strike w:val="0"/>
        <w:dstrike w:val="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4"/>
        </w:tabs>
        <w:ind w:left="5819" w:hanging="711"/>
      </w:pPr>
      <w:rPr>
        <w:rFonts w:hint="default"/>
        <w:caps w:val="0"/>
        <w:smallCaps w:val="0"/>
        <w:strike w:val="0"/>
        <w:dstrike w:val="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75" w15:restartNumberingAfterBreak="0">
    <w:nsid w:val="7DC54A2E"/>
    <w:multiLevelType w:val="multilevel"/>
    <w:tmpl w:val="FA88F958"/>
    <w:lvl w:ilvl="0">
      <w:start w:val="1"/>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6" w15:restartNumberingAfterBreak="0">
    <w:nsid w:val="7DE16576"/>
    <w:multiLevelType w:val="hybridMultilevel"/>
    <w:tmpl w:val="E74832F2"/>
    <w:lvl w:ilvl="0" w:tplc="F312B420">
      <w:start w:val="1"/>
      <w:numFmt w:val="decimal"/>
      <w:lvlText w:val="%1)"/>
      <w:lvlJc w:val="left"/>
      <w:pPr>
        <w:ind w:left="720" w:hanging="360"/>
      </w:pPr>
      <w:rPr>
        <w:rFonts w:ascii="Times New Roman" w:eastAsia="Times New Roman" w:hAnsi="Times New Roman"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5"/>
  </w:num>
  <w:num w:numId="2">
    <w:abstractNumId w:val="71"/>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3"/>
  </w:num>
  <w:num w:numId="7">
    <w:abstractNumId w:val="2"/>
  </w:num>
  <w:num w:numId="8">
    <w:abstractNumId w:val="1"/>
  </w:num>
  <w:num w:numId="9">
    <w:abstractNumId w:val="0"/>
  </w:num>
  <w:num w:numId="10">
    <w:abstractNumId w:val="59"/>
  </w:num>
  <w:num w:numId="11">
    <w:abstractNumId w:val="62"/>
  </w:num>
  <w:num w:numId="12">
    <w:abstractNumId w:val="60"/>
  </w:num>
  <w:num w:numId="13">
    <w:abstractNumId w:val="67"/>
  </w:num>
  <w:num w:numId="14">
    <w:abstractNumId w:val="24"/>
  </w:num>
  <w:num w:numId="15">
    <w:abstractNumId w:val="35"/>
  </w:num>
  <w:num w:numId="16">
    <w:abstractNumId w:val="43"/>
  </w:num>
  <w:num w:numId="17">
    <w:abstractNumId w:val="40"/>
  </w:num>
  <w:num w:numId="18">
    <w:abstractNumId w:val="8"/>
  </w:num>
  <w:num w:numId="19">
    <w:abstractNumId w:val="44"/>
  </w:num>
  <w:num w:numId="20">
    <w:abstractNumId w:val="14"/>
  </w:num>
  <w:num w:numId="21">
    <w:abstractNumId w:val="41"/>
    <w:lvlOverride w:ilvl="0">
      <w:startOverride w:val="1"/>
    </w:lvlOverride>
  </w:num>
  <w:num w:numId="22">
    <w:abstractNumId w:val="55"/>
    <w:lvlOverride w:ilvl="0">
      <w:startOverride w:val="1"/>
    </w:lvlOverride>
  </w:num>
  <w:num w:numId="23">
    <w:abstractNumId w:val="34"/>
  </w:num>
  <w:num w:numId="24">
    <w:abstractNumId w:val="64"/>
  </w:num>
  <w:num w:numId="25">
    <w:abstractNumId w:val="29"/>
  </w:num>
  <w:num w:numId="26">
    <w:abstractNumId w:val="37"/>
  </w:num>
  <w:num w:numId="27">
    <w:abstractNumId w:val="52"/>
  </w:num>
  <w:num w:numId="28">
    <w:abstractNumId w:val="54"/>
  </w:num>
  <w:num w:numId="29">
    <w:abstractNumId w:val="28"/>
  </w:num>
  <w:num w:numId="30">
    <w:abstractNumId w:val="48"/>
  </w:num>
  <w:num w:numId="31">
    <w:abstractNumId w:val="74"/>
  </w:num>
  <w:num w:numId="32">
    <w:abstractNumId w:val="39"/>
  </w:num>
  <w:num w:numId="33">
    <w:abstractNumId w:val="19"/>
  </w:num>
  <w:num w:numId="34">
    <w:abstractNumId w:val="63"/>
  </w:num>
  <w:num w:numId="35">
    <w:abstractNumId w:val="61"/>
  </w:num>
  <w:num w:numId="36">
    <w:abstractNumId w:val="72"/>
  </w:num>
  <w:num w:numId="37">
    <w:abstractNumId w:val="11"/>
  </w:num>
  <w:num w:numId="38">
    <w:abstractNumId w:val="30"/>
  </w:num>
  <w:num w:numId="39">
    <w:abstractNumId w:val="13"/>
  </w:num>
  <w:num w:numId="40">
    <w:abstractNumId w:val="50"/>
  </w:num>
  <w:num w:numId="41">
    <w:abstractNumId w:val="68"/>
  </w:num>
  <w:num w:numId="42">
    <w:abstractNumId w:val="57"/>
  </w:num>
  <w:num w:numId="43">
    <w:abstractNumId w:val="31"/>
  </w:num>
  <w:num w:numId="44">
    <w:abstractNumId w:val="23"/>
  </w:num>
  <w:num w:numId="45">
    <w:abstractNumId w:val="46"/>
  </w:num>
  <w:num w:numId="46">
    <w:abstractNumId w:val="51"/>
  </w:num>
  <w:num w:numId="47">
    <w:abstractNumId w:val="69"/>
  </w:num>
  <w:num w:numId="48">
    <w:abstractNumId w:val="58"/>
  </w:num>
  <w:num w:numId="49">
    <w:abstractNumId w:val="26"/>
  </w:num>
  <w:num w:numId="50">
    <w:abstractNumId w:val="65"/>
  </w:num>
  <w:num w:numId="51">
    <w:abstractNumId w:val="6"/>
  </w:num>
  <w:num w:numId="52">
    <w:abstractNumId w:val="32"/>
  </w:num>
  <w:num w:numId="53">
    <w:abstractNumId w:val="49"/>
  </w:num>
  <w:num w:numId="54">
    <w:abstractNumId w:val="12"/>
  </w:num>
  <w:num w:numId="55">
    <w:abstractNumId w:val="27"/>
  </w:num>
  <w:num w:numId="56">
    <w:abstractNumId w:val="20"/>
  </w:num>
  <w:num w:numId="57">
    <w:abstractNumId w:val="21"/>
  </w:num>
  <w:num w:numId="58">
    <w:abstractNumId w:val="33"/>
  </w:num>
  <w:num w:numId="59">
    <w:abstractNumId w:val="75"/>
  </w:num>
  <w:num w:numId="60">
    <w:abstractNumId w:val="10"/>
  </w:num>
  <w:num w:numId="61">
    <w:abstractNumId w:val="66"/>
  </w:num>
  <w:num w:numId="62">
    <w:abstractNumId w:val="56"/>
  </w:num>
  <w:num w:numId="63">
    <w:abstractNumId w:val="9"/>
  </w:num>
  <w:num w:numId="64">
    <w:abstractNumId w:val="38"/>
  </w:num>
  <w:num w:numId="65">
    <w:abstractNumId w:val="22"/>
  </w:num>
  <w:num w:numId="66">
    <w:abstractNumId w:val="15"/>
  </w:num>
  <w:num w:numId="67">
    <w:abstractNumId w:val="53"/>
  </w:num>
  <w:num w:numId="68">
    <w:abstractNumId w:val="16"/>
  </w:num>
  <w:num w:numId="69">
    <w:abstractNumId w:val="25"/>
  </w:num>
  <w:num w:numId="70">
    <w:abstractNumId w:val="47"/>
  </w:num>
  <w:num w:numId="71">
    <w:abstractNumId w:val="76"/>
  </w:num>
  <w:num w:numId="72">
    <w:abstractNumId w:val="73"/>
  </w:num>
  <w:num w:numId="73">
    <w:abstractNumId w:val="7"/>
  </w:num>
  <w:num w:numId="74">
    <w:abstractNumId w:val="18"/>
  </w:num>
  <w:num w:numId="75">
    <w:abstractNumId w:val="70"/>
  </w:num>
  <w:num w:numId="76">
    <w:abstractNumId w:val="36"/>
  </w:num>
  <w:num w:numId="77">
    <w:abstractNumId w:val="4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hideGrammaticalErrors/>
  <w:activeWritingStyle w:appName="MSWord" w:lang="fr-BE" w:vendorID="64" w:dllVersion="6" w:nlCheck="1" w:checkStyle="0"/>
  <w:activeWritingStyle w:appName="MSWord" w:lang="en-GB" w:vendorID="64" w:dllVersion="6" w:nlCheck="1" w:checkStyle="1"/>
  <w:activeWritingStyle w:appName="MSWord" w:lang="en-GB" w:vendorID="64" w:dllVersion="0" w:nlCheck="1" w:checkStyle="0"/>
  <w:activeWritingStyle w:appName="MSWord" w:lang="fr-BE" w:vendorID="64" w:dllVersion="0" w:nlCheck="1" w:checkStyle="0"/>
  <w:defaultTabStop w:val="720"/>
  <w:characterSpacingControl w:val="doNotCompress"/>
  <w:hdrShapeDefaults>
    <o:shapedefaults v:ext="edit" spidmax="53452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781"/>
    <w:rsid w:val="00000E21"/>
    <w:rsid w:val="00001E75"/>
    <w:rsid w:val="00001FE6"/>
    <w:rsid w:val="00002222"/>
    <w:rsid w:val="00003AA5"/>
    <w:rsid w:val="00010D6A"/>
    <w:rsid w:val="0001212C"/>
    <w:rsid w:val="0001299A"/>
    <w:rsid w:val="00013286"/>
    <w:rsid w:val="00016316"/>
    <w:rsid w:val="00020B80"/>
    <w:rsid w:val="00021056"/>
    <w:rsid w:val="00022C1E"/>
    <w:rsid w:val="00022CE9"/>
    <w:rsid w:val="00022D5E"/>
    <w:rsid w:val="0002461B"/>
    <w:rsid w:val="000266D9"/>
    <w:rsid w:val="00027FEF"/>
    <w:rsid w:val="000307DB"/>
    <w:rsid w:val="00031126"/>
    <w:rsid w:val="000343B5"/>
    <w:rsid w:val="00034A8E"/>
    <w:rsid w:val="00035913"/>
    <w:rsid w:val="00035BFB"/>
    <w:rsid w:val="0003796D"/>
    <w:rsid w:val="00040C82"/>
    <w:rsid w:val="000429A0"/>
    <w:rsid w:val="000445A0"/>
    <w:rsid w:val="000450C4"/>
    <w:rsid w:val="00046E7E"/>
    <w:rsid w:val="00050374"/>
    <w:rsid w:val="00052395"/>
    <w:rsid w:val="0005288B"/>
    <w:rsid w:val="00052D46"/>
    <w:rsid w:val="00055C93"/>
    <w:rsid w:val="00056643"/>
    <w:rsid w:val="000601ED"/>
    <w:rsid w:val="00061227"/>
    <w:rsid w:val="00062F56"/>
    <w:rsid w:val="00066793"/>
    <w:rsid w:val="00066A85"/>
    <w:rsid w:val="000730F2"/>
    <w:rsid w:val="0007694E"/>
    <w:rsid w:val="000771A2"/>
    <w:rsid w:val="00077F97"/>
    <w:rsid w:val="00081FE4"/>
    <w:rsid w:val="00085468"/>
    <w:rsid w:val="00085BCD"/>
    <w:rsid w:val="000913AA"/>
    <w:rsid w:val="000926AD"/>
    <w:rsid w:val="00096D7B"/>
    <w:rsid w:val="00096FDD"/>
    <w:rsid w:val="000975C8"/>
    <w:rsid w:val="000A0EF2"/>
    <w:rsid w:val="000A122D"/>
    <w:rsid w:val="000A182C"/>
    <w:rsid w:val="000A2D5F"/>
    <w:rsid w:val="000A58C3"/>
    <w:rsid w:val="000A675A"/>
    <w:rsid w:val="000A6D81"/>
    <w:rsid w:val="000A6DE2"/>
    <w:rsid w:val="000A7CCA"/>
    <w:rsid w:val="000B03CC"/>
    <w:rsid w:val="000B2256"/>
    <w:rsid w:val="000B23D0"/>
    <w:rsid w:val="000B2CBB"/>
    <w:rsid w:val="000B3D7B"/>
    <w:rsid w:val="000B4BDD"/>
    <w:rsid w:val="000C7E70"/>
    <w:rsid w:val="000D0752"/>
    <w:rsid w:val="000D1064"/>
    <w:rsid w:val="000D15A7"/>
    <w:rsid w:val="000D195E"/>
    <w:rsid w:val="000D1D33"/>
    <w:rsid w:val="000D62FE"/>
    <w:rsid w:val="000D7E4C"/>
    <w:rsid w:val="000E1899"/>
    <w:rsid w:val="000E19E0"/>
    <w:rsid w:val="000E1A01"/>
    <w:rsid w:val="000E29F4"/>
    <w:rsid w:val="000E38EA"/>
    <w:rsid w:val="000E3D56"/>
    <w:rsid w:val="000E5285"/>
    <w:rsid w:val="000E58E3"/>
    <w:rsid w:val="000E7372"/>
    <w:rsid w:val="000F21F0"/>
    <w:rsid w:val="000F21FB"/>
    <w:rsid w:val="000F3EC2"/>
    <w:rsid w:val="000F6547"/>
    <w:rsid w:val="000F7CD3"/>
    <w:rsid w:val="00101434"/>
    <w:rsid w:val="00102172"/>
    <w:rsid w:val="00105543"/>
    <w:rsid w:val="00107981"/>
    <w:rsid w:val="001122BA"/>
    <w:rsid w:val="001141D1"/>
    <w:rsid w:val="00114CE6"/>
    <w:rsid w:val="00115C7A"/>
    <w:rsid w:val="00115D3F"/>
    <w:rsid w:val="00116EB7"/>
    <w:rsid w:val="00121D2A"/>
    <w:rsid w:val="00123C93"/>
    <w:rsid w:val="00124C3D"/>
    <w:rsid w:val="001262AB"/>
    <w:rsid w:val="00127C03"/>
    <w:rsid w:val="00127F96"/>
    <w:rsid w:val="001324F8"/>
    <w:rsid w:val="001354AB"/>
    <w:rsid w:val="0013731E"/>
    <w:rsid w:val="001416F1"/>
    <w:rsid w:val="00145B32"/>
    <w:rsid w:val="00146A12"/>
    <w:rsid w:val="00146DF3"/>
    <w:rsid w:val="00151C0A"/>
    <w:rsid w:val="0016145F"/>
    <w:rsid w:val="00165C5D"/>
    <w:rsid w:val="001677C6"/>
    <w:rsid w:val="00172700"/>
    <w:rsid w:val="0017303D"/>
    <w:rsid w:val="00173113"/>
    <w:rsid w:val="00173E87"/>
    <w:rsid w:val="00175F06"/>
    <w:rsid w:val="00180163"/>
    <w:rsid w:val="00180AD2"/>
    <w:rsid w:val="00180D48"/>
    <w:rsid w:val="00181204"/>
    <w:rsid w:val="00181B3A"/>
    <w:rsid w:val="00185FBB"/>
    <w:rsid w:val="00187D78"/>
    <w:rsid w:val="00190D1C"/>
    <w:rsid w:val="00191E89"/>
    <w:rsid w:val="00194FD8"/>
    <w:rsid w:val="00197045"/>
    <w:rsid w:val="001A048D"/>
    <w:rsid w:val="001A08A5"/>
    <w:rsid w:val="001A0B4E"/>
    <w:rsid w:val="001A1823"/>
    <w:rsid w:val="001A3745"/>
    <w:rsid w:val="001A3B30"/>
    <w:rsid w:val="001A596F"/>
    <w:rsid w:val="001A6E01"/>
    <w:rsid w:val="001A72F0"/>
    <w:rsid w:val="001A7DB0"/>
    <w:rsid w:val="001B067E"/>
    <w:rsid w:val="001B08D5"/>
    <w:rsid w:val="001B0AF8"/>
    <w:rsid w:val="001B1058"/>
    <w:rsid w:val="001B1154"/>
    <w:rsid w:val="001B3932"/>
    <w:rsid w:val="001B47E8"/>
    <w:rsid w:val="001B4D2A"/>
    <w:rsid w:val="001B5A48"/>
    <w:rsid w:val="001B7FC7"/>
    <w:rsid w:val="001C1864"/>
    <w:rsid w:val="001C6461"/>
    <w:rsid w:val="001D2141"/>
    <w:rsid w:val="001D3B65"/>
    <w:rsid w:val="001D4292"/>
    <w:rsid w:val="001D49E3"/>
    <w:rsid w:val="001D668C"/>
    <w:rsid w:val="001E0378"/>
    <w:rsid w:val="001E14D2"/>
    <w:rsid w:val="001E15BB"/>
    <w:rsid w:val="001E21D3"/>
    <w:rsid w:val="001E2543"/>
    <w:rsid w:val="001E3C99"/>
    <w:rsid w:val="001E48C6"/>
    <w:rsid w:val="001E62F2"/>
    <w:rsid w:val="001F3611"/>
    <w:rsid w:val="001F4489"/>
    <w:rsid w:val="001F5A29"/>
    <w:rsid w:val="001F5E35"/>
    <w:rsid w:val="00200DD7"/>
    <w:rsid w:val="002024A2"/>
    <w:rsid w:val="00202E18"/>
    <w:rsid w:val="00203057"/>
    <w:rsid w:val="00203883"/>
    <w:rsid w:val="00203890"/>
    <w:rsid w:val="00204ADE"/>
    <w:rsid w:val="00205E1E"/>
    <w:rsid w:val="00206310"/>
    <w:rsid w:val="00210D0E"/>
    <w:rsid w:val="00212054"/>
    <w:rsid w:val="00212601"/>
    <w:rsid w:val="00212D44"/>
    <w:rsid w:val="00213B60"/>
    <w:rsid w:val="00216229"/>
    <w:rsid w:val="0021761D"/>
    <w:rsid w:val="00221711"/>
    <w:rsid w:val="0022198C"/>
    <w:rsid w:val="00221C6D"/>
    <w:rsid w:val="00221EA6"/>
    <w:rsid w:val="002239F2"/>
    <w:rsid w:val="0022770E"/>
    <w:rsid w:val="00231E56"/>
    <w:rsid w:val="002352F6"/>
    <w:rsid w:val="0023722C"/>
    <w:rsid w:val="00237BDA"/>
    <w:rsid w:val="00237DBA"/>
    <w:rsid w:val="00240F55"/>
    <w:rsid w:val="00242458"/>
    <w:rsid w:val="00242AC2"/>
    <w:rsid w:val="00242D6D"/>
    <w:rsid w:val="00251FE2"/>
    <w:rsid w:val="00253E5A"/>
    <w:rsid w:val="00255B1F"/>
    <w:rsid w:val="00256266"/>
    <w:rsid w:val="00260507"/>
    <w:rsid w:val="002608F2"/>
    <w:rsid w:val="00260A66"/>
    <w:rsid w:val="00263E11"/>
    <w:rsid w:val="0026773B"/>
    <w:rsid w:val="00270CC2"/>
    <w:rsid w:val="00270F81"/>
    <w:rsid w:val="0028043F"/>
    <w:rsid w:val="0028083D"/>
    <w:rsid w:val="00280D88"/>
    <w:rsid w:val="00282145"/>
    <w:rsid w:val="002831CB"/>
    <w:rsid w:val="002834E0"/>
    <w:rsid w:val="00284F57"/>
    <w:rsid w:val="002878D9"/>
    <w:rsid w:val="00291BA4"/>
    <w:rsid w:val="00293CF3"/>
    <w:rsid w:val="0029505F"/>
    <w:rsid w:val="00297934"/>
    <w:rsid w:val="002A2E55"/>
    <w:rsid w:val="002A5B87"/>
    <w:rsid w:val="002A601A"/>
    <w:rsid w:val="002A6112"/>
    <w:rsid w:val="002B14E5"/>
    <w:rsid w:val="002B2D18"/>
    <w:rsid w:val="002B39BE"/>
    <w:rsid w:val="002B40D3"/>
    <w:rsid w:val="002B6651"/>
    <w:rsid w:val="002B6BA4"/>
    <w:rsid w:val="002B6EA1"/>
    <w:rsid w:val="002C1A80"/>
    <w:rsid w:val="002C2D9B"/>
    <w:rsid w:val="002C5A72"/>
    <w:rsid w:val="002D0FD5"/>
    <w:rsid w:val="002D2FC6"/>
    <w:rsid w:val="002D46EF"/>
    <w:rsid w:val="002D5FE2"/>
    <w:rsid w:val="002D68D1"/>
    <w:rsid w:val="002E0FF5"/>
    <w:rsid w:val="002E1A16"/>
    <w:rsid w:val="002E6131"/>
    <w:rsid w:val="002F45A1"/>
    <w:rsid w:val="002F6FBF"/>
    <w:rsid w:val="002F708F"/>
    <w:rsid w:val="003006F8"/>
    <w:rsid w:val="00300BE8"/>
    <w:rsid w:val="00301B0F"/>
    <w:rsid w:val="00301CB3"/>
    <w:rsid w:val="00303BA8"/>
    <w:rsid w:val="00305D40"/>
    <w:rsid w:val="00311C51"/>
    <w:rsid w:val="003129FE"/>
    <w:rsid w:val="003155B0"/>
    <w:rsid w:val="0031629A"/>
    <w:rsid w:val="00317106"/>
    <w:rsid w:val="003175FD"/>
    <w:rsid w:val="00320719"/>
    <w:rsid w:val="003208C5"/>
    <w:rsid w:val="00320A32"/>
    <w:rsid w:val="003219F0"/>
    <w:rsid w:val="0032227E"/>
    <w:rsid w:val="00323A8A"/>
    <w:rsid w:val="00326250"/>
    <w:rsid w:val="00326330"/>
    <w:rsid w:val="00327319"/>
    <w:rsid w:val="00330E8D"/>
    <w:rsid w:val="003313E3"/>
    <w:rsid w:val="00331865"/>
    <w:rsid w:val="00332FE9"/>
    <w:rsid w:val="00335682"/>
    <w:rsid w:val="00335BA9"/>
    <w:rsid w:val="0034046F"/>
    <w:rsid w:val="00340867"/>
    <w:rsid w:val="00340D04"/>
    <w:rsid w:val="00340D0B"/>
    <w:rsid w:val="00341AFB"/>
    <w:rsid w:val="00341DAE"/>
    <w:rsid w:val="00342E79"/>
    <w:rsid w:val="003447D4"/>
    <w:rsid w:val="00346E3D"/>
    <w:rsid w:val="003517A2"/>
    <w:rsid w:val="00352CDA"/>
    <w:rsid w:val="00353A43"/>
    <w:rsid w:val="00356CFE"/>
    <w:rsid w:val="0036205C"/>
    <w:rsid w:val="00364645"/>
    <w:rsid w:val="00365090"/>
    <w:rsid w:val="003651D6"/>
    <w:rsid w:val="00365D6B"/>
    <w:rsid w:val="00366032"/>
    <w:rsid w:val="003666A8"/>
    <w:rsid w:val="00366ACE"/>
    <w:rsid w:val="00370BDD"/>
    <w:rsid w:val="00371399"/>
    <w:rsid w:val="00371AAE"/>
    <w:rsid w:val="00373DF8"/>
    <w:rsid w:val="00376E3F"/>
    <w:rsid w:val="00377C08"/>
    <w:rsid w:val="00381A5B"/>
    <w:rsid w:val="00381F21"/>
    <w:rsid w:val="00382AE9"/>
    <w:rsid w:val="00386567"/>
    <w:rsid w:val="003903C6"/>
    <w:rsid w:val="00390963"/>
    <w:rsid w:val="00390ED3"/>
    <w:rsid w:val="00392FA6"/>
    <w:rsid w:val="0039492E"/>
    <w:rsid w:val="00394EBB"/>
    <w:rsid w:val="00396D48"/>
    <w:rsid w:val="003A207C"/>
    <w:rsid w:val="003A5A5B"/>
    <w:rsid w:val="003A61EF"/>
    <w:rsid w:val="003A68DC"/>
    <w:rsid w:val="003A68DD"/>
    <w:rsid w:val="003B1A9F"/>
    <w:rsid w:val="003B48FA"/>
    <w:rsid w:val="003B5BF7"/>
    <w:rsid w:val="003C3010"/>
    <w:rsid w:val="003C3297"/>
    <w:rsid w:val="003C330D"/>
    <w:rsid w:val="003C5730"/>
    <w:rsid w:val="003D326A"/>
    <w:rsid w:val="003D4493"/>
    <w:rsid w:val="003E2147"/>
    <w:rsid w:val="003E27C5"/>
    <w:rsid w:val="003E381F"/>
    <w:rsid w:val="003F0FFA"/>
    <w:rsid w:val="003F1411"/>
    <w:rsid w:val="003F62AE"/>
    <w:rsid w:val="00400B15"/>
    <w:rsid w:val="00403C40"/>
    <w:rsid w:val="00405DF0"/>
    <w:rsid w:val="00410119"/>
    <w:rsid w:val="004129AB"/>
    <w:rsid w:val="00412D25"/>
    <w:rsid w:val="004159C8"/>
    <w:rsid w:val="004214BC"/>
    <w:rsid w:val="0042259F"/>
    <w:rsid w:val="0042387C"/>
    <w:rsid w:val="00423D0A"/>
    <w:rsid w:val="00423E1D"/>
    <w:rsid w:val="00430DB2"/>
    <w:rsid w:val="0043333B"/>
    <w:rsid w:val="00434AD4"/>
    <w:rsid w:val="00440D77"/>
    <w:rsid w:val="00443BC3"/>
    <w:rsid w:val="00444666"/>
    <w:rsid w:val="00444B24"/>
    <w:rsid w:val="00444FF7"/>
    <w:rsid w:val="0044551A"/>
    <w:rsid w:val="00445E5D"/>
    <w:rsid w:val="0045047E"/>
    <w:rsid w:val="00451C7E"/>
    <w:rsid w:val="00451E78"/>
    <w:rsid w:val="004530B9"/>
    <w:rsid w:val="004552FE"/>
    <w:rsid w:val="00455B2F"/>
    <w:rsid w:val="0045666A"/>
    <w:rsid w:val="00457F99"/>
    <w:rsid w:val="00460B7D"/>
    <w:rsid w:val="00461E83"/>
    <w:rsid w:val="00463C1F"/>
    <w:rsid w:val="00464C07"/>
    <w:rsid w:val="004652BF"/>
    <w:rsid w:val="004661FA"/>
    <w:rsid w:val="00467BEB"/>
    <w:rsid w:val="0047291B"/>
    <w:rsid w:val="00473176"/>
    <w:rsid w:val="0047464F"/>
    <w:rsid w:val="00475255"/>
    <w:rsid w:val="00477194"/>
    <w:rsid w:val="00477342"/>
    <w:rsid w:val="0048314B"/>
    <w:rsid w:val="0048680B"/>
    <w:rsid w:val="00487038"/>
    <w:rsid w:val="004909C3"/>
    <w:rsid w:val="00491601"/>
    <w:rsid w:val="0049219C"/>
    <w:rsid w:val="00492521"/>
    <w:rsid w:val="0049286D"/>
    <w:rsid w:val="00492F19"/>
    <w:rsid w:val="004937F8"/>
    <w:rsid w:val="00495190"/>
    <w:rsid w:val="00496468"/>
    <w:rsid w:val="004A0107"/>
    <w:rsid w:val="004A145B"/>
    <w:rsid w:val="004A2693"/>
    <w:rsid w:val="004A3BF5"/>
    <w:rsid w:val="004A3C11"/>
    <w:rsid w:val="004A58D0"/>
    <w:rsid w:val="004A75D5"/>
    <w:rsid w:val="004B2B2D"/>
    <w:rsid w:val="004B43E0"/>
    <w:rsid w:val="004B4C2E"/>
    <w:rsid w:val="004B602E"/>
    <w:rsid w:val="004B6C65"/>
    <w:rsid w:val="004C18FE"/>
    <w:rsid w:val="004C3841"/>
    <w:rsid w:val="004C471B"/>
    <w:rsid w:val="004C5667"/>
    <w:rsid w:val="004C5B4A"/>
    <w:rsid w:val="004C6ED5"/>
    <w:rsid w:val="004C7119"/>
    <w:rsid w:val="004D1119"/>
    <w:rsid w:val="004D18EA"/>
    <w:rsid w:val="004D31A3"/>
    <w:rsid w:val="004D38E7"/>
    <w:rsid w:val="004D4FC9"/>
    <w:rsid w:val="004D7E9B"/>
    <w:rsid w:val="004E0A6B"/>
    <w:rsid w:val="004E0BF1"/>
    <w:rsid w:val="004E12E8"/>
    <w:rsid w:val="004E153F"/>
    <w:rsid w:val="004E5E79"/>
    <w:rsid w:val="004E6451"/>
    <w:rsid w:val="004E7884"/>
    <w:rsid w:val="004F13E0"/>
    <w:rsid w:val="004F24EE"/>
    <w:rsid w:val="004F5E0F"/>
    <w:rsid w:val="004F6BE8"/>
    <w:rsid w:val="00500BBD"/>
    <w:rsid w:val="00503783"/>
    <w:rsid w:val="005047FB"/>
    <w:rsid w:val="0051114D"/>
    <w:rsid w:val="00513211"/>
    <w:rsid w:val="005156FC"/>
    <w:rsid w:val="00516E25"/>
    <w:rsid w:val="00525A32"/>
    <w:rsid w:val="00531BFF"/>
    <w:rsid w:val="005337F4"/>
    <w:rsid w:val="0053553F"/>
    <w:rsid w:val="00536C4A"/>
    <w:rsid w:val="00536D6B"/>
    <w:rsid w:val="00537D1C"/>
    <w:rsid w:val="00543B58"/>
    <w:rsid w:val="00543DE2"/>
    <w:rsid w:val="00544F5B"/>
    <w:rsid w:val="00553632"/>
    <w:rsid w:val="00554612"/>
    <w:rsid w:val="00557524"/>
    <w:rsid w:val="00557CDC"/>
    <w:rsid w:val="00560DD2"/>
    <w:rsid w:val="005670B4"/>
    <w:rsid w:val="005705EA"/>
    <w:rsid w:val="005714B4"/>
    <w:rsid w:val="00572062"/>
    <w:rsid w:val="00574106"/>
    <w:rsid w:val="00575F51"/>
    <w:rsid w:val="00577449"/>
    <w:rsid w:val="00580C9B"/>
    <w:rsid w:val="00581F62"/>
    <w:rsid w:val="00582658"/>
    <w:rsid w:val="005836EB"/>
    <w:rsid w:val="00586173"/>
    <w:rsid w:val="00587674"/>
    <w:rsid w:val="00594154"/>
    <w:rsid w:val="00596873"/>
    <w:rsid w:val="0059718F"/>
    <w:rsid w:val="0059770F"/>
    <w:rsid w:val="005A1EAB"/>
    <w:rsid w:val="005A6AAE"/>
    <w:rsid w:val="005A6AC9"/>
    <w:rsid w:val="005B437E"/>
    <w:rsid w:val="005B52DD"/>
    <w:rsid w:val="005B7162"/>
    <w:rsid w:val="005B7CC6"/>
    <w:rsid w:val="005B7EA0"/>
    <w:rsid w:val="005C0BB9"/>
    <w:rsid w:val="005C195A"/>
    <w:rsid w:val="005C1E83"/>
    <w:rsid w:val="005C2D25"/>
    <w:rsid w:val="005D1743"/>
    <w:rsid w:val="005D193C"/>
    <w:rsid w:val="005D301F"/>
    <w:rsid w:val="005D56F4"/>
    <w:rsid w:val="005D68B0"/>
    <w:rsid w:val="005D6EFA"/>
    <w:rsid w:val="005E1D45"/>
    <w:rsid w:val="005E3AE2"/>
    <w:rsid w:val="005E521E"/>
    <w:rsid w:val="005F14FF"/>
    <w:rsid w:val="005F1C90"/>
    <w:rsid w:val="005F32E9"/>
    <w:rsid w:val="005F3BAD"/>
    <w:rsid w:val="005F58DE"/>
    <w:rsid w:val="005F6135"/>
    <w:rsid w:val="00601AA2"/>
    <w:rsid w:val="00603D02"/>
    <w:rsid w:val="00605296"/>
    <w:rsid w:val="00610239"/>
    <w:rsid w:val="0061079C"/>
    <w:rsid w:val="006109C6"/>
    <w:rsid w:val="006127E5"/>
    <w:rsid w:val="00613390"/>
    <w:rsid w:val="006137F3"/>
    <w:rsid w:val="00615F57"/>
    <w:rsid w:val="00616887"/>
    <w:rsid w:val="00620AE5"/>
    <w:rsid w:val="006228F6"/>
    <w:rsid w:val="006235AC"/>
    <w:rsid w:val="00625DCD"/>
    <w:rsid w:val="006260C9"/>
    <w:rsid w:val="00626FF8"/>
    <w:rsid w:val="00630781"/>
    <w:rsid w:val="00630BEC"/>
    <w:rsid w:val="00631E5A"/>
    <w:rsid w:val="00632D84"/>
    <w:rsid w:val="00632D9F"/>
    <w:rsid w:val="00633368"/>
    <w:rsid w:val="00634D26"/>
    <w:rsid w:val="0063615B"/>
    <w:rsid w:val="00636FF1"/>
    <w:rsid w:val="006412D2"/>
    <w:rsid w:val="00642CEE"/>
    <w:rsid w:val="006434E0"/>
    <w:rsid w:val="00643656"/>
    <w:rsid w:val="0064504E"/>
    <w:rsid w:val="00647D9B"/>
    <w:rsid w:val="0065103A"/>
    <w:rsid w:val="006522CC"/>
    <w:rsid w:val="006524BA"/>
    <w:rsid w:val="00652935"/>
    <w:rsid w:val="00653805"/>
    <w:rsid w:val="00653ACF"/>
    <w:rsid w:val="00654051"/>
    <w:rsid w:val="006560CB"/>
    <w:rsid w:val="0065627E"/>
    <w:rsid w:val="00657F74"/>
    <w:rsid w:val="0066105C"/>
    <w:rsid w:val="006618FE"/>
    <w:rsid w:val="006624B3"/>
    <w:rsid w:val="006653D2"/>
    <w:rsid w:val="00666072"/>
    <w:rsid w:val="00672EED"/>
    <w:rsid w:val="006730E9"/>
    <w:rsid w:val="006750B5"/>
    <w:rsid w:val="00675DED"/>
    <w:rsid w:val="0067778C"/>
    <w:rsid w:val="00677D05"/>
    <w:rsid w:val="00680ABD"/>
    <w:rsid w:val="0068185D"/>
    <w:rsid w:val="006834EC"/>
    <w:rsid w:val="00685E3B"/>
    <w:rsid w:val="006867E1"/>
    <w:rsid w:val="00686E79"/>
    <w:rsid w:val="00687873"/>
    <w:rsid w:val="00690252"/>
    <w:rsid w:val="006909F1"/>
    <w:rsid w:val="0069140A"/>
    <w:rsid w:val="006921A5"/>
    <w:rsid w:val="00695696"/>
    <w:rsid w:val="00697DC6"/>
    <w:rsid w:val="006A01A4"/>
    <w:rsid w:val="006A110C"/>
    <w:rsid w:val="006A3487"/>
    <w:rsid w:val="006A3607"/>
    <w:rsid w:val="006A390D"/>
    <w:rsid w:val="006A3E1E"/>
    <w:rsid w:val="006A4536"/>
    <w:rsid w:val="006A4A8E"/>
    <w:rsid w:val="006B022C"/>
    <w:rsid w:val="006B1BB8"/>
    <w:rsid w:val="006B588A"/>
    <w:rsid w:val="006B5D1C"/>
    <w:rsid w:val="006B614B"/>
    <w:rsid w:val="006B6684"/>
    <w:rsid w:val="006B724C"/>
    <w:rsid w:val="006C0291"/>
    <w:rsid w:val="006C07D3"/>
    <w:rsid w:val="006C2345"/>
    <w:rsid w:val="006C508A"/>
    <w:rsid w:val="006C6950"/>
    <w:rsid w:val="006C7350"/>
    <w:rsid w:val="006C7F63"/>
    <w:rsid w:val="006D29B6"/>
    <w:rsid w:val="006D3CC3"/>
    <w:rsid w:val="006D4489"/>
    <w:rsid w:val="006D4555"/>
    <w:rsid w:val="006D468D"/>
    <w:rsid w:val="006D4744"/>
    <w:rsid w:val="006D5ED6"/>
    <w:rsid w:val="006E2C95"/>
    <w:rsid w:val="006E2F44"/>
    <w:rsid w:val="006E3AD2"/>
    <w:rsid w:val="006E4885"/>
    <w:rsid w:val="006E7B55"/>
    <w:rsid w:val="006F0A8B"/>
    <w:rsid w:val="006F1775"/>
    <w:rsid w:val="006F2073"/>
    <w:rsid w:val="006F42D6"/>
    <w:rsid w:val="006F4329"/>
    <w:rsid w:val="006F7CB7"/>
    <w:rsid w:val="006F7D98"/>
    <w:rsid w:val="0070483C"/>
    <w:rsid w:val="00704BDF"/>
    <w:rsid w:val="00710DDA"/>
    <w:rsid w:val="007114B7"/>
    <w:rsid w:val="00714FEB"/>
    <w:rsid w:val="0072140E"/>
    <w:rsid w:val="007225CD"/>
    <w:rsid w:val="00730316"/>
    <w:rsid w:val="007304BA"/>
    <w:rsid w:val="00732367"/>
    <w:rsid w:val="007323C7"/>
    <w:rsid w:val="007348E1"/>
    <w:rsid w:val="0073599C"/>
    <w:rsid w:val="00736BAE"/>
    <w:rsid w:val="007371F8"/>
    <w:rsid w:val="00741D4B"/>
    <w:rsid w:val="007421A7"/>
    <w:rsid w:val="00742F01"/>
    <w:rsid w:val="00743E16"/>
    <w:rsid w:val="0074479C"/>
    <w:rsid w:val="00744C76"/>
    <w:rsid w:val="00747B19"/>
    <w:rsid w:val="007500FA"/>
    <w:rsid w:val="0075172A"/>
    <w:rsid w:val="00752911"/>
    <w:rsid w:val="00752DDD"/>
    <w:rsid w:val="00754461"/>
    <w:rsid w:val="007545BD"/>
    <w:rsid w:val="0075735F"/>
    <w:rsid w:val="00757B4E"/>
    <w:rsid w:val="00757E18"/>
    <w:rsid w:val="00766316"/>
    <w:rsid w:val="00767CF2"/>
    <w:rsid w:val="00770095"/>
    <w:rsid w:val="00770F01"/>
    <w:rsid w:val="00771047"/>
    <w:rsid w:val="0077184C"/>
    <w:rsid w:val="00771E32"/>
    <w:rsid w:val="00772578"/>
    <w:rsid w:val="00776E59"/>
    <w:rsid w:val="0078158C"/>
    <w:rsid w:val="00783108"/>
    <w:rsid w:val="00784AE8"/>
    <w:rsid w:val="00784EF4"/>
    <w:rsid w:val="007903C4"/>
    <w:rsid w:val="00790FCF"/>
    <w:rsid w:val="007933E6"/>
    <w:rsid w:val="00794A02"/>
    <w:rsid w:val="007964C1"/>
    <w:rsid w:val="007973B6"/>
    <w:rsid w:val="007A0354"/>
    <w:rsid w:val="007A4BC9"/>
    <w:rsid w:val="007A52FD"/>
    <w:rsid w:val="007A6C46"/>
    <w:rsid w:val="007A7964"/>
    <w:rsid w:val="007B16E4"/>
    <w:rsid w:val="007B183E"/>
    <w:rsid w:val="007B2429"/>
    <w:rsid w:val="007B26A3"/>
    <w:rsid w:val="007B4481"/>
    <w:rsid w:val="007B4D85"/>
    <w:rsid w:val="007B5048"/>
    <w:rsid w:val="007B57D2"/>
    <w:rsid w:val="007B7915"/>
    <w:rsid w:val="007C1084"/>
    <w:rsid w:val="007C1808"/>
    <w:rsid w:val="007C1B57"/>
    <w:rsid w:val="007C1FBC"/>
    <w:rsid w:val="007C63B9"/>
    <w:rsid w:val="007D0DEC"/>
    <w:rsid w:val="007D2CBD"/>
    <w:rsid w:val="007D2CD0"/>
    <w:rsid w:val="007D4CD4"/>
    <w:rsid w:val="007D5A42"/>
    <w:rsid w:val="007D5E07"/>
    <w:rsid w:val="007E0C03"/>
    <w:rsid w:val="007E2C73"/>
    <w:rsid w:val="007E4BCD"/>
    <w:rsid w:val="007E6375"/>
    <w:rsid w:val="007E7680"/>
    <w:rsid w:val="007F5D39"/>
    <w:rsid w:val="007F671C"/>
    <w:rsid w:val="008013A4"/>
    <w:rsid w:val="00801446"/>
    <w:rsid w:val="0080163C"/>
    <w:rsid w:val="00803CA7"/>
    <w:rsid w:val="00805CF3"/>
    <w:rsid w:val="008061DE"/>
    <w:rsid w:val="00806B87"/>
    <w:rsid w:val="00807E21"/>
    <w:rsid w:val="0081082F"/>
    <w:rsid w:val="008118C3"/>
    <w:rsid w:val="008217AE"/>
    <w:rsid w:val="0082342E"/>
    <w:rsid w:val="00824785"/>
    <w:rsid w:val="008260FF"/>
    <w:rsid w:val="00826771"/>
    <w:rsid w:val="008276EB"/>
    <w:rsid w:val="008304A9"/>
    <w:rsid w:val="00831218"/>
    <w:rsid w:val="008329B6"/>
    <w:rsid w:val="008344F8"/>
    <w:rsid w:val="00835CAC"/>
    <w:rsid w:val="0083731B"/>
    <w:rsid w:val="00840CAD"/>
    <w:rsid w:val="008412E0"/>
    <w:rsid w:val="00841F32"/>
    <w:rsid w:val="008421CD"/>
    <w:rsid w:val="00842265"/>
    <w:rsid w:val="008440B5"/>
    <w:rsid w:val="00844734"/>
    <w:rsid w:val="00847762"/>
    <w:rsid w:val="00847DA7"/>
    <w:rsid w:val="00852472"/>
    <w:rsid w:val="00852CFA"/>
    <w:rsid w:val="008544CD"/>
    <w:rsid w:val="00855BE5"/>
    <w:rsid w:val="00856661"/>
    <w:rsid w:val="00857C47"/>
    <w:rsid w:val="00861AF6"/>
    <w:rsid w:val="00863E09"/>
    <w:rsid w:val="00864D14"/>
    <w:rsid w:val="0086604C"/>
    <w:rsid w:val="008663CD"/>
    <w:rsid w:val="00866ECD"/>
    <w:rsid w:val="00867F9D"/>
    <w:rsid w:val="0087131A"/>
    <w:rsid w:val="00871DCE"/>
    <w:rsid w:val="00872A7A"/>
    <w:rsid w:val="00873829"/>
    <w:rsid w:val="008749D8"/>
    <w:rsid w:val="0087567E"/>
    <w:rsid w:val="00875BB5"/>
    <w:rsid w:val="00876066"/>
    <w:rsid w:val="008766D4"/>
    <w:rsid w:val="008768CE"/>
    <w:rsid w:val="008778FD"/>
    <w:rsid w:val="008808E8"/>
    <w:rsid w:val="00880FA6"/>
    <w:rsid w:val="00883600"/>
    <w:rsid w:val="00885049"/>
    <w:rsid w:val="008857D5"/>
    <w:rsid w:val="00885EFC"/>
    <w:rsid w:val="00886144"/>
    <w:rsid w:val="00886862"/>
    <w:rsid w:val="00891CD3"/>
    <w:rsid w:val="00893AEB"/>
    <w:rsid w:val="00893BFC"/>
    <w:rsid w:val="00895282"/>
    <w:rsid w:val="00895E8A"/>
    <w:rsid w:val="0089661E"/>
    <w:rsid w:val="008B0949"/>
    <w:rsid w:val="008B1A10"/>
    <w:rsid w:val="008B2309"/>
    <w:rsid w:val="008B24F2"/>
    <w:rsid w:val="008B4343"/>
    <w:rsid w:val="008B49D5"/>
    <w:rsid w:val="008B5855"/>
    <w:rsid w:val="008C02FA"/>
    <w:rsid w:val="008C0699"/>
    <w:rsid w:val="008C0AFB"/>
    <w:rsid w:val="008C4727"/>
    <w:rsid w:val="008C6118"/>
    <w:rsid w:val="008C6670"/>
    <w:rsid w:val="008C7278"/>
    <w:rsid w:val="008D1255"/>
    <w:rsid w:val="008D49C0"/>
    <w:rsid w:val="008E32FB"/>
    <w:rsid w:val="008E36A8"/>
    <w:rsid w:val="008E3913"/>
    <w:rsid w:val="008E4487"/>
    <w:rsid w:val="008E6893"/>
    <w:rsid w:val="008E74E0"/>
    <w:rsid w:val="008F4155"/>
    <w:rsid w:val="008F52C9"/>
    <w:rsid w:val="00900019"/>
    <w:rsid w:val="00904B79"/>
    <w:rsid w:val="00905E88"/>
    <w:rsid w:val="009061F8"/>
    <w:rsid w:val="0091266A"/>
    <w:rsid w:val="00912915"/>
    <w:rsid w:val="00914349"/>
    <w:rsid w:val="009166C0"/>
    <w:rsid w:val="00916D61"/>
    <w:rsid w:val="0092000C"/>
    <w:rsid w:val="00922300"/>
    <w:rsid w:val="00930237"/>
    <w:rsid w:val="0093095E"/>
    <w:rsid w:val="00931FB2"/>
    <w:rsid w:val="009322FC"/>
    <w:rsid w:val="0093386F"/>
    <w:rsid w:val="00934551"/>
    <w:rsid w:val="00940E41"/>
    <w:rsid w:val="00942E28"/>
    <w:rsid w:val="00943ACA"/>
    <w:rsid w:val="00944E1A"/>
    <w:rsid w:val="0094504E"/>
    <w:rsid w:val="009466B6"/>
    <w:rsid w:val="00946A4A"/>
    <w:rsid w:val="009511DD"/>
    <w:rsid w:val="0095254E"/>
    <w:rsid w:val="00952EFB"/>
    <w:rsid w:val="00953088"/>
    <w:rsid w:val="009530E9"/>
    <w:rsid w:val="009543BF"/>
    <w:rsid w:val="009556B9"/>
    <w:rsid w:val="00957954"/>
    <w:rsid w:val="009617F7"/>
    <w:rsid w:val="00963407"/>
    <w:rsid w:val="009650B6"/>
    <w:rsid w:val="00966417"/>
    <w:rsid w:val="00966BAC"/>
    <w:rsid w:val="00972A52"/>
    <w:rsid w:val="00972A68"/>
    <w:rsid w:val="009739EA"/>
    <w:rsid w:val="00982040"/>
    <w:rsid w:val="0098229B"/>
    <w:rsid w:val="009826C6"/>
    <w:rsid w:val="00983D97"/>
    <w:rsid w:val="00985581"/>
    <w:rsid w:val="009861BC"/>
    <w:rsid w:val="00990D4D"/>
    <w:rsid w:val="009958E9"/>
    <w:rsid w:val="00996509"/>
    <w:rsid w:val="0099657A"/>
    <w:rsid w:val="00996D8B"/>
    <w:rsid w:val="009A0546"/>
    <w:rsid w:val="009A07DA"/>
    <w:rsid w:val="009A1301"/>
    <w:rsid w:val="009A1E26"/>
    <w:rsid w:val="009A507A"/>
    <w:rsid w:val="009A7143"/>
    <w:rsid w:val="009B03EF"/>
    <w:rsid w:val="009B21DB"/>
    <w:rsid w:val="009B42BB"/>
    <w:rsid w:val="009B4C23"/>
    <w:rsid w:val="009B7EB9"/>
    <w:rsid w:val="009C429C"/>
    <w:rsid w:val="009C5347"/>
    <w:rsid w:val="009D1ECA"/>
    <w:rsid w:val="009D3945"/>
    <w:rsid w:val="009D49BB"/>
    <w:rsid w:val="009D54B3"/>
    <w:rsid w:val="009D78F5"/>
    <w:rsid w:val="009E0C2A"/>
    <w:rsid w:val="009E0CCF"/>
    <w:rsid w:val="009E1BE3"/>
    <w:rsid w:val="009E2009"/>
    <w:rsid w:val="009E5B97"/>
    <w:rsid w:val="009E7028"/>
    <w:rsid w:val="009F4F1F"/>
    <w:rsid w:val="009F52A2"/>
    <w:rsid w:val="009F56FA"/>
    <w:rsid w:val="009F645A"/>
    <w:rsid w:val="009F68ED"/>
    <w:rsid w:val="00A023D8"/>
    <w:rsid w:val="00A03BF6"/>
    <w:rsid w:val="00A05728"/>
    <w:rsid w:val="00A06F2D"/>
    <w:rsid w:val="00A079E7"/>
    <w:rsid w:val="00A07DB3"/>
    <w:rsid w:val="00A105EF"/>
    <w:rsid w:val="00A10A98"/>
    <w:rsid w:val="00A10FAB"/>
    <w:rsid w:val="00A13D66"/>
    <w:rsid w:val="00A156AB"/>
    <w:rsid w:val="00A16FF3"/>
    <w:rsid w:val="00A205A1"/>
    <w:rsid w:val="00A21383"/>
    <w:rsid w:val="00A21705"/>
    <w:rsid w:val="00A23A0A"/>
    <w:rsid w:val="00A26279"/>
    <w:rsid w:val="00A31DE2"/>
    <w:rsid w:val="00A4128E"/>
    <w:rsid w:val="00A41E2D"/>
    <w:rsid w:val="00A4309B"/>
    <w:rsid w:val="00A43EA1"/>
    <w:rsid w:val="00A457CF"/>
    <w:rsid w:val="00A4677E"/>
    <w:rsid w:val="00A5082E"/>
    <w:rsid w:val="00A5174D"/>
    <w:rsid w:val="00A51EAB"/>
    <w:rsid w:val="00A52484"/>
    <w:rsid w:val="00A57D21"/>
    <w:rsid w:val="00A603EA"/>
    <w:rsid w:val="00A64C5F"/>
    <w:rsid w:val="00A6535E"/>
    <w:rsid w:val="00A73208"/>
    <w:rsid w:val="00A739BA"/>
    <w:rsid w:val="00A75CD7"/>
    <w:rsid w:val="00A82BFD"/>
    <w:rsid w:val="00A83C45"/>
    <w:rsid w:val="00A845E4"/>
    <w:rsid w:val="00A84B00"/>
    <w:rsid w:val="00A8558C"/>
    <w:rsid w:val="00A85E6D"/>
    <w:rsid w:val="00A86105"/>
    <w:rsid w:val="00A903DA"/>
    <w:rsid w:val="00A924D8"/>
    <w:rsid w:val="00A93BE0"/>
    <w:rsid w:val="00A953AB"/>
    <w:rsid w:val="00AA176B"/>
    <w:rsid w:val="00AA1EC0"/>
    <w:rsid w:val="00AA3016"/>
    <w:rsid w:val="00AA3948"/>
    <w:rsid w:val="00AA4797"/>
    <w:rsid w:val="00AA4FFA"/>
    <w:rsid w:val="00AB3F19"/>
    <w:rsid w:val="00AB56C1"/>
    <w:rsid w:val="00AC03A1"/>
    <w:rsid w:val="00AC212B"/>
    <w:rsid w:val="00AC3040"/>
    <w:rsid w:val="00AC3754"/>
    <w:rsid w:val="00AC46A4"/>
    <w:rsid w:val="00AC4D30"/>
    <w:rsid w:val="00AC5086"/>
    <w:rsid w:val="00AC7913"/>
    <w:rsid w:val="00AC79EB"/>
    <w:rsid w:val="00AD0436"/>
    <w:rsid w:val="00AD04AA"/>
    <w:rsid w:val="00AD1001"/>
    <w:rsid w:val="00AD179F"/>
    <w:rsid w:val="00AD419D"/>
    <w:rsid w:val="00AD6C24"/>
    <w:rsid w:val="00AD7C04"/>
    <w:rsid w:val="00AE11DE"/>
    <w:rsid w:val="00AE1201"/>
    <w:rsid w:val="00AE227E"/>
    <w:rsid w:val="00AE507C"/>
    <w:rsid w:val="00AE518F"/>
    <w:rsid w:val="00AE658B"/>
    <w:rsid w:val="00AF0A36"/>
    <w:rsid w:val="00AF1798"/>
    <w:rsid w:val="00AF3E7C"/>
    <w:rsid w:val="00AF4CC7"/>
    <w:rsid w:val="00AF6BEA"/>
    <w:rsid w:val="00AF7038"/>
    <w:rsid w:val="00AF7095"/>
    <w:rsid w:val="00AF7978"/>
    <w:rsid w:val="00AF7E79"/>
    <w:rsid w:val="00B00A5F"/>
    <w:rsid w:val="00B0138C"/>
    <w:rsid w:val="00B02410"/>
    <w:rsid w:val="00B106A0"/>
    <w:rsid w:val="00B12B95"/>
    <w:rsid w:val="00B1464F"/>
    <w:rsid w:val="00B14E4D"/>
    <w:rsid w:val="00B15603"/>
    <w:rsid w:val="00B16354"/>
    <w:rsid w:val="00B20B80"/>
    <w:rsid w:val="00B26E95"/>
    <w:rsid w:val="00B26F41"/>
    <w:rsid w:val="00B3052F"/>
    <w:rsid w:val="00B34D4C"/>
    <w:rsid w:val="00B355CB"/>
    <w:rsid w:val="00B36674"/>
    <w:rsid w:val="00B42471"/>
    <w:rsid w:val="00B43CB7"/>
    <w:rsid w:val="00B45EF5"/>
    <w:rsid w:val="00B471B0"/>
    <w:rsid w:val="00B503FE"/>
    <w:rsid w:val="00B53181"/>
    <w:rsid w:val="00B53875"/>
    <w:rsid w:val="00B54ABA"/>
    <w:rsid w:val="00B60079"/>
    <w:rsid w:val="00B620DF"/>
    <w:rsid w:val="00B6256C"/>
    <w:rsid w:val="00B63390"/>
    <w:rsid w:val="00B63611"/>
    <w:rsid w:val="00B63C82"/>
    <w:rsid w:val="00B6423D"/>
    <w:rsid w:val="00B65AEC"/>
    <w:rsid w:val="00B66963"/>
    <w:rsid w:val="00B67889"/>
    <w:rsid w:val="00B716A9"/>
    <w:rsid w:val="00B7424F"/>
    <w:rsid w:val="00B75A9A"/>
    <w:rsid w:val="00B76785"/>
    <w:rsid w:val="00B77696"/>
    <w:rsid w:val="00B82115"/>
    <w:rsid w:val="00B8254F"/>
    <w:rsid w:val="00B839FB"/>
    <w:rsid w:val="00B84F37"/>
    <w:rsid w:val="00B85568"/>
    <w:rsid w:val="00B915F6"/>
    <w:rsid w:val="00B9240A"/>
    <w:rsid w:val="00B9292E"/>
    <w:rsid w:val="00B95555"/>
    <w:rsid w:val="00B95C9F"/>
    <w:rsid w:val="00B95E76"/>
    <w:rsid w:val="00B961B5"/>
    <w:rsid w:val="00B965B2"/>
    <w:rsid w:val="00B968B2"/>
    <w:rsid w:val="00B97D5C"/>
    <w:rsid w:val="00B97E48"/>
    <w:rsid w:val="00BA0713"/>
    <w:rsid w:val="00BA3728"/>
    <w:rsid w:val="00BA4FC3"/>
    <w:rsid w:val="00BA5847"/>
    <w:rsid w:val="00BA73AB"/>
    <w:rsid w:val="00BA7A6A"/>
    <w:rsid w:val="00BA7B3B"/>
    <w:rsid w:val="00BB0706"/>
    <w:rsid w:val="00BB0F71"/>
    <w:rsid w:val="00BB50EA"/>
    <w:rsid w:val="00BC0077"/>
    <w:rsid w:val="00BC146D"/>
    <w:rsid w:val="00BC1535"/>
    <w:rsid w:val="00BC295D"/>
    <w:rsid w:val="00BC2EA9"/>
    <w:rsid w:val="00BC5F6D"/>
    <w:rsid w:val="00BC70B0"/>
    <w:rsid w:val="00BD18C1"/>
    <w:rsid w:val="00BD3ABF"/>
    <w:rsid w:val="00BD4790"/>
    <w:rsid w:val="00BD6273"/>
    <w:rsid w:val="00BD70A7"/>
    <w:rsid w:val="00BE3A03"/>
    <w:rsid w:val="00BE572F"/>
    <w:rsid w:val="00BE6425"/>
    <w:rsid w:val="00BE753C"/>
    <w:rsid w:val="00BE775F"/>
    <w:rsid w:val="00BE7F64"/>
    <w:rsid w:val="00BF015F"/>
    <w:rsid w:val="00BF06C4"/>
    <w:rsid w:val="00BF127A"/>
    <w:rsid w:val="00BF2170"/>
    <w:rsid w:val="00BF507F"/>
    <w:rsid w:val="00BF555E"/>
    <w:rsid w:val="00C00B0C"/>
    <w:rsid w:val="00C011D5"/>
    <w:rsid w:val="00C01829"/>
    <w:rsid w:val="00C03D93"/>
    <w:rsid w:val="00C048EF"/>
    <w:rsid w:val="00C0498A"/>
    <w:rsid w:val="00C0788F"/>
    <w:rsid w:val="00C10380"/>
    <w:rsid w:val="00C11967"/>
    <w:rsid w:val="00C11B21"/>
    <w:rsid w:val="00C13D47"/>
    <w:rsid w:val="00C14185"/>
    <w:rsid w:val="00C151A9"/>
    <w:rsid w:val="00C151D7"/>
    <w:rsid w:val="00C17F94"/>
    <w:rsid w:val="00C20136"/>
    <w:rsid w:val="00C20D9D"/>
    <w:rsid w:val="00C20E47"/>
    <w:rsid w:val="00C2211E"/>
    <w:rsid w:val="00C22F51"/>
    <w:rsid w:val="00C23298"/>
    <w:rsid w:val="00C23326"/>
    <w:rsid w:val="00C2369A"/>
    <w:rsid w:val="00C25BE9"/>
    <w:rsid w:val="00C32162"/>
    <w:rsid w:val="00C322EE"/>
    <w:rsid w:val="00C3412D"/>
    <w:rsid w:val="00C34225"/>
    <w:rsid w:val="00C34237"/>
    <w:rsid w:val="00C34272"/>
    <w:rsid w:val="00C34344"/>
    <w:rsid w:val="00C34F42"/>
    <w:rsid w:val="00C35A13"/>
    <w:rsid w:val="00C36EA7"/>
    <w:rsid w:val="00C36F86"/>
    <w:rsid w:val="00C40F99"/>
    <w:rsid w:val="00C44110"/>
    <w:rsid w:val="00C45F5A"/>
    <w:rsid w:val="00C47CB0"/>
    <w:rsid w:val="00C50156"/>
    <w:rsid w:val="00C50C73"/>
    <w:rsid w:val="00C52280"/>
    <w:rsid w:val="00C5230C"/>
    <w:rsid w:val="00C525C0"/>
    <w:rsid w:val="00C52FDA"/>
    <w:rsid w:val="00C538DF"/>
    <w:rsid w:val="00C53BF7"/>
    <w:rsid w:val="00C5452F"/>
    <w:rsid w:val="00C54969"/>
    <w:rsid w:val="00C54AC3"/>
    <w:rsid w:val="00C55D4B"/>
    <w:rsid w:val="00C56E02"/>
    <w:rsid w:val="00C60455"/>
    <w:rsid w:val="00C6139C"/>
    <w:rsid w:val="00C63669"/>
    <w:rsid w:val="00C64494"/>
    <w:rsid w:val="00C65446"/>
    <w:rsid w:val="00C66517"/>
    <w:rsid w:val="00C737FC"/>
    <w:rsid w:val="00C73CEB"/>
    <w:rsid w:val="00C75648"/>
    <w:rsid w:val="00C809C9"/>
    <w:rsid w:val="00C81F57"/>
    <w:rsid w:val="00C915A9"/>
    <w:rsid w:val="00C91C47"/>
    <w:rsid w:val="00C92BEF"/>
    <w:rsid w:val="00C95B5C"/>
    <w:rsid w:val="00C9661B"/>
    <w:rsid w:val="00C979E4"/>
    <w:rsid w:val="00CA2028"/>
    <w:rsid w:val="00CA2838"/>
    <w:rsid w:val="00CA31CF"/>
    <w:rsid w:val="00CA7B4C"/>
    <w:rsid w:val="00CB077A"/>
    <w:rsid w:val="00CB1E84"/>
    <w:rsid w:val="00CB2C9E"/>
    <w:rsid w:val="00CB4B72"/>
    <w:rsid w:val="00CB7181"/>
    <w:rsid w:val="00CC0502"/>
    <w:rsid w:val="00CC366F"/>
    <w:rsid w:val="00CD0A09"/>
    <w:rsid w:val="00CD0B05"/>
    <w:rsid w:val="00CD28EE"/>
    <w:rsid w:val="00CD2FB7"/>
    <w:rsid w:val="00CD3901"/>
    <w:rsid w:val="00CD4464"/>
    <w:rsid w:val="00CD45DF"/>
    <w:rsid w:val="00CD4CD3"/>
    <w:rsid w:val="00CD5001"/>
    <w:rsid w:val="00CD75D6"/>
    <w:rsid w:val="00CD767E"/>
    <w:rsid w:val="00CE0CA5"/>
    <w:rsid w:val="00CE53BE"/>
    <w:rsid w:val="00CE6839"/>
    <w:rsid w:val="00CE7926"/>
    <w:rsid w:val="00CF3348"/>
    <w:rsid w:val="00CF40D2"/>
    <w:rsid w:val="00CF62D3"/>
    <w:rsid w:val="00CF66E6"/>
    <w:rsid w:val="00D01AA1"/>
    <w:rsid w:val="00D02641"/>
    <w:rsid w:val="00D03C19"/>
    <w:rsid w:val="00D04504"/>
    <w:rsid w:val="00D0527C"/>
    <w:rsid w:val="00D052DA"/>
    <w:rsid w:val="00D058F8"/>
    <w:rsid w:val="00D1364F"/>
    <w:rsid w:val="00D13CBC"/>
    <w:rsid w:val="00D13D89"/>
    <w:rsid w:val="00D143AA"/>
    <w:rsid w:val="00D14608"/>
    <w:rsid w:val="00D16757"/>
    <w:rsid w:val="00D16E06"/>
    <w:rsid w:val="00D171FA"/>
    <w:rsid w:val="00D20FC2"/>
    <w:rsid w:val="00D2297D"/>
    <w:rsid w:val="00D233A2"/>
    <w:rsid w:val="00D30380"/>
    <w:rsid w:val="00D3187D"/>
    <w:rsid w:val="00D32282"/>
    <w:rsid w:val="00D32C79"/>
    <w:rsid w:val="00D35C7A"/>
    <w:rsid w:val="00D52BE1"/>
    <w:rsid w:val="00D5378E"/>
    <w:rsid w:val="00D555D5"/>
    <w:rsid w:val="00D6022C"/>
    <w:rsid w:val="00D61174"/>
    <w:rsid w:val="00D61730"/>
    <w:rsid w:val="00D61D3E"/>
    <w:rsid w:val="00D61DFF"/>
    <w:rsid w:val="00D65136"/>
    <w:rsid w:val="00D655A0"/>
    <w:rsid w:val="00D66538"/>
    <w:rsid w:val="00D66BC6"/>
    <w:rsid w:val="00D67F06"/>
    <w:rsid w:val="00D71A0F"/>
    <w:rsid w:val="00D73A70"/>
    <w:rsid w:val="00D75BD9"/>
    <w:rsid w:val="00D75C71"/>
    <w:rsid w:val="00D80B05"/>
    <w:rsid w:val="00D8257F"/>
    <w:rsid w:val="00D82B52"/>
    <w:rsid w:val="00D84083"/>
    <w:rsid w:val="00D868EC"/>
    <w:rsid w:val="00D8742B"/>
    <w:rsid w:val="00D91B70"/>
    <w:rsid w:val="00D92769"/>
    <w:rsid w:val="00D94295"/>
    <w:rsid w:val="00D94915"/>
    <w:rsid w:val="00D95DDF"/>
    <w:rsid w:val="00D95F68"/>
    <w:rsid w:val="00D97BC4"/>
    <w:rsid w:val="00D97F01"/>
    <w:rsid w:val="00DA08F2"/>
    <w:rsid w:val="00DA099B"/>
    <w:rsid w:val="00DA09AA"/>
    <w:rsid w:val="00DA0B8C"/>
    <w:rsid w:val="00DA22FD"/>
    <w:rsid w:val="00DA560F"/>
    <w:rsid w:val="00DB0876"/>
    <w:rsid w:val="00DB0DB5"/>
    <w:rsid w:val="00DB21D7"/>
    <w:rsid w:val="00DB2F70"/>
    <w:rsid w:val="00DB3D34"/>
    <w:rsid w:val="00DB4EC6"/>
    <w:rsid w:val="00DB6EA4"/>
    <w:rsid w:val="00DC2686"/>
    <w:rsid w:val="00DC325B"/>
    <w:rsid w:val="00DC4E0C"/>
    <w:rsid w:val="00DC6D86"/>
    <w:rsid w:val="00DD0555"/>
    <w:rsid w:val="00DD0865"/>
    <w:rsid w:val="00DD12F4"/>
    <w:rsid w:val="00DD2938"/>
    <w:rsid w:val="00DD46F7"/>
    <w:rsid w:val="00DD573F"/>
    <w:rsid w:val="00DD69EB"/>
    <w:rsid w:val="00DD6FE5"/>
    <w:rsid w:val="00DD74C7"/>
    <w:rsid w:val="00DE1A8C"/>
    <w:rsid w:val="00DE5590"/>
    <w:rsid w:val="00DE6300"/>
    <w:rsid w:val="00DE69F6"/>
    <w:rsid w:val="00DE7470"/>
    <w:rsid w:val="00DF0ADF"/>
    <w:rsid w:val="00DF0BFF"/>
    <w:rsid w:val="00DF11E9"/>
    <w:rsid w:val="00DF187D"/>
    <w:rsid w:val="00DF234A"/>
    <w:rsid w:val="00DF304E"/>
    <w:rsid w:val="00DF6AF2"/>
    <w:rsid w:val="00DF7B81"/>
    <w:rsid w:val="00DF7DD6"/>
    <w:rsid w:val="00E00485"/>
    <w:rsid w:val="00E005CF"/>
    <w:rsid w:val="00E00909"/>
    <w:rsid w:val="00E0135F"/>
    <w:rsid w:val="00E06FB5"/>
    <w:rsid w:val="00E0704D"/>
    <w:rsid w:val="00E10373"/>
    <w:rsid w:val="00E10EAB"/>
    <w:rsid w:val="00E13231"/>
    <w:rsid w:val="00E1357A"/>
    <w:rsid w:val="00E157A5"/>
    <w:rsid w:val="00E175E1"/>
    <w:rsid w:val="00E17D47"/>
    <w:rsid w:val="00E200DD"/>
    <w:rsid w:val="00E20BAF"/>
    <w:rsid w:val="00E20BF1"/>
    <w:rsid w:val="00E222A0"/>
    <w:rsid w:val="00E241AA"/>
    <w:rsid w:val="00E25CE3"/>
    <w:rsid w:val="00E261E7"/>
    <w:rsid w:val="00E3072D"/>
    <w:rsid w:val="00E312E9"/>
    <w:rsid w:val="00E320D4"/>
    <w:rsid w:val="00E329C2"/>
    <w:rsid w:val="00E34395"/>
    <w:rsid w:val="00E35C36"/>
    <w:rsid w:val="00E3635A"/>
    <w:rsid w:val="00E37040"/>
    <w:rsid w:val="00E40A4D"/>
    <w:rsid w:val="00E4292F"/>
    <w:rsid w:val="00E42F4E"/>
    <w:rsid w:val="00E4432B"/>
    <w:rsid w:val="00E44523"/>
    <w:rsid w:val="00E46205"/>
    <w:rsid w:val="00E47314"/>
    <w:rsid w:val="00E508BF"/>
    <w:rsid w:val="00E509CA"/>
    <w:rsid w:val="00E511A8"/>
    <w:rsid w:val="00E524BC"/>
    <w:rsid w:val="00E539A4"/>
    <w:rsid w:val="00E55CB9"/>
    <w:rsid w:val="00E62775"/>
    <w:rsid w:val="00E63711"/>
    <w:rsid w:val="00E646C1"/>
    <w:rsid w:val="00E65685"/>
    <w:rsid w:val="00E706B9"/>
    <w:rsid w:val="00E70F23"/>
    <w:rsid w:val="00E742B8"/>
    <w:rsid w:val="00E75B64"/>
    <w:rsid w:val="00E81FB9"/>
    <w:rsid w:val="00E82E6A"/>
    <w:rsid w:val="00E83174"/>
    <w:rsid w:val="00E903E4"/>
    <w:rsid w:val="00E90987"/>
    <w:rsid w:val="00E90E8C"/>
    <w:rsid w:val="00E912C3"/>
    <w:rsid w:val="00E92D3A"/>
    <w:rsid w:val="00E930C2"/>
    <w:rsid w:val="00E931A4"/>
    <w:rsid w:val="00E93A16"/>
    <w:rsid w:val="00E951BC"/>
    <w:rsid w:val="00E95CFE"/>
    <w:rsid w:val="00E96C68"/>
    <w:rsid w:val="00E96CF3"/>
    <w:rsid w:val="00E977D3"/>
    <w:rsid w:val="00E97966"/>
    <w:rsid w:val="00EA0A5F"/>
    <w:rsid w:val="00EA2311"/>
    <w:rsid w:val="00EA3969"/>
    <w:rsid w:val="00EA48B9"/>
    <w:rsid w:val="00EA490E"/>
    <w:rsid w:val="00EA5E80"/>
    <w:rsid w:val="00EA74B9"/>
    <w:rsid w:val="00EB0B17"/>
    <w:rsid w:val="00EB34DD"/>
    <w:rsid w:val="00EB5B0B"/>
    <w:rsid w:val="00EC0A68"/>
    <w:rsid w:val="00EC509A"/>
    <w:rsid w:val="00EC51E9"/>
    <w:rsid w:val="00EC635B"/>
    <w:rsid w:val="00EC761D"/>
    <w:rsid w:val="00EC7EA2"/>
    <w:rsid w:val="00ED19AE"/>
    <w:rsid w:val="00ED291F"/>
    <w:rsid w:val="00ED3EF5"/>
    <w:rsid w:val="00ED52E4"/>
    <w:rsid w:val="00ED566E"/>
    <w:rsid w:val="00ED60B4"/>
    <w:rsid w:val="00ED6748"/>
    <w:rsid w:val="00ED679B"/>
    <w:rsid w:val="00EE1E8D"/>
    <w:rsid w:val="00EE258A"/>
    <w:rsid w:val="00EE4D0E"/>
    <w:rsid w:val="00EE7A83"/>
    <w:rsid w:val="00EE7B4B"/>
    <w:rsid w:val="00EF1176"/>
    <w:rsid w:val="00EF1813"/>
    <w:rsid w:val="00EF5F99"/>
    <w:rsid w:val="00EF6BE7"/>
    <w:rsid w:val="00F00829"/>
    <w:rsid w:val="00F01A49"/>
    <w:rsid w:val="00F0339F"/>
    <w:rsid w:val="00F034F3"/>
    <w:rsid w:val="00F03C60"/>
    <w:rsid w:val="00F078BC"/>
    <w:rsid w:val="00F10639"/>
    <w:rsid w:val="00F110CB"/>
    <w:rsid w:val="00F11E81"/>
    <w:rsid w:val="00F12EEB"/>
    <w:rsid w:val="00F158E3"/>
    <w:rsid w:val="00F20018"/>
    <w:rsid w:val="00F200CF"/>
    <w:rsid w:val="00F20304"/>
    <w:rsid w:val="00F22400"/>
    <w:rsid w:val="00F245CF"/>
    <w:rsid w:val="00F24AFA"/>
    <w:rsid w:val="00F24B1D"/>
    <w:rsid w:val="00F25E61"/>
    <w:rsid w:val="00F2672E"/>
    <w:rsid w:val="00F32167"/>
    <w:rsid w:val="00F32C52"/>
    <w:rsid w:val="00F338E0"/>
    <w:rsid w:val="00F33EA6"/>
    <w:rsid w:val="00F34D77"/>
    <w:rsid w:val="00F35997"/>
    <w:rsid w:val="00F35FD3"/>
    <w:rsid w:val="00F41062"/>
    <w:rsid w:val="00F4152B"/>
    <w:rsid w:val="00F442C3"/>
    <w:rsid w:val="00F44CD8"/>
    <w:rsid w:val="00F46C3C"/>
    <w:rsid w:val="00F50D88"/>
    <w:rsid w:val="00F51960"/>
    <w:rsid w:val="00F5264C"/>
    <w:rsid w:val="00F536CD"/>
    <w:rsid w:val="00F564FF"/>
    <w:rsid w:val="00F56859"/>
    <w:rsid w:val="00F56F6F"/>
    <w:rsid w:val="00F622B2"/>
    <w:rsid w:val="00F6324B"/>
    <w:rsid w:val="00F648AD"/>
    <w:rsid w:val="00F65811"/>
    <w:rsid w:val="00F67D30"/>
    <w:rsid w:val="00F7067D"/>
    <w:rsid w:val="00F72175"/>
    <w:rsid w:val="00F72270"/>
    <w:rsid w:val="00F7244F"/>
    <w:rsid w:val="00F75653"/>
    <w:rsid w:val="00F801AB"/>
    <w:rsid w:val="00F80BA9"/>
    <w:rsid w:val="00F818B2"/>
    <w:rsid w:val="00F82A8A"/>
    <w:rsid w:val="00F82CC9"/>
    <w:rsid w:val="00F863BC"/>
    <w:rsid w:val="00F90CE8"/>
    <w:rsid w:val="00F92CD3"/>
    <w:rsid w:val="00F93929"/>
    <w:rsid w:val="00F946AB"/>
    <w:rsid w:val="00F9526C"/>
    <w:rsid w:val="00F9619D"/>
    <w:rsid w:val="00FA2B3F"/>
    <w:rsid w:val="00FA3704"/>
    <w:rsid w:val="00FA4F4E"/>
    <w:rsid w:val="00FA533F"/>
    <w:rsid w:val="00FA60A8"/>
    <w:rsid w:val="00FA63BD"/>
    <w:rsid w:val="00FB03CB"/>
    <w:rsid w:val="00FB12A1"/>
    <w:rsid w:val="00FB2246"/>
    <w:rsid w:val="00FB31D4"/>
    <w:rsid w:val="00FB51CE"/>
    <w:rsid w:val="00FC0007"/>
    <w:rsid w:val="00FC20A3"/>
    <w:rsid w:val="00FC29FC"/>
    <w:rsid w:val="00FC5A1B"/>
    <w:rsid w:val="00FC5C2D"/>
    <w:rsid w:val="00FC5E85"/>
    <w:rsid w:val="00FC61C3"/>
    <w:rsid w:val="00FC75C5"/>
    <w:rsid w:val="00FC7BED"/>
    <w:rsid w:val="00FD0330"/>
    <w:rsid w:val="00FD5465"/>
    <w:rsid w:val="00FD7E0D"/>
    <w:rsid w:val="00FD7F4A"/>
    <w:rsid w:val="00FE1329"/>
    <w:rsid w:val="00FE1506"/>
    <w:rsid w:val="00FE2F27"/>
    <w:rsid w:val="00FE4FAC"/>
    <w:rsid w:val="00FE5959"/>
    <w:rsid w:val="00FE6DCC"/>
    <w:rsid w:val="00FE789E"/>
    <w:rsid w:val="00FE7A96"/>
    <w:rsid w:val="00FF02B7"/>
    <w:rsid w:val="00FF2462"/>
    <w:rsid w:val="00FF3FE8"/>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shapeDefaults>
    <o:shapedefaults v:ext="edit" spidmax="534529"/>
    <o:shapelayout v:ext="edit">
      <o:idmap v:ext="edit" data="1"/>
    </o:shapelayout>
  </w:shapeDefaults>
  <w:decimalSymbol w:val=","/>
  <w:listSeparator w:val=";"/>
  <w14:docId w14:val="05406C71"/>
  <w15:chartTrackingRefBased/>
  <w15:docId w15:val="{C55858CC-381B-4EE8-BD6D-90484831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64F"/>
    <w:pPr>
      <w:spacing w:before="120" w:after="120"/>
      <w:jc w:val="both"/>
    </w:pPr>
    <w:rPr>
      <w:rFonts w:eastAsia="Calibri" w:cs="Times New Roman"/>
      <w:szCs w:val="20"/>
      <w:lang w:eastAsia="lv-LV" w:bidi="lv-LV"/>
    </w:rPr>
  </w:style>
  <w:style w:type="paragraph" w:styleId="Heading1">
    <w:name w:val="heading 1"/>
    <w:basedOn w:val="Normal"/>
    <w:next w:val="Normal"/>
    <w:link w:val="Heading1Char"/>
    <w:uiPriority w:val="9"/>
    <w:qFormat/>
    <w:rsid w:val="00AC212B"/>
    <w:pPr>
      <w:keepNext/>
      <w:numPr>
        <w:numId w:val="1"/>
      </w:numPr>
      <w:spacing w:before="240" w:after="240"/>
      <w:outlineLvl w:val="0"/>
    </w:pPr>
    <w:rPr>
      <w:rFonts w:eastAsia="Times New Roman"/>
      <w:b/>
      <w:smallCaps/>
    </w:rPr>
  </w:style>
  <w:style w:type="paragraph" w:styleId="Heading2">
    <w:name w:val="heading 2"/>
    <w:basedOn w:val="Normal"/>
    <w:next w:val="Normal"/>
    <w:link w:val="Heading2Char"/>
    <w:uiPriority w:val="9"/>
    <w:qFormat/>
    <w:rsid w:val="00AC212B"/>
    <w:pPr>
      <w:keepNext/>
      <w:numPr>
        <w:ilvl w:val="1"/>
        <w:numId w:val="1"/>
      </w:numPr>
      <w:spacing w:before="0" w:after="240"/>
      <w:outlineLvl w:val="1"/>
    </w:pPr>
    <w:rPr>
      <w:rFonts w:eastAsia="Times New Roman"/>
      <w:b/>
    </w:rPr>
  </w:style>
  <w:style w:type="paragraph" w:styleId="Heading3">
    <w:name w:val="heading 3"/>
    <w:basedOn w:val="Normal"/>
    <w:next w:val="Normal"/>
    <w:link w:val="Heading3Char"/>
    <w:uiPriority w:val="9"/>
    <w:qFormat/>
    <w:rsid w:val="00AC212B"/>
    <w:pPr>
      <w:keepNext/>
      <w:numPr>
        <w:ilvl w:val="2"/>
        <w:numId w:val="1"/>
      </w:numPr>
      <w:spacing w:before="0" w:after="240"/>
      <w:outlineLvl w:val="2"/>
    </w:pPr>
    <w:rPr>
      <w:rFonts w:eastAsia="Times New Roman"/>
      <w:i/>
    </w:rPr>
  </w:style>
  <w:style w:type="paragraph" w:styleId="Heading4">
    <w:name w:val="heading 4"/>
    <w:basedOn w:val="Normal"/>
    <w:next w:val="Normal"/>
    <w:link w:val="Heading4Char"/>
    <w:uiPriority w:val="9"/>
    <w:qFormat/>
    <w:rsid w:val="00AC212B"/>
    <w:pPr>
      <w:keepNext/>
      <w:numPr>
        <w:ilvl w:val="3"/>
        <w:numId w:val="1"/>
      </w:numPr>
      <w:spacing w:before="0" w:after="240"/>
      <w:outlineLvl w:val="3"/>
    </w:pPr>
    <w:rPr>
      <w:rFonts w:eastAsia="Times New Roman"/>
    </w:rPr>
  </w:style>
  <w:style w:type="paragraph" w:styleId="Heading5">
    <w:name w:val="heading 5"/>
    <w:basedOn w:val="Normal"/>
    <w:next w:val="Normal"/>
    <w:link w:val="Heading5Char"/>
    <w:qFormat/>
    <w:rsid w:val="00AC212B"/>
    <w:pPr>
      <w:spacing w:before="240" w:after="60"/>
      <w:ind w:left="1008" w:hanging="1008"/>
      <w:outlineLvl w:val="4"/>
    </w:pPr>
    <w:rPr>
      <w:rFonts w:ascii="Arial" w:eastAsia="Times New Roman" w:hAnsi="Arial"/>
      <w:sz w:val="22"/>
      <w:szCs w:val="22"/>
    </w:rPr>
  </w:style>
  <w:style w:type="paragraph" w:styleId="Heading6">
    <w:name w:val="heading 6"/>
    <w:basedOn w:val="Normal"/>
    <w:next w:val="Normal"/>
    <w:link w:val="Heading6Char"/>
    <w:qFormat/>
    <w:rsid w:val="00AC212B"/>
    <w:pPr>
      <w:spacing w:before="240" w:after="60"/>
      <w:ind w:left="1152" w:hanging="1152"/>
      <w:outlineLvl w:val="5"/>
    </w:pPr>
    <w:rPr>
      <w:rFonts w:ascii="Arial" w:eastAsia="Times New Roman" w:hAnsi="Arial"/>
      <w:i/>
      <w:sz w:val="22"/>
      <w:szCs w:val="22"/>
    </w:rPr>
  </w:style>
  <w:style w:type="paragraph" w:styleId="Heading7">
    <w:name w:val="heading 7"/>
    <w:basedOn w:val="Normal"/>
    <w:next w:val="Normal"/>
    <w:link w:val="Heading7Char"/>
    <w:qFormat/>
    <w:rsid w:val="00AC212B"/>
    <w:pPr>
      <w:spacing w:before="240" w:after="60"/>
      <w:ind w:left="1296" w:hanging="1296"/>
      <w:outlineLvl w:val="6"/>
    </w:pPr>
    <w:rPr>
      <w:rFonts w:ascii="Arial" w:eastAsia="Times New Roman" w:hAnsi="Arial"/>
      <w:sz w:val="20"/>
      <w:szCs w:val="22"/>
    </w:rPr>
  </w:style>
  <w:style w:type="paragraph" w:styleId="Heading8">
    <w:name w:val="heading 8"/>
    <w:basedOn w:val="Normal"/>
    <w:next w:val="Normal"/>
    <w:link w:val="Heading8Char"/>
    <w:qFormat/>
    <w:rsid w:val="00AC212B"/>
    <w:pPr>
      <w:spacing w:before="240" w:after="60"/>
      <w:ind w:left="1440" w:hanging="1440"/>
      <w:outlineLvl w:val="7"/>
    </w:pPr>
    <w:rPr>
      <w:rFonts w:ascii="Arial" w:eastAsia="Times New Roman" w:hAnsi="Arial"/>
      <w:i/>
      <w:sz w:val="20"/>
      <w:szCs w:val="22"/>
    </w:rPr>
  </w:style>
  <w:style w:type="paragraph" w:styleId="Heading9">
    <w:name w:val="heading 9"/>
    <w:basedOn w:val="Normal"/>
    <w:next w:val="Normal"/>
    <w:link w:val="Heading9Char"/>
    <w:qFormat/>
    <w:rsid w:val="00AC212B"/>
    <w:pPr>
      <w:spacing w:before="240" w:after="60"/>
      <w:ind w:left="1584" w:hanging="1584"/>
      <w:outlineLvl w:val="8"/>
    </w:pPr>
    <w:rPr>
      <w:rFonts w:ascii="Arial" w:eastAsia="Times New Roman" w:hAnsi="Arial"/>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12B"/>
    <w:rPr>
      <w:rFonts w:eastAsia="Times New Roman" w:cs="Times New Roman"/>
      <w:b/>
      <w:smallCaps/>
      <w:szCs w:val="20"/>
      <w:lang w:eastAsia="lv-LV" w:bidi="lv-LV"/>
    </w:rPr>
  </w:style>
  <w:style w:type="character" w:customStyle="1" w:styleId="Heading2Char">
    <w:name w:val="Heading 2 Char"/>
    <w:basedOn w:val="DefaultParagraphFont"/>
    <w:link w:val="Heading2"/>
    <w:uiPriority w:val="9"/>
    <w:rsid w:val="00AC212B"/>
    <w:rPr>
      <w:rFonts w:eastAsia="Times New Roman" w:cs="Times New Roman"/>
      <w:b/>
      <w:szCs w:val="20"/>
      <w:lang w:eastAsia="lv-LV" w:bidi="lv-LV"/>
    </w:rPr>
  </w:style>
  <w:style w:type="character" w:customStyle="1" w:styleId="Heading3Char">
    <w:name w:val="Heading 3 Char"/>
    <w:basedOn w:val="DefaultParagraphFont"/>
    <w:link w:val="Heading3"/>
    <w:uiPriority w:val="9"/>
    <w:rsid w:val="00AC212B"/>
    <w:rPr>
      <w:rFonts w:eastAsia="Times New Roman" w:cs="Times New Roman"/>
      <w:i/>
      <w:szCs w:val="20"/>
      <w:lang w:eastAsia="lv-LV" w:bidi="lv-LV"/>
    </w:rPr>
  </w:style>
  <w:style w:type="character" w:customStyle="1" w:styleId="Heading4Char">
    <w:name w:val="Heading 4 Char"/>
    <w:basedOn w:val="DefaultParagraphFont"/>
    <w:link w:val="Heading4"/>
    <w:uiPriority w:val="9"/>
    <w:rsid w:val="00AC212B"/>
    <w:rPr>
      <w:rFonts w:eastAsia="Times New Roman" w:cs="Times New Roman"/>
      <w:szCs w:val="20"/>
      <w:lang w:eastAsia="lv-LV" w:bidi="lv-LV"/>
    </w:rPr>
  </w:style>
  <w:style w:type="character" w:customStyle="1" w:styleId="Heading5Char">
    <w:name w:val="Heading 5 Char"/>
    <w:basedOn w:val="DefaultParagraphFont"/>
    <w:link w:val="Heading5"/>
    <w:rsid w:val="00AC212B"/>
    <w:rPr>
      <w:rFonts w:ascii="Arial" w:eastAsia="Times New Roman" w:hAnsi="Arial" w:cs="Times New Roman"/>
      <w:sz w:val="22"/>
      <w:lang w:eastAsia="lv-LV" w:bidi="lv-LV"/>
    </w:rPr>
  </w:style>
  <w:style w:type="character" w:customStyle="1" w:styleId="Heading6Char">
    <w:name w:val="Heading 6 Char"/>
    <w:basedOn w:val="DefaultParagraphFont"/>
    <w:link w:val="Heading6"/>
    <w:rsid w:val="00AC212B"/>
    <w:rPr>
      <w:rFonts w:ascii="Arial" w:eastAsia="Times New Roman" w:hAnsi="Arial" w:cs="Times New Roman"/>
      <w:i/>
      <w:sz w:val="22"/>
      <w:lang w:eastAsia="lv-LV" w:bidi="lv-LV"/>
    </w:rPr>
  </w:style>
  <w:style w:type="character" w:customStyle="1" w:styleId="Heading7Char">
    <w:name w:val="Heading 7 Char"/>
    <w:basedOn w:val="DefaultParagraphFont"/>
    <w:link w:val="Heading7"/>
    <w:rsid w:val="00AC212B"/>
    <w:rPr>
      <w:rFonts w:ascii="Arial" w:eastAsia="Times New Roman" w:hAnsi="Arial" w:cs="Times New Roman"/>
      <w:sz w:val="20"/>
      <w:lang w:eastAsia="lv-LV" w:bidi="lv-LV"/>
    </w:rPr>
  </w:style>
  <w:style w:type="character" w:customStyle="1" w:styleId="Heading8Char">
    <w:name w:val="Heading 8 Char"/>
    <w:basedOn w:val="DefaultParagraphFont"/>
    <w:link w:val="Heading8"/>
    <w:rsid w:val="00AC212B"/>
    <w:rPr>
      <w:rFonts w:ascii="Arial" w:eastAsia="Times New Roman" w:hAnsi="Arial" w:cs="Times New Roman"/>
      <w:i/>
      <w:sz w:val="20"/>
      <w:lang w:eastAsia="lv-LV" w:bidi="lv-LV"/>
    </w:rPr>
  </w:style>
  <w:style w:type="character" w:customStyle="1" w:styleId="Heading9Char">
    <w:name w:val="Heading 9 Char"/>
    <w:basedOn w:val="DefaultParagraphFont"/>
    <w:link w:val="Heading9"/>
    <w:rsid w:val="00AC212B"/>
    <w:rPr>
      <w:rFonts w:ascii="Arial" w:eastAsia="Times New Roman" w:hAnsi="Arial" w:cs="Times New Roman"/>
      <w:i/>
      <w:sz w:val="18"/>
      <w:lang w:eastAsia="lv-LV" w:bidi="lv-LV"/>
    </w:rPr>
  </w:style>
  <w:style w:type="paragraph" w:styleId="Header">
    <w:name w:val="header"/>
    <w:basedOn w:val="Normal"/>
    <w:link w:val="HeaderChar"/>
    <w:uiPriority w:val="99"/>
    <w:unhideWhenUsed/>
    <w:rsid w:val="00AC212B"/>
    <w:pPr>
      <w:tabs>
        <w:tab w:val="center" w:pos="4535"/>
        <w:tab w:val="right" w:pos="9071"/>
      </w:tabs>
      <w:spacing w:before="0"/>
    </w:pPr>
    <w:rPr>
      <w:szCs w:val="22"/>
    </w:rPr>
  </w:style>
  <w:style w:type="character" w:customStyle="1" w:styleId="HeaderChar">
    <w:name w:val="Header Char"/>
    <w:basedOn w:val="DefaultParagraphFont"/>
    <w:link w:val="Header"/>
    <w:uiPriority w:val="99"/>
    <w:rsid w:val="00AC212B"/>
    <w:rPr>
      <w:rFonts w:eastAsia="Calibri" w:cs="Times New Roman"/>
      <w:lang w:eastAsia="lv-LV" w:bidi="lv-LV"/>
    </w:rPr>
  </w:style>
  <w:style w:type="paragraph" w:styleId="Footer">
    <w:name w:val="footer"/>
    <w:basedOn w:val="Normal"/>
    <w:link w:val="FooterChar"/>
    <w:uiPriority w:val="99"/>
    <w:unhideWhenUsed/>
    <w:rsid w:val="00AC212B"/>
    <w:pPr>
      <w:tabs>
        <w:tab w:val="center" w:pos="4535"/>
        <w:tab w:val="right" w:pos="9071"/>
        <w:tab w:val="right" w:pos="9921"/>
      </w:tabs>
      <w:spacing w:before="360" w:after="0"/>
      <w:ind w:left="-850" w:right="-850"/>
      <w:jc w:val="left"/>
    </w:pPr>
    <w:rPr>
      <w:szCs w:val="22"/>
    </w:rPr>
  </w:style>
  <w:style w:type="character" w:customStyle="1" w:styleId="FooterChar">
    <w:name w:val="Footer Char"/>
    <w:basedOn w:val="DefaultParagraphFont"/>
    <w:link w:val="Footer"/>
    <w:uiPriority w:val="99"/>
    <w:rsid w:val="00AC212B"/>
    <w:rPr>
      <w:rFonts w:eastAsia="Calibri" w:cs="Times New Roman"/>
      <w:lang w:eastAsia="lv-LV" w:bidi="lv-LV"/>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Char10"/>
    <w:basedOn w:val="Normal"/>
    <w:link w:val="FootnoteTextChar"/>
    <w:uiPriority w:val="99"/>
    <w:unhideWhenUsed/>
    <w:qFormat/>
    <w:rsid w:val="00AC212B"/>
    <w:pPr>
      <w:spacing w:before="0" w:after="0"/>
      <w:ind w:left="720" w:hanging="720"/>
    </w:pPr>
    <w:rPr>
      <w:sz w:val="20"/>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uiPriority w:val="99"/>
    <w:qFormat/>
    <w:rsid w:val="00AC212B"/>
    <w:rPr>
      <w:rFonts w:eastAsia="Calibri" w:cs="Times New Roman"/>
      <w:sz w:val="20"/>
      <w:szCs w:val="20"/>
      <w:lang w:eastAsia="lv-LV" w:bidi="lv-LV"/>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Footnote refere"/>
    <w:link w:val="FootnotesymbolCarZchn"/>
    <w:uiPriority w:val="99"/>
    <w:unhideWhenUsed/>
    <w:qFormat/>
    <w:rsid w:val="00AC212B"/>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AC212B"/>
    <w:pPr>
      <w:spacing w:before="0" w:after="160" w:line="240" w:lineRule="exact"/>
    </w:pPr>
    <w:rPr>
      <w:rFonts w:eastAsiaTheme="minorHAnsi" w:cstheme="minorBidi"/>
      <w:szCs w:val="22"/>
      <w:vertAlign w:val="superscript"/>
      <w:lang w:eastAsia="en-US" w:bidi="ar-SA"/>
    </w:rPr>
  </w:style>
  <w:style w:type="paragraph" w:customStyle="1" w:styleId="NormalCentered">
    <w:name w:val="Normal Centered"/>
    <w:basedOn w:val="Normal"/>
    <w:rsid w:val="00AC212B"/>
    <w:pPr>
      <w:jc w:val="center"/>
    </w:pPr>
  </w:style>
  <w:style w:type="paragraph" w:customStyle="1" w:styleId="Annexetitre">
    <w:name w:val="Annexe titre"/>
    <w:basedOn w:val="Normal"/>
    <w:next w:val="Normal"/>
    <w:link w:val="AnnexetitreChar"/>
    <w:rsid w:val="00AC212B"/>
    <w:pPr>
      <w:jc w:val="center"/>
    </w:pPr>
    <w:rPr>
      <w:b/>
      <w:u w:val="single"/>
    </w:rPr>
  </w:style>
  <w:style w:type="character" w:customStyle="1" w:styleId="AnnexetitreChar">
    <w:name w:val="Annexe titre Char"/>
    <w:basedOn w:val="DefaultParagraphFont"/>
    <w:link w:val="Annexetitre"/>
    <w:rsid w:val="00AC212B"/>
    <w:rPr>
      <w:rFonts w:eastAsia="Calibri" w:cs="Times New Roman"/>
      <w:b/>
      <w:szCs w:val="20"/>
      <w:u w:val="single"/>
      <w:lang w:eastAsia="lv-LV" w:bidi="lv-LV"/>
    </w:rPr>
  </w:style>
  <w:style w:type="paragraph" w:customStyle="1" w:styleId="Pagedecouverture">
    <w:name w:val="Page de couverture"/>
    <w:basedOn w:val="Normal"/>
    <w:next w:val="Normal"/>
    <w:rsid w:val="00AC212B"/>
    <w:pPr>
      <w:spacing w:before="0" w:after="0"/>
    </w:pPr>
  </w:style>
  <w:style w:type="character" w:customStyle="1" w:styleId="Marker">
    <w:name w:val="Marker"/>
    <w:basedOn w:val="DefaultParagraphFont"/>
    <w:rsid w:val="00AC212B"/>
    <w:rPr>
      <w:color w:val="0000FF"/>
      <w:shd w:val="clear" w:color="auto" w:fill="auto"/>
    </w:rPr>
  </w:style>
  <w:style w:type="paragraph" w:customStyle="1" w:styleId="FooterCoverPage">
    <w:name w:val="Footer Cover Page"/>
    <w:basedOn w:val="Normal"/>
    <w:link w:val="FooterCoverPageChar"/>
    <w:rsid w:val="00AC212B"/>
    <w:pPr>
      <w:tabs>
        <w:tab w:val="center" w:pos="4535"/>
        <w:tab w:val="right" w:pos="9071"/>
        <w:tab w:val="right" w:pos="9921"/>
      </w:tabs>
      <w:spacing w:before="360" w:after="0"/>
      <w:ind w:left="-850" w:right="-850"/>
      <w:jc w:val="left"/>
    </w:pPr>
    <w:rPr>
      <w:u w:val="single"/>
    </w:rPr>
  </w:style>
  <w:style w:type="character" w:customStyle="1" w:styleId="FooterCoverPageChar">
    <w:name w:val="Footer Cover Page Char"/>
    <w:basedOn w:val="AnnexetitreChar"/>
    <w:link w:val="FooterCoverPage"/>
    <w:rsid w:val="00AC212B"/>
    <w:rPr>
      <w:rFonts w:eastAsia="Calibri" w:cs="Times New Roman"/>
      <w:b w:val="0"/>
      <w:szCs w:val="20"/>
      <w:u w:val="single"/>
      <w:lang w:eastAsia="lv-LV" w:bidi="lv-LV"/>
    </w:rPr>
  </w:style>
  <w:style w:type="paragraph" w:customStyle="1" w:styleId="FooterSensitivity">
    <w:name w:val="Footer Sensitivity"/>
    <w:basedOn w:val="Normal"/>
    <w:link w:val="FooterSensitivityChar"/>
    <w:rsid w:val="00AC212B"/>
    <w:pPr>
      <w:pBdr>
        <w:top w:val="single" w:sz="4" w:space="1" w:color="auto"/>
        <w:left w:val="single" w:sz="4" w:space="4" w:color="auto"/>
        <w:bottom w:val="single" w:sz="4" w:space="1" w:color="auto"/>
        <w:right w:val="single" w:sz="4" w:space="4" w:color="auto"/>
      </w:pBdr>
      <w:spacing w:before="360" w:after="0"/>
      <w:ind w:left="113" w:right="113"/>
      <w:jc w:val="center"/>
    </w:pPr>
    <w:rPr>
      <w:b/>
      <w:sz w:val="32"/>
      <w:u w:val="single"/>
    </w:rPr>
  </w:style>
  <w:style w:type="character" w:customStyle="1" w:styleId="FooterSensitivityChar">
    <w:name w:val="Footer Sensitivity Char"/>
    <w:basedOn w:val="AnnexetitreChar"/>
    <w:link w:val="FooterSensitivity"/>
    <w:rsid w:val="00AC212B"/>
    <w:rPr>
      <w:rFonts w:eastAsia="Calibri" w:cs="Times New Roman"/>
      <w:b/>
      <w:sz w:val="32"/>
      <w:szCs w:val="20"/>
      <w:u w:val="single"/>
      <w:lang w:eastAsia="lv-LV" w:bidi="lv-LV"/>
    </w:rPr>
  </w:style>
  <w:style w:type="paragraph" w:customStyle="1" w:styleId="HeaderCoverPage">
    <w:name w:val="Header Cover Page"/>
    <w:basedOn w:val="Normal"/>
    <w:link w:val="HeaderCoverPageChar"/>
    <w:rsid w:val="00AC212B"/>
    <w:pPr>
      <w:tabs>
        <w:tab w:val="center" w:pos="4535"/>
        <w:tab w:val="right" w:pos="9071"/>
      </w:tabs>
      <w:spacing w:before="0"/>
    </w:pPr>
    <w:rPr>
      <w:u w:val="single"/>
    </w:rPr>
  </w:style>
  <w:style w:type="character" w:customStyle="1" w:styleId="HeaderCoverPageChar">
    <w:name w:val="Header Cover Page Char"/>
    <w:basedOn w:val="AnnexetitreChar"/>
    <w:link w:val="HeaderCoverPage"/>
    <w:rsid w:val="00AC212B"/>
    <w:rPr>
      <w:rFonts w:eastAsia="Calibri" w:cs="Times New Roman"/>
      <w:b w:val="0"/>
      <w:szCs w:val="20"/>
      <w:u w:val="single"/>
      <w:lang w:eastAsia="lv-LV" w:bidi="lv-LV"/>
    </w:rPr>
  </w:style>
  <w:style w:type="paragraph" w:customStyle="1" w:styleId="HeaderSensitivity">
    <w:name w:val="Header Sensitivity"/>
    <w:basedOn w:val="Normal"/>
    <w:link w:val="HeaderSensitivityChar"/>
    <w:rsid w:val="00AC212B"/>
    <w:pPr>
      <w:pBdr>
        <w:top w:val="single" w:sz="4" w:space="1" w:color="auto"/>
        <w:left w:val="single" w:sz="4" w:space="4" w:color="auto"/>
        <w:bottom w:val="single" w:sz="4" w:space="1" w:color="auto"/>
        <w:right w:val="single" w:sz="4" w:space="4" w:color="auto"/>
      </w:pBdr>
      <w:spacing w:before="0"/>
      <w:ind w:left="113" w:right="113"/>
      <w:jc w:val="center"/>
    </w:pPr>
    <w:rPr>
      <w:b/>
      <w:sz w:val="32"/>
      <w:u w:val="single"/>
    </w:rPr>
  </w:style>
  <w:style w:type="character" w:customStyle="1" w:styleId="HeaderSensitivityChar">
    <w:name w:val="Header Sensitivity Char"/>
    <w:basedOn w:val="AnnexetitreChar"/>
    <w:link w:val="HeaderSensitivity"/>
    <w:rsid w:val="00AC212B"/>
    <w:rPr>
      <w:rFonts w:eastAsia="Calibri" w:cs="Times New Roman"/>
      <w:b/>
      <w:sz w:val="32"/>
      <w:szCs w:val="20"/>
      <w:u w:val="single"/>
      <w:lang w:eastAsia="lv-LV" w:bidi="lv-LV"/>
    </w:rPr>
  </w:style>
  <w:style w:type="table" w:styleId="TableGrid">
    <w:name w:val="Table Grid"/>
    <w:basedOn w:val="TableNormal"/>
    <w:uiPriority w:val="59"/>
    <w:unhideWhenUsed/>
    <w:rsid w:val="00AC212B"/>
    <w:rPr>
      <w:rFonts w:asciiTheme="minorHAnsi" w:hAnsiTheme="minorHAnsi"/>
      <w:sz w:val="22"/>
      <w:lang w:eastAsia="lv-LV" w:bidi="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AC212B"/>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sid w:val="00AC212B"/>
    <w:rPr>
      <w:rFonts w:ascii="Tahoma" w:eastAsia="Calibri" w:hAnsi="Tahoma" w:cs="Tahoma"/>
      <w:sz w:val="16"/>
      <w:szCs w:val="16"/>
      <w:lang w:eastAsia="lv-LV" w:bidi="lv-LV"/>
    </w:rPr>
  </w:style>
  <w:style w:type="paragraph" w:customStyle="1" w:styleId="HeaderLandscape">
    <w:name w:val="HeaderLandscape"/>
    <w:basedOn w:val="Normal"/>
    <w:rsid w:val="00AC212B"/>
    <w:pPr>
      <w:tabs>
        <w:tab w:val="center" w:pos="7285"/>
        <w:tab w:val="right" w:pos="14003"/>
      </w:tabs>
      <w:spacing w:before="0"/>
    </w:pPr>
    <w:rPr>
      <w:rFonts w:eastAsiaTheme="minorHAnsi"/>
      <w:szCs w:val="22"/>
    </w:rPr>
  </w:style>
  <w:style w:type="paragraph" w:customStyle="1" w:styleId="FooterLandscape">
    <w:name w:val="FooterLandscape"/>
    <w:basedOn w:val="Normal"/>
    <w:rsid w:val="00AC212B"/>
    <w:pPr>
      <w:tabs>
        <w:tab w:val="center" w:pos="7285"/>
        <w:tab w:val="center" w:pos="10913"/>
        <w:tab w:val="right" w:pos="15137"/>
      </w:tabs>
      <w:spacing w:before="360" w:after="0"/>
      <w:ind w:left="-567" w:right="-567"/>
      <w:jc w:val="left"/>
    </w:pPr>
    <w:rPr>
      <w:rFonts w:eastAsiaTheme="minorHAnsi"/>
      <w:szCs w:val="22"/>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2"/>
    <w:basedOn w:val="Normal"/>
    <w:link w:val="ListParagraphChar"/>
    <w:uiPriority w:val="34"/>
    <w:qFormat/>
    <w:rsid w:val="00AC212B"/>
    <w:pPr>
      <w:spacing w:before="0" w:after="200" w:line="276" w:lineRule="auto"/>
      <w:ind w:left="720"/>
      <w:contextualSpacing/>
      <w:jc w:val="left"/>
    </w:pPr>
    <w:rPr>
      <w:rFonts w:asciiTheme="minorHAnsi" w:eastAsiaTheme="minorHAnsi" w:hAnsiTheme="minorHAnsi" w:cstheme="minorBidi"/>
      <w:sz w:val="22"/>
      <w:szCs w:val="22"/>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AC212B"/>
    <w:rPr>
      <w:rFonts w:asciiTheme="minorHAnsi" w:hAnsiTheme="minorHAnsi"/>
      <w:sz w:val="22"/>
      <w:lang w:eastAsia="lv-LV" w:bidi="lv-LV"/>
    </w:rPr>
  </w:style>
  <w:style w:type="character" w:styleId="CommentReference">
    <w:name w:val="annotation reference"/>
    <w:basedOn w:val="DefaultParagraphFont"/>
    <w:uiPriority w:val="99"/>
    <w:unhideWhenUsed/>
    <w:rsid w:val="00AC212B"/>
    <w:rPr>
      <w:sz w:val="16"/>
      <w:szCs w:val="16"/>
    </w:rPr>
  </w:style>
  <w:style w:type="paragraph" w:styleId="CommentText">
    <w:name w:val="annotation text"/>
    <w:basedOn w:val="Normal"/>
    <w:link w:val="CommentTextChar"/>
    <w:uiPriority w:val="99"/>
    <w:unhideWhenUsed/>
    <w:qFormat/>
    <w:rsid w:val="00AC212B"/>
    <w:pPr>
      <w:spacing w:before="0" w:after="200"/>
      <w:jc w:val="left"/>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qFormat/>
    <w:rsid w:val="00AC212B"/>
    <w:rPr>
      <w:rFonts w:asciiTheme="minorHAnsi" w:hAnsiTheme="minorHAnsi"/>
      <w:sz w:val="20"/>
      <w:szCs w:val="20"/>
      <w:lang w:eastAsia="lv-LV" w:bidi="lv-LV"/>
    </w:rPr>
  </w:style>
  <w:style w:type="paragraph" w:styleId="NoSpacing">
    <w:name w:val="No Spacing"/>
    <w:uiPriority w:val="1"/>
    <w:qFormat/>
    <w:rsid w:val="00AC212B"/>
    <w:rPr>
      <w:rFonts w:asciiTheme="minorHAnsi" w:hAnsiTheme="minorHAnsi"/>
      <w:sz w:val="22"/>
      <w:lang w:eastAsia="lv-LV" w:bidi="lv-LV"/>
    </w:rPr>
  </w:style>
  <w:style w:type="character" w:customStyle="1" w:styleId="Text1Char">
    <w:name w:val="Text 1 Char"/>
    <w:link w:val="Text1"/>
    <w:locked/>
    <w:rsid w:val="00AC212B"/>
  </w:style>
  <w:style w:type="paragraph" w:customStyle="1" w:styleId="Text1">
    <w:name w:val="Text 1"/>
    <w:basedOn w:val="Normal"/>
    <w:link w:val="Text1Char"/>
    <w:rsid w:val="00AC212B"/>
    <w:pPr>
      <w:ind w:left="850"/>
    </w:pPr>
    <w:rPr>
      <w:rFonts w:eastAsiaTheme="minorHAnsi" w:cstheme="minorBidi"/>
      <w:szCs w:val="22"/>
      <w:lang w:eastAsia="en-US" w:bidi="ar-SA"/>
    </w:rPr>
  </w:style>
  <w:style w:type="paragraph" w:customStyle="1" w:styleId="Default">
    <w:name w:val="Default"/>
    <w:rsid w:val="00AC212B"/>
    <w:pPr>
      <w:autoSpaceDE w:val="0"/>
      <w:autoSpaceDN w:val="0"/>
      <w:adjustRightInd w:val="0"/>
      <w:spacing w:after="200" w:line="276" w:lineRule="auto"/>
    </w:pPr>
    <w:rPr>
      <w:rFonts w:eastAsia="Times New Roman" w:cs="Times New Roman"/>
      <w:color w:val="000000"/>
      <w:szCs w:val="24"/>
      <w:lang w:eastAsia="lv-LV" w:bidi="lv-LV"/>
    </w:rPr>
  </w:style>
  <w:style w:type="paragraph" w:customStyle="1" w:styleId="CM4">
    <w:name w:val="CM4"/>
    <w:basedOn w:val="Normal"/>
    <w:next w:val="Normal"/>
    <w:uiPriority w:val="99"/>
    <w:rsid w:val="00AC212B"/>
    <w:pPr>
      <w:autoSpaceDE w:val="0"/>
      <w:autoSpaceDN w:val="0"/>
      <w:adjustRightInd w:val="0"/>
      <w:spacing w:before="0" w:after="0"/>
      <w:jc w:val="left"/>
    </w:pPr>
    <w:rPr>
      <w:rFonts w:ascii="EUAlbertina" w:eastAsia="Times New Roman" w:hAnsi="EUAlbertina"/>
      <w:szCs w:val="24"/>
    </w:rPr>
  </w:style>
  <w:style w:type="paragraph" w:customStyle="1" w:styleId="NumPar1">
    <w:name w:val="NumPar 1"/>
    <w:basedOn w:val="Normal"/>
    <w:next w:val="Normal"/>
    <w:rsid w:val="00AC212B"/>
    <w:pPr>
      <w:ind w:left="850"/>
    </w:pPr>
    <w:rPr>
      <w:rFonts w:eastAsiaTheme="minorHAnsi"/>
      <w:szCs w:val="22"/>
    </w:rPr>
  </w:style>
  <w:style w:type="paragraph" w:customStyle="1" w:styleId="Point0number">
    <w:name w:val="Point 0 (number)"/>
    <w:basedOn w:val="Normal"/>
    <w:rsid w:val="00AC212B"/>
    <w:pPr>
      <w:numPr>
        <w:numId w:val="3"/>
      </w:numPr>
    </w:pPr>
    <w:rPr>
      <w:rFonts w:eastAsiaTheme="minorHAnsi"/>
      <w:szCs w:val="22"/>
    </w:rPr>
  </w:style>
  <w:style w:type="paragraph" w:customStyle="1" w:styleId="Point1number">
    <w:name w:val="Point 1 (number)"/>
    <w:basedOn w:val="Normal"/>
    <w:rsid w:val="00AC212B"/>
    <w:pPr>
      <w:tabs>
        <w:tab w:val="num" w:pos="1417"/>
      </w:tabs>
      <w:ind w:left="1417" w:hanging="567"/>
    </w:pPr>
    <w:rPr>
      <w:rFonts w:eastAsiaTheme="minorHAnsi"/>
      <w:szCs w:val="22"/>
    </w:rPr>
  </w:style>
  <w:style w:type="paragraph" w:customStyle="1" w:styleId="Point2number">
    <w:name w:val="Point 2 (number)"/>
    <w:basedOn w:val="Normal"/>
    <w:rsid w:val="00AC212B"/>
    <w:pPr>
      <w:tabs>
        <w:tab w:val="num" w:pos="1984"/>
      </w:tabs>
      <w:ind w:left="1984" w:hanging="567"/>
    </w:pPr>
    <w:rPr>
      <w:rFonts w:eastAsiaTheme="minorHAnsi"/>
      <w:szCs w:val="22"/>
    </w:rPr>
  </w:style>
  <w:style w:type="paragraph" w:customStyle="1" w:styleId="Point3number">
    <w:name w:val="Point 3 (number)"/>
    <w:basedOn w:val="Normal"/>
    <w:rsid w:val="00AC212B"/>
    <w:pPr>
      <w:tabs>
        <w:tab w:val="num" w:pos="2551"/>
      </w:tabs>
      <w:ind w:left="2551" w:hanging="567"/>
    </w:pPr>
    <w:rPr>
      <w:rFonts w:eastAsiaTheme="minorHAnsi"/>
      <w:szCs w:val="22"/>
    </w:rPr>
  </w:style>
  <w:style w:type="paragraph" w:customStyle="1" w:styleId="Point0letter">
    <w:name w:val="Point 0 (letter)"/>
    <w:basedOn w:val="Normal"/>
    <w:rsid w:val="00AC212B"/>
    <w:pPr>
      <w:tabs>
        <w:tab w:val="num" w:pos="850"/>
      </w:tabs>
      <w:ind w:left="850" w:hanging="850"/>
    </w:pPr>
    <w:rPr>
      <w:rFonts w:eastAsiaTheme="minorHAnsi"/>
      <w:szCs w:val="22"/>
    </w:rPr>
  </w:style>
  <w:style w:type="paragraph" w:customStyle="1" w:styleId="Point1letter">
    <w:name w:val="Point 1 (letter)"/>
    <w:basedOn w:val="Normal"/>
    <w:rsid w:val="00AC212B"/>
    <w:pPr>
      <w:tabs>
        <w:tab w:val="num" w:pos="1417"/>
      </w:tabs>
      <w:ind w:left="1417" w:hanging="567"/>
    </w:pPr>
    <w:rPr>
      <w:rFonts w:eastAsiaTheme="minorHAnsi"/>
      <w:szCs w:val="22"/>
    </w:rPr>
  </w:style>
  <w:style w:type="paragraph" w:customStyle="1" w:styleId="Point3letter">
    <w:name w:val="Point 3 (letter)"/>
    <w:basedOn w:val="Normal"/>
    <w:rsid w:val="00AC212B"/>
    <w:pPr>
      <w:tabs>
        <w:tab w:val="num" w:pos="2551"/>
      </w:tabs>
      <w:ind w:left="2551" w:hanging="567"/>
    </w:pPr>
    <w:rPr>
      <w:rFonts w:eastAsiaTheme="minorHAnsi"/>
      <w:szCs w:val="22"/>
    </w:rPr>
  </w:style>
  <w:style w:type="paragraph" w:customStyle="1" w:styleId="Point4letter">
    <w:name w:val="Point 4 (letter)"/>
    <w:basedOn w:val="Normal"/>
    <w:rsid w:val="00AC212B"/>
    <w:pPr>
      <w:tabs>
        <w:tab w:val="num" w:pos="3118"/>
      </w:tabs>
      <w:ind w:left="3118" w:hanging="567"/>
    </w:pPr>
    <w:rPr>
      <w:rFonts w:eastAsiaTheme="minorHAnsi"/>
      <w:szCs w:val="22"/>
    </w:rPr>
  </w:style>
  <w:style w:type="character" w:styleId="PageNumber">
    <w:name w:val="page number"/>
    <w:rsid w:val="00AC212B"/>
  </w:style>
  <w:style w:type="paragraph" w:styleId="Title">
    <w:name w:val="Title"/>
    <w:basedOn w:val="Normal"/>
    <w:link w:val="TitleChar"/>
    <w:uiPriority w:val="10"/>
    <w:qFormat/>
    <w:rsid w:val="00AC212B"/>
    <w:pPr>
      <w:spacing w:before="240" w:after="60"/>
      <w:jc w:val="center"/>
      <w:outlineLvl w:val="0"/>
    </w:pPr>
    <w:rPr>
      <w:rFonts w:ascii="Arial" w:eastAsia="Times New Roman" w:hAnsi="Arial"/>
      <w:b/>
      <w:kern w:val="28"/>
      <w:sz w:val="32"/>
      <w:szCs w:val="22"/>
    </w:rPr>
  </w:style>
  <w:style w:type="character" w:customStyle="1" w:styleId="TitleChar">
    <w:name w:val="Title Char"/>
    <w:basedOn w:val="DefaultParagraphFont"/>
    <w:link w:val="Title"/>
    <w:uiPriority w:val="10"/>
    <w:rsid w:val="00AC212B"/>
    <w:rPr>
      <w:rFonts w:ascii="Arial" w:eastAsia="Times New Roman" w:hAnsi="Arial" w:cs="Times New Roman"/>
      <w:b/>
      <w:kern w:val="28"/>
      <w:sz w:val="32"/>
      <w:lang w:eastAsia="lv-LV" w:bidi="lv-LV"/>
    </w:rPr>
  </w:style>
  <w:style w:type="character" w:styleId="Hyperlink">
    <w:name w:val="Hyperlink"/>
    <w:uiPriority w:val="99"/>
    <w:unhideWhenUsed/>
    <w:rsid w:val="00AC212B"/>
    <w:rPr>
      <w:color w:val="0000FF"/>
      <w:u w:val="single"/>
    </w:rPr>
  </w:style>
  <w:style w:type="paragraph" w:styleId="CommentSubject">
    <w:name w:val="annotation subject"/>
    <w:basedOn w:val="CommentText"/>
    <w:next w:val="CommentText"/>
    <w:link w:val="CommentSubjectChar"/>
    <w:semiHidden/>
    <w:unhideWhenUsed/>
    <w:rsid w:val="00AC212B"/>
    <w:rPr>
      <w:b/>
      <w:bCs/>
    </w:rPr>
  </w:style>
  <w:style w:type="character" w:customStyle="1" w:styleId="CommentSubjectChar">
    <w:name w:val="Comment Subject Char"/>
    <w:basedOn w:val="CommentTextChar"/>
    <w:link w:val="CommentSubject"/>
    <w:semiHidden/>
    <w:rsid w:val="00AC212B"/>
    <w:rPr>
      <w:rFonts w:asciiTheme="minorHAnsi" w:hAnsiTheme="minorHAnsi"/>
      <w:b/>
      <w:bCs/>
      <w:sz w:val="20"/>
      <w:szCs w:val="20"/>
      <w:lang w:eastAsia="lv-LV" w:bidi="lv-LV"/>
    </w:rPr>
  </w:style>
  <w:style w:type="paragraph" w:styleId="ListBullet">
    <w:name w:val="List Bullet"/>
    <w:basedOn w:val="Normal"/>
    <w:unhideWhenUsed/>
    <w:rsid w:val="00AC212B"/>
    <w:pPr>
      <w:numPr>
        <w:numId w:val="4"/>
      </w:numPr>
      <w:contextualSpacing/>
    </w:pPr>
    <w:rPr>
      <w:szCs w:val="22"/>
    </w:rPr>
  </w:style>
  <w:style w:type="paragraph" w:styleId="ListBullet2">
    <w:name w:val="List Bullet 2"/>
    <w:basedOn w:val="Normal"/>
    <w:unhideWhenUsed/>
    <w:rsid w:val="00AC212B"/>
    <w:pPr>
      <w:numPr>
        <w:numId w:val="5"/>
      </w:numPr>
      <w:contextualSpacing/>
    </w:pPr>
    <w:rPr>
      <w:szCs w:val="22"/>
    </w:rPr>
  </w:style>
  <w:style w:type="paragraph" w:styleId="ListBullet3">
    <w:name w:val="List Bullet 3"/>
    <w:basedOn w:val="Normal"/>
    <w:unhideWhenUsed/>
    <w:rsid w:val="00AC212B"/>
    <w:pPr>
      <w:numPr>
        <w:numId w:val="6"/>
      </w:numPr>
      <w:contextualSpacing/>
    </w:pPr>
    <w:rPr>
      <w:szCs w:val="22"/>
    </w:rPr>
  </w:style>
  <w:style w:type="paragraph" w:styleId="ListBullet4">
    <w:name w:val="List Bullet 4"/>
    <w:basedOn w:val="Normal"/>
    <w:unhideWhenUsed/>
    <w:rsid w:val="00AC212B"/>
    <w:pPr>
      <w:numPr>
        <w:numId w:val="7"/>
      </w:numPr>
      <w:contextualSpacing/>
    </w:pPr>
    <w:rPr>
      <w:szCs w:val="22"/>
    </w:rPr>
  </w:style>
  <w:style w:type="paragraph" w:customStyle="1" w:styleId="AddressTL">
    <w:name w:val="AddressTL"/>
    <w:basedOn w:val="Normal"/>
    <w:next w:val="Normal"/>
    <w:rsid w:val="00AC212B"/>
    <w:pPr>
      <w:spacing w:before="0" w:after="720"/>
      <w:jc w:val="left"/>
    </w:pPr>
    <w:rPr>
      <w:rFonts w:eastAsia="Times New Roman"/>
      <w:szCs w:val="22"/>
    </w:rPr>
  </w:style>
  <w:style w:type="paragraph" w:customStyle="1" w:styleId="AddressTR">
    <w:name w:val="AddressTR"/>
    <w:basedOn w:val="Normal"/>
    <w:next w:val="Normal"/>
    <w:rsid w:val="00AC212B"/>
    <w:pPr>
      <w:spacing w:before="0" w:after="720"/>
      <w:ind w:left="5103"/>
      <w:jc w:val="left"/>
    </w:pPr>
    <w:rPr>
      <w:rFonts w:eastAsia="Times New Roman"/>
      <w:szCs w:val="22"/>
    </w:rPr>
  </w:style>
  <w:style w:type="paragraph" w:styleId="BlockText">
    <w:name w:val="Block Text"/>
    <w:basedOn w:val="Normal"/>
    <w:rsid w:val="00AC212B"/>
    <w:pPr>
      <w:spacing w:before="0"/>
      <w:ind w:left="1440" w:right="1440"/>
    </w:pPr>
    <w:rPr>
      <w:rFonts w:eastAsia="Times New Roman"/>
      <w:szCs w:val="22"/>
    </w:rPr>
  </w:style>
  <w:style w:type="paragraph" w:styleId="BodyText">
    <w:name w:val="Body Text"/>
    <w:basedOn w:val="Normal"/>
    <w:link w:val="BodyTextChar"/>
    <w:rsid w:val="00AC212B"/>
    <w:pPr>
      <w:spacing w:before="0"/>
    </w:pPr>
    <w:rPr>
      <w:rFonts w:eastAsia="Times New Roman"/>
      <w:szCs w:val="22"/>
    </w:rPr>
  </w:style>
  <w:style w:type="character" w:customStyle="1" w:styleId="BodyTextChar">
    <w:name w:val="Body Text Char"/>
    <w:basedOn w:val="DefaultParagraphFont"/>
    <w:link w:val="BodyText"/>
    <w:rsid w:val="00AC212B"/>
    <w:rPr>
      <w:rFonts w:eastAsia="Times New Roman" w:cs="Times New Roman"/>
      <w:lang w:eastAsia="lv-LV" w:bidi="lv-LV"/>
    </w:rPr>
  </w:style>
  <w:style w:type="paragraph" w:styleId="BodyText2">
    <w:name w:val="Body Text 2"/>
    <w:basedOn w:val="Normal"/>
    <w:link w:val="BodyText2Char"/>
    <w:rsid w:val="00AC212B"/>
    <w:pPr>
      <w:spacing w:before="0" w:line="480" w:lineRule="auto"/>
    </w:pPr>
    <w:rPr>
      <w:rFonts w:eastAsia="Times New Roman"/>
      <w:szCs w:val="22"/>
    </w:rPr>
  </w:style>
  <w:style w:type="character" w:customStyle="1" w:styleId="BodyText2Char">
    <w:name w:val="Body Text 2 Char"/>
    <w:basedOn w:val="DefaultParagraphFont"/>
    <w:link w:val="BodyText2"/>
    <w:rsid w:val="00AC212B"/>
    <w:rPr>
      <w:rFonts w:eastAsia="Times New Roman" w:cs="Times New Roman"/>
      <w:lang w:eastAsia="lv-LV" w:bidi="lv-LV"/>
    </w:rPr>
  </w:style>
  <w:style w:type="paragraph" w:styleId="BodyText3">
    <w:name w:val="Body Text 3"/>
    <w:basedOn w:val="Normal"/>
    <w:link w:val="BodyText3Char"/>
    <w:rsid w:val="00AC212B"/>
    <w:pPr>
      <w:spacing w:before="0"/>
    </w:pPr>
    <w:rPr>
      <w:rFonts w:eastAsia="Times New Roman"/>
      <w:sz w:val="16"/>
      <w:szCs w:val="22"/>
    </w:rPr>
  </w:style>
  <w:style w:type="character" w:customStyle="1" w:styleId="BodyText3Char">
    <w:name w:val="Body Text 3 Char"/>
    <w:basedOn w:val="DefaultParagraphFont"/>
    <w:link w:val="BodyText3"/>
    <w:rsid w:val="00AC212B"/>
    <w:rPr>
      <w:rFonts w:eastAsia="Times New Roman" w:cs="Times New Roman"/>
      <w:sz w:val="16"/>
      <w:lang w:eastAsia="lv-LV" w:bidi="lv-LV"/>
    </w:rPr>
  </w:style>
  <w:style w:type="paragraph" w:styleId="BodyTextFirstIndent">
    <w:name w:val="Body Text First Indent"/>
    <w:basedOn w:val="BodyText"/>
    <w:link w:val="BodyTextFirstIndentChar"/>
    <w:rsid w:val="00AC212B"/>
    <w:pPr>
      <w:ind w:firstLine="210"/>
    </w:pPr>
  </w:style>
  <w:style w:type="character" w:customStyle="1" w:styleId="BodyTextFirstIndentChar">
    <w:name w:val="Body Text First Indent Char"/>
    <w:basedOn w:val="BodyTextChar"/>
    <w:link w:val="BodyTextFirstIndent"/>
    <w:rsid w:val="00AC212B"/>
    <w:rPr>
      <w:rFonts w:eastAsia="Times New Roman" w:cs="Times New Roman"/>
      <w:lang w:eastAsia="lv-LV" w:bidi="lv-LV"/>
    </w:rPr>
  </w:style>
  <w:style w:type="paragraph" w:styleId="BodyTextIndent">
    <w:name w:val="Body Text Indent"/>
    <w:basedOn w:val="Normal"/>
    <w:link w:val="BodyTextIndentChar"/>
    <w:rsid w:val="00AC212B"/>
    <w:pPr>
      <w:spacing w:before="0"/>
      <w:ind w:left="283"/>
    </w:pPr>
    <w:rPr>
      <w:rFonts w:eastAsia="Times New Roman"/>
      <w:szCs w:val="22"/>
    </w:rPr>
  </w:style>
  <w:style w:type="character" w:customStyle="1" w:styleId="BodyTextIndentChar">
    <w:name w:val="Body Text Indent Char"/>
    <w:basedOn w:val="DefaultParagraphFont"/>
    <w:link w:val="BodyTextIndent"/>
    <w:rsid w:val="00AC212B"/>
    <w:rPr>
      <w:rFonts w:eastAsia="Times New Roman" w:cs="Times New Roman"/>
      <w:lang w:eastAsia="lv-LV" w:bidi="lv-LV"/>
    </w:rPr>
  </w:style>
  <w:style w:type="paragraph" w:styleId="BodyTextFirstIndent2">
    <w:name w:val="Body Text First Indent 2"/>
    <w:basedOn w:val="BodyTextIndent"/>
    <w:link w:val="BodyTextFirstIndent2Char"/>
    <w:rsid w:val="00AC212B"/>
    <w:pPr>
      <w:ind w:firstLine="210"/>
    </w:pPr>
  </w:style>
  <w:style w:type="character" w:customStyle="1" w:styleId="BodyTextFirstIndent2Char">
    <w:name w:val="Body Text First Indent 2 Char"/>
    <w:basedOn w:val="BodyTextIndentChar"/>
    <w:link w:val="BodyTextFirstIndent2"/>
    <w:rsid w:val="00AC212B"/>
    <w:rPr>
      <w:rFonts w:eastAsia="Times New Roman" w:cs="Times New Roman"/>
      <w:lang w:eastAsia="lv-LV" w:bidi="lv-LV"/>
    </w:rPr>
  </w:style>
  <w:style w:type="paragraph" w:styleId="BodyTextIndent2">
    <w:name w:val="Body Text Indent 2"/>
    <w:basedOn w:val="Normal"/>
    <w:link w:val="BodyTextIndent2Char"/>
    <w:rsid w:val="00AC212B"/>
    <w:pPr>
      <w:spacing w:before="0" w:line="480" w:lineRule="auto"/>
      <w:ind w:left="283"/>
    </w:pPr>
    <w:rPr>
      <w:rFonts w:eastAsia="Times New Roman"/>
      <w:szCs w:val="22"/>
    </w:rPr>
  </w:style>
  <w:style w:type="character" w:customStyle="1" w:styleId="BodyTextIndent2Char">
    <w:name w:val="Body Text Indent 2 Char"/>
    <w:basedOn w:val="DefaultParagraphFont"/>
    <w:link w:val="BodyTextIndent2"/>
    <w:rsid w:val="00AC212B"/>
    <w:rPr>
      <w:rFonts w:eastAsia="Times New Roman" w:cs="Times New Roman"/>
      <w:lang w:eastAsia="lv-LV" w:bidi="lv-LV"/>
    </w:rPr>
  </w:style>
  <w:style w:type="paragraph" w:styleId="BodyTextIndent3">
    <w:name w:val="Body Text Indent 3"/>
    <w:basedOn w:val="Normal"/>
    <w:link w:val="BodyTextIndent3Char"/>
    <w:rsid w:val="00AC212B"/>
    <w:pPr>
      <w:spacing w:before="0"/>
      <w:ind w:left="283"/>
    </w:pPr>
    <w:rPr>
      <w:rFonts w:eastAsia="Times New Roman"/>
      <w:sz w:val="16"/>
      <w:szCs w:val="22"/>
    </w:rPr>
  </w:style>
  <w:style w:type="character" w:customStyle="1" w:styleId="BodyTextIndent3Char">
    <w:name w:val="Body Text Indent 3 Char"/>
    <w:basedOn w:val="DefaultParagraphFont"/>
    <w:link w:val="BodyTextIndent3"/>
    <w:rsid w:val="00AC212B"/>
    <w:rPr>
      <w:rFonts w:eastAsia="Times New Roman" w:cs="Times New Roman"/>
      <w:sz w:val="16"/>
      <w:lang w:eastAsia="lv-LV" w:bidi="lv-LV"/>
    </w:rPr>
  </w:style>
  <w:style w:type="paragraph" w:styleId="Caption">
    <w:name w:val="caption"/>
    <w:basedOn w:val="Normal"/>
    <w:next w:val="Normal"/>
    <w:qFormat/>
    <w:rsid w:val="00AC212B"/>
    <w:rPr>
      <w:rFonts w:eastAsia="Times New Roman"/>
      <w:b/>
      <w:szCs w:val="22"/>
    </w:rPr>
  </w:style>
  <w:style w:type="paragraph" w:styleId="Closing">
    <w:name w:val="Closing"/>
    <w:basedOn w:val="Normal"/>
    <w:next w:val="Signature"/>
    <w:link w:val="ClosingChar"/>
    <w:rsid w:val="00AC212B"/>
    <w:pPr>
      <w:tabs>
        <w:tab w:val="left" w:pos="5103"/>
      </w:tabs>
      <w:spacing w:before="240" w:after="240"/>
      <w:ind w:left="5103"/>
      <w:jc w:val="left"/>
    </w:pPr>
    <w:rPr>
      <w:rFonts w:eastAsia="Times New Roman"/>
      <w:szCs w:val="22"/>
    </w:rPr>
  </w:style>
  <w:style w:type="paragraph" w:styleId="Signature">
    <w:name w:val="Signature"/>
    <w:basedOn w:val="Normal"/>
    <w:next w:val="Contact"/>
    <w:link w:val="SignatureChar"/>
    <w:uiPriority w:val="99"/>
    <w:rsid w:val="00AC212B"/>
    <w:pPr>
      <w:tabs>
        <w:tab w:val="left" w:pos="5103"/>
      </w:tabs>
      <w:spacing w:before="1200" w:after="0"/>
      <w:ind w:left="5103"/>
      <w:jc w:val="center"/>
    </w:pPr>
    <w:rPr>
      <w:rFonts w:eastAsia="Times New Roman"/>
      <w:szCs w:val="22"/>
    </w:rPr>
  </w:style>
  <w:style w:type="paragraph" w:customStyle="1" w:styleId="Contact">
    <w:name w:val="Contact"/>
    <w:basedOn w:val="Normal"/>
    <w:next w:val="Enclosures"/>
    <w:rsid w:val="00AC212B"/>
    <w:pPr>
      <w:spacing w:before="480" w:after="0"/>
      <w:ind w:left="567" w:hanging="567"/>
      <w:jc w:val="left"/>
    </w:pPr>
    <w:rPr>
      <w:rFonts w:eastAsia="Times New Roman"/>
      <w:szCs w:val="22"/>
    </w:rPr>
  </w:style>
  <w:style w:type="paragraph" w:customStyle="1" w:styleId="Enclosures">
    <w:name w:val="Enclosures"/>
    <w:basedOn w:val="Normal"/>
    <w:next w:val="Participants"/>
    <w:rsid w:val="00AC212B"/>
    <w:pPr>
      <w:keepNext/>
      <w:keepLines/>
      <w:tabs>
        <w:tab w:val="left" w:pos="5670"/>
      </w:tabs>
      <w:spacing w:before="480" w:after="0"/>
      <w:ind w:left="1985" w:hanging="1985"/>
      <w:jc w:val="left"/>
    </w:pPr>
    <w:rPr>
      <w:rFonts w:eastAsia="Times New Roman"/>
      <w:szCs w:val="22"/>
    </w:rPr>
  </w:style>
  <w:style w:type="paragraph" w:customStyle="1" w:styleId="Participants">
    <w:name w:val="Participants"/>
    <w:basedOn w:val="Normal"/>
    <w:next w:val="Copies"/>
    <w:rsid w:val="00AC212B"/>
    <w:pPr>
      <w:tabs>
        <w:tab w:val="left" w:pos="2552"/>
        <w:tab w:val="left" w:pos="2835"/>
        <w:tab w:val="left" w:pos="5670"/>
        <w:tab w:val="left" w:pos="6379"/>
        <w:tab w:val="left" w:pos="6804"/>
      </w:tabs>
      <w:spacing w:before="480" w:after="0"/>
      <w:ind w:left="1985" w:hanging="1985"/>
      <w:jc w:val="left"/>
    </w:pPr>
    <w:rPr>
      <w:rFonts w:eastAsia="Times New Roman"/>
      <w:szCs w:val="22"/>
    </w:rPr>
  </w:style>
  <w:style w:type="paragraph" w:customStyle="1" w:styleId="Copies">
    <w:name w:val="Copies"/>
    <w:basedOn w:val="Normal"/>
    <w:next w:val="Normal"/>
    <w:rsid w:val="00AC212B"/>
    <w:pPr>
      <w:tabs>
        <w:tab w:val="left" w:pos="2552"/>
        <w:tab w:val="left" w:pos="2835"/>
        <w:tab w:val="left" w:pos="5670"/>
        <w:tab w:val="left" w:pos="6379"/>
        <w:tab w:val="left" w:pos="6804"/>
      </w:tabs>
      <w:spacing w:before="480" w:after="0"/>
      <w:ind w:left="1985" w:hanging="1985"/>
      <w:jc w:val="left"/>
    </w:pPr>
    <w:rPr>
      <w:rFonts w:eastAsia="Times New Roman"/>
      <w:szCs w:val="22"/>
    </w:rPr>
  </w:style>
  <w:style w:type="character" w:customStyle="1" w:styleId="SignatureChar">
    <w:name w:val="Signature Char"/>
    <w:basedOn w:val="DefaultParagraphFont"/>
    <w:link w:val="Signature"/>
    <w:uiPriority w:val="99"/>
    <w:rsid w:val="00AC212B"/>
    <w:rPr>
      <w:rFonts w:eastAsia="Times New Roman" w:cs="Times New Roman"/>
      <w:lang w:eastAsia="lv-LV" w:bidi="lv-LV"/>
    </w:rPr>
  </w:style>
  <w:style w:type="character" w:customStyle="1" w:styleId="ClosingChar">
    <w:name w:val="Closing Char"/>
    <w:basedOn w:val="DefaultParagraphFont"/>
    <w:link w:val="Closing"/>
    <w:rsid w:val="00AC212B"/>
    <w:rPr>
      <w:rFonts w:eastAsia="Times New Roman" w:cs="Times New Roman"/>
      <w:lang w:eastAsia="lv-LV" w:bidi="lv-LV"/>
    </w:rPr>
  </w:style>
  <w:style w:type="paragraph" w:styleId="Date">
    <w:name w:val="Date"/>
    <w:basedOn w:val="Normal"/>
    <w:next w:val="References"/>
    <w:link w:val="DateChar"/>
    <w:rsid w:val="00AC212B"/>
    <w:pPr>
      <w:spacing w:before="0" w:after="0"/>
      <w:ind w:left="5103" w:right="-567"/>
      <w:jc w:val="left"/>
    </w:pPr>
    <w:rPr>
      <w:rFonts w:eastAsia="Times New Roman"/>
      <w:szCs w:val="22"/>
    </w:rPr>
  </w:style>
  <w:style w:type="paragraph" w:customStyle="1" w:styleId="References">
    <w:name w:val="References"/>
    <w:basedOn w:val="Normal"/>
    <w:next w:val="AddressTR"/>
    <w:rsid w:val="00AC212B"/>
    <w:pPr>
      <w:spacing w:before="0" w:after="240"/>
      <w:ind w:left="5103"/>
      <w:jc w:val="left"/>
    </w:pPr>
    <w:rPr>
      <w:rFonts w:eastAsia="Times New Roman"/>
      <w:sz w:val="20"/>
      <w:szCs w:val="22"/>
    </w:rPr>
  </w:style>
  <w:style w:type="character" w:customStyle="1" w:styleId="DateChar">
    <w:name w:val="Date Char"/>
    <w:basedOn w:val="DefaultParagraphFont"/>
    <w:link w:val="Date"/>
    <w:rsid w:val="00AC212B"/>
    <w:rPr>
      <w:rFonts w:eastAsia="Times New Roman" w:cs="Times New Roman"/>
      <w:lang w:eastAsia="lv-LV" w:bidi="lv-LV"/>
    </w:rPr>
  </w:style>
  <w:style w:type="paragraph" w:styleId="DocumentMap">
    <w:name w:val="Document Map"/>
    <w:basedOn w:val="Normal"/>
    <w:link w:val="DocumentMapChar"/>
    <w:semiHidden/>
    <w:rsid w:val="00AC212B"/>
    <w:pPr>
      <w:shd w:val="clear" w:color="auto" w:fill="000080"/>
      <w:spacing w:before="0" w:after="240"/>
    </w:pPr>
    <w:rPr>
      <w:rFonts w:ascii="Tahoma" w:eastAsia="Times New Roman" w:hAnsi="Tahoma"/>
      <w:szCs w:val="22"/>
    </w:rPr>
  </w:style>
  <w:style w:type="character" w:customStyle="1" w:styleId="DocumentMapChar">
    <w:name w:val="Document Map Char"/>
    <w:basedOn w:val="DefaultParagraphFont"/>
    <w:link w:val="DocumentMap"/>
    <w:semiHidden/>
    <w:rsid w:val="00AC212B"/>
    <w:rPr>
      <w:rFonts w:ascii="Tahoma" w:eastAsia="Times New Roman" w:hAnsi="Tahoma" w:cs="Times New Roman"/>
      <w:shd w:val="clear" w:color="auto" w:fill="000080"/>
      <w:lang w:eastAsia="lv-LV" w:bidi="lv-LV"/>
    </w:rPr>
  </w:style>
  <w:style w:type="paragraph" w:customStyle="1" w:styleId="DoubSign">
    <w:name w:val="DoubSign"/>
    <w:basedOn w:val="Normal"/>
    <w:next w:val="Contact"/>
    <w:rsid w:val="00AC212B"/>
    <w:pPr>
      <w:tabs>
        <w:tab w:val="left" w:pos="5103"/>
      </w:tabs>
      <w:spacing w:before="1200" w:after="0"/>
      <w:jc w:val="left"/>
    </w:pPr>
    <w:rPr>
      <w:rFonts w:eastAsia="Times New Roman"/>
      <w:szCs w:val="22"/>
    </w:rPr>
  </w:style>
  <w:style w:type="paragraph" w:styleId="EndnoteText">
    <w:name w:val="endnote text"/>
    <w:basedOn w:val="Normal"/>
    <w:link w:val="EndnoteTextChar"/>
    <w:semiHidden/>
    <w:rsid w:val="00AC212B"/>
    <w:pPr>
      <w:spacing w:before="0" w:after="240"/>
    </w:pPr>
    <w:rPr>
      <w:rFonts w:eastAsia="Times New Roman"/>
      <w:sz w:val="20"/>
      <w:szCs w:val="22"/>
    </w:rPr>
  </w:style>
  <w:style w:type="character" w:customStyle="1" w:styleId="EndnoteTextChar">
    <w:name w:val="Endnote Text Char"/>
    <w:basedOn w:val="DefaultParagraphFont"/>
    <w:link w:val="EndnoteText"/>
    <w:semiHidden/>
    <w:rsid w:val="00AC212B"/>
    <w:rPr>
      <w:rFonts w:eastAsia="Times New Roman" w:cs="Times New Roman"/>
      <w:sz w:val="20"/>
      <w:lang w:eastAsia="lv-LV" w:bidi="lv-LV"/>
    </w:rPr>
  </w:style>
  <w:style w:type="paragraph" w:styleId="EnvelopeAddress">
    <w:name w:val="envelope address"/>
    <w:basedOn w:val="Normal"/>
    <w:rsid w:val="00AC212B"/>
    <w:pPr>
      <w:framePr w:w="7920" w:h="1980" w:hRule="exact" w:hSpace="180" w:wrap="auto" w:hAnchor="page" w:xAlign="center" w:yAlign="bottom"/>
      <w:spacing w:before="0" w:after="0"/>
    </w:pPr>
    <w:rPr>
      <w:rFonts w:eastAsia="Times New Roman"/>
      <w:szCs w:val="22"/>
    </w:rPr>
  </w:style>
  <w:style w:type="paragraph" w:styleId="EnvelopeReturn">
    <w:name w:val="envelope return"/>
    <w:basedOn w:val="Normal"/>
    <w:rsid w:val="00AC212B"/>
    <w:pPr>
      <w:spacing w:before="0" w:after="0"/>
    </w:pPr>
    <w:rPr>
      <w:rFonts w:eastAsia="Times New Roman"/>
      <w:sz w:val="20"/>
      <w:szCs w:val="22"/>
    </w:rPr>
  </w:style>
  <w:style w:type="paragraph" w:styleId="Index1">
    <w:name w:val="index 1"/>
    <w:basedOn w:val="Normal"/>
    <w:next w:val="Normal"/>
    <w:autoRedefine/>
    <w:semiHidden/>
    <w:rsid w:val="00AC212B"/>
    <w:pPr>
      <w:spacing w:before="0" w:after="240"/>
      <w:ind w:left="240" w:hanging="240"/>
    </w:pPr>
    <w:rPr>
      <w:rFonts w:eastAsia="Times New Roman"/>
      <w:szCs w:val="22"/>
    </w:rPr>
  </w:style>
  <w:style w:type="paragraph" w:styleId="Index2">
    <w:name w:val="index 2"/>
    <w:basedOn w:val="Normal"/>
    <w:next w:val="Normal"/>
    <w:autoRedefine/>
    <w:semiHidden/>
    <w:rsid w:val="00AC212B"/>
    <w:pPr>
      <w:spacing w:before="0" w:after="240"/>
      <w:ind w:left="480" w:hanging="240"/>
    </w:pPr>
    <w:rPr>
      <w:rFonts w:eastAsia="Times New Roman"/>
      <w:szCs w:val="22"/>
    </w:rPr>
  </w:style>
  <w:style w:type="paragraph" w:styleId="Index3">
    <w:name w:val="index 3"/>
    <w:basedOn w:val="Normal"/>
    <w:next w:val="Normal"/>
    <w:autoRedefine/>
    <w:semiHidden/>
    <w:rsid w:val="00AC212B"/>
    <w:pPr>
      <w:spacing w:before="0" w:after="240"/>
      <w:ind w:left="720" w:hanging="240"/>
    </w:pPr>
    <w:rPr>
      <w:rFonts w:eastAsia="Times New Roman"/>
      <w:szCs w:val="22"/>
    </w:rPr>
  </w:style>
  <w:style w:type="paragraph" w:styleId="Index4">
    <w:name w:val="index 4"/>
    <w:basedOn w:val="Normal"/>
    <w:next w:val="Normal"/>
    <w:autoRedefine/>
    <w:semiHidden/>
    <w:rsid w:val="00AC212B"/>
    <w:pPr>
      <w:spacing w:before="0" w:after="240"/>
      <w:ind w:left="960" w:hanging="240"/>
    </w:pPr>
    <w:rPr>
      <w:rFonts w:eastAsia="Times New Roman"/>
      <w:szCs w:val="22"/>
    </w:rPr>
  </w:style>
  <w:style w:type="paragraph" w:styleId="Index5">
    <w:name w:val="index 5"/>
    <w:basedOn w:val="Normal"/>
    <w:next w:val="Normal"/>
    <w:autoRedefine/>
    <w:semiHidden/>
    <w:rsid w:val="00AC212B"/>
    <w:pPr>
      <w:spacing w:before="0" w:after="240"/>
      <w:ind w:left="1200" w:hanging="240"/>
    </w:pPr>
    <w:rPr>
      <w:rFonts w:eastAsia="Times New Roman"/>
      <w:szCs w:val="22"/>
    </w:rPr>
  </w:style>
  <w:style w:type="paragraph" w:styleId="Index6">
    <w:name w:val="index 6"/>
    <w:basedOn w:val="Normal"/>
    <w:next w:val="Normal"/>
    <w:autoRedefine/>
    <w:semiHidden/>
    <w:rsid w:val="00AC212B"/>
    <w:pPr>
      <w:spacing w:before="0" w:after="240"/>
      <w:ind w:left="1440" w:hanging="240"/>
    </w:pPr>
    <w:rPr>
      <w:rFonts w:eastAsia="Times New Roman"/>
      <w:szCs w:val="22"/>
    </w:rPr>
  </w:style>
  <w:style w:type="paragraph" w:styleId="Index7">
    <w:name w:val="index 7"/>
    <w:basedOn w:val="Normal"/>
    <w:next w:val="Normal"/>
    <w:autoRedefine/>
    <w:semiHidden/>
    <w:rsid w:val="00AC212B"/>
    <w:pPr>
      <w:spacing w:before="0" w:after="240"/>
      <w:ind w:left="1680" w:hanging="240"/>
    </w:pPr>
    <w:rPr>
      <w:rFonts w:eastAsia="Times New Roman"/>
      <w:szCs w:val="22"/>
    </w:rPr>
  </w:style>
  <w:style w:type="paragraph" w:styleId="Index8">
    <w:name w:val="index 8"/>
    <w:basedOn w:val="Normal"/>
    <w:next w:val="Normal"/>
    <w:autoRedefine/>
    <w:semiHidden/>
    <w:rsid w:val="00AC212B"/>
    <w:pPr>
      <w:spacing w:before="0" w:after="240"/>
      <w:ind w:left="1920" w:hanging="240"/>
    </w:pPr>
    <w:rPr>
      <w:rFonts w:eastAsia="Times New Roman"/>
      <w:szCs w:val="22"/>
    </w:rPr>
  </w:style>
  <w:style w:type="paragraph" w:styleId="Index9">
    <w:name w:val="index 9"/>
    <w:basedOn w:val="Normal"/>
    <w:next w:val="Normal"/>
    <w:autoRedefine/>
    <w:semiHidden/>
    <w:rsid w:val="00AC212B"/>
    <w:pPr>
      <w:spacing w:before="0" w:after="240"/>
      <w:ind w:left="2160" w:hanging="240"/>
    </w:pPr>
    <w:rPr>
      <w:rFonts w:eastAsia="Times New Roman"/>
      <w:szCs w:val="22"/>
    </w:rPr>
  </w:style>
  <w:style w:type="paragraph" w:styleId="IndexHeading">
    <w:name w:val="index heading"/>
    <w:basedOn w:val="Normal"/>
    <w:next w:val="Index1"/>
    <w:semiHidden/>
    <w:rsid w:val="00AC212B"/>
    <w:pPr>
      <w:spacing w:before="0" w:after="240"/>
    </w:pPr>
    <w:rPr>
      <w:rFonts w:ascii="Arial" w:eastAsia="Times New Roman" w:hAnsi="Arial"/>
      <w:b/>
      <w:szCs w:val="22"/>
    </w:rPr>
  </w:style>
  <w:style w:type="paragraph" w:styleId="List">
    <w:name w:val="List"/>
    <w:basedOn w:val="Normal"/>
    <w:rsid w:val="00AC212B"/>
    <w:pPr>
      <w:spacing w:before="0" w:after="240"/>
      <w:ind w:left="283" w:hanging="283"/>
    </w:pPr>
    <w:rPr>
      <w:rFonts w:eastAsia="Times New Roman"/>
      <w:szCs w:val="22"/>
    </w:rPr>
  </w:style>
  <w:style w:type="paragraph" w:styleId="List2">
    <w:name w:val="List 2"/>
    <w:basedOn w:val="Normal"/>
    <w:rsid w:val="00AC212B"/>
    <w:pPr>
      <w:spacing w:before="0" w:after="240"/>
      <w:ind w:left="566" w:hanging="283"/>
    </w:pPr>
    <w:rPr>
      <w:rFonts w:eastAsia="Times New Roman"/>
      <w:szCs w:val="22"/>
    </w:rPr>
  </w:style>
  <w:style w:type="paragraph" w:styleId="List3">
    <w:name w:val="List 3"/>
    <w:basedOn w:val="Normal"/>
    <w:rsid w:val="00AC212B"/>
    <w:pPr>
      <w:spacing w:before="0" w:after="240"/>
      <w:ind w:left="849" w:hanging="283"/>
    </w:pPr>
    <w:rPr>
      <w:rFonts w:eastAsia="Times New Roman"/>
      <w:szCs w:val="22"/>
    </w:rPr>
  </w:style>
  <w:style w:type="paragraph" w:styleId="List4">
    <w:name w:val="List 4"/>
    <w:basedOn w:val="Normal"/>
    <w:rsid w:val="00AC212B"/>
    <w:pPr>
      <w:spacing w:before="0" w:after="240"/>
      <w:ind w:left="1132" w:hanging="283"/>
    </w:pPr>
    <w:rPr>
      <w:rFonts w:eastAsia="Times New Roman"/>
      <w:szCs w:val="22"/>
    </w:rPr>
  </w:style>
  <w:style w:type="paragraph" w:styleId="List5">
    <w:name w:val="List 5"/>
    <w:basedOn w:val="Normal"/>
    <w:rsid w:val="00AC212B"/>
    <w:pPr>
      <w:spacing w:before="0" w:after="240"/>
      <w:ind w:left="1415" w:hanging="283"/>
    </w:pPr>
    <w:rPr>
      <w:rFonts w:eastAsia="Times New Roman"/>
      <w:szCs w:val="22"/>
    </w:rPr>
  </w:style>
  <w:style w:type="paragraph" w:styleId="ListBullet5">
    <w:name w:val="List Bullet 5"/>
    <w:basedOn w:val="Normal"/>
    <w:autoRedefine/>
    <w:rsid w:val="00AC212B"/>
    <w:pPr>
      <w:numPr>
        <w:numId w:val="8"/>
      </w:numPr>
      <w:spacing w:before="0" w:after="240"/>
    </w:pPr>
    <w:rPr>
      <w:rFonts w:eastAsia="Times New Roman"/>
      <w:szCs w:val="22"/>
    </w:rPr>
  </w:style>
  <w:style w:type="paragraph" w:styleId="ListContinue">
    <w:name w:val="List Continue"/>
    <w:basedOn w:val="Normal"/>
    <w:rsid w:val="00AC212B"/>
    <w:pPr>
      <w:spacing w:before="0"/>
      <w:ind w:left="283"/>
    </w:pPr>
    <w:rPr>
      <w:rFonts w:eastAsia="Times New Roman"/>
      <w:szCs w:val="22"/>
    </w:rPr>
  </w:style>
  <w:style w:type="paragraph" w:styleId="ListContinue2">
    <w:name w:val="List Continue 2"/>
    <w:basedOn w:val="Normal"/>
    <w:rsid w:val="00AC212B"/>
    <w:pPr>
      <w:spacing w:before="0"/>
      <w:ind w:left="566"/>
    </w:pPr>
    <w:rPr>
      <w:rFonts w:eastAsia="Times New Roman"/>
      <w:szCs w:val="22"/>
    </w:rPr>
  </w:style>
  <w:style w:type="paragraph" w:styleId="ListContinue3">
    <w:name w:val="List Continue 3"/>
    <w:basedOn w:val="Normal"/>
    <w:rsid w:val="00AC212B"/>
    <w:pPr>
      <w:spacing w:before="0"/>
      <w:ind w:left="849"/>
    </w:pPr>
    <w:rPr>
      <w:rFonts w:eastAsia="Times New Roman"/>
      <w:szCs w:val="22"/>
    </w:rPr>
  </w:style>
  <w:style w:type="paragraph" w:styleId="ListContinue4">
    <w:name w:val="List Continue 4"/>
    <w:basedOn w:val="Normal"/>
    <w:rsid w:val="00AC212B"/>
    <w:pPr>
      <w:spacing w:before="0"/>
      <w:ind w:left="1132"/>
    </w:pPr>
    <w:rPr>
      <w:rFonts w:eastAsia="Times New Roman"/>
      <w:szCs w:val="22"/>
    </w:rPr>
  </w:style>
  <w:style w:type="paragraph" w:styleId="ListContinue5">
    <w:name w:val="List Continue 5"/>
    <w:basedOn w:val="Normal"/>
    <w:rsid w:val="00AC212B"/>
    <w:pPr>
      <w:spacing w:before="0"/>
      <w:ind w:left="1415"/>
    </w:pPr>
    <w:rPr>
      <w:rFonts w:eastAsia="Times New Roman"/>
      <w:szCs w:val="22"/>
    </w:rPr>
  </w:style>
  <w:style w:type="paragraph" w:styleId="ListNumber">
    <w:name w:val="List Number"/>
    <w:basedOn w:val="Normal"/>
    <w:rsid w:val="00AC212B"/>
    <w:pPr>
      <w:numPr>
        <w:numId w:val="15"/>
      </w:numPr>
      <w:spacing w:before="0" w:after="240"/>
    </w:pPr>
    <w:rPr>
      <w:rFonts w:eastAsia="Times New Roman"/>
      <w:szCs w:val="22"/>
    </w:rPr>
  </w:style>
  <w:style w:type="paragraph" w:styleId="ListNumber2">
    <w:name w:val="List Number 2"/>
    <w:basedOn w:val="Text2"/>
    <w:rsid w:val="00AC212B"/>
    <w:pPr>
      <w:numPr>
        <w:numId w:val="17"/>
      </w:numPr>
      <w:spacing w:before="0" w:after="240"/>
    </w:pPr>
    <w:rPr>
      <w:rFonts w:eastAsia="Times New Roman"/>
    </w:rPr>
  </w:style>
  <w:style w:type="paragraph" w:customStyle="1" w:styleId="Text2">
    <w:name w:val="Text 2"/>
    <w:basedOn w:val="Normal"/>
    <w:rsid w:val="00AC212B"/>
    <w:pPr>
      <w:ind w:left="1417"/>
    </w:pPr>
    <w:rPr>
      <w:szCs w:val="22"/>
    </w:rPr>
  </w:style>
  <w:style w:type="paragraph" w:styleId="ListNumber3">
    <w:name w:val="List Number 3"/>
    <w:basedOn w:val="Text3"/>
    <w:rsid w:val="00AC212B"/>
    <w:pPr>
      <w:numPr>
        <w:numId w:val="18"/>
      </w:numPr>
      <w:spacing w:before="0" w:after="240"/>
    </w:pPr>
    <w:rPr>
      <w:rFonts w:eastAsia="Times New Roman"/>
    </w:rPr>
  </w:style>
  <w:style w:type="paragraph" w:customStyle="1" w:styleId="Text3">
    <w:name w:val="Text 3"/>
    <w:basedOn w:val="Normal"/>
    <w:rsid w:val="00AC212B"/>
    <w:pPr>
      <w:ind w:left="1984"/>
    </w:pPr>
    <w:rPr>
      <w:szCs w:val="22"/>
    </w:rPr>
  </w:style>
  <w:style w:type="paragraph" w:styleId="ListNumber4">
    <w:name w:val="List Number 4"/>
    <w:basedOn w:val="Text4"/>
    <w:rsid w:val="00AC212B"/>
    <w:pPr>
      <w:numPr>
        <w:numId w:val="19"/>
      </w:numPr>
      <w:spacing w:before="0" w:after="240"/>
    </w:pPr>
    <w:rPr>
      <w:rFonts w:eastAsia="Times New Roman"/>
    </w:rPr>
  </w:style>
  <w:style w:type="paragraph" w:customStyle="1" w:styleId="Text4">
    <w:name w:val="Text 4"/>
    <w:basedOn w:val="Normal"/>
    <w:rsid w:val="00AC212B"/>
    <w:pPr>
      <w:ind w:left="2551"/>
    </w:pPr>
    <w:rPr>
      <w:szCs w:val="22"/>
    </w:rPr>
  </w:style>
  <w:style w:type="paragraph" w:styleId="ListNumber5">
    <w:name w:val="List Number 5"/>
    <w:basedOn w:val="Normal"/>
    <w:rsid w:val="00AC212B"/>
    <w:pPr>
      <w:numPr>
        <w:numId w:val="9"/>
      </w:numPr>
      <w:spacing w:before="0" w:after="240"/>
    </w:pPr>
    <w:rPr>
      <w:rFonts w:eastAsia="Times New Roman"/>
      <w:szCs w:val="22"/>
    </w:rPr>
  </w:style>
  <w:style w:type="paragraph" w:styleId="MacroText">
    <w:name w:val="macro"/>
    <w:link w:val="MacroTextChar"/>
    <w:semiHidden/>
    <w:rsid w:val="00AC212B"/>
    <w:pPr>
      <w:tabs>
        <w:tab w:val="left" w:pos="480"/>
        <w:tab w:val="left" w:pos="960"/>
        <w:tab w:val="left" w:pos="1440"/>
        <w:tab w:val="left" w:pos="1920"/>
        <w:tab w:val="left" w:pos="2400"/>
        <w:tab w:val="left" w:pos="2880"/>
        <w:tab w:val="left" w:pos="3360"/>
        <w:tab w:val="left" w:pos="3840"/>
        <w:tab w:val="left" w:pos="4320"/>
      </w:tabs>
      <w:spacing w:after="240" w:line="276" w:lineRule="auto"/>
      <w:jc w:val="both"/>
    </w:pPr>
    <w:rPr>
      <w:rFonts w:ascii="Courier New" w:eastAsia="Times New Roman" w:hAnsi="Courier New" w:cs="Times New Roman"/>
      <w:sz w:val="22"/>
      <w:lang w:eastAsia="lv-LV" w:bidi="lv-LV"/>
    </w:rPr>
  </w:style>
  <w:style w:type="character" w:customStyle="1" w:styleId="MacroTextChar">
    <w:name w:val="Macro Text Char"/>
    <w:basedOn w:val="DefaultParagraphFont"/>
    <w:link w:val="MacroText"/>
    <w:semiHidden/>
    <w:rsid w:val="00AC212B"/>
    <w:rPr>
      <w:rFonts w:ascii="Courier New" w:eastAsia="Times New Roman" w:hAnsi="Courier New" w:cs="Times New Roman"/>
      <w:sz w:val="22"/>
      <w:lang w:eastAsia="lv-LV" w:bidi="lv-LV"/>
    </w:rPr>
  </w:style>
  <w:style w:type="paragraph" w:styleId="MessageHeader">
    <w:name w:val="Message Header"/>
    <w:basedOn w:val="Normal"/>
    <w:link w:val="MessageHeaderChar"/>
    <w:rsid w:val="00AC212B"/>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2"/>
    </w:rPr>
  </w:style>
  <w:style w:type="character" w:customStyle="1" w:styleId="MessageHeaderChar">
    <w:name w:val="Message Header Char"/>
    <w:basedOn w:val="DefaultParagraphFont"/>
    <w:link w:val="MessageHeader"/>
    <w:rsid w:val="00AC212B"/>
    <w:rPr>
      <w:rFonts w:ascii="Arial" w:eastAsia="Times New Roman" w:hAnsi="Arial" w:cs="Times New Roman"/>
      <w:shd w:val="pct20" w:color="auto" w:fill="auto"/>
      <w:lang w:eastAsia="lv-LV" w:bidi="lv-LV"/>
    </w:rPr>
  </w:style>
  <w:style w:type="paragraph" w:styleId="NormalIndent">
    <w:name w:val="Normal Indent"/>
    <w:basedOn w:val="Normal"/>
    <w:rsid w:val="00AC212B"/>
    <w:pPr>
      <w:spacing w:before="0" w:after="240"/>
      <w:ind w:left="720"/>
    </w:pPr>
    <w:rPr>
      <w:rFonts w:eastAsia="Times New Roman"/>
      <w:szCs w:val="22"/>
    </w:rPr>
  </w:style>
  <w:style w:type="paragraph" w:styleId="NoteHeading">
    <w:name w:val="Note Heading"/>
    <w:basedOn w:val="Normal"/>
    <w:next w:val="Normal"/>
    <w:link w:val="NoteHeadingChar"/>
    <w:rsid w:val="00AC212B"/>
    <w:pPr>
      <w:spacing w:before="0" w:after="240"/>
    </w:pPr>
    <w:rPr>
      <w:rFonts w:eastAsia="Times New Roman"/>
      <w:szCs w:val="22"/>
    </w:rPr>
  </w:style>
  <w:style w:type="character" w:customStyle="1" w:styleId="NoteHeadingChar">
    <w:name w:val="Note Heading Char"/>
    <w:basedOn w:val="DefaultParagraphFont"/>
    <w:link w:val="NoteHeading"/>
    <w:rsid w:val="00AC212B"/>
    <w:rPr>
      <w:rFonts w:eastAsia="Times New Roman" w:cs="Times New Roman"/>
      <w:lang w:eastAsia="lv-LV" w:bidi="lv-LV"/>
    </w:rPr>
  </w:style>
  <w:style w:type="paragraph" w:customStyle="1" w:styleId="NoteHead">
    <w:name w:val="NoteHead"/>
    <w:basedOn w:val="Normal"/>
    <w:next w:val="Subject"/>
    <w:rsid w:val="00AC212B"/>
    <w:pPr>
      <w:spacing w:before="720" w:after="720"/>
      <w:jc w:val="center"/>
    </w:pPr>
    <w:rPr>
      <w:rFonts w:eastAsia="Times New Roman"/>
      <w:b/>
      <w:smallCaps/>
      <w:szCs w:val="22"/>
    </w:rPr>
  </w:style>
  <w:style w:type="paragraph" w:customStyle="1" w:styleId="Subject">
    <w:name w:val="Subject"/>
    <w:basedOn w:val="Normal"/>
    <w:next w:val="Normal"/>
    <w:rsid w:val="00AC212B"/>
    <w:pPr>
      <w:spacing w:before="0" w:after="480"/>
      <w:ind w:left="1531" w:hanging="1531"/>
      <w:jc w:val="left"/>
    </w:pPr>
    <w:rPr>
      <w:rFonts w:eastAsia="Times New Roman"/>
      <w:b/>
      <w:szCs w:val="22"/>
    </w:rPr>
  </w:style>
  <w:style w:type="paragraph" w:customStyle="1" w:styleId="NoteList">
    <w:name w:val="NoteList"/>
    <w:basedOn w:val="Normal"/>
    <w:next w:val="Subject"/>
    <w:rsid w:val="00AC212B"/>
    <w:pPr>
      <w:tabs>
        <w:tab w:val="left" w:pos="5823"/>
      </w:tabs>
      <w:spacing w:before="720" w:after="720"/>
      <w:ind w:left="5104" w:hanging="3119"/>
      <w:jc w:val="left"/>
    </w:pPr>
    <w:rPr>
      <w:rFonts w:eastAsia="Times New Roman"/>
      <w:b/>
      <w:smallCaps/>
      <w:szCs w:val="22"/>
    </w:rPr>
  </w:style>
  <w:style w:type="paragraph" w:styleId="PlainText">
    <w:name w:val="Plain Text"/>
    <w:basedOn w:val="Normal"/>
    <w:link w:val="PlainTextChar"/>
    <w:rsid w:val="00AC212B"/>
    <w:pPr>
      <w:spacing w:before="0" w:after="240"/>
    </w:pPr>
    <w:rPr>
      <w:rFonts w:ascii="Courier New" w:eastAsia="Times New Roman" w:hAnsi="Courier New"/>
      <w:sz w:val="20"/>
      <w:szCs w:val="22"/>
    </w:rPr>
  </w:style>
  <w:style w:type="character" w:customStyle="1" w:styleId="PlainTextChar">
    <w:name w:val="Plain Text Char"/>
    <w:basedOn w:val="DefaultParagraphFont"/>
    <w:link w:val="PlainText"/>
    <w:rsid w:val="00AC212B"/>
    <w:rPr>
      <w:rFonts w:ascii="Courier New" w:eastAsia="Times New Roman" w:hAnsi="Courier New" w:cs="Times New Roman"/>
      <w:sz w:val="20"/>
      <w:lang w:eastAsia="lv-LV" w:bidi="lv-LV"/>
    </w:rPr>
  </w:style>
  <w:style w:type="paragraph" w:styleId="Salutation">
    <w:name w:val="Salutation"/>
    <w:basedOn w:val="Normal"/>
    <w:next w:val="Normal"/>
    <w:link w:val="SalutationChar"/>
    <w:rsid w:val="00AC212B"/>
    <w:pPr>
      <w:spacing w:before="0" w:after="240"/>
    </w:pPr>
    <w:rPr>
      <w:rFonts w:eastAsia="Times New Roman"/>
      <w:szCs w:val="22"/>
    </w:rPr>
  </w:style>
  <w:style w:type="character" w:customStyle="1" w:styleId="SalutationChar">
    <w:name w:val="Salutation Char"/>
    <w:basedOn w:val="DefaultParagraphFont"/>
    <w:link w:val="Salutation"/>
    <w:rsid w:val="00AC212B"/>
    <w:rPr>
      <w:rFonts w:eastAsia="Times New Roman" w:cs="Times New Roman"/>
      <w:lang w:eastAsia="lv-LV" w:bidi="lv-LV"/>
    </w:rPr>
  </w:style>
  <w:style w:type="paragraph" w:styleId="Subtitle">
    <w:name w:val="Subtitle"/>
    <w:basedOn w:val="Normal"/>
    <w:link w:val="SubtitleChar"/>
    <w:qFormat/>
    <w:rsid w:val="00AC212B"/>
    <w:pPr>
      <w:spacing w:before="0" w:after="60"/>
      <w:jc w:val="center"/>
      <w:outlineLvl w:val="1"/>
    </w:pPr>
    <w:rPr>
      <w:rFonts w:ascii="Arial" w:eastAsia="Times New Roman" w:hAnsi="Arial"/>
      <w:szCs w:val="22"/>
    </w:rPr>
  </w:style>
  <w:style w:type="character" w:customStyle="1" w:styleId="SubtitleChar">
    <w:name w:val="Subtitle Char"/>
    <w:basedOn w:val="DefaultParagraphFont"/>
    <w:link w:val="Subtitle"/>
    <w:rsid w:val="00AC212B"/>
    <w:rPr>
      <w:rFonts w:ascii="Arial" w:eastAsia="Times New Roman" w:hAnsi="Arial" w:cs="Times New Roman"/>
      <w:lang w:eastAsia="lv-LV" w:bidi="lv-LV"/>
    </w:rPr>
  </w:style>
  <w:style w:type="paragraph" w:styleId="TableofAuthorities">
    <w:name w:val="table of authorities"/>
    <w:basedOn w:val="Normal"/>
    <w:next w:val="Normal"/>
    <w:semiHidden/>
    <w:rsid w:val="00AC212B"/>
    <w:pPr>
      <w:spacing w:before="0" w:after="240"/>
      <w:ind w:left="240" w:hanging="240"/>
    </w:pPr>
    <w:rPr>
      <w:rFonts w:eastAsia="Times New Roman"/>
      <w:szCs w:val="22"/>
    </w:rPr>
  </w:style>
  <w:style w:type="paragraph" w:styleId="TableofFigures">
    <w:name w:val="table of figures"/>
    <w:basedOn w:val="Normal"/>
    <w:next w:val="Normal"/>
    <w:semiHidden/>
    <w:rsid w:val="00AC212B"/>
    <w:pPr>
      <w:spacing w:before="0" w:after="240"/>
      <w:ind w:left="480" w:hanging="480"/>
    </w:pPr>
    <w:rPr>
      <w:rFonts w:eastAsia="Times New Roman"/>
      <w:szCs w:val="22"/>
    </w:rPr>
  </w:style>
  <w:style w:type="paragraph" w:styleId="TOAHeading">
    <w:name w:val="toa heading"/>
    <w:basedOn w:val="Normal"/>
    <w:next w:val="Normal"/>
    <w:semiHidden/>
    <w:rsid w:val="00AC212B"/>
    <w:pPr>
      <w:spacing w:after="240"/>
    </w:pPr>
    <w:rPr>
      <w:rFonts w:ascii="Arial" w:eastAsia="Times New Roman" w:hAnsi="Arial"/>
      <w:b/>
      <w:szCs w:val="22"/>
    </w:rPr>
  </w:style>
  <w:style w:type="paragraph" w:customStyle="1" w:styleId="YReferences">
    <w:name w:val="YReferences"/>
    <w:basedOn w:val="Normal"/>
    <w:next w:val="Normal"/>
    <w:rsid w:val="00AC212B"/>
    <w:pPr>
      <w:spacing w:before="0" w:after="480"/>
      <w:ind w:left="1531" w:hanging="1531"/>
    </w:pPr>
    <w:rPr>
      <w:rFonts w:eastAsia="Times New Roman"/>
      <w:szCs w:val="22"/>
    </w:rPr>
  </w:style>
  <w:style w:type="paragraph" w:customStyle="1" w:styleId="ListBullet1">
    <w:name w:val="List Bullet 1"/>
    <w:basedOn w:val="Text1"/>
    <w:rsid w:val="00AC212B"/>
    <w:pPr>
      <w:tabs>
        <w:tab w:val="num" w:pos="765"/>
      </w:tabs>
      <w:spacing w:before="0" w:after="240"/>
      <w:ind w:left="765" w:hanging="283"/>
    </w:pPr>
    <w:rPr>
      <w:rFonts w:eastAsia="Times New Roman" w:cs="Times New Roman"/>
    </w:rPr>
  </w:style>
  <w:style w:type="paragraph" w:customStyle="1" w:styleId="ListDash">
    <w:name w:val="List Dash"/>
    <w:basedOn w:val="Normal"/>
    <w:rsid w:val="00AC212B"/>
    <w:pPr>
      <w:numPr>
        <w:numId w:val="10"/>
      </w:numPr>
      <w:spacing w:before="0" w:after="240"/>
    </w:pPr>
    <w:rPr>
      <w:rFonts w:eastAsia="Times New Roman"/>
      <w:szCs w:val="22"/>
    </w:rPr>
  </w:style>
  <w:style w:type="paragraph" w:customStyle="1" w:styleId="ListDash1">
    <w:name w:val="List Dash 1"/>
    <w:basedOn w:val="Text1"/>
    <w:rsid w:val="00AC212B"/>
    <w:pPr>
      <w:numPr>
        <w:numId w:val="11"/>
      </w:numPr>
      <w:spacing w:before="0" w:after="240"/>
    </w:pPr>
    <w:rPr>
      <w:rFonts w:eastAsia="Times New Roman" w:cs="Times New Roman"/>
    </w:rPr>
  </w:style>
  <w:style w:type="paragraph" w:customStyle="1" w:styleId="ListDash2">
    <w:name w:val="List Dash 2"/>
    <w:basedOn w:val="Text2"/>
    <w:rsid w:val="00AC212B"/>
    <w:pPr>
      <w:numPr>
        <w:numId w:val="12"/>
      </w:numPr>
      <w:spacing w:before="0" w:after="240"/>
    </w:pPr>
    <w:rPr>
      <w:rFonts w:eastAsia="Times New Roman"/>
    </w:rPr>
  </w:style>
  <w:style w:type="paragraph" w:customStyle="1" w:styleId="ListDash3">
    <w:name w:val="List Dash 3"/>
    <w:basedOn w:val="Text3"/>
    <w:rsid w:val="00AC212B"/>
    <w:pPr>
      <w:numPr>
        <w:numId w:val="13"/>
      </w:numPr>
      <w:spacing w:before="0" w:after="240"/>
    </w:pPr>
    <w:rPr>
      <w:rFonts w:eastAsia="Times New Roman"/>
    </w:rPr>
  </w:style>
  <w:style w:type="paragraph" w:customStyle="1" w:styleId="ListDash4">
    <w:name w:val="List Dash 4"/>
    <w:basedOn w:val="Text4"/>
    <w:rsid w:val="00AC212B"/>
    <w:pPr>
      <w:numPr>
        <w:numId w:val="14"/>
      </w:numPr>
      <w:spacing w:before="0" w:after="240"/>
    </w:pPr>
    <w:rPr>
      <w:rFonts w:eastAsia="Times New Roman"/>
    </w:rPr>
  </w:style>
  <w:style w:type="paragraph" w:customStyle="1" w:styleId="ListNumberLevel2">
    <w:name w:val="List Number (Level 2)"/>
    <w:basedOn w:val="Normal"/>
    <w:rsid w:val="00AC212B"/>
    <w:pPr>
      <w:numPr>
        <w:ilvl w:val="1"/>
        <w:numId w:val="15"/>
      </w:numPr>
      <w:spacing w:before="0" w:after="240"/>
    </w:pPr>
    <w:rPr>
      <w:rFonts w:eastAsia="Times New Roman"/>
      <w:szCs w:val="22"/>
    </w:rPr>
  </w:style>
  <w:style w:type="paragraph" w:customStyle="1" w:styleId="ListNumberLevel3">
    <w:name w:val="List Number (Level 3)"/>
    <w:basedOn w:val="Normal"/>
    <w:rsid w:val="00AC212B"/>
    <w:pPr>
      <w:numPr>
        <w:ilvl w:val="2"/>
        <w:numId w:val="15"/>
      </w:numPr>
      <w:spacing w:before="0" w:after="240"/>
    </w:pPr>
    <w:rPr>
      <w:rFonts w:eastAsia="Times New Roman"/>
      <w:szCs w:val="22"/>
    </w:rPr>
  </w:style>
  <w:style w:type="paragraph" w:customStyle="1" w:styleId="ListNumberLevel4">
    <w:name w:val="List Number (Level 4)"/>
    <w:basedOn w:val="Normal"/>
    <w:rsid w:val="00AC212B"/>
    <w:pPr>
      <w:numPr>
        <w:ilvl w:val="3"/>
        <w:numId w:val="15"/>
      </w:numPr>
      <w:spacing w:before="0" w:after="240"/>
    </w:pPr>
    <w:rPr>
      <w:rFonts w:eastAsia="Times New Roman"/>
      <w:szCs w:val="22"/>
    </w:rPr>
  </w:style>
  <w:style w:type="paragraph" w:customStyle="1" w:styleId="ListNumber1">
    <w:name w:val="List Number 1"/>
    <w:basedOn w:val="Text1"/>
    <w:rsid w:val="00AC212B"/>
    <w:pPr>
      <w:numPr>
        <w:numId w:val="16"/>
      </w:numPr>
      <w:spacing w:before="0" w:after="240"/>
    </w:pPr>
    <w:rPr>
      <w:rFonts w:eastAsia="Times New Roman" w:cs="Times New Roman"/>
    </w:rPr>
  </w:style>
  <w:style w:type="paragraph" w:customStyle="1" w:styleId="ListNumber1Level2">
    <w:name w:val="List Number 1 (Level 2)"/>
    <w:basedOn w:val="Text1"/>
    <w:rsid w:val="00AC212B"/>
    <w:pPr>
      <w:numPr>
        <w:ilvl w:val="1"/>
        <w:numId w:val="16"/>
      </w:numPr>
      <w:spacing w:before="0" w:after="240"/>
    </w:pPr>
    <w:rPr>
      <w:rFonts w:eastAsia="Times New Roman" w:cs="Times New Roman"/>
    </w:rPr>
  </w:style>
  <w:style w:type="paragraph" w:customStyle="1" w:styleId="ListNumber1Level3">
    <w:name w:val="List Number 1 (Level 3)"/>
    <w:basedOn w:val="Text1"/>
    <w:rsid w:val="00AC212B"/>
    <w:pPr>
      <w:numPr>
        <w:ilvl w:val="2"/>
        <w:numId w:val="16"/>
      </w:numPr>
      <w:spacing w:before="0" w:after="240"/>
    </w:pPr>
    <w:rPr>
      <w:rFonts w:eastAsia="Times New Roman" w:cs="Times New Roman"/>
    </w:rPr>
  </w:style>
  <w:style w:type="paragraph" w:customStyle="1" w:styleId="ListNumber1Level4">
    <w:name w:val="List Number 1 (Level 4)"/>
    <w:basedOn w:val="Text1"/>
    <w:rsid w:val="00AC212B"/>
    <w:pPr>
      <w:numPr>
        <w:ilvl w:val="3"/>
        <w:numId w:val="16"/>
      </w:numPr>
      <w:spacing w:before="0" w:after="240"/>
    </w:pPr>
    <w:rPr>
      <w:rFonts w:eastAsia="Times New Roman" w:cs="Times New Roman"/>
    </w:rPr>
  </w:style>
  <w:style w:type="paragraph" w:customStyle="1" w:styleId="ListNumber2Level2">
    <w:name w:val="List Number 2 (Level 2)"/>
    <w:basedOn w:val="Text2"/>
    <w:rsid w:val="00AC212B"/>
    <w:pPr>
      <w:numPr>
        <w:ilvl w:val="1"/>
        <w:numId w:val="17"/>
      </w:numPr>
      <w:spacing w:before="0" w:after="240"/>
    </w:pPr>
    <w:rPr>
      <w:rFonts w:eastAsia="Times New Roman"/>
    </w:rPr>
  </w:style>
  <w:style w:type="paragraph" w:customStyle="1" w:styleId="ListNumber2Level3">
    <w:name w:val="List Number 2 (Level 3)"/>
    <w:basedOn w:val="Text2"/>
    <w:rsid w:val="00AC212B"/>
    <w:pPr>
      <w:numPr>
        <w:ilvl w:val="2"/>
        <w:numId w:val="17"/>
      </w:numPr>
      <w:spacing w:before="0" w:after="240"/>
    </w:pPr>
    <w:rPr>
      <w:rFonts w:eastAsia="Times New Roman"/>
    </w:rPr>
  </w:style>
  <w:style w:type="paragraph" w:customStyle="1" w:styleId="ListNumber2Level4">
    <w:name w:val="List Number 2 (Level 4)"/>
    <w:basedOn w:val="Text2"/>
    <w:rsid w:val="00AC212B"/>
    <w:pPr>
      <w:numPr>
        <w:ilvl w:val="3"/>
        <w:numId w:val="17"/>
      </w:numPr>
      <w:spacing w:before="0" w:after="240"/>
      <w:ind w:left="3901" w:hanging="703"/>
    </w:pPr>
    <w:rPr>
      <w:rFonts w:eastAsia="Times New Roman"/>
    </w:rPr>
  </w:style>
  <w:style w:type="paragraph" w:customStyle="1" w:styleId="ListNumber3Level2">
    <w:name w:val="List Number 3 (Level 2)"/>
    <w:basedOn w:val="Text3"/>
    <w:rsid w:val="00AC212B"/>
    <w:pPr>
      <w:numPr>
        <w:ilvl w:val="1"/>
        <w:numId w:val="18"/>
      </w:numPr>
      <w:spacing w:before="0" w:after="240"/>
    </w:pPr>
    <w:rPr>
      <w:rFonts w:eastAsia="Times New Roman"/>
    </w:rPr>
  </w:style>
  <w:style w:type="paragraph" w:customStyle="1" w:styleId="ListNumber3Level3">
    <w:name w:val="List Number 3 (Level 3)"/>
    <w:basedOn w:val="Text3"/>
    <w:rsid w:val="00AC212B"/>
    <w:pPr>
      <w:numPr>
        <w:ilvl w:val="2"/>
        <w:numId w:val="18"/>
      </w:numPr>
      <w:spacing w:before="0" w:after="240"/>
    </w:pPr>
    <w:rPr>
      <w:rFonts w:eastAsia="Times New Roman"/>
    </w:rPr>
  </w:style>
  <w:style w:type="paragraph" w:customStyle="1" w:styleId="ListNumber3Level4">
    <w:name w:val="List Number 3 (Level 4)"/>
    <w:basedOn w:val="Text3"/>
    <w:rsid w:val="00AC212B"/>
    <w:pPr>
      <w:numPr>
        <w:ilvl w:val="3"/>
        <w:numId w:val="18"/>
      </w:numPr>
      <w:spacing w:before="0" w:after="240"/>
    </w:pPr>
    <w:rPr>
      <w:rFonts w:eastAsia="Times New Roman"/>
    </w:rPr>
  </w:style>
  <w:style w:type="paragraph" w:customStyle="1" w:styleId="ListNumber4Level2">
    <w:name w:val="List Number 4 (Level 2)"/>
    <w:basedOn w:val="Text4"/>
    <w:rsid w:val="00AC212B"/>
    <w:pPr>
      <w:numPr>
        <w:ilvl w:val="1"/>
        <w:numId w:val="19"/>
      </w:numPr>
      <w:spacing w:before="0" w:after="240"/>
    </w:pPr>
    <w:rPr>
      <w:rFonts w:eastAsia="Times New Roman"/>
    </w:rPr>
  </w:style>
  <w:style w:type="paragraph" w:customStyle="1" w:styleId="ListNumber4Level3">
    <w:name w:val="List Number 4 (Level 3)"/>
    <w:basedOn w:val="Text4"/>
    <w:rsid w:val="00AC212B"/>
    <w:pPr>
      <w:numPr>
        <w:ilvl w:val="2"/>
        <w:numId w:val="19"/>
      </w:numPr>
      <w:spacing w:before="0" w:after="240"/>
    </w:pPr>
    <w:rPr>
      <w:rFonts w:eastAsia="Times New Roman"/>
    </w:rPr>
  </w:style>
  <w:style w:type="paragraph" w:customStyle="1" w:styleId="ListNumber4Level4">
    <w:name w:val="List Number 4 (Level 4)"/>
    <w:basedOn w:val="Text4"/>
    <w:rsid w:val="00AC212B"/>
    <w:pPr>
      <w:numPr>
        <w:ilvl w:val="3"/>
        <w:numId w:val="19"/>
      </w:numPr>
      <w:spacing w:before="0" w:after="240"/>
    </w:pPr>
    <w:rPr>
      <w:rFonts w:eastAsia="Times New Roman"/>
    </w:rPr>
  </w:style>
  <w:style w:type="paragraph" w:customStyle="1" w:styleId="DisclaimerNotice">
    <w:name w:val="Disclaimer Notice"/>
    <w:basedOn w:val="Normal"/>
    <w:next w:val="AddressTR"/>
    <w:rsid w:val="00AC212B"/>
    <w:pPr>
      <w:spacing w:before="0" w:after="240"/>
      <w:ind w:left="5103"/>
      <w:jc w:val="left"/>
    </w:pPr>
    <w:rPr>
      <w:rFonts w:eastAsia="Times New Roman"/>
      <w:i/>
      <w:sz w:val="20"/>
      <w:szCs w:val="22"/>
    </w:rPr>
  </w:style>
  <w:style w:type="paragraph" w:customStyle="1" w:styleId="Disclaimer">
    <w:name w:val="Disclaimer"/>
    <w:basedOn w:val="Normal"/>
    <w:rsid w:val="00AC212B"/>
    <w:pPr>
      <w:keepLines/>
      <w:pBdr>
        <w:top w:val="single" w:sz="4" w:space="1" w:color="auto"/>
      </w:pBdr>
      <w:spacing w:before="480" w:after="0"/>
    </w:pPr>
    <w:rPr>
      <w:rFonts w:eastAsia="Times New Roman"/>
      <w:i/>
      <w:szCs w:val="22"/>
    </w:rPr>
  </w:style>
  <w:style w:type="character" w:styleId="FollowedHyperlink">
    <w:name w:val="FollowedHyperlink"/>
    <w:uiPriority w:val="99"/>
    <w:rsid w:val="00AC212B"/>
    <w:rPr>
      <w:color w:val="800080"/>
      <w:u w:val="single"/>
    </w:rPr>
  </w:style>
  <w:style w:type="paragraph" w:customStyle="1" w:styleId="DisclaimerSJ">
    <w:name w:val="Disclaimer_SJ"/>
    <w:basedOn w:val="Normal"/>
    <w:next w:val="Normal"/>
    <w:rsid w:val="00AC212B"/>
    <w:pPr>
      <w:spacing w:before="0" w:after="0"/>
    </w:pPr>
    <w:rPr>
      <w:rFonts w:ascii="Arial" w:eastAsia="Times New Roman" w:hAnsi="Arial"/>
      <w:b/>
      <w:sz w:val="16"/>
      <w:szCs w:val="22"/>
    </w:rPr>
  </w:style>
  <w:style w:type="paragraph" w:styleId="NormalWeb">
    <w:name w:val="Normal (Web)"/>
    <w:basedOn w:val="Normal"/>
    <w:rsid w:val="00AC212B"/>
    <w:pPr>
      <w:suppressAutoHyphens/>
      <w:spacing w:before="100" w:after="100"/>
      <w:jc w:val="left"/>
    </w:pPr>
    <w:rPr>
      <w:rFonts w:eastAsia="Times New Roman"/>
      <w:szCs w:val="24"/>
    </w:rPr>
  </w:style>
  <w:style w:type="character" w:customStyle="1" w:styleId="ManualNumPar1Char">
    <w:name w:val="Manual NumPar 1 Char"/>
    <w:rsid w:val="00AC212B"/>
    <w:rPr>
      <w:rFonts w:ascii="Times New Roman" w:hAnsi="Times New Roman"/>
      <w:sz w:val="24"/>
      <w:szCs w:val="22"/>
      <w:lang w:eastAsia="lv-LV"/>
    </w:rPr>
  </w:style>
  <w:style w:type="paragraph" w:customStyle="1" w:styleId="StyleHeading3BoldNotItalic">
    <w:name w:val="Style Heading 3 + Bold Not Italic"/>
    <w:basedOn w:val="Heading3"/>
    <w:autoRedefine/>
    <w:rsid w:val="00AC212B"/>
    <w:pPr>
      <w:numPr>
        <w:numId w:val="2"/>
      </w:numPr>
      <w:tabs>
        <w:tab w:val="num" w:pos="850"/>
      </w:tabs>
      <w:ind w:left="720" w:hanging="720"/>
    </w:pPr>
    <w:rPr>
      <w:rFonts w:ascii="Times New Roman Bold" w:hAnsi="Times New Roman Bold"/>
      <w:bCs/>
      <w:szCs w:val="22"/>
    </w:rPr>
  </w:style>
  <w:style w:type="paragraph" w:customStyle="1" w:styleId="Annextitle">
    <w:name w:val="Annex title"/>
    <w:basedOn w:val="Normal"/>
    <w:autoRedefine/>
    <w:rsid w:val="00AC212B"/>
    <w:pPr>
      <w:spacing w:after="240"/>
      <w:jc w:val="center"/>
    </w:pPr>
    <w:rPr>
      <w:rFonts w:ascii="Times New Roman Bold" w:eastAsia="Times New Roman" w:hAnsi="Times New Roman Bold"/>
      <w:b/>
      <w:iCs/>
      <w:smallCaps/>
      <w:szCs w:val="24"/>
    </w:rPr>
  </w:style>
  <w:style w:type="paragraph" w:styleId="Revision">
    <w:name w:val="Revision"/>
    <w:hidden/>
    <w:uiPriority w:val="99"/>
    <w:semiHidden/>
    <w:rsid w:val="00AC212B"/>
    <w:pPr>
      <w:spacing w:after="200" w:line="276" w:lineRule="auto"/>
    </w:pPr>
    <w:rPr>
      <w:rFonts w:eastAsia="Times New Roman" w:cs="Times New Roman"/>
      <w:lang w:eastAsia="lv-LV" w:bidi="lv-LV"/>
    </w:rPr>
  </w:style>
  <w:style w:type="character" w:styleId="EndnoteReference">
    <w:name w:val="endnote reference"/>
    <w:rsid w:val="00AC212B"/>
    <w:rPr>
      <w:vertAlign w:val="superscript"/>
    </w:rPr>
  </w:style>
  <w:style w:type="paragraph" w:customStyle="1" w:styleId="StyleHeading1Hanging085cm">
    <w:name w:val="Style Heading 1 + Hanging:  0.85 cm"/>
    <w:basedOn w:val="Heading1"/>
    <w:autoRedefine/>
    <w:rsid w:val="00AC212B"/>
    <w:pPr>
      <w:numPr>
        <w:numId w:val="0"/>
      </w:numPr>
      <w:tabs>
        <w:tab w:val="left" w:pos="1134"/>
        <w:tab w:val="left" w:pos="1560"/>
      </w:tabs>
      <w:spacing w:before="360"/>
    </w:pPr>
    <w:rPr>
      <w:i/>
      <w:szCs w:val="24"/>
    </w:rPr>
  </w:style>
  <w:style w:type="paragraph" w:customStyle="1" w:styleId="StyleHeading1Left0cm">
    <w:name w:val="Style Heading 1 + Left:  0 cm"/>
    <w:basedOn w:val="Heading1"/>
    <w:autoRedefine/>
    <w:rsid w:val="00AC212B"/>
    <w:pPr>
      <w:numPr>
        <w:numId w:val="20"/>
      </w:numPr>
      <w:tabs>
        <w:tab w:val="left" w:pos="1134"/>
        <w:tab w:val="left" w:pos="1560"/>
      </w:tabs>
      <w:spacing w:before="360"/>
    </w:pPr>
    <w:rPr>
      <w:rFonts w:ascii="Times New Roman Bold" w:hAnsi="Times New Roman Bold"/>
      <w:i/>
      <w:szCs w:val="24"/>
    </w:rPr>
  </w:style>
  <w:style w:type="character" w:customStyle="1" w:styleId="CharacterStyle2">
    <w:name w:val="Character Style 2"/>
    <w:uiPriority w:val="99"/>
    <w:rsid w:val="00AC212B"/>
    <w:rPr>
      <w:sz w:val="20"/>
      <w:szCs w:val="20"/>
    </w:rPr>
  </w:style>
  <w:style w:type="paragraph" w:customStyle="1" w:styleId="CM1">
    <w:name w:val="CM1"/>
    <w:basedOn w:val="Default"/>
    <w:next w:val="Default"/>
    <w:uiPriority w:val="99"/>
    <w:rsid w:val="00AC212B"/>
    <w:rPr>
      <w:rFonts w:ascii="EUAlbertina" w:eastAsia="Calibri" w:hAnsi="EUAlbertina"/>
      <w:color w:val="auto"/>
    </w:rPr>
  </w:style>
  <w:style w:type="paragraph" w:customStyle="1" w:styleId="CM3">
    <w:name w:val="CM3"/>
    <w:basedOn w:val="Default"/>
    <w:next w:val="Default"/>
    <w:uiPriority w:val="99"/>
    <w:rsid w:val="00AC212B"/>
    <w:rPr>
      <w:rFonts w:ascii="EUAlbertina" w:eastAsia="Calibri" w:hAnsi="EUAlbertina"/>
      <w:color w:val="auto"/>
    </w:rPr>
  </w:style>
  <w:style w:type="paragraph" w:customStyle="1" w:styleId="Annextitre">
    <w:name w:val="Annex titre"/>
    <w:basedOn w:val="Normal"/>
    <w:rsid w:val="00AC212B"/>
    <w:rPr>
      <w:szCs w:val="22"/>
    </w:rPr>
  </w:style>
  <w:style w:type="paragraph" w:styleId="TOCHeading">
    <w:name w:val="TOC Heading"/>
    <w:basedOn w:val="Normal"/>
    <w:next w:val="Normal"/>
    <w:uiPriority w:val="39"/>
    <w:unhideWhenUsed/>
    <w:qFormat/>
    <w:rsid w:val="00AC212B"/>
    <w:pPr>
      <w:spacing w:after="240"/>
      <w:jc w:val="center"/>
    </w:pPr>
    <w:rPr>
      <w:b/>
      <w:sz w:val="28"/>
      <w:szCs w:val="22"/>
    </w:rPr>
  </w:style>
  <w:style w:type="paragraph" w:styleId="TOC1">
    <w:name w:val="toc 1"/>
    <w:basedOn w:val="Normal"/>
    <w:next w:val="Normal"/>
    <w:uiPriority w:val="39"/>
    <w:unhideWhenUsed/>
    <w:rsid w:val="00AC212B"/>
    <w:pPr>
      <w:tabs>
        <w:tab w:val="right" w:leader="dot" w:pos="9071"/>
      </w:tabs>
      <w:spacing w:before="60"/>
      <w:ind w:left="850" w:hanging="850"/>
      <w:jc w:val="left"/>
    </w:pPr>
    <w:rPr>
      <w:szCs w:val="22"/>
    </w:rPr>
  </w:style>
  <w:style w:type="paragraph" w:styleId="TOC2">
    <w:name w:val="toc 2"/>
    <w:basedOn w:val="Normal"/>
    <w:next w:val="Normal"/>
    <w:uiPriority w:val="39"/>
    <w:unhideWhenUsed/>
    <w:rsid w:val="00AC212B"/>
    <w:pPr>
      <w:tabs>
        <w:tab w:val="right" w:leader="dot" w:pos="9071"/>
      </w:tabs>
      <w:spacing w:before="60"/>
      <w:ind w:left="850" w:hanging="850"/>
      <w:jc w:val="left"/>
    </w:pPr>
    <w:rPr>
      <w:szCs w:val="22"/>
    </w:rPr>
  </w:style>
  <w:style w:type="paragraph" w:styleId="TOC3">
    <w:name w:val="toc 3"/>
    <w:basedOn w:val="Normal"/>
    <w:next w:val="Normal"/>
    <w:uiPriority w:val="39"/>
    <w:unhideWhenUsed/>
    <w:rsid w:val="00AC212B"/>
    <w:pPr>
      <w:tabs>
        <w:tab w:val="right" w:leader="dot" w:pos="9071"/>
      </w:tabs>
      <w:spacing w:before="60"/>
      <w:ind w:left="850" w:hanging="850"/>
      <w:jc w:val="left"/>
    </w:pPr>
    <w:rPr>
      <w:szCs w:val="22"/>
    </w:rPr>
  </w:style>
  <w:style w:type="paragraph" w:styleId="TOC4">
    <w:name w:val="toc 4"/>
    <w:basedOn w:val="Normal"/>
    <w:next w:val="Normal"/>
    <w:uiPriority w:val="39"/>
    <w:semiHidden/>
    <w:unhideWhenUsed/>
    <w:rsid w:val="00AC212B"/>
    <w:pPr>
      <w:tabs>
        <w:tab w:val="right" w:leader="dot" w:pos="9071"/>
      </w:tabs>
      <w:spacing w:before="60"/>
      <w:ind w:left="850" w:hanging="850"/>
      <w:jc w:val="left"/>
    </w:pPr>
    <w:rPr>
      <w:szCs w:val="22"/>
    </w:rPr>
  </w:style>
  <w:style w:type="paragraph" w:styleId="TOC5">
    <w:name w:val="toc 5"/>
    <w:basedOn w:val="Normal"/>
    <w:next w:val="Normal"/>
    <w:uiPriority w:val="39"/>
    <w:semiHidden/>
    <w:unhideWhenUsed/>
    <w:rsid w:val="00AC212B"/>
    <w:pPr>
      <w:tabs>
        <w:tab w:val="right" w:leader="dot" w:pos="9071"/>
      </w:tabs>
      <w:spacing w:before="300"/>
      <w:jc w:val="left"/>
    </w:pPr>
    <w:rPr>
      <w:szCs w:val="22"/>
    </w:rPr>
  </w:style>
  <w:style w:type="paragraph" w:styleId="TOC6">
    <w:name w:val="toc 6"/>
    <w:basedOn w:val="Normal"/>
    <w:next w:val="Normal"/>
    <w:uiPriority w:val="39"/>
    <w:semiHidden/>
    <w:unhideWhenUsed/>
    <w:rsid w:val="00AC212B"/>
    <w:pPr>
      <w:tabs>
        <w:tab w:val="right" w:leader="dot" w:pos="9071"/>
      </w:tabs>
      <w:spacing w:before="240"/>
      <w:jc w:val="left"/>
    </w:pPr>
    <w:rPr>
      <w:szCs w:val="22"/>
    </w:rPr>
  </w:style>
  <w:style w:type="paragraph" w:styleId="TOC7">
    <w:name w:val="toc 7"/>
    <w:basedOn w:val="Normal"/>
    <w:next w:val="Normal"/>
    <w:uiPriority w:val="39"/>
    <w:semiHidden/>
    <w:unhideWhenUsed/>
    <w:rsid w:val="00AC212B"/>
    <w:pPr>
      <w:tabs>
        <w:tab w:val="right" w:leader="dot" w:pos="9071"/>
      </w:tabs>
      <w:spacing w:before="180"/>
      <w:jc w:val="left"/>
    </w:pPr>
    <w:rPr>
      <w:szCs w:val="22"/>
    </w:rPr>
  </w:style>
  <w:style w:type="paragraph" w:styleId="TOC8">
    <w:name w:val="toc 8"/>
    <w:basedOn w:val="Normal"/>
    <w:next w:val="Normal"/>
    <w:uiPriority w:val="39"/>
    <w:semiHidden/>
    <w:unhideWhenUsed/>
    <w:rsid w:val="00AC212B"/>
    <w:pPr>
      <w:tabs>
        <w:tab w:val="right" w:leader="dot" w:pos="9071"/>
      </w:tabs>
      <w:jc w:val="left"/>
    </w:pPr>
    <w:rPr>
      <w:szCs w:val="22"/>
    </w:rPr>
  </w:style>
  <w:style w:type="paragraph" w:styleId="TOC9">
    <w:name w:val="toc 9"/>
    <w:basedOn w:val="Normal"/>
    <w:next w:val="Normal"/>
    <w:uiPriority w:val="39"/>
    <w:semiHidden/>
    <w:unhideWhenUsed/>
    <w:rsid w:val="00AC212B"/>
    <w:pPr>
      <w:tabs>
        <w:tab w:val="right" w:leader="dot" w:pos="9071"/>
      </w:tabs>
    </w:pPr>
    <w:rPr>
      <w:szCs w:val="22"/>
    </w:rPr>
  </w:style>
  <w:style w:type="paragraph" w:customStyle="1" w:styleId="NormalLeft">
    <w:name w:val="Normal Left"/>
    <w:basedOn w:val="Normal"/>
    <w:rsid w:val="00AC212B"/>
    <w:pPr>
      <w:jc w:val="left"/>
    </w:pPr>
    <w:rPr>
      <w:szCs w:val="22"/>
    </w:rPr>
  </w:style>
  <w:style w:type="paragraph" w:customStyle="1" w:styleId="NormalRight">
    <w:name w:val="Normal Right"/>
    <w:basedOn w:val="Normal"/>
    <w:rsid w:val="00AC212B"/>
    <w:pPr>
      <w:jc w:val="right"/>
    </w:pPr>
    <w:rPr>
      <w:szCs w:val="22"/>
    </w:rPr>
  </w:style>
  <w:style w:type="paragraph" w:customStyle="1" w:styleId="QuotedText">
    <w:name w:val="Quoted Text"/>
    <w:basedOn w:val="Normal"/>
    <w:rsid w:val="00AC212B"/>
    <w:pPr>
      <w:ind w:left="1417"/>
    </w:pPr>
    <w:rPr>
      <w:szCs w:val="22"/>
    </w:rPr>
  </w:style>
  <w:style w:type="paragraph" w:customStyle="1" w:styleId="Point0">
    <w:name w:val="Point 0"/>
    <w:basedOn w:val="Normal"/>
    <w:rsid w:val="00AC212B"/>
    <w:pPr>
      <w:ind w:left="850" w:hanging="850"/>
    </w:pPr>
    <w:rPr>
      <w:szCs w:val="22"/>
    </w:rPr>
  </w:style>
  <w:style w:type="paragraph" w:customStyle="1" w:styleId="Point1">
    <w:name w:val="Point 1"/>
    <w:basedOn w:val="Normal"/>
    <w:rsid w:val="00AC212B"/>
    <w:pPr>
      <w:ind w:left="1417" w:hanging="567"/>
    </w:pPr>
    <w:rPr>
      <w:szCs w:val="22"/>
    </w:rPr>
  </w:style>
  <w:style w:type="paragraph" w:customStyle="1" w:styleId="Point2">
    <w:name w:val="Point 2"/>
    <w:basedOn w:val="Normal"/>
    <w:rsid w:val="00AC212B"/>
    <w:pPr>
      <w:ind w:left="1984" w:hanging="567"/>
    </w:pPr>
    <w:rPr>
      <w:szCs w:val="22"/>
    </w:rPr>
  </w:style>
  <w:style w:type="paragraph" w:customStyle="1" w:styleId="Point3">
    <w:name w:val="Point 3"/>
    <w:basedOn w:val="Normal"/>
    <w:rsid w:val="00AC212B"/>
    <w:pPr>
      <w:ind w:left="2551" w:hanging="567"/>
    </w:pPr>
    <w:rPr>
      <w:szCs w:val="22"/>
    </w:rPr>
  </w:style>
  <w:style w:type="paragraph" w:customStyle="1" w:styleId="Point4">
    <w:name w:val="Point 4"/>
    <w:basedOn w:val="Normal"/>
    <w:rsid w:val="00AC212B"/>
    <w:pPr>
      <w:ind w:left="3118" w:hanging="567"/>
    </w:pPr>
    <w:rPr>
      <w:szCs w:val="22"/>
    </w:rPr>
  </w:style>
  <w:style w:type="paragraph" w:customStyle="1" w:styleId="Tiret0">
    <w:name w:val="Tiret 0"/>
    <w:basedOn w:val="Point0"/>
    <w:rsid w:val="00AC212B"/>
    <w:pPr>
      <w:numPr>
        <w:numId w:val="22"/>
      </w:numPr>
    </w:pPr>
  </w:style>
  <w:style w:type="paragraph" w:customStyle="1" w:styleId="Tiret1">
    <w:name w:val="Tiret 1"/>
    <w:basedOn w:val="Point1"/>
    <w:rsid w:val="00AC212B"/>
    <w:pPr>
      <w:numPr>
        <w:numId w:val="23"/>
      </w:numPr>
    </w:pPr>
  </w:style>
  <w:style w:type="paragraph" w:customStyle="1" w:styleId="Tiret2">
    <w:name w:val="Tiret 2"/>
    <w:basedOn w:val="Point2"/>
    <w:rsid w:val="00AC212B"/>
    <w:pPr>
      <w:numPr>
        <w:numId w:val="24"/>
      </w:numPr>
    </w:pPr>
  </w:style>
  <w:style w:type="paragraph" w:customStyle="1" w:styleId="Tiret3">
    <w:name w:val="Tiret 3"/>
    <w:basedOn w:val="Point3"/>
    <w:rsid w:val="00AC212B"/>
    <w:pPr>
      <w:numPr>
        <w:numId w:val="25"/>
      </w:numPr>
    </w:pPr>
  </w:style>
  <w:style w:type="paragraph" w:customStyle="1" w:styleId="Tiret4">
    <w:name w:val="Tiret 4"/>
    <w:basedOn w:val="Point4"/>
    <w:rsid w:val="00AC212B"/>
    <w:pPr>
      <w:numPr>
        <w:numId w:val="26"/>
      </w:numPr>
    </w:pPr>
  </w:style>
  <w:style w:type="paragraph" w:customStyle="1" w:styleId="PointDouble0">
    <w:name w:val="PointDouble 0"/>
    <w:basedOn w:val="Normal"/>
    <w:rsid w:val="00AC212B"/>
    <w:pPr>
      <w:tabs>
        <w:tab w:val="left" w:pos="850"/>
      </w:tabs>
      <w:ind w:left="1417" w:hanging="1417"/>
    </w:pPr>
    <w:rPr>
      <w:szCs w:val="22"/>
    </w:rPr>
  </w:style>
  <w:style w:type="paragraph" w:customStyle="1" w:styleId="PointDouble1">
    <w:name w:val="PointDouble 1"/>
    <w:basedOn w:val="Normal"/>
    <w:rsid w:val="00AC212B"/>
    <w:pPr>
      <w:tabs>
        <w:tab w:val="left" w:pos="1417"/>
      </w:tabs>
      <w:ind w:left="1984" w:hanging="1134"/>
    </w:pPr>
    <w:rPr>
      <w:szCs w:val="22"/>
    </w:rPr>
  </w:style>
  <w:style w:type="paragraph" w:customStyle="1" w:styleId="PointDouble2">
    <w:name w:val="PointDouble 2"/>
    <w:basedOn w:val="Normal"/>
    <w:rsid w:val="00AC212B"/>
    <w:pPr>
      <w:tabs>
        <w:tab w:val="left" w:pos="1984"/>
      </w:tabs>
      <w:ind w:left="2551" w:hanging="1134"/>
    </w:pPr>
    <w:rPr>
      <w:szCs w:val="22"/>
    </w:rPr>
  </w:style>
  <w:style w:type="paragraph" w:customStyle="1" w:styleId="PointDouble3">
    <w:name w:val="PointDouble 3"/>
    <w:basedOn w:val="Normal"/>
    <w:rsid w:val="00AC212B"/>
    <w:pPr>
      <w:tabs>
        <w:tab w:val="left" w:pos="2551"/>
      </w:tabs>
      <w:ind w:left="3118" w:hanging="1134"/>
    </w:pPr>
    <w:rPr>
      <w:szCs w:val="22"/>
    </w:rPr>
  </w:style>
  <w:style w:type="paragraph" w:customStyle="1" w:styleId="PointDouble4">
    <w:name w:val="PointDouble 4"/>
    <w:basedOn w:val="Normal"/>
    <w:rsid w:val="00AC212B"/>
    <w:pPr>
      <w:tabs>
        <w:tab w:val="left" w:pos="3118"/>
      </w:tabs>
      <w:ind w:left="3685" w:hanging="1134"/>
    </w:pPr>
    <w:rPr>
      <w:szCs w:val="22"/>
    </w:rPr>
  </w:style>
  <w:style w:type="paragraph" w:customStyle="1" w:styleId="PointTriple0">
    <w:name w:val="PointTriple 0"/>
    <w:basedOn w:val="Normal"/>
    <w:rsid w:val="00AC212B"/>
    <w:pPr>
      <w:tabs>
        <w:tab w:val="left" w:pos="850"/>
        <w:tab w:val="left" w:pos="1417"/>
      </w:tabs>
      <w:ind w:left="1984" w:hanging="1984"/>
    </w:pPr>
    <w:rPr>
      <w:szCs w:val="22"/>
    </w:rPr>
  </w:style>
  <w:style w:type="paragraph" w:customStyle="1" w:styleId="PointTriple1">
    <w:name w:val="PointTriple 1"/>
    <w:basedOn w:val="Normal"/>
    <w:rsid w:val="00AC212B"/>
    <w:pPr>
      <w:tabs>
        <w:tab w:val="left" w:pos="1417"/>
        <w:tab w:val="left" w:pos="1984"/>
      </w:tabs>
      <w:ind w:left="2551" w:hanging="1701"/>
    </w:pPr>
    <w:rPr>
      <w:szCs w:val="22"/>
    </w:rPr>
  </w:style>
  <w:style w:type="paragraph" w:customStyle="1" w:styleId="PointTriple2">
    <w:name w:val="PointTriple 2"/>
    <w:basedOn w:val="Normal"/>
    <w:rsid w:val="00AC212B"/>
    <w:pPr>
      <w:tabs>
        <w:tab w:val="left" w:pos="1984"/>
        <w:tab w:val="left" w:pos="2551"/>
      </w:tabs>
      <w:ind w:left="3118" w:hanging="1701"/>
    </w:pPr>
    <w:rPr>
      <w:szCs w:val="22"/>
    </w:rPr>
  </w:style>
  <w:style w:type="paragraph" w:customStyle="1" w:styleId="PointTriple3">
    <w:name w:val="PointTriple 3"/>
    <w:basedOn w:val="Normal"/>
    <w:rsid w:val="00AC212B"/>
    <w:pPr>
      <w:tabs>
        <w:tab w:val="left" w:pos="2551"/>
        <w:tab w:val="left" w:pos="3118"/>
      </w:tabs>
      <w:ind w:left="3685" w:hanging="1701"/>
    </w:pPr>
    <w:rPr>
      <w:szCs w:val="22"/>
    </w:rPr>
  </w:style>
  <w:style w:type="paragraph" w:customStyle="1" w:styleId="PointTriple4">
    <w:name w:val="PointTriple 4"/>
    <w:basedOn w:val="Normal"/>
    <w:rsid w:val="00AC212B"/>
    <w:pPr>
      <w:tabs>
        <w:tab w:val="left" w:pos="3118"/>
        <w:tab w:val="left" w:pos="3685"/>
      </w:tabs>
      <w:ind w:left="4252" w:hanging="1701"/>
    </w:pPr>
    <w:rPr>
      <w:szCs w:val="22"/>
    </w:rPr>
  </w:style>
  <w:style w:type="paragraph" w:customStyle="1" w:styleId="NumPar2">
    <w:name w:val="NumPar 2"/>
    <w:basedOn w:val="Normal"/>
    <w:next w:val="Text1"/>
    <w:rsid w:val="00AC212B"/>
    <w:pPr>
      <w:tabs>
        <w:tab w:val="num" w:pos="850"/>
      </w:tabs>
      <w:ind w:left="850" w:hanging="850"/>
    </w:pPr>
    <w:rPr>
      <w:szCs w:val="22"/>
    </w:rPr>
  </w:style>
  <w:style w:type="paragraph" w:customStyle="1" w:styleId="NumPar3">
    <w:name w:val="NumPar 3"/>
    <w:basedOn w:val="Normal"/>
    <w:next w:val="Text1"/>
    <w:rsid w:val="00AC212B"/>
    <w:pPr>
      <w:tabs>
        <w:tab w:val="num" w:pos="850"/>
      </w:tabs>
      <w:ind w:left="850" w:hanging="850"/>
    </w:pPr>
    <w:rPr>
      <w:szCs w:val="22"/>
    </w:rPr>
  </w:style>
  <w:style w:type="paragraph" w:customStyle="1" w:styleId="NumPar4">
    <w:name w:val="NumPar 4"/>
    <w:basedOn w:val="Normal"/>
    <w:next w:val="Text1"/>
    <w:rsid w:val="00AC212B"/>
    <w:pPr>
      <w:tabs>
        <w:tab w:val="num" w:pos="850"/>
      </w:tabs>
      <w:ind w:left="850" w:hanging="850"/>
    </w:pPr>
    <w:rPr>
      <w:szCs w:val="22"/>
    </w:rPr>
  </w:style>
  <w:style w:type="paragraph" w:customStyle="1" w:styleId="ManualNumPar1">
    <w:name w:val="Manual NumPar 1"/>
    <w:basedOn w:val="Normal"/>
    <w:next w:val="Text1"/>
    <w:rsid w:val="00AC212B"/>
    <w:pPr>
      <w:ind w:left="850" w:hanging="850"/>
    </w:pPr>
    <w:rPr>
      <w:szCs w:val="22"/>
    </w:rPr>
  </w:style>
  <w:style w:type="paragraph" w:customStyle="1" w:styleId="ManualNumPar2">
    <w:name w:val="Manual NumPar 2"/>
    <w:basedOn w:val="Normal"/>
    <w:next w:val="Text1"/>
    <w:rsid w:val="00AC212B"/>
    <w:pPr>
      <w:ind w:left="850" w:hanging="850"/>
    </w:pPr>
    <w:rPr>
      <w:szCs w:val="22"/>
    </w:rPr>
  </w:style>
  <w:style w:type="paragraph" w:customStyle="1" w:styleId="ManualNumPar3">
    <w:name w:val="Manual NumPar 3"/>
    <w:basedOn w:val="Normal"/>
    <w:next w:val="Text1"/>
    <w:rsid w:val="00AC212B"/>
    <w:pPr>
      <w:ind w:left="850" w:hanging="850"/>
    </w:pPr>
    <w:rPr>
      <w:szCs w:val="22"/>
    </w:rPr>
  </w:style>
  <w:style w:type="paragraph" w:customStyle="1" w:styleId="ManualNumPar4">
    <w:name w:val="Manual NumPar 4"/>
    <w:basedOn w:val="Normal"/>
    <w:next w:val="Text1"/>
    <w:rsid w:val="00AC212B"/>
    <w:pPr>
      <w:ind w:left="850" w:hanging="850"/>
    </w:pPr>
    <w:rPr>
      <w:szCs w:val="22"/>
    </w:rPr>
  </w:style>
  <w:style w:type="paragraph" w:customStyle="1" w:styleId="QuotedNumPar">
    <w:name w:val="Quoted NumPar"/>
    <w:basedOn w:val="Normal"/>
    <w:rsid w:val="00AC212B"/>
    <w:pPr>
      <w:ind w:left="1417" w:hanging="567"/>
    </w:pPr>
    <w:rPr>
      <w:szCs w:val="22"/>
    </w:rPr>
  </w:style>
  <w:style w:type="paragraph" w:customStyle="1" w:styleId="ManualHeading1">
    <w:name w:val="Manual Heading 1"/>
    <w:basedOn w:val="Normal"/>
    <w:next w:val="Text1"/>
    <w:rsid w:val="00AC212B"/>
    <w:pPr>
      <w:keepNext/>
      <w:tabs>
        <w:tab w:val="left" w:pos="850"/>
      </w:tabs>
      <w:spacing w:before="360"/>
      <w:ind w:left="850" w:hanging="850"/>
      <w:outlineLvl w:val="0"/>
    </w:pPr>
    <w:rPr>
      <w:b/>
      <w:smallCaps/>
      <w:szCs w:val="22"/>
    </w:rPr>
  </w:style>
  <w:style w:type="paragraph" w:customStyle="1" w:styleId="ManualHeading2">
    <w:name w:val="Manual Heading 2"/>
    <w:basedOn w:val="Normal"/>
    <w:next w:val="Text1"/>
    <w:rsid w:val="00AC212B"/>
    <w:pPr>
      <w:keepNext/>
      <w:tabs>
        <w:tab w:val="left" w:pos="850"/>
      </w:tabs>
      <w:ind w:left="850" w:hanging="850"/>
      <w:outlineLvl w:val="1"/>
    </w:pPr>
    <w:rPr>
      <w:b/>
      <w:szCs w:val="22"/>
    </w:rPr>
  </w:style>
  <w:style w:type="paragraph" w:customStyle="1" w:styleId="ManualHeading3">
    <w:name w:val="Manual Heading 3"/>
    <w:basedOn w:val="Normal"/>
    <w:next w:val="Text1"/>
    <w:rsid w:val="00AC212B"/>
    <w:pPr>
      <w:keepNext/>
      <w:tabs>
        <w:tab w:val="left" w:pos="850"/>
      </w:tabs>
      <w:ind w:left="850" w:hanging="850"/>
      <w:outlineLvl w:val="2"/>
    </w:pPr>
    <w:rPr>
      <w:i/>
      <w:szCs w:val="22"/>
    </w:rPr>
  </w:style>
  <w:style w:type="paragraph" w:customStyle="1" w:styleId="ManualHeading4">
    <w:name w:val="Manual Heading 4"/>
    <w:basedOn w:val="Normal"/>
    <w:next w:val="Text1"/>
    <w:rsid w:val="00AC212B"/>
    <w:pPr>
      <w:keepNext/>
      <w:tabs>
        <w:tab w:val="left" w:pos="850"/>
      </w:tabs>
      <w:ind w:left="850" w:hanging="850"/>
      <w:outlineLvl w:val="3"/>
    </w:pPr>
    <w:rPr>
      <w:szCs w:val="22"/>
    </w:rPr>
  </w:style>
  <w:style w:type="paragraph" w:customStyle="1" w:styleId="ChapterTitle">
    <w:name w:val="ChapterTitle"/>
    <w:basedOn w:val="Normal"/>
    <w:next w:val="Normal"/>
    <w:rsid w:val="00AC212B"/>
    <w:pPr>
      <w:keepNext/>
      <w:spacing w:after="360"/>
      <w:jc w:val="center"/>
    </w:pPr>
    <w:rPr>
      <w:b/>
      <w:sz w:val="32"/>
      <w:szCs w:val="22"/>
    </w:rPr>
  </w:style>
  <w:style w:type="paragraph" w:customStyle="1" w:styleId="PartTitle">
    <w:name w:val="PartTitle"/>
    <w:basedOn w:val="Normal"/>
    <w:next w:val="ChapterTitle"/>
    <w:rsid w:val="00AC212B"/>
    <w:pPr>
      <w:keepNext/>
      <w:pageBreakBefore/>
      <w:spacing w:after="360"/>
      <w:jc w:val="center"/>
    </w:pPr>
    <w:rPr>
      <w:b/>
      <w:sz w:val="36"/>
      <w:szCs w:val="22"/>
    </w:rPr>
  </w:style>
  <w:style w:type="paragraph" w:customStyle="1" w:styleId="SectionTitle">
    <w:name w:val="SectionTitle"/>
    <w:basedOn w:val="Normal"/>
    <w:next w:val="Heading1"/>
    <w:rsid w:val="00AC212B"/>
    <w:pPr>
      <w:keepNext/>
      <w:spacing w:after="360"/>
      <w:jc w:val="center"/>
    </w:pPr>
    <w:rPr>
      <w:b/>
      <w:smallCaps/>
      <w:sz w:val="28"/>
      <w:szCs w:val="22"/>
    </w:rPr>
  </w:style>
  <w:style w:type="paragraph" w:customStyle="1" w:styleId="TableTitle">
    <w:name w:val="Table Title"/>
    <w:basedOn w:val="Normal"/>
    <w:next w:val="Normal"/>
    <w:rsid w:val="00AC212B"/>
    <w:pPr>
      <w:jc w:val="center"/>
    </w:pPr>
    <w:rPr>
      <w:b/>
      <w:szCs w:val="22"/>
    </w:rPr>
  </w:style>
  <w:style w:type="character" w:customStyle="1" w:styleId="Marker1">
    <w:name w:val="Marker1"/>
    <w:rsid w:val="00AC212B"/>
    <w:rPr>
      <w:color w:val="008000"/>
      <w:shd w:val="clear" w:color="auto" w:fill="auto"/>
    </w:rPr>
  </w:style>
  <w:style w:type="character" w:customStyle="1" w:styleId="Marker2">
    <w:name w:val="Marker2"/>
    <w:rsid w:val="00AC212B"/>
    <w:rPr>
      <w:color w:val="FF0000"/>
      <w:shd w:val="clear" w:color="auto" w:fill="auto"/>
    </w:rPr>
  </w:style>
  <w:style w:type="paragraph" w:customStyle="1" w:styleId="Point2letter">
    <w:name w:val="Point 2 (letter)"/>
    <w:basedOn w:val="Normal"/>
    <w:rsid w:val="00AC212B"/>
    <w:pPr>
      <w:tabs>
        <w:tab w:val="num" w:pos="1984"/>
      </w:tabs>
      <w:ind w:left="1984" w:hanging="567"/>
    </w:pPr>
    <w:rPr>
      <w:szCs w:val="22"/>
    </w:rPr>
  </w:style>
  <w:style w:type="paragraph" w:customStyle="1" w:styleId="Bullet0">
    <w:name w:val="Bullet 0"/>
    <w:basedOn w:val="Normal"/>
    <w:rsid w:val="00AC212B"/>
    <w:pPr>
      <w:numPr>
        <w:numId w:val="21"/>
      </w:numPr>
    </w:pPr>
    <w:rPr>
      <w:szCs w:val="22"/>
    </w:rPr>
  </w:style>
  <w:style w:type="paragraph" w:customStyle="1" w:styleId="Bullet1">
    <w:name w:val="Bullet 1"/>
    <w:basedOn w:val="Normal"/>
    <w:rsid w:val="00AC212B"/>
    <w:pPr>
      <w:numPr>
        <w:numId w:val="27"/>
      </w:numPr>
    </w:pPr>
    <w:rPr>
      <w:szCs w:val="22"/>
    </w:rPr>
  </w:style>
  <w:style w:type="paragraph" w:customStyle="1" w:styleId="Bullet2">
    <w:name w:val="Bullet 2"/>
    <w:basedOn w:val="Normal"/>
    <w:rsid w:val="00AC212B"/>
    <w:pPr>
      <w:numPr>
        <w:numId w:val="28"/>
      </w:numPr>
    </w:pPr>
    <w:rPr>
      <w:szCs w:val="22"/>
    </w:rPr>
  </w:style>
  <w:style w:type="paragraph" w:customStyle="1" w:styleId="Bullet3">
    <w:name w:val="Bullet 3"/>
    <w:basedOn w:val="Normal"/>
    <w:rsid w:val="00AC212B"/>
    <w:pPr>
      <w:numPr>
        <w:numId w:val="29"/>
      </w:numPr>
    </w:pPr>
    <w:rPr>
      <w:szCs w:val="22"/>
    </w:rPr>
  </w:style>
  <w:style w:type="paragraph" w:customStyle="1" w:styleId="Bullet4">
    <w:name w:val="Bullet 4"/>
    <w:basedOn w:val="Normal"/>
    <w:rsid w:val="00AC212B"/>
    <w:pPr>
      <w:numPr>
        <w:numId w:val="30"/>
      </w:numPr>
    </w:pPr>
    <w:rPr>
      <w:szCs w:val="22"/>
    </w:rPr>
  </w:style>
  <w:style w:type="paragraph" w:customStyle="1" w:styleId="Annexetitreexpos">
    <w:name w:val="Annexe titre (exposé)"/>
    <w:basedOn w:val="Normal"/>
    <w:next w:val="Normal"/>
    <w:rsid w:val="00AC212B"/>
    <w:pPr>
      <w:jc w:val="center"/>
    </w:pPr>
    <w:rPr>
      <w:b/>
      <w:szCs w:val="22"/>
      <w:u w:val="single"/>
    </w:rPr>
  </w:style>
  <w:style w:type="paragraph" w:customStyle="1" w:styleId="Annexetitrefichefinancire">
    <w:name w:val="Annexe titre (fiche financière)"/>
    <w:basedOn w:val="Normal"/>
    <w:next w:val="Normal"/>
    <w:rsid w:val="00AC212B"/>
    <w:pPr>
      <w:jc w:val="center"/>
    </w:pPr>
    <w:rPr>
      <w:b/>
      <w:szCs w:val="22"/>
      <w:u w:val="single"/>
    </w:rPr>
  </w:style>
  <w:style w:type="paragraph" w:customStyle="1" w:styleId="Applicationdirecte">
    <w:name w:val="Application directe"/>
    <w:basedOn w:val="Normal"/>
    <w:next w:val="Fait"/>
    <w:rsid w:val="00AC212B"/>
    <w:pPr>
      <w:spacing w:before="480"/>
    </w:pPr>
    <w:rPr>
      <w:szCs w:val="22"/>
    </w:rPr>
  </w:style>
  <w:style w:type="paragraph" w:customStyle="1" w:styleId="Fait">
    <w:name w:val="Fait à"/>
    <w:basedOn w:val="Normal"/>
    <w:next w:val="Institutionquisigne"/>
    <w:rsid w:val="00AC212B"/>
    <w:pPr>
      <w:keepNext/>
      <w:spacing w:after="0"/>
    </w:pPr>
    <w:rPr>
      <w:szCs w:val="22"/>
    </w:rPr>
  </w:style>
  <w:style w:type="paragraph" w:customStyle="1" w:styleId="Institutionquisigne">
    <w:name w:val="Institution qui signe"/>
    <w:basedOn w:val="Normal"/>
    <w:next w:val="Personnequisigne"/>
    <w:rsid w:val="00AC212B"/>
    <w:pPr>
      <w:keepNext/>
      <w:tabs>
        <w:tab w:val="left" w:pos="4252"/>
      </w:tabs>
      <w:spacing w:before="720" w:after="0"/>
    </w:pPr>
    <w:rPr>
      <w:i/>
      <w:szCs w:val="22"/>
    </w:rPr>
  </w:style>
  <w:style w:type="paragraph" w:customStyle="1" w:styleId="Personnequisigne">
    <w:name w:val="Personne qui signe"/>
    <w:basedOn w:val="Normal"/>
    <w:next w:val="Institutionquisigne"/>
    <w:rsid w:val="00AC212B"/>
    <w:pPr>
      <w:tabs>
        <w:tab w:val="left" w:pos="4252"/>
      </w:tabs>
      <w:spacing w:before="0" w:after="0"/>
      <w:jc w:val="left"/>
    </w:pPr>
    <w:rPr>
      <w:i/>
      <w:szCs w:val="22"/>
    </w:rPr>
  </w:style>
  <w:style w:type="paragraph" w:customStyle="1" w:styleId="Avertissementtitre">
    <w:name w:val="Avertissement titre"/>
    <w:basedOn w:val="Normal"/>
    <w:next w:val="Normal"/>
    <w:rsid w:val="00AC212B"/>
    <w:pPr>
      <w:keepNext/>
      <w:spacing w:before="480"/>
    </w:pPr>
    <w:rPr>
      <w:szCs w:val="22"/>
      <w:u w:val="single"/>
    </w:rPr>
  </w:style>
  <w:style w:type="paragraph" w:customStyle="1" w:styleId="Confidence">
    <w:name w:val="Confidence"/>
    <w:basedOn w:val="Normal"/>
    <w:next w:val="Normal"/>
    <w:rsid w:val="00AC212B"/>
    <w:pPr>
      <w:spacing w:before="360"/>
      <w:jc w:val="center"/>
    </w:pPr>
    <w:rPr>
      <w:szCs w:val="22"/>
    </w:rPr>
  </w:style>
  <w:style w:type="paragraph" w:customStyle="1" w:styleId="Confidentialit">
    <w:name w:val="Confidentialité"/>
    <w:basedOn w:val="Normal"/>
    <w:next w:val="TypedudocumentPagedecouverture"/>
    <w:rsid w:val="00AC212B"/>
    <w:pPr>
      <w:spacing w:before="240" w:after="240"/>
      <w:ind w:left="5103"/>
      <w:jc w:val="left"/>
    </w:pPr>
    <w:rPr>
      <w:i/>
      <w:sz w:val="32"/>
      <w:szCs w:val="22"/>
    </w:rPr>
  </w:style>
  <w:style w:type="paragraph" w:customStyle="1" w:styleId="TypedudocumentPagedecouverture">
    <w:name w:val="Type du document (Page de couverture)"/>
    <w:basedOn w:val="Typedudocument"/>
    <w:next w:val="TitreobjetPagedecouverture"/>
    <w:rsid w:val="00AC212B"/>
  </w:style>
  <w:style w:type="paragraph" w:customStyle="1" w:styleId="Typedudocument">
    <w:name w:val="Type du document"/>
    <w:basedOn w:val="Normal"/>
    <w:next w:val="Titreobjet"/>
    <w:rsid w:val="00AC212B"/>
    <w:pPr>
      <w:spacing w:before="360" w:after="180"/>
      <w:jc w:val="center"/>
    </w:pPr>
    <w:rPr>
      <w:b/>
      <w:szCs w:val="22"/>
    </w:rPr>
  </w:style>
  <w:style w:type="paragraph" w:customStyle="1" w:styleId="Titreobjet">
    <w:name w:val="Titre objet"/>
    <w:basedOn w:val="Normal"/>
    <w:next w:val="Sous-titreobjet"/>
    <w:rsid w:val="00AC212B"/>
    <w:pPr>
      <w:spacing w:before="180" w:after="180"/>
      <w:jc w:val="center"/>
    </w:pPr>
    <w:rPr>
      <w:b/>
      <w:szCs w:val="22"/>
    </w:rPr>
  </w:style>
  <w:style w:type="paragraph" w:customStyle="1" w:styleId="Sous-titreobjet">
    <w:name w:val="Sous-titre objet"/>
    <w:basedOn w:val="Normal"/>
    <w:rsid w:val="00AC212B"/>
    <w:pPr>
      <w:spacing w:before="0" w:after="0"/>
      <w:jc w:val="center"/>
    </w:pPr>
    <w:rPr>
      <w:b/>
      <w:szCs w:val="22"/>
    </w:rPr>
  </w:style>
  <w:style w:type="paragraph" w:customStyle="1" w:styleId="TitreobjetPagedecouverture">
    <w:name w:val="Titre objet (Page de couverture)"/>
    <w:basedOn w:val="Titreobjet"/>
    <w:next w:val="Sous-titreobjetPagedecouverture"/>
    <w:rsid w:val="00AC212B"/>
  </w:style>
  <w:style w:type="paragraph" w:customStyle="1" w:styleId="Sous-titreobjetPagedecouverture">
    <w:name w:val="Sous-titre objet (Page de couverture)"/>
    <w:basedOn w:val="Sous-titreobjet"/>
    <w:rsid w:val="00AC212B"/>
  </w:style>
  <w:style w:type="paragraph" w:customStyle="1" w:styleId="Considrant">
    <w:name w:val="Considérant"/>
    <w:basedOn w:val="Normal"/>
    <w:rsid w:val="00AC212B"/>
    <w:pPr>
      <w:numPr>
        <w:numId w:val="31"/>
      </w:numPr>
    </w:pPr>
    <w:rPr>
      <w:szCs w:val="22"/>
    </w:rPr>
  </w:style>
  <w:style w:type="paragraph" w:customStyle="1" w:styleId="Corrigendum">
    <w:name w:val="Corrigendum"/>
    <w:basedOn w:val="Normal"/>
    <w:next w:val="Normal"/>
    <w:rsid w:val="00AC212B"/>
    <w:pPr>
      <w:spacing w:before="0" w:after="240"/>
      <w:jc w:val="left"/>
    </w:pPr>
    <w:rPr>
      <w:szCs w:val="22"/>
    </w:rPr>
  </w:style>
  <w:style w:type="paragraph" w:customStyle="1" w:styleId="Datedadoption">
    <w:name w:val="Date d'adoption"/>
    <w:basedOn w:val="Normal"/>
    <w:next w:val="Titreobjet"/>
    <w:rsid w:val="00AC212B"/>
    <w:pPr>
      <w:spacing w:before="360" w:after="0"/>
      <w:jc w:val="center"/>
    </w:pPr>
    <w:rPr>
      <w:b/>
      <w:szCs w:val="22"/>
    </w:rPr>
  </w:style>
  <w:style w:type="paragraph" w:customStyle="1" w:styleId="Emission">
    <w:name w:val="Emission"/>
    <w:basedOn w:val="Normal"/>
    <w:next w:val="Rfrenceinstitutionnelle"/>
    <w:rsid w:val="00AC212B"/>
    <w:pPr>
      <w:spacing w:before="0" w:after="0"/>
      <w:ind w:left="5103"/>
      <w:jc w:val="left"/>
    </w:pPr>
    <w:rPr>
      <w:szCs w:val="22"/>
    </w:rPr>
  </w:style>
  <w:style w:type="paragraph" w:customStyle="1" w:styleId="Rfrenceinstitutionnelle">
    <w:name w:val="Référence institutionnelle"/>
    <w:basedOn w:val="Normal"/>
    <w:next w:val="Confidentialit"/>
    <w:rsid w:val="00AC212B"/>
    <w:pPr>
      <w:spacing w:before="0" w:after="240"/>
      <w:ind w:left="5103"/>
      <w:jc w:val="left"/>
    </w:pPr>
    <w:rPr>
      <w:szCs w:val="22"/>
    </w:rPr>
  </w:style>
  <w:style w:type="paragraph" w:customStyle="1" w:styleId="Exposdesmotifstitre">
    <w:name w:val="Exposé des motifs titre"/>
    <w:basedOn w:val="Normal"/>
    <w:next w:val="Normal"/>
    <w:rsid w:val="00AC212B"/>
    <w:pPr>
      <w:jc w:val="center"/>
    </w:pPr>
    <w:rPr>
      <w:b/>
      <w:szCs w:val="22"/>
      <w:u w:val="single"/>
    </w:rPr>
  </w:style>
  <w:style w:type="paragraph" w:customStyle="1" w:styleId="Formuledadoption">
    <w:name w:val="Formule d'adoption"/>
    <w:basedOn w:val="Normal"/>
    <w:next w:val="Titrearticle"/>
    <w:rsid w:val="00AC212B"/>
    <w:pPr>
      <w:keepNext/>
    </w:pPr>
    <w:rPr>
      <w:szCs w:val="22"/>
    </w:rPr>
  </w:style>
  <w:style w:type="paragraph" w:customStyle="1" w:styleId="Titrearticle">
    <w:name w:val="Titre article"/>
    <w:basedOn w:val="Normal"/>
    <w:next w:val="Normal"/>
    <w:rsid w:val="00AC212B"/>
    <w:pPr>
      <w:keepNext/>
      <w:spacing w:before="360"/>
      <w:jc w:val="center"/>
    </w:pPr>
    <w:rPr>
      <w:i/>
      <w:szCs w:val="22"/>
    </w:rPr>
  </w:style>
  <w:style w:type="paragraph" w:customStyle="1" w:styleId="Institutionquiagit">
    <w:name w:val="Institution qui agit"/>
    <w:basedOn w:val="Normal"/>
    <w:next w:val="Normal"/>
    <w:rsid w:val="00AC212B"/>
    <w:pPr>
      <w:keepNext/>
      <w:spacing w:before="600"/>
    </w:pPr>
    <w:rPr>
      <w:szCs w:val="22"/>
    </w:rPr>
  </w:style>
  <w:style w:type="paragraph" w:customStyle="1" w:styleId="Langue">
    <w:name w:val="Langue"/>
    <w:basedOn w:val="Normal"/>
    <w:next w:val="Rfrenceinterne"/>
    <w:rsid w:val="00AC212B"/>
    <w:pPr>
      <w:framePr w:wrap="around" w:vAnchor="page" w:hAnchor="text" w:xAlign="center" w:y="14741"/>
      <w:spacing w:before="0" w:after="600"/>
      <w:jc w:val="center"/>
    </w:pPr>
    <w:rPr>
      <w:b/>
      <w:caps/>
      <w:szCs w:val="22"/>
    </w:rPr>
  </w:style>
  <w:style w:type="paragraph" w:customStyle="1" w:styleId="Rfrenceinterne">
    <w:name w:val="Référence interne"/>
    <w:basedOn w:val="Normal"/>
    <w:next w:val="Rfrenceinterinstitutionnelle"/>
    <w:rsid w:val="00AC212B"/>
    <w:pPr>
      <w:spacing w:before="0" w:after="0"/>
      <w:ind w:left="5103"/>
      <w:jc w:val="left"/>
    </w:pPr>
    <w:rPr>
      <w:szCs w:val="22"/>
    </w:rPr>
  </w:style>
  <w:style w:type="paragraph" w:customStyle="1" w:styleId="Rfrenceinterinstitutionnelle">
    <w:name w:val="Référence interinstitutionnelle"/>
    <w:basedOn w:val="Normal"/>
    <w:next w:val="Statut"/>
    <w:rsid w:val="00AC212B"/>
    <w:pPr>
      <w:spacing w:before="0" w:after="0"/>
      <w:ind w:left="5103"/>
      <w:jc w:val="left"/>
    </w:pPr>
    <w:rPr>
      <w:szCs w:val="22"/>
    </w:rPr>
  </w:style>
  <w:style w:type="paragraph" w:customStyle="1" w:styleId="Statut">
    <w:name w:val="Statut"/>
    <w:basedOn w:val="Normal"/>
    <w:next w:val="Typedudocument"/>
    <w:rsid w:val="00AC212B"/>
    <w:pPr>
      <w:spacing w:before="360" w:after="0"/>
      <w:jc w:val="center"/>
    </w:pPr>
    <w:rPr>
      <w:szCs w:val="22"/>
    </w:rPr>
  </w:style>
  <w:style w:type="paragraph" w:customStyle="1" w:styleId="ManualConsidrant">
    <w:name w:val="Manual Considérant"/>
    <w:basedOn w:val="Normal"/>
    <w:rsid w:val="00AC212B"/>
    <w:pPr>
      <w:ind w:left="709" w:hanging="709"/>
    </w:pPr>
    <w:rPr>
      <w:szCs w:val="22"/>
    </w:rPr>
  </w:style>
  <w:style w:type="paragraph" w:customStyle="1" w:styleId="Nomdelinstitution">
    <w:name w:val="Nom de l'institution"/>
    <w:basedOn w:val="Normal"/>
    <w:next w:val="Emission"/>
    <w:rsid w:val="00AC212B"/>
    <w:pPr>
      <w:spacing w:before="0" w:after="0"/>
      <w:jc w:val="left"/>
    </w:pPr>
    <w:rPr>
      <w:rFonts w:ascii="Arial" w:hAnsi="Arial" w:cs="Arial"/>
      <w:szCs w:val="22"/>
    </w:rPr>
  </w:style>
  <w:style w:type="character" w:customStyle="1" w:styleId="Added">
    <w:name w:val="Added"/>
    <w:rsid w:val="00AC212B"/>
    <w:rPr>
      <w:b/>
      <w:u w:val="single"/>
      <w:shd w:val="clear" w:color="auto" w:fill="auto"/>
    </w:rPr>
  </w:style>
  <w:style w:type="character" w:customStyle="1" w:styleId="Deleted">
    <w:name w:val="Deleted"/>
    <w:rsid w:val="00AC212B"/>
    <w:rPr>
      <w:strike/>
      <w:dstrike w:val="0"/>
      <w:shd w:val="clear" w:color="auto" w:fill="auto"/>
    </w:rPr>
  </w:style>
  <w:style w:type="paragraph" w:customStyle="1" w:styleId="Address">
    <w:name w:val="Address"/>
    <w:basedOn w:val="Normal"/>
    <w:next w:val="Normal"/>
    <w:rsid w:val="00AC212B"/>
    <w:pPr>
      <w:keepLines/>
      <w:spacing w:line="360" w:lineRule="auto"/>
      <w:ind w:left="3402"/>
      <w:jc w:val="left"/>
    </w:pPr>
    <w:rPr>
      <w:szCs w:val="22"/>
    </w:rPr>
  </w:style>
  <w:style w:type="paragraph" w:customStyle="1" w:styleId="Objetexterne">
    <w:name w:val="Objet externe"/>
    <w:basedOn w:val="Normal"/>
    <w:next w:val="Normal"/>
    <w:rsid w:val="00AC212B"/>
    <w:rPr>
      <w:i/>
      <w:caps/>
      <w:szCs w:val="22"/>
    </w:rPr>
  </w:style>
  <w:style w:type="paragraph" w:customStyle="1" w:styleId="Supertitre">
    <w:name w:val="Supertitre"/>
    <w:basedOn w:val="Normal"/>
    <w:next w:val="Normal"/>
    <w:rsid w:val="00AC212B"/>
    <w:pPr>
      <w:spacing w:before="0" w:after="600"/>
      <w:jc w:val="center"/>
    </w:pPr>
    <w:rPr>
      <w:b/>
      <w:szCs w:val="22"/>
    </w:rPr>
  </w:style>
  <w:style w:type="paragraph" w:customStyle="1" w:styleId="Languesfaisantfoi">
    <w:name w:val="Langues faisant foi"/>
    <w:basedOn w:val="Normal"/>
    <w:next w:val="Normal"/>
    <w:rsid w:val="00AC212B"/>
    <w:pPr>
      <w:spacing w:before="360" w:after="0"/>
      <w:jc w:val="center"/>
    </w:pPr>
    <w:rPr>
      <w:szCs w:val="22"/>
    </w:rPr>
  </w:style>
  <w:style w:type="paragraph" w:customStyle="1" w:styleId="Rfrencecroise">
    <w:name w:val="Référence croisée"/>
    <w:basedOn w:val="Normal"/>
    <w:rsid w:val="00AC212B"/>
    <w:pPr>
      <w:spacing w:before="0" w:after="0"/>
      <w:jc w:val="center"/>
    </w:pPr>
    <w:rPr>
      <w:szCs w:val="22"/>
    </w:rPr>
  </w:style>
  <w:style w:type="paragraph" w:customStyle="1" w:styleId="Fichefinanciretitre">
    <w:name w:val="Fiche financière titre"/>
    <w:basedOn w:val="Normal"/>
    <w:next w:val="Normal"/>
    <w:rsid w:val="00AC212B"/>
    <w:pPr>
      <w:jc w:val="center"/>
    </w:pPr>
    <w:rPr>
      <w:b/>
      <w:szCs w:val="22"/>
      <w:u w:val="single"/>
    </w:rPr>
  </w:style>
  <w:style w:type="paragraph" w:customStyle="1" w:styleId="DatedadoptionPagedecouverture">
    <w:name w:val="Date d'adoption (Page de couverture)"/>
    <w:basedOn w:val="Datedadoption"/>
    <w:next w:val="TitreobjetPagedecouverture"/>
    <w:rsid w:val="00AC212B"/>
  </w:style>
  <w:style w:type="paragraph" w:customStyle="1" w:styleId="RfrenceinterinstitutionnellePagedecouverture">
    <w:name w:val="Référence interinstitutionnelle (Page de couverture)"/>
    <w:basedOn w:val="Rfrenceinterinstitutionnelle"/>
    <w:next w:val="Confidentialit"/>
    <w:rsid w:val="00AC212B"/>
  </w:style>
  <w:style w:type="paragraph" w:customStyle="1" w:styleId="StatutPagedecouverture">
    <w:name w:val="Statut (Page de couverture)"/>
    <w:basedOn w:val="Statut"/>
    <w:next w:val="TypedudocumentPagedecouverture"/>
    <w:rsid w:val="00AC212B"/>
  </w:style>
  <w:style w:type="paragraph" w:customStyle="1" w:styleId="Volume">
    <w:name w:val="Volume"/>
    <w:basedOn w:val="Normal"/>
    <w:next w:val="Confidentialit"/>
    <w:rsid w:val="00AC212B"/>
    <w:pPr>
      <w:spacing w:before="0" w:after="240"/>
      <w:ind w:left="5103"/>
      <w:jc w:val="left"/>
    </w:pPr>
    <w:rPr>
      <w:szCs w:val="22"/>
    </w:rPr>
  </w:style>
  <w:style w:type="paragraph" w:customStyle="1" w:styleId="IntrtEEE">
    <w:name w:val="Intérêt EEE"/>
    <w:basedOn w:val="Languesfaisantfoi"/>
    <w:next w:val="Normal"/>
    <w:rsid w:val="00AC212B"/>
    <w:pPr>
      <w:spacing w:after="240"/>
    </w:pPr>
  </w:style>
  <w:style w:type="paragraph" w:customStyle="1" w:styleId="Accompagnant">
    <w:name w:val="Accompagnant"/>
    <w:basedOn w:val="Normal"/>
    <w:next w:val="Typeacteprincipal"/>
    <w:rsid w:val="00AC212B"/>
    <w:pPr>
      <w:spacing w:before="180" w:after="240"/>
      <w:jc w:val="center"/>
    </w:pPr>
    <w:rPr>
      <w:b/>
      <w:szCs w:val="22"/>
    </w:rPr>
  </w:style>
  <w:style w:type="paragraph" w:customStyle="1" w:styleId="Typeacteprincipal">
    <w:name w:val="Type acte principal"/>
    <w:basedOn w:val="Normal"/>
    <w:next w:val="Objetacteprincipal"/>
    <w:rsid w:val="00AC212B"/>
    <w:pPr>
      <w:spacing w:before="0" w:after="240"/>
      <w:jc w:val="center"/>
    </w:pPr>
    <w:rPr>
      <w:b/>
      <w:szCs w:val="22"/>
    </w:rPr>
  </w:style>
  <w:style w:type="paragraph" w:customStyle="1" w:styleId="Objetacteprincipal">
    <w:name w:val="Objet acte principal"/>
    <w:basedOn w:val="Normal"/>
    <w:next w:val="Titrearticle"/>
    <w:rsid w:val="00AC212B"/>
    <w:pPr>
      <w:spacing w:before="0" w:after="360"/>
      <w:jc w:val="center"/>
    </w:pPr>
    <w:rPr>
      <w:b/>
      <w:szCs w:val="22"/>
    </w:rPr>
  </w:style>
  <w:style w:type="paragraph" w:customStyle="1" w:styleId="IntrtEEEPagedecouverture">
    <w:name w:val="Intérêt EEE (Page de couverture)"/>
    <w:basedOn w:val="IntrtEEE"/>
    <w:next w:val="Rfrencecroise"/>
    <w:rsid w:val="00AC212B"/>
  </w:style>
  <w:style w:type="paragraph" w:customStyle="1" w:styleId="AccompagnantPagedecouverture">
    <w:name w:val="Accompagnant (Page de couverture)"/>
    <w:basedOn w:val="Accompagnant"/>
    <w:next w:val="TypeacteprincipalPagedecouverture"/>
    <w:rsid w:val="00AC212B"/>
  </w:style>
  <w:style w:type="paragraph" w:customStyle="1" w:styleId="TypeacteprincipalPagedecouverture">
    <w:name w:val="Type acte principal (Page de couverture)"/>
    <w:basedOn w:val="Typeacteprincipal"/>
    <w:next w:val="ObjetacteprincipalPagedecouverture"/>
    <w:rsid w:val="00AC212B"/>
  </w:style>
  <w:style w:type="paragraph" w:customStyle="1" w:styleId="ObjetacteprincipalPagedecouverture">
    <w:name w:val="Objet acte principal (Page de couverture)"/>
    <w:basedOn w:val="Objetacteprincipal"/>
    <w:next w:val="Rfrencecroise"/>
    <w:rsid w:val="00AC212B"/>
  </w:style>
  <w:style w:type="paragraph" w:customStyle="1" w:styleId="LanguesfaisantfoiPagedecouverture">
    <w:name w:val="Langues faisant foi (Page de couverture)"/>
    <w:basedOn w:val="Normal"/>
    <w:next w:val="Normal"/>
    <w:rsid w:val="00AC212B"/>
    <w:pPr>
      <w:spacing w:before="360" w:after="0"/>
      <w:jc w:val="center"/>
    </w:pPr>
    <w:rPr>
      <w:szCs w:val="22"/>
    </w:rPr>
  </w:style>
  <w:style w:type="paragraph" w:styleId="Quote">
    <w:name w:val="Quote"/>
    <w:basedOn w:val="Normal"/>
    <w:next w:val="Normal"/>
    <w:link w:val="QuoteChar"/>
    <w:uiPriority w:val="29"/>
    <w:qFormat/>
    <w:rsid w:val="00AC212B"/>
    <w:pPr>
      <w:spacing w:before="0" w:after="240"/>
    </w:pPr>
    <w:rPr>
      <w:rFonts w:eastAsia="Times New Roman"/>
      <w:i/>
      <w:iCs/>
      <w:color w:val="000000"/>
    </w:rPr>
  </w:style>
  <w:style w:type="character" w:customStyle="1" w:styleId="QuoteChar">
    <w:name w:val="Quote Char"/>
    <w:basedOn w:val="DefaultParagraphFont"/>
    <w:link w:val="Quote"/>
    <w:uiPriority w:val="29"/>
    <w:rsid w:val="00AC212B"/>
    <w:rPr>
      <w:rFonts w:eastAsia="Times New Roman" w:cs="Times New Roman"/>
      <w:i/>
      <w:iCs/>
      <w:color w:val="000000"/>
      <w:szCs w:val="20"/>
      <w:lang w:eastAsia="lv-LV" w:bidi="lv-LV"/>
    </w:rPr>
  </w:style>
  <w:style w:type="paragraph" w:customStyle="1" w:styleId="Declassification">
    <w:name w:val="Declassification"/>
    <w:basedOn w:val="Normal"/>
    <w:next w:val="Normal"/>
    <w:rsid w:val="00AC212B"/>
    <w:pPr>
      <w:spacing w:before="0" w:after="0"/>
    </w:pPr>
    <w:rPr>
      <w:rFonts w:eastAsiaTheme="minorHAnsi"/>
      <w:szCs w:val="22"/>
    </w:rPr>
  </w:style>
  <w:style w:type="paragraph" w:customStyle="1" w:styleId="ZCom">
    <w:name w:val="Z_Com"/>
    <w:basedOn w:val="Normal"/>
    <w:next w:val="ZDGName"/>
    <w:uiPriority w:val="99"/>
    <w:rsid w:val="00AC212B"/>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rsid w:val="00AC212B"/>
    <w:pPr>
      <w:widowControl w:val="0"/>
      <w:autoSpaceDE w:val="0"/>
      <w:autoSpaceDN w:val="0"/>
      <w:spacing w:before="0" w:after="0"/>
      <w:ind w:right="85"/>
      <w:jc w:val="left"/>
    </w:pPr>
    <w:rPr>
      <w:rFonts w:ascii="Arial" w:eastAsia="Times New Roman" w:hAnsi="Arial" w:cs="Arial"/>
      <w:sz w:val="16"/>
      <w:szCs w:val="16"/>
    </w:rPr>
  </w:style>
  <w:style w:type="table" w:customStyle="1" w:styleId="TableGrid1">
    <w:name w:val="Table Grid1"/>
    <w:basedOn w:val="TableNormal"/>
    <w:next w:val="TableGrid"/>
    <w:uiPriority w:val="59"/>
    <w:rsid w:val="00AC212B"/>
    <w:rPr>
      <w:rFonts w:asciiTheme="minorHAnsi" w:hAnsiTheme="minorHAnsi"/>
      <w:sz w:val="22"/>
      <w:lang w:eastAsia="lv-LV" w:bidi="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aukums">
    <w:name w:val="Nosaukums"/>
    <w:basedOn w:val="Title"/>
    <w:link w:val="NosaukumsChar"/>
    <w:qFormat/>
    <w:rsid w:val="00AC212B"/>
    <w:pPr>
      <w:spacing w:before="0" w:after="0" w:line="360" w:lineRule="auto"/>
      <w:contextualSpacing/>
      <w:outlineLvl w:val="9"/>
    </w:pPr>
    <w:rPr>
      <w:rFonts w:ascii="Calibri Light" w:hAnsi="Calibri Light"/>
      <w:spacing w:val="-10"/>
      <w:sz w:val="56"/>
      <w:szCs w:val="56"/>
      <w:lang w:eastAsia="en-US" w:bidi="ar-SA"/>
    </w:rPr>
  </w:style>
  <w:style w:type="character" w:customStyle="1" w:styleId="NosaukumsChar">
    <w:name w:val="Nosaukums Char"/>
    <w:link w:val="Nosaukums"/>
    <w:rsid w:val="00AC212B"/>
    <w:rPr>
      <w:rFonts w:ascii="Calibri Light" w:eastAsia="Times New Roman" w:hAnsi="Calibri Light" w:cs="Times New Roman"/>
      <w:b/>
      <w:spacing w:val="-10"/>
      <w:kern w:val="28"/>
      <w:sz w:val="56"/>
      <w:szCs w:val="56"/>
    </w:rPr>
  </w:style>
  <w:style w:type="paragraph" w:customStyle="1" w:styleId="footnotedescription">
    <w:name w:val="footnote description"/>
    <w:next w:val="Normal"/>
    <w:link w:val="footnotedescriptionChar"/>
    <w:hidden/>
    <w:rsid w:val="00AC212B"/>
    <w:pPr>
      <w:spacing w:line="259" w:lineRule="auto"/>
    </w:pPr>
    <w:rPr>
      <w:rFonts w:eastAsia="Times New Roman" w:cs="Times New Roman"/>
      <w:color w:val="000000"/>
      <w:sz w:val="22"/>
      <w:lang w:eastAsia="lv-LV"/>
    </w:rPr>
  </w:style>
  <w:style w:type="character" w:customStyle="1" w:styleId="footnotedescriptionChar">
    <w:name w:val="footnote description Char"/>
    <w:link w:val="footnotedescription"/>
    <w:rsid w:val="00AC212B"/>
    <w:rPr>
      <w:rFonts w:eastAsia="Times New Roman" w:cs="Times New Roman"/>
      <w:color w:val="000000"/>
      <w:sz w:val="22"/>
      <w:lang w:eastAsia="lv-LV"/>
    </w:rPr>
  </w:style>
  <w:style w:type="character" w:customStyle="1" w:styleId="footnotemark">
    <w:name w:val="footnote mark"/>
    <w:hidden/>
    <w:rsid w:val="00AC212B"/>
    <w:rPr>
      <w:rFonts w:ascii="Times New Roman" w:eastAsia="Times New Roman" w:hAnsi="Times New Roman" w:cs="Times New Roman"/>
      <w:b/>
      <w:color w:val="000000"/>
      <w:sz w:val="22"/>
      <w:vertAlign w:val="superscript"/>
    </w:rPr>
  </w:style>
  <w:style w:type="table" w:customStyle="1" w:styleId="TableGrid0">
    <w:name w:val="TableGrid"/>
    <w:rsid w:val="00AC212B"/>
    <w:rPr>
      <w:rFonts w:asciiTheme="minorHAnsi" w:eastAsiaTheme="minorEastAsia" w:hAnsiTheme="minorHAnsi"/>
      <w:sz w:val="22"/>
      <w:lang w:eastAsia="lv-LV"/>
    </w:rPr>
    <w:tblPr>
      <w:tblCellMar>
        <w:top w:w="0" w:type="dxa"/>
        <w:left w:w="0" w:type="dxa"/>
        <w:bottom w:w="0" w:type="dxa"/>
        <w:right w:w="0" w:type="dxa"/>
      </w:tblCellMar>
    </w:tblPr>
  </w:style>
  <w:style w:type="paragraph" w:styleId="HTMLPreformatted">
    <w:name w:val="HTML Preformatted"/>
    <w:basedOn w:val="Normal"/>
    <w:link w:val="HTMLPreformattedChar"/>
    <w:uiPriority w:val="99"/>
    <w:unhideWhenUsed/>
    <w:rsid w:val="00AC2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Courier New"/>
      <w:sz w:val="20"/>
      <w:lang w:bidi="ar-SA"/>
    </w:rPr>
  </w:style>
  <w:style w:type="character" w:customStyle="1" w:styleId="HTMLPreformattedChar">
    <w:name w:val="HTML Preformatted Char"/>
    <w:basedOn w:val="DefaultParagraphFont"/>
    <w:link w:val="HTMLPreformatted"/>
    <w:uiPriority w:val="99"/>
    <w:rsid w:val="00AC212B"/>
    <w:rPr>
      <w:rFonts w:ascii="Courier New" w:eastAsia="Times New Roman" w:hAnsi="Courier New" w:cs="Courier New"/>
      <w:sz w:val="20"/>
      <w:szCs w:val="20"/>
      <w:lang w:eastAsia="lv-LV"/>
    </w:rPr>
  </w:style>
  <w:style w:type="paragraph" w:customStyle="1" w:styleId="FooterCouncil">
    <w:name w:val="Footer Council"/>
    <w:basedOn w:val="Normal"/>
    <w:link w:val="FooterCouncilChar"/>
    <w:rsid w:val="00AC212B"/>
    <w:pPr>
      <w:spacing w:before="0" w:after="0"/>
      <w:jc w:val="left"/>
    </w:pPr>
    <w:rPr>
      <w:rFonts w:eastAsiaTheme="minorHAnsi"/>
      <w:sz w:val="2"/>
      <w:szCs w:val="22"/>
      <w:lang w:val="en-GB" w:eastAsia="en-US" w:bidi="ar-SA"/>
    </w:rPr>
  </w:style>
  <w:style w:type="character" w:customStyle="1" w:styleId="FooterCouncilChar">
    <w:name w:val="Footer Council Char"/>
    <w:link w:val="FooterCouncil"/>
    <w:rsid w:val="00AC212B"/>
    <w:rPr>
      <w:rFonts w:cs="Times New Roman"/>
      <w:sz w:val="2"/>
      <w:lang w:val="en-GB"/>
    </w:rPr>
  </w:style>
  <w:style w:type="paragraph" w:customStyle="1" w:styleId="FooterText">
    <w:name w:val="Footer Text"/>
    <w:basedOn w:val="Normal"/>
    <w:rsid w:val="00AC212B"/>
    <w:pPr>
      <w:spacing w:before="0" w:after="0"/>
      <w:jc w:val="left"/>
    </w:pPr>
    <w:rPr>
      <w:rFonts w:eastAsia="Times New Roman"/>
      <w:szCs w:val="24"/>
      <w:lang w:val="en-GB" w:eastAsia="en-US" w:bidi="ar-SA"/>
    </w:rPr>
  </w:style>
  <w:style w:type="paragraph" w:customStyle="1" w:styleId="PointDoubleManual">
    <w:name w:val="Point Double Manual"/>
    <w:basedOn w:val="Normal"/>
    <w:rsid w:val="00AC212B"/>
    <w:pPr>
      <w:tabs>
        <w:tab w:val="left" w:pos="567"/>
      </w:tabs>
      <w:spacing w:line="360" w:lineRule="auto"/>
      <w:ind w:left="1134" w:hanging="1134"/>
      <w:jc w:val="left"/>
    </w:pPr>
    <w:rPr>
      <w:rFonts w:eastAsiaTheme="minorHAnsi"/>
      <w:szCs w:val="22"/>
      <w:lang w:val="en-GB" w:eastAsia="en-US" w:bidi="ar-SA"/>
    </w:rPr>
  </w:style>
  <w:style w:type="character" w:customStyle="1" w:styleId="ListParagraphChar1">
    <w:name w:val="List Paragraph Char1"/>
    <w:aliases w:val="2 Char1"/>
    <w:uiPriority w:val="34"/>
    <w:locked/>
    <w:rsid w:val="00AC212B"/>
    <w:rPr>
      <w:rFonts w:ascii="Times New Roman" w:eastAsia="SimSun" w:hAnsi="Times New Roman" w:cs="Times New Roman"/>
      <w:sz w:val="24"/>
      <w:lang w:val="en-US" w:eastAsia="ja-JP"/>
    </w:rPr>
  </w:style>
  <w:style w:type="character" w:customStyle="1" w:styleId="FootnoteCharacters">
    <w:name w:val="Footnote Characters"/>
    <w:rsid w:val="00AC212B"/>
    <w:rPr>
      <w:vertAlign w:val="superscript"/>
    </w:rPr>
  </w:style>
  <w:style w:type="paragraph" w:customStyle="1" w:styleId="Normal1">
    <w:name w:val="Normal1"/>
    <w:rsid w:val="00AC212B"/>
    <w:pPr>
      <w:spacing w:line="276" w:lineRule="auto"/>
    </w:pPr>
    <w:rPr>
      <w:rFonts w:ascii="Arial" w:eastAsia="Arial" w:hAnsi="Arial" w:cs="Arial"/>
      <w:sz w:val="22"/>
    </w:rPr>
  </w:style>
  <w:style w:type="paragraph" w:customStyle="1" w:styleId="paragraph">
    <w:name w:val="paragraph"/>
    <w:basedOn w:val="Normal"/>
    <w:rsid w:val="00AC212B"/>
    <w:pPr>
      <w:spacing w:before="100" w:beforeAutospacing="1" w:after="100" w:afterAutospacing="1"/>
      <w:jc w:val="left"/>
    </w:pPr>
    <w:rPr>
      <w:rFonts w:eastAsia="Times New Roman"/>
      <w:szCs w:val="24"/>
      <w:lang w:bidi="ar-SA"/>
    </w:rPr>
  </w:style>
  <w:style w:type="character" w:customStyle="1" w:styleId="normaltextrun">
    <w:name w:val="normaltextrun"/>
    <w:basedOn w:val="DefaultParagraphFont"/>
    <w:rsid w:val="00AC212B"/>
  </w:style>
  <w:style w:type="character" w:customStyle="1" w:styleId="eop">
    <w:name w:val="eop"/>
    <w:basedOn w:val="DefaultParagraphFont"/>
    <w:rsid w:val="00AC212B"/>
  </w:style>
  <w:style w:type="paragraph" w:customStyle="1" w:styleId="EE-V">
    <w:name w:val="EE-V"/>
    <w:basedOn w:val="Normal"/>
    <w:autoRedefine/>
    <w:rsid w:val="00AC212B"/>
    <w:pPr>
      <w:spacing w:before="100" w:beforeAutospacing="1" w:after="100" w:afterAutospacing="1"/>
      <w:jc w:val="center"/>
    </w:pPr>
    <w:rPr>
      <w:rFonts w:eastAsia="Times New Roman"/>
      <w:b/>
      <w:smallCaps/>
      <w:sz w:val="56"/>
      <w:szCs w:val="56"/>
      <w:lang w:bidi="ar-SA"/>
    </w:rPr>
  </w:style>
  <w:style w:type="paragraph" w:customStyle="1" w:styleId="Style1">
    <w:name w:val="Style1"/>
    <w:basedOn w:val="Heading1"/>
    <w:link w:val="Style1Char"/>
    <w:qFormat/>
    <w:rsid w:val="00AC212B"/>
    <w:pPr>
      <w:keepLines/>
      <w:numPr>
        <w:numId w:val="0"/>
      </w:numPr>
      <w:pBdr>
        <w:bottom w:val="single" w:sz="4" w:space="1" w:color="595959"/>
      </w:pBdr>
      <w:spacing w:before="360" w:after="160" w:line="259" w:lineRule="auto"/>
      <w:ind w:left="360" w:hanging="360"/>
      <w:jc w:val="left"/>
    </w:pPr>
    <w:rPr>
      <w:rFonts w:eastAsia="SimSun"/>
      <w:bCs/>
      <w:color w:val="000000"/>
      <w:szCs w:val="24"/>
      <w:lang w:val="en-US" w:eastAsia="ja-JP" w:bidi="ar-SA"/>
    </w:rPr>
  </w:style>
  <w:style w:type="character" w:customStyle="1" w:styleId="Style1Char">
    <w:name w:val="Style1 Char"/>
    <w:link w:val="Style1"/>
    <w:rsid w:val="00AC212B"/>
    <w:rPr>
      <w:rFonts w:eastAsia="SimSun" w:cs="Times New Roman"/>
      <w:b/>
      <w:bCs/>
      <w:smallCaps/>
      <w:color w:val="000000"/>
      <w:szCs w:val="24"/>
      <w:lang w:val="en-US" w:eastAsia="ja-JP"/>
    </w:rPr>
  </w:style>
  <w:style w:type="paragraph" w:customStyle="1" w:styleId="CharCharCharChar">
    <w:name w:val="Char Char Char Char"/>
    <w:aliases w:val="Char2"/>
    <w:basedOn w:val="Normal"/>
    <w:next w:val="Normal"/>
    <w:uiPriority w:val="99"/>
    <w:rsid w:val="00AC212B"/>
    <w:pPr>
      <w:spacing w:before="0" w:after="160" w:line="240" w:lineRule="exact"/>
      <w:textAlignment w:val="baseline"/>
    </w:pPr>
    <w:rPr>
      <w:rFonts w:eastAsia="PMingLiU"/>
      <w:sz w:val="20"/>
      <w:vertAlign w:val="superscript"/>
      <w:lang w:bidi="ar-SA"/>
    </w:rPr>
  </w:style>
  <w:style w:type="paragraph" w:customStyle="1" w:styleId="mt-translation">
    <w:name w:val="mt-translation"/>
    <w:basedOn w:val="Normal"/>
    <w:rsid w:val="00AC212B"/>
    <w:pPr>
      <w:spacing w:before="0" w:after="100" w:afterAutospacing="1" w:line="276" w:lineRule="auto"/>
      <w:ind w:firstLine="720"/>
      <w:jc w:val="left"/>
    </w:pPr>
    <w:rPr>
      <w:rFonts w:eastAsia="Times New Roman"/>
      <w:szCs w:val="24"/>
      <w:lang w:bidi="ar-SA"/>
    </w:rPr>
  </w:style>
  <w:style w:type="character" w:customStyle="1" w:styleId="tlid-translation">
    <w:name w:val="tlid-translation"/>
    <w:basedOn w:val="DefaultParagraphFont"/>
    <w:rsid w:val="00AC212B"/>
  </w:style>
  <w:style w:type="character" w:styleId="Emphasis">
    <w:name w:val="Emphasis"/>
    <w:basedOn w:val="DefaultParagraphFont"/>
    <w:uiPriority w:val="20"/>
    <w:qFormat/>
    <w:rsid w:val="00AC212B"/>
    <w:rPr>
      <w:i/>
      <w:iCs/>
    </w:rPr>
  </w:style>
  <w:style w:type="table" w:customStyle="1" w:styleId="TableGrid2">
    <w:name w:val="Table Grid2"/>
    <w:basedOn w:val="TableNormal"/>
    <w:next w:val="TableGrid"/>
    <w:uiPriority w:val="39"/>
    <w:rsid w:val="00AC2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C2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restekstsRakstz">
    <w:name w:val="Vēres teksts Rakstz."/>
    <w:aliases w:val="Schriftart: 9 pt Rakstz.,Schriftart: 10 pt Rakstz.,Schriftart: 8 pt Rakstz.,WB-Fußnotentext Rakstz.,FoodNote Rakstz.,ft Rakstz.,Footnote text Rakstz.,Footnote Text Char Char Rakstz.,Footnote Text Char1 Char Char Rakstz.,fn Rakstz."/>
    <w:basedOn w:val="DefaultParagraphFont"/>
    <w:uiPriority w:val="99"/>
    <w:locked/>
    <w:rsid w:val="00AC212B"/>
    <w:rPr>
      <w:rFonts w:ascii="Calibri" w:hAnsi="Calibri" w:cs="Calibri"/>
    </w:rPr>
  </w:style>
  <w:style w:type="character" w:customStyle="1" w:styleId="highlight">
    <w:name w:val="highlight"/>
    <w:basedOn w:val="DefaultParagraphFont"/>
    <w:rsid w:val="00AC212B"/>
  </w:style>
  <w:style w:type="paragraph" w:customStyle="1" w:styleId="li">
    <w:name w:val="li"/>
    <w:basedOn w:val="Normal"/>
    <w:rsid w:val="00AC212B"/>
    <w:pPr>
      <w:spacing w:before="0" w:after="0"/>
      <w:ind w:left="468"/>
    </w:pPr>
    <w:rPr>
      <w:rFonts w:eastAsia="Times New Roman"/>
      <w:szCs w:val="24"/>
      <w:lang w:val="en-US" w:eastAsia="en-US" w:bidi="ar-SA"/>
    </w:rPr>
  </w:style>
  <w:style w:type="character" w:customStyle="1" w:styleId="num4">
    <w:name w:val="num4"/>
    <w:basedOn w:val="DefaultParagraphFont"/>
    <w:rsid w:val="00AC212B"/>
  </w:style>
  <w:style w:type="character" w:customStyle="1" w:styleId="UnresolvedMention1">
    <w:name w:val="Unresolved Mention1"/>
    <w:basedOn w:val="DefaultParagraphFont"/>
    <w:uiPriority w:val="99"/>
    <w:semiHidden/>
    <w:unhideWhenUsed/>
    <w:rsid w:val="00237DBA"/>
    <w:rPr>
      <w:color w:val="605E5C"/>
      <w:shd w:val="clear" w:color="auto" w:fill="E1DFDD"/>
    </w:rPr>
  </w:style>
  <w:style w:type="paragraph" w:customStyle="1" w:styleId="msonormal0">
    <w:name w:val="msonormal"/>
    <w:basedOn w:val="Normal"/>
    <w:rsid w:val="001F5E35"/>
    <w:pPr>
      <w:spacing w:before="100" w:beforeAutospacing="1" w:after="100" w:afterAutospacing="1"/>
      <w:jc w:val="left"/>
    </w:pPr>
    <w:rPr>
      <w:rFonts w:eastAsia="Times New Roman"/>
      <w:szCs w:val="24"/>
      <w:lang w:val="en-GB" w:eastAsia="en-GB" w:bidi="ne-NP"/>
    </w:rPr>
  </w:style>
  <w:style w:type="paragraph" w:customStyle="1" w:styleId="xl114">
    <w:name w:val="xl114"/>
    <w:basedOn w:val="Normal"/>
    <w:rsid w:val="001F5E35"/>
    <w:pPr>
      <w:spacing w:before="100" w:beforeAutospacing="1" w:after="100" w:afterAutospacing="1"/>
      <w:jc w:val="center"/>
    </w:pPr>
    <w:rPr>
      <w:rFonts w:eastAsia="Times New Roman"/>
      <w:szCs w:val="24"/>
      <w:lang w:val="en-GB" w:eastAsia="en-GB" w:bidi="ne-NP"/>
    </w:rPr>
  </w:style>
  <w:style w:type="paragraph" w:customStyle="1" w:styleId="xl115">
    <w:name w:val="xl115"/>
    <w:basedOn w:val="Normal"/>
    <w:rsid w:val="001F5E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lang w:val="en-GB" w:eastAsia="en-GB" w:bidi="ne-NP"/>
    </w:rPr>
  </w:style>
  <w:style w:type="paragraph" w:customStyle="1" w:styleId="xl116">
    <w:name w:val="xl116"/>
    <w:basedOn w:val="Normal"/>
    <w:rsid w:val="001F5E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lang w:val="en-GB" w:eastAsia="en-GB" w:bidi="ne-NP"/>
    </w:rPr>
  </w:style>
  <w:style w:type="paragraph" w:customStyle="1" w:styleId="xl117">
    <w:name w:val="xl117"/>
    <w:basedOn w:val="Normal"/>
    <w:rsid w:val="001F5E3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lang w:val="en-GB" w:eastAsia="en-GB" w:bidi="ne-NP"/>
    </w:rPr>
  </w:style>
  <w:style w:type="paragraph" w:customStyle="1" w:styleId="xl118">
    <w:name w:val="xl118"/>
    <w:basedOn w:val="Normal"/>
    <w:rsid w:val="001F5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lang w:val="en-GB" w:eastAsia="en-GB" w:bidi="ne-NP"/>
    </w:rPr>
  </w:style>
  <w:style w:type="paragraph" w:customStyle="1" w:styleId="xl119">
    <w:name w:val="xl119"/>
    <w:basedOn w:val="Normal"/>
    <w:rsid w:val="001F5E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lang w:val="en-GB" w:eastAsia="en-GB" w:bidi="ne-NP"/>
    </w:rPr>
  </w:style>
  <w:style w:type="paragraph" w:customStyle="1" w:styleId="xl120">
    <w:name w:val="xl120"/>
    <w:basedOn w:val="Normal"/>
    <w:rsid w:val="001F5E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FF0000"/>
      <w:sz w:val="20"/>
      <w:lang w:val="en-GB" w:eastAsia="en-GB" w:bidi="ne-NP"/>
    </w:rPr>
  </w:style>
  <w:style w:type="paragraph" w:customStyle="1" w:styleId="xl121">
    <w:name w:val="xl121"/>
    <w:basedOn w:val="Normal"/>
    <w:rsid w:val="001F5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lang w:val="en-GB" w:eastAsia="en-GB" w:bidi="ne-NP"/>
    </w:rPr>
  </w:style>
  <w:style w:type="paragraph" w:customStyle="1" w:styleId="xl122">
    <w:name w:val="xl122"/>
    <w:basedOn w:val="Normal"/>
    <w:rsid w:val="001F5E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20"/>
      <w:lang w:val="en-GB" w:eastAsia="en-GB" w:bidi="ne-NP"/>
    </w:rPr>
  </w:style>
  <w:style w:type="paragraph" w:customStyle="1" w:styleId="xl123">
    <w:name w:val="xl123"/>
    <w:basedOn w:val="Normal"/>
    <w:rsid w:val="001F5E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lang w:val="en-GB" w:eastAsia="en-GB" w:bidi="ne-NP"/>
    </w:rPr>
  </w:style>
  <w:style w:type="paragraph" w:customStyle="1" w:styleId="xl124">
    <w:name w:val="xl124"/>
    <w:basedOn w:val="Normal"/>
    <w:rsid w:val="001F5E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sz w:val="20"/>
      <w:lang w:val="en-GB" w:eastAsia="en-GB" w:bidi="ne-NP"/>
    </w:rPr>
  </w:style>
  <w:style w:type="paragraph" w:customStyle="1" w:styleId="xl125">
    <w:name w:val="xl125"/>
    <w:basedOn w:val="Normal"/>
    <w:rsid w:val="001F5E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sz w:val="20"/>
      <w:lang w:val="en-GB" w:eastAsia="en-GB" w:bidi="ne-NP"/>
    </w:rPr>
  </w:style>
  <w:style w:type="paragraph" w:customStyle="1" w:styleId="xl126">
    <w:name w:val="xl126"/>
    <w:basedOn w:val="Normal"/>
    <w:rsid w:val="001F5E3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lang w:val="en-GB" w:eastAsia="en-GB" w:bidi="ne-NP"/>
    </w:rPr>
  </w:style>
  <w:style w:type="paragraph" w:customStyle="1" w:styleId="xl127">
    <w:name w:val="xl127"/>
    <w:basedOn w:val="Normal"/>
    <w:rsid w:val="001F5E35"/>
    <w:pPr>
      <w:pBdr>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lang w:val="en-GB" w:eastAsia="en-GB" w:bidi="ne-NP"/>
    </w:rPr>
  </w:style>
  <w:style w:type="paragraph" w:customStyle="1" w:styleId="xl128">
    <w:name w:val="xl128"/>
    <w:basedOn w:val="Normal"/>
    <w:rsid w:val="001F5E3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val="en-GB" w:eastAsia="en-GB" w:bidi="ne-NP"/>
    </w:rPr>
  </w:style>
  <w:style w:type="paragraph" w:customStyle="1" w:styleId="xl129">
    <w:name w:val="xl129"/>
    <w:basedOn w:val="Normal"/>
    <w:rsid w:val="001F5E3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eastAsia="Times New Roman"/>
      <w:sz w:val="20"/>
      <w:lang w:val="en-GB" w:eastAsia="en-GB" w:bidi="ne-NP"/>
    </w:rPr>
  </w:style>
  <w:style w:type="paragraph" w:customStyle="1" w:styleId="xl130">
    <w:name w:val="xl130"/>
    <w:basedOn w:val="Normal"/>
    <w:rsid w:val="001F5E3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eastAsia="Times New Roman"/>
      <w:sz w:val="20"/>
      <w:lang w:val="en-GB" w:eastAsia="en-GB" w:bidi="ne-NP"/>
    </w:rPr>
  </w:style>
  <w:style w:type="paragraph" w:customStyle="1" w:styleId="xl131">
    <w:name w:val="xl131"/>
    <w:basedOn w:val="Normal"/>
    <w:rsid w:val="001F5E3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eastAsia="Times New Roman"/>
      <w:sz w:val="20"/>
      <w:lang w:val="en-GB" w:eastAsia="en-GB" w:bidi="ne-NP"/>
    </w:rPr>
  </w:style>
  <w:style w:type="paragraph" w:customStyle="1" w:styleId="xl132">
    <w:name w:val="xl132"/>
    <w:basedOn w:val="Normal"/>
    <w:rsid w:val="001F5E3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left"/>
    </w:pPr>
    <w:rPr>
      <w:rFonts w:eastAsia="Times New Roman"/>
      <w:szCs w:val="24"/>
      <w:lang w:val="en-GB" w:eastAsia="en-GB" w:bidi="ne-NP"/>
    </w:rPr>
  </w:style>
  <w:style w:type="paragraph" w:customStyle="1" w:styleId="xl133">
    <w:name w:val="xl133"/>
    <w:basedOn w:val="Normal"/>
    <w:rsid w:val="001F5E3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eastAsia="Times New Roman"/>
      <w:sz w:val="20"/>
      <w:lang w:val="en-GB" w:eastAsia="en-GB" w:bidi="ne-NP"/>
    </w:rPr>
  </w:style>
  <w:style w:type="paragraph" w:customStyle="1" w:styleId="xl134">
    <w:name w:val="xl134"/>
    <w:basedOn w:val="Normal"/>
    <w:rsid w:val="001F5E35"/>
    <w:pPr>
      <w:pBdr>
        <w:top w:val="single" w:sz="4" w:space="0" w:color="auto"/>
        <w:left w:val="single" w:sz="4" w:space="0" w:color="auto"/>
        <w:bottom w:val="single" w:sz="4" w:space="0" w:color="auto"/>
        <w:right w:val="single" w:sz="4" w:space="0" w:color="auto"/>
      </w:pBdr>
      <w:shd w:val="clear" w:color="000000" w:fill="69D8FF"/>
      <w:spacing w:before="100" w:beforeAutospacing="1" w:after="100" w:afterAutospacing="1"/>
      <w:jc w:val="left"/>
      <w:textAlignment w:val="center"/>
    </w:pPr>
    <w:rPr>
      <w:rFonts w:eastAsia="Times New Roman"/>
      <w:sz w:val="20"/>
      <w:lang w:val="en-GB" w:eastAsia="en-GB" w:bidi="ne-NP"/>
    </w:rPr>
  </w:style>
  <w:style w:type="paragraph" w:customStyle="1" w:styleId="xl135">
    <w:name w:val="xl135"/>
    <w:basedOn w:val="Normal"/>
    <w:rsid w:val="001F5E3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val="en-GB" w:eastAsia="en-GB" w:bidi="ne-NP"/>
    </w:rPr>
  </w:style>
  <w:style w:type="paragraph" w:customStyle="1" w:styleId="xl136">
    <w:name w:val="xl136"/>
    <w:basedOn w:val="Normal"/>
    <w:rsid w:val="001F5E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20"/>
      <w:lang w:val="en-GB" w:eastAsia="en-GB" w:bidi="ne-NP"/>
    </w:rPr>
  </w:style>
  <w:style w:type="paragraph" w:customStyle="1" w:styleId="xl137">
    <w:name w:val="xl137"/>
    <w:basedOn w:val="Normal"/>
    <w:rsid w:val="001F5E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sz w:val="20"/>
      <w:lang w:val="en-GB" w:eastAsia="en-GB" w:bidi="ne-NP"/>
    </w:rPr>
  </w:style>
  <w:style w:type="paragraph" w:customStyle="1" w:styleId="xl138">
    <w:name w:val="xl138"/>
    <w:basedOn w:val="Normal"/>
    <w:rsid w:val="001F5E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lang w:val="en-GB" w:eastAsia="en-GB" w:bidi="ne-NP"/>
    </w:rPr>
  </w:style>
  <w:style w:type="character" w:customStyle="1" w:styleId="UnresolvedMention2">
    <w:name w:val="Unresolved Mention2"/>
    <w:basedOn w:val="DefaultParagraphFont"/>
    <w:uiPriority w:val="99"/>
    <w:semiHidden/>
    <w:unhideWhenUsed/>
    <w:rsid w:val="00687873"/>
    <w:rPr>
      <w:color w:val="605E5C"/>
      <w:shd w:val="clear" w:color="auto" w:fill="E1DFDD"/>
    </w:rPr>
  </w:style>
  <w:style w:type="character" w:customStyle="1" w:styleId="UnresolvedMention3">
    <w:name w:val="Unresolved Mention3"/>
    <w:basedOn w:val="DefaultParagraphFont"/>
    <w:uiPriority w:val="99"/>
    <w:semiHidden/>
    <w:unhideWhenUsed/>
    <w:rsid w:val="008329B6"/>
    <w:rPr>
      <w:color w:val="605E5C"/>
      <w:shd w:val="clear" w:color="auto" w:fill="E1DFDD"/>
    </w:rPr>
  </w:style>
  <w:style w:type="character" w:customStyle="1" w:styleId="UnresolvedMention4">
    <w:name w:val="Unresolved Mention4"/>
    <w:basedOn w:val="DefaultParagraphFont"/>
    <w:uiPriority w:val="99"/>
    <w:semiHidden/>
    <w:unhideWhenUsed/>
    <w:rsid w:val="00AC5086"/>
    <w:rPr>
      <w:color w:val="605E5C"/>
      <w:shd w:val="clear" w:color="auto" w:fill="E1DFDD"/>
    </w:rPr>
  </w:style>
  <w:style w:type="character" w:customStyle="1" w:styleId="UnresolvedMention5">
    <w:name w:val="Unresolved Mention5"/>
    <w:basedOn w:val="DefaultParagraphFont"/>
    <w:uiPriority w:val="99"/>
    <w:semiHidden/>
    <w:unhideWhenUsed/>
    <w:rsid w:val="00754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3015">
      <w:bodyDiv w:val="1"/>
      <w:marLeft w:val="0"/>
      <w:marRight w:val="0"/>
      <w:marTop w:val="0"/>
      <w:marBottom w:val="0"/>
      <w:divBdr>
        <w:top w:val="none" w:sz="0" w:space="0" w:color="auto"/>
        <w:left w:val="none" w:sz="0" w:space="0" w:color="auto"/>
        <w:bottom w:val="none" w:sz="0" w:space="0" w:color="auto"/>
        <w:right w:val="none" w:sz="0" w:space="0" w:color="auto"/>
      </w:divBdr>
    </w:div>
    <w:div w:id="47726630">
      <w:bodyDiv w:val="1"/>
      <w:marLeft w:val="0"/>
      <w:marRight w:val="0"/>
      <w:marTop w:val="0"/>
      <w:marBottom w:val="0"/>
      <w:divBdr>
        <w:top w:val="none" w:sz="0" w:space="0" w:color="auto"/>
        <w:left w:val="none" w:sz="0" w:space="0" w:color="auto"/>
        <w:bottom w:val="none" w:sz="0" w:space="0" w:color="auto"/>
        <w:right w:val="none" w:sz="0" w:space="0" w:color="auto"/>
      </w:divBdr>
    </w:div>
    <w:div w:id="203686969">
      <w:bodyDiv w:val="1"/>
      <w:marLeft w:val="0"/>
      <w:marRight w:val="0"/>
      <w:marTop w:val="0"/>
      <w:marBottom w:val="0"/>
      <w:divBdr>
        <w:top w:val="none" w:sz="0" w:space="0" w:color="auto"/>
        <w:left w:val="none" w:sz="0" w:space="0" w:color="auto"/>
        <w:bottom w:val="none" w:sz="0" w:space="0" w:color="auto"/>
        <w:right w:val="none" w:sz="0" w:space="0" w:color="auto"/>
      </w:divBdr>
    </w:div>
    <w:div w:id="218060231">
      <w:bodyDiv w:val="1"/>
      <w:marLeft w:val="0"/>
      <w:marRight w:val="0"/>
      <w:marTop w:val="0"/>
      <w:marBottom w:val="0"/>
      <w:divBdr>
        <w:top w:val="none" w:sz="0" w:space="0" w:color="auto"/>
        <w:left w:val="none" w:sz="0" w:space="0" w:color="auto"/>
        <w:bottom w:val="none" w:sz="0" w:space="0" w:color="auto"/>
        <w:right w:val="none" w:sz="0" w:space="0" w:color="auto"/>
      </w:divBdr>
    </w:div>
    <w:div w:id="224803103">
      <w:bodyDiv w:val="1"/>
      <w:marLeft w:val="0"/>
      <w:marRight w:val="0"/>
      <w:marTop w:val="0"/>
      <w:marBottom w:val="0"/>
      <w:divBdr>
        <w:top w:val="none" w:sz="0" w:space="0" w:color="auto"/>
        <w:left w:val="none" w:sz="0" w:space="0" w:color="auto"/>
        <w:bottom w:val="none" w:sz="0" w:space="0" w:color="auto"/>
        <w:right w:val="none" w:sz="0" w:space="0" w:color="auto"/>
      </w:divBdr>
    </w:div>
    <w:div w:id="294412934">
      <w:bodyDiv w:val="1"/>
      <w:marLeft w:val="0"/>
      <w:marRight w:val="0"/>
      <w:marTop w:val="0"/>
      <w:marBottom w:val="0"/>
      <w:divBdr>
        <w:top w:val="none" w:sz="0" w:space="0" w:color="auto"/>
        <w:left w:val="none" w:sz="0" w:space="0" w:color="auto"/>
        <w:bottom w:val="none" w:sz="0" w:space="0" w:color="auto"/>
        <w:right w:val="none" w:sz="0" w:space="0" w:color="auto"/>
      </w:divBdr>
    </w:div>
    <w:div w:id="315258662">
      <w:bodyDiv w:val="1"/>
      <w:marLeft w:val="0"/>
      <w:marRight w:val="0"/>
      <w:marTop w:val="0"/>
      <w:marBottom w:val="0"/>
      <w:divBdr>
        <w:top w:val="none" w:sz="0" w:space="0" w:color="auto"/>
        <w:left w:val="none" w:sz="0" w:space="0" w:color="auto"/>
        <w:bottom w:val="none" w:sz="0" w:space="0" w:color="auto"/>
        <w:right w:val="none" w:sz="0" w:space="0" w:color="auto"/>
      </w:divBdr>
    </w:div>
    <w:div w:id="337001916">
      <w:bodyDiv w:val="1"/>
      <w:marLeft w:val="0"/>
      <w:marRight w:val="0"/>
      <w:marTop w:val="0"/>
      <w:marBottom w:val="0"/>
      <w:divBdr>
        <w:top w:val="none" w:sz="0" w:space="0" w:color="auto"/>
        <w:left w:val="none" w:sz="0" w:space="0" w:color="auto"/>
        <w:bottom w:val="none" w:sz="0" w:space="0" w:color="auto"/>
        <w:right w:val="none" w:sz="0" w:space="0" w:color="auto"/>
      </w:divBdr>
    </w:div>
    <w:div w:id="351152860">
      <w:bodyDiv w:val="1"/>
      <w:marLeft w:val="0"/>
      <w:marRight w:val="0"/>
      <w:marTop w:val="0"/>
      <w:marBottom w:val="0"/>
      <w:divBdr>
        <w:top w:val="none" w:sz="0" w:space="0" w:color="auto"/>
        <w:left w:val="none" w:sz="0" w:space="0" w:color="auto"/>
        <w:bottom w:val="none" w:sz="0" w:space="0" w:color="auto"/>
        <w:right w:val="none" w:sz="0" w:space="0" w:color="auto"/>
      </w:divBdr>
    </w:div>
    <w:div w:id="440496206">
      <w:bodyDiv w:val="1"/>
      <w:marLeft w:val="0"/>
      <w:marRight w:val="0"/>
      <w:marTop w:val="0"/>
      <w:marBottom w:val="0"/>
      <w:divBdr>
        <w:top w:val="none" w:sz="0" w:space="0" w:color="auto"/>
        <w:left w:val="none" w:sz="0" w:space="0" w:color="auto"/>
        <w:bottom w:val="none" w:sz="0" w:space="0" w:color="auto"/>
        <w:right w:val="none" w:sz="0" w:space="0" w:color="auto"/>
      </w:divBdr>
    </w:div>
    <w:div w:id="453137121">
      <w:bodyDiv w:val="1"/>
      <w:marLeft w:val="0"/>
      <w:marRight w:val="0"/>
      <w:marTop w:val="0"/>
      <w:marBottom w:val="0"/>
      <w:divBdr>
        <w:top w:val="none" w:sz="0" w:space="0" w:color="auto"/>
        <w:left w:val="none" w:sz="0" w:space="0" w:color="auto"/>
        <w:bottom w:val="none" w:sz="0" w:space="0" w:color="auto"/>
        <w:right w:val="none" w:sz="0" w:space="0" w:color="auto"/>
      </w:divBdr>
    </w:div>
    <w:div w:id="667246887">
      <w:bodyDiv w:val="1"/>
      <w:marLeft w:val="0"/>
      <w:marRight w:val="0"/>
      <w:marTop w:val="0"/>
      <w:marBottom w:val="0"/>
      <w:divBdr>
        <w:top w:val="none" w:sz="0" w:space="0" w:color="auto"/>
        <w:left w:val="none" w:sz="0" w:space="0" w:color="auto"/>
        <w:bottom w:val="none" w:sz="0" w:space="0" w:color="auto"/>
        <w:right w:val="none" w:sz="0" w:space="0" w:color="auto"/>
      </w:divBdr>
    </w:div>
    <w:div w:id="681474904">
      <w:bodyDiv w:val="1"/>
      <w:marLeft w:val="0"/>
      <w:marRight w:val="0"/>
      <w:marTop w:val="0"/>
      <w:marBottom w:val="0"/>
      <w:divBdr>
        <w:top w:val="none" w:sz="0" w:space="0" w:color="auto"/>
        <w:left w:val="none" w:sz="0" w:space="0" w:color="auto"/>
        <w:bottom w:val="none" w:sz="0" w:space="0" w:color="auto"/>
        <w:right w:val="none" w:sz="0" w:space="0" w:color="auto"/>
      </w:divBdr>
    </w:div>
    <w:div w:id="764225848">
      <w:bodyDiv w:val="1"/>
      <w:marLeft w:val="0"/>
      <w:marRight w:val="0"/>
      <w:marTop w:val="0"/>
      <w:marBottom w:val="0"/>
      <w:divBdr>
        <w:top w:val="none" w:sz="0" w:space="0" w:color="auto"/>
        <w:left w:val="none" w:sz="0" w:space="0" w:color="auto"/>
        <w:bottom w:val="none" w:sz="0" w:space="0" w:color="auto"/>
        <w:right w:val="none" w:sz="0" w:space="0" w:color="auto"/>
      </w:divBdr>
    </w:div>
    <w:div w:id="790826063">
      <w:bodyDiv w:val="1"/>
      <w:marLeft w:val="0"/>
      <w:marRight w:val="0"/>
      <w:marTop w:val="0"/>
      <w:marBottom w:val="0"/>
      <w:divBdr>
        <w:top w:val="none" w:sz="0" w:space="0" w:color="auto"/>
        <w:left w:val="none" w:sz="0" w:space="0" w:color="auto"/>
        <w:bottom w:val="none" w:sz="0" w:space="0" w:color="auto"/>
        <w:right w:val="none" w:sz="0" w:space="0" w:color="auto"/>
      </w:divBdr>
    </w:div>
    <w:div w:id="800998531">
      <w:bodyDiv w:val="1"/>
      <w:marLeft w:val="0"/>
      <w:marRight w:val="0"/>
      <w:marTop w:val="0"/>
      <w:marBottom w:val="0"/>
      <w:divBdr>
        <w:top w:val="none" w:sz="0" w:space="0" w:color="auto"/>
        <w:left w:val="none" w:sz="0" w:space="0" w:color="auto"/>
        <w:bottom w:val="none" w:sz="0" w:space="0" w:color="auto"/>
        <w:right w:val="none" w:sz="0" w:space="0" w:color="auto"/>
      </w:divBdr>
    </w:div>
    <w:div w:id="863320961">
      <w:bodyDiv w:val="1"/>
      <w:marLeft w:val="0"/>
      <w:marRight w:val="0"/>
      <w:marTop w:val="0"/>
      <w:marBottom w:val="0"/>
      <w:divBdr>
        <w:top w:val="none" w:sz="0" w:space="0" w:color="auto"/>
        <w:left w:val="none" w:sz="0" w:space="0" w:color="auto"/>
        <w:bottom w:val="none" w:sz="0" w:space="0" w:color="auto"/>
        <w:right w:val="none" w:sz="0" w:space="0" w:color="auto"/>
      </w:divBdr>
    </w:div>
    <w:div w:id="901020504">
      <w:bodyDiv w:val="1"/>
      <w:marLeft w:val="0"/>
      <w:marRight w:val="0"/>
      <w:marTop w:val="0"/>
      <w:marBottom w:val="0"/>
      <w:divBdr>
        <w:top w:val="none" w:sz="0" w:space="0" w:color="auto"/>
        <w:left w:val="none" w:sz="0" w:space="0" w:color="auto"/>
        <w:bottom w:val="none" w:sz="0" w:space="0" w:color="auto"/>
        <w:right w:val="none" w:sz="0" w:space="0" w:color="auto"/>
      </w:divBdr>
    </w:div>
    <w:div w:id="902984337">
      <w:bodyDiv w:val="1"/>
      <w:marLeft w:val="0"/>
      <w:marRight w:val="0"/>
      <w:marTop w:val="0"/>
      <w:marBottom w:val="0"/>
      <w:divBdr>
        <w:top w:val="none" w:sz="0" w:space="0" w:color="auto"/>
        <w:left w:val="none" w:sz="0" w:space="0" w:color="auto"/>
        <w:bottom w:val="none" w:sz="0" w:space="0" w:color="auto"/>
        <w:right w:val="none" w:sz="0" w:space="0" w:color="auto"/>
      </w:divBdr>
    </w:div>
    <w:div w:id="903875160">
      <w:bodyDiv w:val="1"/>
      <w:marLeft w:val="0"/>
      <w:marRight w:val="0"/>
      <w:marTop w:val="0"/>
      <w:marBottom w:val="0"/>
      <w:divBdr>
        <w:top w:val="none" w:sz="0" w:space="0" w:color="auto"/>
        <w:left w:val="none" w:sz="0" w:space="0" w:color="auto"/>
        <w:bottom w:val="none" w:sz="0" w:space="0" w:color="auto"/>
        <w:right w:val="none" w:sz="0" w:space="0" w:color="auto"/>
      </w:divBdr>
    </w:div>
    <w:div w:id="962687180">
      <w:bodyDiv w:val="1"/>
      <w:marLeft w:val="0"/>
      <w:marRight w:val="0"/>
      <w:marTop w:val="0"/>
      <w:marBottom w:val="0"/>
      <w:divBdr>
        <w:top w:val="none" w:sz="0" w:space="0" w:color="auto"/>
        <w:left w:val="none" w:sz="0" w:space="0" w:color="auto"/>
        <w:bottom w:val="none" w:sz="0" w:space="0" w:color="auto"/>
        <w:right w:val="none" w:sz="0" w:space="0" w:color="auto"/>
      </w:divBdr>
    </w:div>
    <w:div w:id="990715941">
      <w:bodyDiv w:val="1"/>
      <w:marLeft w:val="0"/>
      <w:marRight w:val="0"/>
      <w:marTop w:val="0"/>
      <w:marBottom w:val="0"/>
      <w:divBdr>
        <w:top w:val="none" w:sz="0" w:space="0" w:color="auto"/>
        <w:left w:val="none" w:sz="0" w:space="0" w:color="auto"/>
        <w:bottom w:val="none" w:sz="0" w:space="0" w:color="auto"/>
        <w:right w:val="none" w:sz="0" w:space="0" w:color="auto"/>
      </w:divBdr>
    </w:div>
    <w:div w:id="1090544144">
      <w:bodyDiv w:val="1"/>
      <w:marLeft w:val="0"/>
      <w:marRight w:val="0"/>
      <w:marTop w:val="0"/>
      <w:marBottom w:val="0"/>
      <w:divBdr>
        <w:top w:val="none" w:sz="0" w:space="0" w:color="auto"/>
        <w:left w:val="none" w:sz="0" w:space="0" w:color="auto"/>
        <w:bottom w:val="none" w:sz="0" w:space="0" w:color="auto"/>
        <w:right w:val="none" w:sz="0" w:space="0" w:color="auto"/>
      </w:divBdr>
    </w:div>
    <w:div w:id="1186167146">
      <w:bodyDiv w:val="1"/>
      <w:marLeft w:val="0"/>
      <w:marRight w:val="0"/>
      <w:marTop w:val="0"/>
      <w:marBottom w:val="0"/>
      <w:divBdr>
        <w:top w:val="none" w:sz="0" w:space="0" w:color="auto"/>
        <w:left w:val="none" w:sz="0" w:space="0" w:color="auto"/>
        <w:bottom w:val="none" w:sz="0" w:space="0" w:color="auto"/>
        <w:right w:val="none" w:sz="0" w:space="0" w:color="auto"/>
      </w:divBdr>
    </w:div>
    <w:div w:id="1226065057">
      <w:bodyDiv w:val="1"/>
      <w:marLeft w:val="0"/>
      <w:marRight w:val="0"/>
      <w:marTop w:val="0"/>
      <w:marBottom w:val="0"/>
      <w:divBdr>
        <w:top w:val="none" w:sz="0" w:space="0" w:color="auto"/>
        <w:left w:val="none" w:sz="0" w:space="0" w:color="auto"/>
        <w:bottom w:val="none" w:sz="0" w:space="0" w:color="auto"/>
        <w:right w:val="none" w:sz="0" w:space="0" w:color="auto"/>
      </w:divBdr>
    </w:div>
    <w:div w:id="1234583946">
      <w:bodyDiv w:val="1"/>
      <w:marLeft w:val="0"/>
      <w:marRight w:val="0"/>
      <w:marTop w:val="0"/>
      <w:marBottom w:val="0"/>
      <w:divBdr>
        <w:top w:val="none" w:sz="0" w:space="0" w:color="auto"/>
        <w:left w:val="none" w:sz="0" w:space="0" w:color="auto"/>
        <w:bottom w:val="none" w:sz="0" w:space="0" w:color="auto"/>
        <w:right w:val="none" w:sz="0" w:space="0" w:color="auto"/>
      </w:divBdr>
    </w:div>
    <w:div w:id="1262950680">
      <w:bodyDiv w:val="1"/>
      <w:marLeft w:val="0"/>
      <w:marRight w:val="0"/>
      <w:marTop w:val="0"/>
      <w:marBottom w:val="0"/>
      <w:divBdr>
        <w:top w:val="none" w:sz="0" w:space="0" w:color="auto"/>
        <w:left w:val="none" w:sz="0" w:space="0" w:color="auto"/>
        <w:bottom w:val="none" w:sz="0" w:space="0" w:color="auto"/>
        <w:right w:val="none" w:sz="0" w:space="0" w:color="auto"/>
      </w:divBdr>
    </w:div>
    <w:div w:id="1300496411">
      <w:bodyDiv w:val="1"/>
      <w:marLeft w:val="0"/>
      <w:marRight w:val="0"/>
      <w:marTop w:val="0"/>
      <w:marBottom w:val="0"/>
      <w:divBdr>
        <w:top w:val="none" w:sz="0" w:space="0" w:color="auto"/>
        <w:left w:val="none" w:sz="0" w:space="0" w:color="auto"/>
        <w:bottom w:val="none" w:sz="0" w:space="0" w:color="auto"/>
        <w:right w:val="none" w:sz="0" w:space="0" w:color="auto"/>
      </w:divBdr>
    </w:div>
    <w:div w:id="1303653103">
      <w:bodyDiv w:val="1"/>
      <w:marLeft w:val="0"/>
      <w:marRight w:val="0"/>
      <w:marTop w:val="0"/>
      <w:marBottom w:val="0"/>
      <w:divBdr>
        <w:top w:val="none" w:sz="0" w:space="0" w:color="auto"/>
        <w:left w:val="none" w:sz="0" w:space="0" w:color="auto"/>
        <w:bottom w:val="none" w:sz="0" w:space="0" w:color="auto"/>
        <w:right w:val="none" w:sz="0" w:space="0" w:color="auto"/>
      </w:divBdr>
    </w:div>
    <w:div w:id="1342390084">
      <w:bodyDiv w:val="1"/>
      <w:marLeft w:val="0"/>
      <w:marRight w:val="0"/>
      <w:marTop w:val="0"/>
      <w:marBottom w:val="0"/>
      <w:divBdr>
        <w:top w:val="none" w:sz="0" w:space="0" w:color="auto"/>
        <w:left w:val="none" w:sz="0" w:space="0" w:color="auto"/>
        <w:bottom w:val="none" w:sz="0" w:space="0" w:color="auto"/>
        <w:right w:val="none" w:sz="0" w:space="0" w:color="auto"/>
      </w:divBdr>
    </w:div>
    <w:div w:id="1421367596">
      <w:bodyDiv w:val="1"/>
      <w:marLeft w:val="0"/>
      <w:marRight w:val="0"/>
      <w:marTop w:val="0"/>
      <w:marBottom w:val="0"/>
      <w:divBdr>
        <w:top w:val="none" w:sz="0" w:space="0" w:color="auto"/>
        <w:left w:val="none" w:sz="0" w:space="0" w:color="auto"/>
        <w:bottom w:val="none" w:sz="0" w:space="0" w:color="auto"/>
        <w:right w:val="none" w:sz="0" w:space="0" w:color="auto"/>
      </w:divBdr>
    </w:div>
    <w:div w:id="1444963190">
      <w:bodyDiv w:val="1"/>
      <w:marLeft w:val="0"/>
      <w:marRight w:val="0"/>
      <w:marTop w:val="0"/>
      <w:marBottom w:val="0"/>
      <w:divBdr>
        <w:top w:val="none" w:sz="0" w:space="0" w:color="auto"/>
        <w:left w:val="none" w:sz="0" w:space="0" w:color="auto"/>
        <w:bottom w:val="none" w:sz="0" w:space="0" w:color="auto"/>
        <w:right w:val="none" w:sz="0" w:space="0" w:color="auto"/>
      </w:divBdr>
    </w:div>
    <w:div w:id="1478184206">
      <w:bodyDiv w:val="1"/>
      <w:marLeft w:val="0"/>
      <w:marRight w:val="0"/>
      <w:marTop w:val="0"/>
      <w:marBottom w:val="0"/>
      <w:divBdr>
        <w:top w:val="none" w:sz="0" w:space="0" w:color="auto"/>
        <w:left w:val="none" w:sz="0" w:space="0" w:color="auto"/>
        <w:bottom w:val="none" w:sz="0" w:space="0" w:color="auto"/>
        <w:right w:val="none" w:sz="0" w:space="0" w:color="auto"/>
      </w:divBdr>
    </w:div>
    <w:div w:id="1501852760">
      <w:bodyDiv w:val="1"/>
      <w:marLeft w:val="0"/>
      <w:marRight w:val="0"/>
      <w:marTop w:val="0"/>
      <w:marBottom w:val="0"/>
      <w:divBdr>
        <w:top w:val="none" w:sz="0" w:space="0" w:color="auto"/>
        <w:left w:val="none" w:sz="0" w:space="0" w:color="auto"/>
        <w:bottom w:val="none" w:sz="0" w:space="0" w:color="auto"/>
        <w:right w:val="none" w:sz="0" w:space="0" w:color="auto"/>
      </w:divBdr>
    </w:div>
    <w:div w:id="1585335435">
      <w:bodyDiv w:val="1"/>
      <w:marLeft w:val="0"/>
      <w:marRight w:val="0"/>
      <w:marTop w:val="0"/>
      <w:marBottom w:val="0"/>
      <w:divBdr>
        <w:top w:val="none" w:sz="0" w:space="0" w:color="auto"/>
        <w:left w:val="none" w:sz="0" w:space="0" w:color="auto"/>
        <w:bottom w:val="none" w:sz="0" w:space="0" w:color="auto"/>
        <w:right w:val="none" w:sz="0" w:space="0" w:color="auto"/>
      </w:divBdr>
    </w:div>
    <w:div w:id="1657684602">
      <w:bodyDiv w:val="1"/>
      <w:marLeft w:val="0"/>
      <w:marRight w:val="0"/>
      <w:marTop w:val="0"/>
      <w:marBottom w:val="0"/>
      <w:divBdr>
        <w:top w:val="none" w:sz="0" w:space="0" w:color="auto"/>
        <w:left w:val="none" w:sz="0" w:space="0" w:color="auto"/>
        <w:bottom w:val="none" w:sz="0" w:space="0" w:color="auto"/>
        <w:right w:val="none" w:sz="0" w:space="0" w:color="auto"/>
      </w:divBdr>
    </w:div>
    <w:div w:id="1809323843">
      <w:bodyDiv w:val="1"/>
      <w:marLeft w:val="0"/>
      <w:marRight w:val="0"/>
      <w:marTop w:val="0"/>
      <w:marBottom w:val="0"/>
      <w:divBdr>
        <w:top w:val="none" w:sz="0" w:space="0" w:color="auto"/>
        <w:left w:val="none" w:sz="0" w:space="0" w:color="auto"/>
        <w:bottom w:val="none" w:sz="0" w:space="0" w:color="auto"/>
        <w:right w:val="none" w:sz="0" w:space="0" w:color="auto"/>
      </w:divBdr>
    </w:div>
    <w:div w:id="1810054439">
      <w:bodyDiv w:val="1"/>
      <w:marLeft w:val="0"/>
      <w:marRight w:val="0"/>
      <w:marTop w:val="0"/>
      <w:marBottom w:val="0"/>
      <w:divBdr>
        <w:top w:val="none" w:sz="0" w:space="0" w:color="auto"/>
        <w:left w:val="none" w:sz="0" w:space="0" w:color="auto"/>
        <w:bottom w:val="none" w:sz="0" w:space="0" w:color="auto"/>
        <w:right w:val="none" w:sz="0" w:space="0" w:color="auto"/>
      </w:divBdr>
    </w:div>
    <w:div w:id="1881475115">
      <w:bodyDiv w:val="1"/>
      <w:marLeft w:val="0"/>
      <w:marRight w:val="0"/>
      <w:marTop w:val="0"/>
      <w:marBottom w:val="0"/>
      <w:divBdr>
        <w:top w:val="none" w:sz="0" w:space="0" w:color="auto"/>
        <w:left w:val="none" w:sz="0" w:space="0" w:color="auto"/>
        <w:bottom w:val="none" w:sz="0" w:space="0" w:color="auto"/>
        <w:right w:val="none" w:sz="0" w:space="0" w:color="auto"/>
      </w:divBdr>
    </w:div>
    <w:div w:id="1911573986">
      <w:bodyDiv w:val="1"/>
      <w:marLeft w:val="0"/>
      <w:marRight w:val="0"/>
      <w:marTop w:val="0"/>
      <w:marBottom w:val="0"/>
      <w:divBdr>
        <w:top w:val="none" w:sz="0" w:space="0" w:color="auto"/>
        <w:left w:val="none" w:sz="0" w:space="0" w:color="auto"/>
        <w:bottom w:val="none" w:sz="0" w:space="0" w:color="auto"/>
        <w:right w:val="none" w:sz="0" w:space="0" w:color="auto"/>
      </w:divBdr>
    </w:div>
    <w:div w:id="1975410077">
      <w:bodyDiv w:val="1"/>
      <w:marLeft w:val="0"/>
      <w:marRight w:val="0"/>
      <w:marTop w:val="0"/>
      <w:marBottom w:val="0"/>
      <w:divBdr>
        <w:top w:val="none" w:sz="0" w:space="0" w:color="auto"/>
        <w:left w:val="none" w:sz="0" w:space="0" w:color="auto"/>
        <w:bottom w:val="none" w:sz="0" w:space="0" w:color="auto"/>
        <w:right w:val="none" w:sz="0" w:space="0" w:color="auto"/>
      </w:divBdr>
    </w:div>
    <w:div w:id="1993216325">
      <w:bodyDiv w:val="1"/>
      <w:marLeft w:val="0"/>
      <w:marRight w:val="0"/>
      <w:marTop w:val="0"/>
      <w:marBottom w:val="0"/>
      <w:divBdr>
        <w:top w:val="none" w:sz="0" w:space="0" w:color="auto"/>
        <w:left w:val="none" w:sz="0" w:space="0" w:color="auto"/>
        <w:bottom w:val="none" w:sz="0" w:space="0" w:color="auto"/>
        <w:right w:val="none" w:sz="0" w:space="0" w:color="auto"/>
      </w:divBdr>
    </w:div>
    <w:div w:id="2128163026">
      <w:bodyDiv w:val="1"/>
      <w:marLeft w:val="0"/>
      <w:marRight w:val="0"/>
      <w:marTop w:val="0"/>
      <w:marBottom w:val="0"/>
      <w:divBdr>
        <w:top w:val="none" w:sz="0" w:space="0" w:color="auto"/>
        <w:left w:val="none" w:sz="0" w:space="0" w:color="auto"/>
        <w:bottom w:val="none" w:sz="0" w:space="0" w:color="auto"/>
        <w:right w:val="none" w:sz="0" w:space="0" w:color="auto"/>
      </w:divBdr>
    </w:div>
    <w:div w:id="214704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va.gov.lv/lv/strategija" TargetMode="External"/><Relationship Id="rId21" Type="http://schemas.openxmlformats.org/officeDocument/2006/relationships/hyperlink" Target="https://likumi.lv/ta/id/287760-publisko-iepirkumu-likums" TargetMode="External"/><Relationship Id="rId42" Type="http://schemas.openxmlformats.org/officeDocument/2006/relationships/hyperlink" Target="https://likumi.lv/ta/id/321037-par-nacionalas-industrialas-politikas-pamatnostadnem-20212027-gadam" TargetMode="External"/><Relationship Id="rId63" Type="http://schemas.openxmlformats.org/officeDocument/2006/relationships/hyperlink" Target="https://www.varam.gov.lv/lv/notekudenu-apsaimniekosanas-investiciju-plans-2021-2027-gadam" TargetMode="External"/><Relationship Id="rId84" Type="http://schemas.openxmlformats.org/officeDocument/2006/relationships/hyperlink" Target="https://www.varam.gov.lv/lv/atkritumu-apsaimniekosanas-valsts-plans-2021-2028gadam" TargetMode="External"/><Relationship Id="rId138" Type="http://schemas.openxmlformats.org/officeDocument/2006/relationships/hyperlink" Target="https://www.km.gov.lv/lv/pazinojums-08032021" TargetMode="External"/><Relationship Id="rId159" Type="http://schemas.openxmlformats.org/officeDocument/2006/relationships/footer" Target="footer4.xml"/><Relationship Id="rId170" Type="http://schemas.openxmlformats.org/officeDocument/2006/relationships/footer" Target="footer7.xml"/><Relationship Id="rId191" Type="http://schemas.openxmlformats.org/officeDocument/2006/relationships/header" Target="header12.xml"/><Relationship Id="rId107" Type="http://schemas.openxmlformats.org/officeDocument/2006/relationships/hyperlink" Target="https://www.nva.gov.lv/lv/strategija" TargetMode="External"/><Relationship Id="rId11" Type="http://schemas.openxmlformats.org/officeDocument/2006/relationships/footer" Target="footer2.xml"/><Relationship Id="rId32" Type="http://schemas.openxmlformats.org/officeDocument/2006/relationships/hyperlink" Target="https://www.km.gov.lv/lv/pazinojums-08032021" TargetMode="External"/><Relationship Id="rId53" Type="http://schemas.openxmlformats.org/officeDocument/2006/relationships/hyperlink" Target="http://tap.mk.gov.lv/mk/tap/?pid=40480284" TargetMode="External"/><Relationship Id="rId74" Type="http://schemas.openxmlformats.org/officeDocument/2006/relationships/hyperlink" Target="https://www.varam.gov.lv/lv/atkritumu-apsaimniekosanas-valsts-plans-2021-2028gadam" TargetMode="External"/><Relationship Id="rId128" Type="http://schemas.openxmlformats.org/officeDocument/2006/relationships/hyperlink" Target="https://www.izm.gov.lv/lv/izglitibas-attistibas-pamatnostadnes-2021-2027gadam" TargetMode="External"/><Relationship Id="rId149" Type="http://schemas.openxmlformats.org/officeDocument/2006/relationships/hyperlink" Target="https://likumi.lv/ta/id/320841-par-saliedetas-un-pilsoniski-aktivas-sabiedribas-attistibas-pamatnostadnem-2021-2027-gadam" TargetMode="External"/><Relationship Id="rId5" Type="http://schemas.openxmlformats.org/officeDocument/2006/relationships/webSettings" Target="webSettings.xml"/><Relationship Id="rId95" Type="http://schemas.openxmlformats.org/officeDocument/2006/relationships/hyperlink" Target="https://www.varam.gov.lv/lv/papildinats-latvijas-strategija-klimatneitralitates-sasniegsanai-lidz-2050-gadam" TargetMode="External"/><Relationship Id="rId160" Type="http://schemas.openxmlformats.org/officeDocument/2006/relationships/footer" Target="footer5.xml"/><Relationship Id="rId181" Type="http://schemas.openxmlformats.org/officeDocument/2006/relationships/hyperlink" Target="http://www.balticmaps.eu/" TargetMode="External"/><Relationship Id="rId22" Type="http://schemas.openxmlformats.org/officeDocument/2006/relationships/hyperlink" Target="https://likumi.lv/ta/id/288730-sabiedrisko-pakalpojumu-sniedzeju-iepirkumu-likums" TargetMode="External"/><Relationship Id="rId43" Type="http://schemas.openxmlformats.org/officeDocument/2006/relationships/hyperlink" Target="https://likumi.lv/ta/id/321037-par-nacionalas-industrialas-politikas-pamatnostadnem-20212027-gadam" TargetMode="External"/><Relationship Id="rId64" Type="http://schemas.openxmlformats.org/officeDocument/2006/relationships/hyperlink" Target="https://www.varam.gov.lv/lv/udensapgades-investiciju-plans-2021-2027-gadam" TargetMode="External"/><Relationship Id="rId118" Type="http://schemas.openxmlformats.org/officeDocument/2006/relationships/hyperlink" Target="https://www.km.gov.lv/lv/pazinojums-08032021" TargetMode="External"/><Relationship Id="rId139" Type="http://schemas.openxmlformats.org/officeDocument/2006/relationships/hyperlink" Target="https://www.izm.gov.lv/lv/izglitibas-attistibas-pamatnostadnes-2021-2027gadam" TargetMode="External"/><Relationship Id="rId85" Type="http://schemas.openxmlformats.org/officeDocument/2006/relationships/hyperlink" Target="http://tap.mk.gov.lv/lv/mk/tap/?pid=40493683" TargetMode="External"/><Relationship Id="rId150" Type="http://schemas.openxmlformats.org/officeDocument/2006/relationships/hyperlink" Target="https://www.lm.gov.lv/lv/pamatnostadnu-projekts-socialas-aizsardzibas-un-darba-tirgus-politikas-pamatnostadnes-2021-2027-gadam" TargetMode="External"/><Relationship Id="rId171" Type="http://schemas.openxmlformats.org/officeDocument/2006/relationships/footer" Target="footer8.xml"/><Relationship Id="rId192" Type="http://schemas.openxmlformats.org/officeDocument/2006/relationships/footer" Target="footer15.xml"/><Relationship Id="rId12" Type="http://schemas.openxmlformats.org/officeDocument/2006/relationships/footer" Target="footer3.xml"/><Relationship Id="rId33" Type="http://schemas.openxmlformats.org/officeDocument/2006/relationships/hyperlink" Target="https://likumi.lv/ta/id/321037-par-nacionalas-industrialas-politikas-pamatnostadnem-20212027-gadam" TargetMode="External"/><Relationship Id="rId108" Type="http://schemas.openxmlformats.org/officeDocument/2006/relationships/hyperlink" Target="https://likumi.lv/ta/id/225425-noteikumi-par-aktivo-nodarbinatibas-pasakumu-un-preventivo-bezdarba-samazinasanas-pasakumu-organizesanas-un-finansesanas" TargetMode="External"/><Relationship Id="rId129" Type="http://schemas.openxmlformats.org/officeDocument/2006/relationships/hyperlink" Target="https://www.km.gov.lv/lv/pazinojums-08032021" TargetMode="External"/><Relationship Id="rId54" Type="http://schemas.openxmlformats.org/officeDocument/2006/relationships/hyperlink" Target="http://tap.mk.gov.lv/mk/tap/?pid=40480284" TargetMode="External"/><Relationship Id="rId75" Type="http://schemas.openxmlformats.org/officeDocument/2006/relationships/hyperlink" Target="https://www.varam.gov.lv/lv/petijumi-vides-un-dabas-joma" TargetMode="External"/><Relationship Id="rId96" Type="http://schemas.openxmlformats.org/officeDocument/2006/relationships/hyperlink" Target="https://likumi.lv/ta/id/308330-par-latvijas-pielagosanas-klimata-parmainam-planu-laika-posmam-lidz-2030-gadam" TargetMode="External"/><Relationship Id="rId140" Type="http://schemas.openxmlformats.org/officeDocument/2006/relationships/hyperlink" Target="https://likumi.lv/ta/id/320841-par-saliedetas-un-pilsoniski-aktivas-sabiedribas-attistibas-pamatnostadnem-2021-2027-gadam" TargetMode="External"/><Relationship Id="rId161" Type="http://schemas.openxmlformats.org/officeDocument/2006/relationships/header" Target="header3.xml"/><Relationship Id="rId182" Type="http://schemas.openxmlformats.org/officeDocument/2006/relationships/hyperlink" Target="https://www.1188.lv/satiksme" TargetMode="External"/><Relationship Id="rId6" Type="http://schemas.openxmlformats.org/officeDocument/2006/relationships/footnotes" Target="footnotes.xml"/><Relationship Id="rId23" Type="http://schemas.openxmlformats.org/officeDocument/2006/relationships/hyperlink" Target="https://likumi.lv/ta/id/57980-latvijas-republikas-satversme" TargetMode="External"/><Relationship Id="rId119" Type="http://schemas.openxmlformats.org/officeDocument/2006/relationships/hyperlink" Target="https://www.km.gov.lv/lv/pazinojums-08032021" TargetMode="External"/><Relationship Id="rId44" Type="http://schemas.openxmlformats.org/officeDocument/2006/relationships/hyperlink" Target="https://www.km.gov.lv/lv/pazinojums-08032021" TargetMode="External"/><Relationship Id="rId65" Type="http://schemas.openxmlformats.org/officeDocument/2006/relationships/hyperlink" Target="https://www.varam.gov.lv/lv/attistibas-planosanas-dokumentu-projekti" TargetMode="External"/><Relationship Id="rId86" Type="http://schemas.openxmlformats.org/officeDocument/2006/relationships/hyperlink" Target="https://www.varam.gov.lv/lv/petijumi-vides-un-dabas-joma" TargetMode="External"/><Relationship Id="rId130" Type="http://schemas.openxmlformats.org/officeDocument/2006/relationships/hyperlink" Target="https://www.km.gov.lv/lv/pazinojums-08032021" TargetMode="External"/><Relationship Id="rId151" Type="http://schemas.openxmlformats.org/officeDocument/2006/relationships/hyperlink" Target="http://tap.mk.gov.lv/lv/mk/tap/?pid=40498718&amp;mode=vss&amp;date=2021-02-25" TargetMode="External"/><Relationship Id="rId172" Type="http://schemas.openxmlformats.org/officeDocument/2006/relationships/header" Target="header6.xml"/><Relationship Id="rId193" Type="http://schemas.openxmlformats.org/officeDocument/2006/relationships/header" Target="header13.xml"/><Relationship Id="rId13" Type="http://schemas.openxmlformats.org/officeDocument/2006/relationships/hyperlink" Target="https://likumi.lv/ta/id/287760-publisko-iepirkumu-likums" TargetMode="External"/><Relationship Id="rId109" Type="http://schemas.openxmlformats.org/officeDocument/2006/relationships/hyperlink" Target="https://likumi.lv/ta/id/253579-nodarbinatibas-valsts-agenturas-nolikums" TargetMode="External"/><Relationship Id="rId34" Type="http://schemas.openxmlformats.org/officeDocument/2006/relationships/hyperlink" Target="https://likumi.lv/ta/id/321037-par-nacionalas-industrialas-politikas-pamatnostadnem-20212027-gadam" TargetMode="External"/><Relationship Id="rId55" Type="http://schemas.openxmlformats.org/officeDocument/2006/relationships/hyperlink" Target="https://www.varam.gov.lv/lv/attistibas-planosanas-dokumentu-projekti" TargetMode="External"/><Relationship Id="rId76" Type="http://schemas.openxmlformats.org/officeDocument/2006/relationships/hyperlink" Target="http://tap.mk.gov.lv/lv/mk/tap/?pid=40493683" TargetMode="External"/><Relationship Id="rId97" Type="http://schemas.openxmlformats.org/officeDocument/2006/relationships/hyperlink" Target="https://www.lm.gov.lv/lv/pamatnostadnu-projekts-socialas-aizsardzibas-un-darba-tirgus-politikas-pamatnostadnes-2021-2027-gadam" TargetMode="External"/><Relationship Id="rId120" Type="http://schemas.openxmlformats.org/officeDocument/2006/relationships/hyperlink" Target="https://www.lm.gov.lv/lv/pamatnostadnu-projekts-socialas-aizsardzibas-un-darba-tirgus-politikas-pamatnostadnes-2021-2027-gadam" TargetMode="External"/><Relationship Id="rId141" Type="http://schemas.openxmlformats.org/officeDocument/2006/relationships/hyperlink" Target="https://www.lm.gov.lv/lv/pamatnostadnu-projekts-socialas-aizsardzibas-un-darba-tirgus-politikas-pamatnostadnes-2021-2027-gadam" TargetMode="External"/><Relationship Id="rId7" Type="http://schemas.openxmlformats.org/officeDocument/2006/relationships/endnotes" Target="endnotes.xml"/><Relationship Id="rId71" Type="http://schemas.openxmlformats.org/officeDocument/2006/relationships/hyperlink" Target="https://www.varam.gov.lv/lv/attistibas-planosanas-dokumentu-projekti" TargetMode="External"/><Relationship Id="rId92" Type="http://schemas.openxmlformats.org/officeDocument/2006/relationships/hyperlink" Target="https://www.sam.gov.lv/lv/elektronisko-sakaru-nozares-attistibas-plans-2021-2027gadam" TargetMode="External"/><Relationship Id="rId162" Type="http://schemas.openxmlformats.org/officeDocument/2006/relationships/footer" Target="footer6.xml"/><Relationship Id="rId183" Type="http://schemas.openxmlformats.org/officeDocument/2006/relationships/hyperlink" Target="https://www.csb.gov.lv/lv/statistika/meklet?keyword=pat%C4%93ri%C5%86a+cenas&amp;product_type%5Bpublication%5D=publication&amp;publication_date%5Bmin%5D=&amp;publication_date%5Bmax%5D" TargetMode="External"/><Relationship Id="rId2" Type="http://schemas.openxmlformats.org/officeDocument/2006/relationships/numbering" Target="numbering.xml"/><Relationship Id="rId29" Type="http://schemas.openxmlformats.org/officeDocument/2006/relationships/hyperlink" Target="https://likumi.lv/ta/id/310954-par-regionalas-politikas-pamatnostadnem-2021-2027-gadam" TargetMode="External"/><Relationship Id="rId24" Type="http://schemas.openxmlformats.org/officeDocument/2006/relationships/hyperlink" Target="https://likumi.lv/ta/id/190612-ministru-kabineta-kartibas-rullis" TargetMode="External"/><Relationship Id="rId40" Type="http://schemas.openxmlformats.org/officeDocument/2006/relationships/hyperlink" Target="https://www.km.gov.lv/lv/pazinojums-08032021" TargetMode="External"/><Relationship Id="rId45" Type="http://schemas.openxmlformats.org/officeDocument/2006/relationships/hyperlink" Target="https://www.km.gov.lv/lv/pazinojums-08032021" TargetMode="External"/><Relationship Id="rId66" Type="http://schemas.openxmlformats.org/officeDocument/2006/relationships/hyperlink" Target="https://www.varam.gov.lv/lv/attistibas-planosanas-dokumentu-projekti" TargetMode="External"/><Relationship Id="rId87" Type="http://schemas.openxmlformats.org/officeDocument/2006/relationships/hyperlink" Target="https://www.sam.gov.lv/lv/elektronisko-sakaru-nozares-attistibas-plans-2021-2027gadam" TargetMode="External"/><Relationship Id="rId110" Type="http://schemas.openxmlformats.org/officeDocument/2006/relationships/hyperlink" Target="https://www.nva.gov.lv/lv/strategija" TargetMode="External"/><Relationship Id="rId115" Type="http://schemas.openxmlformats.org/officeDocument/2006/relationships/hyperlink" Target="https://likumi.lv/ta/id/225425-noteikumi-par-aktivo-nodarbinatibas-pasakumu-un-preventivo-bezdarba-samazinasanas-pasakumu-organizesanas-un-finansesanas" TargetMode="External"/><Relationship Id="rId131" Type="http://schemas.openxmlformats.org/officeDocument/2006/relationships/hyperlink" Target="https://www.izm.gov.lv/lv/izglitibas-attistibas-pamatnostadnes-2021-2027gadam" TargetMode="External"/><Relationship Id="rId136" Type="http://schemas.openxmlformats.org/officeDocument/2006/relationships/hyperlink" Target="https://www.km.gov.lv/lv/pazinojums-08032021" TargetMode="External"/><Relationship Id="rId157" Type="http://schemas.openxmlformats.org/officeDocument/2006/relationships/header" Target="header1.xml"/><Relationship Id="rId178" Type="http://schemas.openxmlformats.org/officeDocument/2006/relationships/header" Target="header9.xml"/><Relationship Id="rId61" Type="http://schemas.openxmlformats.org/officeDocument/2006/relationships/hyperlink" Target="https://www.varam.gov.lv/lv/attistibas-planosanas-dokumentu-projekti" TargetMode="External"/><Relationship Id="rId82" Type="http://schemas.openxmlformats.org/officeDocument/2006/relationships/hyperlink" Target="http://tap.mk.gov.lv/lv/mk/tap/?pid=40493683" TargetMode="External"/><Relationship Id="rId152" Type="http://schemas.openxmlformats.org/officeDocument/2006/relationships/hyperlink" Target="https://www.lm.gov.lv/lv/pamatnostadnu-projekts-socialas-aizsardzibas-un-darba-tirgus-politikas-pamatnostadnes-2021-2027-gadam" TargetMode="External"/><Relationship Id="rId173" Type="http://schemas.openxmlformats.org/officeDocument/2006/relationships/footer" Target="footer9.xml"/><Relationship Id="rId194" Type="http://schemas.openxmlformats.org/officeDocument/2006/relationships/header" Target="header14.xml"/><Relationship Id="rId199" Type="http://schemas.openxmlformats.org/officeDocument/2006/relationships/fontTable" Target="fontTable.xml"/><Relationship Id="rId19" Type="http://schemas.openxmlformats.org/officeDocument/2006/relationships/hyperlink" Target="https://likumi.lv/ta/id/287760-publisko-iepirkumu-likums" TargetMode="External"/><Relationship Id="rId14" Type="http://schemas.openxmlformats.org/officeDocument/2006/relationships/hyperlink" Target="https://likumi.lv/ta/id/288730-sabiedrisko-pakalpojumu-sniedzeju-iepirkumu-likums" TargetMode="External"/><Relationship Id="rId30" Type="http://schemas.openxmlformats.org/officeDocument/2006/relationships/hyperlink" Target="https://www.varam.gov.lv/lv/digitalas-transformacijas-pamatnostadnes-2021-2027gadam" TargetMode="External"/><Relationship Id="rId35" Type="http://schemas.openxmlformats.org/officeDocument/2006/relationships/hyperlink" Target="https://likumi.lv/ta/id/321037-par-nacionalas-industrialas-politikas-pamatnostadnem-20212027-gadam" TargetMode="External"/><Relationship Id="rId56" Type="http://schemas.openxmlformats.org/officeDocument/2006/relationships/hyperlink" Target="https://www.varam.gov.lv/lv/attistibas-planosanas-dokumentu-projekti" TargetMode="External"/><Relationship Id="rId77" Type="http://schemas.openxmlformats.org/officeDocument/2006/relationships/hyperlink" Target="https://www.varam.gov.lv/lv/petijumi-vides-un-dabas-joma" TargetMode="External"/><Relationship Id="rId100" Type="http://schemas.openxmlformats.org/officeDocument/2006/relationships/hyperlink" Target="https://likumi.lv/ta/id/225425-noteikumi-par-aktivo-nodarbinatibas-pasakumu-un-preventivo-bezdarba-samazinasanas-pasakumu-organizesanas-un-finansesanas-kartib..." TargetMode="External"/><Relationship Id="rId105" Type="http://schemas.openxmlformats.org/officeDocument/2006/relationships/hyperlink" Target="https://likumi.lv/ta/id/289731-bezdarbnieku-uzskaites-un-registreto-vakancu-informacijas-sistemas-noteikumi" TargetMode="External"/><Relationship Id="rId126" Type="http://schemas.openxmlformats.org/officeDocument/2006/relationships/hyperlink" Target="https://www.izm.gov.lv/lv/izglitibas-attistibas-pamatnostadnes-2021-2027gadam" TargetMode="External"/><Relationship Id="rId147" Type="http://schemas.openxmlformats.org/officeDocument/2006/relationships/hyperlink" Target="https://likumi.lv/ta/id/320841-par-saliedetas-un-pilsoniski-aktivas-sabiedribas-attistibas-pamatnostadnem-2021-2027-gadam" TargetMode="External"/><Relationship Id="rId168" Type="http://schemas.openxmlformats.org/officeDocument/2006/relationships/header" Target="header4.xml"/><Relationship Id="rId8" Type="http://schemas.openxmlformats.org/officeDocument/2006/relationships/image" Target="media/image1.png"/><Relationship Id="rId51" Type="http://schemas.openxmlformats.org/officeDocument/2006/relationships/hyperlink" Target="https://likumi.lv/ta/id/312423-par-latvijas-nacionalo-energetikas-un-klimata-planu-20212030-gadam" TargetMode="External"/><Relationship Id="rId72" Type="http://schemas.openxmlformats.org/officeDocument/2006/relationships/hyperlink" Target="https://www.varam.gov.lv/lv/notekudenu-apsaimniekosanas-investiciju-plans-2021-2027-gadam" TargetMode="External"/><Relationship Id="rId93" Type="http://schemas.openxmlformats.org/officeDocument/2006/relationships/hyperlink" Target="https://likumi.lv/ta/id/314078-par-gaisa-piesarnojuma-samazinasanas-ricibas-planu-2020-2030-gadam" TargetMode="External"/><Relationship Id="rId98" Type="http://schemas.openxmlformats.org/officeDocument/2006/relationships/hyperlink" Target="https://www.izm.gov.lv/lv/izglitibas-attistibas-pamatnostadnes-2021-2027gadam" TargetMode="External"/><Relationship Id="rId121" Type="http://schemas.openxmlformats.org/officeDocument/2006/relationships/hyperlink" Target="https://www.lm.gov.lv/lv/pamatnostadnu-projekts-socialas-aizsardzibas-un-darba-tirgus-politikas-pamatnostadnes-2021-2027-gadam" TargetMode="External"/><Relationship Id="rId142" Type="http://schemas.openxmlformats.org/officeDocument/2006/relationships/hyperlink" Target="https://mail.lm.gov.lv/web/library.nsf/7e1252c5ddbe65a4c2256ade00399622/74DFE5CE0EA15F5BC22585C900413987?OpenDocument" TargetMode="External"/><Relationship Id="rId163" Type="http://schemas.openxmlformats.org/officeDocument/2006/relationships/hyperlink" Target="mailto:Armands.Eberhards@fm.gov.lv" TargetMode="External"/><Relationship Id="rId184" Type="http://schemas.openxmlformats.org/officeDocument/2006/relationships/hyperlink" Target="https://www.rigassatiksme.lv/lv/biletes/bilesu-klasts-un-cenas-1/bilete-noteiktam-braucienu-skaitam/" TargetMode="External"/><Relationship Id="rId189" Type="http://schemas.openxmlformats.org/officeDocument/2006/relationships/footer" Target="footer13.xml"/><Relationship Id="rId3" Type="http://schemas.openxmlformats.org/officeDocument/2006/relationships/styles" Target="styles.xml"/><Relationship Id="rId25" Type="http://schemas.openxmlformats.org/officeDocument/2006/relationships/hyperlink" Target="https://likumi.lv/ta/id/203061-tiesibu-akta-projekta-sakotnejas-ietekmes-izvertesanas-kartiba" TargetMode="External"/><Relationship Id="rId46" Type="http://schemas.openxmlformats.org/officeDocument/2006/relationships/hyperlink" Target="http://tap.mk.gov.lv/lv/mk/tap/?dateFrom=2019-08-13&amp;dateTo=2020-08-12&amp;text=%C4%93ku+atjauno%C5%A1anas&amp;org=0&amp;area=0&amp;type=0" TargetMode="External"/><Relationship Id="rId67" Type="http://schemas.openxmlformats.org/officeDocument/2006/relationships/hyperlink" Target="https://www.varam.gov.lv/lv/attistibas-planosanas-dokumentu-projekti" TargetMode="External"/><Relationship Id="rId116" Type="http://schemas.openxmlformats.org/officeDocument/2006/relationships/hyperlink" Target="https://likumi.lv/ta/id/253579-nodarbinatibas-valsts-agenturas-nolikums" TargetMode="External"/><Relationship Id="rId137" Type="http://schemas.openxmlformats.org/officeDocument/2006/relationships/hyperlink" Target="https://www.km.gov.lv/lv/pazinojums-08032021" TargetMode="External"/><Relationship Id="rId158" Type="http://schemas.openxmlformats.org/officeDocument/2006/relationships/header" Target="header2.xml"/><Relationship Id="rId20" Type="http://schemas.openxmlformats.org/officeDocument/2006/relationships/hyperlink" Target="https://likumi.lv/ta/id/288730-sabiedrisko-pakalpojumu-sniedzeju-iepirkumu-likums" TargetMode="External"/><Relationship Id="rId41" Type="http://schemas.openxmlformats.org/officeDocument/2006/relationships/hyperlink" Target="https://www.km.gov.lv/lv/pazinojums-08032021" TargetMode="External"/><Relationship Id="rId62" Type="http://schemas.openxmlformats.org/officeDocument/2006/relationships/hyperlink" Target="http://tap.mk.gov.lv/mk/tap/?pid=40490765" TargetMode="External"/><Relationship Id="rId83" Type="http://schemas.openxmlformats.org/officeDocument/2006/relationships/hyperlink" Target="https://www.varam.gov.lv/lv/petijumi-vides-un-dabas-joma" TargetMode="External"/><Relationship Id="rId88" Type="http://schemas.openxmlformats.org/officeDocument/2006/relationships/hyperlink" Target="https://www.sam.gov.lv/lv/elektronisko-sakaru-nozares-attistibas-plans-2021-2027gadam" TargetMode="External"/><Relationship Id="rId111" Type="http://schemas.openxmlformats.org/officeDocument/2006/relationships/hyperlink" Target="https://likumi.lv/ta/id/225425-noteikumi-par-aktivo-nodarbinatibas-pasakumu-un-preventivo-bezdarba-samazinasanas-pasakumu-organizesanas-un-finansesanas" TargetMode="External"/><Relationship Id="rId132" Type="http://schemas.openxmlformats.org/officeDocument/2006/relationships/hyperlink" Target="https://www.izm.gov.lv/lv/izglitibas-attistibas-pamatnostadnes-2021-2027gadam" TargetMode="External"/><Relationship Id="rId153" Type="http://schemas.openxmlformats.org/officeDocument/2006/relationships/hyperlink" Target="http://tap.mk.gov.lv/lv/mk/tap/?pid=40498718&amp;mode=vss&amp;date=2021-02-25" TargetMode="External"/><Relationship Id="rId174" Type="http://schemas.openxmlformats.org/officeDocument/2006/relationships/header" Target="header7.xml"/><Relationship Id="rId179" Type="http://schemas.openxmlformats.org/officeDocument/2006/relationships/footer" Target="footer12.xml"/><Relationship Id="rId195" Type="http://schemas.openxmlformats.org/officeDocument/2006/relationships/footer" Target="footer16.xml"/><Relationship Id="rId190" Type="http://schemas.openxmlformats.org/officeDocument/2006/relationships/footer" Target="footer14.xml"/><Relationship Id="rId15" Type="http://schemas.openxmlformats.org/officeDocument/2006/relationships/hyperlink" Target="https://likumi.lv/ta/id/289086-iepirkuma-proceduru-un-metu-konkursu-norises-kartiba" TargetMode="External"/><Relationship Id="rId36" Type="http://schemas.openxmlformats.org/officeDocument/2006/relationships/hyperlink" Target="https://www.km.gov.lv/lv/pazinojums-08032021" TargetMode="External"/><Relationship Id="rId57" Type="http://schemas.openxmlformats.org/officeDocument/2006/relationships/hyperlink" Target="https://www.varam.gov.lv/lv/notekudenu-apsaimniekosanas-investiciju-plans-2021-2027-gadam" TargetMode="External"/><Relationship Id="rId106" Type="http://schemas.openxmlformats.org/officeDocument/2006/relationships/hyperlink" Target="https://likumi.lv/ta/id/225425-noteikumi-par-aktivo-nodarbinatibas-pasakumu-un-preventivo-bezdarba-samazinasanas-pasakumu-organizesanas-un-finansesanas" TargetMode="External"/><Relationship Id="rId127" Type="http://schemas.openxmlformats.org/officeDocument/2006/relationships/hyperlink" Target="https://www.km.gov.lv/lv/pazinojums-08032021" TargetMode="External"/><Relationship Id="rId10" Type="http://schemas.openxmlformats.org/officeDocument/2006/relationships/footer" Target="footer1.xml"/><Relationship Id="rId31" Type="http://schemas.openxmlformats.org/officeDocument/2006/relationships/hyperlink" Target="https://www.km.gov.lv/lv/pazinojums-08032021" TargetMode="External"/><Relationship Id="rId52" Type="http://schemas.openxmlformats.org/officeDocument/2006/relationships/hyperlink" Target="http://tap.mk.gov.lv/mk/tap/?pid=40480284" TargetMode="External"/><Relationship Id="rId73" Type="http://schemas.openxmlformats.org/officeDocument/2006/relationships/hyperlink" Target="https://www.varam.gov.lv/lv/udensapgades-investiciju-plans-2021-2027-gadam" TargetMode="External"/><Relationship Id="rId78" Type="http://schemas.openxmlformats.org/officeDocument/2006/relationships/hyperlink" Target="https://www.varam.gov.lv/lv/atkritumu-apsaimniekosanas-valsts-plans-2021-2028gadam" TargetMode="External"/><Relationship Id="rId94" Type="http://schemas.openxmlformats.org/officeDocument/2006/relationships/hyperlink" Target="https://www.em.gov.lv/lv/nacionalais-energetikas-un-klimata-plans" TargetMode="External"/><Relationship Id="rId99" Type="http://schemas.openxmlformats.org/officeDocument/2006/relationships/hyperlink" Target="https://likumi.lv/ta/id/62539-bezdarbnieku-un-darba-mekletaju-atbalsta-likums" TargetMode="External"/><Relationship Id="rId101" Type="http://schemas.openxmlformats.org/officeDocument/2006/relationships/hyperlink" Target="https://www.lm.gov.lv/lv/pamatnostadnu-projekts-socialas-aizsardzibas-un-darba-tirgus-politikas-pamatnostadnes-2021-2027-gadam" TargetMode="External"/><Relationship Id="rId122" Type="http://schemas.openxmlformats.org/officeDocument/2006/relationships/hyperlink" Target="https://www.csb.gov.lv/lv/dzimumu-lidztiesiba" TargetMode="External"/><Relationship Id="rId143" Type="http://schemas.openxmlformats.org/officeDocument/2006/relationships/hyperlink" Target="https://mail.lm.gov.lv/web/library.nsf/0/3afa7bb7057eed57c2257846002c029f?OpenDocument" TargetMode="External"/><Relationship Id="rId148" Type="http://schemas.openxmlformats.org/officeDocument/2006/relationships/hyperlink" Target="https://likumi.lv/ta/id/320841-par-saliedetas-un-pilsoniski-aktivas-sabiedribas-attistibas-pamatnostadnem-2021-2027-gadam" TargetMode="External"/><Relationship Id="rId164" Type="http://schemas.openxmlformats.org/officeDocument/2006/relationships/hyperlink" Target="mailto:Nata.Lasmane@fm.gov.lv" TargetMode="External"/><Relationship Id="rId169" Type="http://schemas.openxmlformats.org/officeDocument/2006/relationships/header" Target="header5.xml"/><Relationship Id="rId185"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mfa.gov.lv/lv/Arpolitika/Ekonomiskas-attiecibas/Starpt-ekon-org/OECD/" TargetMode="External"/><Relationship Id="rId180" Type="http://schemas.openxmlformats.org/officeDocument/2006/relationships/hyperlink" Target="https://www.google.com/maps/" TargetMode="External"/><Relationship Id="rId26" Type="http://schemas.openxmlformats.org/officeDocument/2006/relationships/hyperlink" Target="https://likumi.lv/ta/id/164501-iesniegumu-likums" TargetMode="External"/><Relationship Id="rId47" Type="http://schemas.openxmlformats.org/officeDocument/2006/relationships/hyperlink" Target="https://likumi.lv/ta/id/312423-par-latvijas-nacionalo-energetikas-un-klimata-planu-20212030-gadam" TargetMode="External"/><Relationship Id="rId68" Type="http://schemas.openxmlformats.org/officeDocument/2006/relationships/hyperlink" Target="https://www.varam.gov.lv/lv/notekudenu-apsaimniekosanas-investiciju-plans-2021-2027-gadam" TargetMode="External"/><Relationship Id="rId89" Type="http://schemas.openxmlformats.org/officeDocument/2006/relationships/hyperlink" Target="https://www.sam.gov.lv/lv/elektronisko-sakaru-nozares-attistibas-plans-2021-2027gadam" TargetMode="External"/><Relationship Id="rId112" Type="http://schemas.openxmlformats.org/officeDocument/2006/relationships/hyperlink" Target="https://likumi.lv/ta/id/253579-nodarbinatibas-valsts-agenturas-nolikums" TargetMode="External"/><Relationship Id="rId133" Type="http://schemas.openxmlformats.org/officeDocument/2006/relationships/hyperlink" Target="https://www.izm.gov.lv/lv/izglitibas-attistibas-pamatnostadnes-2021-2027gadam" TargetMode="External"/><Relationship Id="rId154" Type="http://schemas.openxmlformats.org/officeDocument/2006/relationships/hyperlink" Target="https://www.lm.gov.lv/lv/pamatnostadnu-projekts-socialas-aizsardzibas-un-darba-tirgus-politikas-pamatnostadnes-2021-2027-gadam" TargetMode="External"/><Relationship Id="rId175" Type="http://schemas.openxmlformats.org/officeDocument/2006/relationships/header" Target="header8.xml"/><Relationship Id="rId196" Type="http://schemas.openxmlformats.org/officeDocument/2006/relationships/footer" Target="footer17.xml"/><Relationship Id="rId200" Type="http://schemas.openxmlformats.org/officeDocument/2006/relationships/theme" Target="theme/theme1.xml"/><Relationship Id="rId16" Type="http://schemas.openxmlformats.org/officeDocument/2006/relationships/hyperlink" Target="https://likumi.lv/ta/id/289808-sabiedrisko-pakalpojumu-sniedzeju-iepirkuma-proceduru-un-metu-konkursu-norises-kartiba" TargetMode="External"/><Relationship Id="rId37" Type="http://schemas.openxmlformats.org/officeDocument/2006/relationships/hyperlink" Target="https://likumi.lv/ta/id/321037-par-nacionalas-industrialas-politikas-pamatnostadnem-20212027-gadam" TargetMode="External"/><Relationship Id="rId58" Type="http://schemas.openxmlformats.org/officeDocument/2006/relationships/hyperlink" Target="https://www.varam.gov.lv/lv/udensapgades-investiciju-plans-2021-2027-gadam" TargetMode="External"/><Relationship Id="rId79" Type="http://schemas.openxmlformats.org/officeDocument/2006/relationships/hyperlink" Target="http://tap.mk.gov.lv/lv/mk/tap/?pid=40493683" TargetMode="External"/><Relationship Id="rId102" Type="http://schemas.openxmlformats.org/officeDocument/2006/relationships/hyperlink" Target="https://likumi.lv/ta/id/62539-bezdarbnieku-un-darba-mekletaju-atbalsta-likums" TargetMode="External"/><Relationship Id="rId123" Type="http://schemas.openxmlformats.org/officeDocument/2006/relationships/hyperlink" Target="https://likumi.lv/ta/id/298289-instrukcija-par-valsts-budzeta-izpildes-analizi" TargetMode="External"/><Relationship Id="rId144" Type="http://schemas.openxmlformats.org/officeDocument/2006/relationships/hyperlink" Target="https://www.lm.gov.lv/lv/socialas-ieklausanas-politikas-koordinacijas-komiteja" TargetMode="External"/><Relationship Id="rId90" Type="http://schemas.openxmlformats.org/officeDocument/2006/relationships/hyperlink" Target="https://www.sam.gov.lv/lv/elektronisko-sakaru-nozares-attistibas-plans-2021-2027gadam" TargetMode="External"/><Relationship Id="rId165" Type="http://schemas.openxmlformats.org/officeDocument/2006/relationships/hyperlink" Target="mailto:Kaspars.Abolins@kase.gov.lv" TargetMode="External"/><Relationship Id="rId186" Type="http://schemas.openxmlformats.org/officeDocument/2006/relationships/hyperlink" Target="http://www.lvra.lv/lv/dalibnieki/viesnicas.html" TargetMode="External"/><Relationship Id="rId27" Type="http://schemas.openxmlformats.org/officeDocument/2006/relationships/hyperlink" Target="https://likumi.lv/ta/id/133535-tiesibsarga-likums" TargetMode="External"/><Relationship Id="rId48" Type="http://schemas.openxmlformats.org/officeDocument/2006/relationships/hyperlink" Target="https://likumi.lv/ta/id/312423-par-latvijas-nacionalo-energetikas-un-klimata-planu-20212030-gadam" TargetMode="External"/><Relationship Id="rId69" Type="http://schemas.openxmlformats.org/officeDocument/2006/relationships/hyperlink" Target="https://www.varam.gov.lv/lv/udensapgades-investiciju-plans-2021-2027-gadam" TargetMode="External"/><Relationship Id="rId113" Type="http://schemas.openxmlformats.org/officeDocument/2006/relationships/hyperlink" Target="https://www.nva.gov.lv/lv/strategija" TargetMode="External"/><Relationship Id="rId134" Type="http://schemas.openxmlformats.org/officeDocument/2006/relationships/hyperlink" Target="https://www.lm.gov.lv/lv/pamatnostadnu-projekts-socialas-aizsardzibas-un-darba-tirgus-politikas-pamatnostadnes-2021-2027-gadam" TargetMode="External"/><Relationship Id="rId80" Type="http://schemas.openxmlformats.org/officeDocument/2006/relationships/hyperlink" Target="https://www.varam.gov.lv/lv/petijumi-vides-un-dabas-joma" TargetMode="External"/><Relationship Id="rId155" Type="http://schemas.openxmlformats.org/officeDocument/2006/relationships/hyperlink" Target="http://tap.mk.gov.lv/lv/mk/tap/?pid=40498718" TargetMode="External"/><Relationship Id="rId176" Type="http://schemas.openxmlformats.org/officeDocument/2006/relationships/footer" Target="footer10.xml"/><Relationship Id="rId197" Type="http://schemas.openxmlformats.org/officeDocument/2006/relationships/header" Target="header15.xml"/><Relationship Id="rId17" Type="http://schemas.openxmlformats.org/officeDocument/2006/relationships/hyperlink" Target="https://likumi.lv/ta/id/289081-publisko-iepirkumu-pazinojumi-un-to-sagatavosanas-kartiba" TargetMode="External"/><Relationship Id="rId38" Type="http://schemas.openxmlformats.org/officeDocument/2006/relationships/hyperlink" Target="https://www.km.gov.lv/lv/pazinojums-08032021" TargetMode="External"/><Relationship Id="rId59" Type="http://schemas.openxmlformats.org/officeDocument/2006/relationships/hyperlink" Target="https://www.varam.gov.lv/lv/attistibas-planosanas-dokumentu-projekti" TargetMode="External"/><Relationship Id="rId103" Type="http://schemas.openxmlformats.org/officeDocument/2006/relationships/hyperlink" Target="https://likumi.lv/ta/id/225425-noteikumi-par-aktivo-nodarbinatibas-pasakumu-un-preventivo-bezdarba-samazinasanas-pasakumu-organizesanas-un-finansesanas" TargetMode="External"/><Relationship Id="rId124" Type="http://schemas.openxmlformats.org/officeDocument/2006/relationships/hyperlink" Target="https://mail.lm.gov.lv/web/library.nsf/vList/3EE333AB00332E23C22583C5002E93C6?OpenDocument" TargetMode="External"/><Relationship Id="rId70" Type="http://schemas.openxmlformats.org/officeDocument/2006/relationships/hyperlink" Target="https://www.varam.gov.lv/lv/attistibas-planosanas-dokumentu-projekti" TargetMode="External"/><Relationship Id="rId91" Type="http://schemas.openxmlformats.org/officeDocument/2006/relationships/hyperlink" Target="https://www.sam.gov.lv/lv/elektronisko-sakaru-nozares-attistibas-plans-2021-2027gadam" TargetMode="External"/><Relationship Id="rId145" Type="http://schemas.openxmlformats.org/officeDocument/2006/relationships/hyperlink" Target="https://likumi.lv/ta/id/305520-par-planu-pieejamas-vides-veidosanai-latvija-2019-2021-gadam" TargetMode="External"/><Relationship Id="rId166" Type="http://schemas.openxmlformats.org/officeDocument/2006/relationships/hyperlink" Target="mailto:Kaspars.Abolins@kase.gov.lv" TargetMode="External"/><Relationship Id="rId187" Type="http://schemas.openxmlformats.org/officeDocument/2006/relationships/header" Target="header10.xml"/><Relationship Id="rId1" Type="http://schemas.openxmlformats.org/officeDocument/2006/relationships/customXml" Target="../customXml/item1.xml"/><Relationship Id="rId28" Type="http://schemas.openxmlformats.org/officeDocument/2006/relationships/hyperlink" Target="https://likumi.lv/ta/id/302465-trauksmes-celsanas-likums" TargetMode="External"/><Relationship Id="rId49" Type="http://schemas.openxmlformats.org/officeDocument/2006/relationships/hyperlink" Target="https://likumi.lv/ta/id/312423-par-latvijas-nacionalo-energetikas-un-klimata-planu-20212030-gadam" TargetMode="External"/><Relationship Id="rId114" Type="http://schemas.openxmlformats.org/officeDocument/2006/relationships/hyperlink" Target="https://www.km.gov.lv/lv/pazinojums-08032021" TargetMode="External"/><Relationship Id="rId60" Type="http://schemas.openxmlformats.org/officeDocument/2006/relationships/hyperlink" Target="https://www.varam.gov.lv/lv/attistibas-planosanas-dokumentu-projekti" TargetMode="External"/><Relationship Id="rId81" Type="http://schemas.openxmlformats.org/officeDocument/2006/relationships/hyperlink" Target="https://www.varam.gov.lv/lv/atkritumu-apsaimniekosanas-valsts-plans-2021-2028gadam" TargetMode="External"/><Relationship Id="rId135" Type="http://schemas.openxmlformats.org/officeDocument/2006/relationships/hyperlink" Target="https://www.izm.gov.lv/lv/izglitibas-attistibas-pamatnostadnes-2021-2027gadam" TargetMode="External"/><Relationship Id="rId156" Type="http://schemas.openxmlformats.org/officeDocument/2006/relationships/hyperlink" Target="https://www.lm.gov.lv/lv/pamatnostadnu-projekts-socialas-aizsardzibas-un-darba-tirgus-politikas-pamatnostadnes-2021-2027-gadam" TargetMode="External"/><Relationship Id="rId177" Type="http://schemas.openxmlformats.org/officeDocument/2006/relationships/footer" Target="footer11.xml"/><Relationship Id="rId198" Type="http://schemas.openxmlformats.org/officeDocument/2006/relationships/footer" Target="footer18.xml"/><Relationship Id="rId18" Type="http://schemas.openxmlformats.org/officeDocument/2006/relationships/hyperlink" Target="https://likumi.lv/ta/id/289806-sabiedrisko-pakalpojumu-sniedzeju-iepirkumu-pazinojumi-un-to-sagatavosanas-kartiba" TargetMode="External"/><Relationship Id="rId39" Type="http://schemas.openxmlformats.org/officeDocument/2006/relationships/hyperlink" Target="https://www.km.gov.lv/lv/pazinojums-08032021" TargetMode="External"/><Relationship Id="rId50" Type="http://schemas.openxmlformats.org/officeDocument/2006/relationships/hyperlink" Target="https://likumi.lv/ta/id/312423-par-latvijas-nacionalo-energetikas-un-klimata-planu-20212030-gadam" TargetMode="External"/><Relationship Id="rId104" Type="http://schemas.openxmlformats.org/officeDocument/2006/relationships/hyperlink" Target="https://likumi.lv/ta/id/289731-bezdarbnieku-uzskaites-un-registreto-vakancu-informacijas-sistemas-noteikumi" TargetMode="External"/><Relationship Id="rId125" Type="http://schemas.openxmlformats.org/officeDocument/2006/relationships/hyperlink" Target="https://www.lm.gov.lv/sites/lm/files/data_content/apstiprinats_komitejas_nolikuma_grozijumi-1712181.pdf" TargetMode="External"/><Relationship Id="rId146" Type="http://schemas.openxmlformats.org/officeDocument/2006/relationships/hyperlink" Target="https://likumi.lv/ta/id/320841-par-saliedetas-un-pilsoniski-aktivas-sabiedribas-attistibas-pamatnostadnem-2021-2027-gadam" TargetMode="External"/><Relationship Id="rId167" Type="http://schemas.openxmlformats.org/officeDocument/2006/relationships/hyperlink" Target="mailto:Kaspars.Abolins@kase.gov.lv" TargetMode="External"/><Relationship Id="rId188" Type="http://schemas.openxmlformats.org/officeDocument/2006/relationships/header" Target="header11.xml"/></Relationships>
</file>

<file path=word/_rels/footnotes.xml.rels><?xml version="1.0" encoding="UTF-8" standalone="yes"?>
<Relationships xmlns="http://schemas.openxmlformats.org/package/2006/relationships"><Relationship Id="rId13" Type="http://schemas.openxmlformats.org/officeDocument/2006/relationships/hyperlink" Target="https://ieej.lv/n5k2o" TargetMode="External"/><Relationship Id="rId18" Type="http://schemas.openxmlformats.org/officeDocument/2006/relationships/hyperlink" Target="http://www3.weforum.org/docs/WEF_Schools_of_the_Future_Report_2019.pdf" TargetMode="External"/><Relationship Id="rId26" Type="http://schemas.openxmlformats.org/officeDocument/2006/relationships/hyperlink" Target="https://www.oecd-ilibrary.org/employment/evaluating-latvia-s-active-labour-market-policies_6037200a-en" TargetMode="External"/><Relationship Id="rId39" Type="http://schemas.openxmlformats.org/officeDocument/2006/relationships/hyperlink" Target="https://www.lm.gov.lv/lv/pamatnostadnu-projekts-socialas-aizsardzibas-un-darba-tirgus-politikas-pamatnostadnes-2021-2027-gadam" TargetMode="External"/><Relationship Id="rId21" Type="http://schemas.openxmlformats.org/officeDocument/2006/relationships/hyperlink" Target="https://ec.europa.eu/info/sites/info/files/file_import/2019-european-semester-country-report-latvia_lv.pdf" TargetMode="External"/><Relationship Id="rId34" Type="http://schemas.openxmlformats.org/officeDocument/2006/relationships/hyperlink" Target="https://klimatam.lv/norvegijas-grantu-projekts/par-projektu/" TargetMode="External"/><Relationship Id="rId42" Type="http://schemas.openxmlformats.org/officeDocument/2006/relationships/hyperlink" Target="https://likumi.lv/ta/id/225425-noteikumi-par-aktivo-nodarbinatibas-pasakumu-un-preventivo-bezdarba-samazinasanas-pasakumu-organizesanas-un-finansesanas" TargetMode="External"/><Relationship Id="rId7" Type="http://schemas.openxmlformats.org/officeDocument/2006/relationships/hyperlink" Target="https://ieej.lv/Vu9v6" TargetMode="External"/><Relationship Id="rId2" Type="http://schemas.openxmlformats.org/officeDocument/2006/relationships/hyperlink" Target="http://ec.europa.eu/social/main.jsp?catId=104&amp;langId=lv" TargetMode="External"/><Relationship Id="rId16" Type="http://schemas.openxmlformats.org/officeDocument/2006/relationships/hyperlink" Target="https://balticsea-region-strategy.eu/action-plan" TargetMode="External"/><Relationship Id="rId29" Type="http://schemas.openxmlformats.org/officeDocument/2006/relationships/hyperlink" Target="http://eur-lex.europa.eu/eli/dir/2008/50/oj/?locale=LV" TargetMode="External"/><Relationship Id="rId1" Type="http://schemas.openxmlformats.org/officeDocument/2006/relationships/hyperlink" Target="https://likumi.lv/ta/id/310954-par-regionalas-politikas-pamatnostadnem-2021-2027-gadam" TargetMode="External"/><Relationship Id="rId6" Type="http://schemas.openxmlformats.org/officeDocument/2006/relationships/hyperlink" Target="file:///C:\Users\ESD437\Downloads\Latvia.pdf" TargetMode="External"/><Relationship Id="rId11" Type="http://schemas.openxmlformats.org/officeDocument/2006/relationships/hyperlink" Target="https://ieej.lv/TtZRl" TargetMode="External"/><Relationship Id="rId24" Type="http://schemas.openxmlformats.org/officeDocument/2006/relationships/hyperlink" Target="https://ieej.lv/P76yv" TargetMode="External"/><Relationship Id="rId32" Type="http://schemas.openxmlformats.org/officeDocument/2006/relationships/hyperlink" Target="http://www.esfondi.lv/upload/izvertejumi/pilsetvides-zinojums-2019.pdf" TargetMode="External"/><Relationship Id="rId37" Type="http://schemas.openxmlformats.org/officeDocument/2006/relationships/hyperlink" Target="https://www.sam.gov.lv/lv/petijumi" TargetMode="External"/><Relationship Id="rId40" Type="http://schemas.openxmlformats.org/officeDocument/2006/relationships/hyperlink" Target="https://likumi.lv/ta/id/62539-bezdarbnieku-un-darba-mekletaju-atbalsta-likums" TargetMode="External"/><Relationship Id="rId45" Type="http://schemas.openxmlformats.org/officeDocument/2006/relationships/hyperlink" Target="https://www.lm.gov.lv/lv/pamatnostadnu-projekts-socialas-aizsardzibas-un-darba-tirgus-politikas-pamatnostadnes-2021-2027-gadam" TargetMode="External"/><Relationship Id="rId5" Type="http://schemas.openxmlformats.org/officeDocument/2006/relationships/hyperlink" Target="https://ieej.lv/ED0qg" TargetMode="External"/><Relationship Id="rId15" Type="http://schemas.openxmlformats.org/officeDocument/2006/relationships/hyperlink" Target="https://data1.csb.gov.lv/pxweb/lv/iedz/iedz__iedzskaits__ikgad/ISG020.px/table/tableViewLayout1/?rxid=e95c167f-85dd-4d2c-9b01-4e1188a34492" TargetMode="External"/><Relationship Id="rId23" Type="http://schemas.openxmlformats.org/officeDocument/2006/relationships/hyperlink" Target="https://ieej.lv/GxB9P" TargetMode="External"/><Relationship Id="rId28" Type="http://schemas.openxmlformats.org/officeDocument/2006/relationships/hyperlink" Target="https://webgate.ec.europa.eu/dashboard/sense/app/a976d168-2023-41d8-acec-e77640154726/sheet/0c8af38b-b73c-4da2-ba41-73ea34ab7ac4/state/analysis" TargetMode="External"/><Relationship Id="rId36" Type="http://schemas.openxmlformats.org/officeDocument/2006/relationships/hyperlink" Target="https://likumi.lv/ta/id/312423-par-latvijas-nacionalo-energetikas-un-klimata-planu-20212030-gadam" TargetMode="External"/><Relationship Id="rId10" Type="http://schemas.openxmlformats.org/officeDocument/2006/relationships/hyperlink" Target="https://www.csdd.lv/celu-satiksmes-negadijumi/celu-satiksmes-negadijumu-skaits" TargetMode="External"/><Relationship Id="rId19" Type="http://schemas.openxmlformats.org/officeDocument/2006/relationships/hyperlink" Target="http://www.sam.gov.lv/images/modules/items/PDF/item_8196_DESI_2019_Latvia_-LV_-_oficil_publikcija_11June_2019_(002).pdf" TargetMode="External"/><Relationship Id="rId31" Type="http://schemas.openxmlformats.org/officeDocument/2006/relationships/hyperlink" Target="https://eur-lex.europa.eu/legal-content/LV/TXT/HTML/?uri=CELEX:52013DC0249&amp;from=lv" TargetMode="External"/><Relationship Id="rId44" Type="http://schemas.openxmlformats.org/officeDocument/2006/relationships/hyperlink" Target="https://likumi.lv/ta/id/225425-noteikumi-par-aktivo-nodarbinatibas-pasakumu-un-preventivo-bezdarba-samazinasanas-pasakumu-organizesanas-un-finansesanas" TargetMode="External"/><Relationship Id="rId4" Type="http://schemas.openxmlformats.org/officeDocument/2006/relationships/hyperlink" Target="https://ieej.lv/SjlVN" TargetMode="External"/><Relationship Id="rId9" Type="http://schemas.openxmlformats.org/officeDocument/2006/relationships/hyperlink" Target="https://ieej.lv/AD6q8" TargetMode="External"/><Relationship Id="rId14" Type="http://schemas.openxmlformats.org/officeDocument/2006/relationships/hyperlink" Target="https://www.km.gov.lv/uploads/ckeditor/files/kultura_timekli/petijumi/LKA%20ZPC_Kult%C5%ABras%20pat%C4%93ri%C5%86%C5%A1%20un%20l%C4%ABdzdal%C4%ABba%202018.pdf" TargetMode="External"/><Relationship Id="rId22" Type="http://schemas.openxmlformats.org/officeDocument/2006/relationships/hyperlink" Target="https://ec.europa.eu/info/sites/info/files/2020-european_semester_country-report-latvia_lv.pdf" TargetMode="External"/><Relationship Id="rId27" Type="http://schemas.openxmlformats.org/officeDocument/2006/relationships/hyperlink" Target="https://www.oecd.org/dev/Global-Value-Chain-Development-Report-2019-Technological-Innovation-Supply-Chain-Trade-and-Workers-in-a-Globalized-World.pdf" TargetMode="External"/><Relationship Id="rId30" Type="http://schemas.openxmlformats.org/officeDocument/2006/relationships/hyperlink" Target="http://eur-lex.europa.eu/eli/dir/2004/107/oj/?locale=LV" TargetMode="External"/><Relationship Id="rId35" Type="http://schemas.openxmlformats.org/officeDocument/2006/relationships/hyperlink" Target="https://likumi.lv/ta/id/308330-par-latvijas-pielagosanas-klimata-parmainam-planu-laika-posmam-lidz-2030-gadam" TargetMode="External"/><Relationship Id="rId43" Type="http://schemas.openxmlformats.org/officeDocument/2006/relationships/hyperlink" Target="https://likumi.lv/ta/id/225425-noteikumi-par-aktivo-nodarbinatibas-pasakumu-un-preventivo-bezdarba-samazinasanas-pasakumu-organizesanas-un-finansesanas" TargetMode="External"/><Relationship Id="rId8" Type="http://schemas.openxmlformats.org/officeDocument/2006/relationships/hyperlink" Target="https://ieej.lv/lQpKn" TargetMode="External"/><Relationship Id="rId3" Type="http://schemas.openxmlformats.org/officeDocument/2006/relationships/hyperlink" Target="http://europa.eu.int/comm/employment_social/local_employment/" TargetMode="External"/><Relationship Id="rId12" Type="http://schemas.openxmlformats.org/officeDocument/2006/relationships/hyperlink" Target="https://ieej.lv/bk8oH" TargetMode="External"/><Relationship Id="rId17" Type="http://schemas.openxmlformats.org/officeDocument/2006/relationships/hyperlink" Target="https://www.oecd.org/dev/Global-Value-Chain-Development-Report-2019-Technological-Innovation-Supply-Chain-Trade-and-Workers-in-a-Globalized-World.pdf" TargetMode="External"/><Relationship Id="rId25" Type="http://schemas.openxmlformats.org/officeDocument/2006/relationships/hyperlink" Target="https://www.spkc.gov.lv/lv/latvijas-veselibas-aprupes-statistikas-gadagramata" TargetMode="External"/><Relationship Id="rId33" Type="http://schemas.openxmlformats.org/officeDocument/2006/relationships/hyperlink" Target="https://ec.europa.eu/echo/funding-evaluations/financing-civil-protection-europe/selected-projects/track-i-feasibility-study_en" TargetMode="External"/><Relationship Id="rId38" Type="http://schemas.openxmlformats.org/officeDocument/2006/relationships/hyperlink" Target="https://www.sam.gov.lv/lv/petijumi" TargetMode="External"/><Relationship Id="rId46" Type="http://schemas.openxmlformats.org/officeDocument/2006/relationships/hyperlink" Target="https://www.lm.gov.lv/lv/pamatnostadnu-projekts-socialas-aizsardzibas-un-darba-tirgus-politikas-pamatnostadnes-2021-2027-gadam" TargetMode="External"/><Relationship Id="rId20" Type="http://schemas.openxmlformats.org/officeDocument/2006/relationships/hyperlink" Target="https://eur-lex.europa.eu/legal-content/LV/TXT/PDF/?uri=CELEX:32019H0905(14)&amp;from=LV" TargetMode="External"/><Relationship Id="rId41" Type="http://schemas.openxmlformats.org/officeDocument/2006/relationships/hyperlink" Target="https://likumi.lv/ta/id/225425-noteikumi-par-aktivo-nodarbinatibas-pasakumu-un-preventivo-bezdarba-samazinasanas-pasakumu-organizesanas-un-finansesan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67BA3-FCBD-447E-B0CE-5D66785E1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373954</Words>
  <Characters>213155</Characters>
  <Application>Microsoft Office Word</Application>
  <DocSecurity>0</DocSecurity>
  <Lines>1776</Lines>
  <Paragraphs>1171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Pukse</dc:creator>
  <cp:keywords/>
  <dc:description/>
  <cp:lastModifiedBy>Inguna Dancīte</cp:lastModifiedBy>
  <cp:revision>2</cp:revision>
  <cp:lastPrinted>2021-02-19T13:12:00Z</cp:lastPrinted>
  <dcterms:created xsi:type="dcterms:W3CDTF">2021-04-12T12:05:00Z</dcterms:created>
  <dcterms:modified xsi:type="dcterms:W3CDTF">2021-04-12T12:05:00Z</dcterms:modified>
</cp:coreProperties>
</file>