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2D6CB" w14:textId="304E96A0" w:rsidR="007B32EC" w:rsidRDefault="007B32EC" w:rsidP="007B32EC">
      <w:pPr>
        <w:jc w:val="right"/>
        <w:rPr>
          <w:b/>
        </w:rPr>
      </w:pPr>
      <w:bookmarkStart w:id="0" w:name="_GoBack"/>
      <w:bookmarkEnd w:id="0"/>
      <w:r>
        <w:rPr>
          <w:b/>
        </w:rPr>
        <w:t>Pielikums</w:t>
      </w:r>
      <w:r w:rsidR="007D40C5">
        <w:rPr>
          <w:b/>
        </w:rPr>
        <w:t xml:space="preserve"> Nr.</w:t>
      </w:r>
      <w:r w:rsidR="00C77EC7">
        <w:rPr>
          <w:b/>
        </w:rPr>
        <w:t>2</w:t>
      </w:r>
    </w:p>
    <w:p w14:paraId="45D6F37A" w14:textId="77777777" w:rsidR="007B32EC" w:rsidRDefault="008442A5" w:rsidP="00562E8E">
      <w:pPr>
        <w:spacing w:after="0" w:line="240" w:lineRule="auto"/>
        <w:jc w:val="right"/>
      </w:pPr>
      <w:r>
        <w:t>Informatīvajam</w:t>
      </w:r>
      <w:r w:rsidR="007B32EC">
        <w:t xml:space="preserve"> ziņojuma</w:t>
      </w:r>
      <w:r>
        <w:t>m</w:t>
      </w:r>
      <w:r w:rsidR="007B32EC">
        <w:t xml:space="preserve"> </w:t>
      </w:r>
      <w:r w:rsidR="007B32EC" w:rsidRPr="00562E8E">
        <w:t>“</w:t>
      </w:r>
      <w:r w:rsidR="007B32EC" w:rsidRPr="007B32EC">
        <w:t xml:space="preserve">Par spēkā esošo </w:t>
      </w:r>
    </w:p>
    <w:p w14:paraId="62475EF8" w14:textId="636DACE7" w:rsidR="007B32EC" w:rsidRDefault="007B32EC" w:rsidP="00562E8E">
      <w:pPr>
        <w:spacing w:after="0" w:line="240" w:lineRule="auto"/>
        <w:jc w:val="right"/>
        <w:rPr>
          <w:b/>
        </w:rPr>
      </w:pPr>
      <w:r w:rsidRPr="007B32EC">
        <w:t>nodokļu atvieglojumu izvērtēšanu</w:t>
      </w:r>
      <w:r w:rsidRPr="007B32EC">
        <w:rPr>
          <w:b/>
        </w:rPr>
        <w:t>”</w:t>
      </w:r>
    </w:p>
    <w:p w14:paraId="018F10FC" w14:textId="77777777" w:rsidR="00C77EC7" w:rsidRDefault="00C77EC7" w:rsidP="00562E8E">
      <w:pPr>
        <w:spacing w:after="0" w:line="240" w:lineRule="auto"/>
        <w:jc w:val="right"/>
        <w:rPr>
          <w:b/>
        </w:rPr>
      </w:pPr>
    </w:p>
    <w:p w14:paraId="4B70213D" w14:textId="73857F33" w:rsidR="00C77EC7" w:rsidRPr="00C77EC7" w:rsidRDefault="00C77EC7" w:rsidP="00562E8E">
      <w:pPr>
        <w:spacing w:after="0" w:line="240" w:lineRule="auto"/>
        <w:jc w:val="right"/>
        <w:rPr>
          <w:b/>
          <w:sz w:val="32"/>
          <w:szCs w:val="32"/>
        </w:rPr>
      </w:pPr>
      <w:r w:rsidRPr="00C77EC7">
        <w:rPr>
          <w:b/>
          <w:sz w:val="32"/>
          <w:szCs w:val="32"/>
        </w:rPr>
        <w:t>PARAUGS</w:t>
      </w:r>
    </w:p>
    <w:p w14:paraId="28C273A2" w14:textId="77777777" w:rsidR="007D40C5" w:rsidRDefault="007D40C5" w:rsidP="007D40C5">
      <w:pPr>
        <w:spacing w:after="0" w:line="240" w:lineRule="auto"/>
        <w:jc w:val="center"/>
      </w:pPr>
    </w:p>
    <w:tbl>
      <w:tblPr>
        <w:tblStyle w:val="TableGrid"/>
        <w:tblpPr w:leftFromText="180" w:rightFromText="180" w:vertAnchor="text" w:tblpXSpec="center" w:tblpY="1"/>
        <w:tblOverlap w:val="never"/>
        <w:tblW w:w="10201" w:type="dxa"/>
        <w:jc w:val="center"/>
        <w:tblLook w:val="04A0" w:firstRow="1" w:lastRow="0" w:firstColumn="1" w:lastColumn="0" w:noHBand="0" w:noVBand="1"/>
      </w:tblPr>
      <w:tblGrid>
        <w:gridCol w:w="3823"/>
        <w:gridCol w:w="6378"/>
      </w:tblGrid>
      <w:tr w:rsidR="00E77303" w:rsidRPr="00953B4D" w14:paraId="63FAB5D3" w14:textId="77777777" w:rsidTr="000B693E">
        <w:trPr>
          <w:trHeight w:val="562"/>
          <w:jc w:val="center"/>
        </w:trPr>
        <w:tc>
          <w:tcPr>
            <w:tcW w:w="10201" w:type="dxa"/>
            <w:gridSpan w:val="2"/>
            <w:vAlign w:val="center"/>
          </w:tcPr>
          <w:p w14:paraId="22778B77" w14:textId="77777777" w:rsidR="0010472D" w:rsidRDefault="00E77303" w:rsidP="00562E8E">
            <w:pPr>
              <w:keepNext/>
              <w:keepLines/>
              <w:spacing w:before="240"/>
              <w:ind w:left="167" w:hanging="284"/>
              <w:jc w:val="center"/>
              <w:outlineLvl w:val="0"/>
              <w:rPr>
                <w:rFonts w:eastAsiaTheme="majorEastAsia"/>
                <w:sz w:val="28"/>
                <w:szCs w:val="28"/>
              </w:rPr>
            </w:pPr>
            <w:r w:rsidRPr="00562E8E">
              <w:rPr>
                <w:rFonts w:eastAsiaTheme="majorEastAsia"/>
                <w:b/>
                <w:sz w:val="28"/>
                <w:szCs w:val="28"/>
              </w:rPr>
              <w:t>Plānā spēkā esoš</w:t>
            </w:r>
            <w:r w:rsidR="00FC5D9C" w:rsidRPr="00562E8E">
              <w:rPr>
                <w:rFonts w:eastAsiaTheme="majorEastAsia"/>
                <w:b/>
                <w:sz w:val="28"/>
                <w:szCs w:val="28"/>
              </w:rPr>
              <w:t>ā</w:t>
            </w:r>
            <w:r w:rsidRPr="00562E8E">
              <w:rPr>
                <w:rFonts w:eastAsiaTheme="majorEastAsia"/>
                <w:b/>
                <w:sz w:val="28"/>
                <w:szCs w:val="28"/>
              </w:rPr>
              <w:t xml:space="preserve"> nodokļu atvieglojum</w:t>
            </w:r>
            <w:r w:rsidR="00FC5D9C" w:rsidRPr="00562E8E">
              <w:rPr>
                <w:rFonts w:eastAsiaTheme="majorEastAsia"/>
                <w:b/>
                <w:sz w:val="28"/>
                <w:szCs w:val="28"/>
              </w:rPr>
              <w:t>a</w:t>
            </w:r>
            <w:r w:rsidRPr="00562E8E">
              <w:rPr>
                <w:rFonts w:eastAsiaTheme="majorEastAsia"/>
                <w:b/>
                <w:sz w:val="28"/>
                <w:szCs w:val="28"/>
              </w:rPr>
              <w:t>, kur</w:t>
            </w:r>
            <w:r w:rsidR="00FC5D9C" w:rsidRPr="00562E8E">
              <w:rPr>
                <w:rFonts w:eastAsiaTheme="majorEastAsia"/>
                <w:b/>
                <w:sz w:val="28"/>
                <w:szCs w:val="28"/>
              </w:rPr>
              <w:t>am</w:t>
            </w:r>
            <w:r w:rsidRPr="00562E8E">
              <w:rPr>
                <w:rFonts w:eastAsiaTheme="majorEastAsia"/>
                <w:b/>
                <w:sz w:val="28"/>
                <w:szCs w:val="28"/>
              </w:rPr>
              <w:t xml:space="preserve"> mērķis un sasniedzamie rādītāji ir definējami </w:t>
            </w:r>
            <w:r w:rsidRPr="00562E8E">
              <w:rPr>
                <w:rFonts w:eastAsiaTheme="majorEastAsia"/>
                <w:sz w:val="28"/>
                <w:szCs w:val="28"/>
              </w:rPr>
              <w:t>/1.kategorija/</w:t>
            </w:r>
          </w:p>
          <w:p w14:paraId="65B821EF" w14:textId="0AF14F50" w:rsidR="0010472D" w:rsidRPr="0010472D" w:rsidRDefault="0010472D" w:rsidP="0010472D">
            <w:pPr>
              <w:keepNext/>
              <w:keepLines/>
              <w:spacing w:after="120"/>
              <w:ind w:left="165" w:hanging="284"/>
              <w:jc w:val="center"/>
              <w:outlineLvl w:val="0"/>
              <w:rPr>
                <w:rFonts w:eastAsiaTheme="majorEastAsia"/>
                <w:sz w:val="28"/>
                <w:szCs w:val="28"/>
              </w:rPr>
            </w:pPr>
          </w:p>
        </w:tc>
      </w:tr>
      <w:tr w:rsidR="008B376B" w:rsidRPr="00DF0BC7" w14:paraId="45B60D6B" w14:textId="77777777" w:rsidTr="00F676B7">
        <w:trPr>
          <w:trHeight w:val="460"/>
          <w:jc w:val="center"/>
        </w:trPr>
        <w:tc>
          <w:tcPr>
            <w:tcW w:w="3823" w:type="dxa"/>
          </w:tcPr>
          <w:p w14:paraId="34506CC4" w14:textId="402F00EB" w:rsidR="008B376B" w:rsidRPr="00DF0BC7" w:rsidRDefault="008B376B">
            <w:pPr>
              <w:keepNext/>
              <w:keepLines/>
              <w:spacing w:before="240"/>
              <w:jc w:val="center"/>
              <w:outlineLvl w:val="0"/>
              <w:rPr>
                <w:rFonts w:eastAsiaTheme="majorEastAsia"/>
              </w:rPr>
            </w:pPr>
            <w:r w:rsidRPr="00A46697">
              <w:t>Nodokļa atvieglojuma grupa</w:t>
            </w:r>
          </w:p>
        </w:tc>
        <w:tc>
          <w:tcPr>
            <w:tcW w:w="6378" w:type="dxa"/>
            <w:vAlign w:val="center"/>
          </w:tcPr>
          <w:p w14:paraId="0C697B90" w14:textId="495FFAF7" w:rsidR="008B376B" w:rsidRPr="00DF0BC7" w:rsidRDefault="008B376B">
            <w:pPr>
              <w:keepNext/>
              <w:keepLines/>
              <w:spacing w:before="240"/>
              <w:jc w:val="center"/>
              <w:outlineLvl w:val="0"/>
              <w:rPr>
                <w:rFonts w:eastAsiaTheme="majorEastAsia"/>
              </w:rPr>
            </w:pPr>
            <w:r w:rsidRPr="008B376B">
              <w:rPr>
                <w:rFonts w:eastAsiaTheme="majorEastAsia"/>
              </w:rPr>
              <w:t>Atvieglojums, kas vērsts uz noteiktu ekonomisku vai sociālu mērķu sasniegšanu</w:t>
            </w:r>
          </w:p>
        </w:tc>
      </w:tr>
      <w:tr w:rsidR="00F569D0" w:rsidRPr="00DF0BC7" w14:paraId="3584883F" w14:textId="77777777" w:rsidTr="00F676B7">
        <w:trPr>
          <w:trHeight w:val="460"/>
          <w:jc w:val="center"/>
        </w:trPr>
        <w:tc>
          <w:tcPr>
            <w:tcW w:w="3823" w:type="dxa"/>
          </w:tcPr>
          <w:p w14:paraId="241E3DFD" w14:textId="77777777" w:rsidR="00F569D0" w:rsidRPr="00DF0BC7" w:rsidRDefault="00F569D0" w:rsidP="00F569D0">
            <w:pPr>
              <w:keepNext/>
              <w:keepLines/>
              <w:spacing w:before="240"/>
              <w:jc w:val="center"/>
              <w:outlineLvl w:val="0"/>
              <w:rPr>
                <w:rFonts w:eastAsiaTheme="majorEastAsia"/>
              </w:rPr>
            </w:pPr>
            <w:r w:rsidRPr="00DF0BC7">
              <w:rPr>
                <w:rFonts w:eastAsiaTheme="majorEastAsia"/>
              </w:rPr>
              <w:t>Nosaukums</w:t>
            </w:r>
          </w:p>
        </w:tc>
        <w:tc>
          <w:tcPr>
            <w:tcW w:w="6378" w:type="dxa"/>
            <w:vAlign w:val="center"/>
          </w:tcPr>
          <w:p w14:paraId="373CE0B0" w14:textId="263E78BA" w:rsidR="00F569D0" w:rsidRPr="00DF0BC7" w:rsidRDefault="00F569D0" w:rsidP="00F569D0">
            <w:pPr>
              <w:keepNext/>
              <w:keepLines/>
              <w:spacing w:before="240"/>
              <w:jc w:val="center"/>
              <w:outlineLvl w:val="0"/>
              <w:rPr>
                <w:rFonts w:eastAsiaTheme="majorEastAsia"/>
              </w:rPr>
            </w:pPr>
            <w:r w:rsidRPr="003E2EA2">
              <w:rPr>
                <w:rFonts w:eastAsia="Times New Roman"/>
                <w:b/>
                <w:sz w:val="28"/>
                <w:szCs w:val="28"/>
                <w:lang w:eastAsia="lv-LV"/>
              </w:rPr>
              <w:t>Atvieglojums par apgādībā esošu personu</w:t>
            </w:r>
          </w:p>
        </w:tc>
      </w:tr>
      <w:tr w:rsidR="00F569D0" w:rsidRPr="00DF0BC7" w14:paraId="092B650B" w14:textId="77777777" w:rsidTr="00F676B7">
        <w:trPr>
          <w:jc w:val="center"/>
        </w:trPr>
        <w:tc>
          <w:tcPr>
            <w:tcW w:w="3823" w:type="dxa"/>
          </w:tcPr>
          <w:p w14:paraId="386B973A" w14:textId="77777777" w:rsidR="00F569D0" w:rsidRPr="00DF0BC7" w:rsidRDefault="00F569D0" w:rsidP="00F569D0">
            <w:pPr>
              <w:keepNext/>
              <w:keepLines/>
              <w:spacing w:before="240"/>
              <w:jc w:val="center"/>
              <w:outlineLvl w:val="0"/>
              <w:rPr>
                <w:rFonts w:eastAsiaTheme="majorEastAsia"/>
              </w:rPr>
            </w:pPr>
            <w:r w:rsidRPr="00DF0BC7">
              <w:rPr>
                <w:rFonts w:eastAsiaTheme="majorEastAsia"/>
              </w:rPr>
              <w:t>N.p.k.</w:t>
            </w:r>
          </w:p>
        </w:tc>
        <w:tc>
          <w:tcPr>
            <w:tcW w:w="6378" w:type="dxa"/>
            <w:vAlign w:val="center"/>
          </w:tcPr>
          <w:p w14:paraId="12956AB5" w14:textId="2EAF2119" w:rsidR="00F569D0" w:rsidRPr="00DF0BC7" w:rsidRDefault="00F569D0" w:rsidP="00F569D0">
            <w:pPr>
              <w:keepNext/>
              <w:keepLines/>
              <w:spacing w:before="240"/>
              <w:jc w:val="center"/>
              <w:outlineLvl w:val="0"/>
              <w:rPr>
                <w:rFonts w:eastAsiaTheme="majorEastAsia"/>
              </w:rPr>
            </w:pPr>
            <w:r w:rsidRPr="003E2EA2">
              <w:rPr>
                <w:rFonts w:eastAsiaTheme="majorEastAsia"/>
                <w:b/>
                <w:sz w:val="28"/>
                <w:szCs w:val="28"/>
              </w:rPr>
              <w:t>1.1.3.</w:t>
            </w:r>
          </w:p>
        </w:tc>
      </w:tr>
    </w:tbl>
    <w:p w14:paraId="60D00ED1" w14:textId="77777777" w:rsidR="007B32EC" w:rsidRPr="00DF0BC7" w:rsidRDefault="007B32EC" w:rsidP="00DC3825">
      <w:pPr>
        <w:spacing w:after="0" w:line="240" w:lineRule="auto"/>
      </w:pPr>
    </w:p>
    <w:tbl>
      <w:tblPr>
        <w:tblStyle w:val="TableGrid"/>
        <w:tblW w:w="10348" w:type="dxa"/>
        <w:tblInd w:w="-572" w:type="dxa"/>
        <w:tblLayout w:type="fixed"/>
        <w:tblLook w:val="04A0" w:firstRow="1" w:lastRow="0" w:firstColumn="1" w:lastColumn="0" w:noHBand="0" w:noVBand="1"/>
      </w:tblPr>
      <w:tblGrid>
        <w:gridCol w:w="851"/>
        <w:gridCol w:w="2977"/>
        <w:gridCol w:w="4110"/>
        <w:gridCol w:w="851"/>
        <w:gridCol w:w="709"/>
        <w:gridCol w:w="850"/>
      </w:tblGrid>
      <w:tr w:rsidR="00F569D0" w:rsidRPr="000F4D7D" w14:paraId="427455E3" w14:textId="77777777" w:rsidTr="00221A1D">
        <w:tc>
          <w:tcPr>
            <w:tcW w:w="851" w:type="dxa"/>
          </w:tcPr>
          <w:p w14:paraId="28D54E21" w14:textId="13F7EE7C" w:rsidR="00F569D0" w:rsidRPr="000F4D7D" w:rsidRDefault="00F569D0" w:rsidP="00F569D0">
            <w:pPr>
              <w:jc w:val="center"/>
            </w:pPr>
          </w:p>
        </w:tc>
        <w:tc>
          <w:tcPr>
            <w:tcW w:w="2977" w:type="dxa"/>
          </w:tcPr>
          <w:p w14:paraId="1A23188A" w14:textId="77777777" w:rsidR="00F569D0" w:rsidRPr="00A46697" w:rsidRDefault="00F569D0" w:rsidP="00F569D0">
            <w:pPr>
              <w:spacing w:after="120"/>
              <w:jc w:val="both"/>
            </w:pPr>
            <w:r w:rsidRPr="00A46697">
              <w:t>Normatīvais akts</w:t>
            </w:r>
          </w:p>
        </w:tc>
        <w:tc>
          <w:tcPr>
            <w:tcW w:w="6520" w:type="dxa"/>
            <w:gridSpan w:val="4"/>
          </w:tcPr>
          <w:p w14:paraId="4F7123B9" w14:textId="78972B49" w:rsidR="00F569D0" w:rsidRPr="000F4D7D" w:rsidRDefault="00F569D0" w:rsidP="00F569D0">
            <w:pPr>
              <w:jc w:val="both"/>
            </w:pPr>
            <w:r w:rsidRPr="000F4D7D">
              <w:t>Likums “Par iedzīvotāju ienākuma nodokli”</w:t>
            </w:r>
          </w:p>
        </w:tc>
      </w:tr>
      <w:tr w:rsidR="00F569D0" w:rsidRPr="000F4D7D" w14:paraId="29D482CC" w14:textId="77777777" w:rsidTr="00221A1D">
        <w:tc>
          <w:tcPr>
            <w:tcW w:w="851" w:type="dxa"/>
          </w:tcPr>
          <w:p w14:paraId="040FAB9A" w14:textId="77777777" w:rsidR="00F569D0" w:rsidRPr="000F4D7D" w:rsidRDefault="00F569D0" w:rsidP="00F569D0">
            <w:pPr>
              <w:pStyle w:val="ListParagraph"/>
              <w:numPr>
                <w:ilvl w:val="0"/>
                <w:numId w:val="15"/>
              </w:numPr>
              <w:jc w:val="center"/>
            </w:pPr>
          </w:p>
        </w:tc>
        <w:tc>
          <w:tcPr>
            <w:tcW w:w="2977" w:type="dxa"/>
          </w:tcPr>
          <w:p w14:paraId="6836E705" w14:textId="77777777" w:rsidR="00F569D0" w:rsidRPr="00A46697" w:rsidRDefault="00F569D0" w:rsidP="00F569D0">
            <w:pPr>
              <w:spacing w:after="120"/>
              <w:jc w:val="both"/>
            </w:pPr>
            <w:r w:rsidRPr="00A46697">
              <w:t>Norma (likuma pants, panta daļa, punkts, apakšpunkts vai pārejas noteikumu punkts)</w:t>
            </w:r>
          </w:p>
        </w:tc>
        <w:tc>
          <w:tcPr>
            <w:tcW w:w="6520" w:type="dxa"/>
            <w:gridSpan w:val="4"/>
          </w:tcPr>
          <w:p w14:paraId="1D498DE0" w14:textId="5DF06921" w:rsidR="00F569D0" w:rsidRPr="000F4D7D" w:rsidRDefault="00F569D0" w:rsidP="00F569D0">
            <w:pPr>
              <w:jc w:val="both"/>
            </w:pPr>
            <w:r w:rsidRPr="000F4D7D">
              <w:t>Likuma 13.pants un uz likuma pamata izdotie 14.11.2017. MK noteikumi Nr.676 “Noteikumi par neapliekamā minimuma un nodokļa atvieglojuma apmēru iedzīvotāju ienākuma nodokļa aprēķināšanai”</w:t>
            </w:r>
          </w:p>
        </w:tc>
      </w:tr>
      <w:tr w:rsidR="00F569D0" w:rsidRPr="000F4D7D" w14:paraId="67E62F3C" w14:textId="77777777" w:rsidTr="00221A1D">
        <w:tc>
          <w:tcPr>
            <w:tcW w:w="851" w:type="dxa"/>
          </w:tcPr>
          <w:p w14:paraId="58AA9D55" w14:textId="77777777" w:rsidR="00F569D0" w:rsidRPr="000F4D7D" w:rsidRDefault="00F569D0" w:rsidP="00F569D0">
            <w:pPr>
              <w:pStyle w:val="ListParagraph"/>
              <w:numPr>
                <w:ilvl w:val="0"/>
                <w:numId w:val="15"/>
              </w:numPr>
              <w:jc w:val="center"/>
            </w:pPr>
          </w:p>
        </w:tc>
        <w:tc>
          <w:tcPr>
            <w:tcW w:w="2977" w:type="dxa"/>
          </w:tcPr>
          <w:p w14:paraId="24629BD3" w14:textId="5809DE67" w:rsidR="0000715B" w:rsidRPr="00A46697" w:rsidRDefault="00040003" w:rsidP="007D40C5">
            <w:pPr>
              <w:spacing w:after="120"/>
            </w:pPr>
            <w:r w:rsidRPr="007D40C5">
              <w:t>Nodokļa atvieglojuma būtība</w:t>
            </w:r>
            <w:r w:rsidR="00291177" w:rsidRPr="007D40C5">
              <w:t xml:space="preserve"> vai redakcija</w:t>
            </w:r>
          </w:p>
        </w:tc>
        <w:tc>
          <w:tcPr>
            <w:tcW w:w="6520" w:type="dxa"/>
            <w:gridSpan w:val="4"/>
          </w:tcPr>
          <w:p w14:paraId="1A08CF4B" w14:textId="118FDAED" w:rsidR="00040003" w:rsidRDefault="00915B58" w:rsidP="00915B58">
            <w:pPr>
              <w:jc w:val="both"/>
            </w:pPr>
            <w:r>
              <w:t xml:space="preserve">Ja nodokļa maksātāja apgādībā algas nodokļa grāmatiņā ir reģistrēta </w:t>
            </w:r>
            <w:r w:rsidR="00291177">
              <w:t xml:space="preserve">viena vai vairākas </w:t>
            </w:r>
            <w:r>
              <w:t>persona</w:t>
            </w:r>
            <w:r w:rsidR="00291177">
              <w:t>s</w:t>
            </w:r>
            <w:r>
              <w:t xml:space="preserve">, par kuru saskaņā ar likumu “Par iedzīvotāju ienākuma nodokli” var saņemt nodokļa atvieglojumu, nodokļa maksātāja ar IIN apliekamo ienākumu samazina par normatīvajos aktos noteikto summu (2020.gadā – par 250 </w:t>
            </w:r>
            <w:r w:rsidRPr="00915B58">
              <w:rPr>
                <w:i/>
              </w:rPr>
              <w:t>euro</w:t>
            </w:r>
            <w:r>
              <w:t xml:space="preserve"> mēnesī) par katru apgādībā esošo personu.</w:t>
            </w:r>
          </w:p>
          <w:p w14:paraId="66969B14" w14:textId="77777777" w:rsidR="00040003" w:rsidRDefault="00040003" w:rsidP="00F569D0">
            <w:pPr>
              <w:ind w:left="248" w:hanging="248"/>
              <w:jc w:val="both"/>
            </w:pPr>
          </w:p>
          <w:p w14:paraId="14BF6299" w14:textId="2D27EDCC" w:rsidR="00F569D0" w:rsidRPr="00EC6174" w:rsidRDefault="00F569D0" w:rsidP="00F569D0">
            <w:pPr>
              <w:ind w:left="248" w:hanging="248"/>
              <w:jc w:val="both"/>
            </w:pPr>
            <w:r w:rsidRPr="00EC6174">
              <w:t>Atvieglojums par ap</w:t>
            </w:r>
            <w:r w:rsidR="00291177">
              <w:t>gādībā esošu personu var piemērot</w:t>
            </w:r>
            <w:r w:rsidRPr="00EC6174">
              <w:t>:</w:t>
            </w:r>
          </w:p>
          <w:p w14:paraId="0D364BEC" w14:textId="77777777" w:rsidR="00F569D0" w:rsidRPr="00EC6174" w:rsidRDefault="00F569D0" w:rsidP="00F569D0">
            <w:pPr>
              <w:ind w:left="248" w:hanging="248"/>
              <w:jc w:val="both"/>
            </w:pPr>
            <w:r w:rsidRPr="00EC6174">
              <w:t>a)</w:t>
            </w:r>
            <w:r w:rsidRPr="00EC6174">
              <w:tab/>
              <w:t>par nepilngadīgu bērnu,</w:t>
            </w:r>
          </w:p>
          <w:p w14:paraId="770B4305" w14:textId="77777777" w:rsidR="00F569D0" w:rsidRPr="00EC6174" w:rsidRDefault="00F569D0" w:rsidP="00F569D0">
            <w:pPr>
              <w:ind w:left="248" w:hanging="248"/>
              <w:jc w:val="both"/>
            </w:pPr>
            <w:r w:rsidRPr="00EC6174">
              <w:t>b)</w:t>
            </w:r>
            <w:r w:rsidRPr="00EC6174">
              <w:tab/>
              <w:t>par bērnu, kamēr viņš turpina vispārējās, profesionālās, augstākās vai speciālās izglītības iegūšanu, bet ne ilgāk kā līdz 24 gadu vecuma sasniegšanai,</w:t>
            </w:r>
          </w:p>
          <w:p w14:paraId="0617100E" w14:textId="77777777" w:rsidR="00F569D0" w:rsidRPr="00EC6174" w:rsidRDefault="00F569D0" w:rsidP="00F569D0">
            <w:pPr>
              <w:ind w:left="248" w:hanging="248"/>
              <w:jc w:val="both"/>
            </w:pPr>
            <w:r w:rsidRPr="00EC6174">
              <w:t>c)</w:t>
            </w:r>
            <w:r w:rsidRPr="00EC6174">
              <w:tab/>
              <w:t>par mazbērnu vai audzināšanā paņemtu bērnu, ja no viņa vecākiem nav iespējams piedzīt uzturnaudu (alimentus), arī tikmēr, kamēr viņš turpina vispārējās, profesionālās, augs¬tākās vai speciālās izglītības iegūšanu, bet ne ilgāk kā līdz 24 gadu vecuma sasniegšanai,</w:t>
            </w:r>
          </w:p>
          <w:p w14:paraId="3DCF98AA" w14:textId="77777777" w:rsidR="00F569D0" w:rsidRPr="00EC6174" w:rsidRDefault="00F569D0" w:rsidP="00F569D0">
            <w:pPr>
              <w:ind w:left="248" w:hanging="248"/>
              <w:jc w:val="both"/>
            </w:pPr>
            <w:r w:rsidRPr="00EC6174">
              <w:t>d)</w:t>
            </w:r>
            <w:r w:rsidRPr="00EC6174">
              <w:tab/>
              <w:t>par nepilngadīgu brāli un māsu, kā arī par brāli un māsu, kamēr brālis un māsa turpina vispārējās, profesionālās, augstākās vai speciālās izglītības iegūšanu, bet ne ilgāk kā līdz 24 gadu vecuma sasniegšanai, ja viņiem nav darbaspējīgu vecāku,</w:t>
            </w:r>
          </w:p>
          <w:p w14:paraId="602098B5" w14:textId="77777777" w:rsidR="00F569D0" w:rsidRPr="00EC6174" w:rsidRDefault="00F569D0" w:rsidP="00F569D0">
            <w:pPr>
              <w:ind w:left="248" w:hanging="248"/>
              <w:jc w:val="both"/>
            </w:pPr>
            <w:r w:rsidRPr="00EC6174">
              <w:t>e)</w:t>
            </w:r>
            <w:r w:rsidRPr="00EC6174">
              <w:tab/>
              <w:t>par maksātāju aizbildnībā vai aizgādnībā esošu personu,</w:t>
            </w:r>
          </w:p>
          <w:p w14:paraId="5D8F479F" w14:textId="77777777" w:rsidR="00F569D0" w:rsidRPr="00EC6174" w:rsidRDefault="00F569D0" w:rsidP="00F569D0">
            <w:pPr>
              <w:ind w:left="248" w:hanging="248"/>
              <w:jc w:val="both"/>
            </w:pPr>
            <w:r w:rsidRPr="00EC6174">
              <w:t>f)</w:t>
            </w:r>
            <w:r w:rsidRPr="00EC6174">
              <w:tab/>
              <w:t>par augstāk minēto personu, kā arī nestrādājošu laulāto apgādībā esošu nepilngadīgu bērnu,</w:t>
            </w:r>
          </w:p>
          <w:p w14:paraId="5CBB7FDE" w14:textId="77777777" w:rsidR="00F569D0" w:rsidRPr="00EC6174" w:rsidRDefault="00F569D0" w:rsidP="00F569D0">
            <w:pPr>
              <w:ind w:left="248" w:hanging="248"/>
              <w:jc w:val="both"/>
            </w:pPr>
            <w:r w:rsidRPr="00EC6174">
              <w:t>g)</w:t>
            </w:r>
            <w:r w:rsidRPr="00EC6174">
              <w:tab/>
              <w:t xml:space="preserve">par laulāto, vecākiem, vecvecākiem un bērniem, kas sasnieguši 18 gadu vecumu, ja minētās personas nav strādājošas un </w:t>
            </w:r>
            <w:r w:rsidRPr="00EC6174">
              <w:lastRenderedPageBreak/>
              <w:t>saskaņā ar normatīvajiem aktiem ir atzītas par personām ar invaliditāti,</w:t>
            </w:r>
          </w:p>
          <w:p w14:paraId="20255113" w14:textId="77777777" w:rsidR="00F569D0" w:rsidRPr="00EC6174" w:rsidRDefault="00F569D0" w:rsidP="00F569D0">
            <w:pPr>
              <w:ind w:left="248" w:hanging="248"/>
              <w:jc w:val="both"/>
            </w:pPr>
            <w:r w:rsidRPr="00EC6174">
              <w:t>h)</w:t>
            </w:r>
            <w:r w:rsidRPr="00EC6174">
              <w:tab/>
              <w:t>par nestrādājošu laulāto, kura apgādībā ir nepilngadīgs bērns, kas saskaņā ar normatīvajiem aktiem ir atzīts par personu ar invaliditāti,</w:t>
            </w:r>
          </w:p>
          <w:p w14:paraId="52A40F2E" w14:textId="77777777" w:rsidR="00F569D0" w:rsidRPr="00EC6174" w:rsidRDefault="00F569D0" w:rsidP="00F569D0">
            <w:pPr>
              <w:ind w:left="248" w:hanging="248"/>
              <w:jc w:val="both"/>
            </w:pPr>
            <w:r w:rsidRPr="00EC6174">
              <w:t>i)</w:t>
            </w:r>
            <w:r w:rsidRPr="00EC6174">
              <w:tab/>
              <w:t>par nestrādājošu laulāto, kura apgādībā ir bērns vecumā līdz trim gadiem,</w:t>
            </w:r>
          </w:p>
          <w:p w14:paraId="7AE74A46" w14:textId="77777777" w:rsidR="00F569D0" w:rsidRPr="00EC6174" w:rsidRDefault="00F569D0" w:rsidP="00F569D0">
            <w:pPr>
              <w:ind w:left="248" w:hanging="248"/>
              <w:jc w:val="both"/>
            </w:pPr>
            <w:r w:rsidRPr="00EC6174">
              <w:t>j)</w:t>
            </w:r>
            <w:r w:rsidRPr="00EC6174">
              <w:tab/>
              <w:t>par nestrādājošu laulāto, kura apgādībā ir trīs vai vairāk bērni līdz 18 gadu vecumam vai līdz 24 gadu vecumam, no kuriem vismaz viens ir jaunāks par septiņiem gadiem, kamēr bērns turpina vispārējās, profesionālās, augstākās vai speciālās izglītības iegūšanu,</w:t>
            </w:r>
          </w:p>
          <w:p w14:paraId="16195538" w14:textId="77777777" w:rsidR="00F569D0" w:rsidRPr="00EC6174" w:rsidRDefault="00F569D0" w:rsidP="00F569D0">
            <w:pPr>
              <w:ind w:left="248" w:hanging="248"/>
              <w:jc w:val="both"/>
            </w:pPr>
            <w:r w:rsidRPr="00EC6174">
              <w:t>k)</w:t>
            </w:r>
            <w:r w:rsidRPr="00EC6174">
              <w:tab/>
              <w:t>par nestrādājošu laulāto, kura apgādībā ir pieci bērni līdz 18 gadu vecumam vai līdz 24 gadu vecumam, kamēr bērns turpina vispārējās, profesionālās, augstākās vai speciālās izglītības iegūšanu</w:t>
            </w:r>
          </w:p>
          <w:p w14:paraId="64E70D7F" w14:textId="77777777" w:rsidR="00F569D0" w:rsidRPr="00EC6174" w:rsidRDefault="00F569D0" w:rsidP="00F569D0">
            <w:pPr>
              <w:ind w:left="248" w:hanging="248"/>
              <w:jc w:val="both"/>
            </w:pPr>
          </w:p>
          <w:p w14:paraId="0EFDBE45" w14:textId="77777777" w:rsidR="00F569D0" w:rsidRDefault="00F569D0" w:rsidP="00F569D0">
            <w:pPr>
              <w:ind w:left="248" w:hanging="248"/>
              <w:jc w:val="center"/>
            </w:pPr>
            <w:r w:rsidRPr="00EC6174">
              <w:t xml:space="preserve">Nodokļa atvieglojuma apmērs </w:t>
            </w:r>
            <w:r>
              <w:t>2015. – 2020.gadā</w:t>
            </w:r>
          </w:p>
          <w:p w14:paraId="37791D95" w14:textId="77777777" w:rsidR="00F569D0" w:rsidRPr="004B44A6" w:rsidRDefault="00F569D0" w:rsidP="00F569D0">
            <w:pPr>
              <w:ind w:left="248" w:hanging="248"/>
              <w:jc w:val="center"/>
              <w:rPr>
                <w:sz w:val="12"/>
                <w:szCs w:val="12"/>
              </w:rPr>
            </w:pPr>
          </w:p>
          <w:tbl>
            <w:tblPr>
              <w:tblStyle w:val="TableGrid"/>
              <w:tblW w:w="0" w:type="auto"/>
              <w:tblInd w:w="32" w:type="dxa"/>
              <w:tblLayout w:type="fixed"/>
              <w:tblLook w:val="04A0" w:firstRow="1" w:lastRow="0" w:firstColumn="1" w:lastColumn="0" w:noHBand="0" w:noVBand="1"/>
            </w:tblPr>
            <w:tblGrid>
              <w:gridCol w:w="1091"/>
              <w:gridCol w:w="875"/>
              <w:gridCol w:w="876"/>
              <w:gridCol w:w="876"/>
              <w:gridCol w:w="876"/>
              <w:gridCol w:w="876"/>
              <w:gridCol w:w="876"/>
            </w:tblGrid>
            <w:tr w:rsidR="00F569D0" w14:paraId="1DAE6CD1" w14:textId="77777777" w:rsidTr="00A37856">
              <w:trPr>
                <w:trHeight w:val="266"/>
              </w:trPr>
              <w:tc>
                <w:tcPr>
                  <w:tcW w:w="1091" w:type="dxa"/>
                </w:tcPr>
                <w:p w14:paraId="3C709FAA" w14:textId="77777777" w:rsidR="00F569D0" w:rsidRPr="004B44A6" w:rsidRDefault="00F569D0" w:rsidP="00F569D0">
                  <w:pPr>
                    <w:jc w:val="center"/>
                    <w:rPr>
                      <w:b/>
                      <w:sz w:val="22"/>
                      <w:szCs w:val="22"/>
                    </w:rPr>
                  </w:pPr>
                  <w:r w:rsidRPr="004B44A6">
                    <w:rPr>
                      <w:b/>
                      <w:sz w:val="22"/>
                      <w:szCs w:val="22"/>
                    </w:rPr>
                    <w:t>Gads</w:t>
                  </w:r>
                </w:p>
              </w:tc>
              <w:tc>
                <w:tcPr>
                  <w:tcW w:w="875" w:type="dxa"/>
                </w:tcPr>
                <w:p w14:paraId="47AA21FC" w14:textId="77777777" w:rsidR="00F569D0" w:rsidRPr="004B44A6" w:rsidRDefault="00F569D0" w:rsidP="00F569D0">
                  <w:pPr>
                    <w:jc w:val="center"/>
                    <w:rPr>
                      <w:b/>
                      <w:sz w:val="22"/>
                      <w:szCs w:val="22"/>
                    </w:rPr>
                  </w:pPr>
                  <w:r w:rsidRPr="004B44A6">
                    <w:rPr>
                      <w:b/>
                      <w:sz w:val="22"/>
                      <w:szCs w:val="22"/>
                    </w:rPr>
                    <w:t>2015</w:t>
                  </w:r>
                </w:p>
              </w:tc>
              <w:tc>
                <w:tcPr>
                  <w:tcW w:w="876" w:type="dxa"/>
                </w:tcPr>
                <w:p w14:paraId="64E6A998" w14:textId="77777777" w:rsidR="00F569D0" w:rsidRPr="004B44A6" w:rsidRDefault="00F569D0" w:rsidP="00F569D0">
                  <w:pPr>
                    <w:jc w:val="center"/>
                    <w:rPr>
                      <w:b/>
                      <w:sz w:val="22"/>
                      <w:szCs w:val="22"/>
                    </w:rPr>
                  </w:pPr>
                  <w:r w:rsidRPr="004B44A6">
                    <w:rPr>
                      <w:b/>
                      <w:sz w:val="22"/>
                      <w:szCs w:val="22"/>
                    </w:rPr>
                    <w:t>2016</w:t>
                  </w:r>
                </w:p>
              </w:tc>
              <w:tc>
                <w:tcPr>
                  <w:tcW w:w="876" w:type="dxa"/>
                </w:tcPr>
                <w:p w14:paraId="00051F63" w14:textId="77777777" w:rsidR="00F569D0" w:rsidRPr="004B44A6" w:rsidRDefault="00F569D0" w:rsidP="00F569D0">
                  <w:pPr>
                    <w:jc w:val="center"/>
                    <w:rPr>
                      <w:b/>
                      <w:sz w:val="22"/>
                      <w:szCs w:val="22"/>
                    </w:rPr>
                  </w:pPr>
                  <w:r w:rsidRPr="004B44A6">
                    <w:rPr>
                      <w:b/>
                      <w:sz w:val="22"/>
                      <w:szCs w:val="22"/>
                    </w:rPr>
                    <w:t>2017</w:t>
                  </w:r>
                </w:p>
              </w:tc>
              <w:tc>
                <w:tcPr>
                  <w:tcW w:w="876" w:type="dxa"/>
                </w:tcPr>
                <w:p w14:paraId="5F91D368" w14:textId="77777777" w:rsidR="00F569D0" w:rsidRPr="004B44A6" w:rsidRDefault="00F569D0" w:rsidP="00F569D0">
                  <w:pPr>
                    <w:jc w:val="center"/>
                    <w:rPr>
                      <w:b/>
                      <w:sz w:val="22"/>
                      <w:szCs w:val="22"/>
                    </w:rPr>
                  </w:pPr>
                  <w:r w:rsidRPr="004B44A6">
                    <w:rPr>
                      <w:b/>
                      <w:sz w:val="22"/>
                      <w:szCs w:val="22"/>
                    </w:rPr>
                    <w:t>2018</w:t>
                  </w:r>
                </w:p>
              </w:tc>
              <w:tc>
                <w:tcPr>
                  <w:tcW w:w="876" w:type="dxa"/>
                </w:tcPr>
                <w:p w14:paraId="786830B2" w14:textId="77777777" w:rsidR="00F569D0" w:rsidRPr="004B44A6" w:rsidRDefault="00F569D0" w:rsidP="00F569D0">
                  <w:pPr>
                    <w:jc w:val="center"/>
                    <w:rPr>
                      <w:b/>
                      <w:sz w:val="22"/>
                      <w:szCs w:val="22"/>
                    </w:rPr>
                  </w:pPr>
                  <w:r w:rsidRPr="004B44A6">
                    <w:rPr>
                      <w:b/>
                      <w:sz w:val="22"/>
                      <w:szCs w:val="22"/>
                    </w:rPr>
                    <w:t>2019</w:t>
                  </w:r>
                </w:p>
              </w:tc>
              <w:tc>
                <w:tcPr>
                  <w:tcW w:w="876" w:type="dxa"/>
                </w:tcPr>
                <w:p w14:paraId="5021044A" w14:textId="77777777" w:rsidR="00F569D0" w:rsidRPr="004B44A6" w:rsidRDefault="00F569D0" w:rsidP="00F569D0">
                  <w:pPr>
                    <w:jc w:val="center"/>
                    <w:rPr>
                      <w:b/>
                      <w:sz w:val="22"/>
                      <w:szCs w:val="22"/>
                    </w:rPr>
                  </w:pPr>
                  <w:r w:rsidRPr="004B44A6">
                    <w:rPr>
                      <w:b/>
                      <w:sz w:val="22"/>
                      <w:szCs w:val="22"/>
                    </w:rPr>
                    <w:t>2020</w:t>
                  </w:r>
                </w:p>
              </w:tc>
            </w:tr>
            <w:tr w:rsidR="00F569D0" w14:paraId="703626EF" w14:textId="77777777" w:rsidTr="00A37856">
              <w:trPr>
                <w:trHeight w:val="266"/>
              </w:trPr>
              <w:tc>
                <w:tcPr>
                  <w:tcW w:w="1091" w:type="dxa"/>
                </w:tcPr>
                <w:p w14:paraId="479150E9" w14:textId="77777777" w:rsidR="00F569D0" w:rsidRPr="004B44A6" w:rsidRDefault="00F569D0" w:rsidP="00F569D0">
                  <w:pPr>
                    <w:spacing w:before="240"/>
                    <w:jc w:val="both"/>
                    <w:rPr>
                      <w:sz w:val="22"/>
                      <w:szCs w:val="22"/>
                    </w:rPr>
                  </w:pPr>
                  <w:r w:rsidRPr="004B44A6">
                    <w:rPr>
                      <w:sz w:val="22"/>
                      <w:szCs w:val="22"/>
                    </w:rPr>
                    <w:t xml:space="preserve">Apmērs </w:t>
                  </w:r>
                  <w:r w:rsidRPr="004B44A6">
                    <w:rPr>
                      <w:i/>
                      <w:sz w:val="22"/>
                      <w:szCs w:val="22"/>
                    </w:rPr>
                    <w:t>euro</w:t>
                  </w:r>
                </w:p>
              </w:tc>
              <w:tc>
                <w:tcPr>
                  <w:tcW w:w="875" w:type="dxa"/>
                </w:tcPr>
                <w:p w14:paraId="2CD9E352" w14:textId="77777777" w:rsidR="00F569D0" w:rsidRPr="004B44A6" w:rsidRDefault="00F569D0" w:rsidP="00F569D0">
                  <w:pPr>
                    <w:spacing w:before="240"/>
                    <w:jc w:val="center"/>
                    <w:rPr>
                      <w:sz w:val="22"/>
                      <w:szCs w:val="22"/>
                    </w:rPr>
                  </w:pPr>
                  <w:r>
                    <w:rPr>
                      <w:sz w:val="22"/>
                      <w:szCs w:val="22"/>
                    </w:rPr>
                    <w:t>165</w:t>
                  </w:r>
                </w:p>
              </w:tc>
              <w:tc>
                <w:tcPr>
                  <w:tcW w:w="876" w:type="dxa"/>
                </w:tcPr>
                <w:p w14:paraId="3DF2911D" w14:textId="77777777" w:rsidR="00F569D0" w:rsidRPr="004B44A6" w:rsidRDefault="00F569D0" w:rsidP="00F569D0">
                  <w:pPr>
                    <w:spacing w:before="240"/>
                    <w:jc w:val="center"/>
                    <w:rPr>
                      <w:sz w:val="22"/>
                      <w:szCs w:val="22"/>
                    </w:rPr>
                  </w:pPr>
                  <w:r>
                    <w:rPr>
                      <w:sz w:val="22"/>
                      <w:szCs w:val="22"/>
                    </w:rPr>
                    <w:t>175</w:t>
                  </w:r>
                </w:p>
              </w:tc>
              <w:tc>
                <w:tcPr>
                  <w:tcW w:w="876" w:type="dxa"/>
                </w:tcPr>
                <w:p w14:paraId="1DB5D496" w14:textId="77777777" w:rsidR="00F569D0" w:rsidRPr="004B44A6" w:rsidRDefault="00F569D0" w:rsidP="00F569D0">
                  <w:pPr>
                    <w:spacing w:before="240"/>
                    <w:jc w:val="center"/>
                    <w:rPr>
                      <w:sz w:val="22"/>
                      <w:szCs w:val="22"/>
                    </w:rPr>
                  </w:pPr>
                  <w:r>
                    <w:rPr>
                      <w:sz w:val="22"/>
                      <w:szCs w:val="22"/>
                    </w:rPr>
                    <w:t>175</w:t>
                  </w:r>
                </w:p>
              </w:tc>
              <w:tc>
                <w:tcPr>
                  <w:tcW w:w="876" w:type="dxa"/>
                </w:tcPr>
                <w:p w14:paraId="63A94A2B" w14:textId="77777777" w:rsidR="00F569D0" w:rsidRPr="004B44A6" w:rsidRDefault="00F569D0" w:rsidP="00F569D0">
                  <w:pPr>
                    <w:spacing w:before="240"/>
                    <w:jc w:val="center"/>
                    <w:rPr>
                      <w:sz w:val="22"/>
                      <w:szCs w:val="22"/>
                    </w:rPr>
                  </w:pPr>
                  <w:r>
                    <w:rPr>
                      <w:sz w:val="22"/>
                      <w:szCs w:val="22"/>
                    </w:rPr>
                    <w:t>200</w:t>
                  </w:r>
                </w:p>
              </w:tc>
              <w:tc>
                <w:tcPr>
                  <w:tcW w:w="876" w:type="dxa"/>
                </w:tcPr>
                <w:p w14:paraId="708F3EFE" w14:textId="77777777" w:rsidR="00F569D0" w:rsidRPr="004B44A6" w:rsidRDefault="00F569D0" w:rsidP="00F569D0">
                  <w:pPr>
                    <w:spacing w:before="240"/>
                    <w:jc w:val="center"/>
                    <w:rPr>
                      <w:sz w:val="22"/>
                      <w:szCs w:val="22"/>
                    </w:rPr>
                  </w:pPr>
                  <w:r>
                    <w:rPr>
                      <w:sz w:val="22"/>
                      <w:szCs w:val="22"/>
                    </w:rPr>
                    <w:t>230</w:t>
                  </w:r>
                </w:p>
              </w:tc>
              <w:tc>
                <w:tcPr>
                  <w:tcW w:w="876" w:type="dxa"/>
                </w:tcPr>
                <w:p w14:paraId="42707B47" w14:textId="77777777" w:rsidR="00F569D0" w:rsidRPr="004B44A6" w:rsidRDefault="00F569D0" w:rsidP="00F569D0">
                  <w:pPr>
                    <w:spacing w:before="240"/>
                    <w:jc w:val="center"/>
                    <w:rPr>
                      <w:sz w:val="22"/>
                      <w:szCs w:val="22"/>
                    </w:rPr>
                  </w:pPr>
                  <w:r>
                    <w:rPr>
                      <w:sz w:val="22"/>
                      <w:szCs w:val="22"/>
                    </w:rPr>
                    <w:t>250</w:t>
                  </w:r>
                </w:p>
              </w:tc>
            </w:tr>
          </w:tbl>
          <w:p w14:paraId="620EABEB" w14:textId="427CDE2A" w:rsidR="00F569D0" w:rsidRPr="00DF0BC7" w:rsidRDefault="00F569D0" w:rsidP="00F569D0">
            <w:pPr>
              <w:ind w:left="248" w:hanging="248"/>
              <w:jc w:val="both"/>
            </w:pPr>
          </w:p>
        </w:tc>
      </w:tr>
      <w:tr w:rsidR="00F569D0" w:rsidRPr="000F4D7D" w14:paraId="7CD164E7" w14:textId="77777777" w:rsidTr="00221A1D">
        <w:tc>
          <w:tcPr>
            <w:tcW w:w="851" w:type="dxa"/>
          </w:tcPr>
          <w:p w14:paraId="04AEFAF9" w14:textId="77777777" w:rsidR="00F569D0" w:rsidRPr="000F4D7D" w:rsidRDefault="00F569D0" w:rsidP="00F569D0">
            <w:pPr>
              <w:pStyle w:val="ListParagraph"/>
              <w:numPr>
                <w:ilvl w:val="0"/>
                <w:numId w:val="15"/>
              </w:numPr>
              <w:jc w:val="center"/>
            </w:pPr>
          </w:p>
        </w:tc>
        <w:tc>
          <w:tcPr>
            <w:tcW w:w="2977" w:type="dxa"/>
          </w:tcPr>
          <w:p w14:paraId="4CF84A05" w14:textId="69E80D3F" w:rsidR="00F569D0" w:rsidRPr="00A46697" w:rsidRDefault="00F569D0" w:rsidP="007D40C5">
            <w:pPr>
              <w:spacing w:after="120"/>
            </w:pPr>
            <w:r w:rsidRPr="00A46697">
              <w:t xml:space="preserve">Nodokļa atvieglojuma </w:t>
            </w:r>
            <w:r w:rsidRPr="005F01FA">
              <w:rPr>
                <w:i/>
              </w:rPr>
              <w:t xml:space="preserve">ieviešanas </w:t>
            </w:r>
            <w:r w:rsidRPr="00A46697">
              <w:t>mērķis</w:t>
            </w:r>
          </w:p>
        </w:tc>
        <w:tc>
          <w:tcPr>
            <w:tcW w:w="6520" w:type="dxa"/>
            <w:gridSpan w:val="4"/>
          </w:tcPr>
          <w:p w14:paraId="3B10F09C" w14:textId="7D0F124C" w:rsidR="00F569D0" w:rsidRPr="000F4D7D" w:rsidRDefault="00F569D0" w:rsidP="00F569D0">
            <w:pPr>
              <w:jc w:val="both"/>
            </w:pPr>
            <w:r w:rsidRPr="000F4D7D">
              <w:t xml:space="preserve">Mērķis ir </w:t>
            </w:r>
            <w:r>
              <w:t xml:space="preserve">sniegt finansiālu atbalstu, vienlaikus veicinot to nodokļa maksātāju nodarbinātību (un centienus gūt lielākus ienākumus), kuriem ir apgādībā esošs </w:t>
            </w:r>
            <w:r w:rsidRPr="000F4D7D">
              <w:t>ģimenes locekli</w:t>
            </w:r>
            <w:r>
              <w:t>s</w:t>
            </w:r>
            <w:r w:rsidRPr="000F4D7D">
              <w:t>, kam pašam nav ienākumu (bērn</w:t>
            </w:r>
            <w:r>
              <w:t>s</w:t>
            </w:r>
            <w:r w:rsidRPr="000F4D7D">
              <w:t xml:space="preserve"> un/vai laulāt</w:t>
            </w:r>
            <w:r>
              <w:t>ais</w:t>
            </w:r>
            <w:r w:rsidRPr="000F4D7D">
              <w:t xml:space="preserve">, kurš rūpējās par apgādājamiem). Līdz ar to, paaugstinās ģimenes </w:t>
            </w:r>
            <w:r>
              <w:t xml:space="preserve">kopējie </w:t>
            </w:r>
            <w:r w:rsidRPr="000F4D7D">
              <w:t>neto ienākumi</w:t>
            </w:r>
            <w:r>
              <w:t>, kā arī neto ienākums uz vienu ģimenes locekli</w:t>
            </w:r>
            <w:r w:rsidRPr="000F4D7D">
              <w:t xml:space="preserve">. </w:t>
            </w:r>
          </w:p>
          <w:p w14:paraId="13EB64D2" w14:textId="77777777" w:rsidR="00F569D0" w:rsidRDefault="00F569D0" w:rsidP="00F569D0">
            <w:pPr>
              <w:jc w:val="both"/>
            </w:pPr>
            <w:r>
              <w:t>A</w:t>
            </w:r>
            <w:r w:rsidRPr="000F4D7D">
              <w:t>tvieglojum</w:t>
            </w:r>
            <w:r>
              <w:t>a mērķis</w:t>
            </w:r>
            <w:r w:rsidRPr="000F4D7D">
              <w:t xml:space="preserve"> nav paredzēts palielināt </w:t>
            </w:r>
            <w:r>
              <w:t>MN vai potenciāli apgādībā esošo personu skaita pieaugumu.</w:t>
            </w:r>
          </w:p>
          <w:p w14:paraId="48877F17" w14:textId="092B4B92" w:rsidR="00F569D0" w:rsidRDefault="00F569D0" w:rsidP="00F569D0">
            <w:pPr>
              <w:jc w:val="both"/>
            </w:pPr>
            <w:r w:rsidRPr="000F4D7D">
              <w:t>Atvieglojums skatāms kopsakarā ar citiem valsts atbalsta instrumentiem ģimenēm (skat. 1</w:t>
            </w:r>
            <w:r w:rsidR="00546A7E">
              <w:t>2</w:t>
            </w:r>
            <w:r w:rsidRPr="000F4D7D">
              <w:t>. punktu)</w:t>
            </w:r>
          </w:p>
          <w:p w14:paraId="59E9E3B4" w14:textId="77777777" w:rsidR="00F569D0" w:rsidRPr="000F4D7D" w:rsidRDefault="00F569D0" w:rsidP="00F569D0">
            <w:pPr>
              <w:jc w:val="both"/>
            </w:pPr>
          </w:p>
        </w:tc>
      </w:tr>
      <w:tr w:rsidR="00F569D0" w:rsidRPr="000F4D7D" w14:paraId="40029AEC" w14:textId="77777777" w:rsidTr="00221A1D">
        <w:tc>
          <w:tcPr>
            <w:tcW w:w="851" w:type="dxa"/>
          </w:tcPr>
          <w:p w14:paraId="1B8EA165" w14:textId="77777777" w:rsidR="00F569D0" w:rsidRPr="000F4D7D" w:rsidRDefault="00F569D0" w:rsidP="00F569D0">
            <w:pPr>
              <w:pStyle w:val="ListParagraph"/>
              <w:numPr>
                <w:ilvl w:val="0"/>
                <w:numId w:val="15"/>
              </w:numPr>
              <w:jc w:val="center"/>
            </w:pPr>
          </w:p>
        </w:tc>
        <w:tc>
          <w:tcPr>
            <w:tcW w:w="2977" w:type="dxa"/>
          </w:tcPr>
          <w:p w14:paraId="49D25F4E" w14:textId="62972655" w:rsidR="00F569D0" w:rsidRPr="00A46697" w:rsidRDefault="00F569D0" w:rsidP="00F569D0">
            <w:pPr>
              <w:spacing w:after="120"/>
            </w:pPr>
            <w:r>
              <w:t>Nodokļa atvieglojuma atbilstība tā ieviešanas būtībai (vai nodokļa atvieglojums ir efektīvs)</w:t>
            </w:r>
          </w:p>
        </w:tc>
        <w:tc>
          <w:tcPr>
            <w:tcW w:w="6520" w:type="dxa"/>
            <w:gridSpan w:val="4"/>
          </w:tcPr>
          <w:p w14:paraId="269F1558" w14:textId="750C905F" w:rsidR="00F569D0" w:rsidRPr="000F4D7D" w:rsidRDefault="00B01BDE" w:rsidP="008250BD">
            <w:pPr>
              <w:jc w:val="both"/>
            </w:pPr>
            <w:r>
              <w:t xml:space="preserve">Nodokļa atvieglojums ir efektīvs, </w:t>
            </w:r>
            <w:r w:rsidR="00291177">
              <w:t>jo palielina maksātāja rīcībā paliekošos pēcnodokļu ienākumus atbilstoši maksātāja apgādībā esošo personu skaitam</w:t>
            </w:r>
            <w:r w:rsidR="008250BD">
              <w:t xml:space="preserve"> (informāciju par atvieglojuma efektivitāti ierobežojošiem faktoriem skat. 10.punktā).</w:t>
            </w:r>
            <w:r w:rsidR="00291177">
              <w:t xml:space="preserve"> </w:t>
            </w:r>
          </w:p>
        </w:tc>
      </w:tr>
      <w:tr w:rsidR="00F569D0" w:rsidRPr="000F4D7D" w14:paraId="0874ECC8" w14:textId="77777777" w:rsidTr="00221A1D">
        <w:trPr>
          <w:trHeight w:val="699"/>
        </w:trPr>
        <w:tc>
          <w:tcPr>
            <w:tcW w:w="851" w:type="dxa"/>
          </w:tcPr>
          <w:p w14:paraId="4188ACB9" w14:textId="77777777" w:rsidR="00F569D0" w:rsidRPr="000F4D7D" w:rsidRDefault="00F569D0" w:rsidP="00F569D0">
            <w:pPr>
              <w:pStyle w:val="ListParagraph"/>
              <w:numPr>
                <w:ilvl w:val="0"/>
                <w:numId w:val="15"/>
              </w:numPr>
              <w:jc w:val="center"/>
            </w:pPr>
          </w:p>
        </w:tc>
        <w:tc>
          <w:tcPr>
            <w:tcW w:w="2977" w:type="dxa"/>
          </w:tcPr>
          <w:p w14:paraId="33571DBC" w14:textId="38F3F183" w:rsidR="00F569D0" w:rsidRPr="00A46697" w:rsidRDefault="00027F30" w:rsidP="00027F30">
            <w:pPr>
              <w:spacing w:after="120"/>
            </w:pPr>
            <w:r>
              <w:t>N</w:t>
            </w:r>
            <w:r w:rsidR="00F569D0" w:rsidRPr="00A46697">
              <w:t>odok</w:t>
            </w:r>
            <w:r>
              <w:t>ļa maksātāju skaits, kuri saņem</w:t>
            </w:r>
            <w:r w:rsidR="00F569D0" w:rsidRPr="00A46697">
              <w:t xml:space="preserve"> nodokļa atvieglojumu,</w:t>
            </w:r>
            <w:r>
              <w:t xml:space="preserve"> pēdējo</w:t>
            </w:r>
            <w:r w:rsidR="00F569D0" w:rsidRPr="00A46697">
              <w:t xml:space="preserve"> trīs gadu periodā</w:t>
            </w:r>
          </w:p>
        </w:tc>
        <w:tc>
          <w:tcPr>
            <w:tcW w:w="6520" w:type="dxa"/>
            <w:gridSpan w:val="4"/>
          </w:tcPr>
          <w:p w14:paraId="6262243B" w14:textId="23E62E97" w:rsidR="00F569D0" w:rsidRPr="00F569D0" w:rsidRDefault="00F569D0" w:rsidP="00F569D0">
            <w:pPr>
              <w:spacing w:after="120"/>
              <w:rPr>
                <w:szCs w:val="22"/>
                <w:u w:val="single"/>
                <w:lang w:eastAsia="lv-LV"/>
              </w:rPr>
            </w:pPr>
            <w:r w:rsidRPr="00F569D0">
              <w:rPr>
                <w:szCs w:val="22"/>
                <w:u w:val="single"/>
                <w:lang w:eastAsia="lv-LV"/>
              </w:rPr>
              <w:t>Esošais nodokļa maksātāju skaits:</w:t>
            </w:r>
          </w:p>
          <w:p w14:paraId="304838FB" w14:textId="77777777" w:rsidR="006E7920" w:rsidRPr="006D3110" w:rsidRDefault="006E7920" w:rsidP="006E7920">
            <w:pPr>
              <w:jc w:val="both"/>
              <w:rPr>
                <w:lang w:eastAsia="lv-LV"/>
              </w:rPr>
            </w:pPr>
            <w:r w:rsidRPr="006D3110">
              <w:rPr>
                <w:lang w:eastAsia="lv-LV"/>
              </w:rPr>
              <w:t>Pēc VID sniegtajiem datiem (</w:t>
            </w:r>
            <w:r w:rsidRPr="006D3110">
              <w:rPr>
                <w:i/>
                <w:lang w:eastAsia="lv-LV"/>
              </w:rPr>
              <w:t>dati uz 20.08.2019</w:t>
            </w:r>
            <w:r w:rsidRPr="006D3110">
              <w:rPr>
                <w:lang w:eastAsia="lv-LV"/>
              </w:rPr>
              <w:t xml:space="preserve">.) apgādībā esošo personu skaits uz 2019.gada 1.janvāri kopā bija 322 665 personas, tajā skaitā pieaugušie (vismaz 18 gadus veci) 27 877 personas. </w:t>
            </w:r>
          </w:p>
          <w:p w14:paraId="5DBEBB77" w14:textId="77777777" w:rsidR="006E7920" w:rsidRPr="006D3110" w:rsidRDefault="006E7920" w:rsidP="006E7920">
            <w:pPr>
              <w:rPr>
                <w:lang w:eastAsia="lv-LV"/>
              </w:rPr>
            </w:pPr>
          </w:p>
          <w:tbl>
            <w:tblPr>
              <w:tblW w:w="64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18"/>
              <w:gridCol w:w="990"/>
              <w:gridCol w:w="990"/>
              <w:gridCol w:w="990"/>
            </w:tblGrid>
            <w:tr w:rsidR="006E7920" w:rsidRPr="006D3110" w14:paraId="32DEAEDA" w14:textId="77777777" w:rsidTr="00B87301">
              <w:trPr>
                <w:trHeight w:val="121"/>
              </w:trPr>
              <w:tc>
                <w:tcPr>
                  <w:tcW w:w="3518" w:type="dxa"/>
                  <w:tcBorders>
                    <w:top w:val="single" w:sz="12" w:space="0" w:color="auto"/>
                    <w:left w:val="single" w:sz="12" w:space="0" w:color="auto"/>
                    <w:bottom w:val="single" w:sz="12" w:space="0" w:color="auto"/>
                    <w:right w:val="single" w:sz="4" w:space="0" w:color="FFFFFF" w:themeColor="background1"/>
                  </w:tcBorders>
                  <w:shd w:val="clear" w:color="auto" w:fill="002060"/>
                  <w:noWrap/>
                  <w:vAlign w:val="center"/>
                  <w:hideMark/>
                </w:tcPr>
                <w:p w14:paraId="792AAC9A" w14:textId="0F49C72D" w:rsidR="006E7920" w:rsidRPr="006D3110" w:rsidRDefault="006E7920" w:rsidP="006E7920">
                  <w:pPr>
                    <w:spacing w:after="0" w:line="240" w:lineRule="auto"/>
                    <w:jc w:val="center"/>
                    <w:rPr>
                      <w:rFonts w:eastAsia="Times New Roman"/>
                      <w:b/>
                      <w:bCs/>
                      <w:sz w:val="20"/>
                      <w:szCs w:val="20"/>
                      <w:lang w:eastAsia="lv-LV"/>
                    </w:rPr>
                  </w:pPr>
                  <w:r w:rsidRPr="006D3110">
                    <w:rPr>
                      <w:rFonts w:eastAsia="Times New Roman"/>
                      <w:b/>
                      <w:bCs/>
                      <w:sz w:val="20"/>
                      <w:szCs w:val="20"/>
                      <w:lang w:eastAsia="lv-LV"/>
                    </w:rPr>
                    <w:t>Fizisko personu skaits, kas izmantojuši IIN atvieglojumu 2016. – 2018.gadā</w:t>
                  </w:r>
                  <w:r>
                    <w:rPr>
                      <w:rStyle w:val="FootnoteReference"/>
                      <w:rFonts w:eastAsia="Times New Roman"/>
                      <w:b/>
                      <w:bCs/>
                      <w:sz w:val="20"/>
                      <w:szCs w:val="20"/>
                      <w:lang w:eastAsia="lv-LV"/>
                    </w:rPr>
                    <w:footnoteReference w:id="1"/>
                  </w:r>
                  <w:r w:rsidRPr="006D3110">
                    <w:rPr>
                      <w:rFonts w:eastAsia="Times New Roman"/>
                      <w:b/>
                      <w:bCs/>
                      <w:sz w:val="20"/>
                      <w:szCs w:val="20"/>
                      <w:lang w:eastAsia="lv-LV"/>
                    </w:rPr>
                    <w:t xml:space="preserve">, </w:t>
                  </w:r>
                  <w:r w:rsidRPr="006D3110">
                    <w:rPr>
                      <w:rFonts w:eastAsia="Times New Roman"/>
                      <w:b/>
                      <w:bCs/>
                      <w:i/>
                      <w:sz w:val="20"/>
                      <w:szCs w:val="20"/>
                      <w:lang w:eastAsia="lv-LV"/>
                    </w:rPr>
                    <w:t>tūkst.</w:t>
                  </w:r>
                </w:p>
              </w:tc>
              <w:tc>
                <w:tcPr>
                  <w:tcW w:w="99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2060"/>
                  <w:noWrap/>
                  <w:vAlign w:val="center"/>
                  <w:hideMark/>
                </w:tcPr>
                <w:p w14:paraId="752C911E" w14:textId="77777777" w:rsidR="006E7920" w:rsidRPr="006D3110" w:rsidRDefault="006E7920" w:rsidP="006E7920">
                  <w:pPr>
                    <w:spacing w:after="0" w:line="240" w:lineRule="auto"/>
                    <w:jc w:val="center"/>
                    <w:rPr>
                      <w:rFonts w:eastAsia="Times New Roman"/>
                      <w:b/>
                      <w:bCs/>
                      <w:sz w:val="20"/>
                      <w:szCs w:val="20"/>
                      <w:lang w:eastAsia="lv-LV"/>
                    </w:rPr>
                  </w:pPr>
                  <w:r w:rsidRPr="006D3110">
                    <w:rPr>
                      <w:rFonts w:eastAsia="Times New Roman"/>
                      <w:b/>
                      <w:bCs/>
                      <w:sz w:val="20"/>
                      <w:szCs w:val="20"/>
                      <w:lang w:eastAsia="lv-LV"/>
                    </w:rPr>
                    <w:t>2016</w:t>
                  </w:r>
                </w:p>
              </w:tc>
              <w:tc>
                <w:tcPr>
                  <w:tcW w:w="99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2060"/>
                  <w:noWrap/>
                  <w:vAlign w:val="center"/>
                  <w:hideMark/>
                </w:tcPr>
                <w:p w14:paraId="49C831CC" w14:textId="77777777" w:rsidR="006E7920" w:rsidRPr="006D3110" w:rsidRDefault="006E7920" w:rsidP="006E7920">
                  <w:pPr>
                    <w:spacing w:after="0" w:line="240" w:lineRule="auto"/>
                    <w:jc w:val="center"/>
                    <w:rPr>
                      <w:rFonts w:eastAsia="Times New Roman"/>
                      <w:b/>
                      <w:bCs/>
                      <w:sz w:val="20"/>
                      <w:szCs w:val="20"/>
                      <w:lang w:eastAsia="lv-LV"/>
                    </w:rPr>
                  </w:pPr>
                  <w:r w:rsidRPr="006D3110">
                    <w:rPr>
                      <w:rFonts w:eastAsia="Times New Roman"/>
                      <w:b/>
                      <w:bCs/>
                      <w:sz w:val="20"/>
                      <w:szCs w:val="20"/>
                      <w:lang w:eastAsia="lv-LV"/>
                    </w:rPr>
                    <w:t>2017</w:t>
                  </w:r>
                </w:p>
              </w:tc>
              <w:tc>
                <w:tcPr>
                  <w:tcW w:w="990" w:type="dxa"/>
                  <w:tcBorders>
                    <w:top w:val="single" w:sz="12" w:space="0" w:color="auto"/>
                    <w:left w:val="single" w:sz="4" w:space="0" w:color="FFFFFF" w:themeColor="background1"/>
                    <w:bottom w:val="single" w:sz="12" w:space="0" w:color="auto"/>
                    <w:right w:val="single" w:sz="12" w:space="0" w:color="auto"/>
                  </w:tcBorders>
                  <w:shd w:val="clear" w:color="auto" w:fill="002060"/>
                  <w:noWrap/>
                  <w:vAlign w:val="center"/>
                  <w:hideMark/>
                </w:tcPr>
                <w:p w14:paraId="202B295E" w14:textId="77777777" w:rsidR="006E7920" w:rsidRPr="006D3110" w:rsidRDefault="006E7920" w:rsidP="006E7920">
                  <w:pPr>
                    <w:spacing w:after="0" w:line="240" w:lineRule="auto"/>
                    <w:jc w:val="center"/>
                    <w:rPr>
                      <w:rFonts w:eastAsia="Times New Roman"/>
                      <w:b/>
                      <w:bCs/>
                      <w:sz w:val="20"/>
                      <w:szCs w:val="20"/>
                      <w:lang w:eastAsia="lv-LV"/>
                    </w:rPr>
                  </w:pPr>
                  <w:r w:rsidRPr="006D3110">
                    <w:rPr>
                      <w:rFonts w:eastAsia="Times New Roman"/>
                      <w:b/>
                      <w:bCs/>
                      <w:sz w:val="20"/>
                      <w:szCs w:val="20"/>
                      <w:lang w:eastAsia="lv-LV"/>
                    </w:rPr>
                    <w:t>2018</w:t>
                  </w:r>
                </w:p>
              </w:tc>
            </w:tr>
            <w:tr w:rsidR="006E7920" w:rsidRPr="006D3110" w14:paraId="27B3E7DA" w14:textId="77777777" w:rsidTr="00B87301">
              <w:trPr>
                <w:trHeight w:val="74"/>
              </w:trPr>
              <w:tc>
                <w:tcPr>
                  <w:tcW w:w="3518" w:type="dxa"/>
                  <w:tcBorders>
                    <w:left w:val="single" w:sz="12" w:space="0" w:color="auto"/>
                  </w:tcBorders>
                  <w:shd w:val="clear" w:color="auto" w:fill="auto"/>
                  <w:vAlign w:val="center"/>
                  <w:hideMark/>
                </w:tcPr>
                <w:p w14:paraId="23E6A169" w14:textId="77777777" w:rsidR="006E7920" w:rsidRPr="006D3110" w:rsidRDefault="006E7920" w:rsidP="006E7920">
                  <w:pPr>
                    <w:spacing w:after="0" w:line="240" w:lineRule="auto"/>
                    <w:rPr>
                      <w:rFonts w:eastAsia="Times New Roman"/>
                      <w:sz w:val="20"/>
                      <w:szCs w:val="20"/>
                      <w:lang w:eastAsia="lv-LV"/>
                    </w:rPr>
                  </w:pPr>
                  <w:r w:rsidRPr="006D3110">
                    <w:rPr>
                      <w:rFonts w:eastAsia="Times New Roman"/>
                      <w:sz w:val="20"/>
                      <w:szCs w:val="20"/>
                      <w:lang w:eastAsia="lv-LV"/>
                    </w:rPr>
                    <w:t>Atvieglojums par apgādībā esošām personām</w:t>
                  </w:r>
                </w:p>
              </w:tc>
              <w:tc>
                <w:tcPr>
                  <w:tcW w:w="990" w:type="dxa"/>
                  <w:shd w:val="clear" w:color="auto" w:fill="auto"/>
                  <w:noWrap/>
                  <w:vAlign w:val="center"/>
                </w:tcPr>
                <w:p w14:paraId="61CB062B" w14:textId="77777777" w:rsidR="006E7920" w:rsidRPr="006D3110" w:rsidRDefault="006E7920" w:rsidP="006E7920">
                  <w:pPr>
                    <w:spacing w:after="0" w:line="240" w:lineRule="auto"/>
                    <w:jc w:val="center"/>
                    <w:rPr>
                      <w:rFonts w:eastAsia="Times New Roman"/>
                      <w:sz w:val="20"/>
                      <w:szCs w:val="20"/>
                      <w:lang w:eastAsia="lv-LV"/>
                    </w:rPr>
                  </w:pPr>
                  <w:r w:rsidRPr="006D3110">
                    <w:rPr>
                      <w:rFonts w:eastAsia="Times New Roman"/>
                      <w:sz w:val="20"/>
                      <w:szCs w:val="20"/>
                      <w:lang w:eastAsia="lv-LV"/>
                    </w:rPr>
                    <w:t>211,7</w:t>
                  </w:r>
                </w:p>
              </w:tc>
              <w:tc>
                <w:tcPr>
                  <w:tcW w:w="990" w:type="dxa"/>
                  <w:shd w:val="clear" w:color="auto" w:fill="auto"/>
                  <w:noWrap/>
                  <w:vAlign w:val="center"/>
                </w:tcPr>
                <w:p w14:paraId="44B89555" w14:textId="77777777" w:rsidR="006E7920" w:rsidRPr="006D3110" w:rsidRDefault="006E7920" w:rsidP="006E7920">
                  <w:pPr>
                    <w:spacing w:after="0" w:line="240" w:lineRule="auto"/>
                    <w:jc w:val="center"/>
                    <w:rPr>
                      <w:rFonts w:eastAsia="Times New Roman"/>
                      <w:sz w:val="20"/>
                      <w:szCs w:val="20"/>
                      <w:lang w:eastAsia="lv-LV"/>
                    </w:rPr>
                  </w:pPr>
                  <w:r w:rsidRPr="006D3110">
                    <w:rPr>
                      <w:rFonts w:eastAsia="Times New Roman"/>
                      <w:sz w:val="20"/>
                      <w:szCs w:val="20"/>
                      <w:lang w:eastAsia="lv-LV"/>
                    </w:rPr>
                    <w:t>212,4</w:t>
                  </w:r>
                </w:p>
              </w:tc>
              <w:tc>
                <w:tcPr>
                  <w:tcW w:w="990" w:type="dxa"/>
                  <w:tcBorders>
                    <w:right w:val="single" w:sz="12" w:space="0" w:color="auto"/>
                  </w:tcBorders>
                  <w:shd w:val="clear" w:color="auto" w:fill="auto"/>
                  <w:noWrap/>
                  <w:vAlign w:val="center"/>
                </w:tcPr>
                <w:p w14:paraId="7845C56D" w14:textId="77777777" w:rsidR="006E7920" w:rsidRPr="006D3110" w:rsidRDefault="006E7920" w:rsidP="006E7920">
                  <w:pPr>
                    <w:spacing w:after="0" w:line="240" w:lineRule="auto"/>
                    <w:jc w:val="center"/>
                    <w:rPr>
                      <w:rFonts w:eastAsia="Times New Roman"/>
                      <w:sz w:val="20"/>
                      <w:szCs w:val="20"/>
                      <w:lang w:eastAsia="lv-LV"/>
                    </w:rPr>
                  </w:pPr>
                  <w:r w:rsidRPr="006D3110">
                    <w:rPr>
                      <w:rFonts w:eastAsia="Times New Roman"/>
                      <w:sz w:val="20"/>
                      <w:szCs w:val="20"/>
                      <w:lang w:eastAsia="lv-LV"/>
                    </w:rPr>
                    <w:t>215,8</w:t>
                  </w:r>
                </w:p>
              </w:tc>
            </w:tr>
          </w:tbl>
          <w:p w14:paraId="2C1A4FD2" w14:textId="4DC1F634" w:rsidR="006E7920" w:rsidRPr="008C2B2D" w:rsidRDefault="006E7920" w:rsidP="008C2B2D">
            <w:pPr>
              <w:spacing w:before="60"/>
              <w:contextualSpacing/>
              <w:rPr>
                <w:i/>
                <w:sz w:val="20"/>
                <w:szCs w:val="18"/>
                <w:lang w:eastAsia="lv-LV"/>
              </w:rPr>
            </w:pPr>
            <w:r w:rsidRPr="006D3110">
              <w:rPr>
                <w:b/>
                <w:i/>
                <w:sz w:val="20"/>
                <w:szCs w:val="18"/>
                <w:lang w:eastAsia="lv-LV"/>
              </w:rPr>
              <w:t xml:space="preserve">Avots: </w:t>
            </w:r>
            <w:r w:rsidRPr="006D3110">
              <w:rPr>
                <w:i/>
                <w:sz w:val="20"/>
                <w:szCs w:val="18"/>
                <w:lang w:eastAsia="lv-LV"/>
              </w:rPr>
              <w:t>VID dati uz 19.09.2019.</w:t>
            </w:r>
          </w:p>
        </w:tc>
      </w:tr>
      <w:tr w:rsidR="00F569D0" w:rsidRPr="000F4D7D" w14:paraId="7F5C5AB6" w14:textId="77777777" w:rsidTr="00221A1D">
        <w:trPr>
          <w:trHeight w:val="2957"/>
        </w:trPr>
        <w:tc>
          <w:tcPr>
            <w:tcW w:w="851" w:type="dxa"/>
          </w:tcPr>
          <w:p w14:paraId="08AC5EB2" w14:textId="77777777" w:rsidR="00F569D0" w:rsidRPr="000F4D7D" w:rsidRDefault="00F569D0" w:rsidP="00F569D0">
            <w:pPr>
              <w:pStyle w:val="ListParagraph"/>
              <w:numPr>
                <w:ilvl w:val="0"/>
                <w:numId w:val="15"/>
              </w:numPr>
              <w:jc w:val="center"/>
            </w:pPr>
          </w:p>
        </w:tc>
        <w:tc>
          <w:tcPr>
            <w:tcW w:w="2977" w:type="dxa"/>
          </w:tcPr>
          <w:p w14:paraId="57B98251" w14:textId="17BBED62" w:rsidR="00F569D0" w:rsidRPr="00A46697" w:rsidRDefault="008C2B2D" w:rsidP="008C2B2D">
            <w:pPr>
              <w:spacing w:after="120"/>
            </w:pPr>
            <w:r>
              <w:t>Nodokļa</w:t>
            </w:r>
            <w:r w:rsidR="00F569D0" w:rsidRPr="00A46697">
              <w:t xml:space="preserve"> atvieglojuma fiskālā ietekme</w:t>
            </w:r>
            <w:r>
              <w:t xml:space="preserve"> pēdējo</w:t>
            </w:r>
            <w:r w:rsidR="00F569D0" w:rsidRPr="00A46697">
              <w:t xml:space="preserve"> trīs gadu periodā</w:t>
            </w:r>
          </w:p>
        </w:tc>
        <w:tc>
          <w:tcPr>
            <w:tcW w:w="6520" w:type="dxa"/>
            <w:gridSpan w:val="4"/>
          </w:tcPr>
          <w:p w14:paraId="5B03D26F" w14:textId="0BD7E834" w:rsidR="00F569D0" w:rsidRPr="00B01BDE" w:rsidRDefault="008C2B2D" w:rsidP="00F569D0">
            <w:pPr>
              <w:rPr>
                <w:u w:val="single"/>
              </w:rPr>
            </w:pPr>
            <w:r>
              <w:rPr>
                <w:u w:val="single"/>
              </w:rPr>
              <w:t>N</w:t>
            </w:r>
            <w:r w:rsidR="00B01BDE" w:rsidRPr="00B01BDE">
              <w:rPr>
                <w:u w:val="single"/>
              </w:rPr>
              <w:t>odokļa atvieglojuma fiskālā ietekme</w:t>
            </w:r>
            <w:r w:rsidR="00B01BDE">
              <w:rPr>
                <w:u w:val="single"/>
              </w:rPr>
              <w:t>:</w:t>
            </w:r>
          </w:p>
          <w:p w14:paraId="316D6CC3" w14:textId="77777777" w:rsidR="00B01BDE" w:rsidRDefault="00B01BDE" w:rsidP="00F569D0"/>
          <w:tbl>
            <w:tblPr>
              <w:tblW w:w="6118" w:type="dxa"/>
              <w:tblLayout w:type="fixed"/>
              <w:tblLook w:val="04A0" w:firstRow="1" w:lastRow="0" w:firstColumn="1" w:lastColumn="0" w:noHBand="0" w:noVBand="1"/>
            </w:tblPr>
            <w:tblGrid>
              <w:gridCol w:w="1694"/>
              <w:gridCol w:w="567"/>
              <w:gridCol w:w="567"/>
              <w:gridCol w:w="708"/>
              <w:gridCol w:w="567"/>
              <w:gridCol w:w="709"/>
              <w:gridCol w:w="631"/>
              <w:gridCol w:w="675"/>
            </w:tblGrid>
            <w:tr w:rsidR="00B01BDE" w:rsidRPr="0017044E" w14:paraId="33AD7B8D" w14:textId="77777777" w:rsidTr="00221A1D">
              <w:trPr>
                <w:trHeight w:val="86"/>
                <w:tblHeader/>
              </w:trPr>
              <w:tc>
                <w:tcPr>
                  <w:tcW w:w="1694" w:type="dxa"/>
                  <w:vMerge w:val="restart"/>
                  <w:tcBorders>
                    <w:top w:val="single" w:sz="12" w:space="0" w:color="auto"/>
                    <w:left w:val="single" w:sz="12" w:space="0" w:color="auto"/>
                    <w:bottom w:val="single" w:sz="4" w:space="0" w:color="FFFFFF" w:themeColor="background1"/>
                    <w:right w:val="single" w:sz="4" w:space="0" w:color="FFFFFF" w:themeColor="background1"/>
                  </w:tcBorders>
                  <w:shd w:val="clear" w:color="auto" w:fill="002060"/>
                  <w:noWrap/>
                  <w:vAlign w:val="center"/>
                  <w:hideMark/>
                </w:tcPr>
                <w:p w14:paraId="3CACD4DA" w14:textId="77777777" w:rsidR="00B01BDE" w:rsidRPr="0017044E" w:rsidRDefault="00B01BDE" w:rsidP="00B01BDE">
                  <w:pPr>
                    <w:spacing w:after="0" w:line="240" w:lineRule="auto"/>
                    <w:jc w:val="center"/>
                    <w:rPr>
                      <w:rFonts w:eastAsia="Times New Roman"/>
                      <w:b/>
                      <w:color w:val="FFFFFF" w:themeColor="background1"/>
                      <w:sz w:val="14"/>
                      <w:szCs w:val="14"/>
                      <w:lang w:eastAsia="lv-LV"/>
                    </w:rPr>
                  </w:pPr>
                  <w:r w:rsidRPr="0017044E">
                    <w:rPr>
                      <w:rFonts w:eastAsia="Times New Roman"/>
                      <w:b/>
                      <w:color w:val="FFFFFF" w:themeColor="background1"/>
                      <w:sz w:val="14"/>
                      <w:szCs w:val="14"/>
                      <w:lang w:eastAsia="lv-LV"/>
                    </w:rPr>
                    <w:t xml:space="preserve">Nodokļa atvieglojuma apmērs </w:t>
                  </w:r>
                </w:p>
              </w:tc>
              <w:tc>
                <w:tcPr>
                  <w:tcW w:w="567" w:type="dxa"/>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D6E7195" w14:textId="77777777" w:rsidR="00B01BDE" w:rsidRPr="0017044E" w:rsidRDefault="00B01BDE" w:rsidP="00B01BDE">
                  <w:pPr>
                    <w:spacing w:after="0" w:line="240" w:lineRule="auto"/>
                    <w:jc w:val="center"/>
                    <w:rPr>
                      <w:rFonts w:eastAsia="Times New Roman"/>
                      <w:b/>
                      <w:bCs/>
                      <w:color w:val="FFFFFF" w:themeColor="background1"/>
                      <w:sz w:val="14"/>
                      <w:szCs w:val="14"/>
                      <w:lang w:eastAsia="lv-LV"/>
                    </w:rPr>
                  </w:pPr>
                  <w:r w:rsidRPr="0017044E">
                    <w:rPr>
                      <w:rFonts w:eastAsia="Times New Roman"/>
                      <w:b/>
                      <w:bCs/>
                      <w:color w:val="FFFFFF" w:themeColor="background1"/>
                      <w:sz w:val="14"/>
                      <w:szCs w:val="14"/>
                      <w:lang w:eastAsia="lv-LV"/>
                    </w:rPr>
                    <w:t>2016</w:t>
                  </w:r>
                </w:p>
              </w:tc>
              <w:tc>
                <w:tcPr>
                  <w:tcW w:w="567" w:type="dxa"/>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108386C" w14:textId="77777777" w:rsidR="00B01BDE" w:rsidRPr="0017044E" w:rsidRDefault="00B01BDE" w:rsidP="00B01BDE">
                  <w:pPr>
                    <w:spacing w:after="0" w:line="240" w:lineRule="auto"/>
                    <w:jc w:val="center"/>
                    <w:rPr>
                      <w:rFonts w:eastAsia="Times New Roman"/>
                      <w:b/>
                      <w:bCs/>
                      <w:color w:val="FFFFFF" w:themeColor="background1"/>
                      <w:sz w:val="14"/>
                      <w:szCs w:val="14"/>
                      <w:lang w:eastAsia="lv-LV"/>
                    </w:rPr>
                  </w:pPr>
                  <w:r w:rsidRPr="0017044E">
                    <w:rPr>
                      <w:rFonts w:eastAsia="Times New Roman"/>
                      <w:b/>
                      <w:bCs/>
                      <w:color w:val="FFFFFF" w:themeColor="background1"/>
                      <w:sz w:val="14"/>
                      <w:szCs w:val="14"/>
                      <w:lang w:eastAsia="lv-LV"/>
                    </w:rPr>
                    <w:t>2017</w:t>
                  </w:r>
                </w:p>
              </w:tc>
              <w:tc>
                <w:tcPr>
                  <w:tcW w:w="708" w:type="dxa"/>
                  <w:vMerge w:val="restar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3695229"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rFonts w:eastAsia="Times New Roman"/>
                      <w:i/>
                      <w:iCs/>
                      <w:color w:val="FFFFFF" w:themeColor="background1"/>
                      <w:sz w:val="14"/>
                      <w:szCs w:val="14"/>
                      <w:lang w:eastAsia="lv-LV"/>
                    </w:rPr>
                    <w:t>% pret iepr. gadu</w:t>
                  </w:r>
                </w:p>
              </w:tc>
              <w:tc>
                <w:tcPr>
                  <w:tcW w:w="2582" w:type="dxa"/>
                  <w:gridSpan w:val="4"/>
                  <w:tcBorders>
                    <w:top w:val="single" w:sz="12" w:space="0" w:color="auto"/>
                    <w:left w:val="single" w:sz="4" w:space="0" w:color="FFFFFF" w:themeColor="background1"/>
                    <w:bottom w:val="single" w:sz="4" w:space="0" w:color="FFFFFF" w:themeColor="background1"/>
                    <w:right w:val="single" w:sz="12" w:space="0" w:color="auto"/>
                  </w:tcBorders>
                  <w:shd w:val="clear" w:color="auto" w:fill="002060"/>
                  <w:noWrap/>
                  <w:vAlign w:val="center"/>
                  <w:hideMark/>
                </w:tcPr>
                <w:p w14:paraId="0A81E150" w14:textId="20A8A087" w:rsidR="00B01BDE" w:rsidRPr="0017044E" w:rsidRDefault="00B01BDE" w:rsidP="00B01BDE">
                  <w:pPr>
                    <w:spacing w:after="0" w:line="240" w:lineRule="auto"/>
                    <w:jc w:val="center"/>
                    <w:rPr>
                      <w:rFonts w:eastAsia="Times New Roman"/>
                      <w:b/>
                      <w:bCs/>
                      <w:color w:val="FFFFFF" w:themeColor="background1"/>
                      <w:sz w:val="14"/>
                      <w:szCs w:val="14"/>
                      <w:lang w:eastAsia="lv-LV"/>
                    </w:rPr>
                  </w:pPr>
                  <w:r w:rsidRPr="0017044E">
                    <w:rPr>
                      <w:rFonts w:eastAsia="Times New Roman"/>
                      <w:b/>
                      <w:bCs/>
                      <w:color w:val="FFFFFF" w:themeColor="background1"/>
                      <w:sz w:val="14"/>
                      <w:szCs w:val="14"/>
                      <w:lang w:eastAsia="lv-LV"/>
                    </w:rPr>
                    <w:t>2018</w:t>
                  </w:r>
                  <w:r w:rsidR="006E7920">
                    <w:rPr>
                      <w:rStyle w:val="FootnoteReference"/>
                      <w:rFonts w:eastAsia="Times New Roman"/>
                      <w:b/>
                      <w:bCs/>
                      <w:color w:val="FFFFFF" w:themeColor="background1"/>
                      <w:sz w:val="14"/>
                      <w:szCs w:val="14"/>
                      <w:lang w:eastAsia="lv-LV"/>
                    </w:rPr>
                    <w:footnoteReference w:id="2"/>
                  </w:r>
                </w:p>
              </w:tc>
            </w:tr>
            <w:tr w:rsidR="00B01BDE" w:rsidRPr="0017044E" w14:paraId="6351DBB8" w14:textId="77777777" w:rsidTr="00221A1D">
              <w:trPr>
                <w:trHeight w:val="676"/>
                <w:tblHeader/>
              </w:trPr>
              <w:tc>
                <w:tcPr>
                  <w:tcW w:w="1694" w:type="dxa"/>
                  <w:vMerge/>
                  <w:tcBorders>
                    <w:top w:val="single" w:sz="4" w:space="0" w:color="FFFFFF" w:themeColor="background1"/>
                    <w:left w:val="single" w:sz="12" w:space="0" w:color="auto"/>
                    <w:bottom w:val="single" w:sz="4" w:space="0" w:color="auto"/>
                    <w:right w:val="single" w:sz="4" w:space="0" w:color="FFFFFF" w:themeColor="background1"/>
                  </w:tcBorders>
                  <w:shd w:val="clear" w:color="auto" w:fill="002060"/>
                  <w:vAlign w:val="center"/>
                  <w:hideMark/>
                </w:tcPr>
                <w:p w14:paraId="2169A09F" w14:textId="77777777" w:rsidR="00B01BDE" w:rsidRPr="0017044E" w:rsidRDefault="00B01BDE" w:rsidP="00B01BDE">
                  <w:pPr>
                    <w:spacing w:after="0" w:line="240" w:lineRule="auto"/>
                    <w:rPr>
                      <w:rFonts w:eastAsia="Times New Roman"/>
                      <w:color w:val="FFFFFF" w:themeColor="background1"/>
                      <w:sz w:val="14"/>
                      <w:szCs w:val="14"/>
                      <w:lang w:eastAsia="lv-LV"/>
                    </w:rPr>
                  </w:pPr>
                </w:p>
              </w:tc>
              <w:tc>
                <w:tcPr>
                  <w:tcW w:w="1134"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noWrap/>
                  <w:vAlign w:val="center"/>
                  <w:hideMark/>
                </w:tcPr>
                <w:p w14:paraId="6C43C9C7"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b/>
                      <w:bCs/>
                      <w:sz w:val="14"/>
                      <w:szCs w:val="14"/>
                      <w:u w:color="00B050"/>
                      <w:lang w:eastAsia="lv-LV"/>
                    </w:rPr>
                    <w:t xml:space="preserve">Milj. </w:t>
                  </w:r>
                  <w:r w:rsidRPr="0017044E">
                    <w:rPr>
                      <w:b/>
                      <w:bCs/>
                      <w:i/>
                      <w:iCs/>
                      <w:sz w:val="14"/>
                      <w:szCs w:val="14"/>
                      <w:u w:color="00B050"/>
                      <w:lang w:eastAsia="lv-LV"/>
                    </w:rPr>
                    <w:t>euro</w:t>
                  </w:r>
                </w:p>
              </w:tc>
              <w:tc>
                <w:tcPr>
                  <w:tcW w:w="708"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7FA0C536" w14:textId="77777777" w:rsidR="00B01BDE" w:rsidRPr="0017044E" w:rsidRDefault="00B01BDE" w:rsidP="00B01BDE">
                  <w:pPr>
                    <w:spacing w:after="0" w:line="240" w:lineRule="auto"/>
                    <w:rPr>
                      <w:rFonts w:eastAsia="Times New Roman"/>
                      <w:i/>
                      <w:iCs/>
                      <w:color w:val="FFFFFF" w:themeColor="background1"/>
                      <w:sz w:val="14"/>
                      <w:szCs w:val="14"/>
                      <w:lang w:eastAsia="lv-LV"/>
                    </w:rPr>
                  </w:pP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noWrap/>
                  <w:vAlign w:val="center"/>
                  <w:hideMark/>
                </w:tcPr>
                <w:p w14:paraId="55BA9470"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b/>
                      <w:bCs/>
                      <w:sz w:val="14"/>
                      <w:szCs w:val="14"/>
                      <w:u w:color="00B050"/>
                      <w:lang w:eastAsia="lv-LV"/>
                    </w:rPr>
                    <w:t xml:space="preserve">Milj. </w:t>
                  </w:r>
                  <w:r w:rsidRPr="0017044E">
                    <w:rPr>
                      <w:b/>
                      <w:bCs/>
                      <w:i/>
                      <w:iCs/>
                      <w:sz w:val="14"/>
                      <w:szCs w:val="14"/>
                      <w:u w:color="00B050"/>
                      <w:lang w:eastAsia="lv-LV"/>
                    </w:rPr>
                    <w:t>euro</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71DD7536"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rFonts w:eastAsia="Times New Roman"/>
                      <w:i/>
                      <w:iCs/>
                      <w:color w:val="FFFFFF" w:themeColor="background1"/>
                      <w:sz w:val="14"/>
                      <w:szCs w:val="14"/>
                      <w:lang w:eastAsia="lv-LV"/>
                    </w:rPr>
                    <w:t>% pret iepr. gadu</w:t>
                  </w:r>
                </w:p>
              </w:tc>
              <w:tc>
                <w:tcPr>
                  <w:tcW w:w="63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57E6815E"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rFonts w:eastAsia="Times New Roman"/>
                      <w:i/>
                      <w:iCs/>
                      <w:color w:val="FFFFFF" w:themeColor="background1"/>
                      <w:sz w:val="14"/>
                      <w:szCs w:val="14"/>
                      <w:lang w:eastAsia="lv-LV"/>
                    </w:rPr>
                    <w:t>% pret IIN ieņēm.</w:t>
                  </w:r>
                </w:p>
              </w:tc>
              <w:tc>
                <w:tcPr>
                  <w:tcW w:w="675" w:type="dxa"/>
                  <w:tcBorders>
                    <w:top w:val="single" w:sz="4" w:space="0" w:color="FFFFFF" w:themeColor="background1"/>
                    <w:left w:val="single" w:sz="4" w:space="0" w:color="FFFFFF" w:themeColor="background1"/>
                    <w:bottom w:val="single" w:sz="4" w:space="0" w:color="auto"/>
                    <w:right w:val="single" w:sz="12" w:space="0" w:color="auto"/>
                  </w:tcBorders>
                  <w:shd w:val="clear" w:color="auto" w:fill="002060"/>
                  <w:noWrap/>
                  <w:vAlign w:val="center"/>
                  <w:hideMark/>
                </w:tcPr>
                <w:p w14:paraId="40FDCA97" w14:textId="77777777" w:rsidR="00B01BDE" w:rsidRPr="0017044E" w:rsidRDefault="00B01BDE" w:rsidP="00B01BDE">
                  <w:pPr>
                    <w:spacing w:after="0" w:line="240" w:lineRule="auto"/>
                    <w:jc w:val="center"/>
                    <w:rPr>
                      <w:rFonts w:eastAsia="Times New Roman"/>
                      <w:i/>
                      <w:iCs/>
                      <w:color w:val="FFFFFF" w:themeColor="background1"/>
                      <w:sz w:val="14"/>
                      <w:szCs w:val="14"/>
                      <w:lang w:eastAsia="lv-LV"/>
                    </w:rPr>
                  </w:pPr>
                  <w:r w:rsidRPr="0017044E">
                    <w:rPr>
                      <w:rFonts w:eastAsia="Times New Roman"/>
                      <w:i/>
                      <w:iCs/>
                      <w:color w:val="FFFFFF" w:themeColor="background1"/>
                      <w:sz w:val="14"/>
                      <w:szCs w:val="14"/>
                      <w:lang w:eastAsia="lv-LV"/>
                    </w:rPr>
                    <w:t>% pret IKP</w:t>
                  </w:r>
                </w:p>
              </w:tc>
            </w:tr>
            <w:tr w:rsidR="00B01BDE" w:rsidRPr="0017044E" w14:paraId="0AB01F82" w14:textId="77777777" w:rsidTr="00221A1D">
              <w:trPr>
                <w:trHeight w:val="210"/>
              </w:trPr>
              <w:tc>
                <w:tcPr>
                  <w:tcW w:w="1694"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6670C04" w14:textId="77777777" w:rsidR="00B01BDE" w:rsidRPr="0017044E" w:rsidRDefault="00B01BDE" w:rsidP="00B01BDE">
                  <w:pPr>
                    <w:tabs>
                      <w:tab w:val="left" w:pos="447"/>
                    </w:tabs>
                    <w:spacing w:after="0" w:line="240" w:lineRule="auto"/>
                    <w:jc w:val="both"/>
                    <w:rPr>
                      <w:sz w:val="14"/>
                      <w:szCs w:val="14"/>
                      <w:lang w:eastAsia="lv-LV"/>
                    </w:rPr>
                  </w:pPr>
                  <w:r w:rsidRPr="0017044E">
                    <w:rPr>
                      <w:sz w:val="14"/>
                      <w:szCs w:val="14"/>
                      <w:lang w:eastAsia="lv-LV"/>
                    </w:rPr>
                    <w:t>Atvieglojums par apgādībā esošu personu</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44DE0D" w14:textId="77777777" w:rsidR="00B01BDE" w:rsidRPr="0017044E" w:rsidRDefault="00B01BDE" w:rsidP="00B01BDE">
                  <w:pPr>
                    <w:spacing w:after="0" w:line="240" w:lineRule="auto"/>
                    <w:jc w:val="center"/>
                    <w:rPr>
                      <w:rFonts w:eastAsia="Times New Roman"/>
                      <w:color w:val="000000"/>
                      <w:sz w:val="14"/>
                      <w:szCs w:val="14"/>
                      <w:lang w:eastAsia="lv-LV"/>
                    </w:rPr>
                  </w:pPr>
                  <w:r w:rsidRPr="0017044E">
                    <w:rPr>
                      <w:rFonts w:eastAsia="Times New Roman"/>
                      <w:color w:val="000000"/>
                      <w:sz w:val="14"/>
                      <w:szCs w:val="14"/>
                      <w:lang w:eastAsia="lv-LV"/>
                    </w:rPr>
                    <w:t>126,0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F078871" w14:textId="77777777" w:rsidR="00B01BDE" w:rsidRPr="0017044E" w:rsidRDefault="00B01BDE" w:rsidP="00B01BDE">
                  <w:pPr>
                    <w:spacing w:after="0" w:line="240" w:lineRule="auto"/>
                    <w:jc w:val="center"/>
                    <w:rPr>
                      <w:rFonts w:eastAsia="Times New Roman"/>
                      <w:color w:val="000000"/>
                      <w:sz w:val="14"/>
                      <w:szCs w:val="14"/>
                      <w:lang w:eastAsia="lv-LV"/>
                    </w:rPr>
                  </w:pPr>
                  <w:r w:rsidRPr="0017044E">
                    <w:rPr>
                      <w:rFonts w:eastAsia="Times New Roman"/>
                      <w:color w:val="000000"/>
                      <w:sz w:val="14"/>
                      <w:szCs w:val="14"/>
                      <w:lang w:eastAsia="lv-LV"/>
                    </w:rPr>
                    <w:t>128,9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F0A2A38" w14:textId="77777777" w:rsidR="00B01BDE" w:rsidRPr="0017044E" w:rsidRDefault="00B01BDE" w:rsidP="00B01BDE">
                  <w:pPr>
                    <w:spacing w:after="0" w:line="240" w:lineRule="auto"/>
                    <w:jc w:val="center"/>
                    <w:rPr>
                      <w:rFonts w:eastAsia="Times New Roman"/>
                      <w:i/>
                      <w:iCs/>
                      <w:color w:val="002060"/>
                      <w:sz w:val="14"/>
                      <w:szCs w:val="14"/>
                      <w:lang w:eastAsia="lv-LV"/>
                    </w:rPr>
                  </w:pPr>
                  <w:r w:rsidRPr="0017044E">
                    <w:rPr>
                      <w:rFonts w:eastAsia="Times New Roman"/>
                      <w:i/>
                      <w:iCs/>
                      <w:color w:val="002060"/>
                      <w:sz w:val="14"/>
                      <w:szCs w:val="14"/>
                      <w:lang w:eastAsia="lv-LV"/>
                    </w:rPr>
                    <w:t>2,3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029802" w14:textId="77777777" w:rsidR="00B01BDE" w:rsidRPr="0017044E" w:rsidRDefault="00B01BDE" w:rsidP="00B01BDE">
                  <w:pPr>
                    <w:spacing w:after="0" w:line="240" w:lineRule="auto"/>
                    <w:jc w:val="center"/>
                    <w:rPr>
                      <w:rFonts w:eastAsia="Times New Roman"/>
                      <w:color w:val="000000"/>
                      <w:sz w:val="14"/>
                      <w:szCs w:val="14"/>
                      <w:lang w:eastAsia="lv-LV"/>
                    </w:rPr>
                  </w:pPr>
                  <w:r w:rsidRPr="0017044E">
                    <w:rPr>
                      <w:rFonts w:eastAsia="Times New Roman"/>
                      <w:color w:val="000000"/>
                      <w:sz w:val="14"/>
                      <w:szCs w:val="14"/>
                      <w:lang w:eastAsia="lv-LV"/>
                    </w:rPr>
                    <w:t>128,6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8E73B3" w14:textId="77777777" w:rsidR="00B01BDE" w:rsidRPr="0017044E" w:rsidRDefault="00B01BDE" w:rsidP="00B01BDE">
                  <w:pPr>
                    <w:spacing w:after="0" w:line="240" w:lineRule="auto"/>
                    <w:jc w:val="center"/>
                    <w:rPr>
                      <w:rFonts w:eastAsia="Times New Roman"/>
                      <w:i/>
                      <w:iCs/>
                      <w:color w:val="002060"/>
                      <w:sz w:val="14"/>
                      <w:szCs w:val="14"/>
                      <w:lang w:eastAsia="lv-LV"/>
                    </w:rPr>
                  </w:pPr>
                  <w:r w:rsidRPr="0017044E">
                    <w:rPr>
                      <w:rFonts w:eastAsia="Times New Roman"/>
                      <w:i/>
                      <w:iCs/>
                      <w:color w:val="002060"/>
                      <w:sz w:val="14"/>
                      <w:szCs w:val="14"/>
                      <w:lang w:eastAsia="lv-LV"/>
                    </w:rPr>
                    <w:t>-0,2</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4DF94DF4" w14:textId="77777777" w:rsidR="00B01BDE" w:rsidRPr="0017044E" w:rsidRDefault="00B01BDE" w:rsidP="00B01BDE">
                  <w:pPr>
                    <w:spacing w:after="0" w:line="240" w:lineRule="auto"/>
                    <w:jc w:val="center"/>
                    <w:rPr>
                      <w:rFonts w:eastAsia="Times New Roman"/>
                      <w:i/>
                      <w:iCs/>
                      <w:color w:val="002060"/>
                      <w:sz w:val="14"/>
                      <w:szCs w:val="14"/>
                      <w:lang w:eastAsia="lv-LV"/>
                    </w:rPr>
                  </w:pPr>
                  <w:r w:rsidRPr="0017044E">
                    <w:rPr>
                      <w:rFonts w:eastAsia="Times New Roman"/>
                      <w:i/>
                      <w:iCs/>
                      <w:color w:val="002060"/>
                      <w:sz w:val="14"/>
                      <w:szCs w:val="14"/>
                      <w:lang w:eastAsia="lv-LV"/>
                    </w:rPr>
                    <w:t>7,4</w:t>
                  </w:r>
                </w:p>
              </w:tc>
              <w:tc>
                <w:tcPr>
                  <w:tcW w:w="675" w:type="dxa"/>
                  <w:tcBorders>
                    <w:top w:val="single" w:sz="4" w:space="0" w:color="auto"/>
                    <w:left w:val="nil"/>
                    <w:bottom w:val="single" w:sz="4" w:space="0" w:color="auto"/>
                    <w:right w:val="single" w:sz="12" w:space="0" w:color="auto"/>
                  </w:tcBorders>
                  <w:shd w:val="clear" w:color="auto" w:fill="auto"/>
                  <w:noWrap/>
                  <w:vAlign w:val="center"/>
                </w:tcPr>
                <w:p w14:paraId="70305EC2" w14:textId="77777777" w:rsidR="00B01BDE" w:rsidRPr="0017044E" w:rsidRDefault="00B01BDE" w:rsidP="00B01BDE">
                  <w:pPr>
                    <w:spacing w:after="0" w:line="240" w:lineRule="auto"/>
                    <w:jc w:val="center"/>
                    <w:rPr>
                      <w:rFonts w:eastAsia="Times New Roman"/>
                      <w:i/>
                      <w:iCs/>
                      <w:color w:val="002060"/>
                      <w:sz w:val="14"/>
                      <w:szCs w:val="14"/>
                      <w:lang w:eastAsia="lv-LV"/>
                    </w:rPr>
                  </w:pPr>
                  <w:r w:rsidRPr="0017044E">
                    <w:rPr>
                      <w:rFonts w:eastAsia="Times New Roman"/>
                      <w:i/>
                      <w:iCs/>
                      <w:color w:val="002060"/>
                      <w:sz w:val="14"/>
                      <w:szCs w:val="14"/>
                      <w:lang w:eastAsia="lv-LV"/>
                    </w:rPr>
                    <w:t>0,44</w:t>
                  </w:r>
                </w:p>
              </w:tc>
            </w:tr>
          </w:tbl>
          <w:p w14:paraId="02C94B5A" w14:textId="61A13723" w:rsidR="00B01BDE" w:rsidRPr="00E12A40" w:rsidRDefault="00B01BDE" w:rsidP="008C2B2D">
            <w:r w:rsidRPr="0017044E">
              <w:rPr>
                <w:b/>
                <w:i/>
                <w:sz w:val="20"/>
                <w:szCs w:val="20"/>
                <w:lang w:eastAsia="lv-LV"/>
              </w:rPr>
              <w:t>Avots</w:t>
            </w:r>
            <w:r w:rsidRPr="0017044E">
              <w:rPr>
                <w:i/>
                <w:sz w:val="20"/>
                <w:szCs w:val="20"/>
                <w:lang w:eastAsia="lv-LV"/>
              </w:rPr>
              <w:t>: VID dati uz 19.09.2019. un FM aprēķini</w:t>
            </w:r>
          </w:p>
        </w:tc>
      </w:tr>
      <w:tr w:rsidR="00F569D0" w:rsidRPr="000F4D7D" w14:paraId="45432975" w14:textId="77777777" w:rsidTr="00221A1D">
        <w:trPr>
          <w:trHeight w:val="1278"/>
        </w:trPr>
        <w:tc>
          <w:tcPr>
            <w:tcW w:w="851" w:type="dxa"/>
          </w:tcPr>
          <w:p w14:paraId="3435322A" w14:textId="77777777" w:rsidR="00F569D0" w:rsidRPr="000F4D7D" w:rsidRDefault="00F569D0" w:rsidP="00F569D0">
            <w:pPr>
              <w:pStyle w:val="ListParagraph"/>
              <w:numPr>
                <w:ilvl w:val="0"/>
                <w:numId w:val="15"/>
              </w:numPr>
              <w:jc w:val="center"/>
            </w:pPr>
          </w:p>
        </w:tc>
        <w:tc>
          <w:tcPr>
            <w:tcW w:w="2977" w:type="dxa"/>
          </w:tcPr>
          <w:p w14:paraId="77D23731" w14:textId="49783B2D" w:rsidR="00F569D0" w:rsidRPr="00A46697" w:rsidRDefault="00F569D0" w:rsidP="00F569D0">
            <w:pPr>
              <w:spacing w:after="120"/>
            </w:pPr>
            <w:r>
              <w:t>Cita būtiska informācija</w:t>
            </w:r>
            <w:r w:rsidR="00D624AF">
              <w:t xml:space="preserve"> </w:t>
            </w:r>
            <w:r w:rsidR="00D624AF" w:rsidRPr="008C2B2D">
              <w:t>(t.sk., atvieglojuma ieviešanas iemesls, padziļinātu pētījumu rezultāti u.c.)</w:t>
            </w:r>
          </w:p>
        </w:tc>
        <w:tc>
          <w:tcPr>
            <w:tcW w:w="6520" w:type="dxa"/>
            <w:gridSpan w:val="4"/>
          </w:tcPr>
          <w:p w14:paraId="1CFACA0E" w14:textId="3F71C1B1" w:rsidR="00B01BDE" w:rsidRPr="009326CC" w:rsidRDefault="009326CC" w:rsidP="009326CC">
            <w:pPr>
              <w:spacing w:before="60"/>
              <w:contextualSpacing/>
              <w:jc w:val="both"/>
              <w:rPr>
                <w:szCs w:val="18"/>
                <w:lang w:eastAsia="lv-LV"/>
              </w:rPr>
            </w:pPr>
            <w:r w:rsidRPr="009326CC">
              <w:rPr>
                <w:szCs w:val="18"/>
                <w:lang w:eastAsia="lv-LV"/>
              </w:rPr>
              <w:t>Neraugoties uz to, ka nodokļa atvieglojuma apmērs katru gadu pieaug, uz 2018.gada datu bāzes veikta padziļināta analīze liecina, ka nodokļa atvieglojums efektīvi darbojas uz personām, kas gūst vismaz vidējus ienākumus, kamēr personu gūtajam ienākumam samazinoties, samazinās arī to personu skaits, kuras spēj pilnībā izmantot nodokļa atvieglojumu Nodokļa atvieglojums nav efektīvs attiecībā uz personām, kas negūst ar nodokli apliekamus ienākumus.</w:t>
            </w:r>
          </w:p>
          <w:p w14:paraId="1C875314" w14:textId="77777777" w:rsidR="009326CC" w:rsidRDefault="009326CC" w:rsidP="00B01BDE">
            <w:pPr>
              <w:spacing w:after="120"/>
              <w:jc w:val="center"/>
              <w:rPr>
                <w:b/>
                <w:szCs w:val="22"/>
                <w:lang w:eastAsia="lv-LV"/>
              </w:rPr>
            </w:pPr>
          </w:p>
          <w:p w14:paraId="615C47CE" w14:textId="01EE317E" w:rsidR="00B01BDE" w:rsidRPr="006D3110" w:rsidRDefault="00B01BDE" w:rsidP="00B01BDE">
            <w:pPr>
              <w:spacing w:after="120"/>
              <w:jc w:val="center"/>
              <w:rPr>
                <w:b/>
                <w:szCs w:val="22"/>
                <w:lang w:eastAsia="lv-LV"/>
              </w:rPr>
            </w:pPr>
            <w:r w:rsidRPr="006D3110">
              <w:rPr>
                <w:b/>
                <w:szCs w:val="22"/>
                <w:lang w:eastAsia="lv-LV"/>
              </w:rPr>
              <w:t xml:space="preserve">Nodokļu maksātāju skaits </w:t>
            </w:r>
            <w:r>
              <w:rPr>
                <w:b/>
                <w:szCs w:val="22"/>
                <w:lang w:eastAsia="lv-LV"/>
              </w:rPr>
              <w:t>2018.</w:t>
            </w:r>
            <w:r w:rsidR="00896BB8">
              <w:rPr>
                <w:b/>
                <w:szCs w:val="22"/>
                <w:lang w:eastAsia="lv-LV"/>
              </w:rPr>
              <w:t xml:space="preserve"> </w:t>
            </w:r>
            <w:r>
              <w:rPr>
                <w:b/>
                <w:szCs w:val="22"/>
                <w:lang w:eastAsia="lv-LV"/>
              </w:rPr>
              <w:t>gadā</w:t>
            </w:r>
            <w:r w:rsidR="00FC76B7" w:rsidRPr="00FC76B7">
              <w:rPr>
                <w:rFonts w:ascii="Times New Roman Bold" w:hAnsi="Times New Roman Bold"/>
                <w:b/>
                <w:szCs w:val="22"/>
                <w:vertAlign w:val="superscript"/>
                <w:lang w:eastAsia="lv-LV"/>
              </w:rPr>
              <w:t>2</w:t>
            </w:r>
            <w:r>
              <w:rPr>
                <w:b/>
                <w:szCs w:val="22"/>
                <w:lang w:eastAsia="lv-LV"/>
              </w:rPr>
              <w:t xml:space="preserve"> </w:t>
            </w:r>
            <w:r w:rsidRPr="006D3110">
              <w:rPr>
                <w:b/>
                <w:szCs w:val="22"/>
                <w:lang w:eastAsia="lv-LV"/>
              </w:rPr>
              <w:t xml:space="preserve">sadalījumā pēc ienākumiem no algota darba un pēc apgādībā esošo personu skaita </w:t>
            </w:r>
          </w:p>
          <w:tbl>
            <w:tblPr>
              <w:tblW w:w="6442" w:type="dxa"/>
              <w:tblLayout w:type="fixed"/>
              <w:tblLook w:val="04A0" w:firstRow="1" w:lastRow="0" w:firstColumn="1" w:lastColumn="0" w:noHBand="0" w:noVBand="1"/>
            </w:tblPr>
            <w:tblGrid>
              <w:gridCol w:w="1301"/>
              <w:gridCol w:w="709"/>
              <w:gridCol w:w="709"/>
              <w:gridCol w:w="708"/>
              <w:gridCol w:w="709"/>
              <w:gridCol w:w="567"/>
              <w:gridCol w:w="709"/>
              <w:gridCol w:w="1030"/>
            </w:tblGrid>
            <w:tr w:rsidR="00B01BDE" w:rsidRPr="006D3110" w14:paraId="1D12F6D6" w14:textId="77777777" w:rsidTr="00A37856">
              <w:trPr>
                <w:trHeight w:val="179"/>
                <w:tblHeader/>
              </w:trPr>
              <w:tc>
                <w:tcPr>
                  <w:tcW w:w="1301"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2060"/>
                  <w:vAlign w:val="center"/>
                </w:tcPr>
                <w:p w14:paraId="2C3B84E0"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r w:rsidRPr="006D3110">
                    <w:rPr>
                      <w:rFonts w:eastAsia="Times New Roman"/>
                      <w:b/>
                      <w:bCs/>
                      <w:color w:val="FFFFFF" w:themeColor="background1"/>
                      <w:sz w:val="16"/>
                      <w:szCs w:val="16"/>
                      <w:lang w:eastAsia="lv-LV"/>
                    </w:rPr>
                    <w:t xml:space="preserve">Apgādnieka darba alga, </w:t>
                  </w:r>
                  <w:r w:rsidRPr="006D3110">
                    <w:rPr>
                      <w:rFonts w:eastAsia="Times New Roman"/>
                      <w:bCs/>
                      <w:i/>
                      <w:color w:val="FFFFFF" w:themeColor="background1"/>
                      <w:sz w:val="16"/>
                      <w:szCs w:val="16"/>
                      <w:lang w:eastAsia="lv-LV"/>
                    </w:rPr>
                    <w:t>euro mēnesī</w:t>
                  </w:r>
                </w:p>
              </w:tc>
              <w:tc>
                <w:tcPr>
                  <w:tcW w:w="3402"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Pr>
                <w:p w14:paraId="02655374"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r w:rsidRPr="006D3110">
                    <w:rPr>
                      <w:rFonts w:eastAsia="Times New Roman"/>
                      <w:b/>
                      <w:bCs/>
                      <w:color w:val="FFFFFF" w:themeColor="background1"/>
                      <w:sz w:val="16"/>
                      <w:szCs w:val="16"/>
                      <w:lang w:eastAsia="lv-LV"/>
                    </w:rPr>
                    <w:t>Apgādībā esošas personas</w:t>
                  </w:r>
                  <w:r w:rsidRPr="006D3110">
                    <w:rPr>
                      <w:rFonts w:eastAsia="Times New Roman"/>
                      <w:b/>
                      <w:bCs/>
                      <w:color w:val="FFFFFF" w:themeColor="background1"/>
                      <w:sz w:val="16"/>
                      <w:szCs w:val="16"/>
                      <w:vertAlign w:val="superscript"/>
                      <w:lang w:eastAsia="lv-LV"/>
                    </w:rPr>
                    <w:t>1</w:t>
                  </w:r>
                </w:p>
              </w:tc>
              <w:tc>
                <w:tcPr>
                  <w:tcW w:w="709" w:type="dxa"/>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43F46F6"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r w:rsidRPr="006D3110">
                    <w:rPr>
                      <w:rFonts w:eastAsia="Times New Roman"/>
                      <w:b/>
                      <w:bCs/>
                      <w:color w:val="FFFFFF" w:themeColor="background1"/>
                      <w:sz w:val="16"/>
                      <w:szCs w:val="16"/>
                      <w:lang w:eastAsia="lv-LV"/>
                    </w:rPr>
                    <w:t>KOPĀ</w:t>
                  </w:r>
                </w:p>
              </w:tc>
              <w:tc>
                <w:tcPr>
                  <w:tcW w:w="1030" w:type="dxa"/>
                  <w:vMerge w:val="restart"/>
                  <w:tcBorders>
                    <w:top w:val="single" w:sz="4" w:space="0" w:color="auto"/>
                    <w:left w:val="single" w:sz="4" w:space="0" w:color="FFFFFF" w:themeColor="background1"/>
                    <w:bottom w:val="single" w:sz="4" w:space="0" w:color="FFFFFF" w:themeColor="background1"/>
                    <w:right w:val="single" w:sz="4" w:space="0" w:color="auto"/>
                  </w:tcBorders>
                  <w:shd w:val="clear" w:color="auto" w:fill="002060"/>
                </w:tcPr>
                <w:p w14:paraId="0A91F93B"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r w:rsidRPr="006D3110">
                    <w:rPr>
                      <w:rFonts w:eastAsia="Times New Roman"/>
                      <w:b/>
                      <w:bCs/>
                      <w:color w:val="FFFFFF" w:themeColor="background1"/>
                      <w:sz w:val="16"/>
                      <w:szCs w:val="16"/>
                      <w:lang w:eastAsia="lv-LV"/>
                    </w:rPr>
                    <w:t>No tiem nevar izmantot IIN atvieglojumus</w:t>
                  </w:r>
                  <w:r w:rsidRPr="006D3110">
                    <w:rPr>
                      <w:rFonts w:eastAsia="Times New Roman"/>
                      <w:b/>
                      <w:bCs/>
                      <w:color w:val="FFFFFF" w:themeColor="background1"/>
                      <w:sz w:val="16"/>
                      <w:szCs w:val="16"/>
                      <w:vertAlign w:val="superscript"/>
                      <w:lang w:eastAsia="lv-LV"/>
                    </w:rPr>
                    <w:t>2</w:t>
                  </w:r>
                </w:p>
              </w:tc>
            </w:tr>
            <w:tr w:rsidR="00B01BDE" w:rsidRPr="006D3110" w14:paraId="4C987B09" w14:textId="77777777" w:rsidTr="00A37856">
              <w:trPr>
                <w:trHeight w:val="300"/>
                <w:tblHeader/>
              </w:trPr>
              <w:tc>
                <w:tcPr>
                  <w:tcW w:w="1301" w:type="dxa"/>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2060"/>
                  <w:vAlign w:val="center"/>
                  <w:hideMark/>
                </w:tcPr>
                <w:p w14:paraId="7B9432FA" w14:textId="77777777" w:rsidR="00B01BDE" w:rsidRPr="006D3110" w:rsidRDefault="00B01BDE" w:rsidP="00B01BDE">
                  <w:pPr>
                    <w:spacing w:after="0" w:line="240" w:lineRule="auto"/>
                    <w:rPr>
                      <w:rFonts w:eastAsia="Times New Roman"/>
                      <w:b/>
                      <w:bCs/>
                      <w:color w:val="FFFFFF" w:themeColor="background1"/>
                      <w:sz w:val="16"/>
                      <w:szCs w:val="16"/>
                      <w:lang w:eastAsia="lv-LV"/>
                    </w:rPr>
                  </w:pP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7F74A5D1" w14:textId="77777777" w:rsidR="00B01BDE" w:rsidRPr="006D3110" w:rsidRDefault="00B01BDE" w:rsidP="00B01BDE">
                  <w:pPr>
                    <w:spacing w:after="0" w:line="240" w:lineRule="auto"/>
                    <w:jc w:val="center"/>
                    <w:rPr>
                      <w:rFonts w:eastAsia="Times New Roman"/>
                      <w:b/>
                      <w:color w:val="FFFFFF" w:themeColor="background1"/>
                      <w:sz w:val="16"/>
                      <w:szCs w:val="16"/>
                      <w:lang w:eastAsia="lv-LV"/>
                    </w:rPr>
                  </w:pPr>
                  <w:r w:rsidRPr="006D3110">
                    <w:rPr>
                      <w:rFonts w:eastAsia="Times New Roman"/>
                      <w:b/>
                      <w:color w:val="FFFFFF" w:themeColor="background1"/>
                      <w:sz w:val="16"/>
                      <w:szCs w:val="16"/>
                      <w:lang w:eastAsia="lv-LV"/>
                    </w:rPr>
                    <w:t>1</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390A2CA6" w14:textId="77777777" w:rsidR="00B01BDE" w:rsidRPr="006D3110" w:rsidRDefault="00B01BDE" w:rsidP="00B01BDE">
                  <w:pPr>
                    <w:spacing w:after="0" w:line="240" w:lineRule="auto"/>
                    <w:jc w:val="center"/>
                    <w:rPr>
                      <w:rFonts w:eastAsia="Times New Roman"/>
                      <w:b/>
                      <w:color w:val="FFFFFF" w:themeColor="background1"/>
                      <w:sz w:val="16"/>
                      <w:szCs w:val="16"/>
                      <w:lang w:eastAsia="lv-LV"/>
                    </w:rPr>
                  </w:pPr>
                  <w:r w:rsidRPr="006D3110">
                    <w:rPr>
                      <w:rFonts w:eastAsia="Times New Roman"/>
                      <w:b/>
                      <w:color w:val="FFFFFF" w:themeColor="background1"/>
                      <w:sz w:val="16"/>
                      <w:szCs w:val="16"/>
                      <w:lang w:eastAsia="lv-LV"/>
                    </w:rPr>
                    <w:t>2</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565FC188" w14:textId="77777777" w:rsidR="00B01BDE" w:rsidRPr="006D3110" w:rsidRDefault="00B01BDE" w:rsidP="00B01BDE">
                  <w:pPr>
                    <w:spacing w:after="0" w:line="240" w:lineRule="auto"/>
                    <w:jc w:val="center"/>
                    <w:rPr>
                      <w:rFonts w:eastAsia="Times New Roman"/>
                      <w:b/>
                      <w:color w:val="FFFFFF" w:themeColor="background1"/>
                      <w:sz w:val="16"/>
                      <w:szCs w:val="16"/>
                      <w:lang w:eastAsia="lv-LV"/>
                    </w:rPr>
                  </w:pPr>
                  <w:r w:rsidRPr="006D3110">
                    <w:rPr>
                      <w:rFonts w:eastAsia="Times New Roman"/>
                      <w:b/>
                      <w:color w:val="FFFFFF" w:themeColor="background1"/>
                      <w:sz w:val="16"/>
                      <w:szCs w:val="16"/>
                      <w:lang w:eastAsia="lv-LV"/>
                    </w:rPr>
                    <w:t>3</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2906775" w14:textId="77777777" w:rsidR="00B01BDE" w:rsidRPr="006D3110" w:rsidRDefault="00B01BDE" w:rsidP="00B01BDE">
                  <w:pPr>
                    <w:spacing w:after="0" w:line="240" w:lineRule="auto"/>
                    <w:jc w:val="center"/>
                    <w:rPr>
                      <w:rFonts w:eastAsia="Times New Roman"/>
                      <w:b/>
                      <w:color w:val="FFFFFF" w:themeColor="background1"/>
                      <w:sz w:val="16"/>
                      <w:szCs w:val="16"/>
                      <w:lang w:eastAsia="lv-LV"/>
                    </w:rPr>
                  </w:pPr>
                  <w:r w:rsidRPr="006D3110">
                    <w:rPr>
                      <w:rFonts w:eastAsia="Times New Roman"/>
                      <w:b/>
                      <w:color w:val="FFFFFF" w:themeColor="background1"/>
                      <w:sz w:val="16"/>
                      <w:szCs w:val="16"/>
                      <w:lang w:eastAsia="lv-LV"/>
                    </w:rPr>
                    <w:t>4</w:t>
                  </w: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68DDC04E" w14:textId="77777777" w:rsidR="00B01BDE" w:rsidRPr="006D3110" w:rsidRDefault="00B01BDE" w:rsidP="00B01BDE">
                  <w:pPr>
                    <w:spacing w:after="0" w:line="240" w:lineRule="auto"/>
                    <w:jc w:val="center"/>
                    <w:rPr>
                      <w:rFonts w:eastAsia="Times New Roman"/>
                      <w:b/>
                      <w:color w:val="FFFFFF" w:themeColor="background1"/>
                      <w:sz w:val="16"/>
                      <w:szCs w:val="16"/>
                      <w:lang w:eastAsia="lv-LV"/>
                    </w:rPr>
                  </w:pPr>
                  <w:r w:rsidRPr="006D3110">
                    <w:rPr>
                      <w:rFonts w:eastAsia="Times New Roman"/>
                      <w:b/>
                      <w:color w:val="FFFFFF" w:themeColor="background1"/>
                      <w:sz w:val="16"/>
                      <w:szCs w:val="16"/>
                      <w:lang w:eastAsia="lv-LV"/>
                    </w:rPr>
                    <w:t>5 un vairāk</w:t>
                  </w:r>
                </w:p>
              </w:tc>
              <w:tc>
                <w:tcPr>
                  <w:tcW w:w="709"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1E275125"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p>
              </w:tc>
              <w:tc>
                <w:tcPr>
                  <w:tcW w:w="1030" w:type="dxa"/>
                  <w:vMerge/>
                  <w:tcBorders>
                    <w:top w:val="single" w:sz="4" w:space="0" w:color="FFFFFF" w:themeColor="background1"/>
                    <w:left w:val="single" w:sz="4" w:space="0" w:color="FFFFFF" w:themeColor="background1"/>
                    <w:bottom w:val="single" w:sz="4" w:space="0" w:color="auto"/>
                    <w:right w:val="single" w:sz="4" w:space="0" w:color="auto"/>
                  </w:tcBorders>
                  <w:shd w:val="clear" w:color="auto" w:fill="002060"/>
                </w:tcPr>
                <w:p w14:paraId="6560C5FD" w14:textId="77777777" w:rsidR="00B01BDE" w:rsidRPr="006D3110" w:rsidRDefault="00B01BDE" w:rsidP="00B01BDE">
                  <w:pPr>
                    <w:spacing w:after="0" w:line="240" w:lineRule="auto"/>
                    <w:jc w:val="center"/>
                    <w:rPr>
                      <w:rFonts w:eastAsia="Times New Roman"/>
                      <w:b/>
                      <w:bCs/>
                      <w:color w:val="FFFFFF" w:themeColor="background1"/>
                      <w:sz w:val="16"/>
                      <w:szCs w:val="16"/>
                      <w:lang w:eastAsia="lv-LV"/>
                    </w:rPr>
                  </w:pPr>
                </w:p>
              </w:tc>
            </w:tr>
            <w:tr w:rsidR="00B01BDE" w:rsidRPr="006D3110" w14:paraId="124155A9" w14:textId="77777777" w:rsidTr="00A37856">
              <w:trPr>
                <w:trHeight w:val="305"/>
              </w:trPr>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4F95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rFonts w:eastAsia="Times New Roman"/>
                      <w:color w:val="000000"/>
                      <w:sz w:val="16"/>
                      <w:szCs w:val="16"/>
                      <w:lang w:eastAsia="lv-LV"/>
                    </w:rPr>
                    <w:t>0,00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CE35C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7 397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F0FAF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5 556</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5D8A50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2 052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EF7F3"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548</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BADDED"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210</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18E08CD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15 763</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7988DAD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15 763</w:t>
                  </w:r>
                </w:p>
              </w:tc>
            </w:tr>
            <w:tr w:rsidR="00B01BDE" w:rsidRPr="006D3110" w14:paraId="285376D3" w14:textId="77777777" w:rsidTr="00A37856">
              <w:trPr>
                <w:trHeight w:val="265"/>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6F7FF42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rFonts w:eastAsia="Times New Roman"/>
                      <w:color w:val="000000"/>
                      <w:sz w:val="16"/>
                      <w:szCs w:val="16"/>
                      <w:lang w:eastAsia="lv-LV"/>
                    </w:rPr>
                    <w:t>0,01-380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1AC6927A"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22 576</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4EEE142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18 266</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1E891BF4"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6 852</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0D02210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1 916</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5BADF85"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743</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0D1DA51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50 353</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455350E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50 353</w:t>
                  </w:r>
                </w:p>
              </w:tc>
            </w:tr>
            <w:tr w:rsidR="00B01BDE" w:rsidRPr="006D3110" w14:paraId="2EF20233" w14:textId="77777777" w:rsidTr="00A37856">
              <w:trPr>
                <w:trHeight w:val="283"/>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25024C6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380,01-430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6438E2E7"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5 010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7565A49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3 708</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576710B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1 056</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27F80AD4"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228</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1C42727"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141</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0D1EEF9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10 143</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76DA4766"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10 143</w:t>
                  </w:r>
                </w:p>
              </w:tc>
            </w:tr>
            <w:tr w:rsidR="00B01BDE" w:rsidRPr="006D3110" w14:paraId="044D23C8" w14:textId="77777777" w:rsidTr="00A37856">
              <w:trPr>
                <w:trHeight w:val="303"/>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154B38F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430,01-500</w:t>
                  </w:r>
                </w:p>
              </w:tc>
              <w:tc>
                <w:tcPr>
                  <w:tcW w:w="709" w:type="dxa"/>
                  <w:tcBorders>
                    <w:top w:val="nil"/>
                    <w:left w:val="nil"/>
                    <w:bottom w:val="single" w:sz="4" w:space="0" w:color="auto"/>
                    <w:right w:val="single" w:sz="4" w:space="0" w:color="auto"/>
                  </w:tcBorders>
                  <w:shd w:val="clear" w:color="auto" w:fill="auto"/>
                  <w:noWrap/>
                  <w:vAlign w:val="center"/>
                </w:tcPr>
                <w:p w14:paraId="01D53EC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9 085</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6CD683C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6 814</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7C8B470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1 758</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0631F77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372</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F9B86"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192</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142E30DC"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18 221</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4B151ED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9 136</w:t>
                  </w:r>
                </w:p>
              </w:tc>
            </w:tr>
            <w:tr w:rsidR="00B01BDE" w:rsidRPr="006D3110" w14:paraId="6B1757F4" w14:textId="77777777" w:rsidTr="00A37856">
              <w:trPr>
                <w:trHeight w:val="277"/>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1E6264E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500,01-600</w:t>
                  </w:r>
                </w:p>
              </w:tc>
              <w:tc>
                <w:tcPr>
                  <w:tcW w:w="709" w:type="dxa"/>
                  <w:tcBorders>
                    <w:top w:val="nil"/>
                    <w:left w:val="nil"/>
                    <w:bottom w:val="single" w:sz="4" w:space="0" w:color="auto"/>
                    <w:right w:val="single" w:sz="4" w:space="0" w:color="auto"/>
                  </w:tcBorders>
                  <w:shd w:val="clear" w:color="auto" w:fill="auto"/>
                  <w:noWrap/>
                  <w:vAlign w:val="center"/>
                </w:tcPr>
                <w:p w14:paraId="3FC6DDEB"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9 423</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4B3C69F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7 456</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67B9402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1 983</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48DE1C5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336</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BF0F93D"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133</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36965A46"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19 331</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4112035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9 908</w:t>
                  </w:r>
                </w:p>
              </w:tc>
            </w:tr>
            <w:tr w:rsidR="00B01BDE" w:rsidRPr="006D3110" w14:paraId="782939A6" w14:textId="77777777" w:rsidTr="00A37856">
              <w:trPr>
                <w:trHeight w:val="282"/>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799617A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600,01-700</w:t>
                  </w:r>
                </w:p>
              </w:tc>
              <w:tc>
                <w:tcPr>
                  <w:tcW w:w="709" w:type="dxa"/>
                  <w:tcBorders>
                    <w:top w:val="nil"/>
                    <w:left w:val="nil"/>
                    <w:bottom w:val="single" w:sz="4" w:space="0" w:color="auto"/>
                    <w:right w:val="single" w:sz="4" w:space="0" w:color="auto"/>
                  </w:tcBorders>
                  <w:shd w:val="clear" w:color="auto" w:fill="auto"/>
                  <w:noWrap/>
                  <w:vAlign w:val="center"/>
                </w:tcPr>
                <w:p w14:paraId="0E179215"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7 818</w:t>
                  </w:r>
                </w:p>
              </w:tc>
              <w:tc>
                <w:tcPr>
                  <w:tcW w:w="709" w:type="dxa"/>
                  <w:tcBorders>
                    <w:top w:val="nil"/>
                    <w:left w:val="nil"/>
                    <w:bottom w:val="single" w:sz="4" w:space="0" w:color="auto"/>
                    <w:right w:val="single" w:sz="4" w:space="0" w:color="auto"/>
                  </w:tcBorders>
                  <w:shd w:val="clear" w:color="auto" w:fill="auto"/>
                  <w:noWrap/>
                  <w:vAlign w:val="center"/>
                </w:tcPr>
                <w:p w14:paraId="394BECB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6 508</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30C443E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1 872</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746EBE13"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424</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77EDD15"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104</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38F443F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16 726</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0DE07D0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2 400</w:t>
                  </w:r>
                </w:p>
              </w:tc>
            </w:tr>
            <w:tr w:rsidR="00B01BDE" w:rsidRPr="006D3110" w14:paraId="0724A5AA" w14:textId="77777777" w:rsidTr="00A37856">
              <w:trPr>
                <w:trHeight w:val="285"/>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609599C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700,01-800</w:t>
                  </w:r>
                </w:p>
              </w:tc>
              <w:tc>
                <w:tcPr>
                  <w:tcW w:w="709" w:type="dxa"/>
                  <w:tcBorders>
                    <w:top w:val="nil"/>
                    <w:left w:val="nil"/>
                    <w:bottom w:val="single" w:sz="4" w:space="0" w:color="auto"/>
                    <w:right w:val="single" w:sz="4" w:space="0" w:color="auto"/>
                  </w:tcBorders>
                  <w:shd w:val="clear" w:color="auto" w:fill="auto"/>
                  <w:noWrap/>
                  <w:vAlign w:val="center"/>
                </w:tcPr>
                <w:p w14:paraId="66394686"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7 324</w:t>
                  </w:r>
                </w:p>
              </w:tc>
              <w:tc>
                <w:tcPr>
                  <w:tcW w:w="709" w:type="dxa"/>
                  <w:tcBorders>
                    <w:top w:val="nil"/>
                    <w:left w:val="nil"/>
                    <w:bottom w:val="single" w:sz="4" w:space="0" w:color="auto"/>
                    <w:right w:val="single" w:sz="4" w:space="0" w:color="auto"/>
                  </w:tcBorders>
                  <w:shd w:val="clear" w:color="auto" w:fill="auto"/>
                  <w:noWrap/>
                  <w:vAlign w:val="center"/>
                </w:tcPr>
                <w:p w14:paraId="3E537DB6"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6 230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240A92B3"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1 614</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44AA9FD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300</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0C3BC06"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171</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50110AB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15 639</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38D60FB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2 085</w:t>
                  </w:r>
                </w:p>
              </w:tc>
            </w:tr>
            <w:tr w:rsidR="00B01BDE" w:rsidRPr="006D3110" w14:paraId="7590C4E4" w14:textId="77777777" w:rsidTr="00A37856">
              <w:trPr>
                <w:trHeight w:val="290"/>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23F40C4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800,01-900</w:t>
                  </w:r>
                </w:p>
              </w:tc>
              <w:tc>
                <w:tcPr>
                  <w:tcW w:w="709" w:type="dxa"/>
                  <w:tcBorders>
                    <w:top w:val="nil"/>
                    <w:left w:val="nil"/>
                    <w:bottom w:val="single" w:sz="4" w:space="0" w:color="auto"/>
                    <w:right w:val="single" w:sz="4" w:space="0" w:color="auto"/>
                  </w:tcBorders>
                  <w:shd w:val="clear" w:color="auto" w:fill="auto"/>
                  <w:noWrap/>
                  <w:vAlign w:val="center"/>
                </w:tcPr>
                <w:p w14:paraId="6486D48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6 975</w:t>
                  </w:r>
                </w:p>
              </w:tc>
              <w:tc>
                <w:tcPr>
                  <w:tcW w:w="709" w:type="dxa"/>
                  <w:tcBorders>
                    <w:top w:val="nil"/>
                    <w:left w:val="nil"/>
                    <w:bottom w:val="single" w:sz="4" w:space="0" w:color="auto"/>
                    <w:right w:val="single" w:sz="4" w:space="0" w:color="auto"/>
                  </w:tcBorders>
                  <w:shd w:val="clear" w:color="auto" w:fill="auto"/>
                  <w:noWrap/>
                  <w:vAlign w:val="center"/>
                </w:tcPr>
                <w:p w14:paraId="2393503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6 080</w:t>
                  </w:r>
                </w:p>
              </w:tc>
              <w:tc>
                <w:tcPr>
                  <w:tcW w:w="708" w:type="dxa"/>
                  <w:tcBorders>
                    <w:top w:val="nil"/>
                    <w:left w:val="nil"/>
                    <w:bottom w:val="single" w:sz="4" w:space="0" w:color="auto"/>
                    <w:right w:val="single" w:sz="4" w:space="0" w:color="auto"/>
                  </w:tcBorders>
                  <w:shd w:val="clear" w:color="auto" w:fill="auto"/>
                  <w:noWrap/>
                  <w:vAlign w:val="center"/>
                </w:tcPr>
                <w:p w14:paraId="6579821B"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1 542</w:t>
                  </w:r>
                </w:p>
              </w:tc>
              <w:tc>
                <w:tcPr>
                  <w:tcW w:w="709" w:type="dxa"/>
                  <w:tcBorders>
                    <w:top w:val="nil"/>
                    <w:left w:val="nil"/>
                    <w:bottom w:val="single" w:sz="4" w:space="0" w:color="auto"/>
                    <w:right w:val="single" w:sz="4" w:space="0" w:color="auto"/>
                  </w:tcBorders>
                  <w:shd w:val="clear" w:color="auto" w:fill="D9D9D9" w:themeFill="background1" w:themeFillShade="D9"/>
                  <w:vAlign w:val="center"/>
                </w:tcPr>
                <w:p w14:paraId="0181392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240</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5794901"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117</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28F2970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14 954</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7D991A3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357</w:t>
                  </w:r>
                </w:p>
              </w:tc>
            </w:tr>
            <w:tr w:rsidR="00B01BDE" w:rsidRPr="006D3110" w14:paraId="270267FB" w14:textId="77777777" w:rsidTr="00A37856">
              <w:trPr>
                <w:trHeight w:val="280"/>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4DDE4F25"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900,01-1 000</w:t>
                  </w:r>
                </w:p>
              </w:tc>
              <w:tc>
                <w:tcPr>
                  <w:tcW w:w="709" w:type="dxa"/>
                  <w:tcBorders>
                    <w:top w:val="nil"/>
                    <w:left w:val="nil"/>
                    <w:bottom w:val="single" w:sz="4" w:space="0" w:color="auto"/>
                    <w:right w:val="single" w:sz="4" w:space="0" w:color="auto"/>
                  </w:tcBorders>
                  <w:shd w:val="clear" w:color="auto" w:fill="auto"/>
                  <w:noWrap/>
                  <w:vAlign w:val="center"/>
                </w:tcPr>
                <w:p w14:paraId="648F231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6 605</w:t>
                  </w:r>
                </w:p>
              </w:tc>
              <w:tc>
                <w:tcPr>
                  <w:tcW w:w="709" w:type="dxa"/>
                  <w:tcBorders>
                    <w:top w:val="nil"/>
                    <w:left w:val="nil"/>
                    <w:bottom w:val="single" w:sz="4" w:space="0" w:color="auto"/>
                    <w:right w:val="single" w:sz="4" w:space="0" w:color="auto"/>
                  </w:tcBorders>
                  <w:shd w:val="clear" w:color="auto" w:fill="auto"/>
                  <w:noWrap/>
                  <w:vAlign w:val="center"/>
                </w:tcPr>
                <w:p w14:paraId="62414134"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6 056</w:t>
                  </w:r>
                </w:p>
              </w:tc>
              <w:tc>
                <w:tcPr>
                  <w:tcW w:w="708" w:type="dxa"/>
                  <w:tcBorders>
                    <w:top w:val="nil"/>
                    <w:left w:val="nil"/>
                    <w:bottom w:val="single" w:sz="4" w:space="0" w:color="auto"/>
                    <w:right w:val="single" w:sz="4" w:space="0" w:color="auto"/>
                  </w:tcBorders>
                  <w:shd w:val="clear" w:color="auto" w:fill="auto"/>
                  <w:noWrap/>
                  <w:vAlign w:val="center"/>
                </w:tcPr>
                <w:p w14:paraId="7C6F55A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1 662</w:t>
                  </w:r>
                </w:p>
              </w:tc>
              <w:tc>
                <w:tcPr>
                  <w:tcW w:w="709" w:type="dxa"/>
                  <w:tcBorders>
                    <w:top w:val="nil"/>
                    <w:left w:val="nil"/>
                    <w:bottom w:val="single" w:sz="4" w:space="0" w:color="auto"/>
                    <w:right w:val="single" w:sz="4" w:space="0" w:color="auto"/>
                  </w:tcBorders>
                  <w:vAlign w:val="center"/>
                </w:tcPr>
                <w:p w14:paraId="56361234"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308</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653E9D"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118</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0E1FF23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14 749</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7A9AFDA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118</w:t>
                  </w:r>
                </w:p>
              </w:tc>
            </w:tr>
            <w:tr w:rsidR="00B01BDE" w:rsidRPr="006D3110" w14:paraId="53E9DA06" w14:textId="77777777" w:rsidTr="00A37856">
              <w:trPr>
                <w:trHeight w:val="284"/>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225BE08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1000,01-1100</w:t>
                  </w:r>
                </w:p>
              </w:tc>
              <w:tc>
                <w:tcPr>
                  <w:tcW w:w="709" w:type="dxa"/>
                  <w:tcBorders>
                    <w:top w:val="nil"/>
                    <w:left w:val="nil"/>
                    <w:bottom w:val="single" w:sz="4" w:space="0" w:color="auto"/>
                    <w:right w:val="single" w:sz="4" w:space="0" w:color="auto"/>
                  </w:tcBorders>
                  <w:shd w:val="clear" w:color="auto" w:fill="auto"/>
                  <w:noWrap/>
                  <w:vAlign w:val="center"/>
                </w:tcPr>
                <w:p w14:paraId="39C1547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6 477</w:t>
                  </w:r>
                </w:p>
              </w:tc>
              <w:tc>
                <w:tcPr>
                  <w:tcW w:w="709" w:type="dxa"/>
                  <w:tcBorders>
                    <w:top w:val="nil"/>
                    <w:left w:val="nil"/>
                    <w:bottom w:val="single" w:sz="4" w:space="0" w:color="auto"/>
                    <w:right w:val="single" w:sz="4" w:space="0" w:color="auto"/>
                  </w:tcBorders>
                  <w:shd w:val="clear" w:color="auto" w:fill="auto"/>
                  <w:noWrap/>
                  <w:vAlign w:val="center"/>
                </w:tcPr>
                <w:p w14:paraId="48D12BC5"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5 812</w:t>
                  </w:r>
                </w:p>
              </w:tc>
              <w:tc>
                <w:tcPr>
                  <w:tcW w:w="708" w:type="dxa"/>
                  <w:tcBorders>
                    <w:top w:val="nil"/>
                    <w:left w:val="nil"/>
                    <w:bottom w:val="single" w:sz="4" w:space="0" w:color="auto"/>
                    <w:right w:val="single" w:sz="4" w:space="0" w:color="auto"/>
                  </w:tcBorders>
                  <w:shd w:val="clear" w:color="auto" w:fill="auto"/>
                  <w:noWrap/>
                  <w:vAlign w:val="center"/>
                </w:tcPr>
                <w:p w14:paraId="1B8911A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1 638</w:t>
                  </w:r>
                </w:p>
              </w:tc>
              <w:tc>
                <w:tcPr>
                  <w:tcW w:w="709" w:type="dxa"/>
                  <w:tcBorders>
                    <w:top w:val="nil"/>
                    <w:left w:val="nil"/>
                    <w:bottom w:val="single" w:sz="4" w:space="0" w:color="auto"/>
                    <w:right w:val="single" w:sz="4" w:space="0" w:color="auto"/>
                  </w:tcBorders>
                  <w:vAlign w:val="center"/>
                </w:tcPr>
                <w:p w14:paraId="74776C37"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256</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7F626F"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64</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45EFF7E4"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14 247</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2205CF2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64</w:t>
                  </w:r>
                </w:p>
              </w:tc>
            </w:tr>
            <w:tr w:rsidR="00B01BDE" w:rsidRPr="006D3110" w14:paraId="02FB3140" w14:textId="77777777" w:rsidTr="00A37856">
              <w:trPr>
                <w:trHeight w:val="287"/>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4D5DE88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1100,01-1200</w:t>
                  </w:r>
                </w:p>
              </w:tc>
              <w:tc>
                <w:tcPr>
                  <w:tcW w:w="709" w:type="dxa"/>
                  <w:tcBorders>
                    <w:top w:val="nil"/>
                    <w:left w:val="nil"/>
                    <w:bottom w:val="single" w:sz="4" w:space="0" w:color="auto"/>
                    <w:right w:val="single" w:sz="4" w:space="0" w:color="auto"/>
                  </w:tcBorders>
                  <w:shd w:val="clear" w:color="auto" w:fill="auto"/>
                  <w:noWrap/>
                  <w:vAlign w:val="center"/>
                </w:tcPr>
                <w:p w14:paraId="26AD6BE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5 788</w:t>
                  </w:r>
                </w:p>
              </w:tc>
              <w:tc>
                <w:tcPr>
                  <w:tcW w:w="709" w:type="dxa"/>
                  <w:tcBorders>
                    <w:top w:val="nil"/>
                    <w:left w:val="nil"/>
                    <w:bottom w:val="single" w:sz="4" w:space="0" w:color="auto"/>
                    <w:right w:val="single" w:sz="4" w:space="0" w:color="auto"/>
                  </w:tcBorders>
                  <w:shd w:val="clear" w:color="auto" w:fill="auto"/>
                  <w:noWrap/>
                  <w:vAlign w:val="center"/>
                </w:tcPr>
                <w:p w14:paraId="6611BBAF"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5 178</w:t>
                  </w:r>
                </w:p>
              </w:tc>
              <w:tc>
                <w:tcPr>
                  <w:tcW w:w="708" w:type="dxa"/>
                  <w:tcBorders>
                    <w:top w:val="nil"/>
                    <w:left w:val="nil"/>
                    <w:bottom w:val="single" w:sz="4" w:space="0" w:color="auto"/>
                    <w:right w:val="single" w:sz="4" w:space="0" w:color="auto"/>
                  </w:tcBorders>
                  <w:shd w:val="clear" w:color="auto" w:fill="auto"/>
                  <w:noWrap/>
                  <w:vAlign w:val="center"/>
                </w:tcPr>
                <w:p w14:paraId="515A13F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1 383</w:t>
                  </w:r>
                </w:p>
              </w:tc>
              <w:tc>
                <w:tcPr>
                  <w:tcW w:w="709" w:type="dxa"/>
                  <w:tcBorders>
                    <w:top w:val="nil"/>
                    <w:left w:val="nil"/>
                    <w:bottom w:val="single" w:sz="4" w:space="0" w:color="auto"/>
                    <w:right w:val="single" w:sz="4" w:space="0" w:color="auto"/>
                  </w:tcBorders>
                  <w:vAlign w:val="center"/>
                </w:tcPr>
                <w:p w14:paraId="07BC0FEC"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272</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54BB7E84"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109</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37F1671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12 730</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430DC995"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34</w:t>
                  </w:r>
                </w:p>
              </w:tc>
            </w:tr>
            <w:tr w:rsidR="00B01BDE" w:rsidRPr="006D3110" w14:paraId="47E94868" w14:textId="77777777" w:rsidTr="00A37856">
              <w:trPr>
                <w:trHeight w:val="278"/>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799D08B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1200,01-1300</w:t>
                  </w:r>
                </w:p>
              </w:tc>
              <w:tc>
                <w:tcPr>
                  <w:tcW w:w="709" w:type="dxa"/>
                  <w:tcBorders>
                    <w:top w:val="nil"/>
                    <w:left w:val="nil"/>
                    <w:bottom w:val="single" w:sz="4" w:space="0" w:color="auto"/>
                    <w:right w:val="single" w:sz="4" w:space="0" w:color="auto"/>
                  </w:tcBorders>
                  <w:shd w:val="clear" w:color="auto" w:fill="auto"/>
                  <w:noWrap/>
                  <w:vAlign w:val="center"/>
                </w:tcPr>
                <w:p w14:paraId="1865261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5 112</w:t>
                  </w:r>
                </w:p>
              </w:tc>
              <w:tc>
                <w:tcPr>
                  <w:tcW w:w="709" w:type="dxa"/>
                  <w:tcBorders>
                    <w:top w:val="nil"/>
                    <w:left w:val="nil"/>
                    <w:bottom w:val="single" w:sz="4" w:space="0" w:color="auto"/>
                    <w:right w:val="single" w:sz="4" w:space="0" w:color="auto"/>
                  </w:tcBorders>
                  <w:shd w:val="clear" w:color="auto" w:fill="auto"/>
                  <w:noWrap/>
                  <w:vAlign w:val="center"/>
                </w:tcPr>
                <w:p w14:paraId="7B73DCDB"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4 786</w:t>
                  </w:r>
                </w:p>
              </w:tc>
              <w:tc>
                <w:tcPr>
                  <w:tcW w:w="708" w:type="dxa"/>
                  <w:tcBorders>
                    <w:top w:val="nil"/>
                    <w:left w:val="nil"/>
                    <w:bottom w:val="single" w:sz="4" w:space="0" w:color="auto"/>
                    <w:right w:val="single" w:sz="4" w:space="0" w:color="auto"/>
                  </w:tcBorders>
                  <w:shd w:val="clear" w:color="auto" w:fill="auto"/>
                  <w:noWrap/>
                  <w:vAlign w:val="center"/>
                </w:tcPr>
                <w:p w14:paraId="26ECB1D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1 272</w:t>
                  </w:r>
                </w:p>
              </w:tc>
              <w:tc>
                <w:tcPr>
                  <w:tcW w:w="709" w:type="dxa"/>
                  <w:tcBorders>
                    <w:top w:val="nil"/>
                    <w:left w:val="nil"/>
                    <w:bottom w:val="single" w:sz="4" w:space="0" w:color="auto"/>
                    <w:right w:val="single" w:sz="4" w:space="0" w:color="auto"/>
                  </w:tcBorders>
                  <w:vAlign w:val="center"/>
                </w:tcPr>
                <w:p w14:paraId="616FA813"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224</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138FBD5E"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76</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0C60782C"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11 470</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6BEEEC3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26</w:t>
                  </w:r>
                </w:p>
              </w:tc>
            </w:tr>
            <w:tr w:rsidR="00B01BDE" w:rsidRPr="006D3110" w14:paraId="4E6C2BC0" w14:textId="77777777" w:rsidTr="00A37856">
              <w:trPr>
                <w:trHeight w:val="296"/>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5B8BA7CE"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1300,01-1400</w:t>
                  </w:r>
                </w:p>
              </w:tc>
              <w:tc>
                <w:tcPr>
                  <w:tcW w:w="709" w:type="dxa"/>
                  <w:tcBorders>
                    <w:top w:val="nil"/>
                    <w:left w:val="nil"/>
                    <w:bottom w:val="single" w:sz="4" w:space="0" w:color="auto"/>
                    <w:right w:val="single" w:sz="4" w:space="0" w:color="auto"/>
                  </w:tcBorders>
                  <w:shd w:val="clear" w:color="auto" w:fill="auto"/>
                  <w:noWrap/>
                  <w:vAlign w:val="center"/>
                </w:tcPr>
                <w:p w14:paraId="17B1648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4 267</w:t>
                  </w:r>
                </w:p>
              </w:tc>
              <w:tc>
                <w:tcPr>
                  <w:tcW w:w="709" w:type="dxa"/>
                  <w:tcBorders>
                    <w:top w:val="nil"/>
                    <w:left w:val="nil"/>
                    <w:bottom w:val="single" w:sz="4" w:space="0" w:color="auto"/>
                    <w:right w:val="single" w:sz="4" w:space="0" w:color="auto"/>
                  </w:tcBorders>
                  <w:shd w:val="clear" w:color="auto" w:fill="auto"/>
                  <w:noWrap/>
                  <w:vAlign w:val="center"/>
                </w:tcPr>
                <w:p w14:paraId="0B69541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4 214</w:t>
                  </w:r>
                </w:p>
              </w:tc>
              <w:tc>
                <w:tcPr>
                  <w:tcW w:w="708" w:type="dxa"/>
                  <w:tcBorders>
                    <w:top w:val="nil"/>
                    <w:left w:val="nil"/>
                    <w:bottom w:val="single" w:sz="4" w:space="0" w:color="auto"/>
                    <w:right w:val="single" w:sz="4" w:space="0" w:color="auto"/>
                  </w:tcBorders>
                  <w:shd w:val="clear" w:color="auto" w:fill="auto"/>
                  <w:noWrap/>
                  <w:vAlign w:val="center"/>
                </w:tcPr>
                <w:p w14:paraId="62CC1580"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1 167</w:t>
                  </w:r>
                </w:p>
              </w:tc>
              <w:tc>
                <w:tcPr>
                  <w:tcW w:w="709" w:type="dxa"/>
                  <w:tcBorders>
                    <w:top w:val="nil"/>
                    <w:left w:val="nil"/>
                    <w:bottom w:val="single" w:sz="4" w:space="0" w:color="auto"/>
                    <w:right w:val="single" w:sz="4" w:space="0" w:color="auto"/>
                  </w:tcBorders>
                  <w:vAlign w:val="center"/>
                </w:tcPr>
                <w:p w14:paraId="4A61C836"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168</w:t>
                  </w:r>
                </w:p>
              </w:tc>
              <w:tc>
                <w:tcPr>
                  <w:tcW w:w="567" w:type="dxa"/>
                  <w:tcBorders>
                    <w:top w:val="nil"/>
                    <w:left w:val="single" w:sz="4" w:space="0" w:color="auto"/>
                    <w:bottom w:val="single" w:sz="4" w:space="0" w:color="auto"/>
                    <w:right w:val="single" w:sz="4" w:space="0" w:color="auto"/>
                  </w:tcBorders>
                  <w:shd w:val="clear" w:color="auto" w:fill="auto"/>
                  <w:noWrap/>
                  <w:vAlign w:val="bottom"/>
                </w:tcPr>
                <w:p w14:paraId="244A8AFF"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46</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5AC32822"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9 862</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0BE795D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0</w:t>
                  </w:r>
                </w:p>
              </w:tc>
            </w:tr>
            <w:tr w:rsidR="00B01BDE" w:rsidRPr="006D3110" w14:paraId="134D0E93" w14:textId="77777777" w:rsidTr="00A37856">
              <w:trPr>
                <w:trHeight w:val="272"/>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26D74C0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1400,01-1500</w:t>
                  </w:r>
                </w:p>
              </w:tc>
              <w:tc>
                <w:tcPr>
                  <w:tcW w:w="709" w:type="dxa"/>
                  <w:tcBorders>
                    <w:top w:val="nil"/>
                    <w:left w:val="nil"/>
                    <w:bottom w:val="single" w:sz="4" w:space="0" w:color="auto"/>
                    <w:right w:val="single" w:sz="4" w:space="0" w:color="auto"/>
                  </w:tcBorders>
                  <w:shd w:val="clear" w:color="auto" w:fill="auto"/>
                  <w:noWrap/>
                  <w:vAlign w:val="center"/>
                </w:tcPr>
                <w:p w14:paraId="2C8B8161"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3 590</w:t>
                  </w:r>
                </w:p>
              </w:tc>
              <w:tc>
                <w:tcPr>
                  <w:tcW w:w="709" w:type="dxa"/>
                  <w:tcBorders>
                    <w:top w:val="nil"/>
                    <w:left w:val="nil"/>
                    <w:bottom w:val="single" w:sz="4" w:space="0" w:color="auto"/>
                    <w:right w:val="single" w:sz="4" w:space="0" w:color="auto"/>
                  </w:tcBorders>
                  <w:shd w:val="clear" w:color="auto" w:fill="auto"/>
                  <w:noWrap/>
                  <w:vAlign w:val="center"/>
                </w:tcPr>
                <w:p w14:paraId="7EEF36DC"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3 698</w:t>
                  </w:r>
                </w:p>
              </w:tc>
              <w:tc>
                <w:tcPr>
                  <w:tcW w:w="708" w:type="dxa"/>
                  <w:tcBorders>
                    <w:top w:val="nil"/>
                    <w:left w:val="nil"/>
                    <w:bottom w:val="single" w:sz="4" w:space="0" w:color="auto"/>
                    <w:right w:val="single" w:sz="4" w:space="0" w:color="auto"/>
                  </w:tcBorders>
                  <w:shd w:val="clear" w:color="auto" w:fill="auto"/>
                  <w:noWrap/>
                  <w:vAlign w:val="center"/>
                </w:tcPr>
                <w:p w14:paraId="3A1880D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1 044</w:t>
                  </w:r>
                </w:p>
              </w:tc>
              <w:tc>
                <w:tcPr>
                  <w:tcW w:w="709" w:type="dxa"/>
                  <w:tcBorders>
                    <w:top w:val="nil"/>
                    <w:left w:val="nil"/>
                    <w:bottom w:val="single" w:sz="4" w:space="0" w:color="auto"/>
                    <w:right w:val="single" w:sz="4" w:space="0" w:color="auto"/>
                  </w:tcBorders>
                  <w:vAlign w:val="center"/>
                </w:tcPr>
                <w:p w14:paraId="5913C01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160</w:t>
                  </w:r>
                </w:p>
              </w:tc>
              <w:tc>
                <w:tcPr>
                  <w:tcW w:w="567" w:type="dxa"/>
                  <w:tcBorders>
                    <w:top w:val="nil"/>
                    <w:left w:val="single" w:sz="4" w:space="0" w:color="auto"/>
                    <w:bottom w:val="single" w:sz="4" w:space="0" w:color="auto"/>
                    <w:right w:val="single" w:sz="4" w:space="0" w:color="auto"/>
                  </w:tcBorders>
                  <w:shd w:val="clear" w:color="auto" w:fill="auto"/>
                  <w:noWrap/>
                  <w:vAlign w:val="bottom"/>
                </w:tcPr>
                <w:p w14:paraId="65BD72EB"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45</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center"/>
                </w:tcPr>
                <w:p w14:paraId="2FEE9A88"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bCs/>
                      <w:color w:val="000000"/>
                      <w:sz w:val="16"/>
                      <w:szCs w:val="16"/>
                      <w:lang w:eastAsia="lv-LV"/>
                    </w:rPr>
                    <w:t>8 537</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6FAB223A"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color w:val="000000"/>
                      <w:sz w:val="16"/>
                      <w:szCs w:val="16"/>
                      <w:lang w:eastAsia="lv-LV"/>
                    </w:rPr>
                    <w:t>8</w:t>
                  </w:r>
                </w:p>
              </w:tc>
            </w:tr>
            <w:tr w:rsidR="00B01BDE" w:rsidRPr="006D3110" w14:paraId="22147093" w14:textId="77777777" w:rsidTr="00A37856">
              <w:trPr>
                <w:trHeight w:val="289"/>
              </w:trPr>
              <w:tc>
                <w:tcPr>
                  <w:tcW w:w="1301" w:type="dxa"/>
                  <w:tcBorders>
                    <w:top w:val="nil"/>
                    <w:left w:val="single" w:sz="4" w:space="0" w:color="auto"/>
                    <w:bottom w:val="single" w:sz="4" w:space="0" w:color="auto"/>
                    <w:right w:val="single" w:sz="4" w:space="0" w:color="auto"/>
                  </w:tcBorders>
                  <w:shd w:val="clear" w:color="auto" w:fill="auto"/>
                  <w:noWrap/>
                  <w:vAlign w:val="center"/>
                </w:tcPr>
                <w:p w14:paraId="0E34C87D"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rFonts w:eastAsia="Times New Roman"/>
                      <w:color w:val="000000"/>
                      <w:sz w:val="16"/>
                      <w:szCs w:val="16"/>
                      <w:lang w:eastAsia="lv-LV"/>
                    </w:rPr>
                    <w:t>Virs 1 500,01</w:t>
                  </w:r>
                </w:p>
              </w:tc>
              <w:tc>
                <w:tcPr>
                  <w:tcW w:w="709" w:type="dxa"/>
                  <w:tcBorders>
                    <w:top w:val="nil"/>
                    <w:left w:val="nil"/>
                    <w:bottom w:val="single" w:sz="4" w:space="0" w:color="auto"/>
                    <w:right w:val="single" w:sz="4" w:space="0" w:color="auto"/>
                  </w:tcBorders>
                  <w:shd w:val="clear" w:color="auto" w:fill="auto"/>
                  <w:noWrap/>
                  <w:vAlign w:val="bottom"/>
                </w:tcPr>
                <w:p w14:paraId="19FC27E6"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22 336</w:t>
                  </w:r>
                </w:p>
              </w:tc>
              <w:tc>
                <w:tcPr>
                  <w:tcW w:w="709" w:type="dxa"/>
                  <w:tcBorders>
                    <w:top w:val="nil"/>
                    <w:left w:val="nil"/>
                    <w:bottom w:val="single" w:sz="4" w:space="0" w:color="auto"/>
                    <w:right w:val="single" w:sz="4" w:space="0" w:color="auto"/>
                  </w:tcBorders>
                  <w:shd w:val="clear" w:color="auto" w:fill="auto"/>
                  <w:noWrap/>
                  <w:vAlign w:val="bottom"/>
                </w:tcPr>
                <w:p w14:paraId="799356C7"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28 606</w:t>
                  </w:r>
                </w:p>
              </w:tc>
              <w:tc>
                <w:tcPr>
                  <w:tcW w:w="708" w:type="dxa"/>
                  <w:tcBorders>
                    <w:top w:val="nil"/>
                    <w:left w:val="nil"/>
                    <w:bottom w:val="single" w:sz="4" w:space="0" w:color="auto"/>
                    <w:right w:val="single" w:sz="4" w:space="0" w:color="auto"/>
                  </w:tcBorders>
                  <w:shd w:val="clear" w:color="auto" w:fill="auto"/>
                  <w:noWrap/>
                  <w:vAlign w:val="bottom"/>
                </w:tcPr>
                <w:p w14:paraId="24750149"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9 354</w:t>
                  </w:r>
                </w:p>
              </w:tc>
              <w:tc>
                <w:tcPr>
                  <w:tcW w:w="709" w:type="dxa"/>
                  <w:tcBorders>
                    <w:top w:val="nil"/>
                    <w:left w:val="nil"/>
                    <w:bottom w:val="single" w:sz="4" w:space="0" w:color="auto"/>
                    <w:right w:val="single" w:sz="4" w:space="0" w:color="auto"/>
                  </w:tcBorders>
                  <w:vAlign w:val="bottom"/>
                </w:tcPr>
                <w:p w14:paraId="37BF2410"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1 412</w:t>
                  </w:r>
                </w:p>
              </w:tc>
              <w:tc>
                <w:tcPr>
                  <w:tcW w:w="567" w:type="dxa"/>
                  <w:tcBorders>
                    <w:top w:val="nil"/>
                    <w:left w:val="single" w:sz="4" w:space="0" w:color="auto"/>
                    <w:bottom w:val="single" w:sz="4" w:space="0" w:color="auto"/>
                    <w:right w:val="single" w:sz="4" w:space="0" w:color="auto"/>
                  </w:tcBorders>
                  <w:shd w:val="clear" w:color="auto" w:fill="auto"/>
                  <w:noWrap/>
                  <w:vAlign w:val="bottom"/>
                </w:tcPr>
                <w:p w14:paraId="3AD74BC9" w14:textId="77777777" w:rsidR="00B01BDE" w:rsidRPr="006D3110" w:rsidRDefault="00B01BDE" w:rsidP="00B01BDE">
                  <w:pPr>
                    <w:spacing w:after="0" w:line="240" w:lineRule="auto"/>
                    <w:jc w:val="center"/>
                    <w:rPr>
                      <w:color w:val="000000"/>
                      <w:sz w:val="16"/>
                      <w:szCs w:val="16"/>
                      <w:lang w:eastAsia="lv-LV"/>
                    </w:rPr>
                  </w:pPr>
                  <w:r w:rsidRPr="006D3110">
                    <w:rPr>
                      <w:color w:val="000000"/>
                      <w:sz w:val="16"/>
                      <w:szCs w:val="16"/>
                      <w:lang w:eastAsia="lv-LV"/>
                    </w:rPr>
                    <w:t>355</w:t>
                  </w:r>
                </w:p>
              </w:tc>
              <w:tc>
                <w:tcPr>
                  <w:tcW w:w="709" w:type="dxa"/>
                  <w:tcBorders>
                    <w:top w:val="single" w:sz="4" w:space="0" w:color="auto"/>
                    <w:left w:val="single" w:sz="8" w:space="0" w:color="auto"/>
                    <w:bottom w:val="single" w:sz="4" w:space="0" w:color="auto"/>
                    <w:right w:val="single" w:sz="8" w:space="0" w:color="auto"/>
                  </w:tcBorders>
                  <w:shd w:val="clear" w:color="auto" w:fill="BDD6EE" w:themeFill="accent1" w:themeFillTint="66"/>
                  <w:noWrap/>
                  <w:vAlign w:val="bottom"/>
                </w:tcPr>
                <w:p w14:paraId="70832CEB" w14:textId="77777777" w:rsidR="00B01BDE" w:rsidRPr="006D3110" w:rsidRDefault="00B01BDE" w:rsidP="00B01BDE">
                  <w:pPr>
                    <w:spacing w:after="0" w:line="240" w:lineRule="auto"/>
                    <w:jc w:val="center"/>
                    <w:rPr>
                      <w:bCs/>
                      <w:color w:val="000000"/>
                      <w:sz w:val="16"/>
                      <w:szCs w:val="16"/>
                      <w:lang w:eastAsia="lv-LV"/>
                    </w:rPr>
                  </w:pPr>
                  <w:r w:rsidRPr="006D3110">
                    <w:rPr>
                      <w:bCs/>
                      <w:color w:val="000000"/>
                      <w:sz w:val="16"/>
                      <w:szCs w:val="16"/>
                      <w:lang w:eastAsia="lv-LV"/>
                    </w:rPr>
                    <w:t>62 063</w:t>
                  </w:r>
                </w:p>
              </w:tc>
              <w:tc>
                <w:tcPr>
                  <w:tcW w:w="1030" w:type="dxa"/>
                  <w:tcBorders>
                    <w:top w:val="single" w:sz="4" w:space="0" w:color="auto"/>
                    <w:left w:val="single" w:sz="8" w:space="0" w:color="auto"/>
                    <w:bottom w:val="single" w:sz="4" w:space="0" w:color="auto"/>
                    <w:right w:val="single" w:sz="8" w:space="0" w:color="auto"/>
                  </w:tcBorders>
                  <w:shd w:val="clear" w:color="auto" w:fill="BDD6EE" w:themeFill="accent1" w:themeFillTint="66"/>
                  <w:vAlign w:val="bottom"/>
                </w:tcPr>
                <w:p w14:paraId="735F1779" w14:textId="77777777" w:rsidR="00B01BDE" w:rsidRPr="006D3110" w:rsidRDefault="00B01BDE" w:rsidP="00B01BDE">
                  <w:pPr>
                    <w:spacing w:after="0" w:line="240" w:lineRule="auto"/>
                    <w:jc w:val="center"/>
                    <w:rPr>
                      <w:rFonts w:eastAsia="Times New Roman"/>
                      <w:color w:val="000000"/>
                      <w:sz w:val="16"/>
                      <w:szCs w:val="16"/>
                      <w:lang w:eastAsia="lv-LV"/>
                    </w:rPr>
                  </w:pPr>
                  <w:r w:rsidRPr="006D3110">
                    <w:rPr>
                      <w:rFonts w:eastAsia="Times New Roman"/>
                      <w:color w:val="000000"/>
                      <w:sz w:val="16"/>
                      <w:szCs w:val="16"/>
                      <w:lang w:eastAsia="lv-LV"/>
                    </w:rPr>
                    <w:t>7</w:t>
                  </w:r>
                </w:p>
              </w:tc>
            </w:tr>
            <w:tr w:rsidR="00B01BDE" w:rsidRPr="006D3110" w14:paraId="5EA439B7" w14:textId="77777777" w:rsidTr="00A37856">
              <w:trPr>
                <w:trHeight w:val="109"/>
              </w:trPr>
              <w:tc>
                <w:tcPr>
                  <w:tcW w:w="1301" w:type="dxa"/>
                  <w:tcBorders>
                    <w:top w:val="single" w:sz="8" w:space="0" w:color="auto"/>
                    <w:left w:val="single" w:sz="4" w:space="0" w:color="auto"/>
                    <w:bottom w:val="single" w:sz="8" w:space="0" w:color="auto"/>
                    <w:right w:val="single" w:sz="4" w:space="0" w:color="auto"/>
                  </w:tcBorders>
                  <w:shd w:val="clear" w:color="auto" w:fill="BDD6EE" w:themeFill="accent1" w:themeFillTint="66"/>
                  <w:noWrap/>
                  <w:vAlign w:val="bottom"/>
                  <w:hideMark/>
                </w:tcPr>
                <w:p w14:paraId="052F755F" w14:textId="77777777" w:rsidR="00B01BDE" w:rsidRPr="006D3110" w:rsidRDefault="00B01BDE" w:rsidP="00B01BDE">
                  <w:pPr>
                    <w:spacing w:after="0" w:line="240" w:lineRule="auto"/>
                    <w:rPr>
                      <w:rFonts w:eastAsia="Times New Roman"/>
                      <w:b/>
                      <w:bCs/>
                      <w:sz w:val="16"/>
                      <w:szCs w:val="16"/>
                      <w:lang w:eastAsia="lv-LV"/>
                    </w:rPr>
                  </w:pPr>
                  <w:r w:rsidRPr="006D3110">
                    <w:rPr>
                      <w:rFonts w:eastAsia="Times New Roman"/>
                      <w:b/>
                      <w:bCs/>
                      <w:sz w:val="16"/>
                      <w:szCs w:val="16"/>
                      <w:lang w:eastAsia="lv-LV"/>
                    </w:rPr>
                    <w:t>KOPĀ</w:t>
                  </w:r>
                </w:p>
              </w:tc>
              <w:tc>
                <w:tcPr>
                  <w:tcW w:w="709" w:type="dxa"/>
                  <w:tcBorders>
                    <w:top w:val="single" w:sz="8" w:space="0" w:color="auto"/>
                    <w:left w:val="nil"/>
                    <w:bottom w:val="single" w:sz="8" w:space="0" w:color="auto"/>
                    <w:right w:val="single" w:sz="4" w:space="0" w:color="auto"/>
                  </w:tcBorders>
                  <w:shd w:val="clear" w:color="auto" w:fill="BDD6EE" w:themeFill="accent1" w:themeFillTint="66"/>
                  <w:noWrap/>
                  <w:vAlign w:val="bottom"/>
                </w:tcPr>
                <w:p w14:paraId="08B6794F" w14:textId="77777777" w:rsidR="00B01BDE" w:rsidRPr="006D3110" w:rsidRDefault="00B01BDE" w:rsidP="00B01BDE">
                  <w:pPr>
                    <w:spacing w:after="0" w:line="240" w:lineRule="auto"/>
                    <w:jc w:val="center"/>
                    <w:rPr>
                      <w:rFonts w:eastAsia="Times New Roman"/>
                      <w:b/>
                      <w:bCs/>
                      <w:sz w:val="16"/>
                      <w:szCs w:val="16"/>
                      <w:lang w:eastAsia="lv-LV"/>
                    </w:rPr>
                  </w:pPr>
                  <w:r w:rsidRPr="006D3110">
                    <w:rPr>
                      <w:rFonts w:eastAsia="Times New Roman"/>
                      <w:b/>
                      <w:bCs/>
                      <w:sz w:val="16"/>
                      <w:szCs w:val="16"/>
                      <w:lang w:eastAsia="lv-LV"/>
                    </w:rPr>
                    <w:t>129 783</w:t>
                  </w:r>
                </w:p>
              </w:tc>
              <w:tc>
                <w:tcPr>
                  <w:tcW w:w="709" w:type="dxa"/>
                  <w:tcBorders>
                    <w:top w:val="single" w:sz="8" w:space="0" w:color="auto"/>
                    <w:left w:val="nil"/>
                    <w:bottom w:val="single" w:sz="8" w:space="0" w:color="auto"/>
                    <w:right w:val="single" w:sz="4" w:space="0" w:color="auto"/>
                  </w:tcBorders>
                  <w:shd w:val="clear" w:color="auto" w:fill="BDD6EE" w:themeFill="accent1" w:themeFillTint="66"/>
                  <w:noWrap/>
                  <w:vAlign w:val="bottom"/>
                </w:tcPr>
                <w:p w14:paraId="5B587D3A" w14:textId="77777777" w:rsidR="00B01BDE" w:rsidRPr="006D3110" w:rsidRDefault="00B01BDE" w:rsidP="00B01BDE">
                  <w:pPr>
                    <w:spacing w:after="0" w:line="240" w:lineRule="auto"/>
                    <w:jc w:val="center"/>
                    <w:rPr>
                      <w:rFonts w:eastAsia="Times New Roman"/>
                      <w:b/>
                      <w:bCs/>
                      <w:sz w:val="16"/>
                      <w:szCs w:val="16"/>
                      <w:lang w:eastAsia="lv-LV"/>
                    </w:rPr>
                  </w:pPr>
                  <w:r w:rsidRPr="006D3110">
                    <w:rPr>
                      <w:rFonts w:eastAsia="Times New Roman"/>
                      <w:b/>
                      <w:bCs/>
                      <w:sz w:val="16"/>
                      <w:szCs w:val="16"/>
                      <w:lang w:eastAsia="lv-LV"/>
                    </w:rPr>
                    <w:t>118 968</w:t>
                  </w:r>
                </w:p>
              </w:tc>
              <w:tc>
                <w:tcPr>
                  <w:tcW w:w="708" w:type="dxa"/>
                  <w:tcBorders>
                    <w:top w:val="single" w:sz="8" w:space="0" w:color="auto"/>
                    <w:left w:val="nil"/>
                    <w:bottom w:val="single" w:sz="8" w:space="0" w:color="auto"/>
                    <w:right w:val="single" w:sz="4" w:space="0" w:color="auto"/>
                  </w:tcBorders>
                  <w:shd w:val="clear" w:color="auto" w:fill="BDD6EE" w:themeFill="accent1" w:themeFillTint="66"/>
                  <w:noWrap/>
                  <w:vAlign w:val="bottom"/>
                </w:tcPr>
                <w:p w14:paraId="6CC8F661" w14:textId="77777777" w:rsidR="00B01BDE" w:rsidRPr="006D3110" w:rsidRDefault="00B01BDE" w:rsidP="00B01BDE">
                  <w:pPr>
                    <w:spacing w:after="0" w:line="240" w:lineRule="auto"/>
                    <w:jc w:val="center"/>
                    <w:rPr>
                      <w:rFonts w:eastAsia="Times New Roman"/>
                      <w:b/>
                      <w:bCs/>
                      <w:sz w:val="16"/>
                      <w:szCs w:val="16"/>
                      <w:lang w:eastAsia="lv-LV"/>
                    </w:rPr>
                  </w:pPr>
                  <w:r w:rsidRPr="006D3110">
                    <w:rPr>
                      <w:rFonts w:eastAsia="Times New Roman"/>
                      <w:b/>
                      <w:bCs/>
                      <w:sz w:val="16"/>
                      <w:szCs w:val="16"/>
                      <w:lang w:eastAsia="lv-LV"/>
                    </w:rPr>
                    <w:t>36 249</w:t>
                  </w:r>
                </w:p>
              </w:tc>
              <w:tc>
                <w:tcPr>
                  <w:tcW w:w="709" w:type="dxa"/>
                  <w:tcBorders>
                    <w:top w:val="single" w:sz="8" w:space="0" w:color="auto"/>
                    <w:left w:val="nil"/>
                    <w:bottom w:val="single" w:sz="8" w:space="0" w:color="auto"/>
                    <w:right w:val="single" w:sz="4" w:space="0" w:color="auto"/>
                  </w:tcBorders>
                  <w:shd w:val="clear" w:color="auto" w:fill="BDD6EE" w:themeFill="accent1" w:themeFillTint="66"/>
                  <w:vAlign w:val="bottom"/>
                </w:tcPr>
                <w:p w14:paraId="74A0DF0C" w14:textId="77777777" w:rsidR="00B01BDE" w:rsidRPr="006D3110" w:rsidRDefault="00B01BDE" w:rsidP="00B01BDE">
                  <w:pPr>
                    <w:spacing w:after="0" w:line="240" w:lineRule="auto"/>
                    <w:jc w:val="center"/>
                    <w:rPr>
                      <w:rFonts w:eastAsia="Times New Roman"/>
                      <w:b/>
                      <w:bCs/>
                      <w:sz w:val="16"/>
                      <w:szCs w:val="16"/>
                      <w:lang w:eastAsia="lv-LV"/>
                    </w:rPr>
                  </w:pPr>
                  <w:r w:rsidRPr="006D3110">
                    <w:rPr>
                      <w:rFonts w:eastAsia="Times New Roman"/>
                      <w:b/>
                      <w:bCs/>
                      <w:sz w:val="16"/>
                      <w:szCs w:val="16"/>
                      <w:lang w:eastAsia="lv-LV"/>
                    </w:rPr>
                    <w:t>7 164</w:t>
                  </w:r>
                </w:p>
              </w:tc>
              <w:tc>
                <w:tcPr>
                  <w:tcW w:w="567" w:type="dxa"/>
                  <w:tcBorders>
                    <w:top w:val="single" w:sz="8" w:space="0" w:color="auto"/>
                    <w:left w:val="single" w:sz="4" w:space="0" w:color="auto"/>
                    <w:bottom w:val="single" w:sz="8" w:space="0" w:color="auto"/>
                    <w:right w:val="single" w:sz="4" w:space="0" w:color="auto"/>
                  </w:tcBorders>
                  <w:shd w:val="clear" w:color="auto" w:fill="BDD6EE" w:themeFill="accent1" w:themeFillTint="66"/>
                  <w:noWrap/>
                  <w:vAlign w:val="bottom"/>
                </w:tcPr>
                <w:p w14:paraId="5A99BA48" w14:textId="77777777" w:rsidR="00B01BDE" w:rsidRPr="006D3110" w:rsidRDefault="00B01BDE" w:rsidP="00B01BDE">
                  <w:pPr>
                    <w:spacing w:after="0" w:line="240" w:lineRule="auto"/>
                    <w:jc w:val="center"/>
                    <w:rPr>
                      <w:rFonts w:eastAsia="Times New Roman"/>
                      <w:b/>
                      <w:bCs/>
                      <w:sz w:val="16"/>
                      <w:szCs w:val="16"/>
                      <w:lang w:eastAsia="lv-LV"/>
                    </w:rPr>
                  </w:pPr>
                  <w:r w:rsidRPr="006D3110">
                    <w:rPr>
                      <w:rFonts w:eastAsia="Times New Roman"/>
                      <w:b/>
                      <w:bCs/>
                      <w:sz w:val="16"/>
                      <w:szCs w:val="16"/>
                      <w:lang w:eastAsia="lv-LV"/>
                    </w:rPr>
                    <w:t>2 624</w:t>
                  </w:r>
                </w:p>
              </w:tc>
              <w:tc>
                <w:tcPr>
                  <w:tcW w:w="709"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tcPr>
                <w:p w14:paraId="568C3DC9" w14:textId="77777777" w:rsidR="00B01BDE" w:rsidRPr="006D3110" w:rsidRDefault="00B01BDE" w:rsidP="00B01BDE">
                  <w:pPr>
                    <w:spacing w:after="0" w:line="240" w:lineRule="auto"/>
                    <w:jc w:val="center"/>
                    <w:rPr>
                      <w:b/>
                      <w:bCs/>
                      <w:color w:val="000000"/>
                      <w:sz w:val="16"/>
                      <w:szCs w:val="16"/>
                      <w:lang w:eastAsia="lv-LV"/>
                    </w:rPr>
                  </w:pPr>
                  <w:r w:rsidRPr="006D3110">
                    <w:rPr>
                      <w:b/>
                      <w:bCs/>
                      <w:color w:val="000000"/>
                      <w:sz w:val="16"/>
                      <w:szCs w:val="16"/>
                      <w:lang w:eastAsia="lv-LV"/>
                    </w:rPr>
                    <w:t>294 788</w:t>
                  </w:r>
                </w:p>
              </w:tc>
              <w:tc>
                <w:tcPr>
                  <w:tcW w:w="103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bottom"/>
                </w:tcPr>
                <w:p w14:paraId="5D2B3BDB" w14:textId="77777777" w:rsidR="00B01BDE" w:rsidRPr="006D3110" w:rsidRDefault="00B01BDE" w:rsidP="00B01BDE">
                  <w:pPr>
                    <w:spacing w:after="0" w:line="240" w:lineRule="auto"/>
                    <w:jc w:val="center"/>
                    <w:rPr>
                      <w:rFonts w:eastAsia="Times New Roman"/>
                      <w:b/>
                      <w:bCs/>
                      <w:sz w:val="16"/>
                      <w:szCs w:val="16"/>
                      <w:lang w:eastAsia="lv-LV"/>
                    </w:rPr>
                  </w:pPr>
                  <w:r w:rsidRPr="006D3110">
                    <w:rPr>
                      <w:b/>
                      <w:bCs/>
                      <w:sz w:val="16"/>
                      <w:szCs w:val="16"/>
                      <w:lang w:eastAsia="lv-LV"/>
                    </w:rPr>
                    <w:t>100 402</w:t>
                  </w:r>
                </w:p>
              </w:tc>
            </w:tr>
            <w:tr w:rsidR="00B01BDE" w:rsidRPr="006D3110" w14:paraId="05B1A735" w14:textId="77777777" w:rsidTr="00A37856">
              <w:trPr>
                <w:trHeight w:val="92"/>
              </w:trPr>
              <w:tc>
                <w:tcPr>
                  <w:tcW w:w="1301" w:type="dxa"/>
                  <w:tcBorders>
                    <w:top w:val="single" w:sz="8" w:space="0" w:color="auto"/>
                    <w:left w:val="single" w:sz="4" w:space="0" w:color="auto"/>
                    <w:bottom w:val="single" w:sz="4" w:space="0" w:color="auto"/>
                    <w:right w:val="single" w:sz="4" w:space="0" w:color="auto"/>
                  </w:tcBorders>
                  <w:shd w:val="clear" w:color="auto" w:fill="BDD6EE" w:themeFill="accent1" w:themeFillTint="66"/>
                  <w:noWrap/>
                  <w:vAlign w:val="center"/>
                </w:tcPr>
                <w:p w14:paraId="5D4716AB" w14:textId="77777777" w:rsidR="00B01BDE" w:rsidRPr="006D3110" w:rsidRDefault="00B01BDE" w:rsidP="00B01BDE">
                  <w:pPr>
                    <w:spacing w:after="0" w:line="240" w:lineRule="auto"/>
                    <w:rPr>
                      <w:rFonts w:eastAsia="Times New Roman"/>
                      <w:b/>
                      <w:bCs/>
                      <w:i/>
                      <w:sz w:val="16"/>
                      <w:szCs w:val="16"/>
                      <w:lang w:eastAsia="lv-LV"/>
                    </w:rPr>
                  </w:pPr>
                  <w:r w:rsidRPr="006D3110">
                    <w:rPr>
                      <w:rFonts w:eastAsia="Times New Roman"/>
                      <w:b/>
                      <w:bCs/>
                      <w:i/>
                      <w:sz w:val="16"/>
                      <w:szCs w:val="16"/>
                      <w:lang w:eastAsia="lv-LV"/>
                    </w:rPr>
                    <w:t>% no kopējā skaita</w:t>
                  </w:r>
                </w:p>
              </w:tc>
              <w:tc>
                <w:tcPr>
                  <w:tcW w:w="709" w:type="dxa"/>
                  <w:tcBorders>
                    <w:top w:val="single" w:sz="8" w:space="0" w:color="auto"/>
                    <w:left w:val="nil"/>
                    <w:bottom w:val="single" w:sz="4" w:space="0" w:color="auto"/>
                    <w:right w:val="single" w:sz="4" w:space="0" w:color="auto"/>
                  </w:tcBorders>
                  <w:shd w:val="clear" w:color="auto" w:fill="BDD6EE" w:themeFill="accent1" w:themeFillTint="66"/>
                  <w:noWrap/>
                  <w:vAlign w:val="bottom"/>
                </w:tcPr>
                <w:p w14:paraId="0B3D7B43"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44,0%</w:t>
                  </w:r>
                </w:p>
              </w:tc>
              <w:tc>
                <w:tcPr>
                  <w:tcW w:w="709" w:type="dxa"/>
                  <w:tcBorders>
                    <w:top w:val="single" w:sz="8" w:space="0" w:color="auto"/>
                    <w:left w:val="nil"/>
                    <w:bottom w:val="single" w:sz="4" w:space="0" w:color="auto"/>
                    <w:right w:val="single" w:sz="4" w:space="0" w:color="auto"/>
                  </w:tcBorders>
                  <w:shd w:val="clear" w:color="auto" w:fill="BDD6EE" w:themeFill="accent1" w:themeFillTint="66"/>
                  <w:noWrap/>
                  <w:vAlign w:val="bottom"/>
                </w:tcPr>
                <w:p w14:paraId="50AE6459"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40,4%</w:t>
                  </w:r>
                </w:p>
              </w:tc>
              <w:tc>
                <w:tcPr>
                  <w:tcW w:w="708" w:type="dxa"/>
                  <w:tcBorders>
                    <w:top w:val="single" w:sz="8" w:space="0" w:color="auto"/>
                    <w:left w:val="nil"/>
                    <w:bottom w:val="single" w:sz="4" w:space="0" w:color="auto"/>
                    <w:right w:val="single" w:sz="4" w:space="0" w:color="auto"/>
                  </w:tcBorders>
                  <w:shd w:val="clear" w:color="auto" w:fill="BDD6EE" w:themeFill="accent1" w:themeFillTint="66"/>
                  <w:noWrap/>
                  <w:vAlign w:val="bottom"/>
                </w:tcPr>
                <w:p w14:paraId="4D4C8E36"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12,3%</w:t>
                  </w:r>
                </w:p>
              </w:tc>
              <w:tc>
                <w:tcPr>
                  <w:tcW w:w="709" w:type="dxa"/>
                  <w:tcBorders>
                    <w:top w:val="single" w:sz="8" w:space="0" w:color="auto"/>
                    <w:left w:val="nil"/>
                    <w:bottom w:val="single" w:sz="4" w:space="0" w:color="auto"/>
                    <w:right w:val="single" w:sz="4" w:space="0" w:color="auto"/>
                  </w:tcBorders>
                  <w:shd w:val="clear" w:color="auto" w:fill="BDD6EE" w:themeFill="accent1" w:themeFillTint="66"/>
                  <w:vAlign w:val="bottom"/>
                </w:tcPr>
                <w:p w14:paraId="0CF88C54"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2,4%</w:t>
                  </w:r>
                </w:p>
              </w:tc>
              <w:tc>
                <w:tcPr>
                  <w:tcW w:w="567" w:type="dxa"/>
                  <w:tcBorders>
                    <w:top w:val="single" w:sz="8" w:space="0" w:color="auto"/>
                    <w:left w:val="single" w:sz="4" w:space="0" w:color="auto"/>
                    <w:bottom w:val="single" w:sz="4" w:space="0" w:color="auto"/>
                    <w:right w:val="single" w:sz="4" w:space="0" w:color="auto"/>
                  </w:tcBorders>
                  <w:shd w:val="clear" w:color="auto" w:fill="BDD6EE" w:themeFill="accent1" w:themeFillTint="66"/>
                  <w:noWrap/>
                  <w:vAlign w:val="center"/>
                </w:tcPr>
                <w:p w14:paraId="362C3CC5"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0,9%</w:t>
                  </w:r>
                </w:p>
              </w:tc>
              <w:tc>
                <w:tcPr>
                  <w:tcW w:w="709" w:type="dxa"/>
                  <w:tcBorders>
                    <w:top w:val="single" w:sz="8" w:space="0" w:color="auto"/>
                    <w:left w:val="single" w:sz="8" w:space="0" w:color="auto"/>
                    <w:bottom w:val="single" w:sz="4" w:space="0" w:color="auto"/>
                    <w:right w:val="single" w:sz="8" w:space="0" w:color="auto"/>
                  </w:tcBorders>
                  <w:shd w:val="clear" w:color="auto" w:fill="BDD6EE" w:themeFill="accent1" w:themeFillTint="66"/>
                  <w:noWrap/>
                  <w:vAlign w:val="center"/>
                </w:tcPr>
                <w:p w14:paraId="5A242BA1" w14:textId="77777777" w:rsidR="00B01BDE" w:rsidRPr="006D3110" w:rsidRDefault="00B01BDE" w:rsidP="00B01BDE">
                  <w:pPr>
                    <w:spacing w:after="0" w:line="240" w:lineRule="auto"/>
                    <w:jc w:val="center"/>
                    <w:rPr>
                      <w:rFonts w:eastAsia="Times New Roman"/>
                      <w:b/>
                      <w:bCs/>
                      <w:i/>
                      <w:sz w:val="16"/>
                      <w:szCs w:val="16"/>
                      <w:lang w:eastAsia="lv-LV"/>
                    </w:rPr>
                  </w:pPr>
                  <w:r w:rsidRPr="006D3110">
                    <w:rPr>
                      <w:rFonts w:eastAsia="Times New Roman"/>
                      <w:b/>
                      <w:bCs/>
                      <w:i/>
                      <w:sz w:val="16"/>
                      <w:szCs w:val="16"/>
                      <w:lang w:eastAsia="lv-LV"/>
                    </w:rPr>
                    <w:t>100,0%</w:t>
                  </w:r>
                </w:p>
              </w:tc>
              <w:tc>
                <w:tcPr>
                  <w:tcW w:w="1030" w:type="dxa"/>
                  <w:tcBorders>
                    <w:top w:val="single" w:sz="8" w:space="0" w:color="auto"/>
                    <w:left w:val="single" w:sz="8" w:space="0" w:color="auto"/>
                    <w:bottom w:val="single" w:sz="4" w:space="0" w:color="auto"/>
                    <w:right w:val="single" w:sz="8" w:space="0" w:color="auto"/>
                  </w:tcBorders>
                  <w:shd w:val="clear" w:color="auto" w:fill="BDD6EE" w:themeFill="accent1" w:themeFillTint="66"/>
                  <w:vAlign w:val="bottom"/>
                </w:tcPr>
                <w:p w14:paraId="38AAA611" w14:textId="77777777" w:rsidR="00B01BDE" w:rsidRPr="006D3110" w:rsidRDefault="00B01BDE" w:rsidP="00B01BDE">
                  <w:pPr>
                    <w:spacing w:after="0" w:line="240" w:lineRule="auto"/>
                    <w:jc w:val="center"/>
                    <w:rPr>
                      <w:rFonts w:eastAsia="Times New Roman"/>
                      <w:b/>
                      <w:bCs/>
                      <w:i/>
                      <w:sz w:val="16"/>
                      <w:szCs w:val="16"/>
                      <w:lang w:eastAsia="lv-LV"/>
                    </w:rPr>
                  </w:pPr>
                  <w:r w:rsidRPr="006D3110">
                    <w:rPr>
                      <w:b/>
                      <w:i/>
                      <w:color w:val="C00000"/>
                      <w:sz w:val="16"/>
                      <w:szCs w:val="16"/>
                      <w:lang w:eastAsia="lv-LV"/>
                    </w:rPr>
                    <w:t>34,1%</w:t>
                  </w:r>
                </w:p>
              </w:tc>
            </w:tr>
          </w:tbl>
          <w:p w14:paraId="0B68453E" w14:textId="77777777" w:rsidR="00B01BDE" w:rsidRPr="006D3110" w:rsidRDefault="00B01BDE" w:rsidP="00B01BDE">
            <w:pPr>
              <w:tabs>
                <w:tab w:val="left" w:pos="567"/>
              </w:tabs>
              <w:spacing w:before="60"/>
              <w:jc w:val="both"/>
              <w:rPr>
                <w:rFonts w:eastAsia="Times New Roman"/>
                <w:i/>
                <w:color w:val="000000"/>
                <w:sz w:val="18"/>
                <w:szCs w:val="18"/>
                <w:lang w:eastAsia="lv-LV"/>
              </w:rPr>
            </w:pPr>
            <w:r w:rsidRPr="006D3110">
              <w:rPr>
                <w:rFonts w:eastAsia="Times New Roman"/>
                <w:i/>
                <w:color w:val="000000"/>
                <w:sz w:val="20"/>
                <w:szCs w:val="18"/>
                <w:vertAlign w:val="superscript"/>
                <w:lang w:eastAsia="lv-LV"/>
              </w:rPr>
              <w:t>1</w:t>
            </w:r>
            <w:r w:rsidRPr="006D3110">
              <w:rPr>
                <w:rFonts w:eastAsia="Times New Roman"/>
                <w:i/>
                <w:color w:val="000000"/>
                <w:sz w:val="18"/>
                <w:szCs w:val="18"/>
                <w:lang w:eastAsia="lv-LV"/>
              </w:rPr>
              <w:t xml:space="preserve"> </w:t>
            </w:r>
            <w:r w:rsidRPr="006D3110">
              <w:rPr>
                <w:rFonts w:eastAsia="Times New Roman"/>
                <w:i/>
                <w:color w:val="000000"/>
                <w:sz w:val="18"/>
                <w:szCs w:val="18"/>
                <w:lang w:eastAsia="lv-LV"/>
              </w:rPr>
              <w:tab/>
              <w:t>Personas, kuras uz 2019.gada 1.janvāri nebija sasniegušas 18 gadu vecumu</w:t>
            </w:r>
          </w:p>
          <w:p w14:paraId="3A351CB6" w14:textId="77777777" w:rsidR="00B01BDE" w:rsidRPr="006D3110" w:rsidRDefault="00B01BDE" w:rsidP="00B01BDE">
            <w:pPr>
              <w:tabs>
                <w:tab w:val="left" w:pos="567"/>
              </w:tabs>
              <w:ind w:left="567" w:hanging="567"/>
              <w:jc w:val="both"/>
              <w:rPr>
                <w:rFonts w:eastAsia="Times New Roman"/>
                <w:i/>
                <w:color w:val="000000"/>
                <w:sz w:val="18"/>
                <w:szCs w:val="18"/>
                <w:lang w:eastAsia="lv-LV"/>
              </w:rPr>
            </w:pPr>
            <w:r w:rsidRPr="006D3110">
              <w:rPr>
                <w:rFonts w:eastAsia="Times New Roman"/>
                <w:i/>
                <w:color w:val="000000"/>
                <w:sz w:val="20"/>
                <w:szCs w:val="18"/>
                <w:vertAlign w:val="superscript"/>
                <w:lang w:eastAsia="lv-LV"/>
              </w:rPr>
              <w:t>2</w:t>
            </w:r>
            <w:r w:rsidRPr="006D3110">
              <w:rPr>
                <w:rFonts w:eastAsia="Times New Roman"/>
                <w:i/>
                <w:color w:val="000000"/>
                <w:sz w:val="18"/>
                <w:szCs w:val="18"/>
                <w:lang w:eastAsia="lv-LV"/>
              </w:rPr>
              <w:t xml:space="preserve"> </w:t>
            </w:r>
            <w:r w:rsidRPr="006D3110">
              <w:rPr>
                <w:rFonts w:eastAsia="Times New Roman"/>
                <w:i/>
                <w:color w:val="000000"/>
                <w:sz w:val="18"/>
                <w:szCs w:val="18"/>
                <w:lang w:eastAsia="lv-LV"/>
              </w:rPr>
              <w:tab/>
              <w:t xml:space="preserve">FM aprēķini. Personas, kuras nevar pilnā apmērā </w:t>
            </w:r>
            <w:r w:rsidRPr="006D3110">
              <w:rPr>
                <w:i/>
                <w:sz w:val="18"/>
                <w:szCs w:val="18"/>
                <w:lang w:eastAsia="lv-LV"/>
              </w:rPr>
              <w:t>izmantot IIN atvieglojumus par apgādībā esošām personām, jo viņu darba alga ir mazāka par IIN atvieglojumu summu</w:t>
            </w:r>
          </w:p>
          <w:p w14:paraId="569C4D02" w14:textId="6CCC0F61" w:rsidR="00F569D0" w:rsidRPr="008C2B2D" w:rsidRDefault="00B01BDE" w:rsidP="008C2B2D">
            <w:pPr>
              <w:spacing w:before="60"/>
              <w:jc w:val="both"/>
              <w:rPr>
                <w:i/>
                <w:sz w:val="18"/>
                <w:szCs w:val="18"/>
                <w:lang w:eastAsia="lv-LV"/>
              </w:rPr>
            </w:pPr>
            <w:r w:rsidRPr="006D3110">
              <w:rPr>
                <w:b/>
                <w:i/>
                <w:sz w:val="20"/>
                <w:szCs w:val="20"/>
                <w:lang w:eastAsia="lv-LV"/>
              </w:rPr>
              <w:t xml:space="preserve">Avots: </w:t>
            </w:r>
            <w:r w:rsidRPr="006D3110">
              <w:rPr>
                <w:i/>
                <w:sz w:val="20"/>
                <w:szCs w:val="20"/>
                <w:lang w:eastAsia="lv-LV"/>
              </w:rPr>
              <w:t>VID informācija uz 19.09.2019. un FM aprēķini</w:t>
            </w:r>
          </w:p>
        </w:tc>
      </w:tr>
      <w:tr w:rsidR="00F569D0" w:rsidRPr="000F4D7D" w14:paraId="3BBEB449" w14:textId="77777777" w:rsidTr="00221A1D">
        <w:trPr>
          <w:trHeight w:val="319"/>
        </w:trPr>
        <w:tc>
          <w:tcPr>
            <w:tcW w:w="851" w:type="dxa"/>
            <w:vMerge w:val="restart"/>
          </w:tcPr>
          <w:p w14:paraId="1510FFF8" w14:textId="77777777" w:rsidR="00F569D0" w:rsidRPr="000F4D7D" w:rsidRDefault="00F569D0" w:rsidP="00F569D0">
            <w:pPr>
              <w:pStyle w:val="ListParagraph"/>
              <w:numPr>
                <w:ilvl w:val="0"/>
                <w:numId w:val="15"/>
              </w:numPr>
              <w:jc w:val="center"/>
            </w:pPr>
          </w:p>
        </w:tc>
        <w:tc>
          <w:tcPr>
            <w:tcW w:w="2977" w:type="dxa"/>
            <w:vMerge w:val="restart"/>
          </w:tcPr>
          <w:p w14:paraId="48387D46" w14:textId="7646ECE3" w:rsidR="00F569D0" w:rsidRPr="00A46697" w:rsidRDefault="00F569D0" w:rsidP="00D70510">
            <w:pPr>
              <w:spacing w:after="120"/>
            </w:pPr>
            <w:r w:rsidRPr="00A46697">
              <w:t>Nodokļa atvieglojuma sasniedzamie</w:t>
            </w:r>
            <w:r>
              <w:t xml:space="preserve"> (t.sk.</w:t>
            </w:r>
            <w:r w:rsidRPr="00A46697">
              <w:t xml:space="preserve"> kvantitatīvie</w:t>
            </w:r>
            <w:r>
              <w:t>)</w:t>
            </w:r>
            <w:r w:rsidRPr="00A46697">
              <w:t xml:space="preserve"> rādītāji trīs gadu periodā, sākot ar nodokļa atvieglojuma </w:t>
            </w:r>
            <w:r w:rsidR="001D3507" w:rsidRPr="005B786D">
              <w:t xml:space="preserve">izvērtēšanas </w:t>
            </w:r>
            <w:r w:rsidRPr="00A46697">
              <w:t>periodu</w:t>
            </w:r>
          </w:p>
        </w:tc>
        <w:tc>
          <w:tcPr>
            <w:tcW w:w="4110" w:type="dxa"/>
          </w:tcPr>
          <w:p w14:paraId="3A2AB867" w14:textId="03948F93" w:rsidR="00F569D0" w:rsidRPr="000F4D7D" w:rsidRDefault="00F569D0" w:rsidP="00F569D0">
            <w:r>
              <w:t>Sasnieguma</w:t>
            </w:r>
            <w:r w:rsidRPr="000F4D7D">
              <w:t xml:space="preserve"> rādītājs</w:t>
            </w:r>
            <w:r w:rsidR="001440DC">
              <w:rPr>
                <w:rStyle w:val="FootnoteReference"/>
              </w:rPr>
              <w:footnoteReference w:id="3"/>
            </w:r>
          </w:p>
        </w:tc>
        <w:tc>
          <w:tcPr>
            <w:tcW w:w="851" w:type="dxa"/>
          </w:tcPr>
          <w:p w14:paraId="13F11652" w14:textId="77777777" w:rsidR="00F569D0" w:rsidRPr="000F4D7D" w:rsidRDefault="00F569D0" w:rsidP="00F569D0">
            <w:r w:rsidRPr="000F4D7D">
              <w:t>2020</w:t>
            </w:r>
          </w:p>
        </w:tc>
        <w:tc>
          <w:tcPr>
            <w:tcW w:w="709" w:type="dxa"/>
          </w:tcPr>
          <w:p w14:paraId="22F20588" w14:textId="77777777" w:rsidR="00F569D0" w:rsidRPr="000F4D7D" w:rsidRDefault="00F569D0" w:rsidP="00F569D0">
            <w:r w:rsidRPr="000F4D7D">
              <w:t>2021</w:t>
            </w:r>
          </w:p>
        </w:tc>
        <w:tc>
          <w:tcPr>
            <w:tcW w:w="850" w:type="dxa"/>
          </w:tcPr>
          <w:p w14:paraId="39CAFFA8" w14:textId="77777777" w:rsidR="00F569D0" w:rsidRPr="000F4D7D" w:rsidRDefault="00F569D0" w:rsidP="00F569D0">
            <w:r w:rsidRPr="000F4D7D">
              <w:t>2022</w:t>
            </w:r>
          </w:p>
        </w:tc>
      </w:tr>
      <w:tr w:rsidR="00F569D0" w:rsidRPr="000F4D7D" w14:paraId="024F2238" w14:textId="77777777" w:rsidTr="00221A1D">
        <w:trPr>
          <w:trHeight w:val="330"/>
        </w:trPr>
        <w:tc>
          <w:tcPr>
            <w:tcW w:w="851" w:type="dxa"/>
            <w:vMerge/>
          </w:tcPr>
          <w:p w14:paraId="1E172FB6" w14:textId="77777777" w:rsidR="00F569D0" w:rsidRPr="000F4D7D" w:rsidRDefault="00F569D0" w:rsidP="00F569D0">
            <w:pPr>
              <w:pStyle w:val="ListParagraph"/>
              <w:numPr>
                <w:ilvl w:val="0"/>
                <w:numId w:val="15"/>
              </w:numPr>
            </w:pPr>
          </w:p>
        </w:tc>
        <w:tc>
          <w:tcPr>
            <w:tcW w:w="2977" w:type="dxa"/>
            <w:vMerge/>
          </w:tcPr>
          <w:p w14:paraId="7A8E0EC3" w14:textId="77777777" w:rsidR="00F569D0" w:rsidRPr="00A46697" w:rsidRDefault="00F569D0" w:rsidP="00F569D0"/>
        </w:tc>
        <w:tc>
          <w:tcPr>
            <w:tcW w:w="4110" w:type="dxa"/>
          </w:tcPr>
          <w:p w14:paraId="36D95124" w14:textId="55B74778" w:rsidR="00F569D0" w:rsidRPr="000F4D7D" w:rsidRDefault="00F569D0" w:rsidP="00EB1ED7">
            <w:pPr>
              <w:jc w:val="both"/>
            </w:pPr>
            <w:r>
              <w:t>1.</w:t>
            </w:r>
            <w:r w:rsidR="00B01BDE">
              <w:t xml:space="preserve"> NM īpatsvars, kas izmanto nodokļa atvieglojumu, saglabājas (ja NM saņem ienākumu vispārējā IIN režīmā un tiem ir apgādībā esošas personas) aptuveni līdzīgs pie līdzīgām demogrāfiskajām u.c. tendencēm</w:t>
            </w:r>
          </w:p>
        </w:tc>
        <w:tc>
          <w:tcPr>
            <w:tcW w:w="851" w:type="dxa"/>
          </w:tcPr>
          <w:p w14:paraId="4A0AA71F" w14:textId="6B60BD9A" w:rsidR="00F569D0" w:rsidRPr="004E333B" w:rsidRDefault="004D2E85" w:rsidP="005F1A7F">
            <w:pPr>
              <w:jc w:val="center"/>
            </w:pPr>
            <w:r w:rsidRPr="004E333B">
              <w:t>36%</w:t>
            </w:r>
          </w:p>
        </w:tc>
        <w:tc>
          <w:tcPr>
            <w:tcW w:w="709" w:type="dxa"/>
          </w:tcPr>
          <w:p w14:paraId="15BA3053" w14:textId="687CBA2E" w:rsidR="00F569D0" w:rsidRPr="004E333B" w:rsidRDefault="004D2E85" w:rsidP="005F1A7F">
            <w:pPr>
              <w:jc w:val="center"/>
            </w:pPr>
            <w:r w:rsidRPr="004E333B">
              <w:t>36%</w:t>
            </w:r>
          </w:p>
        </w:tc>
        <w:tc>
          <w:tcPr>
            <w:tcW w:w="850" w:type="dxa"/>
          </w:tcPr>
          <w:p w14:paraId="22DC8E63" w14:textId="1629BE0E" w:rsidR="00F569D0" w:rsidRPr="004E333B" w:rsidRDefault="004D2E85" w:rsidP="005F1A7F">
            <w:pPr>
              <w:jc w:val="center"/>
            </w:pPr>
            <w:r w:rsidRPr="004E333B">
              <w:t>36%</w:t>
            </w:r>
          </w:p>
        </w:tc>
      </w:tr>
      <w:tr w:rsidR="00F569D0" w:rsidRPr="000F4D7D" w14:paraId="12C7E51D" w14:textId="77777777" w:rsidTr="00221A1D">
        <w:trPr>
          <w:trHeight w:val="330"/>
        </w:trPr>
        <w:tc>
          <w:tcPr>
            <w:tcW w:w="851" w:type="dxa"/>
            <w:vMerge/>
          </w:tcPr>
          <w:p w14:paraId="30E05EF0" w14:textId="77777777" w:rsidR="00F569D0" w:rsidRPr="000F4D7D" w:rsidRDefault="00F569D0" w:rsidP="00F569D0">
            <w:pPr>
              <w:pStyle w:val="ListParagraph"/>
              <w:numPr>
                <w:ilvl w:val="0"/>
                <w:numId w:val="15"/>
              </w:numPr>
            </w:pPr>
          </w:p>
        </w:tc>
        <w:tc>
          <w:tcPr>
            <w:tcW w:w="2977" w:type="dxa"/>
            <w:vMerge/>
          </w:tcPr>
          <w:p w14:paraId="2AA6F78E" w14:textId="77777777" w:rsidR="00F569D0" w:rsidRPr="00A46697" w:rsidRDefault="00F569D0" w:rsidP="00F569D0"/>
        </w:tc>
        <w:tc>
          <w:tcPr>
            <w:tcW w:w="4110" w:type="dxa"/>
          </w:tcPr>
          <w:p w14:paraId="6273CF50" w14:textId="5689C1B0" w:rsidR="00F569D0" w:rsidRPr="000F4D7D" w:rsidRDefault="00F569D0" w:rsidP="00510F8A">
            <w:pPr>
              <w:tabs>
                <w:tab w:val="left" w:pos="313"/>
              </w:tabs>
              <w:jc w:val="both"/>
            </w:pPr>
            <w:r>
              <w:t>2.</w:t>
            </w:r>
            <w:r w:rsidR="00B01BDE">
              <w:t xml:space="preserve"> </w:t>
            </w:r>
          </w:p>
        </w:tc>
        <w:tc>
          <w:tcPr>
            <w:tcW w:w="851" w:type="dxa"/>
          </w:tcPr>
          <w:p w14:paraId="0FE509E8" w14:textId="492CF4E6" w:rsidR="00F569D0" w:rsidRPr="004E333B" w:rsidRDefault="00F569D0" w:rsidP="005F1A7F">
            <w:pPr>
              <w:jc w:val="center"/>
            </w:pPr>
          </w:p>
        </w:tc>
        <w:tc>
          <w:tcPr>
            <w:tcW w:w="709" w:type="dxa"/>
          </w:tcPr>
          <w:p w14:paraId="60B9B497" w14:textId="6ED3A9FB" w:rsidR="00F569D0" w:rsidRPr="004E333B" w:rsidRDefault="00F569D0" w:rsidP="005F1A7F">
            <w:pPr>
              <w:jc w:val="center"/>
            </w:pPr>
          </w:p>
        </w:tc>
        <w:tc>
          <w:tcPr>
            <w:tcW w:w="850" w:type="dxa"/>
          </w:tcPr>
          <w:p w14:paraId="4F51DE3F" w14:textId="7DD85221" w:rsidR="00F569D0" w:rsidRPr="004E333B" w:rsidRDefault="00F569D0" w:rsidP="00ED7FDB">
            <w:pPr>
              <w:jc w:val="center"/>
            </w:pPr>
          </w:p>
        </w:tc>
      </w:tr>
      <w:tr w:rsidR="00F569D0" w:rsidRPr="000F4D7D" w14:paraId="4848465B" w14:textId="77777777" w:rsidTr="00221A1D">
        <w:tc>
          <w:tcPr>
            <w:tcW w:w="851" w:type="dxa"/>
          </w:tcPr>
          <w:p w14:paraId="19AD554A" w14:textId="77777777" w:rsidR="00F569D0" w:rsidRPr="000F4D7D" w:rsidRDefault="00F569D0" w:rsidP="00F569D0">
            <w:pPr>
              <w:pStyle w:val="ListParagraph"/>
              <w:numPr>
                <w:ilvl w:val="0"/>
                <w:numId w:val="15"/>
              </w:numPr>
            </w:pPr>
          </w:p>
        </w:tc>
        <w:tc>
          <w:tcPr>
            <w:tcW w:w="2977" w:type="dxa"/>
          </w:tcPr>
          <w:p w14:paraId="29ADC3DD" w14:textId="77777777" w:rsidR="00F569D0" w:rsidRPr="00A46697" w:rsidRDefault="00F569D0" w:rsidP="00F569D0">
            <w:pPr>
              <w:spacing w:after="120"/>
            </w:pPr>
            <w:r w:rsidRPr="00A46697">
              <w:t>Nodokļa atvieglojuma paredzamais pozitīvais efekts salīdzinājumā ar paredzamo budžeta ieņēmumu samazinājumu – kvalitatīvs izvērtējums (ja nepieciešams vai nav kvantitatīvo rādītāju)</w:t>
            </w:r>
          </w:p>
        </w:tc>
        <w:tc>
          <w:tcPr>
            <w:tcW w:w="6520" w:type="dxa"/>
            <w:gridSpan w:val="4"/>
          </w:tcPr>
          <w:p w14:paraId="0A3FAFCF" w14:textId="58F4B4F0" w:rsidR="00F569D0" w:rsidRPr="000F4D7D" w:rsidRDefault="00B01BDE" w:rsidP="00F569D0">
            <w:pPr>
              <w:jc w:val="both"/>
            </w:pPr>
            <w:r>
              <w:t>Nav attiecināms.</w:t>
            </w:r>
          </w:p>
        </w:tc>
      </w:tr>
      <w:tr w:rsidR="00F569D0" w:rsidRPr="000F4D7D" w14:paraId="7B936165" w14:textId="77777777" w:rsidTr="00221A1D">
        <w:tc>
          <w:tcPr>
            <w:tcW w:w="851" w:type="dxa"/>
          </w:tcPr>
          <w:p w14:paraId="17BFE6B4" w14:textId="77777777" w:rsidR="00F569D0" w:rsidRPr="000F4D7D" w:rsidRDefault="00F569D0" w:rsidP="00F569D0">
            <w:pPr>
              <w:pStyle w:val="ListParagraph"/>
              <w:numPr>
                <w:ilvl w:val="0"/>
                <w:numId w:val="15"/>
              </w:numPr>
            </w:pPr>
          </w:p>
        </w:tc>
        <w:tc>
          <w:tcPr>
            <w:tcW w:w="2977" w:type="dxa"/>
          </w:tcPr>
          <w:p w14:paraId="38025278" w14:textId="77777777" w:rsidR="00F569D0" w:rsidRPr="00A46697" w:rsidRDefault="00F569D0" w:rsidP="00F569D0">
            <w:pPr>
              <w:spacing w:after="120"/>
            </w:pPr>
            <w:r w:rsidRPr="00A46697">
              <w:t>Nodokļa atvieglojuma iespējamie blakusefekti, riski (t.sk. paredzama nodokļu plānošana, lai samazinātu maksājamo nodokļu kopējo apmēru, izkropļota resursu pārdale ekonomikā u.c.), problēmas u.tml.</w:t>
            </w:r>
          </w:p>
        </w:tc>
        <w:tc>
          <w:tcPr>
            <w:tcW w:w="6520" w:type="dxa"/>
            <w:gridSpan w:val="4"/>
          </w:tcPr>
          <w:p w14:paraId="4D1C3BCC" w14:textId="575D85DE" w:rsidR="00B01BDE" w:rsidRPr="002A4E93" w:rsidRDefault="00B01BDE" w:rsidP="00B01BDE">
            <w:pPr>
              <w:jc w:val="both"/>
              <w:rPr>
                <w:color w:val="000000" w:themeColor="text1"/>
              </w:rPr>
            </w:pPr>
            <w:r w:rsidRPr="002A4E93">
              <w:rPr>
                <w:color w:val="000000" w:themeColor="text1"/>
              </w:rPr>
              <w:t>Atvieglojums par apgādībā esošu personu, kas lie</w:t>
            </w:r>
            <w:r w:rsidR="00ED7FDB">
              <w:rPr>
                <w:color w:val="000000" w:themeColor="text1"/>
              </w:rPr>
              <w:t>lākoties tiek piemērots par bēr</w:t>
            </w:r>
            <w:r w:rsidRPr="002A4E93">
              <w:rPr>
                <w:color w:val="000000" w:themeColor="text1"/>
              </w:rPr>
              <w:t>niem, ir valsts atbalsts mājsaimniecībām ar bē</w:t>
            </w:r>
            <w:r w:rsidR="00ED7FDB">
              <w:rPr>
                <w:color w:val="000000" w:themeColor="text1"/>
              </w:rPr>
              <w:t>rniem, kur vismaz viens no vecā</w:t>
            </w:r>
            <w:r w:rsidRPr="002A4E93">
              <w:rPr>
                <w:color w:val="000000" w:themeColor="text1"/>
              </w:rPr>
              <w:t>kiem strādā. Tādējādi tas ir viens no instrumentiem, kas veicina vecāku no</w:t>
            </w:r>
            <w:r w:rsidR="00ED7FDB">
              <w:rPr>
                <w:color w:val="000000" w:themeColor="text1"/>
              </w:rPr>
              <w:t>darbinātī</w:t>
            </w:r>
            <w:r w:rsidRPr="002A4E93">
              <w:rPr>
                <w:color w:val="000000" w:themeColor="text1"/>
              </w:rPr>
              <w:t>bu. To</w:t>
            </w:r>
            <w:r w:rsidRPr="002A4E93">
              <w:rPr>
                <w:color w:val="000000" w:themeColor="text1"/>
              </w:rPr>
              <w:softHyphen/>
              <w:t>mēr, kā liecina FM aprēķini</w:t>
            </w:r>
            <w:r>
              <w:rPr>
                <w:color w:val="000000" w:themeColor="text1"/>
              </w:rPr>
              <w:t xml:space="preserve"> (skat. </w:t>
            </w:r>
            <w:r w:rsidR="00291177">
              <w:rPr>
                <w:color w:val="000000" w:themeColor="text1"/>
              </w:rPr>
              <w:t>7</w:t>
            </w:r>
            <w:r>
              <w:rPr>
                <w:color w:val="000000" w:themeColor="text1"/>
              </w:rPr>
              <w:t>.punktu)</w:t>
            </w:r>
            <w:r w:rsidRPr="002A4E93">
              <w:rPr>
                <w:color w:val="000000" w:themeColor="text1"/>
              </w:rPr>
              <w:t xml:space="preserve">, 2018.gadā aptuveni </w:t>
            </w:r>
            <w:r w:rsidRPr="002A4E93">
              <w:rPr>
                <w:b/>
                <w:color w:val="000000" w:themeColor="text1"/>
              </w:rPr>
              <w:t>34,1%</w:t>
            </w:r>
            <w:r w:rsidRPr="002A4E93">
              <w:rPr>
                <w:color w:val="000000" w:themeColor="text1"/>
              </w:rPr>
              <w:t xml:space="preserve"> (2017.gad</w:t>
            </w:r>
            <w:r w:rsidR="00ED7FDB">
              <w:rPr>
                <w:color w:val="000000" w:themeColor="text1"/>
              </w:rPr>
              <w:t>ā 28,0%) no visiem nodokļu maksā</w:t>
            </w:r>
            <w:r w:rsidRPr="002A4E93">
              <w:rPr>
                <w:color w:val="000000" w:themeColor="text1"/>
              </w:rPr>
              <w:t>tājiem, kuriem ir apgādībā esošas personas, n</w:t>
            </w:r>
            <w:r w:rsidR="00ED7FDB">
              <w:rPr>
                <w:color w:val="000000" w:themeColor="text1"/>
              </w:rPr>
              <w:t>evarēja pilnībā izmantot atvieglo</w:t>
            </w:r>
            <w:r w:rsidRPr="002A4E93">
              <w:rPr>
                <w:color w:val="000000" w:themeColor="text1"/>
              </w:rPr>
              <w:t xml:space="preserve">jumu par apgādībā esošu personu, jo viņu darba </w:t>
            </w:r>
            <w:r w:rsidR="00ED7FDB">
              <w:rPr>
                <w:color w:val="000000" w:themeColor="text1"/>
              </w:rPr>
              <w:t>alga bija mazāka par IIN atvieglo</w:t>
            </w:r>
            <w:r w:rsidRPr="002A4E93">
              <w:rPr>
                <w:color w:val="000000" w:themeColor="text1"/>
              </w:rPr>
              <w:t>jumu summu. T</w:t>
            </w:r>
            <w:r w:rsidR="00ED7FDB">
              <w:rPr>
                <w:color w:val="000000" w:themeColor="text1"/>
              </w:rPr>
              <w:t>āpat šo atvieglojumu nevar piemē</w:t>
            </w:r>
            <w:r w:rsidRPr="002A4E93">
              <w:rPr>
                <w:color w:val="000000" w:themeColor="text1"/>
              </w:rPr>
              <w:t>rot mikrouzņēmumu nodokļa maksātāja darbin</w:t>
            </w:r>
            <w:r w:rsidR="00ED7FDB">
              <w:rPr>
                <w:color w:val="000000" w:themeColor="text1"/>
              </w:rPr>
              <w:t>ieki. Tāpēc šis atvieglojums jāvēr</w:t>
            </w:r>
            <w:r w:rsidRPr="002A4E93">
              <w:rPr>
                <w:color w:val="000000" w:themeColor="text1"/>
              </w:rPr>
              <w:t>tē kopā ar citiem no valsts budžeta izmaksāj</w:t>
            </w:r>
            <w:r w:rsidR="00ED7FDB">
              <w:rPr>
                <w:color w:val="000000" w:themeColor="text1"/>
              </w:rPr>
              <w:t>amiem pabalstiem, turklāt šī atvieg</w:t>
            </w:r>
            <w:r w:rsidRPr="002A4E93">
              <w:rPr>
                <w:color w:val="000000" w:themeColor="text1"/>
              </w:rPr>
              <w:t>lojuma paaugstināšanas efektivitāte nākotnē jāvēr</w:t>
            </w:r>
            <w:r w:rsidR="004D2E85">
              <w:rPr>
                <w:color w:val="000000" w:themeColor="text1"/>
              </w:rPr>
              <w:t>tē kritiski, jo praktiski ir izsmel</w:t>
            </w:r>
            <w:r w:rsidRPr="002A4E93">
              <w:rPr>
                <w:color w:val="000000" w:themeColor="text1"/>
              </w:rPr>
              <w:t>ts tā tālākas palielināšanas potenciāls darba ņēmējiem ar zemiem ienākumiem</w:t>
            </w:r>
            <w:r w:rsidRPr="002A4E93">
              <w:rPr>
                <w:color w:val="000000" w:themeColor="text1"/>
                <w:vertAlign w:val="superscript"/>
              </w:rPr>
              <w:footnoteReference w:id="4"/>
            </w:r>
            <w:r w:rsidRPr="002A4E93">
              <w:rPr>
                <w:color w:val="000000" w:themeColor="text1"/>
              </w:rPr>
              <w:t xml:space="preserve">. </w:t>
            </w:r>
          </w:p>
          <w:p w14:paraId="4F2EEEBB" w14:textId="77777777" w:rsidR="00B01BDE" w:rsidRPr="002A4E93" w:rsidRDefault="00B01BDE" w:rsidP="00B01BDE">
            <w:pPr>
              <w:jc w:val="both"/>
              <w:rPr>
                <w:color w:val="000000" w:themeColor="text1"/>
              </w:rPr>
            </w:pPr>
            <w:r w:rsidRPr="002A4E93">
              <w:rPr>
                <w:color w:val="000000" w:themeColor="text1"/>
              </w:rPr>
              <w:t xml:space="preserve">No visiem nodokļu maksātājiem, kuriem ir apgādībā esošas personas un kuri nevar pilnā apmērā izmantot atvieglojumu par apgādībā esošu personu, 2018.gadā 39,2% nevarēja izmantot līdz 40% no piešķirtā atvieglojuma apmēra, 35,0%, nevarēja izmantot no 40% līdz 80% no piešķirtā atvieglojuma apmēra, bet 25,8% nevarēja izmantot no 80% līdz 100% no piešķirtā atvieglojuma apmēra. </w:t>
            </w:r>
          </w:p>
          <w:p w14:paraId="56894BCE" w14:textId="328770AE" w:rsidR="00B01BDE" w:rsidRDefault="00B01BDE" w:rsidP="00B01BDE">
            <w:pPr>
              <w:jc w:val="both"/>
            </w:pPr>
            <w:r>
              <w:t xml:space="preserve">Atvieglojumu par apgādībā esošu personu pilnībā iespējams izmantot tikai tad, ja NM ienākumi ir pietiekami lieli. Tādējādi augot NM, aug iespēja pilnīgi izmantot atvieglojumu par vairākām personām, savukārt personām ar zemiem ienākumiem </w:t>
            </w:r>
            <w:r w:rsidR="008250BD">
              <w:t xml:space="preserve">vai tad, ja persona vispār negūst ar nodokli apliekamus ienākumus, </w:t>
            </w:r>
            <w:r>
              <w:t xml:space="preserve">šādu iespēju nav </w:t>
            </w:r>
            <w:r w:rsidRPr="00B01BDE">
              <w:rPr>
                <w:color w:val="000000" w:themeColor="text1"/>
              </w:rPr>
              <w:t>(šajā gadījumā lielāka nozīme pabalstiem - skat. 1</w:t>
            </w:r>
            <w:r w:rsidR="00546A7E">
              <w:rPr>
                <w:color w:val="000000" w:themeColor="text1"/>
              </w:rPr>
              <w:t>2</w:t>
            </w:r>
            <w:r w:rsidRPr="00B01BDE">
              <w:rPr>
                <w:color w:val="000000" w:themeColor="text1"/>
              </w:rPr>
              <w:t xml:space="preserve">.punktu). </w:t>
            </w:r>
            <w:r>
              <w:t>Tādējādi nodokļa atvieglojuma apmēra noteikšanā jāņem vērā šādi apsvērumi:</w:t>
            </w:r>
          </w:p>
          <w:p w14:paraId="6C2E0FCD" w14:textId="77777777" w:rsidR="00B01BDE" w:rsidRDefault="00B01BDE" w:rsidP="00B01BDE">
            <w:pPr>
              <w:jc w:val="both"/>
            </w:pPr>
            <w:r>
              <w:t>1) nodokļa atvieglojumu maksimāli limitē:</w:t>
            </w:r>
          </w:p>
          <w:p w14:paraId="3E210FE1" w14:textId="77777777" w:rsidR="00B01BDE" w:rsidRDefault="00B01BDE" w:rsidP="00B01BDE">
            <w:pPr>
              <w:pStyle w:val="ListParagraph"/>
              <w:numPr>
                <w:ilvl w:val="0"/>
                <w:numId w:val="5"/>
              </w:numPr>
              <w:ind w:left="360"/>
              <w:jc w:val="both"/>
            </w:pPr>
            <w:r>
              <w:t>pieņēmums, ka sasniedzot noteiktu ienākumu līmeni, nodokļa atvieglojuma palielinājums ir mazāk būtisks</w:t>
            </w:r>
          </w:p>
          <w:p w14:paraId="156AED81" w14:textId="77777777" w:rsidR="00B01BDE" w:rsidRDefault="00B01BDE" w:rsidP="00B01BDE">
            <w:pPr>
              <w:pStyle w:val="ListParagraph"/>
              <w:numPr>
                <w:ilvl w:val="0"/>
                <w:numId w:val="5"/>
              </w:numPr>
              <w:ind w:left="360"/>
              <w:jc w:val="both"/>
            </w:pPr>
            <w:r>
              <w:t>atvieglojums (nosacīts neapliekamā minimuma aizvietotājs par apgādībā esošu personu) nepārsniedz maksimālā neapliekamā minimuma apmēru</w:t>
            </w:r>
          </w:p>
          <w:p w14:paraId="42261B45" w14:textId="77777777" w:rsidR="00B01BDE" w:rsidRDefault="00B01BDE" w:rsidP="00B01BDE">
            <w:pPr>
              <w:pStyle w:val="ListParagraph"/>
              <w:numPr>
                <w:ilvl w:val="0"/>
                <w:numId w:val="5"/>
              </w:numPr>
              <w:ind w:left="360"/>
              <w:jc w:val="both"/>
            </w:pPr>
            <w:r>
              <w:t>valsts fiskālās iespējas.</w:t>
            </w:r>
          </w:p>
          <w:p w14:paraId="63BD9894" w14:textId="4AF102C1" w:rsidR="00F569D0" w:rsidRPr="000F4D7D" w:rsidRDefault="00B01BDE" w:rsidP="00B01BDE">
            <w:pPr>
              <w:jc w:val="both"/>
            </w:pPr>
            <w:r>
              <w:t>2) nodokļa atvieglojuma minimālo apmēru nosaka pieņēmums, ka nodokļa atvieglojums ir 50-80% apmērā no minimālās algas.</w:t>
            </w:r>
          </w:p>
        </w:tc>
      </w:tr>
      <w:tr w:rsidR="00F569D0" w:rsidRPr="000F4D7D" w14:paraId="26A46E8D" w14:textId="77777777" w:rsidTr="00221A1D">
        <w:tc>
          <w:tcPr>
            <w:tcW w:w="851" w:type="dxa"/>
          </w:tcPr>
          <w:p w14:paraId="600C54A7" w14:textId="77777777" w:rsidR="00F569D0" w:rsidRPr="000F4D7D" w:rsidRDefault="00F569D0" w:rsidP="00F569D0">
            <w:pPr>
              <w:pStyle w:val="ListParagraph"/>
              <w:numPr>
                <w:ilvl w:val="0"/>
                <w:numId w:val="15"/>
              </w:numPr>
            </w:pPr>
          </w:p>
        </w:tc>
        <w:tc>
          <w:tcPr>
            <w:tcW w:w="2977" w:type="dxa"/>
          </w:tcPr>
          <w:p w14:paraId="54187956" w14:textId="77777777" w:rsidR="00F569D0" w:rsidRPr="00A46697" w:rsidRDefault="00F569D0" w:rsidP="00F569D0">
            <w:pPr>
              <w:spacing w:after="120"/>
            </w:pPr>
            <w:r w:rsidRPr="00A46697">
              <w:t>Atbilstība ES valsts atbalsta nosacījumiem</w:t>
            </w:r>
          </w:p>
        </w:tc>
        <w:tc>
          <w:tcPr>
            <w:tcW w:w="6520" w:type="dxa"/>
            <w:gridSpan w:val="4"/>
          </w:tcPr>
          <w:p w14:paraId="49F3BCF2" w14:textId="5FB20A0B" w:rsidR="00F569D0" w:rsidRPr="000F4D7D" w:rsidRDefault="00B01BDE" w:rsidP="00F569D0">
            <w:r>
              <w:t>Nav attiecināms.</w:t>
            </w:r>
          </w:p>
        </w:tc>
      </w:tr>
      <w:tr w:rsidR="00F569D0" w:rsidRPr="000F4D7D" w14:paraId="2BF123E2" w14:textId="77777777" w:rsidTr="00221A1D">
        <w:tc>
          <w:tcPr>
            <w:tcW w:w="851" w:type="dxa"/>
          </w:tcPr>
          <w:p w14:paraId="0D31DA83" w14:textId="77777777" w:rsidR="00F569D0" w:rsidRPr="000F4D7D" w:rsidRDefault="00F569D0" w:rsidP="00F569D0">
            <w:pPr>
              <w:pStyle w:val="ListParagraph"/>
              <w:numPr>
                <w:ilvl w:val="0"/>
                <w:numId w:val="15"/>
              </w:numPr>
            </w:pPr>
          </w:p>
        </w:tc>
        <w:tc>
          <w:tcPr>
            <w:tcW w:w="2977" w:type="dxa"/>
          </w:tcPr>
          <w:p w14:paraId="4C988B69" w14:textId="77777777" w:rsidR="00F569D0" w:rsidRPr="00A46697" w:rsidRDefault="00F569D0" w:rsidP="00F569D0">
            <w:pPr>
              <w:spacing w:after="120"/>
            </w:pPr>
            <w:r w:rsidRPr="00A46697">
              <w:t>Papildus pieejamais valsts atbalsts</w:t>
            </w:r>
          </w:p>
        </w:tc>
        <w:tc>
          <w:tcPr>
            <w:tcW w:w="6520" w:type="dxa"/>
            <w:gridSpan w:val="4"/>
          </w:tcPr>
          <w:p w14:paraId="1329215A" w14:textId="18FB7574" w:rsidR="00F569D0" w:rsidRPr="000F4D7D" w:rsidRDefault="00B01BDE" w:rsidP="00F569D0">
            <w:pPr>
              <w:jc w:val="both"/>
            </w:pPr>
            <w:r w:rsidRPr="000F4D7D">
              <w:t xml:space="preserve">Minēto personu grupu valsts atbalsta ne tikai ar stimulu, kas veicina apgādnieku nodarbinātību vispārējā nodokļu režīmā, bet tos atbalsta arī ar specifiskiem instrumentiem </w:t>
            </w:r>
            <w:r>
              <w:t>– piemēram, pabalstiem valsts sociālās apdrošināšanas sistēmas un sociālā nodrošinājuma sistēmas ietvaros.</w:t>
            </w:r>
          </w:p>
        </w:tc>
      </w:tr>
      <w:tr w:rsidR="00F569D0" w:rsidRPr="000F4D7D" w14:paraId="4AD615BA" w14:textId="77777777" w:rsidTr="00221A1D">
        <w:tc>
          <w:tcPr>
            <w:tcW w:w="851" w:type="dxa"/>
          </w:tcPr>
          <w:p w14:paraId="0797E7C4" w14:textId="77777777" w:rsidR="00F569D0" w:rsidRPr="000F4D7D" w:rsidRDefault="00F569D0" w:rsidP="00F569D0">
            <w:pPr>
              <w:pStyle w:val="ListParagraph"/>
              <w:numPr>
                <w:ilvl w:val="0"/>
                <w:numId w:val="15"/>
              </w:numPr>
            </w:pPr>
          </w:p>
        </w:tc>
        <w:tc>
          <w:tcPr>
            <w:tcW w:w="2977" w:type="dxa"/>
          </w:tcPr>
          <w:p w14:paraId="69A2FE33" w14:textId="40D809BE" w:rsidR="00F569D0" w:rsidRPr="00A46697" w:rsidRDefault="00F569D0" w:rsidP="008250BD">
            <w:pPr>
              <w:spacing w:after="120"/>
            </w:pPr>
            <w:r>
              <w:t>Vai nodokļa atvieglojumu ir nepieciešamas saglabāt</w:t>
            </w:r>
            <w:r w:rsidR="009326CC">
              <w:t xml:space="preserve"> </w:t>
            </w:r>
            <w:r w:rsidR="009326CC" w:rsidRPr="002B145E">
              <w:t>(norādot atkārtota izvērtējuma termiņu)</w:t>
            </w:r>
            <w:r>
              <w:t>, pārskatīt vai atcelt</w:t>
            </w:r>
          </w:p>
        </w:tc>
        <w:tc>
          <w:tcPr>
            <w:tcW w:w="6520" w:type="dxa"/>
            <w:gridSpan w:val="4"/>
          </w:tcPr>
          <w:p w14:paraId="505E1E81" w14:textId="443AF161" w:rsidR="00F569D0" w:rsidRDefault="008250BD" w:rsidP="008250BD">
            <w:pPr>
              <w:jc w:val="both"/>
            </w:pPr>
            <w:r>
              <w:t>Nodokļa atvi</w:t>
            </w:r>
            <w:r w:rsidR="00E942A7">
              <w:t>eglojumu nepieciešams saglabāt.</w:t>
            </w:r>
          </w:p>
          <w:p w14:paraId="2CFEECFB" w14:textId="7D5B07DA" w:rsidR="008250BD" w:rsidRPr="000F4D7D" w:rsidRDefault="008250BD" w:rsidP="008250BD">
            <w:pPr>
              <w:jc w:val="both"/>
            </w:pPr>
            <w:r>
              <w:t>Atkārtots izvērtējums jāveic 2023.gadā</w:t>
            </w:r>
            <w:r w:rsidR="007C071C">
              <w:t>.</w:t>
            </w:r>
          </w:p>
        </w:tc>
      </w:tr>
    </w:tbl>
    <w:p w14:paraId="02566F1A" w14:textId="77777777" w:rsidR="003001E7" w:rsidRDefault="003001E7" w:rsidP="003001E7">
      <w:pPr>
        <w:spacing w:after="0" w:line="240" w:lineRule="auto"/>
      </w:pPr>
    </w:p>
    <w:p w14:paraId="48F0DB36" w14:textId="77777777" w:rsidR="003001E7" w:rsidRDefault="003001E7" w:rsidP="003001E7">
      <w:pPr>
        <w:spacing w:after="0" w:line="240" w:lineRule="auto"/>
      </w:pPr>
    </w:p>
    <w:p w14:paraId="5B168B3F" w14:textId="77777777" w:rsidR="003001E7" w:rsidRDefault="003001E7" w:rsidP="003001E7">
      <w:pPr>
        <w:spacing w:after="0" w:line="240" w:lineRule="auto"/>
      </w:pPr>
    </w:p>
    <w:p w14:paraId="0AE8DE8F" w14:textId="77777777" w:rsidR="003001E7" w:rsidRPr="00407B03" w:rsidRDefault="003001E7" w:rsidP="003001E7">
      <w:pPr>
        <w:tabs>
          <w:tab w:val="left" w:pos="6946"/>
        </w:tabs>
        <w:spacing w:after="0" w:line="240" w:lineRule="auto"/>
        <w:rPr>
          <w:rFonts w:cstheme="minorBidi"/>
          <w:color w:val="000000"/>
          <w:sz w:val="26"/>
          <w:szCs w:val="26"/>
        </w:rPr>
      </w:pPr>
      <w:r w:rsidRPr="00407B03">
        <w:rPr>
          <w:rFonts w:cstheme="minorBidi"/>
          <w:color w:val="000000"/>
          <w:sz w:val="26"/>
          <w:szCs w:val="26"/>
        </w:rPr>
        <w:t>Finanšu ministrs</w:t>
      </w:r>
      <w:r w:rsidRPr="00407B03">
        <w:rPr>
          <w:rFonts w:cstheme="minorBidi"/>
          <w:color w:val="000000"/>
          <w:sz w:val="26"/>
          <w:szCs w:val="26"/>
        </w:rPr>
        <w:tab/>
        <w:t>Jānis Reirs</w:t>
      </w:r>
    </w:p>
    <w:p w14:paraId="22AED24B" w14:textId="77777777" w:rsidR="003001E7" w:rsidRPr="00407B03" w:rsidRDefault="003001E7" w:rsidP="003001E7">
      <w:pPr>
        <w:spacing w:after="0" w:line="240" w:lineRule="auto"/>
        <w:rPr>
          <w:rFonts w:cstheme="minorBidi"/>
          <w:sz w:val="20"/>
          <w:szCs w:val="20"/>
        </w:rPr>
      </w:pPr>
    </w:p>
    <w:p w14:paraId="27C63F85" w14:textId="77777777" w:rsidR="003001E7" w:rsidRPr="00407B03" w:rsidRDefault="003001E7" w:rsidP="003001E7">
      <w:pPr>
        <w:spacing w:after="0" w:line="240" w:lineRule="auto"/>
        <w:rPr>
          <w:rFonts w:cstheme="minorBidi"/>
          <w:sz w:val="20"/>
          <w:szCs w:val="20"/>
        </w:rPr>
      </w:pPr>
    </w:p>
    <w:p w14:paraId="7B7F9499" w14:textId="77777777" w:rsidR="003001E7" w:rsidRDefault="003001E7" w:rsidP="003001E7">
      <w:pPr>
        <w:spacing w:after="0" w:line="240" w:lineRule="auto"/>
        <w:rPr>
          <w:rFonts w:cstheme="minorBidi"/>
          <w:sz w:val="20"/>
          <w:szCs w:val="20"/>
        </w:rPr>
      </w:pPr>
    </w:p>
    <w:p w14:paraId="6874B621" w14:textId="77777777" w:rsidR="003001E7" w:rsidRDefault="003001E7" w:rsidP="003001E7">
      <w:pPr>
        <w:spacing w:after="0" w:line="240" w:lineRule="auto"/>
        <w:rPr>
          <w:rFonts w:cstheme="minorBidi"/>
          <w:sz w:val="20"/>
          <w:szCs w:val="20"/>
        </w:rPr>
      </w:pPr>
    </w:p>
    <w:p w14:paraId="607BF644" w14:textId="77777777" w:rsidR="003001E7" w:rsidRDefault="003001E7" w:rsidP="003001E7">
      <w:pPr>
        <w:spacing w:after="0" w:line="240" w:lineRule="auto"/>
        <w:rPr>
          <w:rFonts w:cstheme="minorBidi"/>
          <w:sz w:val="20"/>
          <w:szCs w:val="20"/>
        </w:rPr>
      </w:pPr>
    </w:p>
    <w:p w14:paraId="0EA36639" w14:textId="77777777" w:rsidR="003001E7" w:rsidRDefault="003001E7" w:rsidP="003001E7">
      <w:pPr>
        <w:spacing w:after="0" w:line="240" w:lineRule="auto"/>
        <w:rPr>
          <w:rFonts w:cstheme="minorBidi"/>
          <w:sz w:val="20"/>
          <w:szCs w:val="20"/>
        </w:rPr>
      </w:pPr>
    </w:p>
    <w:p w14:paraId="2D95522E" w14:textId="4045D589" w:rsidR="003001E7" w:rsidRDefault="003001E7" w:rsidP="003001E7">
      <w:pPr>
        <w:spacing w:after="0" w:line="240" w:lineRule="auto"/>
        <w:rPr>
          <w:rFonts w:cstheme="minorBidi"/>
          <w:sz w:val="20"/>
          <w:szCs w:val="20"/>
        </w:rPr>
      </w:pPr>
    </w:p>
    <w:p w14:paraId="521DBFD6" w14:textId="5A555121" w:rsidR="003001E7" w:rsidRDefault="003001E7" w:rsidP="003001E7">
      <w:pPr>
        <w:spacing w:after="0" w:line="240" w:lineRule="auto"/>
        <w:rPr>
          <w:rFonts w:cstheme="minorBidi"/>
          <w:sz w:val="20"/>
          <w:szCs w:val="20"/>
        </w:rPr>
      </w:pPr>
    </w:p>
    <w:p w14:paraId="16163768" w14:textId="6D585124" w:rsidR="003001E7" w:rsidRDefault="003001E7" w:rsidP="003001E7">
      <w:pPr>
        <w:spacing w:after="0" w:line="240" w:lineRule="auto"/>
        <w:rPr>
          <w:rFonts w:cstheme="minorBidi"/>
          <w:sz w:val="20"/>
          <w:szCs w:val="20"/>
        </w:rPr>
      </w:pPr>
    </w:p>
    <w:p w14:paraId="702DD367" w14:textId="773C6999" w:rsidR="003001E7" w:rsidRDefault="003001E7" w:rsidP="003001E7">
      <w:pPr>
        <w:spacing w:after="0" w:line="240" w:lineRule="auto"/>
        <w:rPr>
          <w:rFonts w:cstheme="minorBidi"/>
          <w:sz w:val="20"/>
          <w:szCs w:val="20"/>
        </w:rPr>
      </w:pPr>
    </w:p>
    <w:p w14:paraId="63ABFF4D" w14:textId="586E1C64" w:rsidR="00487E7B" w:rsidRDefault="00487E7B" w:rsidP="003001E7">
      <w:pPr>
        <w:spacing w:after="0" w:line="240" w:lineRule="auto"/>
        <w:rPr>
          <w:rFonts w:cstheme="minorBidi"/>
          <w:sz w:val="20"/>
          <w:szCs w:val="20"/>
        </w:rPr>
      </w:pPr>
    </w:p>
    <w:p w14:paraId="134405FE" w14:textId="77777777" w:rsidR="00487E7B" w:rsidRDefault="00487E7B" w:rsidP="003001E7">
      <w:pPr>
        <w:spacing w:after="0" w:line="240" w:lineRule="auto"/>
        <w:rPr>
          <w:rFonts w:cstheme="minorBidi"/>
          <w:sz w:val="20"/>
          <w:szCs w:val="20"/>
        </w:rPr>
      </w:pPr>
    </w:p>
    <w:p w14:paraId="7FEBC394" w14:textId="12BAFDB4" w:rsidR="003001E7" w:rsidRDefault="003001E7" w:rsidP="003001E7">
      <w:pPr>
        <w:spacing w:after="0" w:line="240" w:lineRule="auto"/>
        <w:rPr>
          <w:rFonts w:cstheme="minorBidi"/>
          <w:sz w:val="20"/>
          <w:szCs w:val="20"/>
        </w:rPr>
      </w:pPr>
    </w:p>
    <w:p w14:paraId="2AA39C76" w14:textId="61B62BF0" w:rsidR="003001E7" w:rsidRDefault="003001E7" w:rsidP="003001E7">
      <w:pPr>
        <w:spacing w:after="0" w:line="240" w:lineRule="auto"/>
        <w:rPr>
          <w:rFonts w:cstheme="minorBidi"/>
          <w:sz w:val="20"/>
          <w:szCs w:val="20"/>
        </w:rPr>
      </w:pPr>
    </w:p>
    <w:p w14:paraId="713E38F4" w14:textId="77777777" w:rsidR="00487E7B" w:rsidRPr="00487E7B" w:rsidRDefault="00487E7B" w:rsidP="00487E7B">
      <w:pPr>
        <w:spacing w:before="120" w:after="0" w:line="240" w:lineRule="auto"/>
        <w:rPr>
          <w:rFonts w:eastAsia="Calibri"/>
          <w:sz w:val="20"/>
          <w:szCs w:val="22"/>
        </w:rPr>
      </w:pPr>
      <w:r w:rsidRPr="00487E7B">
        <w:rPr>
          <w:rFonts w:eastAsia="Calibri"/>
          <w:sz w:val="20"/>
          <w:szCs w:val="22"/>
        </w:rPr>
        <w:t>V.Jureviča 67095560</w:t>
      </w:r>
    </w:p>
    <w:p w14:paraId="7B1BDEB9" w14:textId="77777777" w:rsidR="00487E7B" w:rsidRPr="00487E7B" w:rsidRDefault="003D00F2" w:rsidP="00487E7B">
      <w:pPr>
        <w:spacing w:after="0" w:line="240" w:lineRule="auto"/>
        <w:rPr>
          <w:rFonts w:eastAsia="Calibri"/>
          <w:color w:val="0000FF"/>
          <w:szCs w:val="22"/>
          <w:u w:val="single"/>
        </w:rPr>
      </w:pPr>
      <w:hyperlink r:id="rId8" w:history="1">
        <w:r w:rsidR="00487E7B" w:rsidRPr="00487E7B">
          <w:rPr>
            <w:rFonts w:eastAsia="Calibri"/>
            <w:color w:val="0000FF"/>
            <w:sz w:val="20"/>
            <w:szCs w:val="22"/>
            <w:u w:val="single"/>
          </w:rPr>
          <w:t>Viktorija.Jurevica@fm.gov.lv</w:t>
        </w:r>
      </w:hyperlink>
    </w:p>
    <w:p w14:paraId="24C0848F" w14:textId="08AA2AC9" w:rsidR="003001E7" w:rsidRDefault="003001E7" w:rsidP="003001E7">
      <w:pPr>
        <w:spacing w:after="0" w:line="240" w:lineRule="auto"/>
        <w:rPr>
          <w:rFonts w:cstheme="minorBidi"/>
          <w:sz w:val="20"/>
          <w:szCs w:val="20"/>
        </w:rPr>
      </w:pPr>
    </w:p>
    <w:p w14:paraId="0338036A" w14:textId="77777777" w:rsidR="003001E7" w:rsidRDefault="003001E7" w:rsidP="003001E7">
      <w:pPr>
        <w:spacing w:after="0" w:line="240" w:lineRule="auto"/>
        <w:rPr>
          <w:rFonts w:cstheme="minorBidi"/>
          <w:sz w:val="20"/>
          <w:szCs w:val="20"/>
        </w:rPr>
      </w:pPr>
    </w:p>
    <w:sectPr w:rsidR="003001E7" w:rsidSect="00B57EFF">
      <w:footerReference w:type="default" r:id="rId9"/>
      <w:pgSz w:w="11906" w:h="16838"/>
      <w:pgMar w:top="1134" w:right="1134"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F6C89" w14:textId="77777777" w:rsidR="00B66F4F" w:rsidRDefault="00B66F4F" w:rsidP="00696A94">
      <w:pPr>
        <w:spacing w:after="0" w:line="240" w:lineRule="auto"/>
      </w:pPr>
      <w:r>
        <w:separator/>
      </w:r>
    </w:p>
  </w:endnote>
  <w:endnote w:type="continuationSeparator" w:id="0">
    <w:p w14:paraId="5B560991" w14:textId="77777777" w:rsidR="00B66F4F" w:rsidRDefault="00B66F4F" w:rsidP="0069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12EA" w14:textId="66676F11" w:rsidR="00316557" w:rsidRPr="00A46697" w:rsidRDefault="00A46697" w:rsidP="00A46697">
    <w:pPr>
      <w:tabs>
        <w:tab w:val="center" w:pos="4153"/>
        <w:tab w:val="right" w:pos="8306"/>
      </w:tabs>
      <w:spacing w:after="0" w:line="240" w:lineRule="auto"/>
      <w:ind w:left="-284"/>
      <w:jc w:val="both"/>
      <w:rPr>
        <w:rFonts w:cstheme="minorBidi"/>
        <w:sz w:val="20"/>
        <w:szCs w:val="20"/>
      </w:rPr>
    </w:pPr>
    <w:r w:rsidRPr="00A46697">
      <w:rPr>
        <w:rFonts w:cstheme="minorBidi"/>
        <w:sz w:val="20"/>
        <w:szCs w:val="20"/>
      </w:rPr>
      <w:t>FMZinP</w:t>
    </w:r>
    <w:r w:rsidR="0027240B">
      <w:rPr>
        <w:rFonts w:cstheme="minorBidi"/>
        <w:sz w:val="20"/>
        <w:szCs w:val="20"/>
      </w:rPr>
      <w:t>2</w:t>
    </w:r>
    <w:r w:rsidRPr="00A46697">
      <w:rPr>
        <w:rFonts w:cstheme="minorBidi"/>
        <w:sz w:val="20"/>
        <w:szCs w:val="20"/>
      </w:rPr>
      <w:t>_</w:t>
    </w:r>
    <w:r w:rsidR="006D4B32">
      <w:rPr>
        <w:rFonts w:cstheme="minorBidi"/>
        <w:sz w:val="20"/>
        <w:szCs w:val="20"/>
      </w:rPr>
      <w:t>30</w:t>
    </w:r>
    <w:r w:rsidR="00487E7B">
      <w:rPr>
        <w:rFonts w:cstheme="minorBidi"/>
        <w:sz w:val="20"/>
        <w:szCs w:val="20"/>
      </w:rPr>
      <w:t>12</w:t>
    </w:r>
    <w:r w:rsidR="00895E90" w:rsidRPr="00A46697">
      <w:rPr>
        <w:rFonts w:cstheme="minorBidi"/>
        <w:sz w:val="20"/>
        <w:szCs w:val="20"/>
      </w:rPr>
      <w:t>20</w:t>
    </w:r>
    <w:r w:rsidRPr="00A46697">
      <w:rPr>
        <w:rFonts w:cstheme="minorBidi"/>
        <w:sz w:val="20"/>
        <w:szCs w:val="20"/>
      </w:rPr>
      <w:t>_NAizv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EF5C2" w14:textId="77777777" w:rsidR="00B66F4F" w:rsidRDefault="00B66F4F" w:rsidP="00696A94">
      <w:pPr>
        <w:spacing w:after="0" w:line="240" w:lineRule="auto"/>
      </w:pPr>
      <w:r>
        <w:separator/>
      </w:r>
    </w:p>
  </w:footnote>
  <w:footnote w:type="continuationSeparator" w:id="0">
    <w:p w14:paraId="5559D333" w14:textId="77777777" w:rsidR="00B66F4F" w:rsidRDefault="00B66F4F" w:rsidP="00696A94">
      <w:pPr>
        <w:spacing w:after="0" w:line="240" w:lineRule="auto"/>
      </w:pPr>
      <w:r>
        <w:continuationSeparator/>
      </w:r>
    </w:p>
  </w:footnote>
  <w:footnote w:id="1">
    <w:p w14:paraId="1C6AB256" w14:textId="643F4CE8" w:rsidR="006E7920" w:rsidRDefault="006E7920">
      <w:pPr>
        <w:pStyle w:val="FootnoteText"/>
      </w:pPr>
      <w:r>
        <w:rPr>
          <w:rStyle w:val="FootnoteReference"/>
        </w:rPr>
        <w:footnoteRef/>
      </w:r>
      <w:r>
        <w:t xml:space="preserve"> Pēdējie dati par 2018.gadu, ņemot vērā, ka izvērtējuma veikšanas brīdī vēl nebija pieejama pilnīga informācija par 2019.gadu, bet minētā informācija tiks aktualizēta izvērtējuma veikšanas procesā.</w:t>
      </w:r>
    </w:p>
  </w:footnote>
  <w:footnote w:id="2">
    <w:p w14:paraId="00232BAC" w14:textId="7779D5FC" w:rsidR="006E7920" w:rsidRDefault="006E7920">
      <w:pPr>
        <w:pStyle w:val="FootnoteText"/>
      </w:pPr>
      <w:r>
        <w:rPr>
          <w:rStyle w:val="FootnoteReference"/>
        </w:rPr>
        <w:footnoteRef/>
      </w:r>
      <w:r>
        <w:t xml:space="preserve"> Pēdējie dati par 2018.gadu, ņemot vērā, ka izvērtējuma veikšanas brīdī vēl nebija pieejama pilnīga informācija par 2019.gadu, bet minētā informācija tiks aktualizēta izvērtējuma veikšanas procesā.</w:t>
      </w:r>
    </w:p>
  </w:footnote>
  <w:footnote w:id="3">
    <w:p w14:paraId="7554AC14" w14:textId="734702E2" w:rsidR="001440DC" w:rsidRDefault="001440DC" w:rsidP="002D3C3D">
      <w:pPr>
        <w:pStyle w:val="FootnoteText"/>
      </w:pPr>
      <w:r>
        <w:rPr>
          <w:rStyle w:val="FootnoteReference"/>
        </w:rPr>
        <w:footnoteRef/>
      </w:r>
      <w:r>
        <w:t xml:space="preserve"> </w:t>
      </w:r>
      <w:r w:rsidR="004E333B">
        <w:t>Paraugā norādītie s</w:t>
      </w:r>
      <w:r w:rsidR="0057376B">
        <w:t>asnie</w:t>
      </w:r>
      <w:r w:rsidR="000D3BCA">
        <w:t>guma</w:t>
      </w:r>
      <w:r w:rsidR="0057376B">
        <w:t xml:space="preserve"> rādītāji</w:t>
      </w:r>
      <w:r w:rsidR="004E333B">
        <w:t xml:space="preserve"> un to rezultāti ir noteikti </w:t>
      </w:r>
      <w:r w:rsidR="009E1810">
        <w:t xml:space="preserve">tikai </w:t>
      </w:r>
      <w:r w:rsidR="004E333B">
        <w:t>parauga vajadzībām</w:t>
      </w:r>
      <w:r w:rsidR="009C2C58">
        <w:t>, tie</w:t>
      </w:r>
      <w:r w:rsidR="004E333B">
        <w:t xml:space="preserve"> var</w:t>
      </w:r>
      <w:r w:rsidRPr="001440DC">
        <w:t xml:space="preserve"> tik</w:t>
      </w:r>
      <w:r w:rsidR="004E333B">
        <w:t>t</w:t>
      </w:r>
      <w:r w:rsidRPr="001440DC">
        <w:t xml:space="preserve"> </w:t>
      </w:r>
      <w:r w:rsidR="004E333B">
        <w:t xml:space="preserve">mainīti </w:t>
      </w:r>
      <w:r w:rsidR="0057376B">
        <w:t xml:space="preserve">izvērtējuma </w:t>
      </w:r>
      <w:r w:rsidR="009E1810">
        <w:t xml:space="preserve">un saskaņošanas </w:t>
      </w:r>
      <w:r w:rsidR="00421FEE">
        <w:t>procesa</w:t>
      </w:r>
      <w:r w:rsidRPr="001440DC">
        <w:t xml:space="preserve"> gaitā</w:t>
      </w:r>
    </w:p>
  </w:footnote>
  <w:footnote w:id="4">
    <w:p w14:paraId="1B03740B" w14:textId="77777777" w:rsidR="00B01BDE" w:rsidRPr="00B92EF9" w:rsidRDefault="00B01BDE" w:rsidP="002D3C3D">
      <w:pPr>
        <w:pStyle w:val="FootnoteText"/>
      </w:pPr>
      <w:r w:rsidRPr="00B92EF9">
        <w:rPr>
          <w:rStyle w:val="FootnoteReference"/>
        </w:rPr>
        <w:footnoteRef/>
      </w:r>
      <w:r>
        <w:t xml:space="preserve"> No</w:t>
      </w:r>
      <w:r w:rsidRPr="00B92EF9">
        <w:t xml:space="preserve">dokļu atvieglojumu ziņojums par 2018.gadu. Pieejams: </w:t>
      </w:r>
      <w:hyperlink r:id="rId1" w:history="1">
        <w:r w:rsidRPr="00883A81">
          <w:rPr>
            <w:rStyle w:val="Hyperlink"/>
          </w:rPr>
          <w:t>https://www.fm.gov.lv/files/nodoklupolitika/NA_novertejums_2018_FINAL.docx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28A0"/>
    <w:multiLevelType w:val="hybridMultilevel"/>
    <w:tmpl w:val="9A94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D411D"/>
    <w:multiLevelType w:val="hybridMultilevel"/>
    <w:tmpl w:val="8306E81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6934093"/>
    <w:multiLevelType w:val="hybridMultilevel"/>
    <w:tmpl w:val="1EC02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615146"/>
    <w:multiLevelType w:val="hybridMultilevel"/>
    <w:tmpl w:val="45F08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465EB"/>
    <w:multiLevelType w:val="hybridMultilevel"/>
    <w:tmpl w:val="75829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61703A"/>
    <w:multiLevelType w:val="hybridMultilevel"/>
    <w:tmpl w:val="6AD02E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DC436A5"/>
    <w:multiLevelType w:val="hybridMultilevel"/>
    <w:tmpl w:val="3D2055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274724"/>
    <w:multiLevelType w:val="hybridMultilevel"/>
    <w:tmpl w:val="C07AB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65963"/>
    <w:multiLevelType w:val="hybridMultilevel"/>
    <w:tmpl w:val="45F08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261D34"/>
    <w:multiLevelType w:val="hybridMultilevel"/>
    <w:tmpl w:val="0EE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E2A3B"/>
    <w:multiLevelType w:val="hybridMultilevel"/>
    <w:tmpl w:val="1AC45A4A"/>
    <w:lvl w:ilvl="0" w:tplc="F9D0618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28013C"/>
    <w:multiLevelType w:val="hybridMultilevel"/>
    <w:tmpl w:val="1D14E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1E4004"/>
    <w:multiLevelType w:val="hybridMultilevel"/>
    <w:tmpl w:val="18C6A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733E25"/>
    <w:multiLevelType w:val="hybridMultilevel"/>
    <w:tmpl w:val="1AC45A4A"/>
    <w:lvl w:ilvl="0" w:tplc="F9D0618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723B9B"/>
    <w:multiLevelType w:val="hybridMultilevel"/>
    <w:tmpl w:val="F8E2A46E"/>
    <w:lvl w:ilvl="0" w:tplc="E2149D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0"/>
  </w:num>
  <w:num w:numId="5">
    <w:abstractNumId w:val="14"/>
  </w:num>
  <w:num w:numId="6">
    <w:abstractNumId w:val="12"/>
  </w:num>
  <w:num w:numId="7">
    <w:abstractNumId w:val="6"/>
  </w:num>
  <w:num w:numId="8">
    <w:abstractNumId w:val="10"/>
  </w:num>
  <w:num w:numId="9">
    <w:abstractNumId w:val="13"/>
  </w:num>
  <w:num w:numId="10">
    <w:abstractNumId w:val="3"/>
  </w:num>
  <w:num w:numId="11">
    <w:abstractNumId w:val="8"/>
  </w:num>
  <w:num w:numId="12">
    <w:abstractNumId w:val="5"/>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29"/>
    <w:rsid w:val="0000715B"/>
    <w:rsid w:val="00027F30"/>
    <w:rsid w:val="000367FB"/>
    <w:rsid w:val="00037A0E"/>
    <w:rsid w:val="00040003"/>
    <w:rsid w:val="00050744"/>
    <w:rsid w:val="00074535"/>
    <w:rsid w:val="0008599A"/>
    <w:rsid w:val="000B192C"/>
    <w:rsid w:val="000B693E"/>
    <w:rsid w:val="000C44E9"/>
    <w:rsid w:val="000D3BCA"/>
    <w:rsid w:val="000F4D7D"/>
    <w:rsid w:val="0010472D"/>
    <w:rsid w:val="00105331"/>
    <w:rsid w:val="00142C0B"/>
    <w:rsid w:val="001440DC"/>
    <w:rsid w:val="001501B8"/>
    <w:rsid w:val="00154E4E"/>
    <w:rsid w:val="001872EB"/>
    <w:rsid w:val="001B37F9"/>
    <w:rsid w:val="001C29CD"/>
    <w:rsid w:val="001D3507"/>
    <w:rsid w:val="002028FD"/>
    <w:rsid w:val="00221A1D"/>
    <w:rsid w:val="0022288C"/>
    <w:rsid w:val="00267694"/>
    <w:rsid w:val="0027240B"/>
    <w:rsid w:val="00281B25"/>
    <w:rsid w:val="00291177"/>
    <w:rsid w:val="002970B6"/>
    <w:rsid w:val="002B145E"/>
    <w:rsid w:val="002D3C3D"/>
    <w:rsid w:val="002D5B02"/>
    <w:rsid w:val="002E660E"/>
    <w:rsid w:val="003001E7"/>
    <w:rsid w:val="00315AFA"/>
    <w:rsid w:val="00316557"/>
    <w:rsid w:val="00343B53"/>
    <w:rsid w:val="00363383"/>
    <w:rsid w:val="003B322F"/>
    <w:rsid w:val="003B5D6B"/>
    <w:rsid w:val="003C2352"/>
    <w:rsid w:val="003C3661"/>
    <w:rsid w:val="003D00F2"/>
    <w:rsid w:val="003E0985"/>
    <w:rsid w:val="00407B03"/>
    <w:rsid w:val="00421FEE"/>
    <w:rsid w:val="00437F4A"/>
    <w:rsid w:val="004525D6"/>
    <w:rsid w:val="00453228"/>
    <w:rsid w:val="00456773"/>
    <w:rsid w:val="00470F1D"/>
    <w:rsid w:val="004756E9"/>
    <w:rsid w:val="00480BB2"/>
    <w:rsid w:val="00487E7B"/>
    <w:rsid w:val="004B04C6"/>
    <w:rsid w:val="004D2E85"/>
    <w:rsid w:val="004D7914"/>
    <w:rsid w:val="004E06E3"/>
    <w:rsid w:val="004E333B"/>
    <w:rsid w:val="004F2B19"/>
    <w:rsid w:val="00510F8A"/>
    <w:rsid w:val="005157D9"/>
    <w:rsid w:val="00535C53"/>
    <w:rsid w:val="005429C5"/>
    <w:rsid w:val="00546A7E"/>
    <w:rsid w:val="00562E8E"/>
    <w:rsid w:val="00570F13"/>
    <w:rsid w:val="0057376B"/>
    <w:rsid w:val="00580F83"/>
    <w:rsid w:val="0058335C"/>
    <w:rsid w:val="005B61A0"/>
    <w:rsid w:val="005B786D"/>
    <w:rsid w:val="005F1A7F"/>
    <w:rsid w:val="006727E0"/>
    <w:rsid w:val="006929FD"/>
    <w:rsid w:val="00696A94"/>
    <w:rsid w:val="006D4B32"/>
    <w:rsid w:val="006E7920"/>
    <w:rsid w:val="0073638A"/>
    <w:rsid w:val="007576E4"/>
    <w:rsid w:val="00767CEE"/>
    <w:rsid w:val="0077682A"/>
    <w:rsid w:val="007B32EC"/>
    <w:rsid w:val="007C071C"/>
    <w:rsid w:val="007C278D"/>
    <w:rsid w:val="007D40C5"/>
    <w:rsid w:val="008250BD"/>
    <w:rsid w:val="008442A5"/>
    <w:rsid w:val="00895E90"/>
    <w:rsid w:val="00896BB8"/>
    <w:rsid w:val="008A20F0"/>
    <w:rsid w:val="008B376B"/>
    <w:rsid w:val="008C2B2D"/>
    <w:rsid w:val="008D2229"/>
    <w:rsid w:val="008F7B84"/>
    <w:rsid w:val="00915B58"/>
    <w:rsid w:val="00932246"/>
    <w:rsid w:val="009326CC"/>
    <w:rsid w:val="009B7B74"/>
    <w:rsid w:val="009C2C58"/>
    <w:rsid w:val="009D145A"/>
    <w:rsid w:val="009E1810"/>
    <w:rsid w:val="009E426C"/>
    <w:rsid w:val="009E6354"/>
    <w:rsid w:val="009F19D2"/>
    <w:rsid w:val="00A12460"/>
    <w:rsid w:val="00A2074C"/>
    <w:rsid w:val="00A2368C"/>
    <w:rsid w:val="00A23BA0"/>
    <w:rsid w:val="00A35EF0"/>
    <w:rsid w:val="00A37B10"/>
    <w:rsid w:val="00A432AE"/>
    <w:rsid w:val="00A46697"/>
    <w:rsid w:val="00A621B1"/>
    <w:rsid w:val="00A63C60"/>
    <w:rsid w:val="00A63E56"/>
    <w:rsid w:val="00A829F4"/>
    <w:rsid w:val="00AB4B62"/>
    <w:rsid w:val="00AD3A27"/>
    <w:rsid w:val="00AE6E30"/>
    <w:rsid w:val="00B01BDE"/>
    <w:rsid w:val="00B06818"/>
    <w:rsid w:val="00B11BB0"/>
    <w:rsid w:val="00B22141"/>
    <w:rsid w:val="00B409DE"/>
    <w:rsid w:val="00B43D88"/>
    <w:rsid w:val="00B447D4"/>
    <w:rsid w:val="00B57EFF"/>
    <w:rsid w:val="00B62B8A"/>
    <w:rsid w:val="00B65E26"/>
    <w:rsid w:val="00B66F4F"/>
    <w:rsid w:val="00B85D30"/>
    <w:rsid w:val="00B962D3"/>
    <w:rsid w:val="00B96FAC"/>
    <w:rsid w:val="00BA6418"/>
    <w:rsid w:val="00BA77A4"/>
    <w:rsid w:val="00BC5DC1"/>
    <w:rsid w:val="00BF7DB5"/>
    <w:rsid w:val="00C22103"/>
    <w:rsid w:val="00C77EC7"/>
    <w:rsid w:val="00C90D2A"/>
    <w:rsid w:val="00CB584C"/>
    <w:rsid w:val="00D04E25"/>
    <w:rsid w:val="00D624AF"/>
    <w:rsid w:val="00D6341A"/>
    <w:rsid w:val="00D70510"/>
    <w:rsid w:val="00D81396"/>
    <w:rsid w:val="00D8646A"/>
    <w:rsid w:val="00DC3825"/>
    <w:rsid w:val="00DC6559"/>
    <w:rsid w:val="00DD2921"/>
    <w:rsid w:val="00DF0BC7"/>
    <w:rsid w:val="00E01D75"/>
    <w:rsid w:val="00E12A40"/>
    <w:rsid w:val="00E2517D"/>
    <w:rsid w:val="00E301AE"/>
    <w:rsid w:val="00E34830"/>
    <w:rsid w:val="00E51BE3"/>
    <w:rsid w:val="00E51E55"/>
    <w:rsid w:val="00E77303"/>
    <w:rsid w:val="00E942A7"/>
    <w:rsid w:val="00EA6E8D"/>
    <w:rsid w:val="00EB1ED7"/>
    <w:rsid w:val="00EB2933"/>
    <w:rsid w:val="00ED7FDB"/>
    <w:rsid w:val="00F13988"/>
    <w:rsid w:val="00F2056E"/>
    <w:rsid w:val="00F2514F"/>
    <w:rsid w:val="00F43913"/>
    <w:rsid w:val="00F569D0"/>
    <w:rsid w:val="00F676B7"/>
    <w:rsid w:val="00F872FA"/>
    <w:rsid w:val="00F873D3"/>
    <w:rsid w:val="00F9397C"/>
    <w:rsid w:val="00FA189F"/>
    <w:rsid w:val="00FC5D9C"/>
    <w:rsid w:val="00FC7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AA9A"/>
  <w15:chartTrackingRefBased/>
  <w15:docId w15:val="{27BBA934-A070-4C68-91CD-DFCB7F86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4C6"/>
    <w:pPr>
      <w:ind w:left="720"/>
      <w:contextualSpacing/>
    </w:pPr>
  </w:style>
  <w:style w:type="paragraph" w:styleId="BalloonText">
    <w:name w:val="Balloon Text"/>
    <w:basedOn w:val="Normal"/>
    <w:link w:val="BalloonTextChar"/>
    <w:uiPriority w:val="99"/>
    <w:semiHidden/>
    <w:unhideWhenUsed/>
    <w:rsid w:val="00A43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AE"/>
    <w:rPr>
      <w:rFonts w:ascii="Segoe UI" w:hAnsi="Segoe UI" w:cs="Segoe UI"/>
      <w:sz w:val="18"/>
      <w:szCs w:val="18"/>
    </w:rPr>
  </w:style>
  <w:style w:type="paragraph" w:styleId="FootnoteText">
    <w:name w:val="footnote text"/>
    <w:basedOn w:val="Normal"/>
    <w:link w:val="FootnoteTextChar"/>
    <w:uiPriority w:val="99"/>
    <w:semiHidden/>
    <w:unhideWhenUsed/>
    <w:rsid w:val="00696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94"/>
    <w:rPr>
      <w:sz w:val="20"/>
      <w:szCs w:val="20"/>
    </w:rPr>
  </w:style>
  <w:style w:type="character" w:styleId="FootnoteReference">
    <w:name w:val="footnote reference"/>
    <w:basedOn w:val="DefaultParagraphFont"/>
    <w:uiPriority w:val="99"/>
    <w:semiHidden/>
    <w:unhideWhenUsed/>
    <w:rsid w:val="00696A94"/>
    <w:rPr>
      <w:vertAlign w:val="superscript"/>
    </w:rPr>
  </w:style>
  <w:style w:type="paragraph" w:styleId="Header">
    <w:name w:val="header"/>
    <w:basedOn w:val="Normal"/>
    <w:link w:val="HeaderChar"/>
    <w:uiPriority w:val="99"/>
    <w:unhideWhenUsed/>
    <w:rsid w:val="00316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6557"/>
  </w:style>
  <w:style w:type="paragraph" w:styleId="Footer">
    <w:name w:val="footer"/>
    <w:basedOn w:val="Normal"/>
    <w:link w:val="FooterChar"/>
    <w:uiPriority w:val="99"/>
    <w:unhideWhenUsed/>
    <w:rsid w:val="00316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6557"/>
  </w:style>
  <w:style w:type="character" w:styleId="Hyperlink">
    <w:name w:val="Hyperlink"/>
    <w:basedOn w:val="DefaultParagraphFont"/>
    <w:uiPriority w:val="99"/>
    <w:unhideWhenUsed/>
    <w:rsid w:val="00E12A40"/>
    <w:rPr>
      <w:color w:val="0563C1" w:themeColor="hyperlink"/>
      <w:u w:val="single"/>
    </w:rPr>
  </w:style>
  <w:style w:type="character" w:styleId="CommentReference">
    <w:name w:val="annotation reference"/>
    <w:basedOn w:val="DefaultParagraphFont"/>
    <w:uiPriority w:val="99"/>
    <w:semiHidden/>
    <w:unhideWhenUsed/>
    <w:rsid w:val="00B409DE"/>
    <w:rPr>
      <w:sz w:val="16"/>
      <w:szCs w:val="16"/>
    </w:rPr>
  </w:style>
  <w:style w:type="paragraph" w:styleId="CommentText">
    <w:name w:val="annotation text"/>
    <w:basedOn w:val="Normal"/>
    <w:link w:val="CommentTextChar"/>
    <w:uiPriority w:val="99"/>
    <w:semiHidden/>
    <w:unhideWhenUsed/>
    <w:rsid w:val="00B409DE"/>
    <w:pPr>
      <w:spacing w:line="240" w:lineRule="auto"/>
    </w:pPr>
    <w:rPr>
      <w:sz w:val="20"/>
      <w:szCs w:val="20"/>
    </w:rPr>
  </w:style>
  <w:style w:type="character" w:customStyle="1" w:styleId="CommentTextChar">
    <w:name w:val="Comment Text Char"/>
    <w:basedOn w:val="DefaultParagraphFont"/>
    <w:link w:val="CommentText"/>
    <w:uiPriority w:val="99"/>
    <w:semiHidden/>
    <w:rsid w:val="00B409DE"/>
    <w:rPr>
      <w:sz w:val="20"/>
      <w:szCs w:val="20"/>
    </w:rPr>
  </w:style>
  <w:style w:type="paragraph" w:styleId="CommentSubject">
    <w:name w:val="annotation subject"/>
    <w:basedOn w:val="CommentText"/>
    <w:next w:val="CommentText"/>
    <w:link w:val="CommentSubjectChar"/>
    <w:uiPriority w:val="99"/>
    <w:semiHidden/>
    <w:unhideWhenUsed/>
    <w:rsid w:val="00B409DE"/>
    <w:rPr>
      <w:b/>
      <w:bCs/>
    </w:rPr>
  </w:style>
  <w:style w:type="character" w:customStyle="1" w:styleId="CommentSubjectChar">
    <w:name w:val="Comment Subject Char"/>
    <w:basedOn w:val="CommentTextChar"/>
    <w:link w:val="CommentSubject"/>
    <w:uiPriority w:val="99"/>
    <w:semiHidden/>
    <w:rsid w:val="00B40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7206">
      <w:bodyDiv w:val="1"/>
      <w:marLeft w:val="0"/>
      <w:marRight w:val="0"/>
      <w:marTop w:val="0"/>
      <w:marBottom w:val="0"/>
      <w:divBdr>
        <w:top w:val="none" w:sz="0" w:space="0" w:color="auto"/>
        <w:left w:val="none" w:sz="0" w:space="0" w:color="auto"/>
        <w:bottom w:val="none" w:sz="0" w:space="0" w:color="auto"/>
        <w:right w:val="none" w:sz="0" w:space="0" w:color="auto"/>
      </w:divBdr>
    </w:div>
    <w:div w:id="1321422112">
      <w:bodyDiv w:val="1"/>
      <w:marLeft w:val="0"/>
      <w:marRight w:val="0"/>
      <w:marTop w:val="0"/>
      <w:marBottom w:val="0"/>
      <w:divBdr>
        <w:top w:val="none" w:sz="0" w:space="0" w:color="auto"/>
        <w:left w:val="none" w:sz="0" w:space="0" w:color="auto"/>
        <w:bottom w:val="none" w:sz="0" w:space="0" w:color="auto"/>
        <w:right w:val="none" w:sz="0" w:space="0" w:color="auto"/>
      </w:divBdr>
    </w:div>
    <w:div w:id="13893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revica@f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m.gov.lv/files/nodoklupolitika/NA_novertejums_2018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3110-9561-4ABE-82DD-B546F694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6649</Words>
  <Characters>3791</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Pielikums Nr.2 precizētajam Informatīvajam ziņojumam “Par spēkā esošonodokļu atvieglojumu izvērtēšanu"</vt:lpstr>
    </vt:vector>
  </TitlesOfParts>
  <Manager>J.Reirs</Manager>
  <Company>Finanšu Ministrija</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Nr.2 precizētajam Informatīvajam ziņojumam “Par spēkā esošonodokļu atvieglojumu izvērtēšanu"</dc:title>
  <dc:subject>Par informatīvā ziņojuma pielikumu</dc:subject>
  <dc:creator>D.Dzelme_Urbāne</dc:creator>
  <cp:keywords/>
  <dc:description>Jureviča 67 095 560 
Viktorija.Jurevica@fm.gov.lv</dc:description>
  <cp:lastModifiedBy>Viktorija Jureviča</cp:lastModifiedBy>
  <cp:revision>2</cp:revision>
  <cp:lastPrinted>2020-06-29T07:48:00Z</cp:lastPrinted>
  <dcterms:created xsi:type="dcterms:W3CDTF">2021-01-11T08:24:00Z</dcterms:created>
  <dcterms:modified xsi:type="dcterms:W3CDTF">2021-01-11T08:24:00Z</dcterms:modified>
  <cp:category>Informatīvais ziņojums</cp:category>
</cp:coreProperties>
</file>