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771E" w14:textId="77777777" w:rsidR="000B1D73" w:rsidRDefault="00D07F49" w:rsidP="001F4D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Nelikumīga (un nesaderīga) komercdarbības atbalsta atgūšana saimnieciskās (ekonomiskās) pēctecības gadījumā</w:t>
      </w:r>
    </w:p>
    <w:p w14:paraId="6DC2B8D3" w14:textId="77777777" w:rsidR="001D1213" w:rsidRDefault="001D1213" w:rsidP="001F4D62">
      <w:pPr>
        <w:spacing w:after="0" w:line="240" w:lineRule="auto"/>
        <w:jc w:val="center"/>
        <w:rPr>
          <w:rFonts w:ascii="Times New Roman" w:hAnsi="Times New Roman" w:cs="Times New Roman"/>
          <w:b/>
          <w:sz w:val="28"/>
          <w:szCs w:val="28"/>
        </w:rPr>
      </w:pPr>
    </w:p>
    <w:p w14:paraId="62396B77" w14:textId="77777777" w:rsidR="00C57BF9" w:rsidRPr="002A3EA7" w:rsidRDefault="00C57BF9" w:rsidP="003122C5">
      <w:pPr>
        <w:spacing w:after="0" w:line="240" w:lineRule="auto"/>
        <w:ind w:firstLine="567"/>
        <w:jc w:val="both"/>
        <w:rPr>
          <w:szCs w:val="24"/>
        </w:rPr>
      </w:pPr>
      <w:r w:rsidRPr="003122C5">
        <w:rPr>
          <w:rFonts w:ascii="Times New Roman" w:hAnsi="Times New Roman" w:cs="Times New Roman"/>
          <w:b/>
          <w:bCs/>
          <w:sz w:val="24"/>
          <w:szCs w:val="24"/>
        </w:rPr>
        <w:t xml:space="preserve">Saimnieciskās darbības veicējs (komercsabiedrība) ir </w:t>
      </w:r>
      <w:r w:rsidRPr="003122C5">
        <w:rPr>
          <w:rFonts w:ascii="Times New Roman" w:hAnsi="Times New Roman" w:cs="Times New Roman"/>
          <w:sz w:val="24"/>
          <w:szCs w:val="24"/>
        </w:rPr>
        <w:t>jebkura persona, neatkarīgi no tās juridiskā statusa un veida</w:t>
      </w:r>
      <w:r w:rsidR="003B6F86">
        <w:rPr>
          <w:rFonts w:ascii="Times New Roman" w:hAnsi="Times New Roman" w:cs="Times New Roman"/>
          <w:sz w:val="24"/>
          <w:szCs w:val="24"/>
        </w:rPr>
        <w:t>,</w:t>
      </w:r>
      <w:r w:rsidRPr="003122C5">
        <w:rPr>
          <w:rFonts w:ascii="Times New Roman" w:hAnsi="Times New Roman" w:cs="Times New Roman"/>
          <w:sz w:val="24"/>
          <w:szCs w:val="24"/>
        </w:rPr>
        <w:t xml:space="preserve"> kādā tā tiek finansēta</w:t>
      </w:r>
      <w:r w:rsidRPr="003122C5">
        <w:rPr>
          <w:rFonts w:ascii="Times New Roman" w:hAnsi="Times New Roman" w:cs="Times New Roman"/>
          <w:sz w:val="24"/>
          <w:szCs w:val="24"/>
          <w:shd w:val="clear" w:color="auto" w:fill="FFFFFF"/>
        </w:rPr>
        <w:t xml:space="preserve">, t.i., fiziskā persona, juridiskā persona vai šādu personu apvienība neatkarīgi no tās īpašuma formas un darbības veida, kura veic vai gatavojas </w:t>
      </w:r>
      <w:r w:rsidRPr="003122C5">
        <w:rPr>
          <w:rFonts w:ascii="Times New Roman" w:hAnsi="Times New Roman" w:cs="Times New Roman"/>
          <w:sz w:val="24"/>
          <w:szCs w:val="24"/>
        </w:rPr>
        <w:t>iesaistīties saimnieciskās darbības/ekonomiskās aktivitātes veikšanā, piedāvājot preces vai pakalpojumus tirgū. Fakts, ka potenciālais atbalsta saņēmējs ir bezpeļņas organizācija vai arī fakts, ka potenciālais saņēmējs tiek pilnībā finansēts no valsts resursiem un tas savus pakalpojumus sniedz bez maksas, neizslēdz iespējamību, ka tas var tikt kvalificēts kā komercsabiedrība (saimnieciskās darbības veicējs)</w:t>
      </w:r>
      <w:r w:rsidR="003B6F86">
        <w:rPr>
          <w:rFonts w:ascii="Times New Roman" w:hAnsi="Times New Roman" w:cs="Times New Roman"/>
          <w:sz w:val="24"/>
          <w:szCs w:val="24"/>
        </w:rPr>
        <w:t xml:space="preserve"> komercdarbības atbalsta kontroles politikas kontekstā</w:t>
      </w:r>
      <w:r w:rsidRPr="003122C5">
        <w:rPr>
          <w:rFonts w:ascii="Times New Roman" w:hAnsi="Times New Roman" w:cs="Times New Roman"/>
          <w:sz w:val="24"/>
          <w:szCs w:val="24"/>
        </w:rPr>
        <w:t>.</w:t>
      </w:r>
    </w:p>
    <w:p w14:paraId="4FDC94F6" w14:textId="77777777" w:rsidR="00C219D5" w:rsidRDefault="00C219D5" w:rsidP="001F4D62">
      <w:pPr>
        <w:spacing w:after="0" w:line="240" w:lineRule="auto"/>
        <w:jc w:val="center"/>
        <w:rPr>
          <w:rFonts w:ascii="Times New Roman" w:hAnsi="Times New Roman" w:cs="Times New Roman"/>
          <w:b/>
          <w:sz w:val="28"/>
          <w:szCs w:val="28"/>
        </w:rPr>
      </w:pPr>
    </w:p>
    <w:p w14:paraId="5C4B8E50" w14:textId="77777777" w:rsidR="001D1213" w:rsidRPr="001D1213" w:rsidRDefault="001D1213" w:rsidP="001F4D62">
      <w:pPr>
        <w:spacing w:after="0" w:line="240" w:lineRule="auto"/>
        <w:jc w:val="center"/>
        <w:rPr>
          <w:rFonts w:ascii="Times New Roman" w:hAnsi="Times New Roman" w:cs="Times New Roman"/>
          <w:b/>
          <w:sz w:val="24"/>
          <w:szCs w:val="24"/>
        </w:rPr>
      </w:pPr>
      <w:r w:rsidRPr="001D1213">
        <w:rPr>
          <w:rFonts w:ascii="Times New Roman" w:hAnsi="Times New Roman" w:cs="Times New Roman"/>
          <w:b/>
          <w:sz w:val="24"/>
          <w:szCs w:val="24"/>
        </w:rPr>
        <w:t>1.1. Saimnieciskās</w:t>
      </w:r>
      <w:r w:rsidR="004C47B7">
        <w:rPr>
          <w:rFonts w:ascii="Times New Roman" w:hAnsi="Times New Roman" w:cs="Times New Roman"/>
          <w:b/>
          <w:sz w:val="24"/>
          <w:szCs w:val="24"/>
        </w:rPr>
        <w:t xml:space="preserve"> (ekonomiskās)</w:t>
      </w:r>
      <w:r w:rsidRPr="001D1213">
        <w:rPr>
          <w:rFonts w:ascii="Times New Roman" w:hAnsi="Times New Roman" w:cs="Times New Roman"/>
          <w:b/>
          <w:sz w:val="24"/>
          <w:szCs w:val="24"/>
        </w:rPr>
        <w:t xml:space="preserve"> pēctecības būtība</w:t>
      </w:r>
    </w:p>
    <w:p w14:paraId="599F70F2" w14:textId="77777777" w:rsidR="001F4D62" w:rsidRDefault="001F4D62" w:rsidP="001F4D62">
      <w:pPr>
        <w:spacing w:after="0" w:line="240" w:lineRule="auto"/>
        <w:jc w:val="center"/>
        <w:rPr>
          <w:rFonts w:ascii="Times New Roman" w:hAnsi="Times New Roman" w:cs="Times New Roman"/>
          <w:sz w:val="24"/>
          <w:szCs w:val="24"/>
        </w:rPr>
      </w:pPr>
    </w:p>
    <w:p w14:paraId="54BCE49B" w14:textId="77777777" w:rsidR="001F4D62" w:rsidRDefault="00D07F49" w:rsidP="00D07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Nelikumīga (un</w:t>
      </w:r>
      <w:r w:rsidR="002A3EA7">
        <w:rPr>
          <w:rFonts w:ascii="Times New Roman" w:hAnsi="Times New Roman" w:cs="Times New Roman"/>
          <w:sz w:val="24"/>
          <w:szCs w:val="24"/>
        </w:rPr>
        <w:t xml:space="preserve"> ar Eiropas Savienības iekšējo tirgu</w:t>
      </w:r>
      <w:r>
        <w:rPr>
          <w:rFonts w:ascii="Times New Roman" w:hAnsi="Times New Roman" w:cs="Times New Roman"/>
          <w:sz w:val="24"/>
          <w:szCs w:val="24"/>
        </w:rPr>
        <w:t xml:space="preserve"> nesaderīga) komercdarbības atbalsta atgūšanas mērķis ir atjaunot situāciju, kas pastāvēja tirgū pirms šāda atbalsta izmaksāšanas. Atmaksājot nelikumīgo atbalstu (kopā ar procentiem par nelikumīgi piešķirtā atbalsta summu, ko aprēķina no dienas, kad nelikumīgais atbalsts faktiski nodots tā saņēmēja rīcībā</w:t>
      </w:r>
      <w:r w:rsidR="003B6F86">
        <w:rPr>
          <w:rFonts w:ascii="Times New Roman" w:hAnsi="Times New Roman" w:cs="Times New Roman"/>
          <w:sz w:val="24"/>
          <w:szCs w:val="24"/>
        </w:rPr>
        <w:t>,</w:t>
      </w:r>
      <w:r>
        <w:rPr>
          <w:rFonts w:ascii="Times New Roman" w:hAnsi="Times New Roman" w:cs="Times New Roman"/>
          <w:sz w:val="24"/>
          <w:szCs w:val="24"/>
        </w:rPr>
        <w:t xml:space="preserve"> līdz tā atmaksāšanai), tā saņēmējs faktiski zaudē priekšrocības, ko tas bija ieguvis pār konkurentiem.</w:t>
      </w:r>
      <w:r>
        <w:rPr>
          <w:rStyle w:val="FootnoteReference"/>
          <w:rFonts w:ascii="Times New Roman" w:hAnsi="Times New Roman" w:cs="Times New Roman"/>
          <w:sz w:val="24"/>
          <w:szCs w:val="24"/>
        </w:rPr>
        <w:footnoteReference w:id="1"/>
      </w:r>
    </w:p>
    <w:p w14:paraId="6D9AEF57" w14:textId="5C55D058" w:rsidR="00B55451" w:rsidRDefault="00B55451" w:rsidP="00D07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Lai nodrošinātu radītā konkurences kropļojuma novēršanu, t.i., veiktu tūlītēju un efektīvu nelikumīga (un nesaderīga) atbalsta atgūšanu, ko ir arī faktiski jāpanāk</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1D1213">
        <w:rPr>
          <w:rFonts w:ascii="Times New Roman" w:hAnsi="Times New Roman" w:cs="Times New Roman"/>
          <w:b/>
          <w:sz w:val="24"/>
          <w:szCs w:val="24"/>
        </w:rPr>
        <w:t xml:space="preserve">nelikumīgu (un nesaderīgu) atbalstu ir jāatgūst no tiem </w:t>
      </w:r>
      <w:r w:rsidR="00CF77ED" w:rsidRPr="00CF77ED">
        <w:rPr>
          <w:rFonts w:ascii="Times New Roman" w:hAnsi="Times New Roman" w:cs="Times New Roman"/>
          <w:b/>
          <w:sz w:val="24"/>
          <w:szCs w:val="24"/>
        </w:rPr>
        <w:t>saimnieciskās darbības veicējiem</w:t>
      </w:r>
      <w:r w:rsidR="00CF77ED">
        <w:rPr>
          <w:rFonts w:ascii="Times New Roman" w:hAnsi="Times New Roman" w:cs="Times New Roman"/>
          <w:b/>
          <w:sz w:val="24"/>
          <w:szCs w:val="24"/>
        </w:rPr>
        <w:t>/</w:t>
      </w:r>
      <w:r w:rsidR="00CF77ED" w:rsidRPr="001D1213">
        <w:rPr>
          <w:rFonts w:ascii="Times New Roman" w:hAnsi="Times New Roman" w:cs="Times New Roman"/>
          <w:b/>
          <w:sz w:val="24"/>
          <w:szCs w:val="24"/>
        </w:rPr>
        <w:t>komercsabiedrīb</w:t>
      </w:r>
      <w:r w:rsidR="00CF77ED">
        <w:rPr>
          <w:rFonts w:ascii="Times New Roman" w:hAnsi="Times New Roman" w:cs="Times New Roman"/>
          <w:b/>
          <w:sz w:val="24"/>
          <w:szCs w:val="24"/>
        </w:rPr>
        <w:t>ām</w:t>
      </w:r>
      <w:r w:rsidR="00CF77ED">
        <w:rPr>
          <w:rStyle w:val="FootnoteReference"/>
          <w:rFonts w:ascii="Times New Roman" w:hAnsi="Times New Roman" w:cs="Times New Roman"/>
          <w:b/>
          <w:sz w:val="24"/>
          <w:szCs w:val="24"/>
        </w:rPr>
        <w:footnoteReference w:id="3"/>
      </w:r>
      <w:r w:rsidRPr="001D1213">
        <w:rPr>
          <w:rFonts w:ascii="Times New Roman" w:hAnsi="Times New Roman" w:cs="Times New Roman"/>
          <w:b/>
          <w:sz w:val="24"/>
          <w:szCs w:val="24"/>
        </w:rPr>
        <w:t>, kuri faktiski guvuši no tā labumu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6BDCBF0F" w14:textId="19A2A6EF" w:rsidR="00B55451" w:rsidRDefault="00B55451" w:rsidP="00D07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 atgūšanas procesā tiek konstatēts, ka nelikumīgu (un nesaderīgu) atbalstu no tā sākotnējā saņēmēja nevar atgūt un ir secināms, ka </w:t>
      </w:r>
      <w:r w:rsidRPr="001D1213">
        <w:rPr>
          <w:rFonts w:ascii="Times New Roman" w:hAnsi="Times New Roman" w:cs="Times New Roman"/>
          <w:b/>
          <w:sz w:val="24"/>
          <w:szCs w:val="24"/>
        </w:rPr>
        <w:t>nelikumīgais (un nesaderīgais) atbalsts ir nodots citai komercsabiedrībai</w:t>
      </w:r>
      <w:r w:rsidR="001D1213">
        <w:rPr>
          <w:rFonts w:ascii="Times New Roman" w:hAnsi="Times New Roman" w:cs="Times New Roman"/>
          <w:sz w:val="24"/>
          <w:szCs w:val="24"/>
        </w:rPr>
        <w:t>,</w:t>
      </w:r>
      <w:r>
        <w:rPr>
          <w:rFonts w:ascii="Times New Roman" w:hAnsi="Times New Roman" w:cs="Times New Roman"/>
          <w:sz w:val="24"/>
          <w:szCs w:val="24"/>
        </w:rPr>
        <w:t xml:space="preserve"> </w:t>
      </w:r>
      <w:r w:rsidRPr="001D1213">
        <w:rPr>
          <w:rFonts w:ascii="Times New Roman" w:hAnsi="Times New Roman" w:cs="Times New Roman"/>
          <w:b/>
          <w:sz w:val="24"/>
          <w:szCs w:val="24"/>
        </w:rPr>
        <w:t xml:space="preserve">atgūšana ir veicama no </w:t>
      </w:r>
      <w:r w:rsidR="001D1213" w:rsidRPr="001D1213">
        <w:rPr>
          <w:rFonts w:ascii="Times New Roman" w:hAnsi="Times New Roman" w:cs="Times New Roman"/>
          <w:b/>
          <w:sz w:val="24"/>
          <w:szCs w:val="24"/>
        </w:rPr>
        <w:t xml:space="preserve">tās </w:t>
      </w:r>
      <w:r w:rsidRPr="001D1213">
        <w:rPr>
          <w:rFonts w:ascii="Times New Roman" w:hAnsi="Times New Roman" w:cs="Times New Roman"/>
          <w:b/>
          <w:sz w:val="24"/>
          <w:szCs w:val="24"/>
        </w:rPr>
        <w:t>komercsabiedrības, kas faktiski ir guvusi priekšrocību darbību nodošanas rezultātā (t.i. saimnieciskās (ekonomiskās) pēctecības rezultātā)</w:t>
      </w:r>
      <w:r>
        <w:rPr>
          <w:rFonts w:ascii="Times New Roman" w:hAnsi="Times New Roman" w:cs="Times New Roman"/>
          <w:sz w:val="24"/>
          <w:szCs w:val="24"/>
        </w:rPr>
        <w:t>, tādējādi nodrošinot, ka nelikumīga (un nesaderīga) atbalsta atgūšanas pienākums netiek apiets.</w:t>
      </w:r>
      <w:r w:rsidR="001D1213">
        <w:rPr>
          <w:rStyle w:val="FootnoteReference"/>
          <w:rFonts w:ascii="Times New Roman" w:hAnsi="Times New Roman" w:cs="Times New Roman"/>
          <w:sz w:val="24"/>
          <w:szCs w:val="24"/>
        </w:rPr>
        <w:footnoteReference w:id="5"/>
      </w:r>
    </w:p>
    <w:p w14:paraId="0E9A965E" w14:textId="77777777" w:rsidR="000B7CE9" w:rsidRDefault="000B7CE9" w:rsidP="00D07F49">
      <w:pPr>
        <w:spacing w:after="0" w:line="240" w:lineRule="auto"/>
        <w:ind w:firstLine="720"/>
        <w:jc w:val="both"/>
        <w:rPr>
          <w:rFonts w:ascii="Times New Roman" w:hAnsi="Times New Roman" w:cs="Times New Roman"/>
          <w:sz w:val="24"/>
          <w:szCs w:val="24"/>
        </w:rPr>
      </w:pPr>
    </w:p>
    <w:p w14:paraId="5B87479F" w14:textId="77777777" w:rsidR="001D1213" w:rsidRPr="003A00C3" w:rsidRDefault="001D1213" w:rsidP="001D1213">
      <w:pPr>
        <w:spacing w:after="0" w:line="240" w:lineRule="auto"/>
        <w:ind w:firstLine="720"/>
        <w:jc w:val="center"/>
        <w:rPr>
          <w:rFonts w:ascii="Times New Roman" w:hAnsi="Times New Roman" w:cs="Times New Roman"/>
          <w:b/>
          <w:sz w:val="24"/>
          <w:szCs w:val="24"/>
        </w:rPr>
      </w:pPr>
      <w:r w:rsidRPr="003A00C3">
        <w:rPr>
          <w:rFonts w:ascii="Times New Roman" w:hAnsi="Times New Roman" w:cs="Times New Roman"/>
          <w:b/>
          <w:sz w:val="24"/>
          <w:szCs w:val="24"/>
        </w:rPr>
        <w:t>1.2. Saimnieciskās</w:t>
      </w:r>
      <w:r w:rsidR="007C0FB2">
        <w:rPr>
          <w:rFonts w:ascii="Times New Roman" w:hAnsi="Times New Roman" w:cs="Times New Roman"/>
          <w:b/>
          <w:sz w:val="24"/>
          <w:szCs w:val="24"/>
        </w:rPr>
        <w:t xml:space="preserve"> (ekonomiskās)</w:t>
      </w:r>
      <w:r w:rsidRPr="003A00C3">
        <w:rPr>
          <w:rFonts w:ascii="Times New Roman" w:hAnsi="Times New Roman" w:cs="Times New Roman"/>
          <w:b/>
          <w:sz w:val="24"/>
          <w:szCs w:val="24"/>
        </w:rPr>
        <w:t xml:space="preserve"> pēctecības veidi</w:t>
      </w:r>
    </w:p>
    <w:p w14:paraId="6FD396CB" w14:textId="77777777" w:rsidR="001D1213" w:rsidRDefault="001D1213" w:rsidP="001D1213">
      <w:pPr>
        <w:spacing w:after="0" w:line="240" w:lineRule="auto"/>
        <w:ind w:firstLine="720"/>
        <w:jc w:val="center"/>
        <w:rPr>
          <w:rFonts w:ascii="Times New Roman" w:hAnsi="Times New Roman" w:cs="Times New Roman"/>
          <w:sz w:val="24"/>
          <w:szCs w:val="24"/>
        </w:rPr>
      </w:pPr>
    </w:p>
    <w:p w14:paraId="234CE980" w14:textId="0FEACD35" w:rsidR="001D1213" w:rsidRDefault="001D1213" w:rsidP="001D12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Eiropas Savienības tiesa (turpmāk – Tiesa) ir noteikusi divus veidus, kād</w:t>
      </w:r>
      <w:r w:rsidR="00326A04">
        <w:rPr>
          <w:rFonts w:ascii="Times New Roman" w:hAnsi="Times New Roman" w:cs="Times New Roman"/>
          <w:sz w:val="24"/>
          <w:szCs w:val="24"/>
        </w:rPr>
        <w:t>os</w:t>
      </w:r>
      <w:r>
        <w:rPr>
          <w:rFonts w:ascii="Times New Roman" w:hAnsi="Times New Roman" w:cs="Times New Roman"/>
          <w:sz w:val="24"/>
          <w:szCs w:val="24"/>
        </w:rPr>
        <w:t xml:space="preserve"> var notikt saimnieciskā (ekonomiskā) pēctecība</w:t>
      </w:r>
      <w:r w:rsidR="003A00C3">
        <w:rPr>
          <w:rFonts w:ascii="Times New Roman" w:hAnsi="Times New Roman" w:cs="Times New Roman"/>
          <w:sz w:val="24"/>
          <w:szCs w:val="24"/>
        </w:rPr>
        <w:t>, t.i., veidus, kā vienas komercsabiedrības darbība var tikt nodota citai komercsabiedrībai:</w:t>
      </w:r>
    </w:p>
    <w:p w14:paraId="58A6A1CD" w14:textId="77777777" w:rsidR="003A00C3" w:rsidRDefault="003A00C3" w:rsidP="003A00C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visu komercsabiedrības aktīvu vai to daļas pārdošana, pēc kuras komercdarbību vairs neveic tā pati komercsabiedrība</w:t>
      </w:r>
      <w:r w:rsidR="00326A04">
        <w:rPr>
          <w:rFonts w:ascii="Times New Roman" w:hAnsi="Times New Roman" w:cs="Times New Roman"/>
          <w:sz w:val="24"/>
          <w:szCs w:val="24"/>
        </w:rPr>
        <w:t xml:space="preserve">, kas sākotnēji saņēmusi </w:t>
      </w:r>
      <w:r w:rsidR="0098235E">
        <w:rPr>
          <w:rFonts w:ascii="Times New Roman" w:hAnsi="Times New Roman" w:cs="Times New Roman"/>
          <w:sz w:val="24"/>
          <w:szCs w:val="24"/>
        </w:rPr>
        <w:t xml:space="preserve">komercdarbības </w:t>
      </w:r>
      <w:r w:rsidR="00326A04">
        <w:rPr>
          <w:rFonts w:ascii="Times New Roman" w:hAnsi="Times New Roman" w:cs="Times New Roman"/>
          <w:sz w:val="24"/>
          <w:szCs w:val="24"/>
        </w:rPr>
        <w:t>atbalstu</w:t>
      </w:r>
      <w:r>
        <w:rPr>
          <w:rFonts w:ascii="Times New Roman" w:hAnsi="Times New Roman" w:cs="Times New Roman"/>
          <w:sz w:val="24"/>
          <w:szCs w:val="24"/>
        </w:rPr>
        <w:t xml:space="preserve"> </w:t>
      </w:r>
      <w:r w:rsidR="007C0FB2">
        <w:rPr>
          <w:rFonts w:ascii="Times New Roman" w:hAnsi="Times New Roman" w:cs="Times New Roman"/>
          <w:sz w:val="24"/>
          <w:szCs w:val="24"/>
        </w:rPr>
        <w:t>(“aktīvu pārdošanas darījums”);</w:t>
      </w:r>
    </w:p>
    <w:p w14:paraId="0B9A0832" w14:textId="77777777" w:rsidR="007C0FB2" w:rsidRDefault="007C0FB2" w:rsidP="003A00C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savu kapitāldaļu pārdošana, pēc kuras komercsabiedrība, kas guvusi labumu no saņemtā nelikumīgā (un nesaderīgā) atbalsta, saglabā savu </w:t>
      </w:r>
      <w:r>
        <w:rPr>
          <w:rFonts w:ascii="Times New Roman" w:hAnsi="Times New Roman" w:cs="Times New Roman"/>
          <w:sz w:val="24"/>
          <w:szCs w:val="24"/>
        </w:rPr>
        <w:lastRenderedPageBreak/>
        <w:t>esošo juridisko statusu un turpina veikt savu darbību (“kapitāldaļu pārdošanas darījums)”.</w:t>
      </w:r>
      <w:r>
        <w:rPr>
          <w:rStyle w:val="FootnoteReference"/>
          <w:rFonts w:ascii="Times New Roman" w:hAnsi="Times New Roman" w:cs="Times New Roman"/>
          <w:sz w:val="24"/>
          <w:szCs w:val="24"/>
        </w:rPr>
        <w:footnoteReference w:id="6"/>
      </w:r>
    </w:p>
    <w:p w14:paraId="2F392E06" w14:textId="503563C4" w:rsidR="00E408E2" w:rsidRPr="00E408E2" w:rsidRDefault="00E408E2" w:rsidP="002A43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Papildus minētajiem saimnieciskās (ekonomiskās) pēctecības veidiem</w:t>
      </w:r>
      <w:r w:rsidR="002A43EB">
        <w:rPr>
          <w:rFonts w:ascii="Times New Roman" w:hAnsi="Times New Roman" w:cs="Times New Roman"/>
          <w:sz w:val="24"/>
          <w:szCs w:val="24"/>
        </w:rPr>
        <w:t>, gadījumā, ja ir notikusi komercsabiedrības apvienošanās vai cita veida reorganizācija, var nākties noteikt, no kura</w:t>
      </w:r>
      <w:r w:rsidR="000C0522">
        <w:rPr>
          <w:rFonts w:ascii="Times New Roman" w:hAnsi="Times New Roman" w:cs="Times New Roman"/>
          <w:sz w:val="24"/>
          <w:szCs w:val="24"/>
        </w:rPr>
        <w:t>s</w:t>
      </w:r>
      <w:r w:rsidR="002A43EB">
        <w:rPr>
          <w:rFonts w:ascii="Times New Roman" w:hAnsi="Times New Roman" w:cs="Times New Roman"/>
          <w:sz w:val="24"/>
          <w:szCs w:val="24"/>
        </w:rPr>
        <w:t xml:space="preserve"> </w:t>
      </w:r>
      <w:r w:rsidR="000C0522">
        <w:rPr>
          <w:rFonts w:ascii="Times New Roman" w:hAnsi="Times New Roman" w:cs="Times New Roman"/>
          <w:sz w:val="24"/>
          <w:szCs w:val="24"/>
        </w:rPr>
        <w:t>komercsabiedrības</w:t>
      </w:r>
      <w:r w:rsidR="002A43EB">
        <w:rPr>
          <w:rFonts w:ascii="Times New Roman" w:hAnsi="Times New Roman" w:cs="Times New Roman"/>
          <w:sz w:val="24"/>
          <w:szCs w:val="24"/>
        </w:rPr>
        <w:t xml:space="preserve"> nelikumīga (un nesaderīga) atbalsta atgūšana ir jāveic – ir nepieciešams identificēt sākotnējā atbalsta saņēmēja tiesību</w:t>
      </w:r>
      <w:r w:rsidR="00EE6002">
        <w:rPr>
          <w:rFonts w:ascii="Times New Roman" w:hAnsi="Times New Roman" w:cs="Times New Roman"/>
          <w:sz w:val="24"/>
          <w:szCs w:val="24"/>
        </w:rPr>
        <w:t xml:space="preserve"> un saistību</w:t>
      </w:r>
      <w:r w:rsidR="002A43EB">
        <w:rPr>
          <w:rFonts w:ascii="Times New Roman" w:hAnsi="Times New Roman" w:cs="Times New Roman"/>
          <w:sz w:val="24"/>
          <w:szCs w:val="24"/>
        </w:rPr>
        <w:t xml:space="preserve"> pārņēmēju un attiecīgi atgūšanas darbības jāvērš pret šo subjektu.</w:t>
      </w:r>
      <w:r w:rsidR="002A43EB">
        <w:rPr>
          <w:rStyle w:val="FootnoteReference"/>
          <w:rFonts w:ascii="Times New Roman" w:hAnsi="Times New Roman" w:cs="Times New Roman"/>
          <w:sz w:val="24"/>
          <w:szCs w:val="24"/>
        </w:rPr>
        <w:footnoteReference w:id="7"/>
      </w:r>
    </w:p>
    <w:p w14:paraId="3FA75713" w14:textId="77777777" w:rsidR="000B7CE9" w:rsidRDefault="000B7CE9" w:rsidP="003122C5">
      <w:pPr>
        <w:spacing w:after="0" w:line="240" w:lineRule="auto"/>
        <w:rPr>
          <w:rFonts w:ascii="Times New Roman" w:hAnsi="Times New Roman" w:cs="Times New Roman"/>
          <w:i/>
          <w:sz w:val="24"/>
          <w:szCs w:val="24"/>
        </w:rPr>
      </w:pPr>
    </w:p>
    <w:p w14:paraId="11C444E7" w14:textId="77777777" w:rsidR="000B7CE9" w:rsidRPr="003122C5" w:rsidRDefault="000B7CE9" w:rsidP="003122C5">
      <w:pPr>
        <w:spacing w:after="0" w:line="240" w:lineRule="auto"/>
        <w:jc w:val="both"/>
        <w:rPr>
          <w:rFonts w:ascii="Times New Roman" w:hAnsi="Times New Roman" w:cs="Times New Roman"/>
          <w:sz w:val="24"/>
          <w:szCs w:val="24"/>
        </w:rPr>
      </w:pPr>
      <w:r w:rsidRPr="003122C5">
        <w:rPr>
          <w:rFonts w:ascii="Times New Roman" w:hAnsi="Times New Roman" w:cs="Times New Roman"/>
          <w:b/>
          <w:sz w:val="24"/>
          <w:szCs w:val="24"/>
        </w:rPr>
        <w:t>NB!</w:t>
      </w:r>
      <w:r w:rsidRPr="003122C5">
        <w:rPr>
          <w:rFonts w:ascii="Times New Roman" w:hAnsi="Times New Roman" w:cs="Times New Roman"/>
          <w:sz w:val="24"/>
          <w:szCs w:val="24"/>
        </w:rPr>
        <w:t xml:space="preserve"> Jāņem vērā, ka ar terminiem aktīvu vai kapitāldaļu pārdošana nav jāsaprot tikai juridiski noformēts fakts, bet tā var būt arī </w:t>
      </w:r>
      <w:proofErr w:type="spellStart"/>
      <w:r w:rsidRPr="000B7CE9">
        <w:rPr>
          <w:rFonts w:ascii="Times New Roman" w:hAnsi="Times New Roman" w:cs="Times New Roman"/>
          <w:i/>
          <w:sz w:val="24"/>
          <w:szCs w:val="24"/>
        </w:rPr>
        <w:t>de</w:t>
      </w:r>
      <w:proofErr w:type="spellEnd"/>
      <w:r w:rsidRPr="000B7CE9">
        <w:rPr>
          <w:rFonts w:ascii="Times New Roman" w:hAnsi="Times New Roman" w:cs="Times New Roman"/>
          <w:i/>
          <w:sz w:val="24"/>
          <w:szCs w:val="24"/>
        </w:rPr>
        <w:t xml:space="preserve"> </w:t>
      </w:r>
      <w:proofErr w:type="spellStart"/>
      <w:r w:rsidRPr="000B7CE9">
        <w:rPr>
          <w:rFonts w:ascii="Times New Roman" w:hAnsi="Times New Roman" w:cs="Times New Roman"/>
          <w:i/>
          <w:sz w:val="24"/>
          <w:szCs w:val="24"/>
        </w:rPr>
        <w:t>facto</w:t>
      </w:r>
      <w:proofErr w:type="spellEnd"/>
      <w:r w:rsidRPr="003122C5">
        <w:rPr>
          <w:rFonts w:ascii="Times New Roman" w:hAnsi="Times New Roman" w:cs="Times New Roman"/>
          <w:sz w:val="24"/>
          <w:szCs w:val="24"/>
        </w:rPr>
        <w:t xml:space="preserve"> rīcība, kad </w:t>
      </w:r>
      <w:r w:rsidRPr="000B7CE9">
        <w:rPr>
          <w:rFonts w:ascii="Times New Roman" w:hAnsi="Times New Roman" w:cs="Times New Roman"/>
          <w:sz w:val="24"/>
          <w:szCs w:val="24"/>
        </w:rPr>
        <w:t>vienas komercsabiedrības darbība var tikt nodota citai komercsabiedrībai.</w:t>
      </w:r>
      <w:r w:rsidRPr="003122C5">
        <w:rPr>
          <w:rFonts w:ascii="Times New Roman" w:hAnsi="Times New Roman" w:cs="Times New Roman"/>
          <w:sz w:val="24"/>
          <w:szCs w:val="24"/>
        </w:rPr>
        <w:t xml:space="preserve"> </w:t>
      </w:r>
    </w:p>
    <w:p w14:paraId="319412F5" w14:textId="77777777" w:rsidR="000B7CE9" w:rsidRDefault="000B7CE9" w:rsidP="003122C5">
      <w:pPr>
        <w:spacing w:after="0" w:line="240" w:lineRule="auto"/>
        <w:rPr>
          <w:rFonts w:ascii="Times New Roman" w:hAnsi="Times New Roman" w:cs="Times New Roman"/>
          <w:i/>
          <w:sz w:val="24"/>
          <w:szCs w:val="24"/>
        </w:rPr>
      </w:pPr>
    </w:p>
    <w:p w14:paraId="18A80DF5" w14:textId="77777777" w:rsidR="007C0FB2" w:rsidRPr="007C0FB2" w:rsidRDefault="007C0FB2" w:rsidP="007C0FB2">
      <w:pPr>
        <w:spacing w:after="0" w:line="240" w:lineRule="auto"/>
        <w:jc w:val="center"/>
        <w:rPr>
          <w:rFonts w:ascii="Times New Roman" w:hAnsi="Times New Roman" w:cs="Times New Roman"/>
          <w:i/>
          <w:sz w:val="24"/>
          <w:szCs w:val="24"/>
        </w:rPr>
      </w:pPr>
      <w:r w:rsidRPr="007C0FB2">
        <w:rPr>
          <w:rFonts w:ascii="Times New Roman" w:hAnsi="Times New Roman" w:cs="Times New Roman"/>
          <w:i/>
          <w:sz w:val="24"/>
          <w:szCs w:val="24"/>
        </w:rPr>
        <w:t>1.2.1. Aktīvu pārdošanas darījums</w:t>
      </w:r>
    </w:p>
    <w:p w14:paraId="022C3864" w14:textId="77777777" w:rsidR="007C0FB2" w:rsidRDefault="007C0FB2" w:rsidP="007C0FB2">
      <w:pPr>
        <w:spacing w:after="0" w:line="240" w:lineRule="auto"/>
        <w:jc w:val="center"/>
        <w:rPr>
          <w:rFonts w:ascii="Times New Roman" w:hAnsi="Times New Roman" w:cs="Times New Roman"/>
          <w:sz w:val="24"/>
          <w:szCs w:val="24"/>
        </w:rPr>
      </w:pPr>
    </w:p>
    <w:p w14:paraId="757BF345" w14:textId="2B413151" w:rsidR="007C0FB2" w:rsidRDefault="007C0FB2" w:rsidP="007C0F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Saimnieciskā (ekonomiskā) pēctecīb</w:t>
      </w:r>
      <w:r w:rsidR="0098235E">
        <w:rPr>
          <w:rFonts w:ascii="Times New Roman" w:hAnsi="Times New Roman" w:cs="Times New Roman"/>
          <w:sz w:val="24"/>
          <w:szCs w:val="24"/>
        </w:rPr>
        <w:t>a</w:t>
      </w:r>
      <w:r>
        <w:rPr>
          <w:rFonts w:ascii="Times New Roman" w:hAnsi="Times New Roman" w:cs="Times New Roman"/>
          <w:sz w:val="24"/>
          <w:szCs w:val="24"/>
        </w:rPr>
        <w:t xml:space="preserve"> ir konstatējama gadījumā, ja nelikumīga (un nesaderīga) komercdarbības atbalsta saņēmējs izveido jaunu komercsabiedrību vai arī nodod savus aktīvus citai komercsabiedrībai, lai daļēji vai pilnībā turpinātu savu komercdarbību. Ņemot vērā, ka līdz ar šādu darbību veikšanu var tikt paildzināts nelikumīgā (un nesaderīgā) komercdarbības atbalsta radītais konkurences kropļojums, šī atbalsta atgūšana ir veicama no jaunizveidotās komercsabiedrības vai arī aktīvu pircēja, kurš faktiski patur nelikumīgā (un nesaderīgā) komercdarbības atbalsta rezultātā radīto priekšrocību.</w:t>
      </w:r>
      <w:r>
        <w:rPr>
          <w:rStyle w:val="FootnoteReference"/>
          <w:rFonts w:ascii="Times New Roman" w:hAnsi="Times New Roman" w:cs="Times New Roman"/>
          <w:sz w:val="24"/>
          <w:szCs w:val="24"/>
        </w:rPr>
        <w:footnoteReference w:id="8"/>
      </w:r>
    </w:p>
    <w:p w14:paraId="2F309EF2" w14:textId="4E5D6CA7" w:rsidR="007C0FB2" w:rsidRDefault="007C0FB2" w:rsidP="007C0F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Ņemot vērā, ka saimnieciskā (ekonomiskā) pēctecība var notikt daudz dažādos veidos, Eiropas Savienības regulējumā </w:t>
      </w:r>
      <w:r w:rsidRPr="00D209BC">
        <w:rPr>
          <w:rFonts w:ascii="Times New Roman" w:hAnsi="Times New Roman" w:cs="Times New Roman"/>
          <w:b/>
          <w:sz w:val="24"/>
          <w:szCs w:val="24"/>
        </w:rPr>
        <w:t>nav ietverts izsmeļošs šo veidu uzskaitījums</w:t>
      </w:r>
      <w:r>
        <w:rPr>
          <w:rFonts w:ascii="Times New Roman" w:hAnsi="Times New Roman" w:cs="Times New Roman"/>
          <w:sz w:val="24"/>
          <w:szCs w:val="24"/>
        </w:rPr>
        <w:t xml:space="preserve"> un katru situāciju ir nepieciešams vērtēt individuāli. Tomēr, lai novērtētu, vai ir konstatējama saimnieciskā (ekonomiskā) pēctecība, var tikt ņemti vērā, piemēram, šādi </w:t>
      </w:r>
      <w:r w:rsidRPr="00FB0FE1">
        <w:rPr>
          <w:rFonts w:ascii="Times New Roman" w:hAnsi="Times New Roman" w:cs="Times New Roman"/>
          <w:b/>
          <w:bCs/>
          <w:sz w:val="24"/>
          <w:szCs w:val="24"/>
        </w:rPr>
        <w:t>kritēriji</w:t>
      </w:r>
      <w:r>
        <w:rPr>
          <w:rFonts w:ascii="Times New Roman" w:hAnsi="Times New Roman" w:cs="Times New Roman"/>
          <w:sz w:val="24"/>
          <w:szCs w:val="24"/>
        </w:rPr>
        <w:t>:</w:t>
      </w:r>
    </w:p>
    <w:p w14:paraId="774E84A6" w14:textId="65CEC887" w:rsidR="007C0FB2" w:rsidRDefault="007C0FB2" w:rsidP="00B36F88">
      <w:pPr>
        <w:pStyle w:val="ListParagraph"/>
        <w:numPr>
          <w:ilvl w:val="0"/>
          <w:numId w:val="2"/>
        </w:numPr>
        <w:spacing w:after="0" w:line="240" w:lineRule="auto"/>
        <w:jc w:val="both"/>
        <w:rPr>
          <w:rFonts w:ascii="Times New Roman" w:hAnsi="Times New Roman" w:cs="Times New Roman"/>
          <w:sz w:val="24"/>
          <w:szCs w:val="24"/>
        </w:rPr>
      </w:pPr>
      <w:r w:rsidRPr="001665A9">
        <w:rPr>
          <w:rFonts w:ascii="Times New Roman" w:hAnsi="Times New Roman" w:cs="Times New Roman"/>
          <w:sz w:val="24"/>
          <w:szCs w:val="24"/>
        </w:rPr>
        <w:t>nodotais aktīvu, pasīvu, darbaspēka</w:t>
      </w:r>
      <w:r w:rsidR="001665A9" w:rsidRPr="001665A9">
        <w:rPr>
          <w:rFonts w:ascii="Times New Roman" w:hAnsi="Times New Roman" w:cs="Times New Roman"/>
          <w:sz w:val="24"/>
          <w:szCs w:val="24"/>
        </w:rPr>
        <w:t>, vadības apjoms</w:t>
      </w:r>
      <w:r w:rsidR="001665A9">
        <w:rPr>
          <w:rFonts w:ascii="Times New Roman" w:hAnsi="Times New Roman" w:cs="Times New Roman"/>
          <w:sz w:val="24"/>
          <w:szCs w:val="24"/>
        </w:rPr>
        <w:t xml:space="preserve"> (nepieciešams konstatēt, kādā apmērā sākotnējā</w:t>
      </w:r>
      <w:r w:rsidR="009C5C32">
        <w:rPr>
          <w:rFonts w:ascii="Times New Roman" w:hAnsi="Times New Roman" w:cs="Times New Roman"/>
          <w:sz w:val="24"/>
          <w:szCs w:val="24"/>
        </w:rPr>
        <w:t xml:space="preserve"> komercdarbības atbalsta saņēmēja – komercsabiedrības</w:t>
      </w:r>
      <w:r w:rsidR="001665A9">
        <w:rPr>
          <w:rFonts w:ascii="Times New Roman" w:hAnsi="Times New Roman" w:cs="Times New Roman"/>
          <w:sz w:val="24"/>
          <w:szCs w:val="24"/>
        </w:rPr>
        <w:t xml:space="preserve"> darbība ir nodota jaunajam subjektam</w:t>
      </w:r>
      <w:r w:rsidR="009C5C32">
        <w:rPr>
          <w:rFonts w:ascii="Times New Roman" w:hAnsi="Times New Roman" w:cs="Times New Roman"/>
          <w:sz w:val="24"/>
          <w:szCs w:val="24"/>
        </w:rPr>
        <w:t>. J</w:t>
      </w:r>
      <w:r w:rsidR="001665A9">
        <w:rPr>
          <w:rFonts w:ascii="Times New Roman" w:hAnsi="Times New Roman" w:cs="Times New Roman"/>
          <w:sz w:val="24"/>
          <w:szCs w:val="24"/>
        </w:rPr>
        <w:t>o lielāka ir nodotā saimnieciskā daļa, jo lielāka iespēja, ka tā turpina gūt labumu no nelikumīgā (un nesaderīgā) komercdarbības atbalsta</w:t>
      </w:r>
      <w:r w:rsidR="007D2528">
        <w:rPr>
          <w:rStyle w:val="FootnoteReference"/>
          <w:rFonts w:ascii="Times New Roman" w:hAnsi="Times New Roman" w:cs="Times New Roman"/>
          <w:sz w:val="24"/>
          <w:szCs w:val="24"/>
        </w:rPr>
        <w:footnoteReference w:id="9"/>
      </w:r>
      <w:r w:rsidR="001665A9">
        <w:rPr>
          <w:rFonts w:ascii="Times New Roman" w:hAnsi="Times New Roman" w:cs="Times New Roman"/>
          <w:sz w:val="24"/>
          <w:szCs w:val="24"/>
        </w:rPr>
        <w:t>);</w:t>
      </w:r>
    </w:p>
    <w:p w14:paraId="1A43D33C" w14:textId="664E212C" w:rsidR="001665A9" w:rsidRDefault="001665A9" w:rsidP="00B36F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nodošanas cena (nepieciešams konstatēt, kādā procedūrā un balstoties uz kādiem nosacījumiem ir veikts attiecīgais pārdošanas darījums. Piemēram, ja aktīvus vai to daļu pārdo</w:t>
      </w:r>
      <w:r w:rsidR="009C5C32">
        <w:rPr>
          <w:rFonts w:ascii="Times New Roman" w:hAnsi="Times New Roman" w:cs="Times New Roman"/>
          <w:sz w:val="24"/>
          <w:szCs w:val="24"/>
        </w:rPr>
        <w:t>d</w:t>
      </w:r>
      <w:r>
        <w:rPr>
          <w:rFonts w:ascii="Times New Roman" w:hAnsi="Times New Roman" w:cs="Times New Roman"/>
          <w:sz w:val="24"/>
          <w:szCs w:val="24"/>
        </w:rPr>
        <w:t xml:space="preserve"> atklātā, pārredzamā, nediskriminējošā un beznosacījuma piedāvājuma procedūrā, kā rezultātā tiek izvēlēts tas pircējs, kas piedāvā vislabāko cenu, </w:t>
      </w:r>
      <w:r w:rsidR="00E235DF">
        <w:rPr>
          <w:rFonts w:ascii="Times New Roman" w:hAnsi="Times New Roman" w:cs="Times New Roman"/>
          <w:sz w:val="24"/>
          <w:szCs w:val="24"/>
        </w:rPr>
        <w:t xml:space="preserve">vai darījums veikts pamatojoties uz neatkarīga vērtētāja veikto izvērtējumu par darījuma atbilstību tirgus nosacījumiem, </w:t>
      </w:r>
      <w:r>
        <w:rPr>
          <w:rFonts w:ascii="Times New Roman" w:hAnsi="Times New Roman" w:cs="Times New Roman"/>
          <w:sz w:val="24"/>
          <w:szCs w:val="24"/>
        </w:rPr>
        <w:t xml:space="preserve">tiek uzskatīts, </w:t>
      </w:r>
      <w:r w:rsidRPr="007D2528">
        <w:rPr>
          <w:rFonts w:ascii="Times New Roman" w:hAnsi="Times New Roman" w:cs="Times New Roman"/>
          <w:sz w:val="24"/>
          <w:szCs w:val="24"/>
        </w:rPr>
        <w:t>ka darījums ir noticis par tirgus cenu</w:t>
      </w:r>
      <w:r w:rsidR="00AE54FF">
        <w:rPr>
          <w:rStyle w:val="FootnoteReference"/>
          <w:rFonts w:ascii="Times New Roman" w:hAnsi="Times New Roman" w:cs="Times New Roman"/>
          <w:sz w:val="24"/>
          <w:szCs w:val="24"/>
        </w:rPr>
        <w:footnoteReference w:id="10"/>
      </w:r>
      <w:r w:rsidR="003C57AA">
        <w:rPr>
          <w:rFonts w:ascii="Times New Roman" w:hAnsi="Times New Roman" w:cs="Times New Roman"/>
          <w:sz w:val="24"/>
          <w:szCs w:val="24"/>
        </w:rPr>
        <w:t>);</w:t>
      </w:r>
      <w:r w:rsidR="009C5C32">
        <w:rPr>
          <w:rFonts w:ascii="Times New Roman" w:hAnsi="Times New Roman" w:cs="Times New Roman"/>
          <w:sz w:val="24"/>
          <w:szCs w:val="24"/>
        </w:rPr>
        <w:t xml:space="preserve"> Ja darījums ir noticis par tirgus cenu, </w:t>
      </w:r>
      <w:r w:rsidR="009C5C32">
        <w:rPr>
          <w:rFonts w:ascii="Times New Roman" w:hAnsi="Times New Roman" w:cs="Times New Roman"/>
          <w:sz w:val="24"/>
          <w:szCs w:val="24"/>
        </w:rPr>
        <w:lastRenderedPageBreak/>
        <w:t>ekonomiskā pēctecība uz jauno kapitālsabiedrības vai aktīvu īpašnieku</w:t>
      </w:r>
      <w:r w:rsidR="009C5C32" w:rsidRPr="009C5C32">
        <w:rPr>
          <w:rFonts w:ascii="Times New Roman" w:hAnsi="Times New Roman" w:cs="Times New Roman"/>
          <w:sz w:val="24"/>
          <w:szCs w:val="24"/>
        </w:rPr>
        <w:t xml:space="preserve"> </w:t>
      </w:r>
      <w:r w:rsidR="009C5C32">
        <w:rPr>
          <w:rFonts w:ascii="Times New Roman" w:hAnsi="Times New Roman" w:cs="Times New Roman"/>
          <w:sz w:val="24"/>
          <w:szCs w:val="24"/>
        </w:rPr>
        <w:t xml:space="preserve">nepāriet, </w:t>
      </w:r>
      <w:r w:rsidR="00E235DF">
        <w:rPr>
          <w:rFonts w:ascii="Times New Roman" w:hAnsi="Times New Roman" w:cs="Times New Roman"/>
          <w:sz w:val="24"/>
          <w:szCs w:val="24"/>
        </w:rPr>
        <w:t>un atgūšana no aktīvu ieguvēja nav jāveic, jo aktīvu ieguvējs nav guvis ekonomisko priekšrocību.</w:t>
      </w:r>
      <w:r w:rsidR="00E235DF">
        <w:rPr>
          <w:rStyle w:val="FootnoteReference"/>
          <w:rFonts w:ascii="Times New Roman" w:hAnsi="Times New Roman" w:cs="Times New Roman"/>
          <w:sz w:val="24"/>
          <w:szCs w:val="24"/>
        </w:rPr>
        <w:footnoteReference w:id="11"/>
      </w:r>
    </w:p>
    <w:p w14:paraId="370B733F" w14:textId="77777777" w:rsidR="003C57AA" w:rsidRDefault="003C57AA" w:rsidP="00B36F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komercsabiedrības – pārdevēja un komercsabiedrības – pircēja akcionāri vai īpašnieki;</w:t>
      </w:r>
    </w:p>
    <w:p w14:paraId="4D51188B" w14:textId="77777777" w:rsidR="003C57AA" w:rsidRDefault="003C57AA" w:rsidP="00B36F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laiks, kad nodošana ir notikusi;</w:t>
      </w:r>
    </w:p>
    <w:p w14:paraId="3B277279" w14:textId="77777777" w:rsidR="003C57AA" w:rsidRDefault="003C57AA" w:rsidP="00B36F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darījuma ekonomiskā loģika, t.i., vai tiek mainīts/saglabāts saimnieciskās darbības virziens, pieeja, joma vai ražošanas apjoms. Tomēr šis kritērijs viens pats nevar bū</w:t>
      </w:r>
      <w:r w:rsidR="00D209BC">
        <w:rPr>
          <w:rFonts w:ascii="Times New Roman" w:hAnsi="Times New Roman" w:cs="Times New Roman"/>
          <w:sz w:val="24"/>
          <w:szCs w:val="24"/>
        </w:rPr>
        <w:t>t par pamatu, lai konstatētu, vai</w:t>
      </w:r>
      <w:r>
        <w:rPr>
          <w:rFonts w:ascii="Times New Roman" w:hAnsi="Times New Roman" w:cs="Times New Roman"/>
          <w:sz w:val="24"/>
          <w:szCs w:val="24"/>
        </w:rPr>
        <w:t xml:space="preserve"> saimnieciskā (ekonomiskā) pēctecība </w:t>
      </w:r>
      <w:r w:rsidR="00D209BC">
        <w:rPr>
          <w:rFonts w:ascii="Times New Roman" w:hAnsi="Times New Roman" w:cs="Times New Roman"/>
          <w:sz w:val="24"/>
          <w:szCs w:val="24"/>
        </w:rPr>
        <w:t>ir/nav</w:t>
      </w:r>
      <w:r>
        <w:rPr>
          <w:rFonts w:ascii="Times New Roman" w:hAnsi="Times New Roman" w:cs="Times New Roman"/>
          <w:sz w:val="24"/>
          <w:szCs w:val="24"/>
        </w:rPr>
        <w:t xml:space="preserve"> notikusi.</w:t>
      </w:r>
      <w:r w:rsidR="007D2528">
        <w:rPr>
          <w:rStyle w:val="FootnoteReference"/>
          <w:rFonts w:ascii="Times New Roman" w:hAnsi="Times New Roman" w:cs="Times New Roman"/>
          <w:sz w:val="24"/>
          <w:szCs w:val="24"/>
        </w:rPr>
        <w:footnoteReference w:id="12"/>
      </w:r>
    </w:p>
    <w:p w14:paraId="735F6DF6" w14:textId="77777777" w:rsidR="003C57AA" w:rsidRDefault="003C57AA" w:rsidP="003C57AA">
      <w:pPr>
        <w:spacing w:after="0" w:line="240" w:lineRule="auto"/>
        <w:jc w:val="both"/>
        <w:rPr>
          <w:rFonts w:ascii="Times New Roman" w:hAnsi="Times New Roman" w:cs="Times New Roman"/>
          <w:sz w:val="24"/>
          <w:szCs w:val="24"/>
        </w:rPr>
      </w:pPr>
    </w:p>
    <w:p w14:paraId="336D9B5B" w14:textId="48CD56B2" w:rsidR="008838E4" w:rsidRDefault="003C57AA" w:rsidP="003C57AA">
      <w:pPr>
        <w:spacing w:after="0" w:line="240" w:lineRule="auto"/>
        <w:jc w:val="both"/>
        <w:rPr>
          <w:rFonts w:ascii="Times New Roman" w:hAnsi="Times New Roman" w:cs="Times New Roman"/>
          <w:sz w:val="24"/>
          <w:szCs w:val="24"/>
        </w:rPr>
      </w:pPr>
      <w:r w:rsidRPr="00773842">
        <w:rPr>
          <w:rFonts w:ascii="Times New Roman" w:hAnsi="Times New Roman" w:cs="Times New Roman"/>
          <w:sz w:val="24"/>
          <w:szCs w:val="24"/>
          <w:u w:val="single"/>
        </w:rPr>
        <w:t>Piemērs</w:t>
      </w:r>
      <w:r>
        <w:rPr>
          <w:rFonts w:ascii="Times New Roman" w:hAnsi="Times New Roman" w:cs="Times New Roman"/>
          <w:sz w:val="24"/>
          <w:szCs w:val="24"/>
        </w:rPr>
        <w:t>: komercdarbības atbalstu</w:t>
      </w:r>
      <w:r w:rsidR="00773842">
        <w:rPr>
          <w:rFonts w:ascii="Times New Roman" w:hAnsi="Times New Roman" w:cs="Times New Roman"/>
          <w:sz w:val="24"/>
          <w:szCs w:val="24"/>
        </w:rPr>
        <w:t xml:space="preserve"> jaunas ražotnes būvniecībai</w:t>
      </w:r>
      <w:r>
        <w:rPr>
          <w:rFonts w:ascii="Times New Roman" w:hAnsi="Times New Roman" w:cs="Times New Roman"/>
          <w:sz w:val="24"/>
          <w:szCs w:val="24"/>
        </w:rPr>
        <w:t xml:space="preserve"> ir saņēm</w:t>
      </w:r>
      <w:r w:rsidR="000C0522">
        <w:rPr>
          <w:rFonts w:ascii="Times New Roman" w:hAnsi="Times New Roman" w:cs="Times New Roman"/>
          <w:sz w:val="24"/>
          <w:szCs w:val="24"/>
        </w:rPr>
        <w:t>usi</w:t>
      </w:r>
      <w:r>
        <w:rPr>
          <w:rFonts w:ascii="Times New Roman" w:hAnsi="Times New Roman" w:cs="Times New Roman"/>
          <w:sz w:val="24"/>
          <w:szCs w:val="24"/>
        </w:rPr>
        <w:t xml:space="preserve"> </w:t>
      </w:r>
      <w:r w:rsidR="000C0522">
        <w:rPr>
          <w:rFonts w:ascii="Times New Roman" w:hAnsi="Times New Roman" w:cs="Times New Roman"/>
          <w:sz w:val="24"/>
          <w:szCs w:val="24"/>
        </w:rPr>
        <w:t>komercsabiedrība</w:t>
      </w:r>
      <w:r>
        <w:rPr>
          <w:rFonts w:ascii="Times New Roman" w:hAnsi="Times New Roman" w:cs="Times New Roman"/>
          <w:sz w:val="24"/>
          <w:szCs w:val="24"/>
        </w:rPr>
        <w:t xml:space="preserve">, kas nodarbojas ar </w:t>
      </w:r>
      <w:r w:rsidR="00773842">
        <w:rPr>
          <w:rFonts w:ascii="Times New Roman" w:hAnsi="Times New Roman" w:cs="Times New Roman"/>
          <w:sz w:val="24"/>
          <w:szCs w:val="24"/>
        </w:rPr>
        <w:t xml:space="preserve">elektropreču ražošanu. </w:t>
      </w:r>
      <w:r w:rsidR="009C5C32">
        <w:rPr>
          <w:rFonts w:ascii="Times New Roman" w:hAnsi="Times New Roman" w:cs="Times New Roman"/>
          <w:sz w:val="24"/>
          <w:szCs w:val="24"/>
        </w:rPr>
        <w:t>Pēc tam, kad secināts, ka saņemtais komercdarbības atbalsts ir nelikumīgs (un nesaderīgs), u</w:t>
      </w:r>
      <w:r w:rsidR="00E408E2">
        <w:rPr>
          <w:rFonts w:ascii="Times New Roman" w:hAnsi="Times New Roman" w:cs="Times New Roman"/>
          <w:sz w:val="24"/>
          <w:szCs w:val="24"/>
        </w:rPr>
        <w:t>zsākot</w:t>
      </w:r>
      <w:r w:rsidR="00773842">
        <w:rPr>
          <w:rFonts w:ascii="Times New Roman" w:hAnsi="Times New Roman" w:cs="Times New Roman"/>
          <w:sz w:val="24"/>
          <w:szCs w:val="24"/>
        </w:rPr>
        <w:t xml:space="preserve"> </w:t>
      </w:r>
      <w:r w:rsidR="009C5C32">
        <w:rPr>
          <w:rFonts w:ascii="Times New Roman" w:hAnsi="Times New Roman" w:cs="Times New Roman"/>
          <w:sz w:val="24"/>
          <w:szCs w:val="24"/>
        </w:rPr>
        <w:t>tā</w:t>
      </w:r>
      <w:r w:rsidR="00773842">
        <w:rPr>
          <w:rFonts w:ascii="Times New Roman" w:hAnsi="Times New Roman" w:cs="Times New Roman"/>
          <w:sz w:val="24"/>
          <w:szCs w:val="24"/>
        </w:rPr>
        <w:t xml:space="preserve"> atgūšanu</w:t>
      </w:r>
      <w:r w:rsidR="009C5C32">
        <w:rPr>
          <w:rFonts w:ascii="Times New Roman" w:hAnsi="Times New Roman" w:cs="Times New Roman"/>
          <w:sz w:val="24"/>
          <w:szCs w:val="24"/>
        </w:rPr>
        <w:t>,</w:t>
      </w:r>
      <w:r w:rsidR="00773842">
        <w:rPr>
          <w:rFonts w:ascii="Times New Roman" w:hAnsi="Times New Roman" w:cs="Times New Roman"/>
          <w:sz w:val="24"/>
          <w:szCs w:val="24"/>
        </w:rPr>
        <w:t xml:space="preserve"> atbalsta sniedzējs konstatē, ka no atbalsta saņēmēja nav iespējams atgūt nelikumīgo (un nesaderīgo) komercdarbības </w:t>
      </w:r>
      <w:r w:rsidR="00773842" w:rsidRPr="00F35802">
        <w:rPr>
          <w:rFonts w:ascii="Times New Roman" w:hAnsi="Times New Roman" w:cs="Times New Roman"/>
          <w:sz w:val="24"/>
          <w:szCs w:val="24"/>
        </w:rPr>
        <w:t>atbalstu,</w:t>
      </w:r>
      <w:r w:rsidR="00E408E2" w:rsidRPr="00F35802">
        <w:rPr>
          <w:rFonts w:ascii="Times New Roman" w:hAnsi="Times New Roman" w:cs="Times New Roman"/>
          <w:sz w:val="24"/>
          <w:szCs w:val="24"/>
        </w:rPr>
        <w:t xml:space="preserve"> jo tas ir likvidēts maksātnespējas procesa rezultātā. Tomēr tiek secināts, ka </w:t>
      </w:r>
      <w:r w:rsidR="000C0522" w:rsidRPr="00F35802">
        <w:rPr>
          <w:rFonts w:ascii="Times New Roman" w:hAnsi="Times New Roman" w:cs="Times New Roman"/>
          <w:sz w:val="24"/>
          <w:szCs w:val="24"/>
        </w:rPr>
        <w:t>komercsabiedrīb</w:t>
      </w:r>
      <w:r w:rsidR="00E408E2" w:rsidRPr="00F35802">
        <w:rPr>
          <w:rFonts w:ascii="Times New Roman" w:hAnsi="Times New Roman" w:cs="Times New Roman"/>
          <w:sz w:val="24"/>
          <w:szCs w:val="24"/>
        </w:rPr>
        <w:t>a</w:t>
      </w:r>
      <w:r w:rsidR="000C0522" w:rsidRPr="00F35802">
        <w:rPr>
          <w:rFonts w:ascii="Times New Roman" w:hAnsi="Times New Roman" w:cs="Times New Roman"/>
          <w:sz w:val="24"/>
          <w:szCs w:val="24"/>
        </w:rPr>
        <w:t>s</w:t>
      </w:r>
      <w:r w:rsidR="00773842" w:rsidRPr="00F35802">
        <w:rPr>
          <w:rFonts w:ascii="Times New Roman" w:hAnsi="Times New Roman" w:cs="Times New Roman"/>
          <w:sz w:val="24"/>
          <w:szCs w:val="24"/>
        </w:rPr>
        <w:t xml:space="preserve"> </w:t>
      </w:r>
      <w:r w:rsidR="00E408E2" w:rsidRPr="00F35802">
        <w:rPr>
          <w:rFonts w:ascii="Times New Roman" w:hAnsi="Times New Roman" w:cs="Times New Roman"/>
          <w:sz w:val="24"/>
          <w:szCs w:val="24"/>
        </w:rPr>
        <w:t xml:space="preserve">īpašnieks pirms maksātnespējas procesa ierosināšanas jauno ražotni </w:t>
      </w:r>
      <w:r w:rsidR="00EE6002" w:rsidRPr="00F35802">
        <w:rPr>
          <w:rFonts w:ascii="Times New Roman" w:hAnsi="Times New Roman" w:cs="Times New Roman"/>
          <w:sz w:val="24"/>
          <w:szCs w:val="24"/>
        </w:rPr>
        <w:t>atsavināja</w:t>
      </w:r>
      <w:r w:rsidR="009C5C32" w:rsidRPr="00F35802">
        <w:rPr>
          <w:rFonts w:ascii="Times New Roman" w:hAnsi="Times New Roman" w:cs="Times New Roman"/>
          <w:sz w:val="24"/>
          <w:szCs w:val="24"/>
        </w:rPr>
        <w:t xml:space="preserve"> </w:t>
      </w:r>
      <w:r w:rsidR="00E408E2" w:rsidRPr="00F35802">
        <w:rPr>
          <w:rFonts w:ascii="Times New Roman" w:hAnsi="Times New Roman" w:cs="Times New Roman"/>
          <w:sz w:val="24"/>
          <w:szCs w:val="24"/>
        </w:rPr>
        <w:t>cita</w:t>
      </w:r>
      <w:r w:rsidR="009C5C32" w:rsidRPr="00F35802">
        <w:rPr>
          <w:rFonts w:ascii="Times New Roman" w:hAnsi="Times New Roman" w:cs="Times New Roman"/>
          <w:sz w:val="24"/>
          <w:szCs w:val="24"/>
        </w:rPr>
        <w:t>i</w:t>
      </w:r>
      <w:r w:rsidR="00E408E2" w:rsidRPr="00F35802">
        <w:rPr>
          <w:rFonts w:ascii="Times New Roman" w:hAnsi="Times New Roman" w:cs="Times New Roman"/>
          <w:sz w:val="24"/>
          <w:szCs w:val="24"/>
        </w:rPr>
        <w:t xml:space="preserve"> jaundibināta</w:t>
      </w:r>
      <w:r w:rsidR="009C5C32" w:rsidRPr="00F35802">
        <w:rPr>
          <w:rFonts w:ascii="Times New Roman" w:hAnsi="Times New Roman" w:cs="Times New Roman"/>
          <w:sz w:val="24"/>
          <w:szCs w:val="24"/>
        </w:rPr>
        <w:t>i</w:t>
      </w:r>
      <w:r w:rsidR="00E408E2" w:rsidRPr="00F35802">
        <w:rPr>
          <w:rFonts w:ascii="Times New Roman" w:hAnsi="Times New Roman" w:cs="Times New Roman"/>
          <w:sz w:val="24"/>
          <w:szCs w:val="24"/>
        </w:rPr>
        <w:t xml:space="preserve"> </w:t>
      </w:r>
      <w:r w:rsidR="009C5C32" w:rsidRPr="00F35802">
        <w:rPr>
          <w:rFonts w:ascii="Times New Roman" w:hAnsi="Times New Roman" w:cs="Times New Roman"/>
          <w:sz w:val="24"/>
          <w:szCs w:val="24"/>
        </w:rPr>
        <w:t>kapitālsabiedrībai</w:t>
      </w:r>
      <w:r w:rsidR="009A602E" w:rsidRPr="00F35802">
        <w:rPr>
          <w:rFonts w:ascii="Times New Roman" w:hAnsi="Times New Roman" w:cs="Times New Roman"/>
          <w:sz w:val="24"/>
          <w:szCs w:val="24"/>
        </w:rPr>
        <w:t xml:space="preserve"> par cenu, kas zemāka par tirgus cenu, un</w:t>
      </w:r>
      <w:r w:rsidR="009C5C32" w:rsidRPr="00F35802">
        <w:rPr>
          <w:rFonts w:ascii="Times New Roman" w:hAnsi="Times New Roman" w:cs="Times New Roman"/>
          <w:sz w:val="24"/>
          <w:szCs w:val="24"/>
        </w:rPr>
        <w:t xml:space="preserve"> kura to ieguldīja savā </w:t>
      </w:r>
      <w:r w:rsidR="00773842" w:rsidRPr="00F35802">
        <w:rPr>
          <w:rFonts w:ascii="Times New Roman" w:hAnsi="Times New Roman" w:cs="Times New Roman"/>
          <w:sz w:val="24"/>
          <w:szCs w:val="24"/>
        </w:rPr>
        <w:t xml:space="preserve">pamatkapitālā, </w:t>
      </w:r>
      <w:r w:rsidR="009A602E" w:rsidRPr="00F35802">
        <w:rPr>
          <w:rFonts w:ascii="Times New Roman" w:hAnsi="Times New Roman" w:cs="Times New Roman"/>
          <w:sz w:val="24"/>
          <w:szCs w:val="24"/>
        </w:rPr>
        <w:t>turklāt</w:t>
      </w:r>
      <w:r w:rsidR="009C5C32" w:rsidRPr="00F35802">
        <w:rPr>
          <w:rFonts w:ascii="Times New Roman" w:hAnsi="Times New Roman" w:cs="Times New Roman"/>
          <w:sz w:val="24"/>
          <w:szCs w:val="24"/>
        </w:rPr>
        <w:t xml:space="preserve"> jaundibinātajā kapitālsabiedrībā</w:t>
      </w:r>
      <w:r w:rsidR="00773842" w:rsidRPr="00F35802">
        <w:rPr>
          <w:rFonts w:ascii="Times New Roman" w:hAnsi="Times New Roman" w:cs="Times New Roman"/>
          <w:sz w:val="24"/>
          <w:szCs w:val="24"/>
        </w:rPr>
        <w:t xml:space="preserve"> tiek</w:t>
      </w:r>
      <w:r w:rsidR="009A602E" w:rsidRPr="00F35802">
        <w:rPr>
          <w:rFonts w:ascii="Times New Roman" w:hAnsi="Times New Roman" w:cs="Times New Roman"/>
          <w:sz w:val="24"/>
          <w:szCs w:val="24"/>
        </w:rPr>
        <w:t xml:space="preserve"> nodarbināti tie paši darbinieki un</w:t>
      </w:r>
      <w:r w:rsidR="00773842" w:rsidRPr="00F35802">
        <w:rPr>
          <w:rFonts w:ascii="Times New Roman" w:hAnsi="Times New Roman" w:cs="Times New Roman"/>
          <w:sz w:val="24"/>
          <w:szCs w:val="24"/>
        </w:rPr>
        <w:t xml:space="preserve"> veiktas tā</w:t>
      </w:r>
      <w:r w:rsidR="009C5C32" w:rsidRPr="00F35802">
        <w:rPr>
          <w:rFonts w:ascii="Times New Roman" w:hAnsi="Times New Roman" w:cs="Times New Roman"/>
          <w:sz w:val="24"/>
          <w:szCs w:val="24"/>
        </w:rPr>
        <w:t>da</w:t>
      </w:r>
      <w:r w:rsidR="00773842" w:rsidRPr="00F35802">
        <w:rPr>
          <w:rFonts w:ascii="Times New Roman" w:hAnsi="Times New Roman" w:cs="Times New Roman"/>
          <w:sz w:val="24"/>
          <w:szCs w:val="24"/>
        </w:rPr>
        <w:t>s pašas ražošanas darbības, ko veica nelikumīgo (un nesaderīgo) komercdarbības atbalstu saņēmuš</w:t>
      </w:r>
      <w:r w:rsidR="000C0522" w:rsidRPr="00F35802">
        <w:rPr>
          <w:rFonts w:ascii="Times New Roman" w:hAnsi="Times New Roman" w:cs="Times New Roman"/>
          <w:sz w:val="24"/>
          <w:szCs w:val="24"/>
        </w:rPr>
        <w:t>ā</w:t>
      </w:r>
      <w:r w:rsidR="00773842" w:rsidRPr="00F35802">
        <w:rPr>
          <w:rFonts w:ascii="Times New Roman" w:hAnsi="Times New Roman" w:cs="Times New Roman"/>
          <w:sz w:val="24"/>
          <w:szCs w:val="24"/>
        </w:rPr>
        <w:t xml:space="preserve"> </w:t>
      </w:r>
      <w:r w:rsidR="000C0522" w:rsidRPr="00F35802">
        <w:rPr>
          <w:rFonts w:ascii="Times New Roman" w:hAnsi="Times New Roman" w:cs="Times New Roman"/>
          <w:sz w:val="24"/>
          <w:szCs w:val="24"/>
        </w:rPr>
        <w:t>komercsabiedrība</w:t>
      </w:r>
      <w:r w:rsidR="00773842" w:rsidRPr="00F35802">
        <w:rPr>
          <w:rFonts w:ascii="Times New Roman" w:hAnsi="Times New Roman" w:cs="Times New Roman"/>
          <w:sz w:val="24"/>
          <w:szCs w:val="24"/>
        </w:rPr>
        <w:t>. Attiecīgi šajā gadījumā ir konstatējama saimnieciskā</w:t>
      </w:r>
      <w:r w:rsidR="00773842">
        <w:rPr>
          <w:rFonts w:ascii="Times New Roman" w:hAnsi="Times New Roman" w:cs="Times New Roman"/>
          <w:sz w:val="24"/>
          <w:szCs w:val="24"/>
        </w:rPr>
        <w:t xml:space="preserve"> (ekonomiskā) pēctecība un nelikumīga (un nesaderīga) atbalsta atgūšana ir veicama no jaundibinātā</w:t>
      </w:r>
      <w:r w:rsidR="000C0522">
        <w:rPr>
          <w:rFonts w:ascii="Times New Roman" w:hAnsi="Times New Roman" w:cs="Times New Roman"/>
          <w:sz w:val="24"/>
          <w:szCs w:val="24"/>
        </w:rPr>
        <w:t>s</w:t>
      </w:r>
      <w:r w:rsidR="00773842">
        <w:rPr>
          <w:rFonts w:ascii="Times New Roman" w:hAnsi="Times New Roman" w:cs="Times New Roman"/>
          <w:sz w:val="24"/>
          <w:szCs w:val="24"/>
        </w:rPr>
        <w:t xml:space="preserve"> </w:t>
      </w:r>
      <w:r w:rsidR="000C0522">
        <w:rPr>
          <w:rFonts w:ascii="Times New Roman" w:hAnsi="Times New Roman" w:cs="Times New Roman"/>
          <w:sz w:val="24"/>
          <w:szCs w:val="24"/>
        </w:rPr>
        <w:t>komercsabiedrīb</w:t>
      </w:r>
      <w:r w:rsidR="00773842">
        <w:rPr>
          <w:rFonts w:ascii="Times New Roman" w:hAnsi="Times New Roman" w:cs="Times New Roman"/>
          <w:sz w:val="24"/>
          <w:szCs w:val="24"/>
        </w:rPr>
        <w:t>a</w:t>
      </w:r>
      <w:r w:rsidR="000C0522">
        <w:rPr>
          <w:rFonts w:ascii="Times New Roman" w:hAnsi="Times New Roman" w:cs="Times New Roman"/>
          <w:sz w:val="24"/>
          <w:szCs w:val="24"/>
        </w:rPr>
        <w:t>s</w:t>
      </w:r>
      <w:r w:rsidR="00773842">
        <w:rPr>
          <w:rFonts w:ascii="Times New Roman" w:hAnsi="Times New Roman" w:cs="Times New Roman"/>
          <w:sz w:val="24"/>
          <w:szCs w:val="24"/>
        </w:rPr>
        <w:t>.</w:t>
      </w:r>
    </w:p>
    <w:p w14:paraId="0EEDCFF2" w14:textId="77777777" w:rsidR="008838E4" w:rsidRDefault="008838E4" w:rsidP="003C57AA">
      <w:pPr>
        <w:spacing w:after="0" w:line="240" w:lineRule="auto"/>
        <w:jc w:val="both"/>
        <w:rPr>
          <w:rFonts w:ascii="Times New Roman" w:hAnsi="Times New Roman" w:cs="Times New Roman"/>
          <w:sz w:val="24"/>
          <w:szCs w:val="24"/>
        </w:rPr>
      </w:pPr>
    </w:p>
    <w:p w14:paraId="544F413E" w14:textId="77777777" w:rsidR="003C57AA" w:rsidRPr="00773842" w:rsidRDefault="003C57AA" w:rsidP="003C57AA">
      <w:pPr>
        <w:spacing w:after="0" w:line="240" w:lineRule="auto"/>
        <w:jc w:val="center"/>
        <w:rPr>
          <w:rFonts w:ascii="Times New Roman" w:hAnsi="Times New Roman" w:cs="Times New Roman"/>
          <w:i/>
          <w:sz w:val="24"/>
          <w:szCs w:val="24"/>
        </w:rPr>
      </w:pPr>
      <w:r w:rsidRPr="00773842">
        <w:rPr>
          <w:rFonts w:ascii="Times New Roman" w:hAnsi="Times New Roman" w:cs="Times New Roman"/>
          <w:i/>
          <w:sz w:val="24"/>
          <w:szCs w:val="24"/>
        </w:rPr>
        <w:t>1.2.2. Kapitāldaļu pārdošanas darījums</w:t>
      </w:r>
    </w:p>
    <w:p w14:paraId="7F86C88D" w14:textId="77777777" w:rsidR="001D1213" w:rsidRDefault="001D1213" w:rsidP="00D07F49">
      <w:pPr>
        <w:spacing w:after="0" w:line="240" w:lineRule="auto"/>
        <w:ind w:firstLine="720"/>
        <w:jc w:val="both"/>
        <w:rPr>
          <w:rFonts w:ascii="Times New Roman" w:hAnsi="Times New Roman" w:cs="Times New Roman"/>
          <w:sz w:val="24"/>
          <w:szCs w:val="24"/>
        </w:rPr>
      </w:pPr>
    </w:p>
    <w:p w14:paraId="70C8D20A" w14:textId="575D5A94" w:rsidR="00773842" w:rsidRDefault="00530BE8" w:rsidP="00D07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Gadījumā, ja </w:t>
      </w:r>
      <w:r w:rsidR="002E66AD">
        <w:rPr>
          <w:rFonts w:ascii="Times New Roman" w:hAnsi="Times New Roman" w:cs="Times New Roman"/>
          <w:sz w:val="24"/>
          <w:szCs w:val="24"/>
        </w:rPr>
        <w:t>komercdarbības</w:t>
      </w:r>
      <w:r>
        <w:rPr>
          <w:rFonts w:ascii="Times New Roman" w:hAnsi="Times New Roman" w:cs="Times New Roman"/>
          <w:sz w:val="24"/>
          <w:szCs w:val="24"/>
        </w:rPr>
        <w:t xml:space="preserve"> atbalsta saņēmēja kapitāldaļas tiek pārdotas trešajai personai, tas neietekmē atbalsta saņēmēja pienākumu atmaksāt </w:t>
      </w:r>
      <w:r w:rsidR="002E66AD">
        <w:rPr>
          <w:rFonts w:ascii="Times New Roman" w:hAnsi="Times New Roman" w:cs="Times New Roman"/>
          <w:sz w:val="24"/>
          <w:szCs w:val="24"/>
        </w:rPr>
        <w:t xml:space="preserve">nelikumīgu (un nesaderīgu) </w:t>
      </w:r>
      <w:r>
        <w:rPr>
          <w:rFonts w:ascii="Times New Roman" w:hAnsi="Times New Roman" w:cs="Times New Roman"/>
          <w:sz w:val="24"/>
          <w:szCs w:val="24"/>
        </w:rPr>
        <w:t>atbalstu.</w:t>
      </w:r>
      <w:r>
        <w:rPr>
          <w:rStyle w:val="FootnoteReference"/>
          <w:rFonts w:ascii="Times New Roman" w:hAnsi="Times New Roman" w:cs="Times New Roman"/>
          <w:sz w:val="24"/>
          <w:szCs w:val="24"/>
        </w:rPr>
        <w:footnoteReference w:id="13"/>
      </w:r>
    </w:p>
    <w:p w14:paraId="632EBD8C" w14:textId="56EC9B37" w:rsidR="00530BE8" w:rsidRDefault="00530BE8" w:rsidP="00D07F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 tiek pārdotas nelikumīga (un nesaderīga) komercdarbības atbalsta saņēmušās komercsabiedrības kapitāldaļas, bet šī komercsabiedrība </w:t>
      </w:r>
      <w:r w:rsidR="002E66AD">
        <w:rPr>
          <w:rFonts w:ascii="Times New Roman" w:hAnsi="Times New Roman" w:cs="Times New Roman"/>
          <w:sz w:val="24"/>
          <w:szCs w:val="24"/>
        </w:rPr>
        <w:t>netiek likvidēta</w:t>
      </w:r>
      <w:r>
        <w:rPr>
          <w:rFonts w:ascii="Times New Roman" w:hAnsi="Times New Roman" w:cs="Times New Roman"/>
          <w:sz w:val="24"/>
          <w:szCs w:val="24"/>
        </w:rPr>
        <w:t xml:space="preserve"> un turpina veikt darbības, kas ir subsidētas ar saņemto nelikumīgo (un nesaderīgo) komercdarbības atbalstu, atbalsta </w:t>
      </w:r>
      <w:r w:rsidR="004D6712">
        <w:rPr>
          <w:rFonts w:ascii="Times New Roman" w:hAnsi="Times New Roman" w:cs="Times New Roman"/>
          <w:sz w:val="24"/>
          <w:szCs w:val="24"/>
        </w:rPr>
        <w:t xml:space="preserve">sniedzējam </w:t>
      </w:r>
      <w:r>
        <w:rPr>
          <w:rFonts w:ascii="Times New Roman" w:hAnsi="Times New Roman" w:cs="Times New Roman"/>
          <w:sz w:val="24"/>
          <w:szCs w:val="24"/>
        </w:rPr>
        <w:t>ir jāveic šī atbalsta atgūšana no šīs komercsabiedrības.</w:t>
      </w:r>
    </w:p>
    <w:p w14:paraId="132A7DB4" w14:textId="77777777" w:rsidR="00E408E2" w:rsidRDefault="00E408E2" w:rsidP="00E408E2">
      <w:pPr>
        <w:spacing w:after="0" w:line="240" w:lineRule="auto"/>
        <w:jc w:val="both"/>
        <w:rPr>
          <w:rFonts w:ascii="Times New Roman" w:hAnsi="Times New Roman" w:cs="Times New Roman"/>
          <w:sz w:val="24"/>
          <w:szCs w:val="24"/>
        </w:rPr>
      </w:pPr>
    </w:p>
    <w:p w14:paraId="60250DB3" w14:textId="6AEB0FE9" w:rsidR="00E408E2" w:rsidRDefault="00E408E2" w:rsidP="00E408E2">
      <w:pPr>
        <w:spacing w:after="0" w:line="240" w:lineRule="auto"/>
        <w:jc w:val="both"/>
        <w:rPr>
          <w:rFonts w:ascii="Times New Roman" w:hAnsi="Times New Roman" w:cs="Times New Roman"/>
          <w:sz w:val="24"/>
          <w:szCs w:val="24"/>
        </w:rPr>
      </w:pPr>
      <w:r w:rsidRPr="00E408E2">
        <w:rPr>
          <w:rFonts w:ascii="Times New Roman" w:hAnsi="Times New Roman" w:cs="Times New Roman"/>
          <w:sz w:val="24"/>
          <w:szCs w:val="24"/>
          <w:u w:val="single"/>
        </w:rPr>
        <w:t>Piemērs</w:t>
      </w:r>
      <w:r>
        <w:rPr>
          <w:rFonts w:ascii="Times New Roman" w:hAnsi="Times New Roman" w:cs="Times New Roman"/>
          <w:sz w:val="24"/>
          <w:szCs w:val="24"/>
        </w:rPr>
        <w:t>: komercdarbības atbalstu jaunas ražotnes būvniecībai ir saņēm</w:t>
      </w:r>
      <w:r w:rsidR="000C0522">
        <w:rPr>
          <w:rFonts w:ascii="Times New Roman" w:hAnsi="Times New Roman" w:cs="Times New Roman"/>
          <w:sz w:val="24"/>
          <w:szCs w:val="24"/>
        </w:rPr>
        <w:t>us</w:t>
      </w:r>
      <w:r>
        <w:rPr>
          <w:rFonts w:ascii="Times New Roman" w:hAnsi="Times New Roman" w:cs="Times New Roman"/>
          <w:sz w:val="24"/>
          <w:szCs w:val="24"/>
        </w:rPr>
        <w:t xml:space="preserve">i </w:t>
      </w:r>
      <w:r w:rsidR="000C0522">
        <w:rPr>
          <w:rFonts w:ascii="Times New Roman" w:hAnsi="Times New Roman" w:cs="Times New Roman"/>
          <w:sz w:val="24"/>
          <w:szCs w:val="24"/>
        </w:rPr>
        <w:t>komercsabiedrība</w:t>
      </w:r>
      <w:r>
        <w:rPr>
          <w:rFonts w:ascii="Times New Roman" w:hAnsi="Times New Roman" w:cs="Times New Roman"/>
          <w:sz w:val="24"/>
          <w:szCs w:val="24"/>
        </w:rPr>
        <w:t xml:space="preserve">, kas nodarbojas ar elektropreču ražošanu. </w:t>
      </w:r>
      <w:r w:rsidR="004D6712">
        <w:rPr>
          <w:rFonts w:ascii="Times New Roman" w:hAnsi="Times New Roman" w:cs="Times New Roman"/>
          <w:sz w:val="24"/>
          <w:szCs w:val="24"/>
        </w:rPr>
        <w:t>Pēc tam, kad secināts, ka saņemtais komercdarbības atbalsts ir nelikumīgs (un nesaderīgs), p</w:t>
      </w:r>
      <w:r>
        <w:rPr>
          <w:rFonts w:ascii="Times New Roman" w:hAnsi="Times New Roman" w:cs="Times New Roman"/>
          <w:sz w:val="24"/>
          <w:szCs w:val="24"/>
        </w:rPr>
        <w:t xml:space="preserve">irms nelikumīga (un nesaderīga) atbalsta atgūšanas procedūras uzsākšanas atbalsta sniedzējs konstatē, ka </w:t>
      </w:r>
      <w:r>
        <w:rPr>
          <w:rFonts w:ascii="Times New Roman" w:hAnsi="Times New Roman" w:cs="Times New Roman"/>
          <w:sz w:val="24"/>
          <w:szCs w:val="24"/>
        </w:rPr>
        <w:lastRenderedPageBreak/>
        <w:t xml:space="preserve">visas </w:t>
      </w:r>
      <w:r w:rsidR="000C0522">
        <w:rPr>
          <w:rFonts w:ascii="Times New Roman" w:hAnsi="Times New Roman" w:cs="Times New Roman"/>
          <w:sz w:val="24"/>
          <w:szCs w:val="24"/>
        </w:rPr>
        <w:t>komercsabiedrīb</w:t>
      </w:r>
      <w:r>
        <w:rPr>
          <w:rFonts w:ascii="Times New Roman" w:hAnsi="Times New Roman" w:cs="Times New Roman"/>
          <w:sz w:val="24"/>
          <w:szCs w:val="24"/>
        </w:rPr>
        <w:t>a</w:t>
      </w:r>
      <w:r w:rsidR="000C0522">
        <w:rPr>
          <w:rFonts w:ascii="Times New Roman" w:hAnsi="Times New Roman" w:cs="Times New Roman"/>
          <w:sz w:val="24"/>
          <w:szCs w:val="24"/>
        </w:rPr>
        <w:t>s</w:t>
      </w:r>
      <w:r>
        <w:rPr>
          <w:rFonts w:ascii="Times New Roman" w:hAnsi="Times New Roman" w:cs="Times New Roman"/>
          <w:sz w:val="24"/>
          <w:szCs w:val="24"/>
        </w:rPr>
        <w:t xml:space="preserve"> kapitāldaļas ir pārdotas citai personai un ir</w:t>
      </w:r>
      <w:r w:rsidR="004D6712">
        <w:rPr>
          <w:rFonts w:ascii="Times New Roman" w:hAnsi="Times New Roman" w:cs="Times New Roman"/>
          <w:sz w:val="24"/>
          <w:szCs w:val="24"/>
        </w:rPr>
        <w:t xml:space="preserve"> </w:t>
      </w:r>
      <w:r>
        <w:rPr>
          <w:rFonts w:ascii="Times New Roman" w:hAnsi="Times New Roman" w:cs="Times New Roman"/>
          <w:sz w:val="24"/>
          <w:szCs w:val="24"/>
        </w:rPr>
        <w:t xml:space="preserve">mainījies kapitāldaļu turētāju sastāvs, un </w:t>
      </w:r>
      <w:r w:rsidR="000C0522">
        <w:rPr>
          <w:rFonts w:ascii="Times New Roman" w:hAnsi="Times New Roman" w:cs="Times New Roman"/>
          <w:sz w:val="24"/>
          <w:szCs w:val="24"/>
        </w:rPr>
        <w:t>komercsabiedrība</w:t>
      </w:r>
      <w:r>
        <w:rPr>
          <w:rFonts w:ascii="Times New Roman" w:hAnsi="Times New Roman" w:cs="Times New Roman"/>
          <w:sz w:val="24"/>
          <w:szCs w:val="24"/>
        </w:rPr>
        <w:t xml:space="preserve"> turpina savu darbību tajā pašā jomā kā līdz šim. Attiecīgi šajā gadījumā ir konstatējama saimnieciskā (ekonomiskā) pēctecība un nelikumīga (un nesaderīga) atbalsta atgūšana būtu veicama no tā</w:t>
      </w:r>
      <w:r w:rsidR="000C0522">
        <w:rPr>
          <w:rFonts w:ascii="Times New Roman" w:hAnsi="Times New Roman" w:cs="Times New Roman"/>
          <w:sz w:val="24"/>
          <w:szCs w:val="24"/>
        </w:rPr>
        <w:t>s</w:t>
      </w:r>
      <w:r>
        <w:rPr>
          <w:rFonts w:ascii="Times New Roman" w:hAnsi="Times New Roman" w:cs="Times New Roman"/>
          <w:sz w:val="24"/>
          <w:szCs w:val="24"/>
        </w:rPr>
        <w:t xml:space="preserve"> paša</w:t>
      </w:r>
      <w:r w:rsidR="000C0522">
        <w:rPr>
          <w:rFonts w:ascii="Times New Roman" w:hAnsi="Times New Roman" w:cs="Times New Roman"/>
          <w:sz w:val="24"/>
          <w:szCs w:val="24"/>
        </w:rPr>
        <w:t>s</w:t>
      </w:r>
      <w:r>
        <w:rPr>
          <w:rFonts w:ascii="Times New Roman" w:hAnsi="Times New Roman" w:cs="Times New Roman"/>
          <w:sz w:val="24"/>
          <w:szCs w:val="24"/>
        </w:rPr>
        <w:t xml:space="preserve"> </w:t>
      </w:r>
      <w:r w:rsidR="000C0522">
        <w:rPr>
          <w:rFonts w:ascii="Times New Roman" w:hAnsi="Times New Roman" w:cs="Times New Roman"/>
          <w:sz w:val="24"/>
          <w:szCs w:val="24"/>
        </w:rPr>
        <w:t>komercsabiedrīb</w:t>
      </w:r>
      <w:r>
        <w:rPr>
          <w:rFonts w:ascii="Times New Roman" w:hAnsi="Times New Roman" w:cs="Times New Roman"/>
          <w:sz w:val="24"/>
          <w:szCs w:val="24"/>
        </w:rPr>
        <w:t>a</w:t>
      </w:r>
      <w:r w:rsidR="000C0522">
        <w:rPr>
          <w:rFonts w:ascii="Times New Roman" w:hAnsi="Times New Roman" w:cs="Times New Roman"/>
          <w:sz w:val="24"/>
          <w:szCs w:val="24"/>
        </w:rPr>
        <w:t>s</w:t>
      </w:r>
      <w:r>
        <w:rPr>
          <w:rFonts w:ascii="Times New Roman" w:hAnsi="Times New Roman" w:cs="Times New Roman"/>
          <w:sz w:val="24"/>
          <w:szCs w:val="24"/>
        </w:rPr>
        <w:t>, neatkarīgi no tā, ka ir mainījies kapitāldaļu turētāju sastāvs.</w:t>
      </w:r>
    </w:p>
    <w:p w14:paraId="088B656C" w14:textId="77777777" w:rsidR="008838E4" w:rsidRDefault="008838E4" w:rsidP="00E408E2">
      <w:pPr>
        <w:spacing w:after="0" w:line="240" w:lineRule="auto"/>
        <w:jc w:val="both"/>
        <w:rPr>
          <w:rFonts w:ascii="Times New Roman" w:hAnsi="Times New Roman" w:cs="Times New Roman"/>
          <w:sz w:val="24"/>
          <w:szCs w:val="24"/>
        </w:rPr>
      </w:pPr>
    </w:p>
    <w:p w14:paraId="3677F2D6" w14:textId="77777777" w:rsidR="008838E4" w:rsidRDefault="008838E4" w:rsidP="00E408E2">
      <w:pPr>
        <w:spacing w:after="0" w:line="240" w:lineRule="auto"/>
        <w:jc w:val="both"/>
        <w:rPr>
          <w:rFonts w:ascii="Times New Roman" w:hAnsi="Times New Roman" w:cs="Times New Roman"/>
          <w:sz w:val="24"/>
          <w:szCs w:val="24"/>
        </w:rPr>
      </w:pPr>
    </w:p>
    <w:p w14:paraId="32ABC7B8" w14:textId="77777777" w:rsidR="004C47B7" w:rsidRPr="00FB0FE1" w:rsidRDefault="004C47B7" w:rsidP="00FB0FE1">
      <w:pPr>
        <w:spacing w:after="0" w:line="240" w:lineRule="auto"/>
        <w:jc w:val="center"/>
        <w:rPr>
          <w:rFonts w:ascii="Times New Roman" w:hAnsi="Times New Roman" w:cs="Times New Roman"/>
          <w:b/>
          <w:sz w:val="24"/>
          <w:szCs w:val="24"/>
        </w:rPr>
      </w:pPr>
      <w:r w:rsidRPr="00FB0FE1">
        <w:rPr>
          <w:rFonts w:ascii="Times New Roman" w:hAnsi="Times New Roman" w:cs="Times New Roman"/>
          <w:b/>
          <w:sz w:val="24"/>
          <w:szCs w:val="24"/>
        </w:rPr>
        <w:t>1.3. Nelikumīga (un nesaderīga) komercdarbības atbalsta atgūšanas izbeigšana</w:t>
      </w:r>
      <w:r w:rsidR="00FA193C">
        <w:rPr>
          <w:rFonts w:ascii="Times New Roman" w:hAnsi="Times New Roman" w:cs="Times New Roman"/>
          <w:b/>
          <w:sz w:val="24"/>
          <w:szCs w:val="24"/>
        </w:rPr>
        <w:t xml:space="preserve"> pēc maksātnespējas procesa pabeigšanas</w:t>
      </w:r>
    </w:p>
    <w:p w14:paraId="0319BEBB" w14:textId="77777777" w:rsidR="004C47B7" w:rsidRDefault="004C47B7" w:rsidP="00FB0FE1">
      <w:pPr>
        <w:spacing w:after="0" w:line="240" w:lineRule="auto"/>
        <w:jc w:val="center"/>
        <w:rPr>
          <w:rFonts w:ascii="Times New Roman" w:hAnsi="Times New Roman" w:cs="Times New Roman"/>
          <w:sz w:val="24"/>
          <w:szCs w:val="24"/>
        </w:rPr>
      </w:pPr>
    </w:p>
    <w:p w14:paraId="0DB6BA18" w14:textId="3E978F35" w:rsidR="004C47B7" w:rsidRPr="001F4D62" w:rsidRDefault="004C47B7" w:rsidP="004C47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6503">
        <w:rPr>
          <w:rFonts w:ascii="Times New Roman" w:hAnsi="Times New Roman" w:cs="Times New Roman"/>
          <w:sz w:val="24"/>
          <w:szCs w:val="24"/>
        </w:rPr>
        <w:t>J</w:t>
      </w:r>
      <w:r>
        <w:rPr>
          <w:rFonts w:ascii="Times New Roman" w:hAnsi="Times New Roman" w:cs="Times New Roman"/>
          <w:sz w:val="24"/>
          <w:szCs w:val="24"/>
        </w:rPr>
        <w:t>a nelikumīgu (un nesaderīgu) komercdarbības atbalstu saņēmusī komercsabiedrība tiek pasludināta par maks</w:t>
      </w:r>
      <w:r w:rsidR="00FA193C">
        <w:rPr>
          <w:rFonts w:ascii="Times New Roman" w:hAnsi="Times New Roman" w:cs="Times New Roman"/>
          <w:sz w:val="24"/>
          <w:szCs w:val="24"/>
        </w:rPr>
        <w:t>ātnespējīgu,</w:t>
      </w:r>
      <w:r>
        <w:rPr>
          <w:rFonts w:ascii="Times New Roman" w:hAnsi="Times New Roman" w:cs="Times New Roman"/>
          <w:sz w:val="24"/>
          <w:szCs w:val="24"/>
        </w:rPr>
        <w:t xml:space="preserve"> maksātnespējas process tiek virzīts un pabeigts atbilstoši maksātnespējas procesu regulējošajos normatīvajos aktos noteiktajam</w:t>
      </w:r>
      <w:r w:rsidR="00FA193C">
        <w:rPr>
          <w:rFonts w:ascii="Times New Roman" w:hAnsi="Times New Roman" w:cs="Times New Roman"/>
          <w:sz w:val="24"/>
          <w:szCs w:val="24"/>
        </w:rPr>
        <w:t xml:space="preserve"> un šai komercsabiedrībai gan</w:t>
      </w:r>
      <w:r w:rsidR="00F26E38">
        <w:rPr>
          <w:rFonts w:ascii="Times New Roman" w:hAnsi="Times New Roman" w:cs="Times New Roman"/>
          <w:sz w:val="24"/>
          <w:szCs w:val="24"/>
        </w:rPr>
        <w:t xml:space="preserve"> ma</w:t>
      </w:r>
      <w:r w:rsidR="00FA193C">
        <w:rPr>
          <w:rFonts w:ascii="Times New Roman" w:hAnsi="Times New Roman" w:cs="Times New Roman"/>
          <w:sz w:val="24"/>
          <w:szCs w:val="24"/>
        </w:rPr>
        <w:t>ksātnespējas procesa laikā, gan</w:t>
      </w:r>
      <w:r w:rsidR="00F26E38">
        <w:rPr>
          <w:rFonts w:ascii="Times New Roman" w:hAnsi="Times New Roman" w:cs="Times New Roman"/>
          <w:sz w:val="24"/>
          <w:szCs w:val="24"/>
        </w:rPr>
        <w:t xml:space="preserve"> uz tā pabeigšanas brīd</w:t>
      </w:r>
      <w:r w:rsidR="00FA193C">
        <w:rPr>
          <w:rFonts w:ascii="Times New Roman" w:hAnsi="Times New Roman" w:cs="Times New Roman"/>
          <w:sz w:val="24"/>
          <w:szCs w:val="24"/>
        </w:rPr>
        <w:t>i ne</w:t>
      </w:r>
      <w:r w:rsidR="00F26E38">
        <w:rPr>
          <w:rFonts w:ascii="Times New Roman" w:hAnsi="Times New Roman" w:cs="Times New Roman"/>
          <w:sz w:val="24"/>
          <w:szCs w:val="24"/>
        </w:rPr>
        <w:t>tiek konstatēta saimnieciskā pēctecība, nelikumīga (un nesaderīga) komercdarbības atbalsta atgūšana ir izbeidzama, ņemot vērā, ka atgūšanas mērķis – konkurences kropļojuma novēršana</w:t>
      </w:r>
      <w:r w:rsidR="00FA193C">
        <w:rPr>
          <w:rFonts w:ascii="Times New Roman" w:hAnsi="Times New Roman" w:cs="Times New Roman"/>
          <w:sz w:val="24"/>
          <w:szCs w:val="24"/>
        </w:rPr>
        <w:t xml:space="preserve"> un tirgus stāvokļa</w:t>
      </w:r>
      <w:r w:rsidR="00F26E38">
        <w:rPr>
          <w:rFonts w:ascii="Times New Roman" w:hAnsi="Times New Roman" w:cs="Times New Roman"/>
          <w:sz w:val="24"/>
          <w:szCs w:val="24"/>
        </w:rPr>
        <w:t>, kas pastāvēja pirms nelikumīgā (un nesaderīgā) komercdarbības atbalsta piešķiršanas</w:t>
      </w:r>
      <w:r w:rsidR="00FA193C">
        <w:rPr>
          <w:rFonts w:ascii="Times New Roman" w:hAnsi="Times New Roman" w:cs="Times New Roman"/>
          <w:sz w:val="24"/>
          <w:szCs w:val="24"/>
        </w:rPr>
        <w:t>, atgriešana</w:t>
      </w:r>
      <w:r w:rsidR="00F26E38">
        <w:rPr>
          <w:rFonts w:ascii="Times New Roman" w:hAnsi="Times New Roman" w:cs="Times New Roman"/>
          <w:sz w:val="24"/>
          <w:szCs w:val="24"/>
        </w:rPr>
        <w:t xml:space="preserve"> – ir veikta līdz ar</w:t>
      </w:r>
      <w:r w:rsidR="00FA193C">
        <w:rPr>
          <w:rFonts w:ascii="Times New Roman" w:hAnsi="Times New Roman" w:cs="Times New Roman"/>
          <w:sz w:val="24"/>
          <w:szCs w:val="24"/>
        </w:rPr>
        <w:t xml:space="preserve"> šīs komercsabiedrības iziešanu no tirgus – likvidāciju/saimnieciskās darbības izbeigšanu. Atbalsta sniedzējam šādā gadījumā pēc tam nav nepieciešams veikt uzraudzību, vai likvidētās komercsabiedrības kādreizējie dalībnieki/saimniecisko darbību izbeigušās personas vēlāk uzsāk jaunu saimniecisko darbību (gan līdzīgu iepriekšējai, gan citu)</w:t>
      </w:r>
      <w:r w:rsidR="00F35802">
        <w:rPr>
          <w:rFonts w:ascii="Times New Roman" w:hAnsi="Times New Roman" w:cs="Times New Roman"/>
          <w:sz w:val="24"/>
          <w:szCs w:val="24"/>
        </w:rPr>
        <w:t>.</w:t>
      </w:r>
    </w:p>
    <w:sectPr w:rsidR="004C47B7" w:rsidRPr="001F4D6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F8AB" w14:textId="77777777" w:rsidR="0060182D" w:rsidRDefault="0060182D" w:rsidP="00D07F49">
      <w:pPr>
        <w:spacing w:after="0" w:line="240" w:lineRule="auto"/>
      </w:pPr>
      <w:r>
        <w:separator/>
      </w:r>
    </w:p>
  </w:endnote>
  <w:endnote w:type="continuationSeparator" w:id="0">
    <w:p w14:paraId="537D7A28" w14:textId="77777777" w:rsidR="0060182D" w:rsidRDefault="0060182D" w:rsidP="00D0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4AEE" w14:textId="77777777" w:rsidR="0060182D" w:rsidRDefault="0060182D" w:rsidP="00D07F49">
      <w:pPr>
        <w:spacing w:after="0" w:line="240" w:lineRule="auto"/>
      </w:pPr>
      <w:r>
        <w:separator/>
      </w:r>
    </w:p>
  </w:footnote>
  <w:footnote w:type="continuationSeparator" w:id="0">
    <w:p w14:paraId="49B5848B" w14:textId="77777777" w:rsidR="0060182D" w:rsidRDefault="0060182D" w:rsidP="00D07F49">
      <w:pPr>
        <w:spacing w:after="0" w:line="240" w:lineRule="auto"/>
      </w:pPr>
      <w:r>
        <w:continuationSeparator/>
      </w:r>
    </w:p>
  </w:footnote>
  <w:footnote w:id="1">
    <w:p w14:paraId="3047FA06" w14:textId="77777777" w:rsidR="00D07F49" w:rsidRPr="00543A2A" w:rsidRDefault="00D07F49">
      <w:pPr>
        <w:pStyle w:val="FootnoteText"/>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Komisijas paziņojums par nelikumīga un nesaderīga valsts atb</w:t>
      </w:r>
      <w:r w:rsidR="00B55451" w:rsidRPr="00543A2A">
        <w:rPr>
          <w:rFonts w:ascii="Times New Roman" w:hAnsi="Times New Roman" w:cs="Times New Roman"/>
        </w:rPr>
        <w:t xml:space="preserve">alsta atgūšanu (2019/C 247/01), 16.punkts. </w:t>
      </w:r>
      <w:r w:rsidRPr="00543A2A">
        <w:rPr>
          <w:rFonts w:ascii="Times New Roman" w:hAnsi="Times New Roman" w:cs="Times New Roman"/>
        </w:rPr>
        <w:t xml:space="preserve">Pieejams: </w:t>
      </w:r>
      <w:hyperlink r:id="rId1" w:history="1">
        <w:r w:rsidRPr="00F35802">
          <w:rPr>
            <w:rStyle w:val="Hyperlink"/>
            <w:rFonts w:ascii="Times New Roman" w:hAnsi="Times New Roman" w:cs="Times New Roman"/>
            <w:color w:val="auto"/>
          </w:rPr>
          <w:t>https://eur-lex.europa.eu/legal-content/LV/TXT/?uri=uriserv%3AOJ.C_.2019.247.01.0001.01.LAV&amp;toc=OJ%3AC%3A2019%3A247%3AFULL</w:t>
        </w:r>
      </w:hyperlink>
      <w:r w:rsidR="00B55451" w:rsidRPr="00543A2A">
        <w:rPr>
          <w:rFonts w:ascii="Times New Roman" w:hAnsi="Times New Roman" w:cs="Times New Roman"/>
        </w:rPr>
        <w:t>.</w:t>
      </w:r>
      <w:r w:rsidRPr="00543A2A">
        <w:rPr>
          <w:rFonts w:ascii="Times New Roman" w:hAnsi="Times New Roman" w:cs="Times New Roman"/>
        </w:rPr>
        <w:t xml:space="preserve"> </w:t>
      </w:r>
    </w:p>
  </w:footnote>
  <w:footnote w:id="2">
    <w:p w14:paraId="544F7D30" w14:textId="77777777" w:rsidR="00B55451" w:rsidRPr="00543A2A" w:rsidRDefault="00B55451">
      <w:pPr>
        <w:pStyle w:val="FootnoteText"/>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Turpat, 29.punkts.</w:t>
      </w:r>
    </w:p>
  </w:footnote>
  <w:footnote w:id="3">
    <w:p w14:paraId="08827F72" w14:textId="692EBB50" w:rsidR="00CF77ED" w:rsidRDefault="00CF77ED">
      <w:pPr>
        <w:pStyle w:val="FootnoteText"/>
      </w:pPr>
      <w:r>
        <w:rPr>
          <w:rStyle w:val="FootnoteReference"/>
        </w:rPr>
        <w:footnoteRef/>
      </w:r>
      <w:r>
        <w:t xml:space="preserve"> </w:t>
      </w:r>
      <w:r w:rsidRPr="00626354">
        <w:rPr>
          <w:rFonts w:ascii="Times New Roman" w:hAnsi="Times New Roman" w:cs="Times New Roman"/>
        </w:rPr>
        <w:t>Komercdarbības atbalsta kontroles likuma</w:t>
      </w:r>
      <w:r w:rsidR="00486503" w:rsidRPr="00626354">
        <w:rPr>
          <w:rFonts w:ascii="Times New Roman" w:hAnsi="Times New Roman" w:cs="Times New Roman"/>
        </w:rPr>
        <w:t xml:space="preserve"> </w:t>
      </w:r>
      <w:r w:rsidRPr="00626354">
        <w:rPr>
          <w:rFonts w:ascii="Times New Roman" w:hAnsi="Times New Roman" w:cs="Times New Roman"/>
        </w:rPr>
        <w:t>izpratnē</w:t>
      </w:r>
      <w:r w:rsidR="00486503" w:rsidRPr="00626354">
        <w:rPr>
          <w:rFonts w:ascii="Times New Roman" w:hAnsi="Times New Roman" w:cs="Times New Roman"/>
        </w:rPr>
        <w:t>.</w:t>
      </w:r>
    </w:p>
  </w:footnote>
  <w:footnote w:id="4">
    <w:p w14:paraId="115FE633" w14:textId="77777777" w:rsidR="00B55451" w:rsidRPr="00543A2A" w:rsidRDefault="00B55451">
      <w:pPr>
        <w:pStyle w:val="FootnoteText"/>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Turpat, 83.punkts.</w:t>
      </w:r>
    </w:p>
  </w:footnote>
  <w:footnote w:id="5">
    <w:p w14:paraId="270EE555" w14:textId="77777777" w:rsidR="001D1213" w:rsidRPr="00543A2A" w:rsidRDefault="001D1213">
      <w:pPr>
        <w:pStyle w:val="FootnoteText"/>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Turpat, 89.punkts.</w:t>
      </w:r>
    </w:p>
  </w:footnote>
  <w:footnote w:id="6">
    <w:p w14:paraId="0180A734" w14:textId="77777777" w:rsidR="007C0FB2" w:rsidRPr="00543A2A" w:rsidRDefault="007C0FB2">
      <w:pPr>
        <w:pStyle w:val="FootnoteText"/>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Turpat, 90.punkts.</w:t>
      </w:r>
    </w:p>
  </w:footnote>
  <w:footnote w:id="7">
    <w:p w14:paraId="3F9B27A5" w14:textId="77777777" w:rsidR="002A43EB" w:rsidRPr="00543A2A" w:rsidRDefault="002A43EB">
      <w:pPr>
        <w:pStyle w:val="FootnoteText"/>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Turpat, 95.punkts.</w:t>
      </w:r>
    </w:p>
  </w:footnote>
  <w:footnote w:id="8">
    <w:p w14:paraId="3E4CAFCC" w14:textId="77777777" w:rsidR="007C0FB2" w:rsidRPr="00543A2A" w:rsidRDefault="007C0FB2" w:rsidP="003122C5">
      <w:pPr>
        <w:pStyle w:val="FootnoteText"/>
        <w:jc w:val="both"/>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Turpat, 91.punkts.</w:t>
      </w:r>
    </w:p>
  </w:footnote>
  <w:footnote w:id="9">
    <w:p w14:paraId="1F00F5A9" w14:textId="77777777" w:rsidR="007D2528" w:rsidRPr="00543A2A" w:rsidRDefault="007D2528" w:rsidP="003122C5">
      <w:pPr>
        <w:pStyle w:val="FootnoteText"/>
        <w:jc w:val="both"/>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Skat., piemēram, Vispārējās tiesas 2019.gada 24.septembra sprieduma lietā T-121/15 </w:t>
      </w:r>
      <w:proofErr w:type="spellStart"/>
      <w:r w:rsidRPr="00543A2A">
        <w:rPr>
          <w:rFonts w:ascii="Times New Roman" w:hAnsi="Times New Roman" w:cs="Times New Roman"/>
        </w:rPr>
        <w:t>Fortischem</w:t>
      </w:r>
      <w:proofErr w:type="spellEnd"/>
      <w:r w:rsidRPr="00543A2A">
        <w:rPr>
          <w:rFonts w:ascii="Times New Roman" w:hAnsi="Times New Roman" w:cs="Times New Roman"/>
        </w:rPr>
        <w:t xml:space="preserve"> </w:t>
      </w:r>
      <w:proofErr w:type="spellStart"/>
      <w:r w:rsidRPr="00543A2A">
        <w:rPr>
          <w:rFonts w:ascii="Times New Roman" w:hAnsi="Times New Roman" w:cs="Times New Roman"/>
        </w:rPr>
        <w:t>a.s</w:t>
      </w:r>
      <w:proofErr w:type="spellEnd"/>
      <w:r w:rsidRPr="00543A2A">
        <w:rPr>
          <w:rFonts w:ascii="Times New Roman" w:hAnsi="Times New Roman" w:cs="Times New Roman"/>
        </w:rPr>
        <w:t xml:space="preserve">. pret Eiropas Komisiju, 252. – 258.punktu. Pieejams: </w:t>
      </w:r>
      <w:hyperlink r:id="rId2" w:history="1">
        <w:r w:rsidRPr="00543A2A">
          <w:rPr>
            <w:rStyle w:val="Hyperlink"/>
            <w:rFonts w:ascii="Times New Roman" w:hAnsi="Times New Roman" w:cs="Times New Roman"/>
            <w:color w:val="auto"/>
          </w:rPr>
          <w:t>https://curia.europa.eu/juris/document/document.jsf;jsessionid=AF760E8850BCA9583145E31228A6F71E?text=&amp;docid=218119&amp;pageIndex=0&amp;doclang=LV&amp;mode=lst&amp;dir=&amp;occ=first&amp;part=1&amp;cid=1574904</w:t>
        </w:r>
      </w:hyperlink>
      <w:r w:rsidRPr="00543A2A">
        <w:rPr>
          <w:rFonts w:ascii="Times New Roman" w:hAnsi="Times New Roman" w:cs="Times New Roman"/>
        </w:rPr>
        <w:t xml:space="preserve">. </w:t>
      </w:r>
    </w:p>
  </w:footnote>
  <w:footnote w:id="10">
    <w:p w14:paraId="02DD11FD" w14:textId="77777777" w:rsidR="00AE54FF" w:rsidRPr="00543A2A" w:rsidRDefault="00AE54FF" w:rsidP="003122C5">
      <w:pPr>
        <w:pStyle w:val="FootnoteText"/>
        <w:jc w:val="both"/>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Skat., piemēram, Eiropas Komisijas 2014.gada 1.oktobra lēmumu lietā SA.31550 (2012/C) (</w:t>
      </w:r>
      <w:proofErr w:type="spellStart"/>
      <w:r w:rsidRPr="00543A2A">
        <w:rPr>
          <w:rFonts w:ascii="Times New Roman" w:hAnsi="Times New Roman" w:cs="Times New Roman"/>
        </w:rPr>
        <w:t>ex</w:t>
      </w:r>
      <w:proofErr w:type="spellEnd"/>
      <w:r w:rsidRPr="00543A2A">
        <w:rPr>
          <w:rFonts w:ascii="Times New Roman" w:hAnsi="Times New Roman" w:cs="Times New Roman"/>
        </w:rPr>
        <w:t xml:space="preserve"> 2012/NN), ko Vācija īstenoja par labu </w:t>
      </w:r>
      <w:proofErr w:type="spellStart"/>
      <w:r w:rsidRPr="00543A2A">
        <w:rPr>
          <w:rFonts w:ascii="Times New Roman" w:hAnsi="Times New Roman" w:cs="Times New Roman"/>
        </w:rPr>
        <w:t>Nürburgring</w:t>
      </w:r>
      <w:proofErr w:type="spellEnd"/>
      <w:r w:rsidRPr="00543A2A">
        <w:rPr>
          <w:rFonts w:ascii="Times New Roman" w:hAnsi="Times New Roman" w:cs="Times New Roman"/>
        </w:rPr>
        <w:t xml:space="preserve"> kompleksam, 261. un 262.punktu. Pieejams: </w:t>
      </w:r>
      <w:hyperlink r:id="rId3" w:history="1">
        <w:r w:rsidRPr="00543A2A">
          <w:rPr>
            <w:rStyle w:val="Hyperlink"/>
            <w:rFonts w:ascii="Times New Roman" w:hAnsi="Times New Roman" w:cs="Times New Roman"/>
            <w:color w:val="auto"/>
          </w:rPr>
          <w:t>https://eur-lex.europa.eu/legal-content/LV/TXT/?uri=uriserv%3AOJ.L_.2016.034.01.0001.01.LAV&amp;toc=OJ%3AL%3A2016%3A034%3AFULL</w:t>
        </w:r>
      </w:hyperlink>
      <w:r w:rsidRPr="00543A2A">
        <w:rPr>
          <w:rFonts w:ascii="Times New Roman" w:hAnsi="Times New Roman" w:cs="Times New Roman"/>
        </w:rPr>
        <w:t xml:space="preserve">. </w:t>
      </w:r>
    </w:p>
  </w:footnote>
  <w:footnote w:id="11">
    <w:p w14:paraId="703DDCAF" w14:textId="77777777" w:rsidR="00E235DF" w:rsidRPr="00F35802" w:rsidRDefault="00E235DF" w:rsidP="00E235DF">
      <w:pPr>
        <w:pStyle w:val="FootnoteText"/>
        <w:rPr>
          <w:rStyle w:val="Hyperlink"/>
          <w:color w:val="auto"/>
        </w:rPr>
      </w:pPr>
      <w:r w:rsidRPr="00543A2A">
        <w:rPr>
          <w:rStyle w:val="FootnoteReference"/>
          <w:rFonts w:ascii="Times New Roman" w:hAnsi="Times New Roman" w:cs="Times New Roman"/>
        </w:rPr>
        <w:footnoteRef/>
      </w:r>
      <w:r w:rsidRPr="00543A2A">
        <w:rPr>
          <w:rFonts w:ascii="Times New Roman" w:hAnsi="Times New Roman" w:cs="Times New Roman"/>
        </w:rPr>
        <w:t xml:space="preserve"> Attiecībā uz šo sk. Komisijas paziņojumu par Līguma par Eiropas Savienības darbību 107. panta 1. punktā minēto valsts atbalsta jēdzienu, OV C 262, 19.7.2016., 1. lpp., 89.–105. punkts. </w:t>
      </w:r>
      <w:r w:rsidRPr="00543A2A">
        <w:rPr>
          <w:rFonts w:ascii="Times New Roman" w:hAnsi="Times New Roman" w:cs="Times New Roman"/>
        </w:rPr>
        <w:t xml:space="preserve">Pieejams: </w:t>
      </w:r>
      <w:hyperlink r:id="rId4" w:history="1">
        <w:r w:rsidRPr="00F35802">
          <w:rPr>
            <w:rStyle w:val="Hyperlink"/>
            <w:rFonts w:ascii="Times New Roman" w:hAnsi="Times New Roman" w:cs="Times New Roman"/>
            <w:color w:val="auto"/>
          </w:rPr>
          <w:t>https://eur-lex.europa.eu/legal-content/LV/TXT/PDF/?uri=CELEX:52016XC0719(05)&amp;from=EN</w:t>
        </w:r>
      </w:hyperlink>
    </w:p>
  </w:footnote>
  <w:footnote w:id="12">
    <w:p w14:paraId="7607D639" w14:textId="77777777" w:rsidR="007D2528" w:rsidRPr="00543A2A" w:rsidRDefault="007D2528" w:rsidP="003122C5">
      <w:pPr>
        <w:pStyle w:val="FootnoteText"/>
        <w:jc w:val="both"/>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Skat., piemēram, Vispārējās tiesas 2019.gada 24.septembra sprieduma lietā T-121/15 </w:t>
      </w:r>
      <w:proofErr w:type="spellStart"/>
      <w:r w:rsidRPr="00543A2A">
        <w:rPr>
          <w:rFonts w:ascii="Times New Roman" w:hAnsi="Times New Roman" w:cs="Times New Roman"/>
        </w:rPr>
        <w:t>Fortischem</w:t>
      </w:r>
      <w:proofErr w:type="spellEnd"/>
      <w:r w:rsidRPr="00543A2A">
        <w:rPr>
          <w:rFonts w:ascii="Times New Roman" w:hAnsi="Times New Roman" w:cs="Times New Roman"/>
        </w:rPr>
        <w:t xml:space="preserve"> </w:t>
      </w:r>
      <w:proofErr w:type="spellStart"/>
      <w:r w:rsidRPr="00543A2A">
        <w:rPr>
          <w:rFonts w:ascii="Times New Roman" w:hAnsi="Times New Roman" w:cs="Times New Roman"/>
        </w:rPr>
        <w:t>a.s</w:t>
      </w:r>
      <w:proofErr w:type="spellEnd"/>
      <w:r w:rsidRPr="00543A2A">
        <w:rPr>
          <w:rFonts w:ascii="Times New Roman" w:hAnsi="Times New Roman" w:cs="Times New Roman"/>
        </w:rPr>
        <w:t xml:space="preserve">. pret Eiropas Komisiju,, 259. – 265.punktu. Pieejams: </w:t>
      </w:r>
      <w:hyperlink r:id="rId5" w:history="1">
        <w:r w:rsidRPr="00543A2A">
          <w:rPr>
            <w:rStyle w:val="Hyperlink"/>
            <w:rFonts w:ascii="Times New Roman" w:hAnsi="Times New Roman" w:cs="Times New Roman"/>
            <w:color w:val="auto"/>
          </w:rPr>
          <w:t>https://curia.europa.eu/juris/document/document.jsf;jsessionid=AF760E8850BCA9583145E31228A6F71E?text=&amp;docid=218119&amp;pageIndex=0&amp;doclang=LV&amp;mode=lst&amp;dir=&amp;occ=first&amp;part=1&amp;cid=1574904</w:t>
        </w:r>
      </w:hyperlink>
    </w:p>
  </w:footnote>
  <w:footnote w:id="13">
    <w:p w14:paraId="40AFFD68" w14:textId="77777777" w:rsidR="00530BE8" w:rsidRPr="00543A2A" w:rsidRDefault="00530BE8">
      <w:pPr>
        <w:pStyle w:val="FootnoteText"/>
        <w:rPr>
          <w:rFonts w:ascii="Times New Roman" w:hAnsi="Times New Roman" w:cs="Times New Roman"/>
        </w:rPr>
      </w:pPr>
      <w:r w:rsidRPr="00543A2A">
        <w:rPr>
          <w:rStyle w:val="FootnoteReference"/>
          <w:rFonts w:ascii="Times New Roman" w:hAnsi="Times New Roman" w:cs="Times New Roman"/>
        </w:rPr>
        <w:footnoteRef/>
      </w:r>
      <w:r w:rsidRPr="00543A2A">
        <w:rPr>
          <w:rFonts w:ascii="Times New Roman" w:hAnsi="Times New Roman" w:cs="Times New Roman"/>
        </w:rPr>
        <w:t xml:space="preserve"> </w:t>
      </w:r>
      <w:r w:rsidRPr="00543A2A">
        <w:rPr>
          <w:rFonts w:ascii="Times New Roman" w:hAnsi="Times New Roman" w:cs="Times New Roman"/>
        </w:rPr>
        <w:t>Turpat, 93.punkts.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24153"/>
    <w:multiLevelType w:val="hybridMultilevel"/>
    <w:tmpl w:val="C32AA9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04A05EE"/>
    <w:multiLevelType w:val="hybridMultilevel"/>
    <w:tmpl w:val="7A4E5E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62"/>
    <w:rsid w:val="00010B78"/>
    <w:rsid w:val="0008530C"/>
    <w:rsid w:val="000B1D73"/>
    <w:rsid w:val="000B7CE9"/>
    <w:rsid w:val="000C0522"/>
    <w:rsid w:val="001665A9"/>
    <w:rsid w:val="00180B0C"/>
    <w:rsid w:val="001D1213"/>
    <w:rsid w:val="001D584A"/>
    <w:rsid w:val="001F4D62"/>
    <w:rsid w:val="002624DF"/>
    <w:rsid w:val="002A3EA7"/>
    <w:rsid w:val="002A43EB"/>
    <w:rsid w:val="002D2099"/>
    <w:rsid w:val="002E5D73"/>
    <w:rsid w:val="002E66AD"/>
    <w:rsid w:val="003122C5"/>
    <w:rsid w:val="00326A04"/>
    <w:rsid w:val="00345203"/>
    <w:rsid w:val="0035569F"/>
    <w:rsid w:val="003A00C3"/>
    <w:rsid w:val="003B6F86"/>
    <w:rsid w:val="003C1F4C"/>
    <w:rsid w:val="003C57AA"/>
    <w:rsid w:val="003D750E"/>
    <w:rsid w:val="003F2A46"/>
    <w:rsid w:val="004147E7"/>
    <w:rsid w:val="00465DD4"/>
    <w:rsid w:val="00486503"/>
    <w:rsid w:val="004C47B7"/>
    <w:rsid w:val="004C5C17"/>
    <w:rsid w:val="004D6712"/>
    <w:rsid w:val="00530BE8"/>
    <w:rsid w:val="00543A2A"/>
    <w:rsid w:val="00551416"/>
    <w:rsid w:val="00590210"/>
    <w:rsid w:val="0060182D"/>
    <w:rsid w:val="00621C2B"/>
    <w:rsid w:val="00622BB5"/>
    <w:rsid w:val="00626354"/>
    <w:rsid w:val="006D2E06"/>
    <w:rsid w:val="00773842"/>
    <w:rsid w:val="007C0FB2"/>
    <w:rsid w:val="007D2528"/>
    <w:rsid w:val="008838E4"/>
    <w:rsid w:val="00896CB4"/>
    <w:rsid w:val="008A360E"/>
    <w:rsid w:val="008A4229"/>
    <w:rsid w:val="008E6F41"/>
    <w:rsid w:val="00961424"/>
    <w:rsid w:val="00965814"/>
    <w:rsid w:val="00980015"/>
    <w:rsid w:val="0098235E"/>
    <w:rsid w:val="009A602E"/>
    <w:rsid w:val="009C5C32"/>
    <w:rsid w:val="00A418CC"/>
    <w:rsid w:val="00AE54FF"/>
    <w:rsid w:val="00B36F88"/>
    <w:rsid w:val="00B55451"/>
    <w:rsid w:val="00B821A7"/>
    <w:rsid w:val="00C0674B"/>
    <w:rsid w:val="00C219D5"/>
    <w:rsid w:val="00C57BF9"/>
    <w:rsid w:val="00CD5017"/>
    <w:rsid w:val="00CE630A"/>
    <w:rsid w:val="00CF77ED"/>
    <w:rsid w:val="00D07F49"/>
    <w:rsid w:val="00D209BC"/>
    <w:rsid w:val="00D37DAF"/>
    <w:rsid w:val="00E235DF"/>
    <w:rsid w:val="00E408E2"/>
    <w:rsid w:val="00EA642A"/>
    <w:rsid w:val="00EE6002"/>
    <w:rsid w:val="00F26E38"/>
    <w:rsid w:val="00F35802"/>
    <w:rsid w:val="00F74BDB"/>
    <w:rsid w:val="00FA193C"/>
    <w:rsid w:val="00FA38DA"/>
    <w:rsid w:val="00FA6A23"/>
    <w:rsid w:val="00FB0F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EEF9"/>
  <w15:chartTrackingRefBased/>
  <w15:docId w15:val="{2E9BDCCF-CCD4-41A6-8D01-A26284FA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7F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F49"/>
    <w:rPr>
      <w:sz w:val="20"/>
      <w:szCs w:val="20"/>
    </w:rPr>
  </w:style>
  <w:style w:type="character" w:styleId="FootnoteReference">
    <w:name w:val="footnote reference"/>
    <w:basedOn w:val="DefaultParagraphFont"/>
    <w:uiPriority w:val="99"/>
    <w:semiHidden/>
    <w:unhideWhenUsed/>
    <w:rsid w:val="00D07F49"/>
    <w:rPr>
      <w:vertAlign w:val="superscript"/>
    </w:rPr>
  </w:style>
  <w:style w:type="character" w:styleId="Hyperlink">
    <w:name w:val="Hyperlink"/>
    <w:basedOn w:val="DefaultParagraphFont"/>
    <w:uiPriority w:val="99"/>
    <w:unhideWhenUsed/>
    <w:rsid w:val="00D07F49"/>
    <w:rPr>
      <w:color w:val="0563C1" w:themeColor="hyperlink"/>
      <w:u w:val="single"/>
    </w:rPr>
  </w:style>
  <w:style w:type="paragraph" w:styleId="ListParagraph">
    <w:name w:val="List Paragraph"/>
    <w:basedOn w:val="Normal"/>
    <w:uiPriority w:val="34"/>
    <w:qFormat/>
    <w:rsid w:val="003A00C3"/>
    <w:pPr>
      <w:ind w:left="720"/>
      <w:contextualSpacing/>
    </w:pPr>
  </w:style>
  <w:style w:type="character" w:styleId="CommentReference">
    <w:name w:val="annotation reference"/>
    <w:basedOn w:val="DefaultParagraphFont"/>
    <w:uiPriority w:val="99"/>
    <w:semiHidden/>
    <w:unhideWhenUsed/>
    <w:rsid w:val="00AE54FF"/>
    <w:rPr>
      <w:sz w:val="16"/>
      <w:szCs w:val="16"/>
    </w:rPr>
  </w:style>
  <w:style w:type="paragraph" w:styleId="CommentText">
    <w:name w:val="annotation text"/>
    <w:basedOn w:val="Normal"/>
    <w:link w:val="CommentTextChar"/>
    <w:uiPriority w:val="99"/>
    <w:unhideWhenUsed/>
    <w:rsid w:val="00AE54FF"/>
    <w:pPr>
      <w:spacing w:line="240" w:lineRule="auto"/>
    </w:pPr>
    <w:rPr>
      <w:sz w:val="20"/>
      <w:szCs w:val="20"/>
    </w:rPr>
  </w:style>
  <w:style w:type="character" w:customStyle="1" w:styleId="CommentTextChar">
    <w:name w:val="Comment Text Char"/>
    <w:basedOn w:val="DefaultParagraphFont"/>
    <w:link w:val="CommentText"/>
    <w:uiPriority w:val="99"/>
    <w:rsid w:val="00AE54FF"/>
    <w:rPr>
      <w:sz w:val="20"/>
      <w:szCs w:val="20"/>
    </w:rPr>
  </w:style>
  <w:style w:type="paragraph" w:styleId="CommentSubject">
    <w:name w:val="annotation subject"/>
    <w:basedOn w:val="CommentText"/>
    <w:next w:val="CommentText"/>
    <w:link w:val="CommentSubjectChar"/>
    <w:uiPriority w:val="99"/>
    <w:semiHidden/>
    <w:unhideWhenUsed/>
    <w:rsid w:val="00AE54FF"/>
    <w:rPr>
      <w:b/>
      <w:bCs/>
    </w:rPr>
  </w:style>
  <w:style w:type="character" w:customStyle="1" w:styleId="CommentSubjectChar">
    <w:name w:val="Comment Subject Char"/>
    <w:basedOn w:val="CommentTextChar"/>
    <w:link w:val="CommentSubject"/>
    <w:uiPriority w:val="99"/>
    <w:semiHidden/>
    <w:rsid w:val="00AE54FF"/>
    <w:rPr>
      <w:b/>
      <w:bCs/>
      <w:sz w:val="20"/>
      <w:szCs w:val="20"/>
    </w:rPr>
  </w:style>
  <w:style w:type="paragraph" w:styleId="BalloonText">
    <w:name w:val="Balloon Text"/>
    <w:basedOn w:val="Normal"/>
    <w:link w:val="BalloonTextChar"/>
    <w:uiPriority w:val="99"/>
    <w:semiHidden/>
    <w:unhideWhenUsed/>
    <w:rsid w:val="00AE5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FF"/>
    <w:rPr>
      <w:rFonts w:ascii="Segoe UI" w:hAnsi="Segoe UI" w:cs="Segoe UI"/>
      <w:sz w:val="18"/>
      <w:szCs w:val="18"/>
    </w:rPr>
  </w:style>
  <w:style w:type="character" w:styleId="FollowedHyperlink">
    <w:name w:val="FollowedHyperlink"/>
    <w:basedOn w:val="DefaultParagraphFont"/>
    <w:uiPriority w:val="99"/>
    <w:semiHidden/>
    <w:unhideWhenUsed/>
    <w:rsid w:val="007D2528"/>
    <w:rPr>
      <w:color w:val="954F72" w:themeColor="followedHyperlink"/>
      <w:u w:val="single"/>
    </w:rPr>
  </w:style>
  <w:style w:type="paragraph" w:customStyle="1" w:styleId="NumPar1">
    <w:name w:val="NumPar 1"/>
    <w:basedOn w:val="Heading1"/>
    <w:next w:val="Normal"/>
    <w:qFormat/>
    <w:rsid w:val="00C219D5"/>
    <w:pPr>
      <w:keepLines w:val="0"/>
      <w:tabs>
        <w:tab w:val="left" w:pos="426"/>
        <w:tab w:val="left" w:pos="480"/>
      </w:tabs>
      <w:suppressAutoHyphens/>
      <w:spacing w:before="0" w:after="240" w:line="240" w:lineRule="auto"/>
      <w:ind w:left="480" w:right="-172" w:hanging="480"/>
      <w:jc w:val="both"/>
    </w:pPr>
    <w:rPr>
      <w:rFonts w:ascii="Times New Roman" w:eastAsia="Times New Roman" w:hAnsi="Times New Roman" w:cs="Times New Roman"/>
      <w:color w:val="auto"/>
      <w:sz w:val="24"/>
      <w:szCs w:val="20"/>
      <w:lang w:eastAsia="lv-LV" w:bidi="lv-LV"/>
    </w:rPr>
  </w:style>
  <w:style w:type="character" w:customStyle="1" w:styleId="Heading1Char">
    <w:name w:val="Heading 1 Char"/>
    <w:basedOn w:val="DefaultParagraphFont"/>
    <w:link w:val="Heading1"/>
    <w:uiPriority w:val="9"/>
    <w:rsid w:val="00C219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uriserv%3AOJ.L_.2016.034.01.0001.01.LAV&amp;toc=OJ%3AL%3A2016%3A034%3AFULL" TargetMode="External"/><Relationship Id="rId2" Type="http://schemas.openxmlformats.org/officeDocument/2006/relationships/hyperlink" Target="https://curia.europa.eu/juris/document/document.jsf;jsessionid=AF760E8850BCA9583145E31228A6F71E?text=&amp;docid=218119&amp;pageIndex=0&amp;doclang=LV&amp;mode=lst&amp;dir=&amp;occ=first&amp;part=1&amp;cid=1574904" TargetMode="External"/><Relationship Id="rId1" Type="http://schemas.openxmlformats.org/officeDocument/2006/relationships/hyperlink" Target="https://eur-lex.europa.eu/legal-content/LV/TXT/?uri=uriserv%3AOJ.C_.2019.247.01.0001.01.LAV&amp;toc=OJ%3AC%3A2019%3A247%3AFULL" TargetMode="External"/><Relationship Id="rId5" Type="http://schemas.openxmlformats.org/officeDocument/2006/relationships/hyperlink" Target="https://curia.europa.eu/juris/document/document.jsf;jsessionid=AF760E8850BCA9583145E31228A6F71E?text=&amp;docid=218119&amp;pageIndex=0&amp;doclang=LV&amp;mode=lst&amp;dir=&amp;occ=first&amp;part=1&amp;cid=1574904" TargetMode="External"/><Relationship Id="rId4" Type="http://schemas.openxmlformats.org/officeDocument/2006/relationships/hyperlink" Target="https://eur-lex.europa.eu/legal-content/LV/TXT/PDF/?uri=CELEX:52016XC0719(0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9A49-63AD-4A23-B073-C29971DF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5949</Words>
  <Characters>3392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KAKD</dc:creator>
  <cp:keywords/>
  <dc:description/>
  <cp:lastModifiedBy>Jurijs Jenuševskis</cp:lastModifiedBy>
  <cp:revision>3</cp:revision>
  <dcterms:created xsi:type="dcterms:W3CDTF">2021-04-27T06:33:00Z</dcterms:created>
  <dcterms:modified xsi:type="dcterms:W3CDTF">2021-04-27T06:34:00Z</dcterms:modified>
</cp:coreProperties>
</file>