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A5" w:rsidRPr="00AF2A77" w:rsidRDefault="00AF2A77" w:rsidP="00EA0106">
      <w:pPr>
        <w:jc w:val="center"/>
        <w:rPr>
          <w:b/>
          <w:sz w:val="28"/>
          <w:szCs w:val="28"/>
          <w:u w:val="single"/>
        </w:rPr>
      </w:pPr>
      <w:r w:rsidRPr="00AF2A77">
        <w:rPr>
          <w:b/>
          <w:sz w:val="28"/>
          <w:szCs w:val="28"/>
          <w:u w:val="single"/>
        </w:rPr>
        <w:t xml:space="preserve">Skaidrojošs materiāls par </w:t>
      </w:r>
      <w:r w:rsidR="00324AD6">
        <w:rPr>
          <w:b/>
          <w:sz w:val="28"/>
          <w:szCs w:val="28"/>
          <w:u w:val="single"/>
        </w:rPr>
        <w:t>PVN iekļaušanu atbalsta apmērā</w:t>
      </w:r>
    </w:p>
    <w:p w:rsidR="00324AD6" w:rsidRDefault="00324AD6" w:rsidP="00AF2A77">
      <w:pPr>
        <w:rPr>
          <w:i/>
        </w:rPr>
      </w:pPr>
    </w:p>
    <w:p w:rsidR="00AF2A77" w:rsidRPr="00324AD6" w:rsidRDefault="00324AD6" w:rsidP="00AF2A77">
      <w:pPr>
        <w:rPr>
          <w:b/>
          <w:i/>
        </w:rPr>
      </w:pPr>
      <w:r w:rsidRPr="00324AD6">
        <w:rPr>
          <w:b/>
          <w:i/>
        </w:rPr>
        <w:t>V</w:t>
      </w:r>
      <w:r w:rsidRPr="00324AD6">
        <w:rPr>
          <w:b/>
          <w:i/>
        </w:rPr>
        <w:t>ai komercdarbības atbalsta apmērā, īpaši, kad atbalsts tiek sniegts saskaņā ar de minimis</w:t>
      </w:r>
      <w:r w:rsidRPr="00324AD6">
        <w:rPr>
          <w:rStyle w:val="EndnoteReference"/>
          <w:b/>
          <w:i/>
        </w:rPr>
        <w:endnoteReference w:id="1"/>
      </w:r>
      <w:r w:rsidRPr="00324AD6">
        <w:rPr>
          <w:b/>
          <w:i/>
        </w:rPr>
        <w:t xml:space="preserve"> regulējumu, ir jāieskaita pievienotās vērtības nodoklis (PVN) ar PVN apliekamos darījumos</w:t>
      </w:r>
      <w:r w:rsidRPr="00324AD6">
        <w:rPr>
          <w:b/>
          <w:i/>
        </w:rPr>
        <w:t xml:space="preserve">? </w:t>
      </w:r>
    </w:p>
    <w:p w:rsidR="00324AD6" w:rsidRPr="00324AD6" w:rsidRDefault="00324AD6" w:rsidP="00AF2A77">
      <w:pPr>
        <w:rPr>
          <w:i/>
        </w:rPr>
      </w:pPr>
    </w:p>
    <w:p w:rsidR="00324AD6" w:rsidRPr="00324AD6" w:rsidRDefault="00324AD6" w:rsidP="00324AD6">
      <w:pPr>
        <w:ind w:firstLine="720"/>
        <w:rPr>
          <w:i/>
        </w:rPr>
      </w:pPr>
      <w:r>
        <w:t>L</w:t>
      </w:r>
      <w:r w:rsidRPr="00324AD6">
        <w:t xml:space="preserve">ai nodrošinātu korektu komercdarbības atbalsta apmēra (turpmāk – atbalsta apmērs) noteikšanu un uzskaiti, vēlamies uzsvērt, ka jāizmanto </w:t>
      </w:r>
      <w:r w:rsidRPr="00324AD6">
        <w:rPr>
          <w:b/>
        </w:rPr>
        <w:t>bruto summas</w:t>
      </w:r>
      <w:r w:rsidRPr="00324AD6">
        <w:t>.</w:t>
      </w:r>
      <w:r w:rsidRPr="00324AD6">
        <w:rPr>
          <w:i/>
        </w:rPr>
        <w:t xml:space="preserve"> </w:t>
      </w:r>
      <w:r w:rsidRPr="00324AD6">
        <w:t>Skaidrojam, ka precīza atbalsta apmēra aprēķināšana ir viens no komercdarbības atbalsta pamatkritērijiem, lai nodrošinātu, ka tiek ievēroti komercdarbības atbalsta regulējuma nosacījumi, piemēram, de minimis regulējumā vai Pagaidu regulējumā</w:t>
      </w:r>
      <w:r w:rsidRPr="00324AD6">
        <w:rPr>
          <w:vertAlign w:val="superscript"/>
        </w:rPr>
        <w:endnoteReference w:id="2"/>
      </w:r>
      <w:r w:rsidRPr="00324AD6">
        <w:t xml:space="preserve"> noteiktais  atbalsta apmērs, kā arī VGAR</w:t>
      </w:r>
      <w:r w:rsidRPr="00324AD6">
        <w:rPr>
          <w:vertAlign w:val="superscript"/>
        </w:rPr>
        <w:endnoteReference w:id="3"/>
      </w:r>
      <w:r w:rsidRPr="00324AD6">
        <w:t xml:space="preserve"> noteiktās atbalsta intensitātes. Atbalsta apmēra aprēķins būtisks arī gadījumos, kad atbalsta pretendents plāno atbalsta kumulāciju. </w:t>
      </w:r>
    </w:p>
    <w:p w:rsidR="00324AD6" w:rsidRPr="00324AD6" w:rsidRDefault="00324AD6" w:rsidP="00324AD6">
      <w:pPr>
        <w:ind w:firstLine="720"/>
      </w:pPr>
      <w:r w:rsidRPr="00324AD6">
        <w:t xml:space="preserve">Vēršam uzmanību, ka </w:t>
      </w:r>
      <w:r w:rsidRPr="00324AD6">
        <w:rPr>
          <w:b/>
        </w:rPr>
        <w:t>atbalsta apmērs atkarīgs arī no tā, vai atbalsta saņēmējs var vai nevar atgūt PVN vispārējā kārtībā no valsts</w:t>
      </w:r>
      <w:r w:rsidRPr="00324AD6">
        <w:t xml:space="preserve">. Paskaidrojam, ka atbalsta saņēmējam ir iespēja PVN summu atgūt vispārējā kārtībā, proti, kā priekšnodokli, personai reģistrējoties Valsts ieņēmumu dienesta PVN maksātāju reģistrā kā reģistrētam PVN maksātājam, ja preces iegādātas vai pakalpojumi saņemti ar PVN apliekamo darījumu nodrošināšanai. Gadījumā, ja atbalsta saņēmējs var atgūt PVN vispārējā kārtībā no valsts, tad atbalsta apmērā PVN nav ieskaitāms, savukārt, ja atbalsta saņēmējs PVN vispārējā kārtībā no valsts nevar atgūt, atbalsta apjomā ir jāieskaita arī PVN. </w:t>
      </w:r>
    </w:p>
    <w:p w:rsidR="00324AD6" w:rsidRPr="00324AD6" w:rsidRDefault="00324AD6" w:rsidP="00324AD6">
      <w:pPr>
        <w:rPr>
          <w:i/>
        </w:rPr>
      </w:pPr>
    </w:p>
    <w:p w:rsidR="00324AD6" w:rsidRPr="00324AD6" w:rsidRDefault="00324AD6" w:rsidP="00324AD6">
      <w:pPr>
        <w:pBdr>
          <w:top w:val="single" w:sz="4" w:space="1" w:color="auto"/>
          <w:left w:val="single" w:sz="4" w:space="4" w:color="auto"/>
          <w:bottom w:val="single" w:sz="4" w:space="1" w:color="auto"/>
          <w:right w:val="single" w:sz="4" w:space="4" w:color="auto"/>
        </w:pBdr>
        <w:rPr>
          <w:u w:val="single"/>
        </w:rPr>
      </w:pPr>
      <w:r w:rsidRPr="00324AD6">
        <w:rPr>
          <w:i/>
          <w:u w:val="single"/>
        </w:rPr>
        <w:t>Piemērs Nr.1</w:t>
      </w:r>
      <w:r w:rsidRPr="00324AD6">
        <w:rPr>
          <w:i/>
          <w:u w:val="single"/>
          <w:vertAlign w:val="superscript"/>
        </w:rPr>
        <w:endnoteReference w:id="4"/>
      </w:r>
      <w:r w:rsidRPr="00324AD6">
        <w:rPr>
          <w:i/>
          <w:u w:val="single"/>
        </w:rPr>
        <w:t>:</w:t>
      </w:r>
      <w:r w:rsidRPr="00324AD6">
        <w:rPr>
          <w:u w:val="single"/>
        </w:rPr>
        <w:t xml:space="preserve"> </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 xml:space="preserve">SIA “Paraugs” ir noslēdzis ar Pašvaldību nomas līgumu par Pašvaldības nekustamā īpašuma iznomāšanu un nomas līgumā noteiktā nomas maksa ir 1000 euro +  PVN (21%). Pašvaldība saskaņā ar </w:t>
      </w:r>
      <w:r w:rsidRPr="00324AD6">
        <w:rPr>
          <w:i/>
        </w:rPr>
        <w:t>Ministru kabineta 2020. gada 14. jūlija noteikumiem Nr. 453 "Noteikumi par publiskas personas un publiskas personas kontrolētas kapitālsabiedrības mantas nomas maksas atbrīvojuma vai samazinājuma piemērošanu sakarā ar Covid-19 izplatību"</w:t>
      </w:r>
      <w:r w:rsidRPr="00324AD6">
        <w:t xml:space="preserve"> pieņem lēmumu piemērot nomas maksas atbrīvojumu 100% apmērā. Aprakstītajā piemērā:</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 xml:space="preserve">Ja PVN ir atgūstams vispārējā kārtībā no valsts, tad </w:t>
      </w:r>
      <w:r w:rsidRPr="00324AD6">
        <w:rPr>
          <w:b/>
        </w:rPr>
        <w:t xml:space="preserve">atbalsta apmērs </w:t>
      </w:r>
      <w:r w:rsidRPr="00324AD6">
        <w:t>= 1000 euro, bet</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 xml:space="preserve">ja PVN nav atgūstams vispārējā kārtībā no valsts, tad </w:t>
      </w:r>
      <w:r w:rsidRPr="00324AD6">
        <w:rPr>
          <w:b/>
        </w:rPr>
        <w:t xml:space="preserve">atbalsta apmērs </w:t>
      </w:r>
      <w:r w:rsidRPr="00324AD6">
        <w:t xml:space="preserve">= 1210 euro. </w:t>
      </w:r>
    </w:p>
    <w:p w:rsidR="00324AD6" w:rsidRPr="00324AD6" w:rsidRDefault="00324AD6" w:rsidP="00324AD6">
      <w:pPr>
        <w:rPr>
          <w:i/>
          <w:u w:val="single"/>
        </w:rPr>
      </w:pPr>
    </w:p>
    <w:p w:rsidR="00324AD6" w:rsidRPr="00324AD6" w:rsidRDefault="00324AD6" w:rsidP="00324AD6">
      <w:pPr>
        <w:pBdr>
          <w:top w:val="single" w:sz="4" w:space="1" w:color="auto"/>
          <w:left w:val="single" w:sz="4" w:space="4" w:color="auto"/>
          <w:bottom w:val="single" w:sz="4" w:space="1" w:color="auto"/>
          <w:right w:val="single" w:sz="4" w:space="4" w:color="auto"/>
        </w:pBdr>
        <w:rPr>
          <w:i/>
          <w:u w:val="single"/>
        </w:rPr>
      </w:pPr>
      <w:r w:rsidRPr="00324AD6">
        <w:rPr>
          <w:i/>
          <w:u w:val="single"/>
        </w:rPr>
        <w:t xml:space="preserve">Piemērs Nr. 2:  </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SIA “Paraugs” ir noslēdzis ar Pašvaldību nomas līgumu par Pašvaldības nekustamā īpašuma iznomāšanu un nomas līgumā noteiktā nomas maksa ir 1000 euro +  PVN (21%). Pašvaldība saskaņā ar Ministru kabineta 2020. gada 14. jūlija noteikumiem Nr. 453 "</w:t>
      </w:r>
      <w:r w:rsidRPr="00324AD6">
        <w:rPr>
          <w:i/>
          <w:iCs/>
        </w:rPr>
        <w:t>Noteikumi par publiskas personas un publiskas personas kontrolētas kapitālsabiedrības mantas nomas maksas atbrīvojuma vai samazinājuma piemērošanu sakarā ar Covid-19 izplatību</w:t>
      </w:r>
      <w:r w:rsidRPr="00324AD6">
        <w:t>" pieņem lēmumu piemērot nomas maksas samazinājuma piemērošanu 50% apmērā. Aprakstītajā piemērā:</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 xml:space="preserve">Ja PVN ir atgūstams vispārējā kārtībā no valsts, tad </w:t>
      </w:r>
      <w:r w:rsidRPr="00324AD6">
        <w:rPr>
          <w:b/>
        </w:rPr>
        <w:t xml:space="preserve">atbalsta apmērs </w:t>
      </w:r>
      <w:r w:rsidRPr="00324AD6">
        <w:t>= 500 euro, bet</w:t>
      </w:r>
    </w:p>
    <w:p w:rsidR="00324AD6" w:rsidRPr="00324AD6" w:rsidRDefault="00324AD6" w:rsidP="00324AD6">
      <w:pPr>
        <w:pBdr>
          <w:top w:val="single" w:sz="4" w:space="1" w:color="auto"/>
          <w:left w:val="single" w:sz="4" w:space="4" w:color="auto"/>
          <w:bottom w:val="single" w:sz="4" w:space="1" w:color="auto"/>
          <w:right w:val="single" w:sz="4" w:space="4" w:color="auto"/>
        </w:pBdr>
      </w:pPr>
      <w:r w:rsidRPr="00324AD6">
        <w:t xml:space="preserve">ja PVN nav atgūstams vispārējā kārtībā no valsts, tad </w:t>
      </w:r>
      <w:r w:rsidRPr="00324AD6">
        <w:rPr>
          <w:b/>
        </w:rPr>
        <w:t xml:space="preserve">atbalsta apmērs </w:t>
      </w:r>
      <w:r w:rsidRPr="00324AD6">
        <w:t xml:space="preserve">= 605 euro. </w:t>
      </w:r>
    </w:p>
    <w:p w:rsidR="00324AD6" w:rsidRPr="00324AD6" w:rsidRDefault="00324AD6" w:rsidP="00324AD6"/>
    <w:p w:rsidR="00324AD6" w:rsidRPr="00324AD6" w:rsidRDefault="00324AD6" w:rsidP="00324AD6">
      <w:r w:rsidRPr="00324AD6">
        <w:t>Skaidrojam, ka gadījumā, ja konkrētajā ES līmeņa valsts atbalsta kontroles regulējumā  nav noteikta prasība par attiecināmajām izmaksām, ir iespējams izmantot arī vienkāršotu pieeju un atbalsta apmērā</w:t>
      </w:r>
      <w:r w:rsidRPr="00324AD6">
        <w:rPr>
          <w:b/>
        </w:rPr>
        <w:t xml:space="preserve"> </w:t>
      </w:r>
      <w:r w:rsidRPr="00324AD6">
        <w:t xml:space="preserve">iekļaut summu ar PVN neatkarīgi no tā, vai tas ir vai nav atgūstams. </w:t>
      </w:r>
    </w:p>
    <w:p w:rsidR="00AF2A77" w:rsidRDefault="00AF2A77" w:rsidP="00AF2A77"/>
    <w:p w:rsidR="001A7467" w:rsidRDefault="001A7467" w:rsidP="001A7467"/>
    <w:p w:rsidR="00AF2A77" w:rsidRPr="00324AD6" w:rsidRDefault="00AF2A77" w:rsidP="00324AD6">
      <w:pPr>
        <w:rPr>
          <w:b/>
          <w:i/>
        </w:rPr>
      </w:pPr>
    </w:p>
    <w:sectPr w:rsidR="00AF2A77" w:rsidRPr="00324A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DA" w:rsidRDefault="00BC22DA" w:rsidP="00243436">
      <w:r>
        <w:separator/>
      </w:r>
    </w:p>
  </w:endnote>
  <w:endnote w:type="continuationSeparator" w:id="0">
    <w:p w:rsidR="00BC22DA" w:rsidRDefault="00BC22DA" w:rsidP="00243436">
      <w:r>
        <w:continuationSeparator/>
      </w:r>
    </w:p>
  </w:endnote>
  <w:endnote w:id="1">
    <w:p w:rsidR="00324AD6" w:rsidRPr="00C05586" w:rsidRDefault="00324AD6" w:rsidP="00324AD6">
      <w:pPr>
        <w:pStyle w:val="EndnoteText"/>
        <w:rPr>
          <w:i/>
        </w:rPr>
      </w:pPr>
      <w:r>
        <w:rPr>
          <w:rStyle w:val="EndnoteReference"/>
        </w:rPr>
        <w:endnoteRef/>
      </w:r>
      <w:r>
        <w:t xml:space="preserve"> Atbalsts, ko sniedz saskaņā ar </w:t>
      </w:r>
      <w:r w:rsidRPr="00C05586">
        <w:rPr>
          <w:i/>
        </w:rPr>
        <w:t>Komisijas 2013. gada 18. decembra Regulu (ES) Nr. 1407/2013 par Līguma par Eiropas Savienības darbību 107. un 108. panta piemērošanu de minimis atbalstam (Eiropas Savienības Oficiālais Vēstnesis, 2013. gada 24. decembris, Nr. L 352)</w:t>
      </w:r>
      <w:r w:rsidRPr="00DD52B9">
        <w:t xml:space="preserve"> vai </w:t>
      </w:r>
      <w:r w:rsidRPr="00C05586">
        <w:rPr>
          <w:i/>
        </w:rPr>
        <w:t>Komisijas 2014. gada 27. jūnija Regulu (EK) Nr. 717/2014 par Līguma par Eiropas Savienības darbību 107. un 108. panta piemērošanu de minimis atbalstam zvejniecības un akvakultūras nozarē (Eiropas Savienības Oficiālais Vēstnesis, 2014. gada 28. jūnijs, Nr. L 190/45) attiecībā uz zivsaimniecības uzņēmumiem, kas darbojas saskaņā ar Eiropas Parlamenta un Padomes 2013. gada 11. decembra Regulu (ES) Nr. 1379/2013 par zvejas un akvakultūras produktu tirgu kopīgo organizāciju un ar ko groza Padomes Regulas (EK) Nr. 1184/2006 un (EK) Nr. 1224/2009 un atceļ Padomes Regulu (EK) Nr. 104/2000 (Eiropas Savienības Oficiālais Vēstnesis, 2013. gada 28. decembris, Nr. L 354/1),</w:t>
      </w:r>
      <w:r w:rsidRPr="00DD52B9">
        <w:t xml:space="preserve"> vai </w:t>
      </w:r>
      <w:r w:rsidRPr="00C05586">
        <w:rPr>
          <w:i/>
        </w:rPr>
        <w:t xml:space="preserve">Komisijas 2013. gada 18. decembra Regulu (ES) Nr. 1408/2013 par Līguma par Eiropas Savienības darbību 107. un 108. panta piemērošanu de minimis atbalstam lauksaimniecības nozarē (Eiropas Savienības Oficiālais Vēstnesis, 2013. gada 24. decembris, Nr. L 352/9). </w:t>
      </w:r>
    </w:p>
  </w:endnote>
  <w:endnote w:id="2">
    <w:p w:rsidR="00324AD6" w:rsidRPr="00C05586" w:rsidRDefault="00324AD6" w:rsidP="00324AD6">
      <w:pPr>
        <w:pStyle w:val="EndnoteText"/>
        <w:rPr>
          <w:i/>
        </w:rPr>
      </w:pPr>
      <w:r>
        <w:rPr>
          <w:rStyle w:val="EndnoteReference"/>
        </w:rPr>
        <w:endnoteRef/>
      </w:r>
      <w:r>
        <w:t xml:space="preserve"> Gadījumos, kad komercdarbības atbalstu sniedz </w:t>
      </w:r>
      <w:r w:rsidRPr="00C87398">
        <w:t xml:space="preserve">saskaņā ar </w:t>
      </w:r>
      <w:r w:rsidRPr="00C05586">
        <w:rPr>
          <w:i/>
        </w:rPr>
        <w:t>Eiropas Komisijas 2020. gada 19. marta paziņojumu "Pagaidu regulējums valsts atbalsta pasākumiem, ar ko atbalsta ekonomiku pašreizējā Covid-19 uzliesmojuma situācijā" (C(2020)1863).</w:t>
      </w:r>
    </w:p>
  </w:endnote>
  <w:endnote w:id="3">
    <w:p w:rsidR="00324AD6" w:rsidRPr="00C05586" w:rsidRDefault="00324AD6" w:rsidP="00324AD6">
      <w:pPr>
        <w:pStyle w:val="EndnoteText"/>
        <w:rPr>
          <w:i/>
        </w:rPr>
      </w:pPr>
      <w:r>
        <w:rPr>
          <w:rStyle w:val="EndnoteReference"/>
        </w:rPr>
        <w:endnoteRef/>
      </w:r>
      <w:r>
        <w:t xml:space="preserve"> </w:t>
      </w:r>
      <w:r w:rsidRPr="00C05586">
        <w:rPr>
          <w:i/>
        </w:rPr>
        <w:t>Komisijas 2014. gada 17. jūnija Regula (ES) Nr.  651/2014, ar ko noteiktas atbalsta kategorijas atzīst par saderīgām ar iekšējo tirgu, piemērojot Līguma 107. un 108. pantu.</w:t>
      </w:r>
    </w:p>
  </w:endnote>
  <w:endnote w:id="4">
    <w:p w:rsidR="00324AD6" w:rsidRDefault="00324AD6" w:rsidP="00324AD6">
      <w:pPr>
        <w:pStyle w:val="EndnoteText"/>
      </w:pPr>
      <w:r>
        <w:rPr>
          <w:rStyle w:val="EndnoteReference"/>
        </w:rPr>
        <w:endnoteRef/>
      </w:r>
      <w:r>
        <w:t xml:space="preserve"> Vēršam uzmanību, ka piemērā Nr. 1 un Nr. 2. ir šauri apskatīts tikai konkrētais jautājums par atbalsta apmēra noteikšanu kā bruto summu. Atbalsta programmas nosacījumu, tostarp, piemērojamo komercdarbības atbalsta kontroles nosacījumu, ievērošanu, šis skaidrojums nemaina.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DA" w:rsidRDefault="00BC22DA" w:rsidP="00243436">
      <w:r>
        <w:separator/>
      </w:r>
    </w:p>
  </w:footnote>
  <w:footnote w:type="continuationSeparator" w:id="0">
    <w:p w:rsidR="00BC22DA" w:rsidRDefault="00BC22DA" w:rsidP="0024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03C9"/>
    <w:multiLevelType w:val="hybridMultilevel"/>
    <w:tmpl w:val="D6DC6108"/>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0E132148"/>
    <w:multiLevelType w:val="multilevel"/>
    <w:tmpl w:val="7A0EE62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A3786"/>
    <w:multiLevelType w:val="multilevel"/>
    <w:tmpl w:val="BD6A2FA2"/>
    <w:lvl w:ilvl="0">
      <w:start w:val="1"/>
      <w:numFmt w:val="lowerLetter"/>
      <w:lvlText w:val="%1."/>
      <w:lvlJc w:val="left"/>
      <w:pPr>
        <w:ind w:left="720" w:hanging="360"/>
      </w:pPr>
      <w:rPr>
        <w:rFonts w:hint="default"/>
      </w:rPr>
    </w:lvl>
    <w:lvl w:ilvl="1">
      <w:start w:val="1"/>
      <w:numFmt w:val="none"/>
      <w:lvlText w:val="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B42631B"/>
    <w:multiLevelType w:val="hybridMultilevel"/>
    <w:tmpl w:val="C316A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082132"/>
    <w:multiLevelType w:val="multilevel"/>
    <w:tmpl w:val="7A0EE62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E863D0"/>
    <w:multiLevelType w:val="hybridMultilevel"/>
    <w:tmpl w:val="EEB2A7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F05C51"/>
    <w:multiLevelType w:val="multilevel"/>
    <w:tmpl w:val="E520A8A6"/>
    <w:lvl w:ilvl="0">
      <w:start w:val="1"/>
      <w:numFmt w:val="bullet"/>
      <w:lvlText w:val=""/>
      <w:lvlJc w:val="left"/>
      <w:pPr>
        <w:ind w:left="720" w:hanging="360"/>
      </w:pPr>
      <w:rPr>
        <w:rFonts w:ascii="Symbol" w:hAnsi="Symbol" w:hint="default"/>
      </w:rPr>
    </w:lvl>
    <w:lvl w:ilvl="1">
      <w:start w:val="1"/>
      <w:numFmt w:val="none"/>
      <w:lvlText w:val="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69FE023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562CB9"/>
    <w:multiLevelType w:val="multilevel"/>
    <w:tmpl w:val="E520A8A6"/>
    <w:lvl w:ilvl="0">
      <w:start w:val="1"/>
      <w:numFmt w:val="bullet"/>
      <w:lvlText w:val=""/>
      <w:lvlJc w:val="left"/>
      <w:pPr>
        <w:ind w:left="720" w:hanging="360"/>
      </w:pPr>
      <w:rPr>
        <w:rFonts w:ascii="Symbol" w:hAnsi="Symbol" w:hint="default"/>
      </w:rPr>
    </w:lvl>
    <w:lvl w:ilvl="1">
      <w:start w:val="1"/>
      <w:numFmt w:val="none"/>
      <w:lvlText w:val="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7"/>
  </w:num>
  <w:num w:numId="2">
    <w:abstractNumId w:val="1"/>
  </w:num>
  <w:num w:numId="3">
    <w:abstractNumId w:val="4"/>
  </w:num>
  <w:num w:numId="4">
    <w:abstractNumId w:val="2"/>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77"/>
    <w:rsid w:val="00034AA5"/>
    <w:rsid w:val="00043FA6"/>
    <w:rsid w:val="00062B99"/>
    <w:rsid w:val="00087660"/>
    <w:rsid w:val="000C4061"/>
    <w:rsid w:val="000E2AFE"/>
    <w:rsid w:val="00113A97"/>
    <w:rsid w:val="00142C1F"/>
    <w:rsid w:val="00166823"/>
    <w:rsid w:val="00177533"/>
    <w:rsid w:val="00181D2D"/>
    <w:rsid w:val="00195B17"/>
    <w:rsid w:val="001A7467"/>
    <w:rsid w:val="001B0E0B"/>
    <w:rsid w:val="00205C00"/>
    <w:rsid w:val="0020771D"/>
    <w:rsid w:val="00243436"/>
    <w:rsid w:val="00253A62"/>
    <w:rsid w:val="002A2B79"/>
    <w:rsid w:val="002B3324"/>
    <w:rsid w:val="002C3417"/>
    <w:rsid w:val="002C6561"/>
    <w:rsid w:val="002C6C2B"/>
    <w:rsid w:val="002F0ADE"/>
    <w:rsid w:val="00300E28"/>
    <w:rsid w:val="00302797"/>
    <w:rsid w:val="00303696"/>
    <w:rsid w:val="00324AD6"/>
    <w:rsid w:val="00326E2F"/>
    <w:rsid w:val="003A2A25"/>
    <w:rsid w:val="00420C83"/>
    <w:rsid w:val="00442DC9"/>
    <w:rsid w:val="00495D4C"/>
    <w:rsid w:val="00495E3A"/>
    <w:rsid w:val="00577BD3"/>
    <w:rsid w:val="00584738"/>
    <w:rsid w:val="005A6DBA"/>
    <w:rsid w:val="005C6A00"/>
    <w:rsid w:val="005F7A9A"/>
    <w:rsid w:val="00612A35"/>
    <w:rsid w:val="006367BE"/>
    <w:rsid w:val="00670888"/>
    <w:rsid w:val="00730DB9"/>
    <w:rsid w:val="00756273"/>
    <w:rsid w:val="00776004"/>
    <w:rsid w:val="00796E80"/>
    <w:rsid w:val="007F532B"/>
    <w:rsid w:val="00812749"/>
    <w:rsid w:val="0089325C"/>
    <w:rsid w:val="009E0A22"/>
    <w:rsid w:val="009F4BC6"/>
    <w:rsid w:val="00A25F1D"/>
    <w:rsid w:val="00A26B1E"/>
    <w:rsid w:val="00A335C6"/>
    <w:rsid w:val="00A52FA2"/>
    <w:rsid w:val="00A6546C"/>
    <w:rsid w:val="00AA5FB9"/>
    <w:rsid w:val="00AC4842"/>
    <w:rsid w:val="00AD342E"/>
    <w:rsid w:val="00AD5854"/>
    <w:rsid w:val="00AF2A77"/>
    <w:rsid w:val="00B01E25"/>
    <w:rsid w:val="00B14797"/>
    <w:rsid w:val="00B27B7E"/>
    <w:rsid w:val="00B67676"/>
    <w:rsid w:val="00BB5C0A"/>
    <w:rsid w:val="00BC22DA"/>
    <w:rsid w:val="00BF4E6D"/>
    <w:rsid w:val="00C223CD"/>
    <w:rsid w:val="00C503A4"/>
    <w:rsid w:val="00C6338E"/>
    <w:rsid w:val="00CC7D2E"/>
    <w:rsid w:val="00D77366"/>
    <w:rsid w:val="00DA2751"/>
    <w:rsid w:val="00DA590C"/>
    <w:rsid w:val="00DB0B60"/>
    <w:rsid w:val="00DB5261"/>
    <w:rsid w:val="00DC25AA"/>
    <w:rsid w:val="00DD170B"/>
    <w:rsid w:val="00DD72B7"/>
    <w:rsid w:val="00E07828"/>
    <w:rsid w:val="00E60251"/>
    <w:rsid w:val="00EA0106"/>
    <w:rsid w:val="00EA74B7"/>
    <w:rsid w:val="00EE0D65"/>
    <w:rsid w:val="00EF3B22"/>
    <w:rsid w:val="00EF7206"/>
    <w:rsid w:val="00F11E32"/>
    <w:rsid w:val="00F82930"/>
    <w:rsid w:val="00FB1B9F"/>
    <w:rsid w:val="00FF6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A1D6"/>
  <w15:chartTrackingRefBased/>
  <w15:docId w15:val="{36DE7D93-7AE8-4B00-A392-22B93A0A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A77"/>
    <w:pPr>
      <w:ind w:left="720"/>
      <w:contextualSpacing/>
    </w:pPr>
  </w:style>
  <w:style w:type="character" w:styleId="Hyperlink">
    <w:name w:val="Hyperlink"/>
    <w:basedOn w:val="DefaultParagraphFont"/>
    <w:uiPriority w:val="99"/>
    <w:unhideWhenUsed/>
    <w:rsid w:val="001A7467"/>
    <w:rPr>
      <w:color w:val="0000FF"/>
      <w:u w:val="single"/>
    </w:rPr>
  </w:style>
  <w:style w:type="paragraph" w:styleId="FootnoteText">
    <w:name w:val="footnote text"/>
    <w:basedOn w:val="Normal"/>
    <w:link w:val="FootnoteTextChar"/>
    <w:uiPriority w:val="99"/>
    <w:semiHidden/>
    <w:unhideWhenUsed/>
    <w:rsid w:val="00243436"/>
    <w:rPr>
      <w:sz w:val="20"/>
      <w:szCs w:val="20"/>
    </w:rPr>
  </w:style>
  <w:style w:type="character" w:customStyle="1" w:styleId="FootnoteTextChar">
    <w:name w:val="Footnote Text Char"/>
    <w:basedOn w:val="DefaultParagraphFont"/>
    <w:link w:val="FootnoteText"/>
    <w:uiPriority w:val="99"/>
    <w:semiHidden/>
    <w:rsid w:val="00243436"/>
    <w:rPr>
      <w:sz w:val="20"/>
      <w:szCs w:val="20"/>
    </w:rPr>
  </w:style>
  <w:style w:type="character" w:styleId="FootnoteReference">
    <w:name w:val="footnote reference"/>
    <w:basedOn w:val="DefaultParagraphFont"/>
    <w:uiPriority w:val="99"/>
    <w:semiHidden/>
    <w:unhideWhenUsed/>
    <w:rsid w:val="00243436"/>
    <w:rPr>
      <w:vertAlign w:val="superscript"/>
    </w:rPr>
  </w:style>
  <w:style w:type="paragraph" w:styleId="NormalWeb">
    <w:name w:val="Normal (Web)"/>
    <w:basedOn w:val="Normal"/>
    <w:uiPriority w:val="99"/>
    <w:semiHidden/>
    <w:unhideWhenUsed/>
    <w:rsid w:val="00AD342E"/>
    <w:pPr>
      <w:spacing w:before="150"/>
      <w:jc w:val="left"/>
    </w:pPr>
    <w:rPr>
      <w:rFonts w:eastAsia="Times New Roman"/>
      <w:lang w:eastAsia="lv-LV"/>
    </w:rPr>
  </w:style>
  <w:style w:type="character" w:customStyle="1" w:styleId="expand-control-icon">
    <w:name w:val="expand-control-icon"/>
    <w:basedOn w:val="DefaultParagraphFont"/>
    <w:rsid w:val="00AD342E"/>
  </w:style>
  <w:style w:type="character" w:customStyle="1" w:styleId="expand-control-text">
    <w:name w:val="expand-control-text"/>
    <w:basedOn w:val="DefaultParagraphFont"/>
    <w:rsid w:val="00AD342E"/>
  </w:style>
  <w:style w:type="character" w:styleId="CommentReference">
    <w:name w:val="annotation reference"/>
    <w:basedOn w:val="DefaultParagraphFont"/>
    <w:uiPriority w:val="99"/>
    <w:semiHidden/>
    <w:unhideWhenUsed/>
    <w:rsid w:val="002F0ADE"/>
    <w:rPr>
      <w:sz w:val="16"/>
      <w:szCs w:val="16"/>
    </w:rPr>
  </w:style>
  <w:style w:type="paragraph" w:styleId="CommentText">
    <w:name w:val="annotation text"/>
    <w:basedOn w:val="Normal"/>
    <w:link w:val="CommentTextChar"/>
    <w:uiPriority w:val="99"/>
    <w:semiHidden/>
    <w:unhideWhenUsed/>
    <w:rsid w:val="002F0ADE"/>
    <w:rPr>
      <w:sz w:val="20"/>
      <w:szCs w:val="20"/>
    </w:rPr>
  </w:style>
  <w:style w:type="character" w:customStyle="1" w:styleId="CommentTextChar">
    <w:name w:val="Comment Text Char"/>
    <w:basedOn w:val="DefaultParagraphFont"/>
    <w:link w:val="CommentText"/>
    <w:uiPriority w:val="99"/>
    <w:semiHidden/>
    <w:rsid w:val="002F0ADE"/>
    <w:rPr>
      <w:sz w:val="20"/>
      <w:szCs w:val="20"/>
    </w:rPr>
  </w:style>
  <w:style w:type="paragraph" w:styleId="CommentSubject">
    <w:name w:val="annotation subject"/>
    <w:basedOn w:val="CommentText"/>
    <w:next w:val="CommentText"/>
    <w:link w:val="CommentSubjectChar"/>
    <w:uiPriority w:val="99"/>
    <w:semiHidden/>
    <w:unhideWhenUsed/>
    <w:rsid w:val="002F0ADE"/>
    <w:rPr>
      <w:b/>
      <w:bCs/>
    </w:rPr>
  </w:style>
  <w:style w:type="character" w:customStyle="1" w:styleId="CommentSubjectChar">
    <w:name w:val="Comment Subject Char"/>
    <w:basedOn w:val="CommentTextChar"/>
    <w:link w:val="CommentSubject"/>
    <w:uiPriority w:val="99"/>
    <w:semiHidden/>
    <w:rsid w:val="002F0ADE"/>
    <w:rPr>
      <w:b/>
      <w:bCs/>
      <w:sz w:val="20"/>
      <w:szCs w:val="20"/>
    </w:rPr>
  </w:style>
  <w:style w:type="paragraph" w:styleId="BalloonText">
    <w:name w:val="Balloon Text"/>
    <w:basedOn w:val="Normal"/>
    <w:link w:val="BalloonTextChar"/>
    <w:uiPriority w:val="99"/>
    <w:semiHidden/>
    <w:unhideWhenUsed/>
    <w:rsid w:val="002F0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DE"/>
    <w:rPr>
      <w:rFonts w:ascii="Segoe UI" w:hAnsi="Segoe UI" w:cs="Segoe UI"/>
      <w:sz w:val="18"/>
      <w:szCs w:val="18"/>
    </w:rPr>
  </w:style>
  <w:style w:type="paragraph" w:styleId="Header">
    <w:name w:val="header"/>
    <w:basedOn w:val="Normal"/>
    <w:link w:val="HeaderChar"/>
    <w:uiPriority w:val="99"/>
    <w:unhideWhenUsed/>
    <w:rsid w:val="00177533"/>
    <w:pPr>
      <w:tabs>
        <w:tab w:val="center" w:pos="4153"/>
        <w:tab w:val="right" w:pos="8306"/>
      </w:tabs>
    </w:pPr>
  </w:style>
  <w:style w:type="character" w:customStyle="1" w:styleId="HeaderChar">
    <w:name w:val="Header Char"/>
    <w:basedOn w:val="DefaultParagraphFont"/>
    <w:link w:val="Header"/>
    <w:uiPriority w:val="99"/>
    <w:rsid w:val="00177533"/>
  </w:style>
  <w:style w:type="paragraph" w:styleId="Footer">
    <w:name w:val="footer"/>
    <w:basedOn w:val="Normal"/>
    <w:link w:val="FooterChar"/>
    <w:uiPriority w:val="99"/>
    <w:unhideWhenUsed/>
    <w:rsid w:val="00177533"/>
    <w:pPr>
      <w:tabs>
        <w:tab w:val="center" w:pos="4153"/>
        <w:tab w:val="right" w:pos="8306"/>
      </w:tabs>
    </w:pPr>
  </w:style>
  <w:style w:type="character" w:customStyle="1" w:styleId="FooterChar">
    <w:name w:val="Footer Char"/>
    <w:basedOn w:val="DefaultParagraphFont"/>
    <w:link w:val="Footer"/>
    <w:uiPriority w:val="99"/>
    <w:rsid w:val="00177533"/>
  </w:style>
  <w:style w:type="character" w:styleId="FollowedHyperlink">
    <w:name w:val="FollowedHyperlink"/>
    <w:basedOn w:val="DefaultParagraphFont"/>
    <w:uiPriority w:val="99"/>
    <w:semiHidden/>
    <w:unhideWhenUsed/>
    <w:rsid w:val="00E07828"/>
    <w:rPr>
      <w:color w:val="954F72" w:themeColor="followedHyperlink"/>
      <w:u w:val="single"/>
    </w:rPr>
  </w:style>
  <w:style w:type="paragraph" w:styleId="EndnoteText">
    <w:name w:val="endnote text"/>
    <w:basedOn w:val="Normal"/>
    <w:link w:val="EndnoteTextChar"/>
    <w:uiPriority w:val="99"/>
    <w:semiHidden/>
    <w:unhideWhenUsed/>
    <w:rsid w:val="00324AD6"/>
    <w:rPr>
      <w:rFonts w:eastAsia="Times New Roman"/>
      <w:sz w:val="20"/>
      <w:szCs w:val="20"/>
    </w:rPr>
  </w:style>
  <w:style w:type="character" w:customStyle="1" w:styleId="EndnoteTextChar">
    <w:name w:val="Endnote Text Char"/>
    <w:basedOn w:val="DefaultParagraphFont"/>
    <w:link w:val="EndnoteText"/>
    <w:uiPriority w:val="99"/>
    <w:semiHidden/>
    <w:rsid w:val="00324AD6"/>
    <w:rPr>
      <w:rFonts w:eastAsia="Times New Roman"/>
      <w:sz w:val="20"/>
      <w:szCs w:val="20"/>
    </w:rPr>
  </w:style>
  <w:style w:type="character" w:styleId="EndnoteReference">
    <w:name w:val="endnote reference"/>
    <w:basedOn w:val="DefaultParagraphFont"/>
    <w:uiPriority w:val="99"/>
    <w:semiHidden/>
    <w:unhideWhenUsed/>
    <w:rsid w:val="00324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629">
      <w:bodyDiv w:val="1"/>
      <w:marLeft w:val="0"/>
      <w:marRight w:val="0"/>
      <w:marTop w:val="0"/>
      <w:marBottom w:val="0"/>
      <w:divBdr>
        <w:top w:val="none" w:sz="0" w:space="0" w:color="auto"/>
        <w:left w:val="none" w:sz="0" w:space="0" w:color="auto"/>
        <w:bottom w:val="none" w:sz="0" w:space="0" w:color="auto"/>
        <w:right w:val="none" w:sz="0" w:space="0" w:color="auto"/>
      </w:divBdr>
      <w:divsChild>
        <w:div w:id="354624608">
          <w:marLeft w:val="0"/>
          <w:marRight w:val="0"/>
          <w:marTop w:val="0"/>
          <w:marBottom w:val="0"/>
          <w:divBdr>
            <w:top w:val="none" w:sz="0" w:space="0" w:color="auto"/>
            <w:left w:val="none" w:sz="0" w:space="0" w:color="auto"/>
            <w:bottom w:val="none" w:sz="0" w:space="0" w:color="auto"/>
            <w:right w:val="none" w:sz="0" w:space="0" w:color="auto"/>
          </w:divBdr>
          <w:divsChild>
            <w:div w:id="49351871">
              <w:marLeft w:val="0"/>
              <w:marRight w:val="0"/>
              <w:marTop w:val="0"/>
              <w:marBottom w:val="0"/>
              <w:divBdr>
                <w:top w:val="none" w:sz="0" w:space="0" w:color="auto"/>
                <w:left w:val="none" w:sz="0" w:space="0" w:color="auto"/>
                <w:bottom w:val="none" w:sz="0" w:space="0" w:color="auto"/>
                <w:right w:val="none" w:sz="0" w:space="0" w:color="auto"/>
              </w:divBdr>
              <w:divsChild>
                <w:div w:id="1249079471">
                  <w:marLeft w:val="0"/>
                  <w:marRight w:val="0"/>
                  <w:marTop w:val="0"/>
                  <w:marBottom w:val="0"/>
                  <w:divBdr>
                    <w:top w:val="none" w:sz="0" w:space="0" w:color="auto"/>
                    <w:left w:val="none" w:sz="0" w:space="0" w:color="auto"/>
                    <w:bottom w:val="none" w:sz="0" w:space="0" w:color="auto"/>
                    <w:right w:val="none" w:sz="0" w:space="0" w:color="auto"/>
                  </w:divBdr>
                  <w:divsChild>
                    <w:div w:id="152067417">
                      <w:marLeft w:val="6975"/>
                      <w:marRight w:val="0"/>
                      <w:marTop w:val="0"/>
                      <w:marBottom w:val="0"/>
                      <w:divBdr>
                        <w:top w:val="none" w:sz="0" w:space="0" w:color="auto"/>
                        <w:left w:val="none" w:sz="0" w:space="0" w:color="auto"/>
                        <w:bottom w:val="none" w:sz="0" w:space="0" w:color="auto"/>
                        <w:right w:val="none" w:sz="0" w:space="0" w:color="auto"/>
                      </w:divBdr>
                      <w:divsChild>
                        <w:div w:id="1522473726">
                          <w:marLeft w:val="0"/>
                          <w:marRight w:val="0"/>
                          <w:marTop w:val="0"/>
                          <w:marBottom w:val="0"/>
                          <w:divBdr>
                            <w:top w:val="none" w:sz="0" w:space="0" w:color="auto"/>
                            <w:left w:val="none" w:sz="0" w:space="0" w:color="auto"/>
                            <w:bottom w:val="none" w:sz="0" w:space="0" w:color="auto"/>
                            <w:right w:val="none" w:sz="0" w:space="0" w:color="auto"/>
                          </w:divBdr>
                          <w:divsChild>
                            <w:div w:id="164976895">
                              <w:marLeft w:val="0"/>
                              <w:marRight w:val="0"/>
                              <w:marTop w:val="0"/>
                              <w:marBottom w:val="0"/>
                              <w:divBdr>
                                <w:top w:val="none" w:sz="0" w:space="0" w:color="auto"/>
                                <w:left w:val="none" w:sz="0" w:space="0" w:color="auto"/>
                                <w:bottom w:val="none" w:sz="0" w:space="0" w:color="auto"/>
                                <w:right w:val="none" w:sz="0" w:space="0" w:color="auto"/>
                              </w:divBdr>
                              <w:divsChild>
                                <w:div w:id="832451684">
                                  <w:marLeft w:val="0"/>
                                  <w:marRight w:val="0"/>
                                  <w:marTop w:val="0"/>
                                  <w:marBottom w:val="0"/>
                                  <w:divBdr>
                                    <w:top w:val="none" w:sz="0" w:space="0" w:color="auto"/>
                                    <w:left w:val="none" w:sz="0" w:space="0" w:color="auto"/>
                                    <w:bottom w:val="none" w:sz="0" w:space="0" w:color="auto"/>
                                    <w:right w:val="none" w:sz="0" w:space="0" w:color="auto"/>
                                  </w:divBdr>
                                  <w:divsChild>
                                    <w:div w:id="2146074594">
                                      <w:marLeft w:val="0"/>
                                      <w:marRight w:val="0"/>
                                      <w:marTop w:val="0"/>
                                      <w:marBottom w:val="120"/>
                                      <w:divBdr>
                                        <w:top w:val="none" w:sz="0" w:space="0" w:color="auto"/>
                                        <w:left w:val="none" w:sz="0" w:space="0" w:color="auto"/>
                                        <w:bottom w:val="none" w:sz="0" w:space="0" w:color="auto"/>
                                        <w:right w:val="none" w:sz="0" w:space="0" w:color="auto"/>
                                      </w:divBdr>
                                      <w:divsChild>
                                        <w:div w:id="522401035">
                                          <w:marLeft w:val="0"/>
                                          <w:marRight w:val="0"/>
                                          <w:marTop w:val="120"/>
                                          <w:marBottom w:val="120"/>
                                          <w:divBdr>
                                            <w:top w:val="none" w:sz="0" w:space="0" w:color="auto"/>
                                            <w:left w:val="none" w:sz="0" w:space="0" w:color="auto"/>
                                            <w:bottom w:val="none" w:sz="0" w:space="0" w:color="auto"/>
                                            <w:right w:val="none" w:sz="0" w:space="0" w:color="auto"/>
                                          </w:divBdr>
                                          <w:divsChild>
                                            <w:div w:id="553278715">
                                              <w:marLeft w:val="0"/>
                                              <w:marRight w:val="0"/>
                                              <w:marTop w:val="0"/>
                                              <w:marBottom w:val="0"/>
                                              <w:divBdr>
                                                <w:top w:val="none" w:sz="0" w:space="0" w:color="auto"/>
                                                <w:left w:val="none" w:sz="0" w:space="0" w:color="auto"/>
                                                <w:bottom w:val="none" w:sz="0" w:space="0" w:color="auto"/>
                                                <w:right w:val="none" w:sz="0" w:space="0" w:color="auto"/>
                                              </w:divBdr>
                                              <w:divsChild>
                                                <w:div w:id="1858537153">
                                                  <w:marLeft w:val="0"/>
                                                  <w:marRight w:val="0"/>
                                                  <w:marTop w:val="0"/>
                                                  <w:marBottom w:val="0"/>
                                                  <w:divBdr>
                                                    <w:top w:val="none" w:sz="0" w:space="0" w:color="auto"/>
                                                    <w:left w:val="none" w:sz="0" w:space="0" w:color="auto"/>
                                                    <w:bottom w:val="none" w:sz="0" w:space="0" w:color="auto"/>
                                                    <w:right w:val="none" w:sz="0" w:space="0" w:color="auto"/>
                                                  </w:divBdr>
                                                  <w:divsChild>
                                                    <w:div w:id="658726785">
                                                      <w:marLeft w:val="0"/>
                                                      <w:marRight w:val="0"/>
                                                      <w:marTop w:val="150"/>
                                                      <w:marBottom w:val="0"/>
                                                      <w:divBdr>
                                                        <w:top w:val="none" w:sz="0" w:space="0" w:color="auto"/>
                                                        <w:left w:val="none" w:sz="0" w:space="0" w:color="auto"/>
                                                        <w:bottom w:val="none" w:sz="0" w:space="0" w:color="auto"/>
                                                        <w:right w:val="none" w:sz="0" w:space="0" w:color="auto"/>
                                                      </w:divBdr>
                                                      <w:divsChild>
                                                        <w:div w:id="33896818">
                                                          <w:marLeft w:val="0"/>
                                                          <w:marRight w:val="0"/>
                                                          <w:marTop w:val="0"/>
                                                          <w:marBottom w:val="0"/>
                                                          <w:divBdr>
                                                            <w:top w:val="none" w:sz="0" w:space="0" w:color="auto"/>
                                                            <w:left w:val="none" w:sz="0" w:space="0" w:color="auto"/>
                                                            <w:bottom w:val="none" w:sz="0" w:space="0" w:color="auto"/>
                                                            <w:right w:val="none" w:sz="0" w:space="0" w:color="auto"/>
                                                          </w:divBdr>
                                                          <w:divsChild>
                                                            <w:div w:id="15154110">
                                                              <w:marLeft w:val="0"/>
                                                              <w:marRight w:val="0"/>
                                                              <w:marTop w:val="0"/>
                                                              <w:marBottom w:val="0"/>
                                                              <w:divBdr>
                                                                <w:top w:val="none" w:sz="0" w:space="0" w:color="auto"/>
                                                                <w:left w:val="none" w:sz="0" w:space="0" w:color="auto"/>
                                                                <w:bottom w:val="none" w:sz="0" w:space="0" w:color="auto"/>
                                                                <w:right w:val="none" w:sz="0" w:space="0" w:color="auto"/>
                                                              </w:divBdr>
                                                              <w:divsChild>
                                                                <w:div w:id="7084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8544">
                                                          <w:marLeft w:val="0"/>
                                                          <w:marRight w:val="0"/>
                                                          <w:marTop w:val="0"/>
                                                          <w:marBottom w:val="0"/>
                                                          <w:divBdr>
                                                            <w:top w:val="none" w:sz="0" w:space="0" w:color="auto"/>
                                                            <w:left w:val="none" w:sz="0" w:space="0" w:color="auto"/>
                                                            <w:bottom w:val="none" w:sz="0" w:space="0" w:color="auto"/>
                                                            <w:right w:val="none" w:sz="0" w:space="0" w:color="auto"/>
                                                          </w:divBdr>
                                                        </w:div>
                                                        <w:div w:id="739212503">
                                                          <w:marLeft w:val="0"/>
                                                          <w:marRight w:val="0"/>
                                                          <w:marTop w:val="0"/>
                                                          <w:marBottom w:val="0"/>
                                                          <w:divBdr>
                                                            <w:top w:val="none" w:sz="0" w:space="0" w:color="auto"/>
                                                            <w:left w:val="none" w:sz="0" w:space="0" w:color="auto"/>
                                                            <w:bottom w:val="none" w:sz="0" w:space="0" w:color="auto"/>
                                                            <w:right w:val="none" w:sz="0" w:space="0" w:color="auto"/>
                                                          </w:divBdr>
                                                          <w:divsChild>
                                                            <w:div w:id="1853103758">
                                                              <w:marLeft w:val="0"/>
                                                              <w:marRight w:val="0"/>
                                                              <w:marTop w:val="0"/>
                                                              <w:marBottom w:val="0"/>
                                                              <w:divBdr>
                                                                <w:top w:val="none" w:sz="0" w:space="0" w:color="auto"/>
                                                                <w:left w:val="none" w:sz="0" w:space="0" w:color="auto"/>
                                                                <w:bottom w:val="none" w:sz="0" w:space="0" w:color="auto"/>
                                                                <w:right w:val="none" w:sz="0" w:space="0" w:color="auto"/>
                                                              </w:divBdr>
                                                              <w:divsChild>
                                                                <w:div w:id="1623606545">
                                                                  <w:marLeft w:val="0"/>
                                                                  <w:marRight w:val="0"/>
                                                                  <w:marTop w:val="0"/>
                                                                  <w:marBottom w:val="0"/>
                                                                  <w:divBdr>
                                                                    <w:top w:val="none" w:sz="0" w:space="0" w:color="auto"/>
                                                                    <w:left w:val="none" w:sz="0" w:space="0" w:color="auto"/>
                                                                    <w:bottom w:val="none" w:sz="0" w:space="0" w:color="auto"/>
                                                                    <w:right w:val="none" w:sz="0" w:space="0" w:color="auto"/>
                                                                  </w:divBdr>
                                                                </w:div>
                                                                <w:div w:id="8882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8765920">
      <w:bodyDiv w:val="1"/>
      <w:marLeft w:val="0"/>
      <w:marRight w:val="0"/>
      <w:marTop w:val="0"/>
      <w:marBottom w:val="0"/>
      <w:divBdr>
        <w:top w:val="none" w:sz="0" w:space="0" w:color="auto"/>
        <w:left w:val="none" w:sz="0" w:space="0" w:color="auto"/>
        <w:bottom w:val="none" w:sz="0" w:space="0" w:color="auto"/>
        <w:right w:val="none" w:sz="0" w:space="0" w:color="auto"/>
      </w:divBdr>
    </w:div>
    <w:div w:id="16567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2A95-D4CD-4F2A-974B-62F94FEB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2001</Words>
  <Characters>1142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Mažuika</dc:creator>
  <cp:keywords/>
  <dc:description/>
  <cp:lastModifiedBy>KAKD</cp:lastModifiedBy>
  <cp:revision>3</cp:revision>
  <dcterms:created xsi:type="dcterms:W3CDTF">2021-04-30T08:28:00Z</dcterms:created>
  <dcterms:modified xsi:type="dcterms:W3CDTF">2021-04-30T08:28:00Z</dcterms:modified>
</cp:coreProperties>
</file>