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8A816" w14:textId="77777777" w:rsidR="006B2DA4" w:rsidRPr="00711F41" w:rsidRDefault="00AF121C" w:rsidP="00AF121C">
      <w:pPr>
        <w:jc w:val="center"/>
        <w:rPr>
          <w:b/>
          <w:bCs/>
          <w:sz w:val="26"/>
          <w:szCs w:val="26"/>
        </w:rPr>
      </w:pPr>
      <w:r w:rsidRPr="00711F41">
        <w:rPr>
          <w:b/>
          <w:bCs/>
          <w:sz w:val="26"/>
          <w:szCs w:val="26"/>
        </w:rPr>
        <w:t xml:space="preserve">Ministru kabineta noteikumu projekta </w:t>
      </w:r>
    </w:p>
    <w:p w14:paraId="434AF13E" w14:textId="3BCC462D" w:rsidR="009D478C" w:rsidRPr="00711F41" w:rsidRDefault="00AF121C" w:rsidP="00711F41">
      <w:pPr>
        <w:autoSpaceDE w:val="0"/>
        <w:autoSpaceDN w:val="0"/>
        <w:adjustRightInd w:val="0"/>
        <w:jc w:val="center"/>
        <w:rPr>
          <w:b/>
          <w:bCs/>
          <w:sz w:val="26"/>
          <w:szCs w:val="26"/>
        </w:rPr>
      </w:pPr>
      <w:r w:rsidRPr="00711F41">
        <w:rPr>
          <w:b/>
          <w:bCs/>
          <w:sz w:val="26"/>
          <w:szCs w:val="26"/>
        </w:rPr>
        <w:t>“</w:t>
      </w:r>
      <w:r w:rsidR="00711F41" w:rsidRPr="00711F41">
        <w:rPr>
          <w:rFonts w:eastAsia="Times New Roman" w:cs="Times New Roman"/>
          <w:b/>
          <w:bCs/>
          <w:sz w:val="26"/>
          <w:szCs w:val="26"/>
          <w:lang w:eastAsia="lv-LV"/>
        </w:rPr>
        <w:t>Grozījumi Ministru kabineta 2017.gada 8.augusta noteikumos Nr.46</w:t>
      </w:r>
      <w:r w:rsidR="00A5240F">
        <w:rPr>
          <w:rFonts w:eastAsia="Times New Roman" w:cs="Times New Roman"/>
          <w:b/>
          <w:bCs/>
          <w:sz w:val="26"/>
          <w:szCs w:val="26"/>
          <w:lang w:eastAsia="lv-LV"/>
        </w:rPr>
        <w:t>8</w:t>
      </w:r>
      <w:r w:rsidR="00711F41" w:rsidRPr="00711F41">
        <w:rPr>
          <w:rFonts w:eastAsia="Times New Roman" w:cs="Times New Roman"/>
          <w:b/>
          <w:bCs/>
          <w:sz w:val="26"/>
          <w:szCs w:val="26"/>
          <w:lang w:eastAsia="lv-LV"/>
        </w:rPr>
        <w:t xml:space="preserve"> “Noteikumi par atsevišķiem muitas kontroles veidiem”</w:t>
      </w:r>
      <w:r w:rsidRPr="00711F41">
        <w:rPr>
          <w:b/>
          <w:bCs/>
          <w:sz w:val="26"/>
          <w:szCs w:val="26"/>
        </w:rPr>
        <w:t xml:space="preserve">” </w:t>
      </w:r>
    </w:p>
    <w:p w14:paraId="4A89356A" w14:textId="3D035119" w:rsidR="00AF121C" w:rsidRPr="009D478C" w:rsidRDefault="00AF121C" w:rsidP="009D478C">
      <w:pPr>
        <w:ind w:firstLine="720"/>
        <w:jc w:val="center"/>
        <w:rPr>
          <w:b/>
          <w:bCs/>
          <w:sz w:val="26"/>
          <w:szCs w:val="26"/>
        </w:rPr>
      </w:pPr>
      <w:r w:rsidRPr="009D478C">
        <w:rPr>
          <w:b/>
          <w:bCs/>
          <w:sz w:val="26"/>
          <w:szCs w:val="26"/>
        </w:rPr>
        <w:t>sākotnējās ietekmes novērtējuma ziņojums (anotācija)</w:t>
      </w:r>
    </w:p>
    <w:p w14:paraId="0CD2F5DC" w14:textId="77777777" w:rsidR="00AF121C" w:rsidRPr="007B70D5" w:rsidRDefault="00AF121C" w:rsidP="00AF121C">
      <w:pPr>
        <w:rPr>
          <w:b/>
          <w:bCs/>
          <w:sz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AF121C" w:rsidRPr="00465BB8" w14:paraId="5B6DCFAF" w14:textId="77777777" w:rsidTr="0046514D">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42E9DF1" w14:textId="77777777" w:rsidR="00AF121C" w:rsidRPr="00EF7016" w:rsidRDefault="00AF121C" w:rsidP="002D5E1A">
            <w:pPr>
              <w:jc w:val="center"/>
              <w:rPr>
                <w:b/>
                <w:bCs/>
                <w:sz w:val="26"/>
                <w:szCs w:val="26"/>
              </w:rPr>
            </w:pPr>
            <w:r w:rsidRPr="00EF7016">
              <w:rPr>
                <w:b/>
                <w:bCs/>
                <w:sz w:val="26"/>
                <w:szCs w:val="26"/>
              </w:rPr>
              <w:t>Tiesību akta projekta anotācijas kopsavilkums</w:t>
            </w:r>
          </w:p>
        </w:tc>
      </w:tr>
      <w:tr w:rsidR="00AF121C" w:rsidRPr="00465BB8" w14:paraId="3249B9C2" w14:textId="77777777" w:rsidTr="00AF121C">
        <w:trPr>
          <w:tblCellSpacing w:w="15" w:type="dxa"/>
        </w:trPr>
        <w:tc>
          <w:tcPr>
            <w:tcW w:w="2000" w:type="pct"/>
            <w:tcBorders>
              <w:top w:val="outset" w:sz="6" w:space="0" w:color="auto"/>
              <w:left w:val="outset" w:sz="6" w:space="0" w:color="auto"/>
              <w:bottom w:val="outset" w:sz="6" w:space="0" w:color="auto"/>
              <w:right w:val="outset" w:sz="6" w:space="0" w:color="auto"/>
            </w:tcBorders>
            <w:hideMark/>
          </w:tcPr>
          <w:p w14:paraId="1EC56210" w14:textId="77777777" w:rsidR="00AF121C" w:rsidRPr="00EF7016" w:rsidRDefault="00AF121C" w:rsidP="0046514D">
            <w:pPr>
              <w:rPr>
                <w:sz w:val="26"/>
                <w:szCs w:val="26"/>
              </w:rPr>
            </w:pPr>
            <w:r w:rsidRPr="00EF7016">
              <w:rPr>
                <w:sz w:val="26"/>
                <w:szCs w:val="26"/>
              </w:rPr>
              <w:t>Mērķis, risinājums un projekta spēkā stāšanās laiks (500 zīmes bez atstarpēm)</w:t>
            </w:r>
          </w:p>
        </w:tc>
        <w:tc>
          <w:tcPr>
            <w:tcW w:w="3000" w:type="pct"/>
            <w:tcBorders>
              <w:top w:val="outset" w:sz="6" w:space="0" w:color="auto"/>
              <w:left w:val="outset" w:sz="6" w:space="0" w:color="auto"/>
              <w:bottom w:val="outset" w:sz="6" w:space="0" w:color="auto"/>
              <w:right w:val="outset" w:sz="6" w:space="0" w:color="auto"/>
            </w:tcBorders>
          </w:tcPr>
          <w:p w14:paraId="3196B5D4" w14:textId="30B32E5E" w:rsidR="001C752C" w:rsidRPr="00EC69CC" w:rsidRDefault="009623AD" w:rsidP="009623AD">
            <w:pPr>
              <w:autoSpaceDE w:val="0"/>
              <w:autoSpaceDN w:val="0"/>
              <w:adjustRightInd w:val="0"/>
              <w:jc w:val="both"/>
              <w:rPr>
                <w:sz w:val="26"/>
                <w:szCs w:val="26"/>
              </w:rPr>
            </w:pPr>
            <w:r w:rsidRPr="009623AD">
              <w:rPr>
                <w:sz w:val="26"/>
                <w:szCs w:val="26"/>
              </w:rPr>
              <w:t>Ministru kabineta noteikumu projekta “</w:t>
            </w:r>
            <w:r w:rsidRPr="009623AD">
              <w:rPr>
                <w:rFonts w:eastAsia="Times New Roman" w:cs="Times New Roman"/>
                <w:bCs/>
                <w:sz w:val="26"/>
                <w:szCs w:val="26"/>
                <w:lang w:eastAsia="lv-LV"/>
              </w:rPr>
              <w:t>Grozījumi Ministru kabineta 2017.gada 8.augusta noteikumos Nr.468 “Noteikumi par atsevišķiem muitas kontroles veidiem”</w:t>
            </w:r>
            <w:r w:rsidRPr="009623AD">
              <w:rPr>
                <w:bCs/>
                <w:sz w:val="26"/>
                <w:szCs w:val="26"/>
              </w:rPr>
              <w:t xml:space="preserve">” </w:t>
            </w:r>
            <w:r>
              <w:rPr>
                <w:bCs/>
                <w:sz w:val="26"/>
                <w:szCs w:val="26"/>
              </w:rPr>
              <w:t>(turpmāk - n</w:t>
            </w:r>
            <w:r w:rsidR="00805369" w:rsidRPr="00EC69CC">
              <w:rPr>
                <w:sz w:val="26"/>
                <w:szCs w:val="26"/>
              </w:rPr>
              <w:t>oteikumu projekt</w:t>
            </w:r>
            <w:r>
              <w:rPr>
                <w:sz w:val="26"/>
                <w:szCs w:val="26"/>
              </w:rPr>
              <w:t>s)</w:t>
            </w:r>
            <w:r w:rsidR="00805369" w:rsidRPr="00EC69CC">
              <w:rPr>
                <w:sz w:val="26"/>
                <w:szCs w:val="26"/>
              </w:rPr>
              <w:t xml:space="preserve"> mērķis ir </w:t>
            </w:r>
            <w:r w:rsidR="00993775" w:rsidRPr="00EC69CC">
              <w:rPr>
                <w:rFonts w:cs="Times New Roman"/>
                <w:sz w:val="26"/>
                <w:szCs w:val="26"/>
              </w:rPr>
              <w:t xml:space="preserve">nodrošināt ar </w:t>
            </w:r>
            <w:r w:rsidR="00993775" w:rsidRPr="00EC69CC">
              <w:rPr>
                <w:rFonts w:cs="Times New Roman"/>
                <w:sz w:val="26"/>
                <w:szCs w:val="26"/>
                <w:shd w:val="clear" w:color="auto" w:fill="FFFFFF"/>
              </w:rPr>
              <w:t>Ministru kabineta 2019.</w:t>
            </w:r>
            <w:r w:rsidR="00993775" w:rsidRPr="00EC69CC">
              <w:rPr>
                <w:rFonts w:eastAsia="Times New Roman" w:cs="Times New Roman"/>
                <w:sz w:val="26"/>
                <w:szCs w:val="26"/>
                <w:lang w:eastAsia="lv-LV"/>
              </w:rPr>
              <w:t> </w:t>
            </w:r>
            <w:r w:rsidR="00993775" w:rsidRPr="00EC69CC">
              <w:rPr>
                <w:rFonts w:cs="Times New Roman"/>
                <w:sz w:val="26"/>
                <w:szCs w:val="26"/>
                <w:shd w:val="clear" w:color="auto" w:fill="FFFFFF"/>
              </w:rPr>
              <w:t>gada 14.</w:t>
            </w:r>
            <w:r w:rsidR="00993775" w:rsidRPr="00EC69CC">
              <w:rPr>
                <w:rFonts w:eastAsia="Times New Roman" w:cs="Times New Roman"/>
                <w:sz w:val="26"/>
                <w:szCs w:val="26"/>
                <w:lang w:eastAsia="lv-LV"/>
              </w:rPr>
              <w:t> </w:t>
            </w:r>
            <w:r w:rsidR="00993775" w:rsidRPr="00EC69CC">
              <w:rPr>
                <w:rFonts w:cs="Times New Roman"/>
                <w:sz w:val="26"/>
                <w:szCs w:val="26"/>
                <w:shd w:val="clear" w:color="auto" w:fill="FFFFFF"/>
              </w:rPr>
              <w:t>augusta rīkojuma Nr.</w:t>
            </w:r>
            <w:r w:rsidR="00993775" w:rsidRPr="00EC69CC">
              <w:rPr>
                <w:rFonts w:eastAsia="Times New Roman" w:cs="Times New Roman"/>
                <w:sz w:val="26"/>
                <w:szCs w:val="26"/>
                <w:lang w:eastAsia="lv-LV"/>
              </w:rPr>
              <w:t> </w:t>
            </w:r>
            <w:r w:rsidR="00993775" w:rsidRPr="00EC69CC">
              <w:rPr>
                <w:rFonts w:cs="Times New Roman"/>
                <w:sz w:val="26"/>
                <w:szCs w:val="26"/>
                <w:shd w:val="clear" w:color="auto" w:fill="FFFFFF"/>
              </w:rPr>
              <w:t>401 “</w:t>
            </w:r>
            <w:r w:rsidR="00993775" w:rsidRPr="00EC69CC">
              <w:rPr>
                <w:rFonts w:cs="Times New Roman"/>
                <w:bCs/>
                <w:sz w:val="26"/>
                <w:szCs w:val="26"/>
                <w:shd w:val="clear" w:color="auto" w:fill="FFFFFF"/>
              </w:rPr>
              <w:t xml:space="preserve">Par konceptuālo ziņojumu “Par līdzšinējā regulējuma </w:t>
            </w:r>
            <w:proofErr w:type="spellStart"/>
            <w:r w:rsidR="00993775" w:rsidRPr="00EC69CC">
              <w:rPr>
                <w:rFonts w:cs="Times New Roman"/>
                <w:bCs/>
                <w:sz w:val="26"/>
                <w:szCs w:val="26"/>
                <w:shd w:val="clear" w:color="auto" w:fill="FFFFFF"/>
              </w:rPr>
              <w:t>izvērtējumu</w:t>
            </w:r>
            <w:proofErr w:type="spellEnd"/>
            <w:r w:rsidR="00993775" w:rsidRPr="00EC69CC">
              <w:rPr>
                <w:rFonts w:cs="Times New Roman"/>
                <w:bCs/>
                <w:sz w:val="26"/>
                <w:szCs w:val="26"/>
                <w:shd w:val="clear" w:color="auto" w:fill="FFFFFF"/>
              </w:rPr>
              <w:t xml:space="preserve"> attiecībā uz intelektuālā īpašuma tiesību aizsardzību muitas jomā”” (turpmāk – MK rīkojums Nr.</w:t>
            </w:r>
            <w:r w:rsidR="00993775" w:rsidRPr="00EC69CC">
              <w:rPr>
                <w:rFonts w:eastAsia="Times New Roman" w:cs="Times New Roman"/>
                <w:sz w:val="26"/>
                <w:szCs w:val="26"/>
                <w:lang w:eastAsia="lv-LV"/>
              </w:rPr>
              <w:t> </w:t>
            </w:r>
            <w:r w:rsidR="00993775" w:rsidRPr="00EC69CC">
              <w:rPr>
                <w:rFonts w:cs="Times New Roman"/>
                <w:bCs/>
                <w:sz w:val="26"/>
                <w:szCs w:val="26"/>
                <w:shd w:val="clear" w:color="auto" w:fill="FFFFFF"/>
              </w:rPr>
              <w:t>401)</w:t>
            </w:r>
            <w:r w:rsidR="00993775" w:rsidRPr="00EC69CC">
              <w:rPr>
                <w:rFonts w:cs="Times New Roman"/>
                <w:sz w:val="26"/>
                <w:szCs w:val="26"/>
                <w:shd w:val="clear" w:color="auto" w:fill="FFFFFF"/>
              </w:rPr>
              <w:t xml:space="preserve"> 2.</w:t>
            </w:r>
            <w:r w:rsidR="00993775" w:rsidRPr="00EC69CC">
              <w:rPr>
                <w:rFonts w:eastAsia="Times New Roman" w:cs="Times New Roman"/>
                <w:sz w:val="26"/>
                <w:szCs w:val="26"/>
                <w:lang w:eastAsia="lv-LV"/>
              </w:rPr>
              <w:t> </w:t>
            </w:r>
            <w:r w:rsidR="00993775" w:rsidRPr="00EC69CC">
              <w:rPr>
                <w:rFonts w:cs="Times New Roman"/>
                <w:sz w:val="26"/>
                <w:szCs w:val="26"/>
                <w:shd w:val="clear" w:color="auto" w:fill="FFFFFF"/>
              </w:rPr>
              <w:t xml:space="preserve">punktu atbalstīto konceptuālā ziņojuma “Par līdzšinējā regulējuma </w:t>
            </w:r>
            <w:proofErr w:type="spellStart"/>
            <w:r w:rsidR="00993775" w:rsidRPr="00EC69CC">
              <w:rPr>
                <w:rFonts w:cs="Times New Roman"/>
                <w:sz w:val="26"/>
                <w:szCs w:val="26"/>
                <w:shd w:val="clear" w:color="auto" w:fill="FFFFFF"/>
              </w:rPr>
              <w:t>izvērtējumu</w:t>
            </w:r>
            <w:proofErr w:type="spellEnd"/>
            <w:r w:rsidR="00993775" w:rsidRPr="00EC69CC">
              <w:rPr>
                <w:rFonts w:cs="Times New Roman"/>
                <w:sz w:val="26"/>
                <w:szCs w:val="26"/>
                <w:shd w:val="clear" w:color="auto" w:fill="FFFFFF"/>
              </w:rPr>
              <w:t xml:space="preserve"> attiecībā uz intelektuālā īpašuma tiesību aizsardzību muitas jomā” (turpmāk - Konceptuālais ziņojums) IV sadaļā ietverto pasākumu nodrošināšanu nacionālajā regulējumā, tādejādi </w:t>
            </w:r>
            <w:r w:rsidR="00C307AB" w:rsidRPr="00EC69CC">
              <w:rPr>
                <w:rFonts w:cs="Times New Roman"/>
                <w:spacing w:val="-2"/>
                <w:sz w:val="26"/>
                <w:szCs w:val="26"/>
              </w:rPr>
              <w:t>ī</w:t>
            </w:r>
            <w:r w:rsidR="00993775" w:rsidRPr="00EC69CC">
              <w:rPr>
                <w:rFonts w:cs="Times New Roman"/>
                <w:spacing w:val="-2"/>
                <w:sz w:val="26"/>
                <w:szCs w:val="26"/>
              </w:rPr>
              <w:t>stenojot</w:t>
            </w:r>
            <w:r w:rsidR="00C307AB" w:rsidRPr="00EC69CC">
              <w:rPr>
                <w:rFonts w:cs="Times New Roman"/>
                <w:spacing w:val="-2"/>
                <w:sz w:val="26"/>
                <w:szCs w:val="26"/>
              </w:rPr>
              <w:t xml:space="preserve"> </w:t>
            </w:r>
            <w:r w:rsidR="003B3C8D" w:rsidRPr="00EC69CC">
              <w:rPr>
                <w:sz w:val="26"/>
                <w:szCs w:val="26"/>
              </w:rPr>
              <w:t xml:space="preserve">Muitas likuma </w:t>
            </w:r>
            <w:r w:rsidR="00691568" w:rsidRPr="00EC69CC">
              <w:rPr>
                <w:sz w:val="26"/>
                <w:szCs w:val="26"/>
              </w:rPr>
              <w:t>14.</w:t>
            </w:r>
            <w:r w:rsidR="001C6C5E">
              <w:rPr>
                <w:sz w:val="26"/>
                <w:szCs w:val="26"/>
                <w:vertAlign w:val="superscript"/>
              </w:rPr>
              <w:t>5</w:t>
            </w:r>
            <w:r w:rsidR="00691568" w:rsidRPr="00EC69CC">
              <w:rPr>
                <w:sz w:val="26"/>
                <w:szCs w:val="26"/>
                <w:vertAlign w:val="superscript"/>
              </w:rPr>
              <w:t xml:space="preserve"> </w:t>
            </w:r>
            <w:r w:rsidR="00691568" w:rsidRPr="00EC69CC">
              <w:rPr>
                <w:sz w:val="26"/>
                <w:szCs w:val="26"/>
              </w:rPr>
              <w:t>pant</w:t>
            </w:r>
            <w:r w:rsidR="001C6C5E">
              <w:rPr>
                <w:sz w:val="26"/>
                <w:szCs w:val="26"/>
              </w:rPr>
              <w:t>ā</w:t>
            </w:r>
            <w:r w:rsidR="00A27406">
              <w:rPr>
                <w:rStyle w:val="FootnoteReference"/>
                <w:sz w:val="26"/>
                <w:szCs w:val="26"/>
              </w:rPr>
              <w:footnoteReference w:id="1"/>
            </w:r>
            <w:r w:rsidR="00691568">
              <w:rPr>
                <w:sz w:val="26"/>
                <w:szCs w:val="26"/>
              </w:rPr>
              <w:t xml:space="preserve"> </w:t>
            </w:r>
            <w:r w:rsidR="00780E12" w:rsidRPr="00EC69CC">
              <w:rPr>
                <w:sz w:val="26"/>
                <w:szCs w:val="26"/>
              </w:rPr>
              <w:t>noteikto deleģējumu Ministru kabinetam.</w:t>
            </w:r>
          </w:p>
          <w:p w14:paraId="154FD276" w14:textId="0FC1F12E" w:rsidR="00500A9C" w:rsidRPr="00EF7016" w:rsidRDefault="00D12D61" w:rsidP="000043D3">
            <w:pPr>
              <w:spacing w:before="120"/>
              <w:ind w:left="57" w:right="57"/>
              <w:jc w:val="both"/>
              <w:rPr>
                <w:sz w:val="26"/>
                <w:szCs w:val="26"/>
              </w:rPr>
            </w:pPr>
            <w:r w:rsidRPr="00EC69CC">
              <w:rPr>
                <w:sz w:val="26"/>
                <w:szCs w:val="26"/>
              </w:rPr>
              <w:t>Saskaņā ar Muitas likuma pārejas noteikumu 15.punktu</w:t>
            </w:r>
            <w:r w:rsidR="00EC69CC">
              <w:rPr>
                <w:rStyle w:val="FootnoteReference"/>
                <w:sz w:val="26"/>
                <w:szCs w:val="26"/>
              </w:rPr>
              <w:footnoteReference w:id="2"/>
            </w:r>
            <w:r w:rsidRPr="00EC69CC">
              <w:rPr>
                <w:sz w:val="26"/>
                <w:szCs w:val="26"/>
              </w:rPr>
              <w:t>, noteikumu projektam jāstājas spēkā 2021.gada 1.septembrī.</w:t>
            </w:r>
          </w:p>
        </w:tc>
      </w:tr>
    </w:tbl>
    <w:p w14:paraId="5168067E" w14:textId="77777777" w:rsidR="00AF121C" w:rsidRPr="007B70D5" w:rsidRDefault="00AF121C" w:rsidP="00AF121C">
      <w:pPr>
        <w:rPr>
          <w:sz w:val="28"/>
        </w:rPr>
      </w:pPr>
      <w:r w:rsidRPr="007B70D5">
        <w:rPr>
          <w:sz w:val="28"/>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AF121C" w:rsidRPr="00EF7016" w14:paraId="5B266D9D" w14:textId="77777777" w:rsidTr="0046514D">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ECDE066" w14:textId="77777777" w:rsidR="00AF121C" w:rsidRPr="00EF7016" w:rsidRDefault="00AF121C" w:rsidP="002D5E1A">
            <w:pPr>
              <w:jc w:val="center"/>
              <w:rPr>
                <w:b/>
                <w:bCs/>
                <w:sz w:val="26"/>
                <w:szCs w:val="26"/>
              </w:rPr>
            </w:pPr>
            <w:r w:rsidRPr="00EF7016">
              <w:rPr>
                <w:b/>
                <w:bCs/>
                <w:sz w:val="26"/>
                <w:szCs w:val="26"/>
              </w:rPr>
              <w:t>I. Tiesību akta projekta izstrādes nepieciešamība</w:t>
            </w:r>
          </w:p>
        </w:tc>
      </w:tr>
      <w:tr w:rsidR="00AF121C" w:rsidRPr="00EF7016" w14:paraId="762341BA" w14:textId="77777777" w:rsidTr="008F361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C480197" w14:textId="77777777" w:rsidR="00AF121C" w:rsidRPr="00EF7016" w:rsidRDefault="00AF121C" w:rsidP="0046514D">
            <w:pPr>
              <w:rPr>
                <w:sz w:val="26"/>
                <w:szCs w:val="26"/>
              </w:rPr>
            </w:pPr>
            <w:r w:rsidRPr="00EF7016">
              <w:rPr>
                <w:sz w:val="26"/>
                <w:szCs w:val="26"/>
              </w:rPr>
              <w:t>1.</w:t>
            </w:r>
          </w:p>
        </w:tc>
        <w:tc>
          <w:tcPr>
            <w:tcW w:w="1678" w:type="pct"/>
            <w:tcBorders>
              <w:top w:val="outset" w:sz="6" w:space="0" w:color="auto"/>
              <w:left w:val="outset" w:sz="6" w:space="0" w:color="auto"/>
              <w:bottom w:val="outset" w:sz="6" w:space="0" w:color="auto"/>
              <w:right w:val="outset" w:sz="6" w:space="0" w:color="auto"/>
            </w:tcBorders>
            <w:hideMark/>
          </w:tcPr>
          <w:p w14:paraId="2171EABA" w14:textId="77777777" w:rsidR="00AF121C" w:rsidRPr="00EF7016" w:rsidRDefault="00AF121C" w:rsidP="0046514D">
            <w:pPr>
              <w:rPr>
                <w:sz w:val="26"/>
                <w:szCs w:val="26"/>
              </w:rPr>
            </w:pPr>
            <w:r w:rsidRPr="00EF7016">
              <w:rPr>
                <w:sz w:val="26"/>
                <w:szCs w:val="26"/>
              </w:rPr>
              <w:t>Pamatojums</w:t>
            </w:r>
          </w:p>
        </w:tc>
        <w:tc>
          <w:tcPr>
            <w:tcW w:w="2960" w:type="pct"/>
            <w:tcBorders>
              <w:top w:val="outset" w:sz="6" w:space="0" w:color="auto"/>
              <w:left w:val="outset" w:sz="6" w:space="0" w:color="auto"/>
              <w:bottom w:val="outset" w:sz="6" w:space="0" w:color="auto"/>
              <w:right w:val="outset" w:sz="6" w:space="0" w:color="auto"/>
            </w:tcBorders>
          </w:tcPr>
          <w:p w14:paraId="480C8758" w14:textId="0509F713" w:rsidR="00C30EEB" w:rsidRPr="0045123A" w:rsidRDefault="00702DA0" w:rsidP="0045123A">
            <w:pPr>
              <w:spacing w:before="120"/>
              <w:ind w:left="57" w:right="57"/>
              <w:jc w:val="both"/>
              <w:rPr>
                <w:rFonts w:eastAsia="Times New Roman" w:cs="Times New Roman"/>
                <w:bCs/>
                <w:sz w:val="26"/>
                <w:szCs w:val="26"/>
                <w:lang w:eastAsia="lv-LV"/>
              </w:rPr>
            </w:pPr>
            <w:r w:rsidRPr="0045123A">
              <w:rPr>
                <w:sz w:val="26"/>
                <w:szCs w:val="26"/>
              </w:rPr>
              <w:t xml:space="preserve">Noteikumu projekta pamatojums ir likumprojekta “Grozījumi Muitas likumā” </w:t>
            </w:r>
            <w:r w:rsidRPr="007B5A0E">
              <w:rPr>
                <w:sz w:val="26"/>
                <w:szCs w:val="26"/>
              </w:rPr>
              <w:t>(</w:t>
            </w:r>
            <w:r w:rsidR="007B5A0E" w:rsidRPr="007B5A0E">
              <w:rPr>
                <w:sz w:val="26"/>
                <w:szCs w:val="26"/>
              </w:rPr>
              <w:t>1016</w:t>
            </w:r>
            <w:r w:rsidRPr="007B5A0E">
              <w:rPr>
                <w:sz w:val="26"/>
                <w:szCs w:val="26"/>
              </w:rPr>
              <w:t>/Lp13</w:t>
            </w:r>
            <w:r w:rsidRPr="0045123A">
              <w:rPr>
                <w:sz w:val="26"/>
                <w:szCs w:val="26"/>
              </w:rPr>
              <w:t>) 6.pants, ar kuru Muitas likums tiek papildināts cita starpā ar jaunu 14.</w:t>
            </w:r>
            <w:r w:rsidRPr="0045123A">
              <w:rPr>
                <w:sz w:val="26"/>
                <w:szCs w:val="26"/>
                <w:vertAlign w:val="superscript"/>
              </w:rPr>
              <w:t xml:space="preserve">1 </w:t>
            </w:r>
            <w:r w:rsidRPr="0045123A">
              <w:rPr>
                <w:sz w:val="26"/>
                <w:szCs w:val="26"/>
              </w:rPr>
              <w:t>pantu un 14.</w:t>
            </w:r>
            <w:r w:rsidR="000043D3">
              <w:rPr>
                <w:sz w:val="26"/>
                <w:szCs w:val="26"/>
                <w:vertAlign w:val="superscript"/>
              </w:rPr>
              <w:t>5</w:t>
            </w:r>
            <w:r w:rsidRPr="0045123A">
              <w:rPr>
                <w:sz w:val="26"/>
                <w:szCs w:val="26"/>
                <w:vertAlign w:val="superscript"/>
              </w:rPr>
              <w:t xml:space="preserve"> </w:t>
            </w:r>
            <w:r w:rsidRPr="0045123A">
              <w:rPr>
                <w:sz w:val="26"/>
                <w:szCs w:val="26"/>
              </w:rPr>
              <w:t>pantu.</w:t>
            </w:r>
            <w:r w:rsidR="001A521C" w:rsidRPr="0045123A">
              <w:rPr>
                <w:sz w:val="26"/>
                <w:szCs w:val="26"/>
              </w:rPr>
              <w:t xml:space="preserve"> </w:t>
            </w:r>
            <w:r w:rsidR="008A1494">
              <w:rPr>
                <w:sz w:val="26"/>
                <w:szCs w:val="26"/>
              </w:rPr>
              <w:t>M</w:t>
            </w:r>
            <w:r w:rsidR="001A521C" w:rsidRPr="0045123A">
              <w:rPr>
                <w:sz w:val="26"/>
                <w:szCs w:val="26"/>
              </w:rPr>
              <w:t xml:space="preserve">inētie panti Muitas likumā tika iekļauti, ievērojot ar </w:t>
            </w:r>
            <w:r w:rsidR="001A521C" w:rsidRPr="0045123A">
              <w:rPr>
                <w:rFonts w:cs="Times New Roman"/>
                <w:bCs/>
                <w:sz w:val="26"/>
                <w:szCs w:val="26"/>
                <w:shd w:val="clear" w:color="auto" w:fill="FFFFFF"/>
              </w:rPr>
              <w:t>MK rīkojuma Nr.</w:t>
            </w:r>
            <w:r w:rsidR="001A521C" w:rsidRPr="0045123A">
              <w:rPr>
                <w:rFonts w:eastAsia="Times New Roman" w:cs="Times New Roman"/>
                <w:sz w:val="26"/>
                <w:szCs w:val="26"/>
                <w:lang w:eastAsia="lv-LV"/>
              </w:rPr>
              <w:t> </w:t>
            </w:r>
            <w:r w:rsidR="001A521C" w:rsidRPr="0045123A">
              <w:rPr>
                <w:rFonts w:cs="Times New Roman"/>
                <w:bCs/>
                <w:sz w:val="26"/>
                <w:szCs w:val="26"/>
                <w:shd w:val="clear" w:color="auto" w:fill="FFFFFF"/>
              </w:rPr>
              <w:t xml:space="preserve">401 2.punktu atbalstīto Konceptuālā ziņojuma </w:t>
            </w:r>
            <w:r w:rsidR="001A521C" w:rsidRPr="0045123A">
              <w:rPr>
                <w:rFonts w:cs="Times New Roman"/>
                <w:sz w:val="26"/>
                <w:szCs w:val="26"/>
                <w:shd w:val="clear" w:color="auto" w:fill="FFFFFF"/>
              </w:rPr>
              <w:t>IV sadaļā</w:t>
            </w:r>
            <w:r w:rsidR="008A1494">
              <w:rPr>
                <w:rFonts w:cs="Times New Roman"/>
                <w:sz w:val="26"/>
                <w:szCs w:val="26"/>
                <w:shd w:val="clear" w:color="auto" w:fill="FFFFFF"/>
              </w:rPr>
              <w:t xml:space="preserve"> ietverto pasākumu nodrošināšanas nepieciešamību</w:t>
            </w:r>
            <w:r w:rsidR="001A521C" w:rsidRPr="0045123A">
              <w:rPr>
                <w:rFonts w:cs="Times New Roman"/>
                <w:sz w:val="26"/>
                <w:szCs w:val="26"/>
                <w:shd w:val="clear" w:color="auto" w:fill="FFFFFF"/>
              </w:rPr>
              <w:t xml:space="preserve"> nacionālajā regulējumā, </w:t>
            </w:r>
            <w:r w:rsidR="001A521C" w:rsidRPr="0045123A">
              <w:rPr>
                <w:rFonts w:eastAsia="Times New Roman" w:cs="Times New Roman"/>
                <w:bCs/>
                <w:iCs/>
                <w:sz w:val="26"/>
                <w:szCs w:val="26"/>
                <w:lang w:eastAsia="lv-LV"/>
              </w:rPr>
              <w:t>paredz</w:t>
            </w:r>
            <w:r w:rsidR="008A1494">
              <w:rPr>
                <w:rFonts w:eastAsia="Times New Roman" w:cs="Times New Roman"/>
                <w:bCs/>
                <w:iCs/>
                <w:sz w:val="26"/>
                <w:szCs w:val="26"/>
                <w:lang w:eastAsia="lv-LV"/>
              </w:rPr>
              <w:t>ot</w:t>
            </w:r>
            <w:r w:rsidR="001A521C" w:rsidRPr="0045123A">
              <w:rPr>
                <w:rFonts w:eastAsia="Times New Roman" w:cs="Times New Roman"/>
                <w:bCs/>
                <w:iCs/>
                <w:sz w:val="26"/>
                <w:szCs w:val="26"/>
                <w:lang w:eastAsia="lv-LV"/>
              </w:rPr>
              <w:t xml:space="preserve"> veikt grozījumus gan </w:t>
            </w:r>
            <w:r w:rsidR="001A521C" w:rsidRPr="0045123A">
              <w:rPr>
                <w:rFonts w:eastAsia="Times New Roman" w:cs="Times New Roman"/>
                <w:bCs/>
                <w:iCs/>
                <w:sz w:val="26"/>
                <w:szCs w:val="26"/>
                <w:lang w:eastAsia="lv-LV"/>
              </w:rPr>
              <w:lastRenderedPageBreak/>
              <w:t xml:space="preserve">Muitas likumā, gan arī </w:t>
            </w:r>
            <w:r w:rsidR="001A521C" w:rsidRPr="0045123A">
              <w:rPr>
                <w:rFonts w:eastAsia="Times New Roman" w:cs="Times New Roman"/>
                <w:bCs/>
                <w:sz w:val="26"/>
                <w:szCs w:val="26"/>
                <w:lang w:eastAsia="lv-LV"/>
              </w:rPr>
              <w:t xml:space="preserve">Ministru kabineta </w:t>
            </w:r>
            <w:r w:rsidR="001A521C" w:rsidRPr="0045123A">
              <w:rPr>
                <w:rFonts w:eastAsia="Times New Roman" w:cs="Times New Roman"/>
                <w:sz w:val="26"/>
                <w:szCs w:val="26"/>
                <w:lang w:eastAsia="lv-LV"/>
              </w:rPr>
              <w:t xml:space="preserve">2017. gada 8. augusta </w:t>
            </w:r>
            <w:r w:rsidR="001A521C" w:rsidRPr="0045123A">
              <w:rPr>
                <w:rFonts w:eastAsia="Times New Roman" w:cs="Times New Roman"/>
                <w:bCs/>
                <w:sz w:val="26"/>
                <w:szCs w:val="26"/>
                <w:lang w:eastAsia="lv-LV"/>
              </w:rPr>
              <w:t xml:space="preserve">noteikumos Nr. 468 “Noteikumi par atsevišķiem muitas kontroles veidiem” (turpmāk – MK noteikumi Nr.468). </w:t>
            </w:r>
          </w:p>
          <w:p w14:paraId="2A46B890" w14:textId="0BFC93C1" w:rsidR="00854C65" w:rsidRPr="0045123A" w:rsidRDefault="007C7EAD" w:rsidP="0002770F">
            <w:pPr>
              <w:spacing w:before="120"/>
              <w:ind w:left="57" w:right="57"/>
              <w:jc w:val="both"/>
              <w:rPr>
                <w:sz w:val="26"/>
                <w:szCs w:val="26"/>
              </w:rPr>
            </w:pPr>
            <w:r w:rsidRPr="0045123A">
              <w:rPr>
                <w:sz w:val="26"/>
                <w:szCs w:val="26"/>
              </w:rPr>
              <w:t xml:space="preserve">Likumprojekts “Grozījumi Muitas likumā” izsludināts Valsts sekretāru 2020. gada 23. jūlija sanāksmē (prot. Nr.29 8.§ VSS-598) un izskatīts </w:t>
            </w:r>
            <w:r w:rsidRPr="00DA76BA">
              <w:rPr>
                <w:sz w:val="26"/>
                <w:szCs w:val="26"/>
              </w:rPr>
              <w:t>202</w:t>
            </w:r>
            <w:r w:rsidR="00DA76BA" w:rsidRPr="00DA76BA">
              <w:rPr>
                <w:sz w:val="26"/>
                <w:szCs w:val="26"/>
              </w:rPr>
              <w:t>1</w:t>
            </w:r>
            <w:r w:rsidRPr="00DA76BA">
              <w:rPr>
                <w:sz w:val="26"/>
                <w:szCs w:val="26"/>
              </w:rPr>
              <w:t>.gada 1</w:t>
            </w:r>
            <w:r w:rsidR="00DA76BA" w:rsidRPr="00DA76BA">
              <w:rPr>
                <w:sz w:val="26"/>
                <w:szCs w:val="26"/>
              </w:rPr>
              <w:t>8</w:t>
            </w:r>
            <w:r w:rsidRPr="00DA76BA">
              <w:rPr>
                <w:sz w:val="26"/>
                <w:szCs w:val="26"/>
              </w:rPr>
              <w:t>.</w:t>
            </w:r>
            <w:r w:rsidR="00DA76BA">
              <w:rPr>
                <w:sz w:val="26"/>
                <w:szCs w:val="26"/>
              </w:rPr>
              <w:t>marta</w:t>
            </w:r>
            <w:r w:rsidRPr="0045123A">
              <w:rPr>
                <w:sz w:val="26"/>
                <w:szCs w:val="26"/>
              </w:rPr>
              <w:t xml:space="preserve"> Ministru kabineta sēdē (</w:t>
            </w:r>
            <w:r w:rsidRPr="007B5A0E">
              <w:rPr>
                <w:sz w:val="26"/>
                <w:szCs w:val="26"/>
              </w:rPr>
              <w:t>TA-</w:t>
            </w:r>
            <w:r w:rsidR="00904E0A" w:rsidRPr="007B5A0E">
              <w:rPr>
                <w:sz w:val="26"/>
                <w:szCs w:val="26"/>
              </w:rPr>
              <w:t>418</w:t>
            </w:r>
            <w:r w:rsidRPr="007B5A0E">
              <w:rPr>
                <w:sz w:val="26"/>
                <w:szCs w:val="26"/>
              </w:rPr>
              <w:t xml:space="preserve">). </w:t>
            </w:r>
            <w:r w:rsidR="00DA76BA" w:rsidRPr="0002770F">
              <w:rPr>
                <w:sz w:val="26"/>
                <w:szCs w:val="26"/>
              </w:rPr>
              <w:t>2021</w:t>
            </w:r>
            <w:r w:rsidRPr="0002770F">
              <w:rPr>
                <w:sz w:val="26"/>
                <w:szCs w:val="26"/>
              </w:rPr>
              <w:t xml:space="preserve">.gada </w:t>
            </w:r>
            <w:r w:rsidR="0002770F" w:rsidRPr="0002770F">
              <w:rPr>
                <w:sz w:val="26"/>
                <w:szCs w:val="26"/>
              </w:rPr>
              <w:t>29.aprīlī</w:t>
            </w:r>
            <w:r w:rsidRPr="0002770F">
              <w:rPr>
                <w:sz w:val="26"/>
                <w:szCs w:val="26"/>
              </w:rPr>
              <w:t xml:space="preserve"> likumprojekts “Grozījumi Muitas likumā” (Nr.</w:t>
            </w:r>
            <w:r w:rsidR="007B5A0E" w:rsidRPr="0002770F">
              <w:rPr>
                <w:sz w:val="26"/>
                <w:szCs w:val="26"/>
              </w:rPr>
              <w:t>1016</w:t>
            </w:r>
            <w:r w:rsidRPr="0002770F">
              <w:rPr>
                <w:sz w:val="26"/>
                <w:szCs w:val="26"/>
              </w:rPr>
              <w:t>/Lp13)  pieņemts Saeimā 1.lasījumā.</w:t>
            </w:r>
            <w:r w:rsidR="00F43415" w:rsidRPr="0045123A">
              <w:rPr>
                <w:sz w:val="26"/>
                <w:szCs w:val="26"/>
              </w:rPr>
              <w:t xml:space="preserve"> </w:t>
            </w:r>
          </w:p>
        </w:tc>
      </w:tr>
      <w:tr w:rsidR="008F3610" w:rsidRPr="00A9403F" w14:paraId="58E865B2" w14:textId="77777777" w:rsidTr="008F361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19D7F78" w14:textId="77777777" w:rsidR="008F3610" w:rsidRPr="00A9403F" w:rsidRDefault="008F3610" w:rsidP="008F3610">
            <w:pPr>
              <w:rPr>
                <w:sz w:val="26"/>
                <w:szCs w:val="26"/>
              </w:rPr>
            </w:pPr>
            <w:r w:rsidRPr="00A9403F">
              <w:rPr>
                <w:sz w:val="26"/>
                <w:szCs w:val="26"/>
              </w:rPr>
              <w:lastRenderedPageBreak/>
              <w:t>2.</w:t>
            </w:r>
          </w:p>
        </w:tc>
        <w:tc>
          <w:tcPr>
            <w:tcW w:w="1678" w:type="pct"/>
            <w:tcBorders>
              <w:top w:val="outset" w:sz="6" w:space="0" w:color="auto"/>
              <w:left w:val="outset" w:sz="6" w:space="0" w:color="auto"/>
              <w:bottom w:val="outset" w:sz="6" w:space="0" w:color="auto"/>
              <w:right w:val="outset" w:sz="6" w:space="0" w:color="auto"/>
            </w:tcBorders>
            <w:hideMark/>
          </w:tcPr>
          <w:p w14:paraId="52300505" w14:textId="77777777" w:rsidR="008F3610" w:rsidRPr="00A9403F" w:rsidRDefault="008F3610" w:rsidP="008F3610">
            <w:pPr>
              <w:rPr>
                <w:sz w:val="26"/>
                <w:szCs w:val="26"/>
              </w:rPr>
            </w:pPr>
            <w:r w:rsidRPr="00A9403F">
              <w:rPr>
                <w:sz w:val="26"/>
                <w:szCs w:val="26"/>
              </w:rPr>
              <w:t>Pašreizējā situācija un problēmas, kuru risināšanai tiesību akta projekts izstrādāts, tiesiskā regulējuma mērķis un būtība</w:t>
            </w:r>
          </w:p>
        </w:tc>
        <w:tc>
          <w:tcPr>
            <w:tcW w:w="2960" w:type="pct"/>
            <w:tcBorders>
              <w:top w:val="outset" w:sz="6" w:space="0" w:color="auto"/>
              <w:left w:val="outset" w:sz="6" w:space="0" w:color="auto"/>
              <w:bottom w:val="outset" w:sz="6" w:space="0" w:color="auto"/>
              <w:right w:val="outset" w:sz="6" w:space="0" w:color="auto"/>
            </w:tcBorders>
          </w:tcPr>
          <w:p w14:paraId="0D8511EA" w14:textId="327A8085" w:rsidR="00515B54" w:rsidRPr="007A119E" w:rsidRDefault="00515B54" w:rsidP="002C72B4">
            <w:pPr>
              <w:pStyle w:val="FootnoteText"/>
              <w:spacing w:before="120"/>
              <w:ind w:left="57" w:right="57"/>
              <w:jc w:val="both"/>
              <w:rPr>
                <w:rFonts w:cs="Times New Roman"/>
                <w:sz w:val="26"/>
                <w:szCs w:val="26"/>
                <w:lang w:eastAsia="ar-SA"/>
              </w:rPr>
            </w:pPr>
            <w:r w:rsidRPr="007A119E">
              <w:rPr>
                <w:rFonts w:cs="Times New Roman"/>
                <w:sz w:val="26"/>
                <w:szCs w:val="26"/>
              </w:rPr>
              <w:t>Ņemot vērā nozares asociāciju iniciatīvu un aicinājumu izvērtēt</w:t>
            </w:r>
            <w:r w:rsidRPr="007A119E">
              <w:rPr>
                <w:rFonts w:cs="Times New Roman"/>
                <w:sz w:val="26"/>
                <w:szCs w:val="26"/>
                <w:shd w:val="clear" w:color="auto" w:fill="FFFFFF"/>
              </w:rPr>
              <w:t xml:space="preserve"> iespēju normatīvajā regulējumā noteikt, ka strīdus par intelektuālā īpašuma tiesību pārkāpumu risina civilprocesuālā kārtībā, sadarbojoties Finanšu ministrijai, Tieslietu ministrijai un Satiksmes ministrijai tika izstrādāts atbilstošs</w:t>
            </w:r>
            <w:r w:rsidRPr="007A119E">
              <w:rPr>
                <w:rFonts w:cs="Times New Roman"/>
                <w:sz w:val="26"/>
                <w:szCs w:val="26"/>
              </w:rPr>
              <w:t xml:space="preserve"> Konceptuālais ziņojums</w:t>
            </w:r>
            <w:r w:rsidRPr="007A119E">
              <w:rPr>
                <w:rStyle w:val="FootnoteReference"/>
                <w:rFonts w:cs="Times New Roman"/>
                <w:sz w:val="26"/>
                <w:szCs w:val="26"/>
              </w:rPr>
              <w:footnoteReference w:id="3"/>
            </w:r>
            <w:r w:rsidR="00C11FAE" w:rsidRPr="007A119E">
              <w:rPr>
                <w:rFonts w:cs="Times New Roman"/>
                <w:sz w:val="26"/>
                <w:szCs w:val="26"/>
              </w:rPr>
              <w:t xml:space="preserve">. Ar </w:t>
            </w:r>
            <w:r w:rsidR="00C11FAE" w:rsidRPr="007A119E">
              <w:rPr>
                <w:rFonts w:cs="Times New Roman"/>
                <w:bCs/>
                <w:sz w:val="26"/>
                <w:szCs w:val="26"/>
                <w:shd w:val="clear" w:color="auto" w:fill="FFFFFF"/>
              </w:rPr>
              <w:t>MK rīkojuma Nr.</w:t>
            </w:r>
            <w:r w:rsidR="00C11FAE" w:rsidRPr="007A119E">
              <w:rPr>
                <w:rFonts w:eastAsia="Times New Roman" w:cs="Times New Roman"/>
                <w:sz w:val="26"/>
                <w:szCs w:val="26"/>
                <w:lang w:eastAsia="lv-LV"/>
              </w:rPr>
              <w:t> </w:t>
            </w:r>
            <w:r w:rsidR="00C11FAE" w:rsidRPr="007A119E">
              <w:rPr>
                <w:rFonts w:cs="Times New Roman"/>
                <w:bCs/>
                <w:sz w:val="26"/>
                <w:szCs w:val="26"/>
                <w:shd w:val="clear" w:color="auto" w:fill="FFFFFF"/>
              </w:rPr>
              <w:t>401</w:t>
            </w:r>
            <w:r w:rsidR="00C11FAE" w:rsidRPr="007A119E">
              <w:rPr>
                <w:rFonts w:cs="Times New Roman"/>
                <w:sz w:val="26"/>
                <w:szCs w:val="26"/>
                <w:shd w:val="clear" w:color="auto" w:fill="FFFFFF"/>
              </w:rPr>
              <w:t xml:space="preserve"> 2.</w:t>
            </w:r>
            <w:r w:rsidR="00C11FAE" w:rsidRPr="007A119E">
              <w:rPr>
                <w:rFonts w:eastAsia="Times New Roman" w:cs="Times New Roman"/>
                <w:sz w:val="26"/>
                <w:szCs w:val="26"/>
                <w:lang w:eastAsia="lv-LV"/>
              </w:rPr>
              <w:t> </w:t>
            </w:r>
            <w:r w:rsidR="00C11FAE" w:rsidRPr="007A119E">
              <w:rPr>
                <w:rFonts w:cs="Times New Roman"/>
                <w:sz w:val="26"/>
                <w:szCs w:val="26"/>
                <w:shd w:val="clear" w:color="auto" w:fill="FFFFFF"/>
              </w:rPr>
              <w:t>punktu tika atbalstīti Konceptuālā ziņojuma IV sadaļā ietvertie pasākumi, lai nodrošinātu Konceptuālā ziņojuma III sadaļā ietvertā 2.</w:t>
            </w:r>
            <w:r w:rsidR="00C11FAE" w:rsidRPr="007A119E">
              <w:rPr>
                <w:rFonts w:eastAsia="Times New Roman" w:cs="Times New Roman"/>
                <w:sz w:val="26"/>
                <w:szCs w:val="26"/>
                <w:lang w:eastAsia="lv-LV"/>
              </w:rPr>
              <w:t> </w:t>
            </w:r>
            <w:r w:rsidR="00C11FAE" w:rsidRPr="007A119E">
              <w:rPr>
                <w:rFonts w:cs="Times New Roman"/>
                <w:sz w:val="26"/>
                <w:szCs w:val="26"/>
                <w:shd w:val="clear" w:color="auto" w:fill="FFFFFF"/>
              </w:rPr>
              <w:t>risinājuma ieviešanu, proti, a</w:t>
            </w:r>
            <w:r w:rsidR="00C11FAE" w:rsidRPr="007A119E">
              <w:rPr>
                <w:bCs/>
                <w:sz w:val="26"/>
                <w:szCs w:val="26"/>
                <w:shd w:val="clear" w:color="auto" w:fill="FFFFFF"/>
              </w:rPr>
              <w:t>tsevišķos gadījumos saglabāt līdzšinējo praksi, ka attiecībā uz muitas kontrolei pakļautajām precēm, par kurām ir aizdomas, ka ar tām pārkāpj intelektuālā īpašuma tiesības, Valsts ieņēmumu dienests</w:t>
            </w:r>
            <w:r w:rsidR="008A1494" w:rsidRPr="007A119E">
              <w:rPr>
                <w:bCs/>
                <w:sz w:val="26"/>
                <w:szCs w:val="26"/>
                <w:shd w:val="clear" w:color="auto" w:fill="FFFFFF"/>
              </w:rPr>
              <w:t xml:space="preserve"> (turpmāk – </w:t>
            </w:r>
            <w:r w:rsidR="008A1494" w:rsidRPr="007A119E">
              <w:rPr>
                <w:rFonts w:cs="Times New Roman"/>
                <w:sz w:val="26"/>
                <w:szCs w:val="26"/>
                <w:lang w:eastAsia="ar-SA"/>
              </w:rPr>
              <w:t xml:space="preserve">VID) </w:t>
            </w:r>
            <w:r w:rsidR="00C11FAE" w:rsidRPr="007A119E">
              <w:rPr>
                <w:bCs/>
                <w:sz w:val="26"/>
                <w:szCs w:val="26"/>
                <w:shd w:val="clear" w:color="auto" w:fill="FFFFFF"/>
              </w:rPr>
              <w:t xml:space="preserve"> uzsāk administratīvo procesu, savukārt noteiktos gadījumos strīdu par intelektuālā īpašuma tiesību pārkāpumu risināt civilprocesuālā kārtā, vienlaikus veicot atsevišķus uzlabojumus normatīvajā regulējumā. Ņemot vērā minēto, tika izstrādāts likumprojekts “Grozījumi Muitas likumā” (</w:t>
            </w:r>
            <w:r w:rsidR="00C46269">
              <w:rPr>
                <w:bCs/>
                <w:sz w:val="26"/>
                <w:szCs w:val="26"/>
                <w:shd w:val="clear" w:color="auto" w:fill="FFFFFF"/>
              </w:rPr>
              <w:t>1016</w:t>
            </w:r>
            <w:r w:rsidR="00C11FAE" w:rsidRPr="00C46269">
              <w:rPr>
                <w:bCs/>
                <w:sz w:val="26"/>
                <w:szCs w:val="26"/>
                <w:shd w:val="clear" w:color="auto" w:fill="FFFFFF"/>
              </w:rPr>
              <w:t>/Lp13</w:t>
            </w:r>
            <w:r w:rsidR="00C11FAE" w:rsidRPr="007A119E">
              <w:rPr>
                <w:bCs/>
                <w:sz w:val="26"/>
                <w:szCs w:val="26"/>
                <w:shd w:val="clear" w:color="auto" w:fill="FFFFFF"/>
              </w:rPr>
              <w:t>)</w:t>
            </w:r>
            <w:r w:rsidR="00C11FAE" w:rsidRPr="007A119E">
              <w:rPr>
                <w:rStyle w:val="FootnoteReference"/>
                <w:bCs/>
                <w:sz w:val="26"/>
                <w:szCs w:val="26"/>
                <w:shd w:val="clear" w:color="auto" w:fill="FFFFFF"/>
              </w:rPr>
              <w:footnoteReference w:id="4"/>
            </w:r>
            <w:r w:rsidR="00C11FAE" w:rsidRPr="007A119E">
              <w:rPr>
                <w:bCs/>
                <w:sz w:val="26"/>
                <w:szCs w:val="26"/>
                <w:shd w:val="clear" w:color="auto" w:fill="FFFFFF"/>
              </w:rPr>
              <w:t xml:space="preserve">, nosakot </w:t>
            </w:r>
            <w:r w:rsidR="008A1494" w:rsidRPr="007A119E">
              <w:rPr>
                <w:bCs/>
                <w:sz w:val="26"/>
                <w:szCs w:val="26"/>
                <w:shd w:val="clear" w:color="auto" w:fill="FFFFFF"/>
              </w:rPr>
              <w:t>VID</w:t>
            </w:r>
            <w:r w:rsidR="00C11FAE" w:rsidRPr="007A119E">
              <w:rPr>
                <w:bCs/>
                <w:sz w:val="26"/>
                <w:szCs w:val="26"/>
                <w:shd w:val="clear" w:color="auto" w:fill="FFFFFF"/>
              </w:rPr>
              <w:t xml:space="preserve"> </w:t>
            </w:r>
            <w:r w:rsidRPr="007A119E">
              <w:rPr>
                <w:rFonts w:cs="Times New Roman"/>
                <w:sz w:val="26"/>
                <w:szCs w:val="26"/>
                <w:lang w:eastAsia="ar-SA"/>
              </w:rPr>
              <w:t>kompetenc</w:t>
            </w:r>
            <w:r w:rsidR="00C11FAE" w:rsidRPr="007A119E">
              <w:rPr>
                <w:rFonts w:cs="Times New Roman"/>
                <w:sz w:val="26"/>
                <w:szCs w:val="26"/>
                <w:lang w:eastAsia="ar-SA"/>
              </w:rPr>
              <w:t>i</w:t>
            </w:r>
            <w:r w:rsidRPr="007A119E">
              <w:rPr>
                <w:rFonts w:cs="Times New Roman"/>
                <w:sz w:val="26"/>
                <w:szCs w:val="26"/>
                <w:lang w:eastAsia="ar-SA"/>
              </w:rPr>
              <w:t xml:space="preserve"> intelektuālā īpašuma tiesību strīdu izšķiršanā atbilstoši K</w:t>
            </w:r>
            <w:r w:rsidR="00C11FAE" w:rsidRPr="007A119E">
              <w:rPr>
                <w:rFonts w:cs="Times New Roman"/>
                <w:sz w:val="26"/>
                <w:szCs w:val="26"/>
                <w:lang w:eastAsia="ar-SA"/>
              </w:rPr>
              <w:t xml:space="preserve">onceptuālajā ziņojumā minētajam, kā arī </w:t>
            </w:r>
            <w:r w:rsidRPr="007A119E">
              <w:rPr>
                <w:rFonts w:cs="Times New Roman"/>
                <w:sz w:val="26"/>
                <w:szCs w:val="26"/>
                <w:lang w:eastAsia="ar-SA"/>
              </w:rPr>
              <w:t>reglamentē</w:t>
            </w:r>
            <w:r w:rsidR="00C11FAE" w:rsidRPr="007A119E">
              <w:rPr>
                <w:rFonts w:cs="Times New Roman"/>
                <w:sz w:val="26"/>
                <w:szCs w:val="26"/>
                <w:lang w:eastAsia="ar-SA"/>
              </w:rPr>
              <w:t>jot</w:t>
            </w:r>
            <w:r w:rsidRPr="007A119E">
              <w:rPr>
                <w:rFonts w:cs="Times New Roman"/>
                <w:sz w:val="26"/>
                <w:szCs w:val="26"/>
                <w:lang w:eastAsia="ar-SA"/>
              </w:rPr>
              <w:t xml:space="preserve"> muitas kontroles </w:t>
            </w:r>
            <w:r w:rsidR="00C11FAE" w:rsidRPr="007A119E">
              <w:rPr>
                <w:rFonts w:cs="Times New Roman"/>
                <w:sz w:val="26"/>
                <w:szCs w:val="26"/>
                <w:lang w:eastAsia="ar-SA"/>
              </w:rPr>
              <w:t>pasākumus</w:t>
            </w:r>
            <w:r w:rsidRPr="007A119E">
              <w:rPr>
                <w:rFonts w:cs="Times New Roman"/>
                <w:sz w:val="26"/>
                <w:szCs w:val="26"/>
                <w:lang w:eastAsia="ar-SA"/>
              </w:rPr>
              <w:t xml:space="preserve"> intelektuālā īpašuma tiesību aizsardzībai</w:t>
            </w:r>
            <w:r w:rsidR="00B238D7" w:rsidRPr="007A119E">
              <w:rPr>
                <w:rFonts w:cs="Times New Roman"/>
                <w:sz w:val="26"/>
                <w:szCs w:val="26"/>
                <w:lang w:eastAsia="ar-SA"/>
              </w:rPr>
              <w:t xml:space="preserve"> un </w:t>
            </w:r>
            <w:r w:rsidRPr="007A119E">
              <w:rPr>
                <w:rFonts w:cs="Times New Roman"/>
                <w:sz w:val="26"/>
                <w:szCs w:val="26"/>
                <w:lang w:eastAsia="ar-SA"/>
              </w:rPr>
              <w:t>personas rīcīb</w:t>
            </w:r>
            <w:r w:rsidR="00B238D7" w:rsidRPr="007A119E">
              <w:rPr>
                <w:rFonts w:cs="Times New Roman"/>
                <w:sz w:val="26"/>
                <w:szCs w:val="26"/>
                <w:lang w:eastAsia="ar-SA"/>
              </w:rPr>
              <w:t>u</w:t>
            </w:r>
            <w:r w:rsidRPr="007A119E">
              <w:rPr>
                <w:rFonts w:cs="Times New Roman"/>
                <w:sz w:val="26"/>
                <w:szCs w:val="26"/>
                <w:lang w:eastAsia="ar-SA"/>
              </w:rPr>
              <w:t xml:space="preserve"> gadījumos, kad tiesā ir iesniegts prasības pieteikums par tiesvedības uzsākšanu par viltotām precēm</w:t>
            </w:r>
            <w:r w:rsidR="003F65F5" w:rsidRPr="007A119E">
              <w:rPr>
                <w:rFonts w:cs="Times New Roman"/>
                <w:sz w:val="26"/>
                <w:szCs w:val="26"/>
                <w:lang w:eastAsia="ar-SA"/>
              </w:rPr>
              <w:t xml:space="preserve"> </w:t>
            </w:r>
            <w:r w:rsidR="003F65F5" w:rsidRPr="007A119E">
              <w:rPr>
                <w:rFonts w:eastAsia="Times New Roman"/>
                <w:iCs/>
                <w:sz w:val="26"/>
                <w:szCs w:val="26"/>
                <w:lang w:eastAsia="lv-LV"/>
              </w:rPr>
              <w:t xml:space="preserve">vai pieteikums par pagaidu aizsardzības līdzekļa noteikšanu pirms prasības celšanas tiesā par </w:t>
            </w:r>
            <w:r w:rsidR="003F65F5" w:rsidRPr="007A119E">
              <w:rPr>
                <w:rFonts w:eastAsia="Times New Roman"/>
                <w:iCs/>
                <w:sz w:val="26"/>
                <w:szCs w:val="26"/>
                <w:lang w:eastAsia="lv-LV"/>
              </w:rPr>
              <w:lastRenderedPageBreak/>
              <w:t>minētajām precēm</w:t>
            </w:r>
            <w:r w:rsidRPr="007A119E">
              <w:rPr>
                <w:rFonts w:cs="Times New Roman"/>
                <w:sz w:val="26"/>
                <w:szCs w:val="26"/>
                <w:lang w:eastAsia="ar-SA"/>
              </w:rPr>
              <w:t>. Atsevišķu jautājumu noteikšana tiek deleģēta Ministru kabinetam.</w:t>
            </w:r>
          </w:p>
          <w:p w14:paraId="0E1FEBD8" w14:textId="338DD663" w:rsidR="006E71E3" w:rsidRPr="007A119E" w:rsidRDefault="00C11FAE" w:rsidP="002C72B4">
            <w:pPr>
              <w:tabs>
                <w:tab w:val="left" w:pos="709"/>
                <w:tab w:val="left" w:pos="7040"/>
              </w:tabs>
              <w:spacing w:before="120"/>
              <w:ind w:left="57" w:right="57"/>
              <w:jc w:val="both"/>
              <w:rPr>
                <w:rFonts w:eastAsia="Times New Roman"/>
                <w:iCs/>
                <w:sz w:val="26"/>
                <w:szCs w:val="26"/>
                <w:lang w:eastAsia="lv-LV"/>
              </w:rPr>
            </w:pPr>
            <w:r w:rsidRPr="007A119E">
              <w:rPr>
                <w:rFonts w:cs="Times New Roman"/>
                <w:sz w:val="26"/>
                <w:szCs w:val="26"/>
                <w:lang w:eastAsia="ar-SA"/>
              </w:rPr>
              <w:t xml:space="preserve">Ar likumprojektu </w:t>
            </w:r>
            <w:r w:rsidRPr="007A119E">
              <w:rPr>
                <w:bCs/>
                <w:sz w:val="26"/>
                <w:szCs w:val="26"/>
                <w:shd w:val="clear" w:color="auto" w:fill="FFFFFF"/>
              </w:rPr>
              <w:t>“Grozījumi Muitas likumā” (</w:t>
            </w:r>
            <w:r w:rsidR="00714959">
              <w:rPr>
                <w:bCs/>
                <w:sz w:val="26"/>
                <w:szCs w:val="26"/>
                <w:shd w:val="clear" w:color="auto" w:fill="FFFFFF"/>
              </w:rPr>
              <w:t>1016</w:t>
            </w:r>
            <w:r w:rsidRPr="00714959">
              <w:rPr>
                <w:bCs/>
                <w:sz w:val="26"/>
                <w:szCs w:val="26"/>
                <w:shd w:val="clear" w:color="auto" w:fill="FFFFFF"/>
              </w:rPr>
              <w:t>/Lp13</w:t>
            </w:r>
            <w:r w:rsidRPr="007A119E">
              <w:rPr>
                <w:bCs/>
                <w:sz w:val="26"/>
                <w:szCs w:val="26"/>
                <w:shd w:val="clear" w:color="auto" w:fill="FFFFFF"/>
              </w:rPr>
              <w:t>), Muitas likums tiek papildināts ar jaunu 14.</w:t>
            </w:r>
            <w:r w:rsidRPr="007A119E">
              <w:rPr>
                <w:bCs/>
                <w:sz w:val="26"/>
                <w:szCs w:val="26"/>
                <w:shd w:val="clear" w:color="auto" w:fill="FFFFFF"/>
                <w:vertAlign w:val="superscript"/>
              </w:rPr>
              <w:t xml:space="preserve">2 </w:t>
            </w:r>
            <w:r w:rsidRPr="007A119E">
              <w:rPr>
                <w:bCs/>
                <w:sz w:val="26"/>
                <w:szCs w:val="26"/>
                <w:shd w:val="clear" w:color="auto" w:fill="FFFFFF"/>
              </w:rPr>
              <w:t>pantu, kas nosaka rīcību gadījumos, kad tiesā ir iesniegts prasības pieteikums</w:t>
            </w:r>
            <w:r w:rsidR="00AA2F76" w:rsidRPr="007A119E">
              <w:rPr>
                <w:bCs/>
                <w:sz w:val="26"/>
                <w:szCs w:val="26"/>
                <w:shd w:val="clear" w:color="auto" w:fill="FFFFFF"/>
              </w:rPr>
              <w:t xml:space="preserve"> </w:t>
            </w:r>
            <w:r w:rsidR="00AA2F76" w:rsidRPr="007A119E">
              <w:rPr>
                <w:rFonts w:eastAsia="Times New Roman"/>
                <w:iCs/>
                <w:sz w:val="26"/>
                <w:szCs w:val="26"/>
                <w:lang w:eastAsia="lv-LV"/>
              </w:rPr>
              <w:t>vai pieteikums par pagaidu aizsardzības līdzekļa noteikšanu pirms prasības celšanas tiesā</w:t>
            </w:r>
            <w:r w:rsidRPr="007A119E">
              <w:rPr>
                <w:bCs/>
                <w:sz w:val="26"/>
                <w:szCs w:val="26"/>
                <w:shd w:val="clear" w:color="auto" w:fill="FFFFFF"/>
              </w:rPr>
              <w:t xml:space="preserve">. Minētā likuma norma attieksies uz gadījumiem, kad </w:t>
            </w:r>
            <w:r w:rsidR="006E71E3" w:rsidRPr="007A119E">
              <w:rPr>
                <w:bCs/>
                <w:sz w:val="26"/>
                <w:szCs w:val="26"/>
                <w:shd w:val="clear" w:color="auto" w:fill="FFFFFF"/>
              </w:rPr>
              <w:t xml:space="preserve">muitas iestādei radīsies aizdomas, ka ir viltotas </w:t>
            </w:r>
            <w:r w:rsidR="006E71E3" w:rsidRPr="007A119E">
              <w:rPr>
                <w:rFonts w:eastAsia="Times New Roman"/>
                <w:iCs/>
                <w:sz w:val="26"/>
                <w:szCs w:val="26"/>
                <w:lang w:eastAsia="lv-LV"/>
              </w:rPr>
              <w:t>muitas kontrolei pakļautās preces, uz kurām neattiecas regulas Nr. 2015/2446 135. līdz 141. panta un 144. panta nosacījumi</w:t>
            </w:r>
            <w:r w:rsidR="005805A3" w:rsidRPr="007A119E">
              <w:rPr>
                <w:rFonts w:eastAsia="Times New Roman"/>
                <w:iCs/>
                <w:sz w:val="26"/>
                <w:szCs w:val="26"/>
                <w:lang w:eastAsia="lv-LV"/>
              </w:rPr>
              <w:t xml:space="preserve">. </w:t>
            </w:r>
            <w:r w:rsidR="006E71E3" w:rsidRPr="007A119E">
              <w:rPr>
                <w:rFonts w:eastAsia="Times New Roman"/>
                <w:iCs/>
                <w:sz w:val="26"/>
                <w:szCs w:val="26"/>
                <w:lang w:eastAsia="lv-LV"/>
              </w:rPr>
              <w:t>Šādos gadījumos to, vai tiek pārkāptas intelektuālā īpašuma tiesības, noteiks tiesa.</w:t>
            </w:r>
          </w:p>
          <w:p w14:paraId="049F3C07" w14:textId="77777777" w:rsidR="005805A3" w:rsidRPr="007A119E" w:rsidRDefault="006E71E3" w:rsidP="007C7EAD">
            <w:pPr>
              <w:spacing w:before="120"/>
              <w:ind w:left="57" w:right="57"/>
              <w:jc w:val="both"/>
              <w:rPr>
                <w:rFonts w:eastAsia="Times New Roman"/>
                <w:iCs/>
                <w:sz w:val="26"/>
                <w:szCs w:val="26"/>
                <w:lang w:eastAsia="lv-LV"/>
              </w:rPr>
            </w:pPr>
            <w:r w:rsidRPr="007A119E">
              <w:rPr>
                <w:rFonts w:eastAsia="Times New Roman"/>
                <w:iCs/>
                <w:sz w:val="26"/>
                <w:szCs w:val="26"/>
                <w:lang w:eastAsia="lv-LV"/>
              </w:rPr>
              <w:t>Savukārt ar Muitas likuma 14.</w:t>
            </w:r>
            <w:r w:rsidRPr="007A119E">
              <w:rPr>
                <w:rFonts w:eastAsia="Times New Roman"/>
                <w:iCs/>
                <w:sz w:val="26"/>
                <w:szCs w:val="26"/>
                <w:vertAlign w:val="superscript"/>
                <w:lang w:eastAsia="lv-LV"/>
              </w:rPr>
              <w:t>1</w:t>
            </w:r>
            <w:r w:rsidRPr="007A119E">
              <w:rPr>
                <w:rFonts w:eastAsia="Times New Roman"/>
                <w:iCs/>
                <w:sz w:val="26"/>
                <w:szCs w:val="26"/>
                <w:lang w:eastAsia="lv-LV"/>
              </w:rPr>
              <w:t xml:space="preserve"> pantu tiks noteikta VID kompetence un muitas kontroles pasākumi intelektuālā īpašuma tiesību aizsardzībai attiecībā uz muitas kontrolei pakļautām precēm, uz kurām attiecas regulas Nr. 2015/2446 135. līdz 141. panta un 144. panta nosacījumi</w:t>
            </w:r>
            <w:r w:rsidR="005805A3" w:rsidRPr="007A119E">
              <w:rPr>
                <w:rFonts w:eastAsia="Times New Roman"/>
                <w:iCs/>
                <w:sz w:val="26"/>
                <w:szCs w:val="26"/>
                <w:lang w:eastAsia="lv-LV"/>
              </w:rPr>
              <w:t>.</w:t>
            </w:r>
          </w:p>
          <w:p w14:paraId="55D7F431" w14:textId="05092F9E" w:rsidR="005805A3" w:rsidRPr="007A119E" w:rsidRDefault="00D3485D" w:rsidP="007C7EAD">
            <w:pPr>
              <w:spacing w:before="120"/>
              <w:ind w:left="57" w:right="57"/>
              <w:jc w:val="both"/>
              <w:rPr>
                <w:rFonts w:eastAsia="Times New Roman"/>
                <w:sz w:val="26"/>
                <w:szCs w:val="26"/>
                <w:lang w:eastAsia="lv-LV"/>
              </w:rPr>
            </w:pPr>
            <w:r w:rsidRPr="007A119E">
              <w:rPr>
                <w:rFonts w:eastAsia="Times New Roman"/>
                <w:iCs/>
                <w:sz w:val="26"/>
                <w:szCs w:val="26"/>
                <w:lang w:eastAsia="lv-LV"/>
              </w:rPr>
              <w:t>Saskaņā ar Muitas likuma 14.</w:t>
            </w:r>
            <w:r w:rsidRPr="007A119E">
              <w:rPr>
                <w:rFonts w:eastAsia="Times New Roman"/>
                <w:iCs/>
                <w:sz w:val="26"/>
                <w:szCs w:val="26"/>
                <w:vertAlign w:val="superscript"/>
                <w:lang w:eastAsia="lv-LV"/>
              </w:rPr>
              <w:t>1</w:t>
            </w:r>
            <w:r w:rsidRPr="007A119E">
              <w:rPr>
                <w:rFonts w:eastAsia="Times New Roman"/>
                <w:iCs/>
                <w:sz w:val="26"/>
                <w:szCs w:val="26"/>
                <w:lang w:eastAsia="lv-LV"/>
              </w:rPr>
              <w:t xml:space="preserve"> pantu, ja muitas kontrolei pakļauto preču, uz kurām attiecas regulas Nr. 2015/2446 135. līdz 141. panta un 144. panta nosacījumi, </w:t>
            </w:r>
            <w:r w:rsidRPr="007A119E">
              <w:rPr>
                <w:rFonts w:eastAsia="Times New Roman"/>
                <w:sz w:val="26"/>
                <w:szCs w:val="26"/>
                <w:lang w:eastAsia="lv-LV"/>
              </w:rPr>
              <w:t xml:space="preserve">deklarētājs vai valdītājs saskaņā ar </w:t>
            </w:r>
            <w:r w:rsidRPr="007A119E">
              <w:rPr>
                <w:rFonts w:eastAsia="Times New Roman"/>
                <w:iCs/>
                <w:sz w:val="26"/>
                <w:szCs w:val="26"/>
                <w:lang w:eastAsia="lv-LV"/>
              </w:rPr>
              <w:t>Regulas Nr.</w:t>
            </w:r>
            <w:r w:rsidR="008B0DEF">
              <w:rPr>
                <w:rFonts w:eastAsia="Times New Roman"/>
                <w:iCs/>
                <w:sz w:val="26"/>
                <w:szCs w:val="26"/>
                <w:lang w:eastAsia="lv-LV"/>
              </w:rPr>
              <w:t> </w:t>
            </w:r>
            <w:r w:rsidRPr="007A119E">
              <w:rPr>
                <w:rFonts w:eastAsia="Times New Roman"/>
                <w:iCs/>
                <w:sz w:val="26"/>
                <w:szCs w:val="26"/>
                <w:lang w:eastAsia="lv-LV"/>
              </w:rPr>
              <w:t>608/2013</w:t>
            </w:r>
            <w:r w:rsidR="0004702D" w:rsidRPr="007A119E">
              <w:rPr>
                <w:rStyle w:val="FootnoteReference"/>
                <w:rFonts w:eastAsia="Times New Roman"/>
                <w:iCs/>
                <w:sz w:val="26"/>
                <w:szCs w:val="26"/>
                <w:lang w:eastAsia="lv-LV"/>
              </w:rPr>
              <w:footnoteReference w:id="5"/>
            </w:r>
            <w:r w:rsidRPr="007A119E">
              <w:rPr>
                <w:rFonts w:eastAsia="Times New Roman"/>
                <w:iCs/>
                <w:sz w:val="26"/>
                <w:szCs w:val="26"/>
                <w:lang w:eastAsia="lv-LV"/>
              </w:rPr>
              <w:t xml:space="preserve"> 23. panta 3. punktu </w:t>
            </w:r>
            <w:r w:rsidRPr="007A119E">
              <w:rPr>
                <w:rFonts w:eastAsia="Times New Roman"/>
                <w:sz w:val="26"/>
                <w:szCs w:val="26"/>
                <w:lang w:eastAsia="lv-LV"/>
              </w:rPr>
              <w:t xml:space="preserve">ir iesniedzis </w:t>
            </w:r>
            <w:r w:rsidR="00BA69E4" w:rsidRPr="007A119E">
              <w:rPr>
                <w:rFonts w:eastAsia="Times New Roman"/>
                <w:sz w:val="26"/>
                <w:szCs w:val="26"/>
                <w:lang w:eastAsia="lv-LV"/>
              </w:rPr>
              <w:t>VID</w:t>
            </w:r>
            <w:r w:rsidRPr="007A119E">
              <w:rPr>
                <w:rFonts w:eastAsia="Times New Roman"/>
                <w:sz w:val="26"/>
                <w:szCs w:val="26"/>
                <w:lang w:eastAsia="lv-LV"/>
              </w:rPr>
              <w:t xml:space="preserve"> rakstiskus iebildumus pret preču iznīcināšanu, </w:t>
            </w:r>
            <w:r w:rsidR="00BA69E4" w:rsidRPr="007A119E">
              <w:rPr>
                <w:rFonts w:eastAsia="Times New Roman"/>
                <w:sz w:val="26"/>
                <w:szCs w:val="26"/>
                <w:lang w:eastAsia="lv-LV"/>
              </w:rPr>
              <w:t>VID</w:t>
            </w:r>
            <w:r w:rsidRPr="007A119E">
              <w:rPr>
                <w:rFonts w:eastAsia="Times New Roman"/>
                <w:sz w:val="26"/>
                <w:szCs w:val="26"/>
                <w:lang w:eastAsia="lv-LV"/>
              </w:rPr>
              <w:t>, pamatojoties uz lēmuma saņēmēja</w:t>
            </w:r>
            <w:r w:rsidR="00D011F3" w:rsidRPr="007A119E">
              <w:rPr>
                <w:rStyle w:val="FootnoteReference"/>
                <w:rFonts w:eastAsia="Times New Roman"/>
                <w:sz w:val="26"/>
                <w:szCs w:val="26"/>
                <w:lang w:eastAsia="lv-LV"/>
              </w:rPr>
              <w:footnoteReference w:id="6"/>
            </w:r>
            <w:r w:rsidRPr="007A119E">
              <w:rPr>
                <w:rFonts w:eastAsia="Times New Roman"/>
                <w:sz w:val="26"/>
                <w:szCs w:val="26"/>
                <w:lang w:eastAsia="lv-LV"/>
              </w:rPr>
              <w:t xml:space="preserve"> sniegtu apstiprinājumu par intelektuālā īpašuma tiesību pārkāpumu</w:t>
            </w:r>
            <w:r w:rsidR="008A2EBC" w:rsidRPr="007A119E">
              <w:rPr>
                <w:rStyle w:val="FootnoteReference"/>
                <w:rFonts w:eastAsia="Times New Roman"/>
                <w:sz w:val="26"/>
                <w:szCs w:val="26"/>
                <w:lang w:eastAsia="lv-LV"/>
              </w:rPr>
              <w:footnoteReference w:id="7"/>
            </w:r>
            <w:r w:rsidRPr="007A119E">
              <w:rPr>
                <w:rFonts w:eastAsia="Times New Roman"/>
                <w:sz w:val="26"/>
                <w:szCs w:val="26"/>
                <w:lang w:eastAsia="lv-LV"/>
              </w:rPr>
              <w:t xml:space="preserve"> un citiem lietā esošiem pierādījumiem, izvērtē </w:t>
            </w:r>
            <w:r w:rsidRPr="007A119E">
              <w:rPr>
                <w:rFonts w:eastAsia="Times New Roman"/>
                <w:iCs/>
                <w:sz w:val="26"/>
                <w:szCs w:val="26"/>
                <w:lang w:eastAsia="lv-LV"/>
              </w:rPr>
              <w:t xml:space="preserve">intelektuālā īpašuma tiesību pārkāpuma esību attiecībā uz minētajām precēm. </w:t>
            </w:r>
            <w:r w:rsidRPr="007A119E">
              <w:rPr>
                <w:rFonts w:eastAsia="Times New Roman"/>
                <w:sz w:val="26"/>
                <w:szCs w:val="26"/>
                <w:lang w:eastAsia="lv-LV"/>
              </w:rPr>
              <w:t xml:space="preserve">Ja </w:t>
            </w:r>
            <w:r w:rsidR="00BA69E4" w:rsidRPr="007A119E">
              <w:rPr>
                <w:rFonts w:eastAsia="Times New Roman"/>
                <w:sz w:val="26"/>
                <w:szCs w:val="26"/>
                <w:lang w:eastAsia="lv-LV"/>
              </w:rPr>
              <w:t>VID</w:t>
            </w:r>
            <w:r w:rsidRPr="007A119E">
              <w:rPr>
                <w:rFonts w:eastAsia="Times New Roman"/>
                <w:sz w:val="26"/>
                <w:szCs w:val="26"/>
                <w:lang w:eastAsia="lv-LV"/>
              </w:rPr>
              <w:t xml:space="preserve"> konstatē intelektuālā īpašuma tiesību pārkāpumu, </w:t>
            </w:r>
            <w:r w:rsidR="00BA69E4" w:rsidRPr="007A119E">
              <w:rPr>
                <w:rFonts w:eastAsia="Times New Roman"/>
                <w:sz w:val="26"/>
                <w:szCs w:val="26"/>
                <w:lang w:eastAsia="lv-LV"/>
              </w:rPr>
              <w:t>VID</w:t>
            </w:r>
            <w:r w:rsidRPr="007A119E">
              <w:rPr>
                <w:rFonts w:eastAsia="Times New Roman"/>
                <w:sz w:val="26"/>
                <w:szCs w:val="26"/>
                <w:lang w:eastAsia="lv-LV"/>
              </w:rPr>
              <w:t xml:space="preserve"> saskaņā ar regulas Nr. 952/2013 198. panta 1. punkta “b” apakšpunkta “iv” punktu pieņem lēmumu par  preču, ar kurām tiek pārkāptas intelektuālā īpašuma tiesības, nodošanu iznīcināšanai lēmuma saņēmējam.</w:t>
            </w:r>
            <w:r w:rsidRPr="007A119E" w:rsidDel="00903647">
              <w:rPr>
                <w:rFonts w:eastAsia="Times New Roman"/>
                <w:sz w:val="26"/>
                <w:szCs w:val="26"/>
                <w:lang w:eastAsia="lv-LV"/>
              </w:rPr>
              <w:t xml:space="preserve"> </w:t>
            </w:r>
          </w:p>
          <w:p w14:paraId="41787315" w14:textId="535505D6" w:rsidR="005805A3" w:rsidRPr="007A119E" w:rsidRDefault="00AA2F76" w:rsidP="007C7EAD">
            <w:pPr>
              <w:spacing w:before="120"/>
              <w:ind w:left="57" w:right="57"/>
              <w:jc w:val="both"/>
              <w:rPr>
                <w:rFonts w:eastAsia="Times New Roman"/>
                <w:sz w:val="26"/>
                <w:szCs w:val="26"/>
                <w:lang w:eastAsia="lv-LV"/>
              </w:rPr>
            </w:pPr>
            <w:r w:rsidRPr="007A119E">
              <w:rPr>
                <w:rFonts w:eastAsia="Times New Roman"/>
                <w:sz w:val="26"/>
                <w:szCs w:val="26"/>
                <w:lang w:eastAsia="lv-LV"/>
              </w:rPr>
              <w:t xml:space="preserve">Attiecīgi </w:t>
            </w:r>
            <w:r w:rsidR="00346759" w:rsidRPr="007A119E">
              <w:rPr>
                <w:rFonts w:eastAsia="Times New Roman"/>
                <w:sz w:val="26"/>
                <w:szCs w:val="26"/>
                <w:lang w:eastAsia="lv-LV"/>
              </w:rPr>
              <w:t xml:space="preserve">Muitas likuma </w:t>
            </w:r>
            <w:r w:rsidR="00346759" w:rsidRPr="007A119E">
              <w:rPr>
                <w:rFonts w:eastAsia="Times New Roman"/>
                <w:iCs/>
                <w:sz w:val="26"/>
                <w:szCs w:val="26"/>
                <w:lang w:eastAsia="lv-LV"/>
              </w:rPr>
              <w:t>14.</w:t>
            </w:r>
            <w:r w:rsidRPr="007A119E">
              <w:rPr>
                <w:rFonts w:eastAsia="Times New Roman"/>
                <w:iCs/>
                <w:sz w:val="26"/>
                <w:szCs w:val="26"/>
                <w:vertAlign w:val="superscript"/>
                <w:lang w:eastAsia="lv-LV"/>
              </w:rPr>
              <w:t>5</w:t>
            </w:r>
            <w:r w:rsidR="00346759" w:rsidRPr="007A119E">
              <w:rPr>
                <w:rFonts w:eastAsia="Times New Roman"/>
                <w:iCs/>
                <w:sz w:val="26"/>
                <w:szCs w:val="26"/>
                <w:lang w:eastAsia="lv-LV"/>
              </w:rPr>
              <w:t xml:space="preserve"> panta </w:t>
            </w:r>
            <w:r w:rsidRPr="007A119E">
              <w:rPr>
                <w:rFonts w:eastAsia="Times New Roman"/>
                <w:iCs/>
                <w:sz w:val="26"/>
                <w:szCs w:val="26"/>
                <w:lang w:eastAsia="lv-LV"/>
              </w:rPr>
              <w:t xml:space="preserve">pirmā, otrā, trešā un ceturtā </w:t>
            </w:r>
            <w:r w:rsidR="00346759" w:rsidRPr="007A119E">
              <w:rPr>
                <w:rFonts w:eastAsia="Times New Roman"/>
                <w:iCs/>
                <w:sz w:val="26"/>
                <w:szCs w:val="26"/>
                <w:lang w:eastAsia="lv-LV"/>
              </w:rPr>
              <w:t xml:space="preserve">daļa paredz Ministru kabinetam noteikt (1) kārtību, </w:t>
            </w:r>
            <w:r w:rsidR="00346759" w:rsidRPr="007A119E">
              <w:rPr>
                <w:rFonts w:eastAsia="Times New Roman"/>
                <w:sz w:val="26"/>
                <w:szCs w:val="26"/>
                <w:lang w:eastAsia="lv-LV"/>
              </w:rPr>
              <w:t xml:space="preserve">kādā īsteno muitas kontroles </w:t>
            </w:r>
            <w:r w:rsidR="00346759" w:rsidRPr="007A119E">
              <w:rPr>
                <w:rFonts w:eastAsia="Times New Roman"/>
                <w:sz w:val="26"/>
                <w:szCs w:val="26"/>
                <w:lang w:eastAsia="lv-LV"/>
              </w:rPr>
              <w:lastRenderedPageBreak/>
              <w:t>pasākumus intelektuālā īpašuma tiesību aizsardzībai; (2) lēmuma, ar kuru tiek apstiprināts lūgums muitas iestādei rīkoties attiecībā uz precēm, par kurām ir aizdomas, ka ar tām tiek pārkāptas intelektuālā īpašuma tiesības, saņēmēja pienākumus muitas kontroles pasākumu īstenošanas procesā; (</w:t>
            </w:r>
            <w:r w:rsidR="00346759" w:rsidRPr="007A119E">
              <w:rPr>
                <w:rFonts w:eastAsia="Times New Roman"/>
                <w:iCs/>
                <w:sz w:val="26"/>
                <w:szCs w:val="26"/>
                <w:lang w:eastAsia="lv-LV"/>
              </w:rPr>
              <w:t>3) lēmuma saņēmēja apstiprinājumā par intelektuālā īpašuma tiesību pārkāpumu norādāmo informāciju; (</w:t>
            </w:r>
            <w:r w:rsidR="00346759" w:rsidRPr="007A119E">
              <w:rPr>
                <w:rFonts w:eastAsia="Times New Roman"/>
                <w:sz w:val="26"/>
                <w:szCs w:val="26"/>
                <w:lang w:eastAsia="lv-LV"/>
              </w:rPr>
              <w:t xml:space="preserve">4) kārtību, kādā </w:t>
            </w:r>
            <w:r w:rsidR="00346759" w:rsidRPr="007A119E">
              <w:rPr>
                <w:bCs/>
                <w:iCs/>
                <w:sz w:val="26"/>
                <w:szCs w:val="26"/>
              </w:rPr>
              <w:t xml:space="preserve">lēmuma saņēmējs regulas </w:t>
            </w:r>
            <w:r w:rsidR="000C172B">
              <w:rPr>
                <w:bCs/>
                <w:iCs/>
                <w:sz w:val="26"/>
                <w:szCs w:val="26"/>
              </w:rPr>
              <w:t>Nr. </w:t>
            </w:r>
            <w:r w:rsidR="00346759" w:rsidRPr="007A119E">
              <w:rPr>
                <w:bCs/>
                <w:iCs/>
                <w:sz w:val="26"/>
                <w:szCs w:val="26"/>
              </w:rPr>
              <w:t>608/2013 izpratnē</w:t>
            </w:r>
            <w:r w:rsidR="00346759" w:rsidRPr="007A119E">
              <w:rPr>
                <w:bCs/>
                <w:sz w:val="26"/>
                <w:szCs w:val="26"/>
              </w:rPr>
              <w:t xml:space="preserve"> </w:t>
            </w:r>
            <w:r w:rsidR="00346759" w:rsidRPr="007A119E">
              <w:rPr>
                <w:rFonts w:eastAsia="Times New Roman"/>
                <w:sz w:val="26"/>
                <w:szCs w:val="26"/>
                <w:lang w:eastAsia="lv-LV"/>
              </w:rPr>
              <w:t xml:space="preserve">sedz izdevumus par izlaišanai apturēto vai izturēto preču glabāšanu un iznīcināšanu un nosaka šo izdevumu apmēru. </w:t>
            </w:r>
          </w:p>
          <w:p w14:paraId="4C32B358" w14:textId="6CB87821" w:rsidR="002C72B4" w:rsidRPr="007A119E" w:rsidRDefault="00346759" w:rsidP="00D505E2">
            <w:pPr>
              <w:spacing w:before="120"/>
              <w:ind w:left="57" w:right="57"/>
              <w:jc w:val="both"/>
              <w:rPr>
                <w:color w:val="000000"/>
                <w:sz w:val="26"/>
                <w:szCs w:val="26"/>
              </w:rPr>
            </w:pPr>
            <w:r w:rsidRPr="007A119E">
              <w:rPr>
                <w:rFonts w:eastAsia="Times New Roman"/>
                <w:sz w:val="26"/>
                <w:szCs w:val="26"/>
                <w:lang w:eastAsia="lv-LV"/>
              </w:rPr>
              <w:t xml:space="preserve">Ņemot vērā Muitas likuma </w:t>
            </w:r>
            <w:r w:rsidRPr="007A119E">
              <w:rPr>
                <w:rFonts w:eastAsia="Times New Roman"/>
                <w:iCs/>
                <w:sz w:val="26"/>
                <w:szCs w:val="26"/>
                <w:lang w:eastAsia="lv-LV"/>
              </w:rPr>
              <w:t>14.</w:t>
            </w:r>
            <w:r w:rsidR="00AA2F76" w:rsidRPr="007A119E">
              <w:rPr>
                <w:rFonts w:eastAsia="Times New Roman"/>
                <w:iCs/>
                <w:sz w:val="26"/>
                <w:szCs w:val="26"/>
                <w:vertAlign w:val="superscript"/>
                <w:lang w:eastAsia="lv-LV"/>
              </w:rPr>
              <w:t>5</w:t>
            </w:r>
            <w:r w:rsidRPr="007A119E">
              <w:rPr>
                <w:rFonts w:eastAsia="Times New Roman"/>
                <w:iCs/>
                <w:sz w:val="26"/>
                <w:szCs w:val="26"/>
                <w:lang w:eastAsia="lv-LV"/>
              </w:rPr>
              <w:t xml:space="preserve"> panta </w:t>
            </w:r>
            <w:r w:rsidR="00AA2F76" w:rsidRPr="007A119E">
              <w:rPr>
                <w:rFonts w:eastAsia="Times New Roman"/>
                <w:iCs/>
                <w:sz w:val="26"/>
                <w:szCs w:val="26"/>
                <w:lang w:eastAsia="lv-LV"/>
              </w:rPr>
              <w:t xml:space="preserve">pirmajā, otrajā, </w:t>
            </w:r>
            <w:r w:rsidRPr="007A119E">
              <w:rPr>
                <w:rFonts w:eastAsia="Times New Roman"/>
                <w:iCs/>
                <w:sz w:val="26"/>
                <w:szCs w:val="26"/>
                <w:lang w:eastAsia="lv-LV"/>
              </w:rPr>
              <w:t>trešajā</w:t>
            </w:r>
            <w:r w:rsidR="00AA2F76" w:rsidRPr="007A119E">
              <w:rPr>
                <w:rFonts w:eastAsia="Times New Roman"/>
                <w:iCs/>
                <w:sz w:val="26"/>
                <w:szCs w:val="26"/>
                <w:lang w:eastAsia="lv-LV"/>
              </w:rPr>
              <w:t xml:space="preserve"> un ceturtajā</w:t>
            </w:r>
            <w:r w:rsidRPr="007A119E">
              <w:rPr>
                <w:rFonts w:eastAsia="Times New Roman"/>
                <w:iCs/>
                <w:sz w:val="26"/>
                <w:szCs w:val="26"/>
                <w:lang w:eastAsia="lv-LV"/>
              </w:rPr>
              <w:t xml:space="preserve"> daļā doto uzdevumu Ministru kabinetam, nepieciešams</w:t>
            </w:r>
            <w:r w:rsidR="005805A3" w:rsidRPr="007A119E">
              <w:rPr>
                <w:rFonts w:eastAsia="Times New Roman"/>
                <w:iCs/>
                <w:sz w:val="26"/>
                <w:szCs w:val="26"/>
                <w:lang w:eastAsia="lv-LV"/>
              </w:rPr>
              <w:t xml:space="preserve"> atbilstoši</w:t>
            </w:r>
            <w:r w:rsidRPr="007A119E">
              <w:rPr>
                <w:rFonts w:eastAsia="Times New Roman"/>
                <w:iCs/>
                <w:sz w:val="26"/>
                <w:szCs w:val="26"/>
                <w:lang w:eastAsia="lv-LV"/>
              </w:rPr>
              <w:t xml:space="preserve"> pilnveidot MK noteikumu Nr.</w:t>
            </w:r>
            <w:r w:rsidR="008B0DEF">
              <w:rPr>
                <w:rFonts w:eastAsia="Times New Roman"/>
                <w:iCs/>
                <w:sz w:val="26"/>
                <w:szCs w:val="26"/>
                <w:lang w:eastAsia="lv-LV"/>
              </w:rPr>
              <w:t> </w:t>
            </w:r>
            <w:r w:rsidRPr="007A119E">
              <w:rPr>
                <w:rFonts w:eastAsia="Times New Roman"/>
                <w:iCs/>
                <w:sz w:val="26"/>
                <w:szCs w:val="26"/>
                <w:lang w:eastAsia="lv-LV"/>
              </w:rPr>
              <w:t>46</w:t>
            </w:r>
            <w:r w:rsidR="00A5240F" w:rsidRPr="007A119E">
              <w:rPr>
                <w:rFonts w:eastAsia="Times New Roman"/>
                <w:iCs/>
                <w:sz w:val="26"/>
                <w:szCs w:val="26"/>
                <w:lang w:eastAsia="lv-LV"/>
              </w:rPr>
              <w:t>8</w:t>
            </w:r>
            <w:r w:rsidRPr="007A119E">
              <w:rPr>
                <w:rFonts w:eastAsia="Times New Roman"/>
                <w:iCs/>
                <w:sz w:val="26"/>
                <w:szCs w:val="26"/>
                <w:lang w:eastAsia="lv-LV"/>
              </w:rPr>
              <w:t xml:space="preserve"> </w:t>
            </w:r>
            <w:proofErr w:type="spellStart"/>
            <w:r w:rsidRPr="007A119E">
              <w:rPr>
                <w:rFonts w:eastAsia="Times New Roman"/>
                <w:iCs/>
                <w:sz w:val="26"/>
                <w:szCs w:val="26"/>
                <w:lang w:eastAsia="lv-LV"/>
              </w:rPr>
              <w:t>II.nodaļu</w:t>
            </w:r>
            <w:proofErr w:type="spellEnd"/>
            <w:r w:rsidR="005805A3" w:rsidRPr="007A119E">
              <w:rPr>
                <w:rFonts w:eastAsia="Times New Roman"/>
                <w:iCs/>
                <w:sz w:val="26"/>
                <w:szCs w:val="26"/>
                <w:lang w:eastAsia="lv-LV"/>
              </w:rPr>
              <w:t xml:space="preserve"> atbilstoši </w:t>
            </w:r>
            <w:r w:rsidR="007C7EAD" w:rsidRPr="007A119E">
              <w:rPr>
                <w:sz w:val="26"/>
                <w:szCs w:val="26"/>
              </w:rPr>
              <w:t xml:space="preserve">Konceptuālā ziņojuma saturam, kā arī Muitas likuma </w:t>
            </w:r>
            <w:r w:rsidR="007C7EAD" w:rsidRPr="007A119E">
              <w:rPr>
                <w:color w:val="000000"/>
                <w:sz w:val="26"/>
                <w:szCs w:val="26"/>
              </w:rPr>
              <w:t>14.</w:t>
            </w:r>
            <w:r w:rsidR="007C7EAD" w:rsidRPr="007A119E">
              <w:rPr>
                <w:color w:val="000000"/>
                <w:sz w:val="26"/>
                <w:szCs w:val="26"/>
                <w:vertAlign w:val="superscript"/>
              </w:rPr>
              <w:t xml:space="preserve">1 </w:t>
            </w:r>
            <w:r w:rsidR="007C7EAD" w:rsidRPr="007A119E">
              <w:rPr>
                <w:color w:val="000000"/>
                <w:sz w:val="26"/>
                <w:szCs w:val="26"/>
              </w:rPr>
              <w:t>panta saturam un Ministru kabinetam dotajam deleģējumam. Papildus</w:t>
            </w:r>
            <w:r w:rsidR="00B238D7" w:rsidRPr="007A119E">
              <w:rPr>
                <w:color w:val="000000"/>
                <w:sz w:val="26"/>
                <w:szCs w:val="26"/>
              </w:rPr>
              <w:t>,</w:t>
            </w:r>
            <w:r w:rsidR="005805A3" w:rsidRPr="007A119E">
              <w:rPr>
                <w:color w:val="000000"/>
                <w:sz w:val="26"/>
                <w:szCs w:val="26"/>
              </w:rPr>
              <w:t xml:space="preserve"> ar noteikumu projektu</w:t>
            </w:r>
            <w:r w:rsidR="007C7EAD" w:rsidRPr="007A119E">
              <w:rPr>
                <w:color w:val="000000"/>
                <w:sz w:val="26"/>
                <w:szCs w:val="26"/>
              </w:rPr>
              <w:t xml:space="preserve"> </w:t>
            </w:r>
            <w:r w:rsidR="005805A3" w:rsidRPr="007A119E">
              <w:rPr>
                <w:rFonts w:eastAsia="Times New Roman"/>
                <w:iCs/>
                <w:sz w:val="26"/>
                <w:szCs w:val="26"/>
                <w:lang w:eastAsia="lv-LV"/>
              </w:rPr>
              <w:t>MK noteikumos Nr.</w:t>
            </w:r>
            <w:r w:rsidR="008B0DEF">
              <w:rPr>
                <w:rFonts w:eastAsia="Times New Roman"/>
                <w:iCs/>
                <w:sz w:val="26"/>
                <w:szCs w:val="26"/>
                <w:lang w:eastAsia="lv-LV"/>
              </w:rPr>
              <w:t> </w:t>
            </w:r>
            <w:r w:rsidR="005805A3" w:rsidRPr="007A119E">
              <w:rPr>
                <w:rFonts w:eastAsia="Times New Roman"/>
                <w:iCs/>
                <w:sz w:val="26"/>
                <w:szCs w:val="26"/>
                <w:lang w:eastAsia="lv-LV"/>
              </w:rPr>
              <w:t>46</w:t>
            </w:r>
            <w:r w:rsidR="00A5240F" w:rsidRPr="007A119E">
              <w:rPr>
                <w:rFonts w:eastAsia="Times New Roman"/>
                <w:iCs/>
                <w:sz w:val="26"/>
                <w:szCs w:val="26"/>
                <w:lang w:eastAsia="lv-LV"/>
              </w:rPr>
              <w:t>8</w:t>
            </w:r>
            <w:r w:rsidR="005805A3" w:rsidRPr="007A119E">
              <w:rPr>
                <w:rFonts w:eastAsia="Times New Roman"/>
                <w:iCs/>
                <w:sz w:val="26"/>
                <w:szCs w:val="26"/>
                <w:lang w:eastAsia="lv-LV"/>
              </w:rPr>
              <w:t xml:space="preserve"> </w:t>
            </w:r>
            <w:r w:rsidR="007C7EAD" w:rsidRPr="007A119E">
              <w:rPr>
                <w:color w:val="000000"/>
                <w:sz w:val="26"/>
                <w:szCs w:val="26"/>
              </w:rPr>
              <w:t>tiek iekļauta jauna nodaļa, atbilstoši Muitas likuma 14.</w:t>
            </w:r>
            <w:r w:rsidR="009E68ED" w:rsidRPr="007A119E">
              <w:rPr>
                <w:color w:val="000000"/>
                <w:sz w:val="26"/>
                <w:szCs w:val="26"/>
                <w:vertAlign w:val="superscript"/>
              </w:rPr>
              <w:t>5</w:t>
            </w:r>
            <w:r w:rsidR="007C7EAD" w:rsidRPr="007A119E">
              <w:rPr>
                <w:color w:val="000000"/>
                <w:sz w:val="26"/>
                <w:szCs w:val="26"/>
                <w:vertAlign w:val="superscript"/>
              </w:rPr>
              <w:t xml:space="preserve"> </w:t>
            </w:r>
            <w:r w:rsidR="009E68ED" w:rsidRPr="007A119E">
              <w:rPr>
                <w:color w:val="000000"/>
                <w:sz w:val="26"/>
                <w:szCs w:val="26"/>
              </w:rPr>
              <w:t>panta piektajā un sestajā daļā</w:t>
            </w:r>
            <w:r w:rsidR="007C7EAD" w:rsidRPr="007A119E">
              <w:rPr>
                <w:color w:val="000000"/>
                <w:sz w:val="26"/>
                <w:szCs w:val="26"/>
              </w:rPr>
              <w:t xml:space="preserve"> Ministru kabinetam dotajam deleģējumam paredzot preču paraugu izņemšanas un atdošanas kārtību. </w:t>
            </w:r>
          </w:p>
          <w:p w14:paraId="13DFB3E7" w14:textId="6F140D6F" w:rsidR="00A8447B" w:rsidRPr="007A119E" w:rsidRDefault="00D830CE" w:rsidP="002C72B4">
            <w:pPr>
              <w:spacing w:before="120"/>
              <w:ind w:left="57" w:right="57"/>
              <w:jc w:val="both"/>
              <w:rPr>
                <w:rFonts w:cs="Times New Roman"/>
                <w:sz w:val="26"/>
                <w:szCs w:val="26"/>
              </w:rPr>
            </w:pPr>
            <w:r w:rsidRPr="007A119E">
              <w:rPr>
                <w:rFonts w:cs="Times New Roman"/>
                <w:sz w:val="26"/>
                <w:szCs w:val="26"/>
              </w:rPr>
              <w:t>MK noteikumu Nr.</w:t>
            </w:r>
            <w:r w:rsidR="008B0DEF">
              <w:rPr>
                <w:rFonts w:cs="Times New Roman"/>
                <w:sz w:val="26"/>
                <w:szCs w:val="26"/>
              </w:rPr>
              <w:t> </w:t>
            </w:r>
            <w:r w:rsidRPr="007A119E">
              <w:rPr>
                <w:rFonts w:cs="Times New Roman"/>
                <w:sz w:val="26"/>
                <w:szCs w:val="26"/>
              </w:rPr>
              <w:t>46</w:t>
            </w:r>
            <w:r w:rsidR="00A5240F" w:rsidRPr="007A119E">
              <w:rPr>
                <w:rFonts w:cs="Times New Roman"/>
                <w:sz w:val="26"/>
                <w:szCs w:val="26"/>
              </w:rPr>
              <w:t>8</w:t>
            </w:r>
            <w:r w:rsidRPr="007A119E">
              <w:rPr>
                <w:rFonts w:cs="Times New Roman"/>
                <w:sz w:val="26"/>
                <w:szCs w:val="26"/>
              </w:rPr>
              <w:t xml:space="preserve"> </w:t>
            </w:r>
            <w:proofErr w:type="spellStart"/>
            <w:r w:rsidRPr="007A119E">
              <w:rPr>
                <w:rFonts w:cs="Times New Roman"/>
                <w:sz w:val="26"/>
                <w:szCs w:val="26"/>
              </w:rPr>
              <w:t>II.nodaļā</w:t>
            </w:r>
            <w:proofErr w:type="spellEnd"/>
            <w:r w:rsidRPr="007A119E">
              <w:rPr>
                <w:rFonts w:cs="Times New Roman"/>
                <w:sz w:val="26"/>
                <w:szCs w:val="26"/>
              </w:rPr>
              <w:t xml:space="preserve"> t</w:t>
            </w:r>
            <w:r w:rsidR="00A8447B" w:rsidRPr="007A119E">
              <w:rPr>
                <w:rFonts w:cs="Times New Roman"/>
                <w:sz w:val="26"/>
                <w:szCs w:val="26"/>
              </w:rPr>
              <w:t xml:space="preserve">iek saglabāta līdzšinējā prakse attiecībā uz (1) nekomerciāliem un nelielas vērtības komerciāliem sūtījumiem, kas saņemti pa pastu vai izmantojot kurjerpasta pakalpojumus un uz kuriem attiecas </w:t>
            </w:r>
            <w:r w:rsidR="00A8447B" w:rsidRPr="007A119E">
              <w:rPr>
                <w:rFonts w:cs="Times New Roman"/>
                <w:sz w:val="26"/>
                <w:szCs w:val="26"/>
                <w:shd w:val="clear" w:color="auto" w:fill="FFFFFF"/>
              </w:rPr>
              <w:t>regulas Nr. </w:t>
            </w:r>
            <w:hyperlink r:id="rId11" w:tgtFrame="_blank" w:history="1">
              <w:r w:rsidR="00A8447B" w:rsidRPr="007A119E">
                <w:rPr>
                  <w:rStyle w:val="Hyperlink"/>
                  <w:rFonts w:cs="Times New Roman"/>
                  <w:color w:val="auto"/>
                  <w:sz w:val="26"/>
                  <w:szCs w:val="26"/>
                  <w:u w:val="none"/>
                  <w:shd w:val="clear" w:color="auto" w:fill="FFFFFF"/>
                </w:rPr>
                <w:t>2015/2446</w:t>
              </w:r>
            </w:hyperlink>
            <w:r w:rsidR="00A8447B" w:rsidRPr="007A119E">
              <w:rPr>
                <w:rStyle w:val="FootnoteReference"/>
                <w:rFonts w:cs="Times New Roman"/>
                <w:sz w:val="26"/>
                <w:szCs w:val="26"/>
                <w:shd w:val="clear" w:color="auto" w:fill="FFFFFF"/>
              </w:rPr>
              <w:footnoteReference w:id="8"/>
            </w:r>
            <w:r w:rsidR="00A8447B" w:rsidRPr="007A119E">
              <w:rPr>
                <w:rFonts w:ascii="Arial" w:hAnsi="Arial" w:cs="Arial"/>
                <w:sz w:val="26"/>
                <w:szCs w:val="26"/>
                <w:shd w:val="clear" w:color="auto" w:fill="FFFFFF"/>
              </w:rPr>
              <w:t> </w:t>
            </w:r>
            <w:r w:rsidR="00A8447B" w:rsidRPr="007A119E">
              <w:rPr>
                <w:rFonts w:cs="Times New Roman"/>
                <w:sz w:val="26"/>
                <w:szCs w:val="26"/>
              </w:rPr>
              <w:t xml:space="preserve"> 135.-141.</w:t>
            </w:r>
            <w:r w:rsidR="00A8447B" w:rsidRPr="007A119E">
              <w:rPr>
                <w:rFonts w:eastAsia="Times New Roman" w:cs="Times New Roman"/>
                <w:sz w:val="26"/>
                <w:szCs w:val="26"/>
                <w:lang w:eastAsia="lv-LV"/>
              </w:rPr>
              <w:t> </w:t>
            </w:r>
            <w:r w:rsidR="00A8447B" w:rsidRPr="007A119E">
              <w:rPr>
                <w:rFonts w:cs="Times New Roman"/>
                <w:sz w:val="26"/>
                <w:szCs w:val="26"/>
              </w:rPr>
              <w:t>panta un 144.</w:t>
            </w:r>
            <w:r w:rsidR="00A8447B" w:rsidRPr="007A119E">
              <w:rPr>
                <w:rFonts w:eastAsia="Times New Roman" w:cs="Times New Roman"/>
                <w:sz w:val="26"/>
                <w:szCs w:val="26"/>
                <w:lang w:eastAsia="lv-LV"/>
              </w:rPr>
              <w:t> </w:t>
            </w:r>
            <w:r w:rsidR="00A8447B" w:rsidRPr="007A119E">
              <w:rPr>
                <w:rFonts w:cs="Times New Roman"/>
                <w:sz w:val="26"/>
                <w:szCs w:val="26"/>
              </w:rPr>
              <w:t>panta nosacījumi. To piegādi nodrošina VAS “Latvijas Pasts”, kas ir universālā pasta pakalpojuma sniedzējs, un eksprespasta vai kurjerpasta pakalpojumu sniedzēji, piemēram, SIA “TNT Latvia”, SIA “DHL Latvia”, SIA “EKL/LS” (“UPS” pilnvarotais pārstāvis Latvijā), “</w:t>
            </w:r>
            <w:proofErr w:type="spellStart"/>
            <w:r w:rsidR="00A8447B" w:rsidRPr="007A119E">
              <w:rPr>
                <w:rFonts w:cs="Times New Roman"/>
                <w:sz w:val="26"/>
                <w:szCs w:val="26"/>
              </w:rPr>
              <w:t>FedEx</w:t>
            </w:r>
            <w:proofErr w:type="spellEnd"/>
            <w:r w:rsidR="00A8447B" w:rsidRPr="007A119E">
              <w:rPr>
                <w:rFonts w:cs="Times New Roman"/>
                <w:sz w:val="26"/>
                <w:szCs w:val="26"/>
              </w:rPr>
              <w:t xml:space="preserve"> Express” (“</w:t>
            </w:r>
            <w:proofErr w:type="spellStart"/>
            <w:r w:rsidR="00A8447B" w:rsidRPr="007A119E">
              <w:rPr>
                <w:rFonts w:cs="Times New Roman"/>
                <w:sz w:val="26"/>
                <w:szCs w:val="26"/>
              </w:rPr>
              <w:t>Federal</w:t>
            </w:r>
            <w:proofErr w:type="spellEnd"/>
            <w:r w:rsidR="00A8447B" w:rsidRPr="007A119E">
              <w:rPr>
                <w:rFonts w:cs="Times New Roman"/>
                <w:sz w:val="26"/>
                <w:szCs w:val="26"/>
              </w:rPr>
              <w:t xml:space="preserve"> Express </w:t>
            </w:r>
            <w:proofErr w:type="spellStart"/>
            <w:r w:rsidR="00A8447B" w:rsidRPr="007A119E">
              <w:rPr>
                <w:rFonts w:cs="Times New Roman"/>
                <w:sz w:val="26"/>
                <w:szCs w:val="26"/>
              </w:rPr>
              <w:t>Corporation</w:t>
            </w:r>
            <w:proofErr w:type="spellEnd"/>
            <w:r w:rsidR="00A8447B" w:rsidRPr="007A119E">
              <w:rPr>
                <w:rFonts w:cs="Times New Roman"/>
                <w:sz w:val="26"/>
                <w:szCs w:val="26"/>
              </w:rPr>
              <w:t>” filiāle Latvijā) u.c.;</w:t>
            </w:r>
            <w:r w:rsidR="007B6456" w:rsidRPr="007A119E">
              <w:rPr>
                <w:rFonts w:cs="Times New Roman"/>
                <w:sz w:val="26"/>
                <w:szCs w:val="26"/>
              </w:rPr>
              <w:t xml:space="preserve"> kā arī uz (2) </w:t>
            </w:r>
            <w:r w:rsidR="00A8447B" w:rsidRPr="007A119E">
              <w:rPr>
                <w:rFonts w:cs="Times New Roman"/>
                <w:sz w:val="26"/>
                <w:szCs w:val="26"/>
              </w:rPr>
              <w:t>prec</w:t>
            </w:r>
            <w:r w:rsidR="007B6456" w:rsidRPr="007A119E">
              <w:rPr>
                <w:rFonts w:cs="Times New Roman"/>
                <w:sz w:val="26"/>
                <w:szCs w:val="26"/>
              </w:rPr>
              <w:t>ēm</w:t>
            </w:r>
            <w:r w:rsidR="00A8447B" w:rsidRPr="007A119E">
              <w:rPr>
                <w:rFonts w:cs="Times New Roman"/>
                <w:sz w:val="26"/>
                <w:szCs w:val="26"/>
              </w:rPr>
              <w:t>, kas tiek deklarētas mutiski</w:t>
            </w:r>
            <w:r w:rsidR="00A8447B" w:rsidRPr="007A119E">
              <w:rPr>
                <w:rStyle w:val="FootnoteReference"/>
                <w:rFonts w:cs="Times New Roman"/>
                <w:sz w:val="26"/>
                <w:szCs w:val="26"/>
              </w:rPr>
              <w:footnoteReference w:id="9"/>
            </w:r>
            <w:r w:rsidRPr="007A119E">
              <w:rPr>
                <w:rFonts w:cs="Times New Roman"/>
                <w:sz w:val="26"/>
                <w:szCs w:val="26"/>
              </w:rPr>
              <w:t>.</w:t>
            </w:r>
          </w:p>
          <w:p w14:paraId="144BA737" w14:textId="48837C3D" w:rsidR="008A7C4D" w:rsidRPr="007A119E" w:rsidRDefault="008A7C4D" w:rsidP="00A015CC">
            <w:pPr>
              <w:spacing w:before="120"/>
              <w:ind w:left="57" w:right="57"/>
              <w:jc w:val="both"/>
              <w:rPr>
                <w:rFonts w:cs="Times New Roman"/>
                <w:sz w:val="26"/>
                <w:szCs w:val="26"/>
              </w:rPr>
            </w:pPr>
            <w:r w:rsidRPr="007A119E">
              <w:rPr>
                <w:rFonts w:cs="Times New Roman"/>
                <w:b/>
                <w:sz w:val="26"/>
                <w:szCs w:val="26"/>
              </w:rPr>
              <w:t>1.</w:t>
            </w:r>
            <w:r w:rsidRPr="007A119E">
              <w:rPr>
                <w:rFonts w:cs="Times New Roman"/>
                <w:sz w:val="26"/>
                <w:szCs w:val="26"/>
              </w:rPr>
              <w:t xml:space="preserve"> Ar </w:t>
            </w:r>
            <w:r w:rsidRPr="007A119E">
              <w:rPr>
                <w:rFonts w:cs="Times New Roman"/>
                <w:b/>
                <w:sz w:val="26"/>
                <w:szCs w:val="26"/>
              </w:rPr>
              <w:t xml:space="preserve">noteikumu projekta </w:t>
            </w:r>
            <w:r w:rsidR="00714959">
              <w:rPr>
                <w:rFonts w:cs="Times New Roman"/>
                <w:b/>
                <w:sz w:val="26"/>
                <w:szCs w:val="26"/>
              </w:rPr>
              <w:t>1.</w:t>
            </w:r>
            <w:r w:rsidRPr="007A119E">
              <w:rPr>
                <w:rFonts w:cs="Times New Roman"/>
                <w:b/>
                <w:sz w:val="26"/>
                <w:szCs w:val="26"/>
              </w:rPr>
              <w:t>1.</w:t>
            </w:r>
            <w:r w:rsidR="008B0DEF">
              <w:rPr>
                <w:rFonts w:cs="Times New Roman"/>
                <w:b/>
                <w:sz w:val="26"/>
                <w:szCs w:val="26"/>
              </w:rPr>
              <w:t> </w:t>
            </w:r>
            <w:r w:rsidRPr="007A119E">
              <w:rPr>
                <w:rFonts w:cs="Times New Roman"/>
                <w:b/>
                <w:sz w:val="26"/>
                <w:szCs w:val="26"/>
              </w:rPr>
              <w:t>punktu</w:t>
            </w:r>
            <w:r w:rsidR="00613E2C" w:rsidRPr="007A119E">
              <w:rPr>
                <w:rFonts w:cs="Times New Roman"/>
                <w:b/>
                <w:sz w:val="26"/>
                <w:szCs w:val="26"/>
              </w:rPr>
              <w:t xml:space="preserve"> </w:t>
            </w:r>
            <w:r w:rsidR="00613E2C" w:rsidRPr="007A119E">
              <w:rPr>
                <w:rFonts w:cs="Times New Roman"/>
                <w:sz w:val="26"/>
                <w:szCs w:val="26"/>
              </w:rPr>
              <w:t>tiek veikti grozījumi MK noteikumu Nr.</w:t>
            </w:r>
            <w:r w:rsidR="008B0DEF">
              <w:rPr>
                <w:rFonts w:cs="Times New Roman"/>
                <w:sz w:val="26"/>
                <w:szCs w:val="26"/>
              </w:rPr>
              <w:t> </w:t>
            </w:r>
            <w:r w:rsidR="00613E2C" w:rsidRPr="007A119E">
              <w:rPr>
                <w:rFonts w:cs="Times New Roman"/>
                <w:sz w:val="26"/>
                <w:szCs w:val="26"/>
              </w:rPr>
              <w:t>46</w:t>
            </w:r>
            <w:r w:rsidR="00A5240F" w:rsidRPr="007A119E">
              <w:rPr>
                <w:rFonts w:cs="Times New Roman"/>
                <w:sz w:val="26"/>
                <w:szCs w:val="26"/>
              </w:rPr>
              <w:t>8</w:t>
            </w:r>
            <w:r w:rsidR="00613E2C" w:rsidRPr="007A119E">
              <w:rPr>
                <w:rFonts w:cs="Times New Roman"/>
                <w:sz w:val="26"/>
                <w:szCs w:val="26"/>
              </w:rPr>
              <w:t xml:space="preserve"> </w:t>
            </w:r>
            <w:r w:rsidR="00613E2C" w:rsidRPr="007A119E">
              <w:rPr>
                <w:rFonts w:cs="Times New Roman"/>
                <w:sz w:val="26"/>
                <w:szCs w:val="26"/>
              </w:rPr>
              <w:lastRenderedPageBreak/>
              <w:t xml:space="preserve">izdošanas </w:t>
            </w:r>
            <w:r w:rsidR="00DA76BA">
              <w:rPr>
                <w:rFonts w:cs="Times New Roman"/>
                <w:sz w:val="26"/>
                <w:szCs w:val="26"/>
              </w:rPr>
              <w:t>tiesiskajā pamatojumā</w:t>
            </w:r>
            <w:r w:rsidR="00613E2C" w:rsidRPr="007A119E">
              <w:rPr>
                <w:rFonts w:cs="Times New Roman"/>
                <w:sz w:val="26"/>
                <w:szCs w:val="26"/>
              </w:rPr>
              <w:t>. Šobrīd MK noteikumi Nr.</w:t>
            </w:r>
            <w:r w:rsidR="008B0DEF">
              <w:rPr>
                <w:rFonts w:cs="Times New Roman"/>
                <w:sz w:val="26"/>
                <w:szCs w:val="26"/>
              </w:rPr>
              <w:t> </w:t>
            </w:r>
            <w:r w:rsidR="00613E2C" w:rsidRPr="007A119E">
              <w:rPr>
                <w:rFonts w:cs="Times New Roman"/>
                <w:sz w:val="26"/>
                <w:szCs w:val="26"/>
              </w:rPr>
              <w:t>46</w:t>
            </w:r>
            <w:r w:rsidR="00A5240F" w:rsidRPr="007A119E">
              <w:rPr>
                <w:rFonts w:cs="Times New Roman"/>
                <w:sz w:val="26"/>
                <w:szCs w:val="26"/>
              </w:rPr>
              <w:t>8</w:t>
            </w:r>
            <w:r w:rsidR="00613E2C" w:rsidRPr="007A119E">
              <w:rPr>
                <w:rFonts w:cs="Times New Roman"/>
                <w:sz w:val="26"/>
                <w:szCs w:val="26"/>
              </w:rPr>
              <w:t xml:space="preserve"> izdoti saskaņā ar Muitas likuma 14.</w:t>
            </w:r>
            <w:r w:rsidR="008B0DEF">
              <w:rPr>
                <w:rFonts w:cs="Times New Roman"/>
                <w:sz w:val="26"/>
                <w:szCs w:val="26"/>
              </w:rPr>
              <w:t> </w:t>
            </w:r>
            <w:r w:rsidR="00613E2C" w:rsidRPr="007A119E">
              <w:rPr>
                <w:rFonts w:cs="Times New Roman"/>
                <w:sz w:val="26"/>
                <w:szCs w:val="26"/>
              </w:rPr>
              <w:t>panta otrās daļas 2.</w:t>
            </w:r>
            <w:r w:rsidR="00667EA1" w:rsidRPr="007A119E">
              <w:rPr>
                <w:rStyle w:val="FootnoteReference"/>
                <w:rFonts w:cs="Times New Roman"/>
                <w:sz w:val="26"/>
                <w:szCs w:val="26"/>
              </w:rPr>
              <w:footnoteReference w:id="10"/>
            </w:r>
            <w:r w:rsidR="00613E2C" w:rsidRPr="007A119E">
              <w:rPr>
                <w:rFonts w:cs="Times New Roman"/>
                <w:sz w:val="26"/>
                <w:szCs w:val="26"/>
              </w:rPr>
              <w:t>, 3.</w:t>
            </w:r>
            <w:r w:rsidR="00667EA1" w:rsidRPr="007A119E">
              <w:rPr>
                <w:rStyle w:val="FootnoteReference"/>
                <w:rFonts w:cs="Times New Roman"/>
                <w:sz w:val="26"/>
                <w:szCs w:val="26"/>
              </w:rPr>
              <w:footnoteReference w:id="11"/>
            </w:r>
            <w:r w:rsidR="00613E2C" w:rsidRPr="007A119E">
              <w:rPr>
                <w:rFonts w:cs="Times New Roman"/>
                <w:sz w:val="26"/>
                <w:szCs w:val="26"/>
              </w:rPr>
              <w:t xml:space="preserve"> un 4.punktu</w:t>
            </w:r>
            <w:r w:rsidR="00667EA1" w:rsidRPr="007A119E">
              <w:rPr>
                <w:rStyle w:val="FootnoteReference"/>
                <w:rFonts w:cs="Times New Roman"/>
                <w:sz w:val="26"/>
                <w:szCs w:val="26"/>
              </w:rPr>
              <w:footnoteReference w:id="12"/>
            </w:r>
            <w:r w:rsidR="00613E2C" w:rsidRPr="007A119E">
              <w:rPr>
                <w:rFonts w:cs="Times New Roman"/>
                <w:sz w:val="26"/>
                <w:szCs w:val="26"/>
              </w:rPr>
              <w:t>.</w:t>
            </w:r>
          </w:p>
          <w:p w14:paraId="4D5D5E1D" w14:textId="4C82591A" w:rsidR="003E4767" w:rsidRPr="007A119E" w:rsidRDefault="00DC4F53" w:rsidP="003E4767">
            <w:pPr>
              <w:spacing w:before="120"/>
              <w:ind w:left="57" w:right="57"/>
              <w:jc w:val="both"/>
              <w:rPr>
                <w:rFonts w:eastAsia="Times New Roman"/>
                <w:iCs/>
                <w:sz w:val="26"/>
                <w:szCs w:val="26"/>
                <w:lang w:eastAsia="lv-LV"/>
              </w:rPr>
            </w:pPr>
            <w:r w:rsidRPr="007A119E">
              <w:rPr>
                <w:rFonts w:cs="Times New Roman"/>
                <w:sz w:val="26"/>
                <w:szCs w:val="26"/>
              </w:rPr>
              <w:t xml:space="preserve">Ar likumprojekta “Grozījumi Muitas likumā” </w:t>
            </w:r>
            <w:r w:rsidRPr="00714959">
              <w:rPr>
                <w:rFonts w:cs="Times New Roman"/>
                <w:sz w:val="26"/>
                <w:szCs w:val="26"/>
              </w:rPr>
              <w:t>(</w:t>
            </w:r>
            <w:r w:rsidR="00714959" w:rsidRPr="00714959">
              <w:rPr>
                <w:rFonts w:cs="Times New Roman"/>
                <w:sz w:val="26"/>
                <w:szCs w:val="26"/>
              </w:rPr>
              <w:t>1016</w:t>
            </w:r>
            <w:r w:rsidRPr="00714959">
              <w:rPr>
                <w:rFonts w:cs="Times New Roman"/>
                <w:sz w:val="26"/>
                <w:szCs w:val="26"/>
              </w:rPr>
              <w:t>/Lp13)</w:t>
            </w:r>
            <w:r w:rsidRPr="007A119E">
              <w:rPr>
                <w:rFonts w:cs="Times New Roman"/>
                <w:sz w:val="26"/>
                <w:szCs w:val="26"/>
              </w:rPr>
              <w:t xml:space="preserve"> 5.pantu no Muitas likuma tiek izslēgts</w:t>
            </w:r>
            <w:r w:rsidRPr="007A119E">
              <w:rPr>
                <w:sz w:val="26"/>
                <w:szCs w:val="26"/>
                <w:shd w:val="clear" w:color="auto" w:fill="FFFFFF"/>
              </w:rPr>
              <w:t xml:space="preserve"> 14. panta otrās daļas 2. punkts</w:t>
            </w:r>
            <w:r w:rsidR="003E4767" w:rsidRPr="007A119E">
              <w:rPr>
                <w:sz w:val="26"/>
                <w:szCs w:val="26"/>
                <w:shd w:val="clear" w:color="auto" w:fill="FFFFFF"/>
              </w:rPr>
              <w:t xml:space="preserve">, pārnesot to uz Muitas likuma </w:t>
            </w:r>
            <w:r w:rsidR="003E4767" w:rsidRPr="007A119E">
              <w:rPr>
                <w:rFonts w:eastAsia="Times New Roman"/>
                <w:iCs/>
                <w:sz w:val="26"/>
                <w:szCs w:val="26"/>
                <w:lang w:eastAsia="lv-LV"/>
              </w:rPr>
              <w:t>14.</w:t>
            </w:r>
            <w:r w:rsidR="009F1164" w:rsidRPr="007A119E">
              <w:rPr>
                <w:rFonts w:eastAsia="Times New Roman"/>
                <w:iCs/>
                <w:sz w:val="26"/>
                <w:szCs w:val="26"/>
                <w:vertAlign w:val="superscript"/>
                <w:lang w:eastAsia="lv-LV"/>
              </w:rPr>
              <w:t>5</w:t>
            </w:r>
            <w:r w:rsidR="003E4767" w:rsidRPr="007A119E">
              <w:rPr>
                <w:rFonts w:eastAsia="Times New Roman"/>
                <w:iCs/>
                <w:sz w:val="26"/>
                <w:szCs w:val="26"/>
                <w:vertAlign w:val="superscript"/>
                <w:lang w:eastAsia="lv-LV"/>
              </w:rPr>
              <w:t xml:space="preserve"> </w:t>
            </w:r>
            <w:r w:rsidR="003E4767" w:rsidRPr="007A119E">
              <w:rPr>
                <w:rFonts w:eastAsia="Times New Roman"/>
                <w:iCs/>
                <w:sz w:val="26"/>
                <w:szCs w:val="26"/>
                <w:lang w:eastAsia="lv-LV"/>
              </w:rPr>
              <w:t xml:space="preserve">panta </w:t>
            </w:r>
            <w:r w:rsidR="009F1164" w:rsidRPr="007A119E">
              <w:rPr>
                <w:rFonts w:eastAsia="Times New Roman"/>
                <w:iCs/>
                <w:sz w:val="26"/>
                <w:szCs w:val="26"/>
                <w:lang w:eastAsia="lv-LV"/>
              </w:rPr>
              <w:t xml:space="preserve">pirmo, otro, </w:t>
            </w:r>
            <w:r w:rsidR="003E4767" w:rsidRPr="007A119E">
              <w:rPr>
                <w:rFonts w:eastAsia="Times New Roman"/>
                <w:iCs/>
                <w:sz w:val="26"/>
                <w:szCs w:val="26"/>
                <w:lang w:eastAsia="lv-LV"/>
              </w:rPr>
              <w:t>trešo</w:t>
            </w:r>
            <w:r w:rsidR="009F1164" w:rsidRPr="007A119E">
              <w:rPr>
                <w:rFonts w:eastAsia="Times New Roman"/>
                <w:iCs/>
                <w:sz w:val="26"/>
                <w:szCs w:val="26"/>
                <w:lang w:eastAsia="lv-LV"/>
              </w:rPr>
              <w:t xml:space="preserve"> un ceturto</w:t>
            </w:r>
            <w:r w:rsidR="003E4767" w:rsidRPr="007A119E">
              <w:rPr>
                <w:rFonts w:eastAsia="Times New Roman"/>
                <w:iCs/>
                <w:sz w:val="26"/>
                <w:szCs w:val="26"/>
                <w:lang w:eastAsia="lv-LV"/>
              </w:rPr>
              <w:t xml:space="preserve"> daļu. Papildus, Muitas likuma 14.</w:t>
            </w:r>
            <w:r w:rsidR="009F1164" w:rsidRPr="007A119E">
              <w:rPr>
                <w:rFonts w:eastAsia="Times New Roman"/>
                <w:iCs/>
                <w:sz w:val="26"/>
                <w:szCs w:val="26"/>
                <w:vertAlign w:val="superscript"/>
                <w:lang w:eastAsia="lv-LV"/>
              </w:rPr>
              <w:t>5</w:t>
            </w:r>
            <w:r w:rsidR="003E4767" w:rsidRPr="007A119E">
              <w:rPr>
                <w:rFonts w:eastAsia="Times New Roman"/>
                <w:iCs/>
                <w:sz w:val="26"/>
                <w:szCs w:val="26"/>
                <w:vertAlign w:val="superscript"/>
                <w:lang w:eastAsia="lv-LV"/>
              </w:rPr>
              <w:t xml:space="preserve"> </w:t>
            </w:r>
            <w:r w:rsidR="009F1164" w:rsidRPr="007A119E">
              <w:rPr>
                <w:rFonts w:eastAsia="Times New Roman"/>
                <w:iCs/>
                <w:sz w:val="26"/>
                <w:szCs w:val="26"/>
                <w:lang w:eastAsia="lv-LV"/>
              </w:rPr>
              <w:t>panta piektā un sestā daļa</w:t>
            </w:r>
            <w:r w:rsidR="003E4767" w:rsidRPr="007A119E">
              <w:rPr>
                <w:rFonts w:eastAsia="Times New Roman"/>
                <w:iCs/>
                <w:sz w:val="26"/>
                <w:szCs w:val="26"/>
                <w:lang w:eastAsia="lv-LV"/>
              </w:rPr>
              <w:t xml:space="preserve"> paredz deleģējumu Ministru kabinetam noteikt preču paraugu izņemšanas un atdošanas kārtību (minētā kārtība iekļauta noteikumu projekta 1</w:t>
            </w:r>
            <w:r w:rsidR="00DA76BA">
              <w:rPr>
                <w:rFonts w:eastAsia="Times New Roman"/>
                <w:iCs/>
                <w:sz w:val="26"/>
                <w:szCs w:val="26"/>
                <w:lang w:eastAsia="lv-LV"/>
              </w:rPr>
              <w:t>1</w:t>
            </w:r>
            <w:r w:rsidR="003E4767" w:rsidRPr="007A119E">
              <w:rPr>
                <w:rFonts w:eastAsia="Times New Roman"/>
                <w:iCs/>
                <w:sz w:val="26"/>
                <w:szCs w:val="26"/>
                <w:lang w:eastAsia="lv-LV"/>
              </w:rPr>
              <w:t>.</w:t>
            </w:r>
            <w:r w:rsidR="008B0DEF">
              <w:rPr>
                <w:rFonts w:eastAsia="Times New Roman"/>
                <w:iCs/>
                <w:sz w:val="26"/>
                <w:szCs w:val="26"/>
                <w:lang w:eastAsia="lv-LV"/>
              </w:rPr>
              <w:t> </w:t>
            </w:r>
            <w:r w:rsidR="003E4767" w:rsidRPr="007A119E">
              <w:rPr>
                <w:rFonts w:eastAsia="Times New Roman"/>
                <w:iCs/>
                <w:sz w:val="26"/>
                <w:szCs w:val="26"/>
                <w:lang w:eastAsia="lv-LV"/>
              </w:rPr>
              <w:t xml:space="preserve">punktā). Ņemot vērā minēto, jaunā redakcijā tiek izteikta norāde uz </w:t>
            </w:r>
            <w:r w:rsidR="00BF308C">
              <w:rPr>
                <w:rFonts w:eastAsia="Times New Roman"/>
                <w:iCs/>
                <w:sz w:val="26"/>
                <w:szCs w:val="26"/>
                <w:lang w:eastAsia="lv-LV"/>
              </w:rPr>
              <w:t xml:space="preserve">noteikumu izdošanas tiesisko </w:t>
            </w:r>
            <w:r w:rsidR="003E4767" w:rsidRPr="007A119E">
              <w:rPr>
                <w:rFonts w:eastAsia="Times New Roman"/>
                <w:iCs/>
                <w:sz w:val="26"/>
                <w:szCs w:val="26"/>
                <w:lang w:eastAsia="lv-LV"/>
              </w:rPr>
              <w:t>pamat</w:t>
            </w:r>
            <w:r w:rsidR="00BF308C">
              <w:rPr>
                <w:rFonts w:eastAsia="Times New Roman"/>
                <w:iCs/>
                <w:sz w:val="26"/>
                <w:szCs w:val="26"/>
                <w:lang w:eastAsia="lv-LV"/>
              </w:rPr>
              <w:t>u</w:t>
            </w:r>
            <w:r w:rsidR="003E4767" w:rsidRPr="007A119E">
              <w:rPr>
                <w:rFonts w:eastAsia="Times New Roman"/>
                <w:iCs/>
                <w:sz w:val="26"/>
                <w:szCs w:val="26"/>
                <w:lang w:eastAsia="lv-LV"/>
              </w:rPr>
              <w:t xml:space="preserve"> izdoti MK noteikumi Nr.</w:t>
            </w:r>
            <w:r w:rsidR="008B0DEF">
              <w:rPr>
                <w:rFonts w:eastAsia="Times New Roman"/>
                <w:iCs/>
                <w:sz w:val="26"/>
                <w:szCs w:val="26"/>
                <w:lang w:eastAsia="lv-LV"/>
              </w:rPr>
              <w:t> </w:t>
            </w:r>
            <w:r w:rsidR="003E4767" w:rsidRPr="007A119E">
              <w:rPr>
                <w:rFonts w:eastAsia="Times New Roman"/>
                <w:iCs/>
                <w:sz w:val="26"/>
                <w:szCs w:val="26"/>
                <w:lang w:eastAsia="lv-LV"/>
              </w:rPr>
              <w:t>46</w:t>
            </w:r>
            <w:r w:rsidR="00A5240F" w:rsidRPr="007A119E">
              <w:rPr>
                <w:rFonts w:eastAsia="Times New Roman"/>
                <w:iCs/>
                <w:sz w:val="26"/>
                <w:szCs w:val="26"/>
                <w:lang w:eastAsia="lv-LV"/>
              </w:rPr>
              <w:t>8</w:t>
            </w:r>
            <w:r w:rsidR="003E4767" w:rsidRPr="007A119E">
              <w:rPr>
                <w:rFonts w:eastAsia="Times New Roman"/>
                <w:iCs/>
                <w:sz w:val="26"/>
                <w:szCs w:val="26"/>
                <w:lang w:eastAsia="lv-LV"/>
              </w:rPr>
              <w:t xml:space="preserve">. </w:t>
            </w:r>
          </w:p>
          <w:p w14:paraId="5F0AF504" w14:textId="5AAEA884" w:rsidR="00547171" w:rsidRDefault="003E4767" w:rsidP="00547171">
            <w:pPr>
              <w:spacing w:before="120"/>
              <w:ind w:left="57" w:right="57"/>
              <w:jc w:val="both"/>
              <w:rPr>
                <w:sz w:val="26"/>
                <w:szCs w:val="26"/>
              </w:rPr>
            </w:pPr>
            <w:r w:rsidRPr="007A119E">
              <w:rPr>
                <w:rFonts w:eastAsia="Times New Roman"/>
                <w:b/>
                <w:iCs/>
                <w:sz w:val="26"/>
                <w:szCs w:val="26"/>
                <w:lang w:eastAsia="lv-LV"/>
              </w:rPr>
              <w:t>2.</w:t>
            </w:r>
            <w:r w:rsidRPr="007A119E">
              <w:rPr>
                <w:rFonts w:eastAsia="Times New Roman"/>
                <w:iCs/>
                <w:sz w:val="26"/>
                <w:szCs w:val="26"/>
                <w:lang w:eastAsia="lv-LV"/>
              </w:rPr>
              <w:t xml:space="preserve"> </w:t>
            </w:r>
            <w:r w:rsidRPr="007A119E">
              <w:rPr>
                <w:rFonts w:cs="Times New Roman"/>
                <w:sz w:val="26"/>
                <w:szCs w:val="26"/>
              </w:rPr>
              <w:t xml:space="preserve">Ar </w:t>
            </w:r>
            <w:r w:rsidRPr="007A119E">
              <w:rPr>
                <w:rFonts w:cs="Times New Roman"/>
                <w:b/>
                <w:sz w:val="26"/>
                <w:szCs w:val="26"/>
              </w:rPr>
              <w:t xml:space="preserve">noteikumu projekta </w:t>
            </w:r>
            <w:r w:rsidR="00714959">
              <w:rPr>
                <w:rFonts w:cs="Times New Roman"/>
                <w:b/>
                <w:sz w:val="26"/>
                <w:szCs w:val="26"/>
              </w:rPr>
              <w:t>1.</w:t>
            </w:r>
            <w:r w:rsidRPr="007A119E">
              <w:rPr>
                <w:rFonts w:cs="Times New Roman"/>
                <w:b/>
                <w:sz w:val="26"/>
                <w:szCs w:val="26"/>
              </w:rPr>
              <w:t>2.</w:t>
            </w:r>
            <w:r w:rsidR="008B0DEF">
              <w:rPr>
                <w:rFonts w:cs="Times New Roman"/>
                <w:b/>
                <w:sz w:val="26"/>
                <w:szCs w:val="26"/>
              </w:rPr>
              <w:t> </w:t>
            </w:r>
            <w:r w:rsidRPr="007A119E">
              <w:rPr>
                <w:rFonts w:cs="Times New Roman"/>
                <w:b/>
                <w:sz w:val="26"/>
                <w:szCs w:val="26"/>
              </w:rPr>
              <w:t xml:space="preserve">punktu </w:t>
            </w:r>
            <w:r w:rsidRPr="007A119E">
              <w:rPr>
                <w:rFonts w:cs="Times New Roman"/>
                <w:sz w:val="26"/>
                <w:szCs w:val="26"/>
              </w:rPr>
              <w:t>jaunā redakcijā tiek izteikts MK noteikumu Nr.</w:t>
            </w:r>
            <w:r w:rsidR="008B0DEF">
              <w:rPr>
                <w:rFonts w:cs="Times New Roman"/>
                <w:sz w:val="26"/>
                <w:szCs w:val="26"/>
              </w:rPr>
              <w:t> </w:t>
            </w:r>
            <w:r w:rsidRPr="007A119E">
              <w:rPr>
                <w:rFonts w:cs="Times New Roman"/>
                <w:sz w:val="26"/>
                <w:szCs w:val="26"/>
              </w:rPr>
              <w:t>46</w:t>
            </w:r>
            <w:r w:rsidR="00A5240F" w:rsidRPr="007A119E">
              <w:rPr>
                <w:rFonts w:cs="Times New Roman"/>
                <w:sz w:val="26"/>
                <w:szCs w:val="26"/>
              </w:rPr>
              <w:t>8</w:t>
            </w:r>
            <w:r w:rsidRPr="007A119E">
              <w:rPr>
                <w:rFonts w:cs="Times New Roman"/>
                <w:sz w:val="26"/>
                <w:szCs w:val="26"/>
              </w:rPr>
              <w:t xml:space="preserve"> 1.</w:t>
            </w:r>
            <w:r w:rsidR="008B0DEF">
              <w:rPr>
                <w:rFonts w:cs="Times New Roman"/>
                <w:sz w:val="26"/>
                <w:szCs w:val="26"/>
              </w:rPr>
              <w:t> </w:t>
            </w:r>
            <w:r w:rsidRPr="007A119E">
              <w:rPr>
                <w:rFonts w:cs="Times New Roman"/>
                <w:sz w:val="26"/>
                <w:szCs w:val="26"/>
              </w:rPr>
              <w:t xml:space="preserve">punkts atbilstoši </w:t>
            </w:r>
            <w:r w:rsidR="00143C82" w:rsidRPr="007A119E">
              <w:rPr>
                <w:rFonts w:eastAsia="Times New Roman"/>
                <w:iCs/>
                <w:sz w:val="26"/>
                <w:szCs w:val="26"/>
                <w:lang w:eastAsia="lv-LV"/>
              </w:rPr>
              <w:t>Muitas likuma 14.</w:t>
            </w:r>
            <w:r w:rsidR="00143C82" w:rsidRPr="007A119E">
              <w:rPr>
                <w:rFonts w:eastAsia="Times New Roman"/>
                <w:iCs/>
                <w:sz w:val="26"/>
                <w:szCs w:val="26"/>
                <w:vertAlign w:val="superscript"/>
                <w:lang w:eastAsia="lv-LV"/>
              </w:rPr>
              <w:t xml:space="preserve">5 </w:t>
            </w:r>
            <w:r w:rsidR="00143C82" w:rsidRPr="007A119E">
              <w:rPr>
                <w:rFonts w:eastAsia="Times New Roman"/>
                <w:iCs/>
                <w:sz w:val="26"/>
                <w:szCs w:val="26"/>
                <w:lang w:eastAsia="lv-LV"/>
              </w:rPr>
              <w:t>pant</w:t>
            </w:r>
            <w:r w:rsidR="00965D34">
              <w:rPr>
                <w:rFonts w:eastAsia="Times New Roman"/>
                <w:iCs/>
                <w:sz w:val="26"/>
                <w:szCs w:val="26"/>
                <w:lang w:eastAsia="lv-LV"/>
              </w:rPr>
              <w:t>ā</w:t>
            </w:r>
            <w:r w:rsidR="00143C82" w:rsidRPr="007A119E">
              <w:rPr>
                <w:rFonts w:eastAsia="Times New Roman"/>
                <w:iCs/>
                <w:sz w:val="26"/>
                <w:szCs w:val="26"/>
                <w:lang w:eastAsia="lv-LV"/>
              </w:rPr>
              <w:t xml:space="preserve"> </w:t>
            </w:r>
            <w:r w:rsidRPr="007A119E">
              <w:rPr>
                <w:rFonts w:eastAsia="Times New Roman"/>
                <w:iCs/>
                <w:sz w:val="26"/>
                <w:szCs w:val="26"/>
                <w:lang w:eastAsia="lv-LV"/>
              </w:rPr>
              <w:t>paredzētajām deleģējumam. Tiek saglabāts arī jau spēkā esošais Muitas likuma 14.panta otrās daļas 3. un 4.</w:t>
            </w:r>
            <w:r w:rsidR="008B0DEF">
              <w:rPr>
                <w:rFonts w:eastAsia="Times New Roman"/>
                <w:iCs/>
                <w:sz w:val="26"/>
                <w:szCs w:val="26"/>
                <w:lang w:eastAsia="lv-LV"/>
              </w:rPr>
              <w:t> </w:t>
            </w:r>
            <w:r w:rsidRPr="007A119E">
              <w:rPr>
                <w:rFonts w:eastAsia="Times New Roman"/>
                <w:iCs/>
                <w:sz w:val="26"/>
                <w:szCs w:val="26"/>
                <w:lang w:eastAsia="lv-LV"/>
              </w:rPr>
              <w:t xml:space="preserve">punktā paredzētais deleģējums Ministru kabinetam noteikt </w:t>
            </w:r>
            <w:r w:rsidRPr="007A119E">
              <w:rPr>
                <w:sz w:val="26"/>
                <w:szCs w:val="26"/>
              </w:rPr>
              <w:t>kārtību, kādā muitas amatpersona aptur transportlīdzekli Latvijas Republikas muitas teritorijā muitas kontroles veikšanai un nogādā transport</w:t>
            </w:r>
            <w:r w:rsidRPr="007A119E">
              <w:rPr>
                <w:sz w:val="26"/>
                <w:szCs w:val="26"/>
              </w:rPr>
              <w:softHyphen/>
              <w:t>līdzekli muitas iestādē muitas kontroles veikšanai, kā arī tehniskās prasības preču identifikācijas līdzekļiem, kā arī to izmantošanas kārtību (MK noteikumu Nr.</w:t>
            </w:r>
            <w:r w:rsidR="008B0DEF">
              <w:rPr>
                <w:sz w:val="26"/>
                <w:szCs w:val="26"/>
              </w:rPr>
              <w:t> </w:t>
            </w:r>
            <w:r w:rsidRPr="007A119E">
              <w:rPr>
                <w:sz w:val="26"/>
                <w:szCs w:val="26"/>
              </w:rPr>
              <w:t>46</w:t>
            </w:r>
            <w:r w:rsidR="00A5240F" w:rsidRPr="007A119E">
              <w:rPr>
                <w:sz w:val="26"/>
                <w:szCs w:val="26"/>
              </w:rPr>
              <w:t>8</w:t>
            </w:r>
            <w:r w:rsidRPr="007A119E">
              <w:rPr>
                <w:sz w:val="26"/>
                <w:szCs w:val="26"/>
              </w:rPr>
              <w:t xml:space="preserve"> trešā un ceturtā nodaļ</w:t>
            </w:r>
            <w:r w:rsidR="0007024F" w:rsidRPr="007A119E">
              <w:rPr>
                <w:sz w:val="26"/>
                <w:szCs w:val="26"/>
              </w:rPr>
              <w:t>a</w:t>
            </w:r>
            <w:r w:rsidRPr="007A119E">
              <w:rPr>
                <w:sz w:val="26"/>
                <w:szCs w:val="26"/>
              </w:rPr>
              <w:t>, kurās precizēju</w:t>
            </w:r>
            <w:r w:rsidR="0007024F" w:rsidRPr="007A119E">
              <w:rPr>
                <w:sz w:val="26"/>
                <w:szCs w:val="26"/>
              </w:rPr>
              <w:t>m</w:t>
            </w:r>
            <w:r w:rsidRPr="007A119E">
              <w:rPr>
                <w:sz w:val="26"/>
                <w:szCs w:val="26"/>
              </w:rPr>
              <w:t>i netiek veikti).</w:t>
            </w:r>
            <w:r w:rsidR="00547171" w:rsidRPr="007A119E">
              <w:rPr>
                <w:sz w:val="26"/>
                <w:szCs w:val="26"/>
              </w:rPr>
              <w:t xml:space="preserve"> </w:t>
            </w:r>
          </w:p>
          <w:p w14:paraId="764784F4" w14:textId="1AECB4C2" w:rsidR="00182C0B" w:rsidRPr="00182C0B" w:rsidRDefault="00182C0B" w:rsidP="00547171">
            <w:pPr>
              <w:spacing w:before="120"/>
              <w:ind w:left="57" w:right="57"/>
              <w:jc w:val="both"/>
              <w:rPr>
                <w:sz w:val="26"/>
                <w:szCs w:val="26"/>
              </w:rPr>
            </w:pPr>
            <w:r w:rsidRPr="007A119E">
              <w:rPr>
                <w:b/>
                <w:sz w:val="26"/>
                <w:szCs w:val="26"/>
              </w:rPr>
              <w:t>3.</w:t>
            </w:r>
            <w:r w:rsidRPr="007A119E">
              <w:rPr>
                <w:sz w:val="26"/>
                <w:szCs w:val="26"/>
              </w:rPr>
              <w:t xml:space="preserve"> </w:t>
            </w:r>
            <w:r w:rsidRPr="007A119E">
              <w:rPr>
                <w:rFonts w:cs="Times New Roman"/>
                <w:sz w:val="26"/>
                <w:szCs w:val="26"/>
              </w:rPr>
              <w:t xml:space="preserve">Ar </w:t>
            </w:r>
            <w:r w:rsidRPr="007A119E">
              <w:rPr>
                <w:rFonts w:cs="Times New Roman"/>
                <w:b/>
                <w:sz w:val="26"/>
                <w:szCs w:val="26"/>
              </w:rPr>
              <w:t xml:space="preserve">noteikumu projekta </w:t>
            </w:r>
            <w:r w:rsidR="00714959">
              <w:rPr>
                <w:rFonts w:cs="Times New Roman"/>
                <w:b/>
                <w:sz w:val="26"/>
                <w:szCs w:val="26"/>
              </w:rPr>
              <w:t>1.</w:t>
            </w:r>
            <w:r w:rsidRPr="007A119E">
              <w:rPr>
                <w:rFonts w:cs="Times New Roman"/>
                <w:b/>
                <w:sz w:val="26"/>
                <w:szCs w:val="26"/>
              </w:rPr>
              <w:t>3.</w:t>
            </w:r>
            <w:r w:rsidR="008B0DEF">
              <w:rPr>
                <w:rFonts w:cs="Times New Roman"/>
                <w:b/>
                <w:sz w:val="26"/>
                <w:szCs w:val="26"/>
              </w:rPr>
              <w:t> </w:t>
            </w:r>
            <w:r w:rsidRPr="007A119E">
              <w:rPr>
                <w:rFonts w:cs="Times New Roman"/>
                <w:b/>
                <w:sz w:val="26"/>
                <w:szCs w:val="26"/>
              </w:rPr>
              <w:t>punktu</w:t>
            </w:r>
            <w:r>
              <w:rPr>
                <w:rFonts w:cs="Times New Roman"/>
                <w:b/>
                <w:sz w:val="26"/>
                <w:szCs w:val="26"/>
              </w:rPr>
              <w:t xml:space="preserve"> </w:t>
            </w:r>
            <w:r>
              <w:rPr>
                <w:rFonts w:cs="Times New Roman"/>
                <w:sz w:val="26"/>
                <w:szCs w:val="26"/>
              </w:rPr>
              <w:t>tiek veikts redakcionāla rakstu</w:t>
            </w:r>
            <w:r w:rsidR="008B0DEF">
              <w:rPr>
                <w:rFonts w:cs="Times New Roman"/>
                <w:sz w:val="26"/>
                <w:szCs w:val="26"/>
              </w:rPr>
              <w:t>ra precizējums MK noteikumu Nr. </w:t>
            </w:r>
            <w:r>
              <w:rPr>
                <w:rFonts w:cs="Times New Roman"/>
                <w:sz w:val="26"/>
                <w:szCs w:val="26"/>
              </w:rPr>
              <w:t xml:space="preserve">468 otrajā punktā, </w:t>
            </w:r>
            <w:r w:rsidR="00831108">
              <w:rPr>
                <w:rFonts w:cs="Times New Roman"/>
                <w:sz w:val="26"/>
                <w:szCs w:val="26"/>
              </w:rPr>
              <w:t>saīsinot Regulas Nr.</w:t>
            </w:r>
            <w:r w:rsidR="008B0DEF">
              <w:rPr>
                <w:rFonts w:cs="Times New Roman"/>
                <w:sz w:val="26"/>
                <w:szCs w:val="26"/>
              </w:rPr>
              <w:t> </w:t>
            </w:r>
            <w:r w:rsidR="00831108">
              <w:rPr>
                <w:rFonts w:cs="Times New Roman"/>
                <w:sz w:val="26"/>
                <w:szCs w:val="26"/>
              </w:rPr>
              <w:t>608/2013 nosaukumu, jo pilnais nosaukums tiks izteikts MK noteikumu Nr.</w:t>
            </w:r>
            <w:r w:rsidR="008B0DEF">
              <w:t> </w:t>
            </w:r>
            <w:r w:rsidR="00831108">
              <w:rPr>
                <w:rFonts w:cs="Times New Roman"/>
                <w:sz w:val="26"/>
                <w:szCs w:val="26"/>
              </w:rPr>
              <w:t>468 1.4.</w:t>
            </w:r>
            <w:r w:rsidR="008B0DEF">
              <w:rPr>
                <w:rFonts w:cs="Times New Roman"/>
                <w:sz w:val="26"/>
                <w:szCs w:val="26"/>
              </w:rPr>
              <w:t> </w:t>
            </w:r>
            <w:r w:rsidR="00FA5637">
              <w:rPr>
                <w:rFonts w:cs="Times New Roman"/>
                <w:sz w:val="26"/>
                <w:szCs w:val="26"/>
              </w:rPr>
              <w:t>apakš</w:t>
            </w:r>
            <w:r w:rsidR="00831108">
              <w:rPr>
                <w:rFonts w:cs="Times New Roman"/>
                <w:sz w:val="26"/>
                <w:szCs w:val="26"/>
              </w:rPr>
              <w:t>punktā.</w:t>
            </w:r>
          </w:p>
          <w:p w14:paraId="3D445CDE" w14:textId="4ACA1959" w:rsidR="00547171" w:rsidRPr="007A119E" w:rsidRDefault="00F27301" w:rsidP="00547171">
            <w:pPr>
              <w:spacing w:before="120"/>
              <w:ind w:left="57" w:right="57"/>
              <w:jc w:val="both"/>
              <w:rPr>
                <w:sz w:val="26"/>
                <w:szCs w:val="26"/>
              </w:rPr>
            </w:pPr>
            <w:r>
              <w:rPr>
                <w:b/>
                <w:sz w:val="26"/>
                <w:szCs w:val="26"/>
              </w:rPr>
              <w:t>4</w:t>
            </w:r>
            <w:r w:rsidR="00DA0ACA" w:rsidRPr="007A119E">
              <w:rPr>
                <w:b/>
                <w:sz w:val="26"/>
                <w:szCs w:val="26"/>
              </w:rPr>
              <w:t>.</w:t>
            </w:r>
            <w:r w:rsidR="00DA0ACA" w:rsidRPr="007A119E">
              <w:rPr>
                <w:sz w:val="26"/>
                <w:szCs w:val="26"/>
              </w:rPr>
              <w:t xml:space="preserve"> </w:t>
            </w:r>
            <w:r w:rsidR="00D830CE" w:rsidRPr="007A119E">
              <w:rPr>
                <w:rFonts w:cs="Times New Roman"/>
                <w:sz w:val="26"/>
                <w:szCs w:val="26"/>
              </w:rPr>
              <w:t xml:space="preserve">Ar </w:t>
            </w:r>
            <w:r>
              <w:rPr>
                <w:rFonts w:cs="Times New Roman"/>
                <w:b/>
                <w:sz w:val="26"/>
                <w:szCs w:val="26"/>
              </w:rPr>
              <w:t xml:space="preserve">noteikumu projekta </w:t>
            </w:r>
            <w:r w:rsidR="00714959">
              <w:rPr>
                <w:rFonts w:cs="Times New Roman"/>
                <w:b/>
                <w:sz w:val="26"/>
                <w:szCs w:val="26"/>
              </w:rPr>
              <w:t>1.</w:t>
            </w:r>
            <w:r>
              <w:rPr>
                <w:rFonts w:cs="Times New Roman"/>
                <w:b/>
                <w:sz w:val="26"/>
                <w:szCs w:val="26"/>
              </w:rPr>
              <w:t>4</w:t>
            </w:r>
            <w:r w:rsidR="00D830CE" w:rsidRPr="007A119E">
              <w:rPr>
                <w:rFonts w:cs="Times New Roman"/>
                <w:b/>
                <w:sz w:val="26"/>
                <w:szCs w:val="26"/>
              </w:rPr>
              <w:t>.</w:t>
            </w:r>
            <w:r w:rsidR="008B0DEF">
              <w:rPr>
                <w:rFonts w:cs="Times New Roman"/>
                <w:b/>
                <w:sz w:val="26"/>
                <w:szCs w:val="26"/>
              </w:rPr>
              <w:t> </w:t>
            </w:r>
            <w:r w:rsidR="00D830CE" w:rsidRPr="007A119E">
              <w:rPr>
                <w:rFonts w:cs="Times New Roman"/>
                <w:b/>
                <w:sz w:val="26"/>
                <w:szCs w:val="26"/>
              </w:rPr>
              <w:t>punktu</w:t>
            </w:r>
            <w:r w:rsidR="00D830CE" w:rsidRPr="007A119E">
              <w:rPr>
                <w:rFonts w:cs="Times New Roman"/>
                <w:sz w:val="26"/>
                <w:szCs w:val="26"/>
              </w:rPr>
              <w:t xml:space="preserve"> tiek redakcionāli precizēts </w:t>
            </w:r>
            <w:r w:rsidR="00A37808" w:rsidRPr="007A119E">
              <w:rPr>
                <w:rFonts w:cs="Times New Roman"/>
                <w:sz w:val="26"/>
                <w:szCs w:val="26"/>
              </w:rPr>
              <w:t>MK noteikumu Nr.</w:t>
            </w:r>
            <w:r w:rsidR="008B0DEF">
              <w:rPr>
                <w:rFonts w:cs="Times New Roman"/>
                <w:sz w:val="26"/>
                <w:szCs w:val="26"/>
              </w:rPr>
              <w:t> </w:t>
            </w:r>
            <w:r w:rsidR="00A37808" w:rsidRPr="007A119E">
              <w:rPr>
                <w:rFonts w:cs="Times New Roman"/>
                <w:sz w:val="26"/>
                <w:szCs w:val="26"/>
              </w:rPr>
              <w:t>46</w:t>
            </w:r>
            <w:r w:rsidR="00A5240F" w:rsidRPr="007A119E">
              <w:rPr>
                <w:rFonts w:cs="Times New Roman"/>
                <w:sz w:val="26"/>
                <w:szCs w:val="26"/>
              </w:rPr>
              <w:t>8</w:t>
            </w:r>
            <w:r w:rsidR="00A37808" w:rsidRPr="007A119E">
              <w:rPr>
                <w:rFonts w:cs="Times New Roman"/>
                <w:sz w:val="26"/>
                <w:szCs w:val="26"/>
              </w:rPr>
              <w:t xml:space="preserve"> </w:t>
            </w:r>
            <w:r w:rsidR="00A37808" w:rsidRPr="007A119E">
              <w:rPr>
                <w:rFonts w:cs="Times New Roman"/>
                <w:sz w:val="26"/>
                <w:szCs w:val="26"/>
              </w:rPr>
              <w:lastRenderedPageBreak/>
              <w:t>9.</w:t>
            </w:r>
            <w:r w:rsidR="008B0DEF">
              <w:rPr>
                <w:rFonts w:cs="Times New Roman"/>
                <w:sz w:val="26"/>
                <w:szCs w:val="26"/>
              </w:rPr>
              <w:t> </w:t>
            </w:r>
            <w:r w:rsidR="00A37808" w:rsidRPr="007A119E">
              <w:rPr>
                <w:rFonts w:cs="Times New Roman"/>
                <w:sz w:val="26"/>
                <w:szCs w:val="26"/>
              </w:rPr>
              <w:t>pu</w:t>
            </w:r>
            <w:r w:rsidR="00D830CE" w:rsidRPr="007A119E">
              <w:rPr>
                <w:rFonts w:cs="Times New Roman"/>
                <w:sz w:val="26"/>
                <w:szCs w:val="26"/>
              </w:rPr>
              <w:t xml:space="preserve">nkts atbilstoši Muitas likuma </w:t>
            </w:r>
            <w:r w:rsidR="00D830CE" w:rsidRPr="007A119E">
              <w:rPr>
                <w:rFonts w:eastAsia="Times New Roman"/>
                <w:iCs/>
                <w:sz w:val="26"/>
                <w:szCs w:val="26"/>
                <w:lang w:eastAsia="lv-LV"/>
              </w:rPr>
              <w:t>14.</w:t>
            </w:r>
            <w:r w:rsidR="00D830CE" w:rsidRPr="007A119E">
              <w:rPr>
                <w:rFonts w:eastAsia="Times New Roman"/>
                <w:iCs/>
                <w:sz w:val="26"/>
                <w:szCs w:val="26"/>
                <w:vertAlign w:val="superscript"/>
                <w:lang w:eastAsia="lv-LV"/>
              </w:rPr>
              <w:t>1</w:t>
            </w:r>
            <w:r w:rsidR="00D830CE" w:rsidRPr="007A119E">
              <w:rPr>
                <w:rFonts w:eastAsia="Times New Roman"/>
                <w:iCs/>
                <w:sz w:val="26"/>
                <w:szCs w:val="26"/>
                <w:lang w:eastAsia="lv-LV"/>
              </w:rPr>
              <w:t xml:space="preserve"> panta saturam</w:t>
            </w:r>
            <w:r w:rsidR="0068109A">
              <w:rPr>
                <w:rFonts w:eastAsia="Times New Roman"/>
                <w:iCs/>
                <w:sz w:val="26"/>
                <w:szCs w:val="26"/>
                <w:lang w:eastAsia="lv-LV"/>
              </w:rPr>
              <w:t xml:space="preserve">. </w:t>
            </w:r>
          </w:p>
          <w:p w14:paraId="40F2B3C0" w14:textId="0070667D" w:rsidR="00557857" w:rsidRPr="007A119E" w:rsidRDefault="009D428A" w:rsidP="00A015CC">
            <w:pPr>
              <w:spacing w:before="120"/>
              <w:ind w:left="57" w:right="57"/>
              <w:jc w:val="both"/>
              <w:rPr>
                <w:rFonts w:cs="Times New Roman"/>
                <w:sz w:val="26"/>
                <w:szCs w:val="26"/>
              </w:rPr>
            </w:pPr>
            <w:r w:rsidRPr="007A119E">
              <w:rPr>
                <w:rFonts w:cs="Times New Roman"/>
                <w:sz w:val="26"/>
                <w:szCs w:val="26"/>
              </w:rPr>
              <w:t xml:space="preserve">Noteikumu projekta </w:t>
            </w:r>
            <w:r w:rsidR="00714959">
              <w:rPr>
                <w:rFonts w:cs="Times New Roman"/>
                <w:sz w:val="26"/>
                <w:szCs w:val="26"/>
              </w:rPr>
              <w:t>1.</w:t>
            </w:r>
            <w:r w:rsidR="0068109A">
              <w:rPr>
                <w:rFonts w:cs="Times New Roman"/>
                <w:sz w:val="26"/>
                <w:szCs w:val="26"/>
              </w:rPr>
              <w:t>4</w:t>
            </w:r>
            <w:r w:rsidRPr="007A119E">
              <w:rPr>
                <w:rFonts w:cs="Times New Roman"/>
                <w:sz w:val="26"/>
                <w:szCs w:val="26"/>
              </w:rPr>
              <w:t>.</w:t>
            </w:r>
            <w:r w:rsidR="008B0DEF">
              <w:rPr>
                <w:rFonts w:cs="Times New Roman"/>
                <w:sz w:val="26"/>
                <w:szCs w:val="26"/>
              </w:rPr>
              <w:t> </w:t>
            </w:r>
            <w:r w:rsidRPr="007A119E">
              <w:rPr>
                <w:rFonts w:cs="Times New Roman"/>
                <w:sz w:val="26"/>
                <w:szCs w:val="26"/>
              </w:rPr>
              <w:t>punkts jāskata kopsakarā ar Muitas likuma 14.</w:t>
            </w:r>
            <w:r w:rsidRPr="007A119E">
              <w:rPr>
                <w:rFonts w:cs="Times New Roman"/>
                <w:sz w:val="26"/>
                <w:szCs w:val="26"/>
                <w:vertAlign w:val="superscript"/>
              </w:rPr>
              <w:t xml:space="preserve">1 </w:t>
            </w:r>
            <w:r w:rsidRPr="007A119E">
              <w:rPr>
                <w:rFonts w:cs="Times New Roman"/>
                <w:sz w:val="26"/>
                <w:szCs w:val="26"/>
              </w:rPr>
              <w:t>pant</w:t>
            </w:r>
            <w:r w:rsidR="00DA0ACA" w:rsidRPr="007A119E">
              <w:rPr>
                <w:rFonts w:cs="Times New Roman"/>
                <w:sz w:val="26"/>
                <w:szCs w:val="26"/>
              </w:rPr>
              <w:t>u</w:t>
            </w:r>
            <w:r w:rsidRPr="007A119E">
              <w:rPr>
                <w:rFonts w:cs="Times New Roman"/>
                <w:sz w:val="26"/>
                <w:szCs w:val="26"/>
              </w:rPr>
              <w:t>, kā arī ar regulas Nr.608/2013</w:t>
            </w:r>
            <w:r w:rsidRPr="007A119E">
              <w:rPr>
                <w:rStyle w:val="FootnoteReference"/>
                <w:rFonts w:cs="Times New Roman"/>
                <w:sz w:val="26"/>
                <w:szCs w:val="26"/>
              </w:rPr>
              <w:footnoteReference w:id="13"/>
            </w:r>
            <w:r w:rsidRPr="007A119E">
              <w:rPr>
                <w:rFonts w:cs="Times New Roman"/>
                <w:sz w:val="26"/>
                <w:szCs w:val="26"/>
              </w:rPr>
              <w:t xml:space="preserve"> 23.</w:t>
            </w:r>
            <w:r w:rsidR="008B0DEF">
              <w:rPr>
                <w:rFonts w:cs="Times New Roman"/>
                <w:sz w:val="26"/>
                <w:szCs w:val="26"/>
              </w:rPr>
              <w:t> </w:t>
            </w:r>
            <w:r w:rsidRPr="007A119E">
              <w:rPr>
                <w:rFonts w:cs="Times New Roman"/>
                <w:sz w:val="26"/>
                <w:szCs w:val="26"/>
              </w:rPr>
              <w:t>panta 3.</w:t>
            </w:r>
            <w:r w:rsidR="008B0DEF">
              <w:rPr>
                <w:rFonts w:cs="Times New Roman"/>
                <w:sz w:val="26"/>
                <w:szCs w:val="26"/>
              </w:rPr>
              <w:t> </w:t>
            </w:r>
            <w:r w:rsidRPr="007A119E">
              <w:rPr>
                <w:rFonts w:cs="Times New Roman"/>
                <w:sz w:val="26"/>
                <w:szCs w:val="26"/>
              </w:rPr>
              <w:t xml:space="preserve">punktu. </w:t>
            </w:r>
          </w:p>
          <w:p w14:paraId="78CCF6D1" w14:textId="1D3A51B5" w:rsidR="00575E8D" w:rsidRPr="007A119E" w:rsidRDefault="00557857" w:rsidP="00A015CC">
            <w:pPr>
              <w:spacing w:before="120"/>
              <w:ind w:left="57" w:right="57"/>
              <w:jc w:val="both"/>
              <w:rPr>
                <w:rFonts w:cs="Times New Roman"/>
                <w:sz w:val="26"/>
                <w:szCs w:val="26"/>
                <w:shd w:val="clear" w:color="auto" w:fill="FFFFFF"/>
              </w:rPr>
            </w:pPr>
            <w:r w:rsidRPr="007A119E">
              <w:rPr>
                <w:rFonts w:cs="Times New Roman"/>
                <w:sz w:val="26"/>
                <w:szCs w:val="26"/>
              </w:rPr>
              <w:t xml:space="preserve">Regula Nr. 608/2013 </w:t>
            </w:r>
            <w:r w:rsidRPr="007A119E">
              <w:rPr>
                <w:rFonts w:eastAsia="Times New Roman" w:cs="Times New Roman"/>
                <w:spacing w:val="-2"/>
                <w:sz w:val="26"/>
                <w:szCs w:val="26"/>
                <w:lang w:eastAsia="lv-LV"/>
              </w:rPr>
              <w:t>nosaka muitas iestādes uzdevumus intelektuālā īpašuma tiesību aizsardzības jomā, proti, muitai ir tiesības apturēt tādu preču izlaišanu, par kurām ir aizdomas, ka ar tām tiek pārkāptas tiesības uz intelektuālo īpašumu. Atbilstoši Regulā Nr.</w:t>
            </w:r>
            <w:r w:rsidRPr="007A119E">
              <w:rPr>
                <w:rFonts w:eastAsia="Times New Roman" w:cs="Times New Roman"/>
                <w:sz w:val="26"/>
                <w:szCs w:val="26"/>
                <w:lang w:eastAsia="lv-LV"/>
              </w:rPr>
              <w:t> </w:t>
            </w:r>
            <w:r w:rsidRPr="007A119E">
              <w:rPr>
                <w:rFonts w:eastAsia="Times New Roman" w:cs="Times New Roman"/>
                <w:spacing w:val="-2"/>
                <w:sz w:val="26"/>
                <w:szCs w:val="26"/>
                <w:lang w:eastAsia="lv-LV"/>
              </w:rPr>
              <w:t>608/2013 noteiktajam, atzinumu par to, vai prece pārkāpj intelektuālā īpašuma tiesības, sniedz konkrēto intelektuālā īpašuma tiesību īpašnieks vai tā pilnvarotais pārstāvis</w:t>
            </w:r>
            <w:r w:rsidRPr="007A119E">
              <w:rPr>
                <w:rStyle w:val="FootnoteReference"/>
                <w:rFonts w:eastAsia="Times New Roman" w:cs="Times New Roman"/>
                <w:spacing w:val="-2"/>
                <w:sz w:val="26"/>
                <w:szCs w:val="26"/>
                <w:lang w:eastAsia="lv-LV"/>
              </w:rPr>
              <w:footnoteReference w:id="14"/>
            </w:r>
            <w:r w:rsidRPr="007A119E">
              <w:rPr>
                <w:rFonts w:eastAsia="Times New Roman" w:cs="Times New Roman"/>
                <w:spacing w:val="-2"/>
                <w:sz w:val="26"/>
                <w:szCs w:val="26"/>
                <w:lang w:eastAsia="lv-LV"/>
              </w:rPr>
              <w:t xml:space="preserve">, jo </w:t>
            </w:r>
            <w:r w:rsidRPr="007A119E">
              <w:rPr>
                <w:rFonts w:cs="Times New Roman"/>
                <w:sz w:val="26"/>
                <w:szCs w:val="26"/>
                <w:shd w:val="clear" w:color="auto" w:fill="FFFFFF"/>
              </w:rPr>
              <w:t xml:space="preserve">tikai tiesību īpašnieks vai viņa oficiālais pārstāvis ir tiesīgs noteikt, vai prece ir viltojumus. Katrs zīmola īpašnieks ir iestrādājis vairākas nianses, pēc kurām var noteikt, vai prece, iespējams, ir viltota, bet šīs nianses neatklāj publiski, lai šādu informāciju nevarētu izmantot ļaunprātīgi. </w:t>
            </w:r>
          </w:p>
          <w:p w14:paraId="717647FB" w14:textId="3B04A579" w:rsidR="00575E8D" w:rsidRPr="007A119E" w:rsidRDefault="00575E8D" w:rsidP="00A015CC">
            <w:pPr>
              <w:spacing w:before="120"/>
              <w:ind w:left="57" w:right="57"/>
              <w:jc w:val="both"/>
              <w:rPr>
                <w:rFonts w:cs="Times New Roman"/>
                <w:sz w:val="26"/>
                <w:szCs w:val="26"/>
              </w:rPr>
            </w:pPr>
            <w:r w:rsidRPr="007A119E">
              <w:rPr>
                <w:rFonts w:cs="Times New Roman"/>
                <w:sz w:val="26"/>
                <w:szCs w:val="26"/>
              </w:rPr>
              <w:t>Regulas Nr. </w:t>
            </w:r>
            <w:hyperlink r:id="rId12" w:tgtFrame="_blank" w:history="1">
              <w:r w:rsidRPr="007A119E">
                <w:rPr>
                  <w:rStyle w:val="Hyperlink"/>
                  <w:rFonts w:cs="Times New Roman"/>
                  <w:color w:val="auto"/>
                  <w:sz w:val="26"/>
                  <w:szCs w:val="26"/>
                  <w:u w:val="none"/>
                </w:rPr>
                <w:t>608/2013</w:t>
              </w:r>
            </w:hyperlink>
            <w:r w:rsidRPr="007A119E">
              <w:rPr>
                <w:rFonts w:cs="Times New Roman"/>
                <w:sz w:val="26"/>
                <w:szCs w:val="26"/>
              </w:rPr>
              <w:t> 23.</w:t>
            </w:r>
            <w:r w:rsidR="008B0DEF">
              <w:rPr>
                <w:rFonts w:cs="Times New Roman"/>
                <w:sz w:val="26"/>
                <w:szCs w:val="26"/>
              </w:rPr>
              <w:t> </w:t>
            </w:r>
            <w:r w:rsidRPr="007A119E">
              <w:rPr>
                <w:rFonts w:cs="Times New Roman"/>
                <w:sz w:val="26"/>
                <w:szCs w:val="26"/>
              </w:rPr>
              <w:t>panta 3.</w:t>
            </w:r>
            <w:r w:rsidRPr="007A119E">
              <w:rPr>
                <w:rFonts w:eastAsia="Times New Roman" w:cs="Times New Roman"/>
                <w:sz w:val="26"/>
                <w:szCs w:val="26"/>
                <w:lang w:eastAsia="lv-LV"/>
              </w:rPr>
              <w:t> </w:t>
            </w:r>
            <w:r w:rsidRPr="007A119E">
              <w:rPr>
                <w:rFonts w:cs="Times New Roman"/>
                <w:sz w:val="26"/>
                <w:szCs w:val="26"/>
              </w:rPr>
              <w:t>punkts nosaka, ka intelektuālā īpašuma tiesību īpašnieks uzsāk tiesvedību, lai noteiktu, vai ir pārkāptas intelektuālā īpašuma tiesības. Šis intelektuālā īpašuma tiesību īpašnieka ar regulu noteiktais pienākums attiecas uz tiem gadījumiem, kad muitas iestādei radušās aizdomas, ka ar preci (neatkarīgi no tā, vai ir piemērota muitas procedūra vai nav) varētu būt pārkāptas intelektuālā īpašuma tiesības, līdz ar to muitas iestāde aptur preces izlaišanu vai aiztur to un attiecīgi par šo faktu paziņo preces deklarētājam un intelektuālā īpašuma tiesību īpašniekam, vienlaikus arī aicinot sniegt viedokli, vai minētās personas piekristu iznīcināt preci. Saskaņā ar regulas Nr. </w:t>
            </w:r>
            <w:hyperlink r:id="rId13" w:tgtFrame="_blank" w:history="1">
              <w:r w:rsidRPr="007A119E">
                <w:rPr>
                  <w:rStyle w:val="Hyperlink"/>
                  <w:rFonts w:cs="Times New Roman"/>
                  <w:color w:val="auto"/>
                  <w:sz w:val="26"/>
                  <w:szCs w:val="26"/>
                  <w:u w:val="none"/>
                </w:rPr>
                <w:t>608/2013</w:t>
              </w:r>
            </w:hyperlink>
            <w:r w:rsidRPr="007A119E">
              <w:rPr>
                <w:rFonts w:cs="Times New Roman"/>
                <w:sz w:val="26"/>
                <w:szCs w:val="26"/>
              </w:rPr>
              <w:t> 23. panta 3.</w:t>
            </w:r>
            <w:r w:rsidRPr="007A119E">
              <w:rPr>
                <w:rFonts w:eastAsia="Times New Roman" w:cs="Times New Roman"/>
                <w:sz w:val="26"/>
                <w:szCs w:val="26"/>
                <w:lang w:eastAsia="lv-LV"/>
              </w:rPr>
              <w:t> </w:t>
            </w:r>
            <w:r w:rsidRPr="007A119E">
              <w:rPr>
                <w:rFonts w:cs="Times New Roman"/>
                <w:sz w:val="26"/>
                <w:szCs w:val="26"/>
              </w:rPr>
              <w:t xml:space="preserve">punkta nosacījumiem gadījumā, ja preces deklarētājs nepiekrīt iznīcināt preci (par kuru muitas iestādei radušās aizdomas, ka ar to tiek pārkāptas intelektuālā īpašuma tiesības), muitas iestādei par to nekavējoties jāinformē intelektuālā īpašuma tiesību īpašnieks. </w:t>
            </w:r>
          </w:p>
          <w:p w14:paraId="41FF67F5" w14:textId="3A63C0BE" w:rsidR="00575E8D" w:rsidRPr="007A119E" w:rsidRDefault="00575E8D" w:rsidP="00A015CC">
            <w:pPr>
              <w:spacing w:before="120"/>
              <w:ind w:left="57" w:right="57"/>
              <w:jc w:val="both"/>
              <w:rPr>
                <w:rFonts w:eastAsia="Times New Roman"/>
                <w:iCs/>
                <w:sz w:val="26"/>
                <w:szCs w:val="26"/>
                <w:lang w:eastAsia="lv-LV"/>
              </w:rPr>
            </w:pPr>
            <w:r w:rsidRPr="007A119E">
              <w:rPr>
                <w:rFonts w:cs="Times New Roman"/>
                <w:sz w:val="26"/>
                <w:szCs w:val="26"/>
              </w:rPr>
              <w:lastRenderedPageBreak/>
              <w:t>Saskaņā ar Muitas likuma 14.</w:t>
            </w:r>
            <w:r w:rsidRPr="007A119E">
              <w:rPr>
                <w:rFonts w:cs="Times New Roman"/>
                <w:sz w:val="26"/>
                <w:szCs w:val="26"/>
                <w:vertAlign w:val="superscript"/>
              </w:rPr>
              <w:t>1</w:t>
            </w:r>
            <w:r w:rsidRPr="007A119E">
              <w:rPr>
                <w:rFonts w:cs="Times New Roman"/>
                <w:sz w:val="26"/>
                <w:szCs w:val="26"/>
              </w:rPr>
              <w:t xml:space="preserve"> pantu, j</w:t>
            </w:r>
            <w:r w:rsidRPr="007A119E">
              <w:rPr>
                <w:rFonts w:eastAsia="Times New Roman"/>
                <w:sz w:val="26"/>
                <w:szCs w:val="26"/>
                <w:lang w:eastAsia="lv-LV"/>
              </w:rPr>
              <w:t xml:space="preserve">a </w:t>
            </w:r>
            <w:r w:rsidRPr="007A119E">
              <w:rPr>
                <w:rFonts w:eastAsia="Times New Roman"/>
                <w:iCs/>
                <w:sz w:val="26"/>
                <w:szCs w:val="26"/>
                <w:lang w:eastAsia="lv-LV"/>
              </w:rPr>
              <w:t xml:space="preserve">muitas kontrolei pakļauto preču, uz kurām attiecas regulas Nr. 2015/2446 135. līdz 141. panta un 144. panta nosacījumi, </w:t>
            </w:r>
            <w:r w:rsidRPr="007A119E">
              <w:rPr>
                <w:rFonts w:eastAsia="Times New Roman"/>
                <w:sz w:val="26"/>
                <w:szCs w:val="26"/>
                <w:lang w:eastAsia="lv-LV"/>
              </w:rPr>
              <w:t xml:space="preserve">deklarētājs vai valdītājs saskaņā ar </w:t>
            </w:r>
            <w:r w:rsidRPr="007A119E">
              <w:rPr>
                <w:sz w:val="26"/>
                <w:szCs w:val="26"/>
              </w:rPr>
              <w:t xml:space="preserve">regulas Nr. 608/2013 </w:t>
            </w:r>
            <w:r w:rsidRPr="007A119E">
              <w:rPr>
                <w:rFonts w:eastAsia="Times New Roman"/>
                <w:iCs/>
                <w:sz w:val="26"/>
                <w:szCs w:val="26"/>
                <w:lang w:eastAsia="lv-LV"/>
              </w:rPr>
              <w:t xml:space="preserve">23. panta 3. punktu </w:t>
            </w:r>
            <w:r w:rsidRPr="007A119E">
              <w:rPr>
                <w:rFonts w:eastAsia="Times New Roman"/>
                <w:sz w:val="26"/>
                <w:szCs w:val="26"/>
                <w:lang w:eastAsia="lv-LV"/>
              </w:rPr>
              <w:t xml:space="preserve">ir iesniedzis VID rakstiskus iebildumus pret preču iznīcināšanu, VID, pamatojoties uz lēmuma saņēmēja sniegtu apstiprinājumu par intelektuālā īpašuma tiesību pārkāpumu un citiem lietā esošiem pierādījumiem, izvērtē </w:t>
            </w:r>
            <w:r w:rsidRPr="007A119E">
              <w:rPr>
                <w:rFonts w:eastAsia="Times New Roman"/>
                <w:iCs/>
                <w:sz w:val="26"/>
                <w:szCs w:val="26"/>
                <w:lang w:eastAsia="lv-LV"/>
              </w:rPr>
              <w:t xml:space="preserve">intelektuālā īpašuma tiesību pārkāpuma esību attiecībā uz minētajām precēm. </w:t>
            </w:r>
          </w:p>
          <w:p w14:paraId="7251E786" w14:textId="3414EA65" w:rsidR="00575E8D" w:rsidRPr="007A119E" w:rsidRDefault="00575E8D" w:rsidP="00A015CC">
            <w:pPr>
              <w:spacing w:before="120"/>
              <w:ind w:left="57" w:right="57"/>
              <w:jc w:val="both"/>
              <w:rPr>
                <w:sz w:val="26"/>
                <w:szCs w:val="26"/>
              </w:rPr>
            </w:pPr>
            <w:r w:rsidRPr="007A119E">
              <w:rPr>
                <w:rFonts w:eastAsia="Times New Roman"/>
                <w:iCs/>
                <w:sz w:val="26"/>
                <w:szCs w:val="26"/>
                <w:lang w:eastAsia="lv-LV"/>
              </w:rPr>
              <w:t xml:space="preserve">Lēmuma saņēmēja apstiprinājumā norādāmo informāciju nosaka </w:t>
            </w:r>
            <w:r w:rsidR="00FF78D4" w:rsidRPr="007A119E">
              <w:rPr>
                <w:rFonts w:eastAsia="Times New Roman"/>
                <w:iCs/>
                <w:sz w:val="26"/>
                <w:szCs w:val="26"/>
                <w:lang w:eastAsia="lv-LV"/>
              </w:rPr>
              <w:t>MK noteikumu Nr.</w:t>
            </w:r>
            <w:r w:rsidR="008B0DEF">
              <w:rPr>
                <w:rFonts w:eastAsia="Times New Roman"/>
                <w:iCs/>
                <w:sz w:val="26"/>
                <w:szCs w:val="26"/>
                <w:lang w:eastAsia="lv-LV"/>
              </w:rPr>
              <w:t> </w:t>
            </w:r>
            <w:r w:rsidR="00FF78D4" w:rsidRPr="007A119E">
              <w:rPr>
                <w:rFonts w:eastAsia="Times New Roman"/>
                <w:iCs/>
                <w:sz w:val="26"/>
                <w:szCs w:val="26"/>
                <w:lang w:eastAsia="lv-LV"/>
              </w:rPr>
              <w:t>46</w:t>
            </w:r>
            <w:r w:rsidR="00A5240F" w:rsidRPr="007A119E">
              <w:rPr>
                <w:rFonts w:eastAsia="Times New Roman"/>
                <w:iCs/>
                <w:sz w:val="26"/>
                <w:szCs w:val="26"/>
                <w:lang w:eastAsia="lv-LV"/>
              </w:rPr>
              <w:t>8</w:t>
            </w:r>
            <w:r w:rsidR="00FF78D4" w:rsidRPr="007A119E">
              <w:rPr>
                <w:rFonts w:eastAsia="Times New Roman"/>
                <w:iCs/>
                <w:sz w:val="26"/>
                <w:szCs w:val="26"/>
                <w:lang w:eastAsia="lv-LV"/>
              </w:rPr>
              <w:t xml:space="preserve"> </w:t>
            </w:r>
            <w:r w:rsidRPr="007A119E">
              <w:rPr>
                <w:rFonts w:eastAsia="Times New Roman"/>
                <w:iCs/>
                <w:sz w:val="26"/>
                <w:szCs w:val="26"/>
                <w:lang w:eastAsia="lv-LV"/>
              </w:rPr>
              <w:t>9.punkts, proti, j</w:t>
            </w:r>
            <w:r w:rsidRPr="007A119E">
              <w:rPr>
                <w:sz w:val="26"/>
                <w:szCs w:val="26"/>
              </w:rPr>
              <w:t>a preču deklarētājs vai valdītājs VID ir iesniedzis rakstiskus iebildumus pret preču iznīcināšanu, lēmuma saņēmējs regulas Nr. </w:t>
            </w:r>
            <w:hyperlink r:id="rId14" w:tgtFrame="_blank" w:history="1">
              <w:r w:rsidRPr="007A119E">
                <w:rPr>
                  <w:sz w:val="26"/>
                  <w:szCs w:val="26"/>
                </w:rPr>
                <w:t>608/2013</w:t>
              </w:r>
            </w:hyperlink>
            <w:r w:rsidRPr="007A119E">
              <w:rPr>
                <w:sz w:val="26"/>
                <w:szCs w:val="26"/>
              </w:rPr>
              <w:t xml:space="preserve"> 23. panta 3. punktā noteiktajā termiņā, iesniedz VID apstiprinājumu par intelektuālā īpašuma tiesību pārkāpumu, kurā norāda intelektuālā īpašuma tiesības, kuras ir pārkāptas, kā arī apstākļus un pazīmes, kas liecina, ka izlaišanai apturētās vai aizturētās preces atbilst regulas Nr. </w:t>
            </w:r>
            <w:hyperlink r:id="rId15" w:tgtFrame="_blank" w:history="1">
              <w:r w:rsidRPr="007A119E">
                <w:rPr>
                  <w:sz w:val="26"/>
                  <w:szCs w:val="26"/>
                </w:rPr>
                <w:t>608/2013</w:t>
              </w:r>
            </w:hyperlink>
            <w:r w:rsidRPr="007A119E">
              <w:rPr>
                <w:sz w:val="26"/>
                <w:szCs w:val="26"/>
              </w:rPr>
              <w:t xml:space="preserve"> 2. panta 7. punktā noteiktajai definīcijai.</w:t>
            </w:r>
          </w:p>
          <w:p w14:paraId="3811587A" w14:textId="065CB323" w:rsidR="004111A6" w:rsidRPr="007A119E" w:rsidRDefault="00575E8D" w:rsidP="00A015CC">
            <w:pPr>
              <w:pStyle w:val="naiskr"/>
              <w:spacing w:before="120" w:beforeAutospacing="0" w:after="0" w:afterAutospacing="0"/>
              <w:ind w:left="57" w:right="57"/>
              <w:jc w:val="both"/>
              <w:rPr>
                <w:sz w:val="26"/>
                <w:szCs w:val="26"/>
              </w:rPr>
            </w:pPr>
            <w:r w:rsidRPr="007A119E">
              <w:rPr>
                <w:sz w:val="26"/>
                <w:szCs w:val="26"/>
              </w:rPr>
              <w:t>Pēc šāda apstiprinājuma saņemšanas, VID, saskaņā ar Muitas likuma 14.</w:t>
            </w:r>
            <w:r w:rsidRPr="007A119E">
              <w:rPr>
                <w:sz w:val="26"/>
                <w:szCs w:val="26"/>
                <w:vertAlign w:val="superscript"/>
              </w:rPr>
              <w:t>1</w:t>
            </w:r>
            <w:r w:rsidRPr="007A119E">
              <w:rPr>
                <w:sz w:val="26"/>
                <w:szCs w:val="26"/>
              </w:rPr>
              <w:t xml:space="preserve"> pantā noteikto, izvērtē </w:t>
            </w:r>
            <w:r w:rsidRPr="007A119E">
              <w:rPr>
                <w:iCs/>
                <w:sz w:val="26"/>
                <w:szCs w:val="26"/>
              </w:rPr>
              <w:t xml:space="preserve">intelektuālā īpašuma tiesību pārkāpuma esību attiecībā uz minētajām precēm. </w:t>
            </w:r>
            <w:r w:rsidRPr="007A119E">
              <w:rPr>
                <w:sz w:val="26"/>
                <w:szCs w:val="26"/>
              </w:rPr>
              <w:t>Ja izvērtēšanā VID konstatē intelektuālā īpašuma tiesību pārkāpumu, VID saskaņā ar regulas Nr. 952/2013</w:t>
            </w:r>
            <w:r w:rsidRPr="007A119E">
              <w:rPr>
                <w:rStyle w:val="FootnoteReference"/>
                <w:sz w:val="26"/>
                <w:szCs w:val="26"/>
              </w:rPr>
              <w:footnoteReference w:id="15"/>
            </w:r>
            <w:r w:rsidRPr="007A119E">
              <w:rPr>
                <w:sz w:val="26"/>
                <w:szCs w:val="26"/>
              </w:rPr>
              <w:t xml:space="preserve"> 198. panta 1. punkta “b” apakšpunkta “iv” punktu pieņem lēmumu par  preču, ar kurām tiek pārkāptas intelektuālā īpašuma tiesības, nodošanu iznīcināšanai lēmuma saņēmējam.</w:t>
            </w:r>
            <w:r w:rsidRPr="007A119E" w:rsidDel="00903647">
              <w:rPr>
                <w:sz w:val="26"/>
                <w:szCs w:val="26"/>
              </w:rPr>
              <w:t xml:space="preserve"> </w:t>
            </w:r>
            <w:r w:rsidR="004111A6" w:rsidRPr="007A119E">
              <w:rPr>
                <w:sz w:val="26"/>
                <w:szCs w:val="26"/>
              </w:rPr>
              <w:t>Regulas Nr.</w:t>
            </w:r>
            <w:r w:rsidR="008B0DEF">
              <w:rPr>
                <w:sz w:val="26"/>
                <w:szCs w:val="26"/>
              </w:rPr>
              <w:t> </w:t>
            </w:r>
            <w:r w:rsidR="004111A6" w:rsidRPr="007A119E">
              <w:rPr>
                <w:sz w:val="26"/>
                <w:szCs w:val="26"/>
              </w:rPr>
              <w:t>952/2013 198.</w:t>
            </w:r>
            <w:r w:rsidR="008B0DEF">
              <w:rPr>
                <w:sz w:val="26"/>
                <w:szCs w:val="26"/>
              </w:rPr>
              <w:t> </w:t>
            </w:r>
            <w:r w:rsidR="004111A6" w:rsidRPr="007A119E">
              <w:rPr>
                <w:sz w:val="26"/>
                <w:szCs w:val="26"/>
              </w:rPr>
              <w:t>pants paredz iespēju muitas iestādei konfiscēt preces uz kurām attiecas aizliegumi vai ierobežojumi. Ņemot vērā, ka uz preci ar kuru tiek pārkāptas intelektuālā īpašuma tiesības attiecas aizliegumi vai ierobežojumi, muitas iestāde atbilstoši Regulas Nr.</w:t>
            </w:r>
            <w:r w:rsidR="008B0DEF">
              <w:rPr>
                <w:sz w:val="26"/>
                <w:szCs w:val="26"/>
              </w:rPr>
              <w:t> </w:t>
            </w:r>
            <w:r w:rsidR="004111A6" w:rsidRPr="007A119E">
              <w:rPr>
                <w:sz w:val="26"/>
                <w:szCs w:val="26"/>
              </w:rPr>
              <w:t>952/2013 198.</w:t>
            </w:r>
            <w:r w:rsidR="008B0DEF">
              <w:rPr>
                <w:sz w:val="26"/>
                <w:szCs w:val="26"/>
              </w:rPr>
              <w:t> </w:t>
            </w:r>
            <w:r w:rsidR="004111A6" w:rsidRPr="007A119E">
              <w:rPr>
                <w:sz w:val="26"/>
                <w:szCs w:val="26"/>
              </w:rPr>
              <w:t>pantam piemēro preču konfiskāciju.</w:t>
            </w:r>
          </w:p>
          <w:p w14:paraId="40ACD19F" w14:textId="4476A9C9" w:rsidR="0008191A" w:rsidRPr="007A119E" w:rsidRDefault="00F27301" w:rsidP="00A015CC">
            <w:pPr>
              <w:spacing w:before="120"/>
              <w:ind w:left="57" w:right="57"/>
              <w:jc w:val="both"/>
              <w:rPr>
                <w:rFonts w:eastAsia="Times New Roman" w:cs="Times New Roman"/>
                <w:sz w:val="26"/>
                <w:szCs w:val="26"/>
                <w:lang w:eastAsia="lv-LV"/>
              </w:rPr>
            </w:pPr>
            <w:r>
              <w:rPr>
                <w:b/>
                <w:sz w:val="26"/>
                <w:szCs w:val="26"/>
              </w:rPr>
              <w:lastRenderedPageBreak/>
              <w:t>5</w:t>
            </w:r>
            <w:r w:rsidR="00DA0ACA" w:rsidRPr="007A119E">
              <w:rPr>
                <w:b/>
                <w:sz w:val="26"/>
                <w:szCs w:val="26"/>
              </w:rPr>
              <w:t>.</w:t>
            </w:r>
            <w:r w:rsidR="00DA0ACA" w:rsidRPr="007A119E">
              <w:rPr>
                <w:sz w:val="26"/>
                <w:szCs w:val="26"/>
              </w:rPr>
              <w:t xml:space="preserve"> </w:t>
            </w:r>
            <w:r w:rsidR="00FF78D4" w:rsidRPr="007A119E">
              <w:rPr>
                <w:sz w:val="26"/>
                <w:szCs w:val="26"/>
              </w:rPr>
              <w:t xml:space="preserve">Ar </w:t>
            </w:r>
            <w:r>
              <w:rPr>
                <w:b/>
                <w:sz w:val="26"/>
                <w:szCs w:val="26"/>
              </w:rPr>
              <w:t xml:space="preserve">noteikumu projekta </w:t>
            </w:r>
            <w:r w:rsidR="00714959">
              <w:rPr>
                <w:b/>
                <w:sz w:val="26"/>
                <w:szCs w:val="26"/>
              </w:rPr>
              <w:t>1.</w:t>
            </w:r>
            <w:r>
              <w:rPr>
                <w:b/>
                <w:sz w:val="26"/>
                <w:szCs w:val="26"/>
              </w:rPr>
              <w:t>5</w:t>
            </w:r>
            <w:r w:rsidR="00FF78D4" w:rsidRPr="007A119E">
              <w:rPr>
                <w:b/>
                <w:sz w:val="26"/>
                <w:szCs w:val="26"/>
              </w:rPr>
              <w:t>.</w:t>
            </w:r>
            <w:r w:rsidR="008B0DEF">
              <w:rPr>
                <w:b/>
                <w:sz w:val="26"/>
                <w:szCs w:val="26"/>
              </w:rPr>
              <w:t> </w:t>
            </w:r>
            <w:r w:rsidR="00FF78D4" w:rsidRPr="007A119E">
              <w:rPr>
                <w:b/>
                <w:sz w:val="26"/>
                <w:szCs w:val="26"/>
              </w:rPr>
              <w:t>punktu</w:t>
            </w:r>
            <w:r w:rsidR="00FF78D4" w:rsidRPr="007A119E">
              <w:rPr>
                <w:sz w:val="26"/>
                <w:szCs w:val="26"/>
              </w:rPr>
              <w:t xml:space="preserve"> tiek svītrots</w:t>
            </w:r>
            <w:r w:rsidR="004111A6" w:rsidRPr="007A119E">
              <w:rPr>
                <w:sz w:val="26"/>
                <w:szCs w:val="26"/>
              </w:rPr>
              <w:t xml:space="preserve"> MK noteikumu Nr.</w:t>
            </w:r>
            <w:r w:rsidR="008B0DEF">
              <w:rPr>
                <w:sz w:val="26"/>
                <w:szCs w:val="26"/>
              </w:rPr>
              <w:t> </w:t>
            </w:r>
            <w:r w:rsidR="004111A6" w:rsidRPr="007A119E">
              <w:rPr>
                <w:sz w:val="26"/>
                <w:szCs w:val="26"/>
              </w:rPr>
              <w:t>468 12.</w:t>
            </w:r>
            <w:r w:rsidR="008B0DEF">
              <w:rPr>
                <w:sz w:val="26"/>
                <w:szCs w:val="26"/>
              </w:rPr>
              <w:t> </w:t>
            </w:r>
            <w:r w:rsidR="004111A6" w:rsidRPr="007A119E">
              <w:rPr>
                <w:sz w:val="26"/>
                <w:szCs w:val="26"/>
              </w:rPr>
              <w:t>punkts, saskaņā ar kuru VID pieņem lēmumu administratīvā pārkāpuma lietā, ja ir konstatētas administratīvā pārkāpuma pazīmes. Tā kā ar likumprojekta “Grozījumi Muitas likumā”</w:t>
            </w:r>
            <w:r w:rsidR="00BB7937">
              <w:rPr>
                <w:sz w:val="26"/>
                <w:szCs w:val="26"/>
              </w:rPr>
              <w:t xml:space="preserve"> </w:t>
            </w:r>
            <w:r w:rsidR="004111A6" w:rsidRPr="007A119E">
              <w:rPr>
                <w:sz w:val="26"/>
                <w:szCs w:val="26"/>
              </w:rPr>
              <w:t>(</w:t>
            </w:r>
            <w:r w:rsidR="004111A6" w:rsidRPr="00714959">
              <w:rPr>
                <w:sz w:val="26"/>
                <w:szCs w:val="26"/>
              </w:rPr>
              <w:t>Nr.</w:t>
            </w:r>
            <w:r w:rsidR="008B0DEF" w:rsidRPr="00714959">
              <w:rPr>
                <w:sz w:val="26"/>
                <w:szCs w:val="26"/>
              </w:rPr>
              <w:t> </w:t>
            </w:r>
            <w:r w:rsidR="00714959" w:rsidRPr="00714959">
              <w:rPr>
                <w:sz w:val="26"/>
                <w:szCs w:val="26"/>
              </w:rPr>
              <w:t>1016</w:t>
            </w:r>
            <w:r w:rsidR="004111A6" w:rsidRPr="00714959">
              <w:rPr>
                <w:sz w:val="26"/>
                <w:szCs w:val="26"/>
              </w:rPr>
              <w:t>/Lp13)</w:t>
            </w:r>
            <w:r w:rsidR="004111A6" w:rsidRPr="007A119E">
              <w:rPr>
                <w:sz w:val="26"/>
                <w:szCs w:val="26"/>
              </w:rPr>
              <w:t xml:space="preserve"> 9.</w:t>
            </w:r>
            <w:r w:rsidR="008B0DEF">
              <w:rPr>
                <w:sz w:val="26"/>
                <w:szCs w:val="26"/>
              </w:rPr>
              <w:t> </w:t>
            </w:r>
            <w:r w:rsidR="004111A6" w:rsidRPr="007A119E">
              <w:rPr>
                <w:sz w:val="26"/>
                <w:szCs w:val="26"/>
              </w:rPr>
              <w:t xml:space="preserve">pantu tiek </w:t>
            </w:r>
            <w:r w:rsidR="004111A6" w:rsidRPr="007A119E">
              <w:rPr>
                <w:rFonts w:cs="Times New Roman"/>
                <w:sz w:val="26"/>
                <w:szCs w:val="26"/>
              </w:rPr>
              <w:t>izpildīts MK rīkojumā Nr.</w:t>
            </w:r>
            <w:r w:rsidR="004111A6" w:rsidRPr="007A119E">
              <w:rPr>
                <w:rFonts w:eastAsia="Times New Roman" w:cs="Times New Roman"/>
                <w:sz w:val="26"/>
                <w:szCs w:val="26"/>
                <w:lang w:eastAsia="lv-LV"/>
              </w:rPr>
              <w:t> </w:t>
            </w:r>
            <w:r w:rsidR="004111A6" w:rsidRPr="007A119E">
              <w:rPr>
                <w:rFonts w:cs="Times New Roman"/>
                <w:sz w:val="26"/>
                <w:szCs w:val="26"/>
              </w:rPr>
              <w:t>401 noteiktais</w:t>
            </w:r>
            <w:r w:rsidR="004111A6" w:rsidRPr="007A119E">
              <w:rPr>
                <w:rStyle w:val="FootnoteReference"/>
                <w:rFonts w:cs="Times New Roman"/>
                <w:sz w:val="26"/>
                <w:szCs w:val="26"/>
              </w:rPr>
              <w:footnoteReference w:id="16"/>
            </w:r>
            <w:r w:rsidR="004111A6" w:rsidRPr="007A119E">
              <w:rPr>
                <w:rFonts w:cs="Times New Roman"/>
                <w:sz w:val="26"/>
                <w:szCs w:val="26"/>
              </w:rPr>
              <w:t xml:space="preserve">, izslēdzot </w:t>
            </w:r>
            <w:r w:rsidR="004111A6" w:rsidRPr="007A119E">
              <w:rPr>
                <w:rFonts w:eastAsia="Times New Roman" w:cs="Times New Roman"/>
                <w:sz w:val="26"/>
                <w:szCs w:val="26"/>
                <w:lang w:eastAsia="lv-LV"/>
              </w:rPr>
              <w:t>Muitas likuma 29. panta 15. daļā paredzēto administratīvo atbildību par viltotu vai pirātisku preču laišanu brīvā apgrozībā, šāds lēmums turpmāk netiks pieņemts.</w:t>
            </w:r>
            <w:r w:rsidR="00AE1DD5" w:rsidRPr="007A119E">
              <w:rPr>
                <w:rFonts w:eastAsia="Times New Roman" w:cs="Times New Roman"/>
                <w:sz w:val="26"/>
                <w:szCs w:val="26"/>
                <w:lang w:eastAsia="lv-LV"/>
              </w:rPr>
              <w:t xml:space="preserve"> </w:t>
            </w:r>
          </w:p>
          <w:p w14:paraId="5A473A88" w14:textId="4B0981B0" w:rsidR="0008191A" w:rsidRPr="007A119E" w:rsidRDefault="0008191A" w:rsidP="00A015CC">
            <w:pPr>
              <w:spacing w:before="120"/>
              <w:ind w:left="57" w:right="57"/>
              <w:jc w:val="both"/>
              <w:rPr>
                <w:sz w:val="26"/>
                <w:szCs w:val="26"/>
              </w:rPr>
            </w:pPr>
            <w:r w:rsidRPr="007A119E">
              <w:rPr>
                <w:rFonts w:eastAsia="Times New Roman" w:cs="Times New Roman"/>
                <w:sz w:val="26"/>
                <w:szCs w:val="26"/>
                <w:lang w:eastAsia="lv-LV"/>
              </w:rPr>
              <w:t>Minētā iemesla dēļ</w:t>
            </w:r>
            <w:r w:rsidR="00FF78D4" w:rsidRPr="007A119E">
              <w:rPr>
                <w:rFonts w:eastAsia="Times New Roman" w:cs="Times New Roman"/>
                <w:sz w:val="26"/>
                <w:szCs w:val="26"/>
                <w:lang w:eastAsia="lv-LV"/>
              </w:rPr>
              <w:t xml:space="preserve"> ar </w:t>
            </w:r>
            <w:r w:rsidR="008411C8">
              <w:rPr>
                <w:b/>
                <w:sz w:val="26"/>
                <w:szCs w:val="26"/>
              </w:rPr>
              <w:t xml:space="preserve">noteikumu projekta </w:t>
            </w:r>
            <w:r w:rsidR="00714959">
              <w:rPr>
                <w:b/>
                <w:sz w:val="26"/>
                <w:szCs w:val="26"/>
              </w:rPr>
              <w:t>1.</w:t>
            </w:r>
            <w:r w:rsidR="008411C8">
              <w:rPr>
                <w:b/>
                <w:sz w:val="26"/>
                <w:szCs w:val="26"/>
              </w:rPr>
              <w:t>10</w:t>
            </w:r>
            <w:r w:rsidR="00FF78D4" w:rsidRPr="007A119E">
              <w:rPr>
                <w:b/>
                <w:sz w:val="26"/>
                <w:szCs w:val="26"/>
              </w:rPr>
              <w:t>.punktu</w:t>
            </w:r>
            <w:r w:rsidR="00FF78D4" w:rsidRPr="007A119E">
              <w:rPr>
                <w:sz w:val="26"/>
                <w:szCs w:val="26"/>
              </w:rPr>
              <w:t xml:space="preserve"> tiek svītrots </w:t>
            </w:r>
            <w:r w:rsidRPr="007A119E">
              <w:rPr>
                <w:sz w:val="26"/>
                <w:szCs w:val="26"/>
              </w:rPr>
              <w:t>MK noteikumu Nr.</w:t>
            </w:r>
            <w:r w:rsidR="008B0DEF">
              <w:rPr>
                <w:sz w:val="26"/>
                <w:szCs w:val="26"/>
              </w:rPr>
              <w:t> </w:t>
            </w:r>
            <w:r w:rsidRPr="007A119E">
              <w:rPr>
                <w:sz w:val="26"/>
                <w:szCs w:val="26"/>
              </w:rPr>
              <w:t>468 22.</w:t>
            </w:r>
            <w:r w:rsidR="008B0DEF">
              <w:rPr>
                <w:sz w:val="26"/>
                <w:szCs w:val="26"/>
              </w:rPr>
              <w:t> </w:t>
            </w:r>
            <w:r w:rsidRPr="007A119E">
              <w:rPr>
                <w:sz w:val="26"/>
                <w:szCs w:val="26"/>
              </w:rPr>
              <w:t>punkts un 23.</w:t>
            </w:r>
            <w:r w:rsidR="008B0DEF">
              <w:rPr>
                <w:sz w:val="26"/>
                <w:szCs w:val="26"/>
              </w:rPr>
              <w:t> </w:t>
            </w:r>
            <w:r w:rsidRPr="007A119E">
              <w:rPr>
                <w:sz w:val="26"/>
                <w:szCs w:val="26"/>
              </w:rPr>
              <w:t xml:space="preserve">punkts, kas paredz kārtību, kādā lēmuma saņēmējs sedz  izdevumus par tādu preču uzglabāšanu un iznīcināšanu, kuras konfiscētas ar lēmumu administratīva pārkāpuma lietā. </w:t>
            </w:r>
          </w:p>
          <w:p w14:paraId="274327E7" w14:textId="1E137361" w:rsidR="00AD0838" w:rsidRPr="007A119E" w:rsidRDefault="008411C8" w:rsidP="00AD0838">
            <w:pPr>
              <w:spacing w:before="120"/>
              <w:ind w:left="57" w:right="57"/>
              <w:jc w:val="both"/>
              <w:rPr>
                <w:sz w:val="26"/>
                <w:szCs w:val="26"/>
              </w:rPr>
            </w:pPr>
            <w:r>
              <w:rPr>
                <w:rFonts w:eastAsia="Times New Roman" w:cs="Times New Roman"/>
                <w:b/>
                <w:sz w:val="26"/>
                <w:szCs w:val="26"/>
                <w:lang w:eastAsia="lv-LV"/>
              </w:rPr>
              <w:t>6</w:t>
            </w:r>
            <w:r w:rsidR="00DA0ACA" w:rsidRPr="007A119E">
              <w:rPr>
                <w:rFonts w:eastAsia="Times New Roman" w:cs="Times New Roman"/>
                <w:b/>
                <w:sz w:val="26"/>
                <w:szCs w:val="26"/>
                <w:lang w:eastAsia="lv-LV"/>
              </w:rPr>
              <w:t xml:space="preserve">. </w:t>
            </w:r>
            <w:r w:rsidR="00AE1DD5" w:rsidRPr="007A119E">
              <w:rPr>
                <w:rFonts w:eastAsia="Times New Roman" w:cs="Times New Roman"/>
                <w:b/>
                <w:sz w:val="26"/>
                <w:szCs w:val="26"/>
                <w:lang w:eastAsia="lv-LV"/>
              </w:rPr>
              <w:t>Noteikumu projekta</w:t>
            </w:r>
            <w:r w:rsidR="00AE1DD5" w:rsidRPr="007A119E">
              <w:rPr>
                <w:rFonts w:eastAsia="Times New Roman" w:cs="Times New Roman"/>
                <w:sz w:val="26"/>
                <w:szCs w:val="26"/>
                <w:lang w:eastAsia="lv-LV"/>
              </w:rPr>
              <w:t xml:space="preserve"> </w:t>
            </w:r>
            <w:r w:rsidR="00714959" w:rsidRPr="00714959">
              <w:rPr>
                <w:rFonts w:eastAsia="Times New Roman" w:cs="Times New Roman"/>
                <w:b/>
                <w:sz w:val="26"/>
                <w:szCs w:val="26"/>
                <w:lang w:eastAsia="lv-LV"/>
              </w:rPr>
              <w:t>1.</w:t>
            </w:r>
            <w:r>
              <w:rPr>
                <w:rFonts w:eastAsia="Times New Roman" w:cs="Times New Roman"/>
                <w:b/>
                <w:sz w:val="26"/>
                <w:szCs w:val="26"/>
                <w:lang w:eastAsia="lv-LV"/>
              </w:rPr>
              <w:t>9</w:t>
            </w:r>
            <w:r w:rsidR="00083937" w:rsidRPr="007A119E">
              <w:rPr>
                <w:rFonts w:eastAsia="Times New Roman" w:cs="Times New Roman"/>
                <w:b/>
                <w:sz w:val="26"/>
                <w:szCs w:val="26"/>
                <w:lang w:eastAsia="lv-LV"/>
              </w:rPr>
              <w:t>.</w:t>
            </w:r>
            <w:r w:rsidR="008B0DEF">
              <w:rPr>
                <w:rFonts w:eastAsia="Times New Roman" w:cs="Times New Roman"/>
                <w:b/>
                <w:sz w:val="26"/>
                <w:szCs w:val="26"/>
                <w:lang w:eastAsia="lv-LV"/>
              </w:rPr>
              <w:t> </w:t>
            </w:r>
            <w:r w:rsidR="00083937" w:rsidRPr="007A119E">
              <w:rPr>
                <w:rFonts w:eastAsia="Times New Roman" w:cs="Times New Roman"/>
                <w:b/>
                <w:sz w:val="26"/>
                <w:szCs w:val="26"/>
                <w:lang w:eastAsia="lv-LV"/>
              </w:rPr>
              <w:t>punkts</w:t>
            </w:r>
            <w:r w:rsidR="00083937" w:rsidRPr="007A119E">
              <w:rPr>
                <w:rFonts w:eastAsia="Times New Roman" w:cs="Times New Roman"/>
                <w:sz w:val="26"/>
                <w:szCs w:val="26"/>
                <w:lang w:eastAsia="lv-LV"/>
              </w:rPr>
              <w:t xml:space="preserve"> precizē MK noteikumu Nr.</w:t>
            </w:r>
            <w:r w:rsidR="008B0DEF">
              <w:rPr>
                <w:rFonts w:eastAsia="Times New Roman" w:cs="Times New Roman"/>
                <w:sz w:val="26"/>
                <w:szCs w:val="26"/>
                <w:lang w:eastAsia="lv-LV"/>
              </w:rPr>
              <w:t> </w:t>
            </w:r>
            <w:r w:rsidR="00083937" w:rsidRPr="007A119E">
              <w:rPr>
                <w:rFonts w:eastAsia="Times New Roman" w:cs="Times New Roman"/>
                <w:sz w:val="26"/>
                <w:szCs w:val="26"/>
                <w:lang w:eastAsia="lv-LV"/>
              </w:rPr>
              <w:t>468 19.</w:t>
            </w:r>
            <w:r w:rsidR="008B0DEF">
              <w:rPr>
                <w:rFonts w:eastAsia="Times New Roman" w:cs="Times New Roman"/>
                <w:sz w:val="26"/>
                <w:szCs w:val="26"/>
                <w:lang w:eastAsia="lv-LV"/>
              </w:rPr>
              <w:t> </w:t>
            </w:r>
            <w:r w:rsidR="00083937" w:rsidRPr="007A119E">
              <w:rPr>
                <w:rFonts w:eastAsia="Times New Roman" w:cs="Times New Roman"/>
                <w:sz w:val="26"/>
                <w:szCs w:val="26"/>
                <w:lang w:eastAsia="lv-LV"/>
              </w:rPr>
              <w:t>punkta saturu, to papildinot ar</w:t>
            </w:r>
            <w:r w:rsidR="001F551F" w:rsidRPr="007A119E">
              <w:rPr>
                <w:rFonts w:eastAsia="Times New Roman" w:cs="Times New Roman"/>
                <w:sz w:val="26"/>
                <w:szCs w:val="26"/>
                <w:lang w:eastAsia="lv-LV"/>
              </w:rPr>
              <w:t xml:space="preserve"> atrunu, ka, </w:t>
            </w:r>
            <w:r w:rsidR="001F551F" w:rsidRPr="007A119E">
              <w:rPr>
                <w:sz w:val="26"/>
                <w:szCs w:val="26"/>
              </w:rPr>
              <w:t>ja aizņemtā platība ir mazāka par 1m</w:t>
            </w:r>
            <w:r w:rsidR="001F551F" w:rsidRPr="007A119E">
              <w:rPr>
                <w:sz w:val="26"/>
                <w:szCs w:val="26"/>
                <w:vertAlign w:val="superscript"/>
              </w:rPr>
              <w:t>2</w:t>
            </w:r>
            <w:r w:rsidR="001F551F" w:rsidRPr="007A119E">
              <w:rPr>
                <w:sz w:val="26"/>
                <w:szCs w:val="26"/>
              </w:rPr>
              <w:t>, glabāšanas izmaksas aprēķina par 1m</w:t>
            </w:r>
            <w:r w:rsidR="001F551F" w:rsidRPr="007A119E">
              <w:rPr>
                <w:sz w:val="26"/>
                <w:szCs w:val="26"/>
                <w:vertAlign w:val="superscript"/>
              </w:rPr>
              <w:t>2</w:t>
            </w:r>
            <w:r w:rsidR="001F551F" w:rsidRPr="007A119E">
              <w:rPr>
                <w:sz w:val="26"/>
                <w:szCs w:val="26"/>
              </w:rPr>
              <w:t xml:space="preserve"> aizņemtās platības.</w:t>
            </w:r>
          </w:p>
          <w:p w14:paraId="30677B3B" w14:textId="14530656" w:rsidR="00AD0838" w:rsidRPr="007A119E" w:rsidRDefault="00E168B5" w:rsidP="00AD0838">
            <w:pPr>
              <w:spacing w:before="120"/>
              <w:ind w:left="57" w:right="57"/>
              <w:jc w:val="both"/>
              <w:rPr>
                <w:rFonts w:eastAsia="Times New Roman"/>
                <w:sz w:val="26"/>
                <w:szCs w:val="26"/>
                <w:lang w:eastAsia="lv-LV"/>
              </w:rPr>
            </w:pPr>
            <w:r w:rsidRPr="007A119E">
              <w:rPr>
                <w:sz w:val="26"/>
                <w:szCs w:val="26"/>
              </w:rPr>
              <w:t>Šobrīd MK noteikumu Nr.</w:t>
            </w:r>
            <w:r w:rsidR="008B0DEF">
              <w:rPr>
                <w:sz w:val="26"/>
                <w:szCs w:val="26"/>
              </w:rPr>
              <w:t> </w:t>
            </w:r>
            <w:r w:rsidRPr="007A119E">
              <w:rPr>
                <w:sz w:val="26"/>
                <w:szCs w:val="26"/>
              </w:rPr>
              <w:t>468 19.</w:t>
            </w:r>
            <w:r w:rsidR="008B0DEF">
              <w:rPr>
                <w:sz w:val="26"/>
                <w:szCs w:val="26"/>
              </w:rPr>
              <w:t> </w:t>
            </w:r>
            <w:r w:rsidRPr="007A119E">
              <w:rPr>
                <w:sz w:val="26"/>
                <w:szCs w:val="26"/>
              </w:rPr>
              <w:t>punkts nosaka, ka g</w:t>
            </w:r>
            <w:r w:rsidR="001F551F" w:rsidRPr="007A119E">
              <w:rPr>
                <w:sz w:val="26"/>
                <w:szCs w:val="26"/>
              </w:rPr>
              <w:t xml:space="preserve">labāšanas izmaksas par </w:t>
            </w:r>
            <w:bookmarkStart w:id="0" w:name="_Hlk34994300"/>
            <w:r w:rsidR="001F551F" w:rsidRPr="007A119E">
              <w:rPr>
                <w:sz w:val="26"/>
                <w:szCs w:val="26"/>
              </w:rPr>
              <w:t>1 m</w:t>
            </w:r>
            <w:r w:rsidR="001F551F" w:rsidRPr="007A119E">
              <w:rPr>
                <w:sz w:val="26"/>
                <w:szCs w:val="26"/>
                <w:vertAlign w:val="superscript"/>
              </w:rPr>
              <w:t>2</w:t>
            </w:r>
            <w:r w:rsidR="001F551F" w:rsidRPr="007A119E">
              <w:rPr>
                <w:sz w:val="26"/>
                <w:szCs w:val="26"/>
              </w:rPr>
              <w:t xml:space="preserve"> </w:t>
            </w:r>
            <w:bookmarkEnd w:id="0"/>
            <w:r w:rsidR="001F551F" w:rsidRPr="007A119E">
              <w:rPr>
                <w:sz w:val="26"/>
                <w:szCs w:val="26"/>
              </w:rPr>
              <w:t>vai mazāk par 1</w:t>
            </w:r>
            <w:r w:rsidR="00ED2BD7">
              <w:rPr>
                <w:sz w:val="26"/>
                <w:szCs w:val="26"/>
              </w:rPr>
              <w:t> </w:t>
            </w:r>
            <w:r w:rsidR="001F551F" w:rsidRPr="007A119E">
              <w:rPr>
                <w:sz w:val="26"/>
                <w:szCs w:val="26"/>
              </w:rPr>
              <w:t>m</w:t>
            </w:r>
            <w:r w:rsidR="001F551F" w:rsidRPr="007A119E">
              <w:rPr>
                <w:sz w:val="26"/>
                <w:szCs w:val="26"/>
                <w:vertAlign w:val="superscript"/>
              </w:rPr>
              <w:t>2</w:t>
            </w:r>
            <w:r w:rsidR="001F551F" w:rsidRPr="007A119E">
              <w:rPr>
                <w:sz w:val="26"/>
                <w:szCs w:val="26"/>
              </w:rPr>
              <w:t xml:space="preserve"> aizņemtās platības ir 6,78 </w:t>
            </w:r>
            <w:proofErr w:type="spellStart"/>
            <w:r w:rsidR="001F551F" w:rsidRPr="007A119E">
              <w:rPr>
                <w:i/>
                <w:iCs/>
                <w:sz w:val="26"/>
                <w:szCs w:val="26"/>
              </w:rPr>
              <w:t>euro</w:t>
            </w:r>
            <w:proofErr w:type="spellEnd"/>
            <w:r w:rsidR="00AD0838" w:rsidRPr="007A119E">
              <w:rPr>
                <w:sz w:val="26"/>
                <w:szCs w:val="26"/>
              </w:rPr>
              <w:t xml:space="preserve"> mēnesī, tomēr šādas </w:t>
            </w:r>
            <w:r w:rsidR="00AD0838" w:rsidRPr="007A119E">
              <w:rPr>
                <w:rFonts w:eastAsia="Times New Roman"/>
                <w:sz w:val="26"/>
                <w:szCs w:val="26"/>
                <w:lang w:eastAsia="lv-LV"/>
              </w:rPr>
              <w:t xml:space="preserve">glabāšanas izmaksas nav atbilstošas pašreizējai situācijai. Pamatojoties uz faktiskajiem izdevumiem, ir veikti jauni aprēķini glabāšanas izmaksām. Glabāšanas telpu izmaksas atbilstoši pašreizējai situācijai ir 8,89 </w:t>
            </w:r>
            <w:proofErr w:type="spellStart"/>
            <w:r w:rsidR="00AD0838" w:rsidRPr="00ED2BD7">
              <w:rPr>
                <w:rFonts w:eastAsia="Times New Roman"/>
                <w:i/>
                <w:sz w:val="26"/>
                <w:szCs w:val="26"/>
                <w:lang w:eastAsia="lv-LV"/>
              </w:rPr>
              <w:t>euro</w:t>
            </w:r>
            <w:proofErr w:type="spellEnd"/>
            <w:r w:rsidR="00AD0838" w:rsidRPr="007A119E">
              <w:rPr>
                <w:rFonts w:eastAsia="Times New Roman"/>
                <w:sz w:val="26"/>
                <w:szCs w:val="26"/>
                <w:lang w:eastAsia="lv-LV"/>
              </w:rPr>
              <w:t xml:space="preserve"> mēnesī par 1m</w:t>
            </w:r>
            <w:r w:rsidR="00ED2BD7">
              <w:rPr>
                <w:rFonts w:eastAsia="Times New Roman" w:cs="Times New Roman"/>
                <w:sz w:val="26"/>
                <w:szCs w:val="26"/>
                <w:lang w:eastAsia="lv-LV"/>
              </w:rPr>
              <w:t>²</w:t>
            </w:r>
            <w:r w:rsidR="00AD0838" w:rsidRPr="007A119E">
              <w:rPr>
                <w:rFonts w:eastAsia="Times New Roman"/>
                <w:sz w:val="26"/>
                <w:szCs w:val="26"/>
                <w:lang w:eastAsia="lv-LV"/>
              </w:rPr>
              <w:t xml:space="preserve"> aizņemto platību.</w:t>
            </w:r>
          </w:p>
          <w:p w14:paraId="50F5D25D" w14:textId="3BF1BE8D" w:rsidR="00C63837" w:rsidRPr="007A119E" w:rsidRDefault="00C63837" w:rsidP="00A015CC">
            <w:pPr>
              <w:pStyle w:val="naiskr"/>
              <w:spacing w:before="120" w:beforeAutospacing="0" w:after="0" w:afterAutospacing="0"/>
              <w:ind w:left="57" w:right="57"/>
              <w:jc w:val="both"/>
              <w:rPr>
                <w:sz w:val="26"/>
                <w:szCs w:val="26"/>
              </w:rPr>
            </w:pPr>
            <w:r w:rsidRPr="007A119E">
              <w:rPr>
                <w:sz w:val="26"/>
                <w:szCs w:val="26"/>
              </w:rPr>
              <w:t>Minētās izmaksas ti</w:t>
            </w:r>
            <w:r w:rsidR="00295B88" w:rsidRPr="007A119E">
              <w:rPr>
                <w:sz w:val="26"/>
                <w:szCs w:val="26"/>
              </w:rPr>
              <w:t>ek</w:t>
            </w:r>
            <w:r w:rsidRPr="007A119E">
              <w:rPr>
                <w:sz w:val="26"/>
                <w:szCs w:val="26"/>
              </w:rPr>
              <w:t xml:space="preserve"> aprēķinātas, ņemot vērā vidējās faktiskās izmaksas, kādas VID rodas par vietas, kurā preces tiks uzglabātas nomu. “Faktiskās izmaksas” nozīmē - izmaksu summa, ko var aprēķināt pēc pilnās pašizmaksas kalkulācijas sistēmas vai faktisko mainīgo izmaksu kalkulācijas sistēmas. Piemēram, ja prece aizņem 0,75m</w:t>
            </w:r>
            <w:r w:rsidRPr="007A119E">
              <w:rPr>
                <w:sz w:val="26"/>
                <w:szCs w:val="26"/>
                <w:vertAlign w:val="superscript"/>
              </w:rPr>
              <w:t>2</w:t>
            </w:r>
            <w:r w:rsidRPr="007A119E">
              <w:rPr>
                <w:sz w:val="26"/>
                <w:szCs w:val="26"/>
              </w:rPr>
              <w:t>,</w:t>
            </w:r>
            <w:r w:rsidRPr="007A119E">
              <w:rPr>
                <w:sz w:val="26"/>
                <w:szCs w:val="26"/>
                <w:vertAlign w:val="superscript"/>
              </w:rPr>
              <w:t xml:space="preserve"> </w:t>
            </w:r>
            <w:r w:rsidRPr="007A119E">
              <w:rPr>
                <w:sz w:val="26"/>
                <w:szCs w:val="26"/>
              </w:rPr>
              <w:t xml:space="preserve">tad preces uzglabāšanas izmaksas dienā </w:t>
            </w:r>
            <w:r w:rsidR="007C7CCC" w:rsidRPr="007A119E">
              <w:rPr>
                <w:sz w:val="26"/>
                <w:szCs w:val="26"/>
              </w:rPr>
              <w:t>būs 6</w:t>
            </w:r>
            <w:r w:rsidRPr="007A119E">
              <w:rPr>
                <w:sz w:val="26"/>
                <w:szCs w:val="26"/>
              </w:rPr>
              <w:t>,</w:t>
            </w:r>
            <w:r w:rsidR="007C7CCC" w:rsidRPr="007A119E">
              <w:rPr>
                <w:sz w:val="26"/>
                <w:szCs w:val="26"/>
              </w:rPr>
              <w:t>67</w:t>
            </w:r>
            <w:r w:rsidRPr="007A119E">
              <w:rPr>
                <w:sz w:val="26"/>
                <w:szCs w:val="26"/>
              </w:rPr>
              <w:t xml:space="preserve"> EUR. </w:t>
            </w:r>
          </w:p>
          <w:tbl>
            <w:tblPr>
              <w:tblW w:w="4800" w:type="dxa"/>
              <w:tblLook w:val="04A0" w:firstRow="1" w:lastRow="0" w:firstColumn="1" w:lastColumn="0" w:noHBand="0" w:noVBand="1"/>
            </w:tblPr>
            <w:tblGrid>
              <w:gridCol w:w="2400"/>
              <w:gridCol w:w="2400"/>
            </w:tblGrid>
            <w:tr w:rsidR="00C63837" w:rsidRPr="007A119E" w14:paraId="7A8C21B9" w14:textId="77777777" w:rsidTr="00D14B38">
              <w:trPr>
                <w:trHeight w:val="255"/>
              </w:trPr>
              <w:tc>
                <w:tcPr>
                  <w:tcW w:w="2400" w:type="dxa"/>
                  <w:tcBorders>
                    <w:top w:val="nil"/>
                    <w:left w:val="nil"/>
                    <w:bottom w:val="single" w:sz="4" w:space="0" w:color="auto"/>
                    <w:right w:val="nil"/>
                  </w:tcBorders>
                  <w:shd w:val="clear" w:color="auto" w:fill="auto"/>
                  <w:noWrap/>
                  <w:vAlign w:val="bottom"/>
                  <w:hideMark/>
                </w:tcPr>
                <w:p w14:paraId="01940F82" w14:textId="443B5DB6" w:rsidR="00C63837" w:rsidRPr="007A119E" w:rsidRDefault="00C63837" w:rsidP="00A015CC">
                  <w:pPr>
                    <w:spacing w:before="120"/>
                    <w:ind w:left="57" w:right="57"/>
                    <w:jc w:val="center"/>
                    <w:rPr>
                      <w:color w:val="000000"/>
                      <w:sz w:val="26"/>
                      <w:szCs w:val="26"/>
                    </w:rPr>
                  </w:pPr>
                  <w:r w:rsidRPr="007A119E">
                    <w:rPr>
                      <w:color w:val="000000"/>
                      <w:sz w:val="26"/>
                      <w:szCs w:val="26"/>
                    </w:rPr>
                    <w:t>(</w:t>
                  </w:r>
                  <w:r w:rsidR="007C7CCC" w:rsidRPr="007A119E">
                    <w:rPr>
                      <w:color w:val="000000"/>
                      <w:sz w:val="26"/>
                      <w:szCs w:val="26"/>
                    </w:rPr>
                    <w:t>8.89</w:t>
                  </w:r>
                  <w:r w:rsidRPr="007A119E">
                    <w:rPr>
                      <w:color w:val="000000"/>
                      <w:sz w:val="26"/>
                      <w:szCs w:val="26"/>
                    </w:rPr>
                    <w:t xml:space="preserve"> EUR * Xm</w:t>
                  </w:r>
                  <w:r w:rsidRPr="007A119E">
                    <w:rPr>
                      <w:color w:val="000000"/>
                      <w:sz w:val="26"/>
                      <w:szCs w:val="26"/>
                      <w:vertAlign w:val="superscript"/>
                    </w:rPr>
                    <w:t>2</w:t>
                  </w:r>
                  <w:r w:rsidRPr="007A119E">
                    <w:rPr>
                      <w:color w:val="000000"/>
                      <w:sz w:val="26"/>
                      <w:szCs w:val="26"/>
                    </w:rPr>
                    <w:t>)</w:t>
                  </w:r>
                </w:p>
              </w:tc>
              <w:tc>
                <w:tcPr>
                  <w:tcW w:w="2400" w:type="dxa"/>
                  <w:vMerge w:val="restart"/>
                  <w:tcBorders>
                    <w:top w:val="nil"/>
                    <w:left w:val="nil"/>
                    <w:bottom w:val="nil"/>
                    <w:right w:val="nil"/>
                  </w:tcBorders>
                  <w:shd w:val="clear" w:color="auto" w:fill="auto"/>
                  <w:noWrap/>
                  <w:vAlign w:val="center"/>
                  <w:hideMark/>
                </w:tcPr>
                <w:p w14:paraId="2823A560" w14:textId="77777777" w:rsidR="00C63837" w:rsidRPr="007A119E" w:rsidRDefault="00C63837" w:rsidP="00A015CC">
                  <w:pPr>
                    <w:spacing w:before="120"/>
                    <w:ind w:left="57" w:right="57"/>
                    <w:rPr>
                      <w:color w:val="000000"/>
                      <w:sz w:val="26"/>
                      <w:szCs w:val="26"/>
                    </w:rPr>
                  </w:pPr>
                  <w:r w:rsidRPr="007A119E">
                    <w:rPr>
                      <w:color w:val="000000"/>
                      <w:sz w:val="26"/>
                      <w:szCs w:val="26"/>
                    </w:rPr>
                    <w:t>* Y dienas = Z</w:t>
                  </w:r>
                </w:p>
              </w:tc>
            </w:tr>
            <w:tr w:rsidR="00C63837" w:rsidRPr="007A119E" w14:paraId="0FFDE5F6" w14:textId="77777777" w:rsidTr="00D14B38">
              <w:trPr>
                <w:trHeight w:val="255"/>
              </w:trPr>
              <w:tc>
                <w:tcPr>
                  <w:tcW w:w="2400" w:type="dxa"/>
                  <w:tcBorders>
                    <w:top w:val="nil"/>
                    <w:left w:val="nil"/>
                    <w:bottom w:val="nil"/>
                    <w:right w:val="nil"/>
                  </w:tcBorders>
                  <w:shd w:val="clear" w:color="auto" w:fill="auto"/>
                  <w:noWrap/>
                  <w:vAlign w:val="bottom"/>
                  <w:hideMark/>
                </w:tcPr>
                <w:p w14:paraId="6CF6B758" w14:textId="77777777" w:rsidR="00C63837" w:rsidRPr="007A119E" w:rsidRDefault="00C63837" w:rsidP="00A015CC">
                  <w:pPr>
                    <w:spacing w:before="120"/>
                    <w:ind w:left="57" w:right="57"/>
                    <w:jc w:val="center"/>
                    <w:rPr>
                      <w:color w:val="000000"/>
                      <w:sz w:val="26"/>
                      <w:szCs w:val="26"/>
                    </w:rPr>
                  </w:pPr>
                  <w:r w:rsidRPr="007A119E">
                    <w:rPr>
                      <w:color w:val="000000"/>
                      <w:sz w:val="26"/>
                      <w:szCs w:val="26"/>
                    </w:rPr>
                    <w:t>1</w:t>
                  </w:r>
                </w:p>
              </w:tc>
              <w:tc>
                <w:tcPr>
                  <w:tcW w:w="2400" w:type="dxa"/>
                  <w:vMerge/>
                  <w:tcBorders>
                    <w:top w:val="nil"/>
                    <w:left w:val="nil"/>
                    <w:bottom w:val="nil"/>
                    <w:right w:val="nil"/>
                  </w:tcBorders>
                  <w:vAlign w:val="center"/>
                  <w:hideMark/>
                </w:tcPr>
                <w:p w14:paraId="4FE49A3D" w14:textId="77777777" w:rsidR="00C63837" w:rsidRPr="007A119E" w:rsidRDefault="00C63837" w:rsidP="00A015CC">
                  <w:pPr>
                    <w:spacing w:before="120"/>
                    <w:ind w:left="57" w:right="57"/>
                    <w:rPr>
                      <w:color w:val="000000"/>
                      <w:sz w:val="26"/>
                      <w:szCs w:val="26"/>
                    </w:rPr>
                  </w:pPr>
                </w:p>
              </w:tc>
            </w:tr>
          </w:tbl>
          <w:p w14:paraId="1A6BD301" w14:textId="66B1F200" w:rsidR="00C63837" w:rsidRPr="007A119E" w:rsidRDefault="00C63837" w:rsidP="00A015CC">
            <w:pPr>
              <w:pStyle w:val="naiskr"/>
              <w:spacing w:before="120" w:beforeAutospacing="0" w:after="0" w:afterAutospacing="0"/>
              <w:ind w:left="57" w:right="57"/>
              <w:jc w:val="both"/>
              <w:rPr>
                <w:sz w:val="26"/>
                <w:szCs w:val="26"/>
              </w:rPr>
            </w:pPr>
            <w:r w:rsidRPr="007A119E">
              <w:rPr>
                <w:sz w:val="26"/>
                <w:szCs w:val="26"/>
              </w:rPr>
              <w:lastRenderedPageBreak/>
              <w:t xml:space="preserve"> Kur, X - faktiski aizņemtā platība, Y – uzglabāto dienu skaits, Z – summa EUR, kas maksājama par uzglabāto preci. </w:t>
            </w:r>
          </w:p>
          <w:p w14:paraId="19900B9F" w14:textId="4B07229F" w:rsidR="00A015CC" w:rsidRPr="007A119E" w:rsidRDefault="00E168B5" w:rsidP="00A015CC">
            <w:pPr>
              <w:pStyle w:val="tvhtml"/>
              <w:shd w:val="clear" w:color="auto" w:fill="FFFFFF"/>
              <w:spacing w:before="120" w:beforeAutospacing="0" w:after="0" w:afterAutospacing="0"/>
              <w:ind w:left="57" w:right="57"/>
              <w:jc w:val="both"/>
              <w:rPr>
                <w:sz w:val="26"/>
                <w:szCs w:val="26"/>
              </w:rPr>
            </w:pPr>
            <w:r w:rsidRPr="007A119E">
              <w:rPr>
                <w:sz w:val="26"/>
                <w:szCs w:val="26"/>
              </w:rPr>
              <w:t>Regulas Nr. </w:t>
            </w:r>
            <w:hyperlink r:id="rId16" w:tgtFrame="_blank" w:history="1">
              <w:r w:rsidRPr="007A119E">
                <w:rPr>
                  <w:rStyle w:val="Hyperlink"/>
                  <w:color w:val="auto"/>
                  <w:sz w:val="26"/>
                  <w:szCs w:val="26"/>
                  <w:u w:val="none"/>
                </w:rPr>
                <w:t>608/2013</w:t>
              </w:r>
            </w:hyperlink>
            <w:r w:rsidRPr="007A119E">
              <w:rPr>
                <w:sz w:val="26"/>
                <w:szCs w:val="26"/>
              </w:rPr>
              <w:t> 29.panta 1.</w:t>
            </w:r>
            <w:r w:rsidR="008B0DEF">
              <w:rPr>
                <w:sz w:val="26"/>
                <w:szCs w:val="26"/>
              </w:rPr>
              <w:t> </w:t>
            </w:r>
            <w:r w:rsidRPr="007A119E">
              <w:rPr>
                <w:sz w:val="26"/>
                <w:szCs w:val="26"/>
              </w:rPr>
              <w:t>punkta pirmajā un otrajā daļā noteikts, ka pēc muitas dienestu pieprasījuma lēmuma saņēmējs sedz izmaksas, kas muitas dienestiem vai citām pusēm, kuras rīkojas muitas dienestu vārdā, ir radušās, sākot ar preču aizturēšanas vai to izlaišanas apturēšanas brīdi, tostarp saistībā ar to uzglabāšanu un rīcību ar tām, saskaņā ar 17.</w:t>
            </w:r>
            <w:r w:rsidR="008B0DEF">
              <w:rPr>
                <w:sz w:val="26"/>
                <w:szCs w:val="26"/>
              </w:rPr>
              <w:t> </w:t>
            </w:r>
            <w:r w:rsidRPr="007A119E">
              <w:rPr>
                <w:sz w:val="26"/>
                <w:szCs w:val="26"/>
              </w:rPr>
              <w:t>panta 1.</w:t>
            </w:r>
            <w:r w:rsidR="008B0DEF">
              <w:rPr>
                <w:sz w:val="26"/>
                <w:szCs w:val="26"/>
              </w:rPr>
              <w:t> </w:t>
            </w:r>
            <w:r w:rsidRPr="007A119E">
              <w:rPr>
                <w:sz w:val="26"/>
                <w:szCs w:val="26"/>
              </w:rPr>
              <w:t>punktu, 18.</w:t>
            </w:r>
            <w:r w:rsidR="008B0DEF">
              <w:rPr>
                <w:sz w:val="26"/>
                <w:szCs w:val="26"/>
              </w:rPr>
              <w:t> </w:t>
            </w:r>
            <w:r w:rsidRPr="007A119E">
              <w:rPr>
                <w:sz w:val="26"/>
                <w:szCs w:val="26"/>
              </w:rPr>
              <w:t>panta 1.</w:t>
            </w:r>
            <w:r w:rsidR="008B0DEF">
              <w:rPr>
                <w:sz w:val="26"/>
                <w:szCs w:val="26"/>
              </w:rPr>
              <w:t> </w:t>
            </w:r>
            <w:r w:rsidRPr="007A119E">
              <w:rPr>
                <w:sz w:val="26"/>
                <w:szCs w:val="26"/>
              </w:rPr>
              <w:t>punktu un 19.</w:t>
            </w:r>
            <w:r w:rsidR="008B0DEF">
              <w:rPr>
                <w:sz w:val="26"/>
                <w:szCs w:val="26"/>
              </w:rPr>
              <w:t> </w:t>
            </w:r>
            <w:r w:rsidRPr="007A119E">
              <w:rPr>
                <w:sz w:val="26"/>
                <w:szCs w:val="26"/>
              </w:rPr>
              <w:t>panta 2. un 3.punktu un veicot korektīvus pasākumus, piemēram, preču iznīcināšanu saskaņā ar 23. un 26.</w:t>
            </w:r>
            <w:r w:rsidR="008B0DEF">
              <w:rPr>
                <w:sz w:val="26"/>
                <w:szCs w:val="26"/>
              </w:rPr>
              <w:t> </w:t>
            </w:r>
            <w:r w:rsidRPr="007A119E">
              <w:rPr>
                <w:sz w:val="26"/>
                <w:szCs w:val="26"/>
              </w:rPr>
              <w:t>pantu. Muitas dienesti lēmuma saņēmēju, kam paziņots par preču izlaišanas apturēšanu vai preču aizturēšanu, pēc pieprasījuma informē par to, kur un kā minētās preces tiek uzglabātas, un par lēstajām izmaksām saistībā ar šajā panta daļā minēto uzglabāšanu. Informāciju par lēstajām izmaksām var izteikt laika, izstrādājumu, tilpuma, svara vai pakalpojumu vienībās – atbilstīgi preču uzglabāšanas apstākļiem un preču veidam.</w:t>
            </w:r>
            <w:r w:rsidR="00A015CC" w:rsidRPr="007A119E">
              <w:rPr>
                <w:sz w:val="26"/>
                <w:szCs w:val="26"/>
              </w:rPr>
              <w:t xml:space="preserve"> </w:t>
            </w:r>
          </w:p>
          <w:p w14:paraId="5B4A92E6" w14:textId="6E8C7D2D" w:rsidR="00734864" w:rsidRPr="007A119E" w:rsidRDefault="00E168B5" w:rsidP="00734864">
            <w:pPr>
              <w:spacing w:before="120"/>
              <w:ind w:left="57" w:right="57"/>
              <w:jc w:val="both"/>
              <w:rPr>
                <w:rFonts w:eastAsia="Times New Roman"/>
                <w:sz w:val="26"/>
                <w:szCs w:val="26"/>
                <w:lang w:eastAsia="lv-LV"/>
              </w:rPr>
            </w:pPr>
            <w:r w:rsidRPr="007A119E">
              <w:rPr>
                <w:sz w:val="26"/>
                <w:szCs w:val="26"/>
              </w:rPr>
              <w:t>MK noteikumu Nr.</w:t>
            </w:r>
            <w:r w:rsidR="008B0DEF">
              <w:rPr>
                <w:sz w:val="26"/>
                <w:szCs w:val="26"/>
              </w:rPr>
              <w:t> </w:t>
            </w:r>
            <w:r w:rsidRPr="007A119E">
              <w:rPr>
                <w:sz w:val="26"/>
                <w:szCs w:val="26"/>
              </w:rPr>
              <w:t>468 18.</w:t>
            </w:r>
            <w:r w:rsidR="008B0DEF">
              <w:rPr>
                <w:sz w:val="26"/>
                <w:szCs w:val="26"/>
              </w:rPr>
              <w:t> </w:t>
            </w:r>
            <w:r w:rsidRPr="007A119E">
              <w:rPr>
                <w:sz w:val="26"/>
                <w:szCs w:val="26"/>
              </w:rPr>
              <w:t>punktā ir noteikts, ja lēmuma saņēmējs nav pārņēmis preces atbildīgā glabāšanā atbilstoši šo noteikumu 7.</w:t>
            </w:r>
            <w:r w:rsidR="008B0DEF">
              <w:rPr>
                <w:sz w:val="26"/>
                <w:szCs w:val="26"/>
              </w:rPr>
              <w:t> </w:t>
            </w:r>
            <w:r w:rsidRPr="007A119E">
              <w:rPr>
                <w:sz w:val="26"/>
                <w:szCs w:val="26"/>
              </w:rPr>
              <w:t>punktam, tas sedz izdevumus, kas VID radušies saistībā ar izlaišanai apturēto vai aizturēto preču glabāšanu. MK noteikumu Nr.</w:t>
            </w:r>
            <w:r w:rsidR="008B0DEF">
              <w:rPr>
                <w:sz w:val="26"/>
                <w:szCs w:val="26"/>
              </w:rPr>
              <w:t> </w:t>
            </w:r>
            <w:r w:rsidRPr="007A119E">
              <w:rPr>
                <w:sz w:val="26"/>
                <w:szCs w:val="26"/>
              </w:rPr>
              <w:t>468 19.</w:t>
            </w:r>
            <w:r w:rsidR="008B0DEF">
              <w:rPr>
                <w:sz w:val="26"/>
                <w:szCs w:val="26"/>
              </w:rPr>
              <w:t> </w:t>
            </w:r>
            <w:r w:rsidRPr="007A119E">
              <w:rPr>
                <w:sz w:val="26"/>
                <w:szCs w:val="26"/>
              </w:rPr>
              <w:t>punktā ir noteikts, ka glabāšanas izmaksas par 1 m</w:t>
            </w:r>
            <w:r w:rsidRPr="007A119E">
              <w:rPr>
                <w:sz w:val="26"/>
                <w:szCs w:val="26"/>
                <w:vertAlign w:val="superscript"/>
              </w:rPr>
              <w:t>2</w:t>
            </w:r>
            <w:r w:rsidR="008B0DEF">
              <w:rPr>
                <w:sz w:val="26"/>
                <w:szCs w:val="26"/>
                <w:vertAlign w:val="superscript"/>
              </w:rPr>
              <w:t xml:space="preserve"> </w:t>
            </w:r>
            <w:r w:rsidRPr="007A119E">
              <w:rPr>
                <w:sz w:val="26"/>
                <w:szCs w:val="26"/>
              </w:rPr>
              <w:t>aizņemtās platības ir 6,78 </w:t>
            </w:r>
            <w:proofErr w:type="spellStart"/>
            <w:r w:rsidRPr="007A119E">
              <w:rPr>
                <w:i/>
                <w:iCs/>
                <w:sz w:val="26"/>
                <w:szCs w:val="26"/>
              </w:rPr>
              <w:t>euro</w:t>
            </w:r>
            <w:proofErr w:type="spellEnd"/>
            <w:r w:rsidR="008B0DEF">
              <w:rPr>
                <w:sz w:val="26"/>
                <w:szCs w:val="26"/>
              </w:rPr>
              <w:t xml:space="preserve"> </w:t>
            </w:r>
            <w:r w:rsidRPr="007A119E">
              <w:rPr>
                <w:sz w:val="26"/>
                <w:szCs w:val="26"/>
              </w:rPr>
              <w:t>mēnesī</w:t>
            </w:r>
            <w:r w:rsidR="00734864" w:rsidRPr="007A119E">
              <w:rPr>
                <w:sz w:val="26"/>
                <w:szCs w:val="26"/>
              </w:rPr>
              <w:t>, taču g</w:t>
            </w:r>
            <w:r w:rsidR="00734864" w:rsidRPr="007A119E">
              <w:rPr>
                <w:rFonts w:eastAsia="Times New Roman"/>
                <w:sz w:val="26"/>
                <w:szCs w:val="26"/>
                <w:lang w:eastAsia="lv-LV"/>
              </w:rPr>
              <w:t>labāšanas telpu izmaksas atbilstoši pašreizējai situācijai ir 8,89</w:t>
            </w:r>
            <w:r w:rsidR="00ED2BD7">
              <w:rPr>
                <w:rFonts w:eastAsia="Times New Roman"/>
                <w:sz w:val="26"/>
                <w:szCs w:val="26"/>
                <w:lang w:eastAsia="lv-LV"/>
              </w:rPr>
              <w:t> </w:t>
            </w:r>
            <w:proofErr w:type="spellStart"/>
            <w:r w:rsidR="00734864" w:rsidRPr="007A119E">
              <w:rPr>
                <w:rFonts w:eastAsia="Times New Roman"/>
                <w:i/>
                <w:sz w:val="26"/>
                <w:szCs w:val="26"/>
                <w:lang w:eastAsia="lv-LV"/>
              </w:rPr>
              <w:t>euro</w:t>
            </w:r>
            <w:proofErr w:type="spellEnd"/>
            <w:r w:rsidR="00734864" w:rsidRPr="007A119E">
              <w:rPr>
                <w:rFonts w:eastAsia="Times New Roman"/>
                <w:sz w:val="26"/>
                <w:szCs w:val="26"/>
                <w:lang w:eastAsia="lv-LV"/>
              </w:rPr>
              <w:t xml:space="preserve"> mēnesī par 1m</w:t>
            </w:r>
            <w:r w:rsidR="008B0DEF">
              <w:rPr>
                <w:rFonts w:eastAsia="Times New Roman" w:cs="Times New Roman"/>
                <w:sz w:val="26"/>
                <w:szCs w:val="26"/>
                <w:lang w:eastAsia="lv-LV"/>
              </w:rPr>
              <w:t>²</w:t>
            </w:r>
            <w:r w:rsidR="00734864" w:rsidRPr="007A119E">
              <w:rPr>
                <w:rFonts w:eastAsia="Times New Roman"/>
                <w:sz w:val="26"/>
                <w:szCs w:val="26"/>
                <w:lang w:eastAsia="lv-LV"/>
              </w:rPr>
              <w:t xml:space="preserve"> aizņemto platību.</w:t>
            </w:r>
          </w:p>
          <w:p w14:paraId="3689E50E" w14:textId="308FFE5E" w:rsidR="00A015CC" w:rsidRPr="007A119E" w:rsidRDefault="00E168B5" w:rsidP="00A015CC">
            <w:pPr>
              <w:pStyle w:val="tvhtml"/>
              <w:shd w:val="clear" w:color="auto" w:fill="FFFFFF"/>
              <w:spacing w:before="120" w:beforeAutospacing="0" w:after="0" w:afterAutospacing="0"/>
              <w:ind w:left="57" w:right="57"/>
              <w:jc w:val="both"/>
              <w:rPr>
                <w:sz w:val="26"/>
                <w:szCs w:val="26"/>
              </w:rPr>
            </w:pPr>
            <w:r w:rsidRPr="007A119E">
              <w:rPr>
                <w:sz w:val="26"/>
                <w:szCs w:val="26"/>
              </w:rPr>
              <w:t xml:space="preserve">Izmaksas aprēķina pēc faktiski aizņemtās platības. Taču konkrētajam gadījumam faktisko izmaksu pēc faktiski aizņemtās platības aprēķināšana, uzskaite, samaksas kontrole VID rada nesamērīgu administratīvo resursu patēriņu. Līdz ar to būtu nepieciešams noteikt fiksētu minimālo glabāšanas maksu, tādējādi novēršot administratīvo slogu tās aprēķināšanā, uzskaitē, samaksas kontrolē, īpaši attiecībā uz kurjerpasta un pasta sūtījumiem. </w:t>
            </w:r>
          </w:p>
          <w:p w14:paraId="2F0F2448" w14:textId="467E3ED5" w:rsidR="00A015CC" w:rsidRPr="007A119E" w:rsidRDefault="00E168B5" w:rsidP="00A015CC">
            <w:pPr>
              <w:pStyle w:val="tvhtml"/>
              <w:shd w:val="clear" w:color="auto" w:fill="FFFFFF"/>
              <w:spacing w:before="120" w:beforeAutospacing="0" w:after="0" w:afterAutospacing="0"/>
              <w:ind w:left="57" w:right="57"/>
              <w:jc w:val="both"/>
              <w:rPr>
                <w:sz w:val="26"/>
                <w:szCs w:val="26"/>
              </w:rPr>
            </w:pPr>
            <w:r w:rsidRPr="007A119E">
              <w:rPr>
                <w:sz w:val="26"/>
                <w:szCs w:val="26"/>
              </w:rPr>
              <w:t xml:space="preserve">Piemērojot šīs tiesību normas praksē, konstatēts, ka ir samērā sarežģīta maksājumu apmēra </w:t>
            </w:r>
            <w:r w:rsidRPr="007A119E">
              <w:rPr>
                <w:sz w:val="26"/>
                <w:szCs w:val="26"/>
              </w:rPr>
              <w:lastRenderedPageBreak/>
              <w:t>noteikšana, kā arī attiecībā uz tādu preču uzglabāšanu, kuras aizņem salīdzinoši nelielu platību, faktiski aprēķinātie glabāšanas izdevumi nav adekvāti izdevumu aprēķināšanā patērētajiem resursiem un tie nesedz faktiskos glabāšanas izdevumus. No MK noteikumu Nr.</w:t>
            </w:r>
            <w:r w:rsidR="008B0DEF">
              <w:rPr>
                <w:sz w:val="26"/>
                <w:szCs w:val="26"/>
              </w:rPr>
              <w:t> </w:t>
            </w:r>
            <w:r w:rsidRPr="007A119E">
              <w:rPr>
                <w:sz w:val="26"/>
                <w:szCs w:val="26"/>
              </w:rPr>
              <w:t>468 19.</w:t>
            </w:r>
            <w:r w:rsidR="008B0DEF">
              <w:rPr>
                <w:sz w:val="26"/>
                <w:szCs w:val="26"/>
              </w:rPr>
              <w:t> </w:t>
            </w:r>
            <w:r w:rsidRPr="007A119E">
              <w:rPr>
                <w:sz w:val="26"/>
                <w:szCs w:val="26"/>
              </w:rPr>
              <w:t>punkta izriet, ka faktiski lēmuma saņēmējs sedz tikai preču uzglabāšanas izmaksas, kas ir tikai daļa no Regulas Nr. </w:t>
            </w:r>
            <w:hyperlink r:id="rId17" w:tgtFrame="_blank" w:history="1">
              <w:r w:rsidRPr="007A119E">
                <w:rPr>
                  <w:rStyle w:val="Hyperlink"/>
                  <w:color w:val="auto"/>
                  <w:sz w:val="26"/>
                  <w:szCs w:val="26"/>
                  <w:u w:val="none"/>
                </w:rPr>
                <w:t>608/2013</w:t>
              </w:r>
            </w:hyperlink>
            <w:r w:rsidRPr="007A119E">
              <w:rPr>
                <w:sz w:val="26"/>
                <w:szCs w:val="26"/>
              </w:rPr>
              <w:t> 29.panta 1.</w:t>
            </w:r>
            <w:r w:rsidR="008B0DEF">
              <w:rPr>
                <w:sz w:val="26"/>
                <w:szCs w:val="26"/>
              </w:rPr>
              <w:t> </w:t>
            </w:r>
            <w:r w:rsidRPr="007A119E">
              <w:rPr>
                <w:sz w:val="26"/>
                <w:szCs w:val="26"/>
              </w:rPr>
              <w:t>punkta pirmajā un otrajā daļā paredzētajām uz lēmuma saņēmēju attiecināmajām izmaksām (izmaksas, kas ir radušās, sākot ar preču aizturēšanas vai to izlaišanas apturēšanas brīdi, tostarp saistībā ar to uzglabāšanu un rīcību ar tām).</w:t>
            </w:r>
          </w:p>
          <w:p w14:paraId="476E2792" w14:textId="40F20DC5" w:rsidR="00F83C80" w:rsidRPr="007A119E" w:rsidRDefault="00E168B5" w:rsidP="00F83C80">
            <w:pPr>
              <w:pStyle w:val="tvhtml"/>
              <w:shd w:val="clear" w:color="auto" w:fill="FFFFFF"/>
              <w:spacing w:before="120" w:beforeAutospacing="0" w:after="0" w:afterAutospacing="0"/>
              <w:ind w:left="57" w:right="57"/>
              <w:jc w:val="both"/>
              <w:rPr>
                <w:sz w:val="26"/>
                <w:szCs w:val="26"/>
              </w:rPr>
            </w:pPr>
            <w:r w:rsidRPr="007A119E">
              <w:rPr>
                <w:sz w:val="26"/>
                <w:szCs w:val="26"/>
              </w:rPr>
              <w:t>Piemēram, tiek uzglabāta prece, kuras dažādas dimensijas ir atšķirīgas, līdz ar to laukums (platība), ko aizņem prece, ir atkarīgs no tā, kurā no preces laukuma virsmām tiek mērīta. Turklāt neliela izmēra preces, piemēram, mobilā telefona, aizņemtā platība ir no dažiem desmitiem līdz dažiem simtiem kvadrātcentimetru, un rezultātā uzglabāšanas izmaksas tiek noteiktas 1 –</w:t>
            </w:r>
            <w:r w:rsidR="00AA3119">
              <w:rPr>
                <w:sz w:val="26"/>
                <w:szCs w:val="26"/>
              </w:rPr>
              <w:t xml:space="preserve"> </w:t>
            </w:r>
            <w:r w:rsidRPr="007A119E">
              <w:rPr>
                <w:sz w:val="26"/>
                <w:szCs w:val="26"/>
              </w:rPr>
              <w:t xml:space="preserve">20 </w:t>
            </w:r>
            <w:proofErr w:type="spellStart"/>
            <w:r w:rsidR="008B0DEF">
              <w:rPr>
                <w:sz w:val="26"/>
                <w:szCs w:val="26"/>
              </w:rPr>
              <w:t>euro</w:t>
            </w:r>
            <w:r w:rsidRPr="007A119E">
              <w:rPr>
                <w:sz w:val="26"/>
                <w:szCs w:val="26"/>
              </w:rPr>
              <w:t>centu</w:t>
            </w:r>
            <w:proofErr w:type="spellEnd"/>
            <w:r w:rsidRPr="007A119E">
              <w:rPr>
                <w:sz w:val="26"/>
                <w:szCs w:val="26"/>
              </w:rPr>
              <w:t xml:space="preserve"> apmērā. Šādas summas neatsver pat amatpersonas darbu attiecīgā rēķina sagatavošanā, nemaz nerunājot par darba izmaksām, kas saistītas ar preču pārvietošanu no muitas kontroles vietas līdz to uzglabāšanas vietai, uzglabājamo preču uzraudzību, izsniegšanu lēmuma saņēmējam iznīcināšanai, informācijas sniegšanu lēmuma saņēmējam un preču deklarētājam.</w:t>
            </w:r>
            <w:r w:rsidR="00F83C80" w:rsidRPr="007A119E">
              <w:rPr>
                <w:sz w:val="26"/>
                <w:szCs w:val="26"/>
              </w:rPr>
              <w:t xml:space="preserve"> </w:t>
            </w:r>
          </w:p>
          <w:p w14:paraId="40664AE5" w14:textId="3FA12212" w:rsidR="00AF70AE" w:rsidRPr="007A119E" w:rsidRDefault="008411C8" w:rsidP="00F83C80">
            <w:pPr>
              <w:pStyle w:val="tvhtml"/>
              <w:shd w:val="clear" w:color="auto" w:fill="FFFFFF"/>
              <w:spacing w:before="120" w:beforeAutospacing="0" w:after="0" w:afterAutospacing="0"/>
              <w:ind w:left="57" w:right="57"/>
              <w:jc w:val="both"/>
              <w:rPr>
                <w:sz w:val="26"/>
                <w:szCs w:val="26"/>
              </w:rPr>
            </w:pPr>
            <w:r>
              <w:rPr>
                <w:b/>
                <w:sz w:val="26"/>
                <w:szCs w:val="26"/>
              </w:rPr>
              <w:t>7</w:t>
            </w:r>
            <w:r w:rsidR="00DA0ACA" w:rsidRPr="007A119E">
              <w:rPr>
                <w:b/>
                <w:sz w:val="26"/>
                <w:szCs w:val="26"/>
              </w:rPr>
              <w:t>.</w:t>
            </w:r>
            <w:r w:rsidR="00DA0ACA" w:rsidRPr="007A119E">
              <w:rPr>
                <w:sz w:val="26"/>
                <w:szCs w:val="26"/>
              </w:rPr>
              <w:t xml:space="preserve"> </w:t>
            </w:r>
            <w:r w:rsidR="00FF78D4" w:rsidRPr="007A119E">
              <w:rPr>
                <w:sz w:val="26"/>
                <w:szCs w:val="26"/>
              </w:rPr>
              <w:t xml:space="preserve">Ar </w:t>
            </w:r>
            <w:r>
              <w:rPr>
                <w:b/>
                <w:sz w:val="26"/>
                <w:szCs w:val="26"/>
              </w:rPr>
              <w:t xml:space="preserve">noteikumu projekta </w:t>
            </w:r>
            <w:r w:rsidR="00AA3119">
              <w:rPr>
                <w:b/>
                <w:sz w:val="26"/>
                <w:szCs w:val="26"/>
              </w:rPr>
              <w:t>1.</w:t>
            </w:r>
            <w:r>
              <w:rPr>
                <w:b/>
                <w:sz w:val="26"/>
                <w:szCs w:val="26"/>
              </w:rPr>
              <w:t>11</w:t>
            </w:r>
            <w:r w:rsidR="00FF78D4" w:rsidRPr="007A119E">
              <w:rPr>
                <w:b/>
                <w:sz w:val="26"/>
                <w:szCs w:val="26"/>
              </w:rPr>
              <w:t>.</w:t>
            </w:r>
            <w:r w:rsidR="008B0DEF">
              <w:rPr>
                <w:b/>
                <w:sz w:val="26"/>
                <w:szCs w:val="26"/>
              </w:rPr>
              <w:t> </w:t>
            </w:r>
            <w:r w:rsidR="00FF78D4" w:rsidRPr="007A119E">
              <w:rPr>
                <w:b/>
                <w:sz w:val="26"/>
                <w:szCs w:val="26"/>
              </w:rPr>
              <w:t>punktu</w:t>
            </w:r>
            <w:r w:rsidR="00FF78D4" w:rsidRPr="007A119E">
              <w:rPr>
                <w:sz w:val="26"/>
                <w:szCs w:val="26"/>
              </w:rPr>
              <w:t xml:space="preserve"> MK noteikumi Nr.</w:t>
            </w:r>
            <w:r w:rsidR="008B0DEF">
              <w:rPr>
                <w:sz w:val="26"/>
                <w:szCs w:val="26"/>
              </w:rPr>
              <w:t> </w:t>
            </w:r>
            <w:r w:rsidR="00FF78D4" w:rsidRPr="007A119E">
              <w:rPr>
                <w:sz w:val="26"/>
                <w:szCs w:val="26"/>
              </w:rPr>
              <w:t>46</w:t>
            </w:r>
            <w:r w:rsidR="00295B88" w:rsidRPr="007A119E">
              <w:rPr>
                <w:sz w:val="26"/>
                <w:szCs w:val="26"/>
              </w:rPr>
              <w:t>8</w:t>
            </w:r>
            <w:r w:rsidR="00FF78D4" w:rsidRPr="007A119E">
              <w:rPr>
                <w:sz w:val="26"/>
                <w:szCs w:val="26"/>
              </w:rPr>
              <w:t xml:space="preserve"> tiek papildināti ar jaunu </w:t>
            </w:r>
            <w:r w:rsidR="007D2B55">
              <w:rPr>
                <w:sz w:val="26"/>
                <w:szCs w:val="26"/>
              </w:rPr>
              <w:t>II</w:t>
            </w:r>
            <w:r w:rsidR="00FF78D4" w:rsidRPr="007A119E">
              <w:rPr>
                <w:sz w:val="26"/>
                <w:szCs w:val="26"/>
              </w:rPr>
              <w:t>.</w:t>
            </w:r>
            <w:r w:rsidR="00FF78D4" w:rsidRPr="007A119E">
              <w:rPr>
                <w:sz w:val="26"/>
                <w:szCs w:val="26"/>
                <w:vertAlign w:val="superscript"/>
              </w:rPr>
              <w:t xml:space="preserve">1 </w:t>
            </w:r>
            <w:r w:rsidR="00FF78D4" w:rsidRPr="007A119E">
              <w:rPr>
                <w:sz w:val="26"/>
                <w:szCs w:val="26"/>
              </w:rPr>
              <w:t xml:space="preserve">nodaļu “Preču paraugu izņemšanas un atdošanas kārtība” </w:t>
            </w:r>
            <w:r w:rsidR="00AF70AE" w:rsidRPr="007A119E">
              <w:rPr>
                <w:sz w:val="26"/>
                <w:szCs w:val="26"/>
              </w:rPr>
              <w:t>atbilstoši Muitas likuma 14.</w:t>
            </w:r>
            <w:r w:rsidR="00226DCF" w:rsidRPr="007A119E">
              <w:rPr>
                <w:sz w:val="26"/>
                <w:szCs w:val="26"/>
                <w:vertAlign w:val="superscript"/>
              </w:rPr>
              <w:t>5</w:t>
            </w:r>
            <w:r w:rsidR="008B0DEF">
              <w:rPr>
                <w:sz w:val="26"/>
                <w:szCs w:val="26"/>
                <w:vertAlign w:val="superscript"/>
              </w:rPr>
              <w:t> </w:t>
            </w:r>
            <w:r w:rsidR="00AF70AE" w:rsidRPr="007A119E">
              <w:rPr>
                <w:sz w:val="26"/>
                <w:szCs w:val="26"/>
              </w:rPr>
              <w:t xml:space="preserve">panta </w:t>
            </w:r>
            <w:r w:rsidR="00226DCF" w:rsidRPr="007A119E">
              <w:rPr>
                <w:sz w:val="26"/>
                <w:szCs w:val="26"/>
              </w:rPr>
              <w:t>piektajā un sestajā</w:t>
            </w:r>
            <w:r w:rsidR="00AF70AE" w:rsidRPr="007A119E">
              <w:rPr>
                <w:sz w:val="26"/>
                <w:szCs w:val="26"/>
              </w:rPr>
              <w:t xml:space="preserve"> daļā dotajam pilnvarojumam Ministru kabinetam. Preču paraugi, kas saskaņā ar Regulas Nr. 608/2013 23. panta 2. punktu </w:t>
            </w:r>
            <w:r w:rsidR="00AF70AE" w:rsidRPr="007A119E">
              <w:rPr>
                <w:bCs/>
                <w:sz w:val="26"/>
                <w:szCs w:val="26"/>
              </w:rPr>
              <w:t xml:space="preserve">izņemti </w:t>
            </w:r>
            <w:proofErr w:type="spellStart"/>
            <w:r w:rsidR="00AF70AE" w:rsidRPr="007A119E">
              <w:rPr>
                <w:bCs/>
                <w:sz w:val="26"/>
                <w:szCs w:val="26"/>
              </w:rPr>
              <w:t>ārpussavienības</w:t>
            </w:r>
            <w:proofErr w:type="spellEnd"/>
            <w:r w:rsidR="00AF70AE" w:rsidRPr="007A119E">
              <w:rPr>
                <w:bCs/>
                <w:sz w:val="26"/>
                <w:szCs w:val="26"/>
              </w:rPr>
              <w:t xml:space="preserve"> precēm</w:t>
            </w:r>
            <w:r w:rsidR="00AF70AE" w:rsidRPr="007A119E">
              <w:rPr>
                <w:sz w:val="26"/>
                <w:szCs w:val="26"/>
              </w:rPr>
              <w:t xml:space="preserve">, tiek uzskatīti par laistiem brīvā apgrozībā Savienībā, </w:t>
            </w:r>
            <w:r w:rsidR="00AF70AE" w:rsidRPr="007A119E">
              <w:rPr>
                <w:bCs/>
                <w:iCs/>
                <w:sz w:val="26"/>
                <w:szCs w:val="26"/>
              </w:rPr>
              <w:t xml:space="preserve">ja ir konstatēts, ka preces pārkāpj intelektuālā īpašuma tiesības. Ministru kabinets ir pilnvarots noteikt </w:t>
            </w:r>
            <w:r w:rsidR="00AF70AE" w:rsidRPr="007A119E">
              <w:rPr>
                <w:sz w:val="26"/>
                <w:szCs w:val="26"/>
              </w:rPr>
              <w:t>minēto preču paraugu izņemšanas kārtību, kā arī preču paraugu, kas izņemti saskaņā ar Regulas Nr.</w:t>
            </w:r>
            <w:r w:rsidR="008B0DEF">
              <w:rPr>
                <w:sz w:val="26"/>
                <w:szCs w:val="26"/>
              </w:rPr>
              <w:t> </w:t>
            </w:r>
            <w:r w:rsidR="00AF70AE" w:rsidRPr="007A119E">
              <w:rPr>
                <w:sz w:val="26"/>
                <w:szCs w:val="26"/>
              </w:rPr>
              <w:t>608/2013 19.</w:t>
            </w:r>
            <w:r w:rsidR="008B0DEF">
              <w:rPr>
                <w:sz w:val="26"/>
                <w:szCs w:val="26"/>
              </w:rPr>
              <w:t> </w:t>
            </w:r>
            <w:r w:rsidR="00AF70AE" w:rsidRPr="007A119E">
              <w:rPr>
                <w:sz w:val="26"/>
                <w:szCs w:val="26"/>
              </w:rPr>
              <w:t xml:space="preserve">pantu, atdošanas kārtību preču deklarētājam vai valdītājam gadījumā, ja tiek </w:t>
            </w:r>
            <w:r w:rsidR="00AF70AE" w:rsidRPr="007A119E">
              <w:rPr>
                <w:sz w:val="26"/>
                <w:szCs w:val="26"/>
              </w:rPr>
              <w:lastRenderedPageBreak/>
              <w:t>konstatēts, ka preces nepārkāpj intelektuālā īpašuma tiesības.</w:t>
            </w:r>
          </w:p>
          <w:p w14:paraId="0764294C" w14:textId="427895DE" w:rsidR="0010040E" w:rsidRPr="007A119E" w:rsidRDefault="00FF78D4" w:rsidP="00F83C80">
            <w:pPr>
              <w:spacing w:before="120"/>
              <w:ind w:left="57" w:right="57"/>
              <w:jc w:val="both"/>
              <w:rPr>
                <w:rFonts w:cs="Times New Roman"/>
                <w:bCs/>
                <w:sz w:val="26"/>
                <w:szCs w:val="26"/>
              </w:rPr>
            </w:pPr>
            <w:r w:rsidRPr="007A119E">
              <w:rPr>
                <w:sz w:val="26"/>
                <w:szCs w:val="26"/>
              </w:rPr>
              <w:t>Minētā nodaļa MK noteikumos Nr.</w:t>
            </w:r>
            <w:r w:rsidR="008B0DEF">
              <w:rPr>
                <w:sz w:val="26"/>
                <w:szCs w:val="26"/>
              </w:rPr>
              <w:t> </w:t>
            </w:r>
            <w:r w:rsidRPr="007A119E">
              <w:rPr>
                <w:sz w:val="26"/>
                <w:szCs w:val="26"/>
              </w:rPr>
              <w:t>46</w:t>
            </w:r>
            <w:r w:rsidR="00F55F46" w:rsidRPr="007A119E">
              <w:rPr>
                <w:sz w:val="26"/>
                <w:szCs w:val="26"/>
              </w:rPr>
              <w:t>8</w:t>
            </w:r>
            <w:r w:rsidRPr="007A119E">
              <w:rPr>
                <w:sz w:val="26"/>
                <w:szCs w:val="26"/>
              </w:rPr>
              <w:t xml:space="preserve"> </w:t>
            </w:r>
            <w:r w:rsidR="00D14B38" w:rsidRPr="007A119E">
              <w:rPr>
                <w:sz w:val="26"/>
                <w:szCs w:val="26"/>
              </w:rPr>
              <w:t xml:space="preserve">iekļauta, </w:t>
            </w:r>
            <w:r w:rsidR="00D14B38" w:rsidRPr="007A119E">
              <w:rPr>
                <w:rFonts w:cs="Times New Roman"/>
                <w:sz w:val="26"/>
                <w:szCs w:val="26"/>
              </w:rPr>
              <w:t>izpildot MK rīkojumā Nr.</w:t>
            </w:r>
            <w:r w:rsidR="00D14B38" w:rsidRPr="007A119E">
              <w:rPr>
                <w:rFonts w:eastAsia="Times New Roman" w:cs="Times New Roman"/>
                <w:sz w:val="26"/>
                <w:szCs w:val="26"/>
                <w:lang w:eastAsia="lv-LV"/>
              </w:rPr>
              <w:t> </w:t>
            </w:r>
            <w:r w:rsidR="00D14B38" w:rsidRPr="007A119E">
              <w:rPr>
                <w:rFonts w:cs="Times New Roman"/>
                <w:sz w:val="26"/>
                <w:szCs w:val="26"/>
              </w:rPr>
              <w:t>401 noteikto</w:t>
            </w:r>
            <w:r w:rsidR="00D14B38" w:rsidRPr="007A119E">
              <w:rPr>
                <w:rStyle w:val="FootnoteReference"/>
                <w:rFonts w:cs="Times New Roman"/>
                <w:sz w:val="26"/>
                <w:szCs w:val="26"/>
              </w:rPr>
              <w:footnoteReference w:id="17"/>
            </w:r>
            <w:r w:rsidR="0010040E" w:rsidRPr="007A119E">
              <w:rPr>
                <w:rFonts w:cs="Times New Roman"/>
                <w:sz w:val="26"/>
                <w:szCs w:val="26"/>
              </w:rPr>
              <w:t>, proti, v</w:t>
            </w:r>
            <w:r w:rsidR="0010040E" w:rsidRPr="007A119E">
              <w:rPr>
                <w:rFonts w:cs="Times New Roman"/>
                <w:bCs/>
                <w:sz w:val="26"/>
                <w:szCs w:val="26"/>
              </w:rPr>
              <w:t>eikt atbilstošus grozījumus normatīvajos aktos, lai nodrošinātu regulas Nr. </w:t>
            </w:r>
            <w:hyperlink r:id="rId18" w:tgtFrame="_blank" w:history="1">
              <w:r w:rsidR="0010040E" w:rsidRPr="007A119E">
                <w:rPr>
                  <w:rStyle w:val="Hyperlink"/>
                  <w:rFonts w:cs="Times New Roman"/>
                  <w:bCs/>
                  <w:color w:val="auto"/>
                  <w:sz w:val="26"/>
                  <w:szCs w:val="26"/>
                  <w:u w:val="none"/>
                </w:rPr>
                <w:t>608/2013</w:t>
              </w:r>
            </w:hyperlink>
            <w:r w:rsidR="0010040E" w:rsidRPr="007A119E">
              <w:rPr>
                <w:rFonts w:cs="Times New Roman"/>
                <w:bCs/>
                <w:sz w:val="26"/>
                <w:szCs w:val="26"/>
              </w:rPr>
              <w:t> 25.</w:t>
            </w:r>
            <w:r w:rsidR="008B0DEF">
              <w:rPr>
                <w:rFonts w:cs="Times New Roman"/>
                <w:bCs/>
                <w:sz w:val="26"/>
                <w:szCs w:val="26"/>
              </w:rPr>
              <w:t> </w:t>
            </w:r>
            <w:r w:rsidR="0010040E" w:rsidRPr="007A119E">
              <w:rPr>
                <w:rFonts w:cs="Times New Roman"/>
                <w:bCs/>
                <w:sz w:val="26"/>
                <w:szCs w:val="26"/>
              </w:rPr>
              <w:t>panta 1.</w:t>
            </w:r>
            <w:r w:rsidR="008B0DEF">
              <w:rPr>
                <w:rFonts w:cs="Times New Roman"/>
                <w:bCs/>
                <w:sz w:val="26"/>
                <w:szCs w:val="26"/>
              </w:rPr>
              <w:t> </w:t>
            </w:r>
            <w:r w:rsidR="0010040E" w:rsidRPr="007A119E">
              <w:rPr>
                <w:rFonts w:cs="Times New Roman"/>
                <w:bCs/>
                <w:sz w:val="26"/>
                <w:szCs w:val="26"/>
              </w:rPr>
              <w:t>punkta "a" apakšpunkta piemērošanu.</w:t>
            </w:r>
          </w:p>
          <w:p w14:paraId="1F783B15" w14:textId="586FB198" w:rsidR="0010040E" w:rsidRPr="007A119E" w:rsidRDefault="0010040E" w:rsidP="00F83C80">
            <w:pPr>
              <w:spacing w:before="120"/>
              <w:ind w:left="57" w:right="57"/>
              <w:jc w:val="both"/>
              <w:rPr>
                <w:rFonts w:cs="Times New Roman"/>
                <w:sz w:val="26"/>
                <w:szCs w:val="26"/>
              </w:rPr>
            </w:pPr>
            <w:r w:rsidRPr="007A119E">
              <w:rPr>
                <w:rFonts w:cs="Times New Roman"/>
                <w:sz w:val="26"/>
                <w:szCs w:val="26"/>
              </w:rPr>
              <w:t>Izvērtējot nacionālo tiesisko regulējumu, kas attiecas uz Regulas Nr. </w:t>
            </w:r>
            <w:hyperlink r:id="rId19" w:tgtFrame="_blank" w:history="1">
              <w:r w:rsidRPr="007A119E">
                <w:rPr>
                  <w:rStyle w:val="Hyperlink"/>
                  <w:rFonts w:cs="Times New Roman"/>
                  <w:color w:val="auto"/>
                  <w:sz w:val="26"/>
                  <w:szCs w:val="26"/>
                  <w:u w:val="none"/>
                </w:rPr>
                <w:t>608/2013</w:t>
              </w:r>
            </w:hyperlink>
            <w:r w:rsidR="008B0DEF">
              <w:rPr>
                <w:rFonts w:cs="Times New Roman"/>
                <w:sz w:val="26"/>
                <w:szCs w:val="26"/>
              </w:rPr>
              <w:t xml:space="preserve"> n</w:t>
            </w:r>
            <w:r w:rsidRPr="007A119E">
              <w:rPr>
                <w:rFonts w:cs="Times New Roman"/>
                <w:sz w:val="26"/>
                <w:szCs w:val="26"/>
              </w:rPr>
              <w:t xml:space="preserve">osacījumu piemērošanu, konstatēts, ka Latvijas Republikas nacionālajā tiesiskajā regulējumā nav atrunāti nosacījumi, saskaņā ar kuriem preces var izlaist brīvā apgrozībā, lai tās varētu izmantot izpratnes veicināšanas, apmācības un izglītošanas nolūkā. </w:t>
            </w:r>
          </w:p>
          <w:p w14:paraId="57A9A84D" w14:textId="7FFCF244" w:rsidR="00F83C80" w:rsidRPr="007A119E" w:rsidRDefault="0010040E" w:rsidP="00F83C80">
            <w:pPr>
              <w:spacing w:before="120"/>
              <w:ind w:left="57" w:right="57"/>
              <w:jc w:val="both"/>
              <w:rPr>
                <w:rFonts w:cs="Times New Roman"/>
                <w:sz w:val="26"/>
                <w:szCs w:val="26"/>
              </w:rPr>
            </w:pPr>
            <w:r w:rsidRPr="007A119E">
              <w:rPr>
                <w:rFonts w:cs="Times New Roman"/>
                <w:sz w:val="26"/>
                <w:szCs w:val="26"/>
              </w:rPr>
              <w:t>Saskaņā ar Regulas Nr. </w:t>
            </w:r>
            <w:hyperlink r:id="rId20" w:tgtFrame="_blank" w:history="1">
              <w:r w:rsidRPr="007A119E">
                <w:rPr>
                  <w:rStyle w:val="Hyperlink"/>
                  <w:rFonts w:cs="Times New Roman"/>
                  <w:color w:val="auto"/>
                  <w:sz w:val="26"/>
                  <w:szCs w:val="26"/>
                  <w:u w:val="none"/>
                </w:rPr>
                <w:t>608/2013</w:t>
              </w:r>
            </w:hyperlink>
            <w:r w:rsidR="008B0DEF">
              <w:rPr>
                <w:rStyle w:val="Hyperlink"/>
                <w:rFonts w:cs="Times New Roman"/>
                <w:color w:val="auto"/>
                <w:sz w:val="26"/>
                <w:szCs w:val="26"/>
                <w:u w:val="none"/>
              </w:rPr>
              <w:t xml:space="preserve"> </w:t>
            </w:r>
            <w:r w:rsidRPr="007A119E">
              <w:rPr>
                <w:rFonts w:cs="Times New Roman"/>
                <w:sz w:val="26"/>
                <w:szCs w:val="26"/>
              </w:rPr>
              <w:t>23.</w:t>
            </w:r>
            <w:r w:rsidR="008B0DEF">
              <w:rPr>
                <w:rFonts w:cs="Times New Roman"/>
                <w:sz w:val="26"/>
                <w:szCs w:val="26"/>
              </w:rPr>
              <w:t> </w:t>
            </w:r>
            <w:r w:rsidRPr="007A119E">
              <w:rPr>
                <w:rFonts w:cs="Times New Roman"/>
                <w:sz w:val="26"/>
                <w:szCs w:val="26"/>
              </w:rPr>
              <w:t>panta 2.</w:t>
            </w:r>
            <w:r w:rsidR="008B0DEF">
              <w:rPr>
                <w:rFonts w:cs="Times New Roman"/>
                <w:sz w:val="26"/>
                <w:szCs w:val="26"/>
              </w:rPr>
              <w:t> </w:t>
            </w:r>
            <w:r w:rsidRPr="007A119E">
              <w:rPr>
                <w:rFonts w:cs="Times New Roman"/>
                <w:sz w:val="26"/>
                <w:szCs w:val="26"/>
              </w:rPr>
              <w:t>punktu pirms preču iznīcināšanas kompetentās iestādes var ņemt paraugus, ko var izmantot izglītošanas nolūkā. Savukārt Regulas Nr. </w:t>
            </w:r>
            <w:hyperlink r:id="rId21" w:tgtFrame="_blank" w:history="1">
              <w:r w:rsidRPr="007A119E">
                <w:rPr>
                  <w:rStyle w:val="Hyperlink"/>
                  <w:rFonts w:cs="Times New Roman"/>
                  <w:color w:val="auto"/>
                  <w:sz w:val="26"/>
                  <w:szCs w:val="26"/>
                  <w:u w:val="none"/>
                </w:rPr>
                <w:t>608/2013</w:t>
              </w:r>
            </w:hyperlink>
            <w:r w:rsidR="008B0DEF">
              <w:rPr>
                <w:rFonts w:cs="Times New Roman"/>
                <w:sz w:val="26"/>
                <w:szCs w:val="26"/>
              </w:rPr>
              <w:t xml:space="preserve"> </w:t>
            </w:r>
            <w:r w:rsidRPr="007A119E">
              <w:rPr>
                <w:rFonts w:cs="Times New Roman"/>
                <w:sz w:val="26"/>
                <w:szCs w:val="26"/>
              </w:rPr>
              <w:t>25.</w:t>
            </w:r>
            <w:r w:rsidR="008B0DEF">
              <w:rPr>
                <w:rFonts w:cs="Times New Roman"/>
                <w:sz w:val="26"/>
                <w:szCs w:val="26"/>
              </w:rPr>
              <w:t> </w:t>
            </w:r>
            <w:r w:rsidRPr="007A119E">
              <w:rPr>
                <w:rFonts w:cs="Times New Roman"/>
                <w:sz w:val="26"/>
                <w:szCs w:val="26"/>
              </w:rPr>
              <w:t>panta 1.</w:t>
            </w:r>
            <w:r w:rsidR="008B0DEF">
              <w:rPr>
                <w:rFonts w:cs="Times New Roman"/>
                <w:sz w:val="26"/>
                <w:szCs w:val="26"/>
              </w:rPr>
              <w:t> </w:t>
            </w:r>
            <w:r w:rsidRPr="007A119E">
              <w:rPr>
                <w:rFonts w:cs="Times New Roman"/>
                <w:sz w:val="26"/>
                <w:szCs w:val="26"/>
              </w:rPr>
              <w:t>punkta "a" apakšpunkts paredz, ka preces, kas saskaņā ar 23. vai 26.</w:t>
            </w:r>
            <w:r w:rsidR="008B0DEF">
              <w:rPr>
                <w:rFonts w:cs="Times New Roman"/>
                <w:sz w:val="26"/>
                <w:szCs w:val="26"/>
              </w:rPr>
              <w:t> </w:t>
            </w:r>
            <w:r w:rsidRPr="007A119E">
              <w:rPr>
                <w:rFonts w:cs="Times New Roman"/>
                <w:sz w:val="26"/>
                <w:szCs w:val="26"/>
              </w:rPr>
              <w:t>pantu jāiznīcina, netiek izlaistas brīvā apgrozībā, ja vien muitas dienesti ar intelektuālā īpašuma tiesību īpašnieka piekrišanu nenolemj, ka tas ir jādara, gadījumā, ja paredzēts preces pārstrādāt vai atbrīvoties no tām nekomerciālā veidā, tostarp izmantot tās izpratnes veicināšanas, apmācības un izglītošanas nolūkā. Nosacījumus, saskaņā ar kuriem preces var izlaist brīvā apgrozībā, nosaka muitas dienesti.</w:t>
            </w:r>
            <w:r w:rsidR="00F83C80" w:rsidRPr="007A119E">
              <w:rPr>
                <w:rFonts w:cs="Times New Roman"/>
                <w:sz w:val="26"/>
                <w:szCs w:val="26"/>
              </w:rPr>
              <w:t xml:space="preserve"> </w:t>
            </w:r>
          </w:p>
          <w:p w14:paraId="30796584" w14:textId="23A4EE66" w:rsidR="00643F95" w:rsidRPr="007A119E" w:rsidRDefault="007C7CCC" w:rsidP="00643F95">
            <w:pPr>
              <w:spacing w:before="120"/>
              <w:ind w:left="57" w:right="57"/>
              <w:jc w:val="both"/>
              <w:rPr>
                <w:rFonts w:cs="Times New Roman"/>
                <w:sz w:val="26"/>
                <w:szCs w:val="26"/>
              </w:rPr>
            </w:pPr>
            <w:r w:rsidRPr="007A119E">
              <w:rPr>
                <w:rFonts w:cs="Times New Roman"/>
                <w:sz w:val="26"/>
                <w:szCs w:val="26"/>
              </w:rPr>
              <w:t xml:space="preserve">Noteikumu </w:t>
            </w:r>
            <w:r w:rsidR="007D2B55">
              <w:rPr>
                <w:rFonts w:cs="Times New Roman"/>
                <w:sz w:val="26"/>
                <w:szCs w:val="26"/>
              </w:rPr>
              <w:t>projekta</w:t>
            </w:r>
            <w:r w:rsidR="00AA3119">
              <w:rPr>
                <w:rFonts w:cs="Times New Roman"/>
                <w:sz w:val="26"/>
                <w:szCs w:val="26"/>
              </w:rPr>
              <w:t xml:space="preserve"> </w:t>
            </w:r>
            <w:r w:rsidR="007D2B55">
              <w:rPr>
                <w:rFonts w:cs="Times New Roman"/>
                <w:sz w:val="26"/>
                <w:szCs w:val="26"/>
              </w:rPr>
              <w:t xml:space="preserve"> </w:t>
            </w:r>
            <w:r w:rsidRPr="007A119E">
              <w:rPr>
                <w:rFonts w:cs="Times New Roman"/>
                <w:b/>
                <w:sz w:val="26"/>
                <w:szCs w:val="26"/>
              </w:rPr>
              <w:t>26.</w:t>
            </w:r>
            <w:r w:rsidRPr="007A119E">
              <w:rPr>
                <w:rFonts w:cs="Times New Roman"/>
                <w:b/>
                <w:sz w:val="26"/>
                <w:szCs w:val="26"/>
                <w:vertAlign w:val="superscript"/>
              </w:rPr>
              <w:t>1</w:t>
            </w:r>
            <w:r w:rsidRPr="007A119E">
              <w:rPr>
                <w:rFonts w:cs="Times New Roman"/>
                <w:b/>
                <w:sz w:val="26"/>
                <w:szCs w:val="26"/>
              </w:rPr>
              <w:t xml:space="preserve"> punkts</w:t>
            </w:r>
            <w:r w:rsidRPr="007A119E">
              <w:rPr>
                <w:rFonts w:cs="Times New Roman"/>
                <w:sz w:val="26"/>
                <w:szCs w:val="26"/>
              </w:rPr>
              <w:t xml:space="preserve"> paredz, ja </w:t>
            </w:r>
            <w:r w:rsidR="001C3031" w:rsidRPr="007A119E">
              <w:rPr>
                <w:rFonts w:cs="Times New Roman"/>
                <w:sz w:val="26"/>
                <w:szCs w:val="26"/>
              </w:rPr>
              <w:t>VID</w:t>
            </w:r>
            <w:r w:rsidRPr="007A119E">
              <w:rPr>
                <w:rFonts w:cs="Times New Roman"/>
                <w:sz w:val="26"/>
                <w:szCs w:val="26"/>
              </w:rPr>
              <w:t xml:space="preserve"> vai citai institūcijai regulas 608/2013 25.</w:t>
            </w:r>
            <w:r w:rsidR="008B0DEF">
              <w:rPr>
                <w:rFonts w:cs="Times New Roman"/>
                <w:sz w:val="26"/>
                <w:szCs w:val="26"/>
              </w:rPr>
              <w:t> </w:t>
            </w:r>
            <w:r w:rsidRPr="007A119E">
              <w:rPr>
                <w:rFonts w:cs="Times New Roman"/>
                <w:sz w:val="26"/>
                <w:szCs w:val="26"/>
              </w:rPr>
              <w:t>panta 1.</w:t>
            </w:r>
            <w:r w:rsidR="008B0DEF">
              <w:rPr>
                <w:rFonts w:cs="Times New Roman"/>
                <w:sz w:val="26"/>
                <w:szCs w:val="26"/>
              </w:rPr>
              <w:t> </w:t>
            </w:r>
            <w:r w:rsidRPr="007A119E">
              <w:rPr>
                <w:rFonts w:cs="Times New Roman"/>
                <w:sz w:val="26"/>
                <w:szCs w:val="26"/>
              </w:rPr>
              <w:t xml:space="preserve">punkta “a” apakšpunktā minētajiem nolūkiem ir nepieciešami lēmuma saņēmējam iznīcināšanai nodoto preču paraugi, </w:t>
            </w:r>
            <w:r w:rsidR="001C3031" w:rsidRPr="007A119E">
              <w:rPr>
                <w:rFonts w:cs="Times New Roman"/>
                <w:sz w:val="26"/>
                <w:szCs w:val="26"/>
              </w:rPr>
              <w:t>VID</w:t>
            </w:r>
            <w:r w:rsidRPr="007A119E">
              <w:rPr>
                <w:rFonts w:cs="Times New Roman"/>
                <w:sz w:val="26"/>
                <w:szCs w:val="26"/>
              </w:rPr>
              <w:t xml:space="preserve"> par to informē lēmuma saņēmēju vienlaikus ar informācijas sniegšanu par lēmumu attiecībā uz preču nodošanu iznīcināšanai. </w:t>
            </w:r>
            <w:r w:rsidR="00643F95" w:rsidRPr="007A119E">
              <w:rPr>
                <w:rFonts w:cs="Times New Roman"/>
                <w:sz w:val="26"/>
                <w:szCs w:val="26"/>
              </w:rPr>
              <w:t>Tādējādi lēmuma saņēmējam būs iespējas ap</w:t>
            </w:r>
            <w:r w:rsidR="001C3031" w:rsidRPr="007A119E">
              <w:rPr>
                <w:rFonts w:cs="Times New Roman"/>
                <w:sz w:val="26"/>
                <w:szCs w:val="26"/>
              </w:rPr>
              <w:t>s</w:t>
            </w:r>
            <w:r w:rsidR="00643F95" w:rsidRPr="007A119E">
              <w:rPr>
                <w:rFonts w:cs="Times New Roman"/>
                <w:sz w:val="26"/>
                <w:szCs w:val="26"/>
              </w:rPr>
              <w:t>vērt, vai piekrist izsniegt preču paraugus, pirms lēmuma saņēmējs ir uzsācis darbības preču iznīcināšanai, tai skaitā pārņemšanai no personas, kura preces uzglabā.</w:t>
            </w:r>
          </w:p>
          <w:p w14:paraId="79885957" w14:textId="594E85A2" w:rsidR="00643F95" w:rsidRPr="007A119E" w:rsidRDefault="00643F95" w:rsidP="00643F95">
            <w:pPr>
              <w:spacing w:before="120"/>
              <w:ind w:left="57" w:right="57"/>
              <w:jc w:val="both"/>
              <w:rPr>
                <w:rFonts w:cs="Times New Roman"/>
                <w:sz w:val="26"/>
                <w:szCs w:val="26"/>
              </w:rPr>
            </w:pPr>
            <w:r w:rsidRPr="007A119E">
              <w:rPr>
                <w:rFonts w:cs="Times New Roman"/>
                <w:sz w:val="26"/>
                <w:szCs w:val="26"/>
              </w:rPr>
              <w:t xml:space="preserve">Noteikumu </w:t>
            </w:r>
            <w:r w:rsidR="007D2B55">
              <w:rPr>
                <w:rFonts w:cs="Times New Roman"/>
                <w:sz w:val="26"/>
                <w:szCs w:val="26"/>
              </w:rPr>
              <w:t xml:space="preserve">projekta </w:t>
            </w:r>
            <w:r w:rsidRPr="007A119E">
              <w:rPr>
                <w:rFonts w:cs="Times New Roman"/>
                <w:b/>
                <w:sz w:val="26"/>
                <w:szCs w:val="26"/>
              </w:rPr>
              <w:t>26.</w:t>
            </w:r>
            <w:r w:rsidRPr="007A119E">
              <w:rPr>
                <w:rFonts w:cs="Times New Roman"/>
                <w:b/>
                <w:sz w:val="26"/>
                <w:szCs w:val="26"/>
                <w:vertAlign w:val="superscript"/>
              </w:rPr>
              <w:t>2</w:t>
            </w:r>
            <w:r w:rsidR="008B0DEF">
              <w:rPr>
                <w:rFonts w:cs="Times New Roman"/>
                <w:b/>
                <w:sz w:val="26"/>
                <w:szCs w:val="26"/>
                <w:vertAlign w:val="superscript"/>
              </w:rPr>
              <w:t> </w:t>
            </w:r>
            <w:r w:rsidRPr="007A119E">
              <w:rPr>
                <w:rFonts w:cs="Times New Roman"/>
                <w:b/>
                <w:sz w:val="26"/>
                <w:szCs w:val="26"/>
              </w:rPr>
              <w:t>punkts</w:t>
            </w:r>
            <w:r w:rsidRPr="007A119E">
              <w:rPr>
                <w:rFonts w:cs="Times New Roman"/>
                <w:sz w:val="26"/>
                <w:szCs w:val="26"/>
              </w:rPr>
              <w:t xml:space="preserve"> paredz, ka </w:t>
            </w:r>
            <w:r w:rsidR="007A119E" w:rsidRPr="007A119E">
              <w:rPr>
                <w:rFonts w:cs="Times New Roman"/>
                <w:sz w:val="26"/>
                <w:szCs w:val="26"/>
              </w:rPr>
              <w:t>VID</w:t>
            </w:r>
            <w:r w:rsidRPr="007A119E">
              <w:rPr>
                <w:rFonts w:cs="Times New Roman"/>
                <w:sz w:val="26"/>
                <w:szCs w:val="26"/>
              </w:rPr>
              <w:t xml:space="preserve"> paraugiem nepieciešamās preces no preču uzglabātāja pārņem, sastādot preču pieņemšanas – </w:t>
            </w:r>
            <w:r w:rsidRPr="007A119E">
              <w:rPr>
                <w:rFonts w:cs="Times New Roman"/>
                <w:sz w:val="26"/>
                <w:szCs w:val="26"/>
              </w:rPr>
              <w:lastRenderedPageBreak/>
              <w:t xml:space="preserve">nodošanas aktu, kura vienu eksemplāru izsniedz preču uzglabātājam. Šāds regulējums nepieciešams tiesiskās skaidrības nolūkos, lai preču uzglabātājam būtu skaidra rīcība, kāda sagaidāma no </w:t>
            </w:r>
            <w:r w:rsidR="007A119E" w:rsidRPr="007A119E">
              <w:rPr>
                <w:rFonts w:cs="Times New Roman"/>
                <w:sz w:val="26"/>
                <w:szCs w:val="26"/>
              </w:rPr>
              <w:t>VID</w:t>
            </w:r>
            <w:r w:rsidRPr="007A119E">
              <w:rPr>
                <w:rFonts w:cs="Times New Roman"/>
                <w:sz w:val="26"/>
                <w:szCs w:val="26"/>
              </w:rPr>
              <w:t xml:space="preserve"> attiecībā uz preču pārņemšanu un attaisnojuma dokumentu preču izņemšanai no uzglabātāja valdījuma.</w:t>
            </w:r>
          </w:p>
          <w:p w14:paraId="32622F50" w14:textId="6F304E55" w:rsidR="00643F95" w:rsidRPr="007A119E" w:rsidRDefault="00643F95" w:rsidP="00643F95">
            <w:pPr>
              <w:spacing w:before="120"/>
              <w:ind w:left="57" w:right="57"/>
              <w:jc w:val="both"/>
              <w:rPr>
                <w:rFonts w:cs="Times New Roman"/>
                <w:sz w:val="26"/>
                <w:szCs w:val="26"/>
              </w:rPr>
            </w:pPr>
            <w:r w:rsidRPr="007A119E">
              <w:rPr>
                <w:rFonts w:cs="Times New Roman"/>
                <w:sz w:val="26"/>
                <w:szCs w:val="26"/>
              </w:rPr>
              <w:t xml:space="preserve">Noteikumu </w:t>
            </w:r>
            <w:r w:rsidR="007D2B55">
              <w:rPr>
                <w:rFonts w:cs="Times New Roman"/>
                <w:sz w:val="26"/>
                <w:szCs w:val="26"/>
              </w:rPr>
              <w:t xml:space="preserve">projekta </w:t>
            </w:r>
            <w:r w:rsidRPr="007A119E">
              <w:rPr>
                <w:rFonts w:cs="Times New Roman"/>
                <w:b/>
                <w:sz w:val="26"/>
                <w:szCs w:val="26"/>
              </w:rPr>
              <w:t>26.</w:t>
            </w:r>
            <w:r w:rsidRPr="007A119E">
              <w:rPr>
                <w:rFonts w:cs="Times New Roman"/>
                <w:b/>
                <w:sz w:val="26"/>
                <w:szCs w:val="26"/>
                <w:vertAlign w:val="superscript"/>
              </w:rPr>
              <w:t>3</w:t>
            </w:r>
            <w:r w:rsidR="008B0DEF">
              <w:rPr>
                <w:rFonts w:cs="Times New Roman"/>
                <w:b/>
                <w:sz w:val="26"/>
                <w:szCs w:val="26"/>
                <w:vertAlign w:val="superscript"/>
              </w:rPr>
              <w:t> </w:t>
            </w:r>
            <w:r w:rsidRPr="007A119E">
              <w:rPr>
                <w:rFonts w:cs="Times New Roman"/>
                <w:b/>
                <w:sz w:val="26"/>
                <w:szCs w:val="26"/>
              </w:rPr>
              <w:t>punkts</w:t>
            </w:r>
            <w:r w:rsidRPr="007A119E">
              <w:rPr>
                <w:rFonts w:cs="Times New Roman"/>
                <w:sz w:val="26"/>
                <w:szCs w:val="26"/>
              </w:rPr>
              <w:t xml:space="preserve"> paredz, ka</w:t>
            </w:r>
            <w:r w:rsidRPr="007A119E">
              <w:rPr>
                <w:sz w:val="26"/>
                <w:szCs w:val="26"/>
              </w:rPr>
              <w:t xml:space="preserve"> </w:t>
            </w:r>
            <w:r w:rsidRPr="007A119E">
              <w:rPr>
                <w:rFonts w:cs="Times New Roman"/>
                <w:sz w:val="26"/>
                <w:szCs w:val="26"/>
              </w:rPr>
              <w:t xml:space="preserve">lēmuma saņēmējs neatlīdzina izdevumus, kuri </w:t>
            </w:r>
            <w:r w:rsidR="007A119E" w:rsidRPr="007A119E">
              <w:rPr>
                <w:rFonts w:cs="Times New Roman"/>
                <w:sz w:val="26"/>
                <w:szCs w:val="26"/>
              </w:rPr>
              <w:t>VID</w:t>
            </w:r>
            <w:r w:rsidRPr="007A119E">
              <w:rPr>
                <w:rFonts w:cs="Times New Roman"/>
                <w:sz w:val="26"/>
                <w:szCs w:val="26"/>
              </w:rPr>
              <w:t xml:space="preserve"> radušies par to izlaišanai apturēto vai izturēto preču glabāšanu, kuras </w:t>
            </w:r>
            <w:r w:rsidR="007A119E" w:rsidRPr="007A119E">
              <w:rPr>
                <w:rFonts w:cs="Times New Roman"/>
                <w:sz w:val="26"/>
                <w:szCs w:val="26"/>
              </w:rPr>
              <w:t>VID</w:t>
            </w:r>
            <w:r w:rsidRPr="007A119E">
              <w:rPr>
                <w:rFonts w:cs="Times New Roman"/>
                <w:sz w:val="26"/>
                <w:szCs w:val="26"/>
              </w:rPr>
              <w:t xml:space="preserve"> pārņēmis kā paraugus. Izdevumu atlīdzināšanas pienākums noteikts regul</w:t>
            </w:r>
            <w:r w:rsidR="00627B5A" w:rsidRPr="007A119E">
              <w:rPr>
                <w:rFonts w:cs="Times New Roman"/>
                <w:sz w:val="26"/>
                <w:szCs w:val="26"/>
              </w:rPr>
              <w:t>as</w:t>
            </w:r>
            <w:r w:rsidRPr="007A119E">
              <w:rPr>
                <w:rFonts w:cs="Times New Roman"/>
                <w:sz w:val="26"/>
                <w:szCs w:val="26"/>
              </w:rPr>
              <w:t xml:space="preserve"> Nr. 608/2013</w:t>
            </w:r>
            <w:r w:rsidR="00627B5A" w:rsidRPr="007A119E">
              <w:rPr>
                <w:rFonts w:cs="Times New Roman"/>
                <w:sz w:val="26"/>
                <w:szCs w:val="26"/>
              </w:rPr>
              <w:t xml:space="preserve"> 29. pantā</w:t>
            </w:r>
            <w:r w:rsidRPr="007A119E">
              <w:rPr>
                <w:rFonts w:cs="Times New Roman"/>
                <w:sz w:val="26"/>
                <w:szCs w:val="26"/>
              </w:rPr>
              <w:t>, savukārt, ja paraugi nepieciešami regulas 608/2013 25.</w:t>
            </w:r>
            <w:r w:rsidR="008B0DEF">
              <w:rPr>
                <w:rFonts w:cs="Times New Roman"/>
                <w:sz w:val="26"/>
                <w:szCs w:val="26"/>
              </w:rPr>
              <w:t> </w:t>
            </w:r>
            <w:r w:rsidR="007D2B55">
              <w:rPr>
                <w:rFonts w:cs="Times New Roman"/>
                <w:sz w:val="26"/>
                <w:szCs w:val="26"/>
              </w:rPr>
              <w:t>p</w:t>
            </w:r>
            <w:r w:rsidRPr="007A119E">
              <w:rPr>
                <w:rFonts w:cs="Times New Roman"/>
                <w:sz w:val="26"/>
                <w:szCs w:val="26"/>
              </w:rPr>
              <w:t>anta 1.</w:t>
            </w:r>
            <w:r w:rsidR="00627B5A" w:rsidRPr="007A119E">
              <w:rPr>
                <w:rFonts w:cs="Times New Roman"/>
                <w:sz w:val="26"/>
                <w:szCs w:val="26"/>
              </w:rPr>
              <w:t> </w:t>
            </w:r>
            <w:r w:rsidRPr="007A119E">
              <w:rPr>
                <w:rFonts w:cs="Times New Roman"/>
                <w:sz w:val="26"/>
                <w:szCs w:val="26"/>
              </w:rPr>
              <w:t xml:space="preserve">punkta “a” apakšpunktā minētajiem nolūkiem, būtu samērīgi, ja izdevumi, kuri </w:t>
            </w:r>
            <w:r w:rsidR="007A119E" w:rsidRPr="007A119E">
              <w:rPr>
                <w:rFonts w:cs="Times New Roman"/>
                <w:sz w:val="26"/>
                <w:szCs w:val="26"/>
              </w:rPr>
              <w:t>VID</w:t>
            </w:r>
            <w:r w:rsidRPr="007A119E">
              <w:rPr>
                <w:rFonts w:cs="Times New Roman"/>
                <w:sz w:val="26"/>
                <w:szCs w:val="26"/>
              </w:rPr>
              <w:t xml:space="preserve"> radušies par to izlaišanai apturēto vai izturēto preču glabāšanu, nebūtu jāsedz lēmuma saņēmējam</w:t>
            </w:r>
            <w:r w:rsidR="007D2B55">
              <w:rPr>
                <w:rFonts w:cs="Times New Roman"/>
                <w:sz w:val="26"/>
                <w:szCs w:val="26"/>
              </w:rPr>
              <w:t>.</w:t>
            </w:r>
            <w:r w:rsidRPr="007A119E">
              <w:rPr>
                <w:rFonts w:cs="Times New Roman"/>
                <w:sz w:val="26"/>
                <w:szCs w:val="26"/>
              </w:rPr>
              <w:t xml:space="preserve"> </w:t>
            </w:r>
            <w:r w:rsidR="007D2B55">
              <w:rPr>
                <w:rFonts w:cs="Times New Roman"/>
                <w:sz w:val="26"/>
                <w:szCs w:val="26"/>
              </w:rPr>
              <w:t>T</w:t>
            </w:r>
            <w:r w:rsidRPr="007A119E">
              <w:rPr>
                <w:rFonts w:cs="Times New Roman"/>
                <w:sz w:val="26"/>
                <w:szCs w:val="26"/>
              </w:rPr>
              <w:t>as varētu būt arī stimulators lēmuma saņēmējam ļaut izņemt preču paraugus minētajam mērķim, jo saskaņā ar regulas Nr.</w:t>
            </w:r>
            <w:r w:rsidR="008B0DEF">
              <w:rPr>
                <w:rFonts w:cs="Times New Roman"/>
                <w:sz w:val="26"/>
                <w:szCs w:val="26"/>
              </w:rPr>
              <w:t> </w:t>
            </w:r>
            <w:r w:rsidRPr="007A119E">
              <w:rPr>
                <w:rFonts w:cs="Times New Roman"/>
                <w:sz w:val="26"/>
                <w:szCs w:val="26"/>
              </w:rPr>
              <w:t xml:space="preserve">608/2013 </w:t>
            </w:r>
            <w:r w:rsidR="00627B5A" w:rsidRPr="007A119E">
              <w:rPr>
                <w:rFonts w:cs="Times New Roman"/>
                <w:sz w:val="26"/>
                <w:szCs w:val="26"/>
              </w:rPr>
              <w:t>23. panta 1.</w:t>
            </w:r>
            <w:r w:rsidR="008B0DEF">
              <w:rPr>
                <w:rFonts w:cs="Times New Roman"/>
                <w:sz w:val="26"/>
                <w:szCs w:val="26"/>
              </w:rPr>
              <w:t> </w:t>
            </w:r>
            <w:r w:rsidR="00627B5A" w:rsidRPr="007A119E">
              <w:rPr>
                <w:rFonts w:cs="Times New Roman"/>
                <w:sz w:val="26"/>
                <w:szCs w:val="26"/>
              </w:rPr>
              <w:t>punkta “a” apakšpunktu paraugu ņemšanai ir nepieciešama lēmuma saņēmēja piekrišana.</w:t>
            </w:r>
          </w:p>
          <w:p w14:paraId="02F9DF3F" w14:textId="09267BD4" w:rsidR="007A119E" w:rsidRPr="007A119E" w:rsidRDefault="00627B5A" w:rsidP="007A119E">
            <w:pPr>
              <w:spacing w:before="120"/>
              <w:ind w:left="57" w:right="57"/>
              <w:jc w:val="both"/>
              <w:rPr>
                <w:rFonts w:cs="Times New Roman"/>
                <w:sz w:val="26"/>
                <w:szCs w:val="26"/>
              </w:rPr>
            </w:pPr>
            <w:r w:rsidRPr="007A119E">
              <w:rPr>
                <w:rFonts w:cs="Times New Roman"/>
                <w:sz w:val="26"/>
                <w:szCs w:val="26"/>
              </w:rPr>
              <w:t xml:space="preserve">Noteikumu </w:t>
            </w:r>
            <w:r w:rsidR="007D2B55">
              <w:rPr>
                <w:rFonts w:cs="Times New Roman"/>
                <w:sz w:val="26"/>
                <w:szCs w:val="26"/>
              </w:rPr>
              <w:t xml:space="preserve">projekta </w:t>
            </w:r>
            <w:r w:rsidRPr="007A119E">
              <w:rPr>
                <w:rFonts w:cs="Times New Roman"/>
                <w:b/>
                <w:sz w:val="26"/>
                <w:szCs w:val="26"/>
              </w:rPr>
              <w:t>26.</w:t>
            </w:r>
            <w:r w:rsidRPr="007A119E">
              <w:rPr>
                <w:rFonts w:cs="Times New Roman"/>
                <w:b/>
                <w:sz w:val="26"/>
                <w:szCs w:val="26"/>
                <w:vertAlign w:val="superscript"/>
              </w:rPr>
              <w:t>4</w:t>
            </w:r>
            <w:r w:rsidR="008B0DEF">
              <w:rPr>
                <w:rFonts w:cs="Times New Roman"/>
                <w:b/>
                <w:sz w:val="26"/>
                <w:szCs w:val="26"/>
                <w:vertAlign w:val="superscript"/>
              </w:rPr>
              <w:t> </w:t>
            </w:r>
            <w:r w:rsidRPr="007A119E">
              <w:rPr>
                <w:rFonts w:cs="Times New Roman"/>
                <w:b/>
                <w:sz w:val="26"/>
                <w:szCs w:val="26"/>
              </w:rPr>
              <w:t>punkts</w:t>
            </w:r>
            <w:r w:rsidRPr="007A119E">
              <w:rPr>
                <w:rFonts w:cs="Times New Roman"/>
                <w:sz w:val="26"/>
                <w:szCs w:val="26"/>
              </w:rPr>
              <w:t xml:space="preserve"> paredz, ka</w:t>
            </w:r>
            <w:r w:rsidRPr="007A119E">
              <w:rPr>
                <w:sz w:val="26"/>
                <w:szCs w:val="26"/>
              </w:rPr>
              <w:t xml:space="preserve"> p</w:t>
            </w:r>
            <w:r w:rsidRPr="007A119E">
              <w:rPr>
                <w:rFonts w:cs="Times New Roman"/>
                <w:sz w:val="26"/>
                <w:szCs w:val="26"/>
              </w:rPr>
              <w:t>reču paraugus, kuri vairs nav nepieciešami šo noteikumu 26.</w:t>
            </w:r>
            <w:r w:rsidRPr="007A119E">
              <w:rPr>
                <w:rFonts w:cs="Times New Roman"/>
                <w:sz w:val="26"/>
                <w:szCs w:val="26"/>
                <w:vertAlign w:val="superscript"/>
              </w:rPr>
              <w:t>1</w:t>
            </w:r>
            <w:r w:rsidR="008B0DEF">
              <w:rPr>
                <w:rFonts w:cs="Times New Roman"/>
                <w:sz w:val="26"/>
                <w:szCs w:val="26"/>
                <w:vertAlign w:val="superscript"/>
              </w:rPr>
              <w:t> </w:t>
            </w:r>
            <w:r w:rsidRPr="007A119E">
              <w:rPr>
                <w:rFonts w:cs="Times New Roman"/>
                <w:sz w:val="26"/>
                <w:szCs w:val="26"/>
              </w:rPr>
              <w:t xml:space="preserve">punktā minētajiem nolūkiem, </w:t>
            </w:r>
            <w:r w:rsidR="007A119E" w:rsidRPr="007A119E">
              <w:rPr>
                <w:rFonts w:cs="Times New Roman"/>
                <w:sz w:val="26"/>
                <w:szCs w:val="26"/>
              </w:rPr>
              <w:t>VID</w:t>
            </w:r>
            <w:r w:rsidRPr="007A119E">
              <w:rPr>
                <w:rFonts w:cs="Times New Roman"/>
                <w:sz w:val="26"/>
                <w:szCs w:val="26"/>
              </w:rPr>
              <w:t xml:space="preserve"> iznīcina par saviem līdzekļiem, par iznīcināšanu sastādot aktu. </w:t>
            </w:r>
          </w:p>
          <w:p w14:paraId="5D7605D7" w14:textId="505BEEBF" w:rsidR="007A119E" w:rsidRPr="007A119E" w:rsidRDefault="00627B5A" w:rsidP="007A119E">
            <w:pPr>
              <w:spacing w:before="120"/>
              <w:ind w:left="57" w:right="57"/>
              <w:jc w:val="both"/>
              <w:rPr>
                <w:rFonts w:eastAsia="Times New Roman" w:cs="Times New Roman"/>
                <w:sz w:val="26"/>
                <w:szCs w:val="26"/>
                <w:lang w:eastAsia="lv-LV"/>
              </w:rPr>
            </w:pPr>
            <w:r w:rsidRPr="007A119E">
              <w:rPr>
                <w:rFonts w:cs="Times New Roman"/>
                <w:sz w:val="26"/>
                <w:szCs w:val="26"/>
              </w:rPr>
              <w:t xml:space="preserve">Noteikumu </w:t>
            </w:r>
            <w:r w:rsidR="007D2B55">
              <w:rPr>
                <w:rFonts w:cs="Times New Roman"/>
                <w:sz w:val="26"/>
                <w:szCs w:val="26"/>
              </w:rPr>
              <w:t xml:space="preserve">projekta </w:t>
            </w:r>
            <w:r w:rsidRPr="007A119E">
              <w:rPr>
                <w:rFonts w:cs="Times New Roman"/>
                <w:b/>
                <w:sz w:val="26"/>
                <w:szCs w:val="26"/>
              </w:rPr>
              <w:t>26.</w:t>
            </w:r>
            <w:r w:rsidRPr="007A119E">
              <w:rPr>
                <w:rFonts w:cs="Times New Roman"/>
                <w:b/>
                <w:sz w:val="26"/>
                <w:szCs w:val="26"/>
                <w:vertAlign w:val="superscript"/>
              </w:rPr>
              <w:t>5</w:t>
            </w:r>
            <w:r w:rsidR="008B0DEF">
              <w:rPr>
                <w:rFonts w:cs="Times New Roman"/>
                <w:b/>
                <w:sz w:val="26"/>
                <w:szCs w:val="26"/>
                <w:vertAlign w:val="superscript"/>
              </w:rPr>
              <w:t> </w:t>
            </w:r>
            <w:r w:rsidRPr="007A119E">
              <w:rPr>
                <w:rFonts w:cs="Times New Roman"/>
                <w:b/>
                <w:sz w:val="26"/>
                <w:szCs w:val="26"/>
              </w:rPr>
              <w:t>punkts</w:t>
            </w:r>
            <w:r w:rsidRPr="007A119E">
              <w:rPr>
                <w:rFonts w:cs="Times New Roman"/>
                <w:sz w:val="26"/>
                <w:szCs w:val="26"/>
              </w:rPr>
              <w:t xml:space="preserve"> paredz, ka</w:t>
            </w:r>
            <w:r w:rsidRPr="007A119E">
              <w:rPr>
                <w:rFonts w:eastAsia="Times New Roman" w:cs="Times New Roman"/>
                <w:sz w:val="26"/>
                <w:szCs w:val="26"/>
                <w:lang w:eastAsia="lv-LV"/>
              </w:rPr>
              <w:t xml:space="preserve"> lēmuma saņēmējs uzglabā preču paraugus, kuri lēmuma saņēmējam izsniegti Regulas Nr.</w:t>
            </w:r>
            <w:r w:rsidR="008B0DEF">
              <w:rPr>
                <w:rFonts w:eastAsia="Times New Roman" w:cs="Times New Roman"/>
                <w:sz w:val="26"/>
                <w:szCs w:val="26"/>
                <w:lang w:eastAsia="lv-LV"/>
              </w:rPr>
              <w:t> </w:t>
            </w:r>
            <w:r w:rsidRPr="007A119E">
              <w:rPr>
                <w:rFonts w:eastAsia="Times New Roman" w:cs="Times New Roman"/>
                <w:sz w:val="26"/>
                <w:szCs w:val="26"/>
                <w:lang w:eastAsia="lv-LV"/>
              </w:rPr>
              <w:t>608/2013 19. panta 2. punktā paredzētajām vajadzībām, ja tie nav neglābjami zuduši pāraugu izpētes procesā, līdz galīgā lēmuma attiecībā uz precēm, kuru izlaišana ir apturēta vai kuras ir aizturētas, spēkā stāšanās brīdim. Šīs normas mērķis ir tiesiskās skaidrības nolūkos noteikt kārtību, kādā rīkoties ar paraugiem, kad ir veikta to izpēte</w:t>
            </w:r>
            <w:r w:rsidR="00D10124" w:rsidRPr="007A119E">
              <w:rPr>
                <w:rFonts w:eastAsia="Times New Roman" w:cs="Times New Roman"/>
                <w:sz w:val="26"/>
                <w:szCs w:val="26"/>
                <w:lang w:eastAsia="lv-LV"/>
              </w:rPr>
              <w:t>, tai skaitā novērst iespējamās viedokļu atšķirības par to, kurai personai pēc paraugu izpētes tos būtu pienākums uzglabāt.</w:t>
            </w:r>
          </w:p>
          <w:p w14:paraId="54D36E06" w14:textId="1957CA53" w:rsidR="007A119E" w:rsidRPr="007A119E" w:rsidRDefault="00D10124" w:rsidP="007A119E">
            <w:pPr>
              <w:spacing w:before="120"/>
              <w:ind w:left="57" w:right="57"/>
              <w:jc w:val="both"/>
              <w:rPr>
                <w:rFonts w:eastAsia="Times New Roman" w:cs="Times New Roman"/>
                <w:sz w:val="26"/>
                <w:szCs w:val="26"/>
                <w:lang w:eastAsia="lv-LV"/>
              </w:rPr>
            </w:pPr>
            <w:r w:rsidRPr="007A119E">
              <w:rPr>
                <w:rFonts w:cs="Times New Roman"/>
                <w:sz w:val="26"/>
                <w:szCs w:val="26"/>
              </w:rPr>
              <w:t xml:space="preserve">Noteikumu </w:t>
            </w:r>
            <w:r w:rsidR="007D2B55">
              <w:rPr>
                <w:rFonts w:cs="Times New Roman"/>
                <w:sz w:val="26"/>
                <w:szCs w:val="26"/>
              </w:rPr>
              <w:t xml:space="preserve">projekta </w:t>
            </w:r>
            <w:r w:rsidRPr="007A119E">
              <w:rPr>
                <w:rFonts w:cs="Times New Roman"/>
                <w:b/>
                <w:sz w:val="26"/>
                <w:szCs w:val="26"/>
              </w:rPr>
              <w:t>26.</w:t>
            </w:r>
            <w:r w:rsidRPr="007A119E">
              <w:rPr>
                <w:rFonts w:cs="Times New Roman"/>
                <w:b/>
                <w:sz w:val="26"/>
                <w:szCs w:val="26"/>
                <w:vertAlign w:val="superscript"/>
              </w:rPr>
              <w:t>6</w:t>
            </w:r>
            <w:r w:rsidR="008B0DEF">
              <w:rPr>
                <w:rFonts w:cs="Times New Roman"/>
                <w:b/>
                <w:sz w:val="26"/>
                <w:szCs w:val="26"/>
                <w:vertAlign w:val="superscript"/>
              </w:rPr>
              <w:t> </w:t>
            </w:r>
            <w:r w:rsidRPr="007A119E">
              <w:rPr>
                <w:rFonts w:cs="Times New Roman"/>
                <w:b/>
                <w:sz w:val="26"/>
                <w:szCs w:val="26"/>
              </w:rPr>
              <w:t>punkts</w:t>
            </w:r>
            <w:r w:rsidRPr="007A119E">
              <w:rPr>
                <w:rFonts w:cs="Times New Roman"/>
                <w:sz w:val="26"/>
                <w:szCs w:val="26"/>
              </w:rPr>
              <w:t xml:space="preserve"> paredz, j</w:t>
            </w:r>
            <w:r w:rsidRPr="007A119E">
              <w:rPr>
                <w:rFonts w:eastAsia="Times New Roman" w:cs="Times New Roman"/>
                <w:sz w:val="26"/>
                <w:szCs w:val="26"/>
                <w:lang w:eastAsia="lv-LV"/>
              </w:rPr>
              <w:t>a preces tiek izlaistas vai to aizturēšana tiek izbeigta, lēmuma saņēmējs šo noteikumu 26.</w:t>
            </w:r>
            <w:r w:rsidRPr="007A119E">
              <w:rPr>
                <w:rFonts w:eastAsia="Times New Roman" w:cs="Times New Roman"/>
                <w:sz w:val="26"/>
                <w:szCs w:val="26"/>
                <w:vertAlign w:val="superscript"/>
                <w:lang w:eastAsia="lv-LV"/>
              </w:rPr>
              <w:t>5</w:t>
            </w:r>
            <w:r w:rsidR="008B0DEF">
              <w:rPr>
                <w:rFonts w:eastAsia="Times New Roman" w:cs="Times New Roman"/>
                <w:sz w:val="26"/>
                <w:szCs w:val="26"/>
                <w:vertAlign w:val="superscript"/>
                <w:lang w:eastAsia="lv-LV"/>
              </w:rPr>
              <w:t> </w:t>
            </w:r>
            <w:r w:rsidRPr="007A119E">
              <w:rPr>
                <w:rFonts w:eastAsia="Times New Roman" w:cs="Times New Roman"/>
                <w:sz w:val="26"/>
                <w:szCs w:val="26"/>
                <w:lang w:eastAsia="lv-LV"/>
              </w:rPr>
              <w:t xml:space="preserve">punktā minētās preces 10 darbadienu laikā pēc lēmuma </w:t>
            </w:r>
            <w:r w:rsidRPr="007A119E">
              <w:rPr>
                <w:rFonts w:eastAsia="Times New Roman" w:cs="Times New Roman"/>
                <w:sz w:val="26"/>
                <w:szCs w:val="26"/>
                <w:lang w:eastAsia="lv-LV"/>
              </w:rPr>
              <w:lastRenderedPageBreak/>
              <w:t xml:space="preserve">par preču izlaišanu vai apturēšanas izbeigšanu spēkā stāšanās nodod </w:t>
            </w:r>
            <w:r w:rsidR="007A119E" w:rsidRPr="007A119E">
              <w:rPr>
                <w:rFonts w:eastAsia="Times New Roman" w:cs="Times New Roman"/>
                <w:sz w:val="26"/>
                <w:szCs w:val="26"/>
                <w:lang w:eastAsia="lv-LV"/>
              </w:rPr>
              <w:t>VID</w:t>
            </w:r>
            <w:r w:rsidRPr="007A119E">
              <w:rPr>
                <w:rFonts w:eastAsia="Times New Roman" w:cs="Times New Roman"/>
                <w:sz w:val="26"/>
                <w:szCs w:val="26"/>
                <w:lang w:eastAsia="lv-LV"/>
              </w:rPr>
              <w:t xml:space="preserve">. </w:t>
            </w:r>
            <w:r w:rsidR="007A119E" w:rsidRPr="007A119E">
              <w:rPr>
                <w:rFonts w:eastAsia="Times New Roman" w:cs="Times New Roman"/>
                <w:sz w:val="26"/>
                <w:szCs w:val="26"/>
                <w:lang w:eastAsia="lv-LV"/>
              </w:rPr>
              <w:t>VID</w:t>
            </w:r>
            <w:r w:rsidRPr="007A119E">
              <w:rPr>
                <w:rFonts w:eastAsia="Times New Roman" w:cs="Times New Roman"/>
                <w:sz w:val="26"/>
                <w:szCs w:val="26"/>
                <w:lang w:eastAsia="lv-LV"/>
              </w:rPr>
              <w:t xml:space="preserve"> par to sastāda nodošanas pieņemšanas aktu, kura viena eksemplāru izsniedz lēmuma saņēmējam. Normas mērķis ir tiesiskās skaidrības nolūkos noteikt lēmuma saņēmēja pienākumu attiecībā uz rīcību ar tādu preču paraugiem, attiecībā uz kurām netiek konstatēts intelektuālā īpašuma tiesību pārkāpums.</w:t>
            </w:r>
          </w:p>
          <w:p w14:paraId="3A93854D" w14:textId="5F3D4FB7" w:rsidR="007A119E" w:rsidRDefault="00D10124" w:rsidP="007A119E">
            <w:pPr>
              <w:spacing w:before="120"/>
              <w:ind w:left="57" w:right="57"/>
              <w:jc w:val="both"/>
              <w:rPr>
                <w:rFonts w:eastAsia="Times New Roman" w:cs="Times New Roman"/>
                <w:sz w:val="26"/>
                <w:szCs w:val="26"/>
                <w:lang w:eastAsia="lv-LV"/>
              </w:rPr>
            </w:pPr>
            <w:r w:rsidRPr="007A119E">
              <w:rPr>
                <w:rFonts w:cs="Times New Roman"/>
                <w:sz w:val="26"/>
                <w:szCs w:val="26"/>
              </w:rPr>
              <w:t xml:space="preserve">Noteikumu </w:t>
            </w:r>
            <w:r w:rsidR="007D2B55">
              <w:rPr>
                <w:rFonts w:cs="Times New Roman"/>
                <w:sz w:val="26"/>
                <w:szCs w:val="26"/>
              </w:rPr>
              <w:t xml:space="preserve">projekta </w:t>
            </w:r>
            <w:r w:rsidRPr="007A119E">
              <w:rPr>
                <w:rFonts w:cs="Times New Roman"/>
                <w:b/>
                <w:sz w:val="26"/>
                <w:szCs w:val="26"/>
              </w:rPr>
              <w:t>26.</w:t>
            </w:r>
            <w:r w:rsidRPr="007A119E">
              <w:rPr>
                <w:rFonts w:cs="Times New Roman"/>
                <w:b/>
                <w:sz w:val="26"/>
                <w:szCs w:val="26"/>
                <w:vertAlign w:val="superscript"/>
              </w:rPr>
              <w:t>7</w:t>
            </w:r>
            <w:r w:rsidR="000C172B">
              <w:rPr>
                <w:rFonts w:cs="Times New Roman"/>
                <w:b/>
                <w:sz w:val="26"/>
                <w:szCs w:val="26"/>
              </w:rPr>
              <w:t> p</w:t>
            </w:r>
            <w:r w:rsidRPr="007A119E">
              <w:rPr>
                <w:rFonts w:cs="Times New Roman"/>
                <w:b/>
                <w:sz w:val="26"/>
                <w:szCs w:val="26"/>
              </w:rPr>
              <w:t>unkts</w:t>
            </w:r>
            <w:r w:rsidRPr="007A119E">
              <w:rPr>
                <w:rFonts w:cs="Times New Roman"/>
                <w:sz w:val="26"/>
                <w:szCs w:val="26"/>
              </w:rPr>
              <w:t xml:space="preserve"> paredz, k</w:t>
            </w:r>
            <w:r w:rsidRPr="007A119E">
              <w:rPr>
                <w:rFonts w:eastAsia="Times New Roman" w:cs="Times New Roman"/>
                <w:sz w:val="26"/>
                <w:szCs w:val="26"/>
                <w:lang w:eastAsia="lv-LV"/>
              </w:rPr>
              <w:t>a</w:t>
            </w:r>
            <w:r w:rsidRPr="007A119E">
              <w:rPr>
                <w:sz w:val="26"/>
                <w:szCs w:val="26"/>
              </w:rPr>
              <w:t xml:space="preserve"> </w:t>
            </w:r>
            <w:r w:rsidR="007A119E">
              <w:rPr>
                <w:rFonts w:eastAsia="Times New Roman" w:cs="Times New Roman"/>
                <w:sz w:val="26"/>
                <w:szCs w:val="26"/>
                <w:lang w:eastAsia="lv-LV"/>
              </w:rPr>
              <w:t>VID</w:t>
            </w:r>
            <w:r w:rsidRPr="007A119E">
              <w:rPr>
                <w:rFonts w:eastAsia="Times New Roman" w:cs="Times New Roman"/>
                <w:sz w:val="26"/>
                <w:szCs w:val="26"/>
                <w:lang w:eastAsia="lv-LV"/>
              </w:rPr>
              <w:t xml:space="preserve">  desmit darbdienu laikā pēc  šo noteikumu 26.</w:t>
            </w:r>
            <w:r w:rsidRPr="007A119E">
              <w:rPr>
                <w:rFonts w:eastAsia="Times New Roman" w:cs="Times New Roman"/>
                <w:sz w:val="26"/>
                <w:szCs w:val="26"/>
                <w:vertAlign w:val="superscript"/>
                <w:lang w:eastAsia="lv-LV"/>
              </w:rPr>
              <w:t>6</w:t>
            </w:r>
            <w:r w:rsidR="000C172B">
              <w:rPr>
                <w:rFonts w:eastAsia="Times New Roman" w:cs="Times New Roman"/>
                <w:sz w:val="26"/>
                <w:szCs w:val="26"/>
                <w:lang w:eastAsia="lv-LV"/>
              </w:rPr>
              <w:t> </w:t>
            </w:r>
            <w:r w:rsidRPr="007A119E">
              <w:rPr>
                <w:rFonts w:eastAsia="Times New Roman" w:cs="Times New Roman"/>
                <w:sz w:val="26"/>
                <w:szCs w:val="26"/>
                <w:lang w:eastAsia="lv-LV"/>
              </w:rPr>
              <w:t>punktā minēto preču pārņemšanas informē preču deklarētāju vai valdītāju par iespēju saņemt minētās preces.</w:t>
            </w:r>
          </w:p>
          <w:p w14:paraId="311542C8" w14:textId="3E3BDABB" w:rsidR="007A119E" w:rsidRDefault="00A16A20" w:rsidP="007A119E">
            <w:pPr>
              <w:spacing w:before="120"/>
              <w:ind w:left="57" w:right="57"/>
              <w:jc w:val="both"/>
              <w:rPr>
                <w:rFonts w:eastAsia="Times New Roman" w:cs="Times New Roman"/>
                <w:sz w:val="26"/>
                <w:szCs w:val="26"/>
                <w:lang w:eastAsia="lv-LV"/>
              </w:rPr>
            </w:pPr>
            <w:r w:rsidRPr="007A119E">
              <w:rPr>
                <w:rFonts w:cs="Times New Roman"/>
                <w:sz w:val="26"/>
                <w:szCs w:val="26"/>
              </w:rPr>
              <w:t xml:space="preserve">Noteikumu </w:t>
            </w:r>
            <w:r w:rsidR="007D2B55">
              <w:rPr>
                <w:rFonts w:cs="Times New Roman"/>
                <w:sz w:val="26"/>
                <w:szCs w:val="26"/>
              </w:rPr>
              <w:t xml:space="preserve">projekta </w:t>
            </w:r>
            <w:r w:rsidRPr="007A119E">
              <w:rPr>
                <w:rFonts w:cs="Times New Roman"/>
                <w:b/>
                <w:sz w:val="26"/>
                <w:szCs w:val="26"/>
              </w:rPr>
              <w:t>26.</w:t>
            </w:r>
            <w:r w:rsidRPr="007A119E">
              <w:rPr>
                <w:rFonts w:cs="Times New Roman"/>
                <w:b/>
                <w:sz w:val="26"/>
                <w:szCs w:val="26"/>
                <w:vertAlign w:val="superscript"/>
              </w:rPr>
              <w:t>8</w:t>
            </w:r>
            <w:r w:rsidR="000C172B">
              <w:rPr>
                <w:rFonts w:cs="Times New Roman"/>
                <w:b/>
                <w:sz w:val="26"/>
                <w:szCs w:val="26"/>
                <w:vertAlign w:val="superscript"/>
              </w:rPr>
              <w:t> </w:t>
            </w:r>
            <w:r w:rsidRPr="007A119E">
              <w:rPr>
                <w:rFonts w:cs="Times New Roman"/>
                <w:b/>
                <w:sz w:val="26"/>
                <w:szCs w:val="26"/>
              </w:rPr>
              <w:t>punkts</w:t>
            </w:r>
            <w:r w:rsidRPr="007A119E">
              <w:rPr>
                <w:rFonts w:cs="Times New Roman"/>
                <w:sz w:val="26"/>
                <w:szCs w:val="26"/>
              </w:rPr>
              <w:t xml:space="preserve"> paredz, ka p</w:t>
            </w:r>
            <w:r w:rsidRPr="007A119E">
              <w:rPr>
                <w:rFonts w:eastAsia="Times New Roman" w:cs="Times New Roman"/>
                <w:sz w:val="26"/>
                <w:szCs w:val="26"/>
                <w:lang w:eastAsia="lv-LV"/>
              </w:rPr>
              <w:t xml:space="preserve">reču deklarētājam vai valdītājam ir pienākums desmit darbdienu laikā pēc tam, kad </w:t>
            </w:r>
            <w:r w:rsidR="007A119E">
              <w:rPr>
                <w:rFonts w:eastAsia="Times New Roman" w:cs="Times New Roman"/>
                <w:sz w:val="26"/>
                <w:szCs w:val="26"/>
                <w:lang w:eastAsia="lv-LV"/>
              </w:rPr>
              <w:t>VID</w:t>
            </w:r>
            <w:r w:rsidRPr="007A119E">
              <w:rPr>
                <w:rFonts w:eastAsia="Times New Roman" w:cs="Times New Roman"/>
                <w:sz w:val="26"/>
                <w:szCs w:val="26"/>
                <w:lang w:eastAsia="lv-LV"/>
              </w:rPr>
              <w:t xml:space="preserve"> ir paziņojis par iespēju saņemt šo noteikumu 26.</w:t>
            </w:r>
            <w:r w:rsidRPr="007A119E">
              <w:rPr>
                <w:rFonts w:eastAsia="Times New Roman" w:cs="Times New Roman"/>
                <w:sz w:val="26"/>
                <w:szCs w:val="26"/>
                <w:vertAlign w:val="superscript"/>
                <w:lang w:eastAsia="lv-LV"/>
              </w:rPr>
              <w:t>6</w:t>
            </w:r>
            <w:r w:rsidR="000C172B">
              <w:rPr>
                <w:rFonts w:eastAsia="Times New Roman" w:cs="Times New Roman"/>
                <w:sz w:val="26"/>
                <w:szCs w:val="26"/>
                <w:lang w:eastAsia="lv-LV"/>
              </w:rPr>
              <w:t> </w:t>
            </w:r>
            <w:r w:rsidRPr="007A119E">
              <w:rPr>
                <w:rFonts w:eastAsia="Times New Roman" w:cs="Times New Roman"/>
                <w:sz w:val="26"/>
                <w:szCs w:val="26"/>
                <w:lang w:eastAsia="lv-LV"/>
              </w:rPr>
              <w:t xml:space="preserve">punktā minētās preces, pārņemt tās no </w:t>
            </w:r>
            <w:r w:rsidR="007A119E">
              <w:rPr>
                <w:rFonts w:eastAsia="Times New Roman" w:cs="Times New Roman"/>
                <w:sz w:val="26"/>
                <w:szCs w:val="26"/>
                <w:lang w:eastAsia="lv-LV"/>
              </w:rPr>
              <w:t>VID</w:t>
            </w:r>
            <w:r w:rsidRPr="007A119E">
              <w:rPr>
                <w:rFonts w:eastAsia="Times New Roman" w:cs="Times New Roman"/>
                <w:sz w:val="26"/>
                <w:szCs w:val="26"/>
                <w:lang w:eastAsia="lv-LV"/>
              </w:rPr>
              <w:t xml:space="preserve">. Par preču nodošanu deklarētājam vai valdītājam Valsts ieņēmumu dienests  sastāda preču nodošanas – pieņemšanas aktu. </w:t>
            </w:r>
          </w:p>
          <w:p w14:paraId="31BE7732" w14:textId="77777777" w:rsidR="00AA3119" w:rsidRDefault="00A16A20" w:rsidP="00AA3119">
            <w:pPr>
              <w:spacing w:before="120"/>
              <w:ind w:left="57" w:right="57"/>
              <w:jc w:val="both"/>
              <w:rPr>
                <w:rFonts w:eastAsia="Times New Roman" w:cs="Times New Roman"/>
                <w:sz w:val="26"/>
                <w:szCs w:val="26"/>
                <w:lang w:eastAsia="lv-LV"/>
              </w:rPr>
            </w:pPr>
            <w:r w:rsidRPr="007A119E">
              <w:rPr>
                <w:rFonts w:cs="Times New Roman"/>
                <w:sz w:val="26"/>
                <w:szCs w:val="26"/>
              </w:rPr>
              <w:t xml:space="preserve">Noteikumu </w:t>
            </w:r>
            <w:r w:rsidR="007D2B55">
              <w:rPr>
                <w:rFonts w:cs="Times New Roman"/>
                <w:sz w:val="26"/>
                <w:szCs w:val="26"/>
              </w:rPr>
              <w:t xml:space="preserve">projekta </w:t>
            </w:r>
            <w:r w:rsidRPr="007A119E">
              <w:rPr>
                <w:rFonts w:cs="Times New Roman"/>
                <w:b/>
                <w:sz w:val="26"/>
                <w:szCs w:val="26"/>
              </w:rPr>
              <w:t>26.</w:t>
            </w:r>
            <w:r w:rsidRPr="007A119E">
              <w:rPr>
                <w:rFonts w:cs="Times New Roman"/>
                <w:b/>
                <w:sz w:val="26"/>
                <w:szCs w:val="26"/>
                <w:vertAlign w:val="superscript"/>
              </w:rPr>
              <w:t>9</w:t>
            </w:r>
            <w:r w:rsidR="000C172B">
              <w:rPr>
                <w:rFonts w:cs="Times New Roman"/>
                <w:b/>
                <w:sz w:val="26"/>
                <w:szCs w:val="26"/>
                <w:vertAlign w:val="superscript"/>
              </w:rPr>
              <w:t> </w:t>
            </w:r>
            <w:r w:rsidRPr="007A119E">
              <w:rPr>
                <w:rFonts w:cs="Times New Roman"/>
                <w:b/>
                <w:sz w:val="26"/>
                <w:szCs w:val="26"/>
              </w:rPr>
              <w:t>punkts</w:t>
            </w:r>
            <w:r w:rsidRPr="007A119E">
              <w:rPr>
                <w:rFonts w:cs="Times New Roman"/>
                <w:sz w:val="26"/>
                <w:szCs w:val="26"/>
              </w:rPr>
              <w:t xml:space="preserve"> paredz,</w:t>
            </w:r>
            <w:r w:rsidRPr="007A119E">
              <w:rPr>
                <w:rFonts w:eastAsia="Times New Roman" w:cs="Times New Roman"/>
                <w:sz w:val="26"/>
                <w:szCs w:val="26"/>
                <w:lang w:eastAsia="lv-LV"/>
              </w:rPr>
              <w:t xml:space="preserve"> ja preču deklarētājs vai valdītājs šo noteikumu 26.</w:t>
            </w:r>
            <w:r w:rsidRPr="007A119E">
              <w:rPr>
                <w:rFonts w:eastAsia="Times New Roman" w:cs="Times New Roman"/>
                <w:sz w:val="26"/>
                <w:szCs w:val="26"/>
                <w:vertAlign w:val="superscript"/>
                <w:lang w:eastAsia="lv-LV"/>
              </w:rPr>
              <w:t>8</w:t>
            </w:r>
            <w:r w:rsidR="000C172B">
              <w:rPr>
                <w:rFonts w:eastAsia="Times New Roman" w:cs="Times New Roman"/>
                <w:sz w:val="26"/>
                <w:szCs w:val="26"/>
                <w:vertAlign w:val="superscript"/>
                <w:lang w:eastAsia="lv-LV"/>
              </w:rPr>
              <w:t> </w:t>
            </w:r>
            <w:r w:rsidRPr="007A119E">
              <w:rPr>
                <w:rFonts w:eastAsia="Times New Roman" w:cs="Times New Roman"/>
                <w:sz w:val="26"/>
                <w:szCs w:val="26"/>
                <w:lang w:eastAsia="lv-LV"/>
              </w:rPr>
              <w:t>punktā minētajā termiņā nepārņem šo noteikumu 26.</w:t>
            </w:r>
            <w:r w:rsidRPr="007A119E">
              <w:rPr>
                <w:rFonts w:eastAsia="Times New Roman" w:cs="Times New Roman"/>
                <w:sz w:val="26"/>
                <w:szCs w:val="26"/>
                <w:vertAlign w:val="superscript"/>
                <w:lang w:eastAsia="lv-LV"/>
              </w:rPr>
              <w:t>6</w:t>
            </w:r>
            <w:r w:rsidR="000C172B">
              <w:rPr>
                <w:rFonts w:eastAsia="Times New Roman" w:cs="Times New Roman"/>
                <w:sz w:val="26"/>
                <w:szCs w:val="26"/>
                <w:lang w:eastAsia="lv-LV"/>
              </w:rPr>
              <w:t> </w:t>
            </w:r>
            <w:r w:rsidRPr="007A119E">
              <w:rPr>
                <w:rFonts w:eastAsia="Times New Roman" w:cs="Times New Roman"/>
                <w:sz w:val="26"/>
                <w:szCs w:val="26"/>
                <w:lang w:eastAsia="lv-LV"/>
              </w:rPr>
              <w:t xml:space="preserve">punktā minētās preces, </w:t>
            </w:r>
            <w:r w:rsidR="007A119E">
              <w:rPr>
                <w:rFonts w:eastAsia="Times New Roman" w:cs="Times New Roman"/>
                <w:sz w:val="26"/>
                <w:szCs w:val="26"/>
                <w:lang w:eastAsia="lv-LV"/>
              </w:rPr>
              <w:t>VID</w:t>
            </w:r>
            <w:r w:rsidRPr="007A119E">
              <w:rPr>
                <w:rFonts w:eastAsia="Times New Roman" w:cs="Times New Roman"/>
                <w:sz w:val="26"/>
                <w:szCs w:val="26"/>
                <w:lang w:eastAsia="lv-LV"/>
              </w:rPr>
              <w:t xml:space="preserve"> rīkojas ar precēm regulas Nr.</w:t>
            </w:r>
            <w:r w:rsidR="000C172B">
              <w:rPr>
                <w:rFonts w:eastAsia="Times New Roman" w:cs="Times New Roman"/>
                <w:sz w:val="26"/>
                <w:szCs w:val="26"/>
                <w:lang w:eastAsia="lv-LV"/>
              </w:rPr>
              <w:t> </w:t>
            </w:r>
            <w:r w:rsidRPr="007A119E">
              <w:rPr>
                <w:rFonts w:eastAsia="Times New Roman" w:cs="Times New Roman"/>
                <w:sz w:val="26"/>
                <w:szCs w:val="26"/>
                <w:lang w:eastAsia="lv-LV"/>
              </w:rPr>
              <w:t xml:space="preserve">952/2013 198. pantā paredzētajā kārtībā. Šādos gadījumos </w:t>
            </w:r>
            <w:r w:rsidR="007A119E">
              <w:rPr>
                <w:rFonts w:eastAsia="Times New Roman" w:cs="Times New Roman"/>
                <w:sz w:val="26"/>
                <w:szCs w:val="26"/>
                <w:lang w:eastAsia="lv-LV"/>
              </w:rPr>
              <w:t>VID</w:t>
            </w:r>
            <w:r w:rsidRPr="007A119E">
              <w:rPr>
                <w:rFonts w:eastAsia="Times New Roman" w:cs="Times New Roman"/>
                <w:sz w:val="26"/>
                <w:szCs w:val="26"/>
                <w:lang w:eastAsia="lv-LV"/>
              </w:rPr>
              <w:t xml:space="preserve"> preces konfiscēs. </w:t>
            </w:r>
          </w:p>
          <w:p w14:paraId="2FBBF666" w14:textId="23D8082D" w:rsidR="008F3610" w:rsidRPr="007A119E" w:rsidRDefault="00FF78D4" w:rsidP="00AA3119">
            <w:pPr>
              <w:spacing w:before="120"/>
              <w:ind w:left="57" w:right="57"/>
              <w:jc w:val="both"/>
              <w:rPr>
                <w:sz w:val="26"/>
                <w:szCs w:val="26"/>
              </w:rPr>
            </w:pPr>
            <w:r w:rsidRPr="007A119E">
              <w:rPr>
                <w:rFonts w:cs="Times New Roman"/>
                <w:sz w:val="26"/>
                <w:szCs w:val="26"/>
              </w:rPr>
              <w:t xml:space="preserve">Saskaņā ar likumprojekta “Grozījumi Muitas likumā </w:t>
            </w:r>
            <w:r w:rsidRPr="00AA3119">
              <w:rPr>
                <w:rFonts w:cs="Times New Roman"/>
                <w:sz w:val="26"/>
                <w:szCs w:val="26"/>
              </w:rPr>
              <w:t>(</w:t>
            </w:r>
            <w:r w:rsidR="00AA3119" w:rsidRPr="00AA3119">
              <w:rPr>
                <w:rFonts w:cs="Times New Roman"/>
                <w:sz w:val="26"/>
                <w:szCs w:val="26"/>
              </w:rPr>
              <w:t>1016</w:t>
            </w:r>
            <w:r w:rsidRPr="00AA3119">
              <w:rPr>
                <w:rFonts w:cs="Times New Roman"/>
                <w:sz w:val="26"/>
                <w:szCs w:val="26"/>
              </w:rPr>
              <w:t>/Lp13)</w:t>
            </w:r>
            <w:r w:rsidRPr="007A119E">
              <w:rPr>
                <w:rFonts w:cs="Times New Roman"/>
                <w:sz w:val="26"/>
                <w:szCs w:val="26"/>
              </w:rPr>
              <w:t xml:space="preserve"> 15.</w:t>
            </w:r>
            <w:r w:rsidR="000C172B">
              <w:rPr>
                <w:rFonts w:cs="Times New Roman"/>
                <w:sz w:val="26"/>
                <w:szCs w:val="26"/>
              </w:rPr>
              <w:t> </w:t>
            </w:r>
            <w:r w:rsidRPr="007A119E">
              <w:rPr>
                <w:rFonts w:cs="Times New Roman"/>
                <w:sz w:val="26"/>
                <w:szCs w:val="26"/>
              </w:rPr>
              <w:t xml:space="preserve">pantu, kā arī ar </w:t>
            </w:r>
            <w:r w:rsidR="00AA3119">
              <w:rPr>
                <w:rFonts w:cs="Times New Roman"/>
                <w:b/>
                <w:sz w:val="26"/>
                <w:szCs w:val="26"/>
              </w:rPr>
              <w:t xml:space="preserve">noteikumu projekta </w:t>
            </w:r>
            <w:r w:rsidR="008411C8">
              <w:rPr>
                <w:rFonts w:cs="Times New Roman"/>
                <w:b/>
                <w:sz w:val="26"/>
                <w:szCs w:val="26"/>
              </w:rPr>
              <w:t>2</w:t>
            </w:r>
            <w:r w:rsidRPr="007A119E">
              <w:rPr>
                <w:rFonts w:cs="Times New Roman"/>
                <w:b/>
                <w:sz w:val="26"/>
                <w:szCs w:val="26"/>
              </w:rPr>
              <w:t>.</w:t>
            </w:r>
            <w:r w:rsidR="000C172B">
              <w:rPr>
                <w:rFonts w:cs="Times New Roman"/>
                <w:b/>
                <w:sz w:val="26"/>
                <w:szCs w:val="26"/>
              </w:rPr>
              <w:t> </w:t>
            </w:r>
            <w:r w:rsidRPr="007A119E">
              <w:rPr>
                <w:rFonts w:cs="Times New Roman"/>
                <w:b/>
                <w:sz w:val="26"/>
                <w:szCs w:val="26"/>
              </w:rPr>
              <w:t>punktu</w:t>
            </w:r>
            <w:r w:rsidRPr="007A119E">
              <w:rPr>
                <w:rFonts w:cs="Times New Roman"/>
                <w:sz w:val="26"/>
                <w:szCs w:val="26"/>
              </w:rPr>
              <w:t>, grozījumi MK noteikumos Nr.</w:t>
            </w:r>
            <w:r w:rsidR="000C172B">
              <w:rPr>
                <w:rFonts w:cs="Times New Roman"/>
                <w:sz w:val="26"/>
                <w:szCs w:val="26"/>
              </w:rPr>
              <w:t> </w:t>
            </w:r>
            <w:r w:rsidRPr="007A119E">
              <w:rPr>
                <w:rFonts w:cs="Times New Roman"/>
                <w:sz w:val="26"/>
                <w:szCs w:val="26"/>
              </w:rPr>
              <w:t>46</w:t>
            </w:r>
            <w:r w:rsidR="00D4665D" w:rsidRPr="007A119E">
              <w:rPr>
                <w:rFonts w:cs="Times New Roman"/>
                <w:sz w:val="26"/>
                <w:szCs w:val="26"/>
              </w:rPr>
              <w:t>8</w:t>
            </w:r>
            <w:r w:rsidRPr="007A119E">
              <w:rPr>
                <w:rFonts w:cs="Times New Roman"/>
                <w:sz w:val="26"/>
                <w:szCs w:val="26"/>
              </w:rPr>
              <w:t xml:space="preserve"> stāsies spēkā</w:t>
            </w:r>
            <w:r w:rsidR="0010040E" w:rsidRPr="007A119E">
              <w:rPr>
                <w:rFonts w:cs="Times New Roman"/>
                <w:sz w:val="26"/>
                <w:szCs w:val="26"/>
              </w:rPr>
              <w:t xml:space="preserve"> 2021.</w:t>
            </w:r>
            <w:r w:rsidR="000C172B">
              <w:rPr>
                <w:rFonts w:cs="Times New Roman"/>
                <w:sz w:val="26"/>
                <w:szCs w:val="26"/>
              </w:rPr>
              <w:t> </w:t>
            </w:r>
            <w:r w:rsidR="0010040E" w:rsidRPr="007A119E">
              <w:rPr>
                <w:rFonts w:cs="Times New Roman"/>
                <w:sz w:val="26"/>
                <w:szCs w:val="26"/>
              </w:rPr>
              <w:t>gada 1.</w:t>
            </w:r>
            <w:r w:rsidR="000C172B">
              <w:rPr>
                <w:rFonts w:cs="Times New Roman"/>
                <w:sz w:val="26"/>
                <w:szCs w:val="26"/>
              </w:rPr>
              <w:t> </w:t>
            </w:r>
            <w:r w:rsidR="0010040E" w:rsidRPr="007A119E">
              <w:rPr>
                <w:rFonts w:cs="Times New Roman"/>
                <w:sz w:val="26"/>
                <w:szCs w:val="26"/>
              </w:rPr>
              <w:t>septembrī</w:t>
            </w:r>
            <w:r w:rsidRPr="007A119E">
              <w:rPr>
                <w:rFonts w:cs="Times New Roman"/>
                <w:sz w:val="26"/>
                <w:szCs w:val="26"/>
              </w:rPr>
              <w:t>.</w:t>
            </w:r>
            <w:r w:rsidR="00811173" w:rsidRPr="007A119E">
              <w:rPr>
                <w:rFonts w:cs="Times New Roman"/>
                <w:sz w:val="26"/>
                <w:szCs w:val="26"/>
              </w:rPr>
              <w:t xml:space="preserve"> </w:t>
            </w:r>
          </w:p>
        </w:tc>
      </w:tr>
      <w:tr w:rsidR="008F3610" w:rsidRPr="00A9403F" w14:paraId="631049B5" w14:textId="77777777" w:rsidTr="008F361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69231CE" w14:textId="28640398" w:rsidR="008F3610" w:rsidRPr="00A9403F" w:rsidRDefault="008F3610" w:rsidP="008F3610">
            <w:pPr>
              <w:rPr>
                <w:sz w:val="26"/>
                <w:szCs w:val="26"/>
              </w:rPr>
            </w:pPr>
            <w:r w:rsidRPr="00A9403F">
              <w:rPr>
                <w:sz w:val="26"/>
                <w:szCs w:val="26"/>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118DAB5E" w14:textId="77777777" w:rsidR="008F3610" w:rsidRPr="00A9403F" w:rsidRDefault="008F3610" w:rsidP="008F3610">
            <w:pPr>
              <w:rPr>
                <w:sz w:val="26"/>
                <w:szCs w:val="26"/>
              </w:rPr>
            </w:pPr>
            <w:r w:rsidRPr="00A9403F">
              <w:rPr>
                <w:sz w:val="26"/>
                <w:szCs w:val="26"/>
              </w:rPr>
              <w:t>Projekta izstrādē iesaistītās institūcijas un publiskas personas kapitālsabiedrības</w:t>
            </w:r>
          </w:p>
        </w:tc>
        <w:tc>
          <w:tcPr>
            <w:tcW w:w="2960" w:type="pct"/>
            <w:tcBorders>
              <w:top w:val="outset" w:sz="6" w:space="0" w:color="auto"/>
              <w:left w:val="outset" w:sz="6" w:space="0" w:color="auto"/>
              <w:bottom w:val="outset" w:sz="6" w:space="0" w:color="auto"/>
              <w:right w:val="outset" w:sz="6" w:space="0" w:color="auto"/>
            </w:tcBorders>
          </w:tcPr>
          <w:p w14:paraId="02F3EE79" w14:textId="2B3A0931" w:rsidR="008F3610" w:rsidRPr="00A9403F" w:rsidRDefault="008F3610">
            <w:pPr>
              <w:jc w:val="both"/>
              <w:rPr>
                <w:sz w:val="26"/>
                <w:szCs w:val="26"/>
              </w:rPr>
            </w:pPr>
            <w:r w:rsidRPr="00A9403F">
              <w:rPr>
                <w:sz w:val="26"/>
                <w:szCs w:val="26"/>
              </w:rPr>
              <w:t xml:space="preserve">Finanšu ministrija un </w:t>
            </w:r>
            <w:r w:rsidR="007D2B55">
              <w:rPr>
                <w:sz w:val="26"/>
                <w:szCs w:val="26"/>
              </w:rPr>
              <w:t>VID</w:t>
            </w:r>
            <w:r>
              <w:rPr>
                <w:sz w:val="26"/>
                <w:szCs w:val="26"/>
              </w:rPr>
              <w:t>.</w:t>
            </w:r>
          </w:p>
        </w:tc>
      </w:tr>
      <w:tr w:rsidR="008F3610" w:rsidRPr="00A9403F" w14:paraId="42594745" w14:textId="77777777" w:rsidTr="008F361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2E895FA" w14:textId="77777777" w:rsidR="008F3610" w:rsidRPr="00A9403F" w:rsidRDefault="008F3610" w:rsidP="008F3610">
            <w:pPr>
              <w:rPr>
                <w:sz w:val="26"/>
                <w:szCs w:val="26"/>
              </w:rPr>
            </w:pPr>
            <w:r w:rsidRPr="00A9403F">
              <w:rPr>
                <w:sz w:val="26"/>
                <w:szCs w:val="26"/>
              </w:rPr>
              <w:t>4.</w:t>
            </w:r>
          </w:p>
        </w:tc>
        <w:tc>
          <w:tcPr>
            <w:tcW w:w="1678" w:type="pct"/>
            <w:tcBorders>
              <w:top w:val="outset" w:sz="6" w:space="0" w:color="auto"/>
              <w:left w:val="outset" w:sz="6" w:space="0" w:color="auto"/>
              <w:bottom w:val="outset" w:sz="6" w:space="0" w:color="auto"/>
              <w:right w:val="outset" w:sz="6" w:space="0" w:color="auto"/>
            </w:tcBorders>
            <w:hideMark/>
          </w:tcPr>
          <w:p w14:paraId="2FCE4D8C" w14:textId="77777777" w:rsidR="008F3610" w:rsidRPr="00A9403F" w:rsidRDefault="008F3610" w:rsidP="008F3610">
            <w:pPr>
              <w:rPr>
                <w:sz w:val="26"/>
                <w:szCs w:val="26"/>
              </w:rPr>
            </w:pPr>
            <w:r w:rsidRPr="00A9403F">
              <w:rPr>
                <w:sz w:val="26"/>
                <w:szCs w:val="26"/>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1881B068" w14:textId="77777777" w:rsidR="008F3610" w:rsidRPr="00A9403F" w:rsidRDefault="008F3610" w:rsidP="008F3610">
            <w:pPr>
              <w:jc w:val="both"/>
              <w:rPr>
                <w:sz w:val="26"/>
                <w:szCs w:val="26"/>
              </w:rPr>
            </w:pPr>
            <w:r w:rsidRPr="00A9403F">
              <w:rPr>
                <w:sz w:val="26"/>
                <w:szCs w:val="26"/>
              </w:rPr>
              <w:t>Nav</w:t>
            </w:r>
          </w:p>
        </w:tc>
      </w:tr>
    </w:tbl>
    <w:p w14:paraId="760FF276" w14:textId="77777777" w:rsidR="00AF121C" w:rsidRPr="00A9403F" w:rsidRDefault="00AF121C" w:rsidP="00AF121C">
      <w:pPr>
        <w:rPr>
          <w:sz w:val="26"/>
          <w:szCs w:val="26"/>
        </w:rPr>
      </w:pPr>
      <w:r w:rsidRPr="00A9403F">
        <w:rPr>
          <w:sz w:val="26"/>
          <w:szCs w:val="26"/>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8"/>
        <w:gridCol w:w="3048"/>
        <w:gridCol w:w="5429"/>
      </w:tblGrid>
      <w:tr w:rsidR="00AF121C" w:rsidRPr="00A9403F" w14:paraId="08CB7FCF" w14:textId="77777777" w:rsidTr="0046514D">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CD5953F" w14:textId="77777777" w:rsidR="00AF121C" w:rsidRPr="00A9403F" w:rsidRDefault="00AF121C" w:rsidP="00727B6D">
            <w:pPr>
              <w:jc w:val="center"/>
              <w:rPr>
                <w:b/>
                <w:bCs/>
                <w:sz w:val="26"/>
                <w:szCs w:val="26"/>
              </w:rPr>
            </w:pPr>
            <w:r w:rsidRPr="00A9403F">
              <w:rPr>
                <w:b/>
                <w:bCs/>
                <w:sz w:val="26"/>
                <w:szCs w:val="26"/>
              </w:rPr>
              <w:t>II. Tiesību akta projekta ietekme uz sabiedrību, tautsaimniecības attīstību un administratīvo slogu</w:t>
            </w:r>
          </w:p>
        </w:tc>
      </w:tr>
      <w:tr w:rsidR="00AF121C" w:rsidRPr="00A9403F" w14:paraId="5B60A571" w14:textId="77777777" w:rsidTr="00686366">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1F2ED96" w14:textId="77777777" w:rsidR="00AF121C" w:rsidRPr="00A9403F" w:rsidRDefault="00AF121C" w:rsidP="0046514D">
            <w:pPr>
              <w:rPr>
                <w:sz w:val="26"/>
                <w:szCs w:val="26"/>
              </w:rPr>
            </w:pPr>
            <w:r w:rsidRPr="00A9403F">
              <w:rPr>
                <w:sz w:val="26"/>
                <w:szCs w:val="26"/>
              </w:rPr>
              <w:t>1.</w:t>
            </w:r>
          </w:p>
        </w:tc>
        <w:tc>
          <w:tcPr>
            <w:tcW w:w="1667" w:type="pct"/>
            <w:tcBorders>
              <w:top w:val="outset" w:sz="6" w:space="0" w:color="auto"/>
              <w:left w:val="outset" w:sz="6" w:space="0" w:color="auto"/>
              <w:bottom w:val="outset" w:sz="6" w:space="0" w:color="auto"/>
              <w:right w:val="outset" w:sz="6" w:space="0" w:color="auto"/>
            </w:tcBorders>
            <w:hideMark/>
          </w:tcPr>
          <w:p w14:paraId="5F914E9C" w14:textId="77777777" w:rsidR="00AF121C" w:rsidRPr="00A9403F" w:rsidRDefault="00AF121C" w:rsidP="0046514D">
            <w:pPr>
              <w:rPr>
                <w:sz w:val="26"/>
                <w:szCs w:val="26"/>
              </w:rPr>
            </w:pPr>
            <w:r w:rsidRPr="00A9403F">
              <w:rPr>
                <w:sz w:val="26"/>
                <w:szCs w:val="26"/>
              </w:rPr>
              <w:t xml:space="preserve">Sabiedrības </w:t>
            </w:r>
            <w:proofErr w:type="spellStart"/>
            <w:r w:rsidRPr="00A9403F">
              <w:rPr>
                <w:sz w:val="26"/>
                <w:szCs w:val="26"/>
              </w:rPr>
              <w:t>mērķgrupas</w:t>
            </w:r>
            <w:proofErr w:type="spellEnd"/>
            <w:r w:rsidRPr="00A9403F">
              <w:rPr>
                <w:sz w:val="26"/>
                <w:szCs w:val="26"/>
              </w:rPr>
              <w:t>, kuras tiesiskais regulējums ietekmē vai varētu ietekmēt</w:t>
            </w:r>
          </w:p>
        </w:tc>
        <w:tc>
          <w:tcPr>
            <w:tcW w:w="2974" w:type="pct"/>
            <w:tcBorders>
              <w:top w:val="outset" w:sz="6" w:space="0" w:color="auto"/>
              <w:left w:val="outset" w:sz="6" w:space="0" w:color="auto"/>
              <w:bottom w:val="outset" w:sz="6" w:space="0" w:color="auto"/>
              <w:right w:val="outset" w:sz="6" w:space="0" w:color="auto"/>
            </w:tcBorders>
          </w:tcPr>
          <w:p w14:paraId="64819C93" w14:textId="0F7ADFC3" w:rsidR="00B23C1E" w:rsidRPr="00A9403F" w:rsidRDefault="001D2FC6" w:rsidP="00050AC1">
            <w:pPr>
              <w:spacing w:before="120"/>
              <w:ind w:left="57" w:right="57"/>
              <w:jc w:val="both"/>
              <w:rPr>
                <w:sz w:val="26"/>
                <w:szCs w:val="26"/>
              </w:rPr>
            </w:pPr>
            <w:r w:rsidRPr="00F83C80">
              <w:rPr>
                <w:sz w:val="26"/>
                <w:szCs w:val="26"/>
              </w:rPr>
              <w:t>Noteikumu projekt</w:t>
            </w:r>
            <w:r w:rsidR="00050AC1">
              <w:rPr>
                <w:sz w:val="26"/>
                <w:szCs w:val="26"/>
              </w:rPr>
              <w:t>ā</w:t>
            </w:r>
            <w:r w:rsidRPr="00F83C80">
              <w:rPr>
                <w:sz w:val="26"/>
                <w:szCs w:val="26"/>
              </w:rPr>
              <w:t xml:space="preserve"> ietverto tiesību normu </w:t>
            </w:r>
            <w:proofErr w:type="spellStart"/>
            <w:r w:rsidRPr="00F83C80">
              <w:rPr>
                <w:sz w:val="26"/>
                <w:szCs w:val="26"/>
              </w:rPr>
              <w:t>mērķgrupa</w:t>
            </w:r>
            <w:proofErr w:type="spellEnd"/>
            <w:r w:rsidRPr="00F83C80">
              <w:rPr>
                <w:sz w:val="26"/>
                <w:szCs w:val="26"/>
              </w:rPr>
              <w:t xml:space="preserve"> ir personas un vienības, kurām atbilstoši Regulas Nr.</w:t>
            </w:r>
            <w:r w:rsidR="000C172B">
              <w:rPr>
                <w:sz w:val="26"/>
                <w:szCs w:val="26"/>
              </w:rPr>
              <w:t> </w:t>
            </w:r>
            <w:r w:rsidRPr="00F83C80">
              <w:rPr>
                <w:sz w:val="26"/>
                <w:szCs w:val="26"/>
              </w:rPr>
              <w:t>608/2013 3.</w:t>
            </w:r>
            <w:r w:rsidR="000C172B">
              <w:rPr>
                <w:sz w:val="26"/>
                <w:szCs w:val="26"/>
              </w:rPr>
              <w:t> </w:t>
            </w:r>
            <w:r w:rsidRPr="00F83C80">
              <w:rPr>
                <w:sz w:val="26"/>
                <w:szCs w:val="26"/>
              </w:rPr>
              <w:t xml:space="preserve">pantam ir </w:t>
            </w:r>
            <w:r w:rsidRPr="00F83C80">
              <w:rPr>
                <w:sz w:val="26"/>
                <w:szCs w:val="26"/>
              </w:rPr>
              <w:lastRenderedPageBreak/>
              <w:t>tiesības iesniegt pieprasījumus</w:t>
            </w:r>
            <w:r w:rsidRPr="00F83C80">
              <w:rPr>
                <w:iCs/>
                <w:sz w:val="26"/>
                <w:szCs w:val="26"/>
              </w:rPr>
              <w:t xml:space="preserve"> muitas iestādēm rīkoties attiecībā uz precēm, par kurām ir aizdomas, ka ar tām tiek pārkāptas intelektuālā īpašuma tiesības</w:t>
            </w:r>
            <w:r w:rsidRPr="00F83C80">
              <w:rPr>
                <w:sz w:val="26"/>
                <w:szCs w:val="26"/>
              </w:rPr>
              <w:t>, kā arī personas, kas veic darbības ar precēm, kas pakļautas  muitošanas procesam un varētu pārkāpt intelektuālā īpašuma tiesības.</w:t>
            </w:r>
          </w:p>
        </w:tc>
      </w:tr>
      <w:tr w:rsidR="00AF121C" w:rsidRPr="00A9403F" w14:paraId="06AB4C81" w14:textId="77777777" w:rsidTr="00686366">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5B7CB6D" w14:textId="77777777" w:rsidR="00AF121C" w:rsidRPr="00A9403F" w:rsidRDefault="00AF121C" w:rsidP="0046514D">
            <w:pPr>
              <w:rPr>
                <w:sz w:val="26"/>
                <w:szCs w:val="26"/>
              </w:rPr>
            </w:pPr>
            <w:r w:rsidRPr="00A9403F">
              <w:rPr>
                <w:sz w:val="26"/>
                <w:szCs w:val="26"/>
              </w:rPr>
              <w:lastRenderedPageBreak/>
              <w:t>2.</w:t>
            </w:r>
          </w:p>
        </w:tc>
        <w:tc>
          <w:tcPr>
            <w:tcW w:w="1667" w:type="pct"/>
            <w:tcBorders>
              <w:top w:val="outset" w:sz="6" w:space="0" w:color="auto"/>
              <w:left w:val="outset" w:sz="6" w:space="0" w:color="auto"/>
              <w:bottom w:val="outset" w:sz="6" w:space="0" w:color="auto"/>
              <w:right w:val="outset" w:sz="6" w:space="0" w:color="auto"/>
            </w:tcBorders>
            <w:hideMark/>
          </w:tcPr>
          <w:p w14:paraId="1703D33E" w14:textId="77777777" w:rsidR="00AF121C" w:rsidRPr="00A9403F" w:rsidRDefault="00AF121C" w:rsidP="0046514D">
            <w:pPr>
              <w:rPr>
                <w:sz w:val="26"/>
                <w:szCs w:val="26"/>
              </w:rPr>
            </w:pPr>
            <w:r w:rsidRPr="00A9403F">
              <w:rPr>
                <w:sz w:val="26"/>
                <w:szCs w:val="26"/>
              </w:rPr>
              <w:t>Tiesiskā regulējuma ietekme uz tautsaimniecību un administratīvo slogu</w:t>
            </w:r>
          </w:p>
        </w:tc>
        <w:tc>
          <w:tcPr>
            <w:tcW w:w="2974" w:type="pct"/>
            <w:tcBorders>
              <w:top w:val="outset" w:sz="6" w:space="0" w:color="auto"/>
              <w:left w:val="outset" w:sz="6" w:space="0" w:color="auto"/>
              <w:bottom w:val="outset" w:sz="6" w:space="0" w:color="auto"/>
              <w:right w:val="outset" w:sz="6" w:space="0" w:color="auto"/>
            </w:tcBorders>
            <w:hideMark/>
          </w:tcPr>
          <w:p w14:paraId="08CB9F4F" w14:textId="500813D5" w:rsidR="00D9098F" w:rsidRPr="00D70A82" w:rsidRDefault="007211A8" w:rsidP="00F84847">
            <w:pPr>
              <w:spacing w:before="120"/>
              <w:jc w:val="both"/>
              <w:rPr>
                <w:rFonts w:eastAsia="Times New Roman"/>
                <w:sz w:val="26"/>
                <w:szCs w:val="26"/>
                <w:lang w:eastAsia="lv-LV"/>
              </w:rPr>
            </w:pPr>
            <w:r w:rsidRPr="00DA0ACA">
              <w:rPr>
                <w:rFonts w:cs="Times New Roman"/>
                <w:sz w:val="26"/>
                <w:szCs w:val="26"/>
                <w:lang w:eastAsia="ar-SA"/>
              </w:rPr>
              <w:t>Noteikumu projekts neietekmē tautsaimniecību un nerada papildu administratīvo slogu</w:t>
            </w:r>
            <w:r w:rsidR="00D70A82" w:rsidRPr="00DA0ACA">
              <w:rPr>
                <w:rFonts w:cs="Times New Roman"/>
                <w:sz w:val="26"/>
                <w:szCs w:val="26"/>
                <w:lang w:eastAsia="ar-SA"/>
              </w:rPr>
              <w:t xml:space="preserve">, </w:t>
            </w:r>
            <w:r w:rsidR="00DA0ACA" w:rsidRPr="00DA0ACA">
              <w:rPr>
                <w:rFonts w:cs="Times New Roman"/>
                <w:sz w:val="26"/>
                <w:szCs w:val="26"/>
                <w:lang w:eastAsia="ar-SA"/>
              </w:rPr>
              <w:t>j</w:t>
            </w:r>
            <w:r w:rsidR="006E0CA7" w:rsidRPr="00DA0ACA">
              <w:rPr>
                <w:rFonts w:cs="Times New Roman"/>
                <w:sz w:val="26"/>
                <w:szCs w:val="26"/>
                <w:lang w:eastAsia="ar-SA"/>
              </w:rPr>
              <w:t xml:space="preserve">o </w:t>
            </w:r>
            <w:r w:rsidR="00DA0ACA" w:rsidRPr="00DA0ACA">
              <w:rPr>
                <w:rFonts w:cs="Times New Roman"/>
                <w:sz w:val="26"/>
                <w:szCs w:val="26"/>
                <w:lang w:eastAsia="ar-SA"/>
              </w:rPr>
              <w:t>ar n</w:t>
            </w:r>
            <w:r w:rsidR="006E0CA7" w:rsidRPr="00DA0ACA">
              <w:rPr>
                <w:rFonts w:cs="Times New Roman"/>
                <w:sz w:val="26"/>
                <w:szCs w:val="26"/>
                <w:lang w:eastAsia="ar-SA"/>
              </w:rPr>
              <w:t>oteikumu projekt</w:t>
            </w:r>
            <w:r w:rsidR="00DA0ACA" w:rsidRPr="00DA0ACA">
              <w:rPr>
                <w:rFonts w:cs="Times New Roman"/>
                <w:sz w:val="26"/>
                <w:szCs w:val="26"/>
                <w:lang w:eastAsia="ar-SA"/>
              </w:rPr>
              <w:t>u tiek veikti precizējumi</w:t>
            </w:r>
            <w:r w:rsidR="002B6597">
              <w:rPr>
                <w:rFonts w:cs="Times New Roman"/>
                <w:sz w:val="26"/>
                <w:szCs w:val="26"/>
                <w:lang w:eastAsia="ar-SA"/>
              </w:rPr>
              <w:t xml:space="preserve"> tiesiskajā regulējumā</w:t>
            </w:r>
            <w:r w:rsidR="00DA0ACA" w:rsidRPr="00DA0ACA">
              <w:rPr>
                <w:rFonts w:cs="Times New Roman"/>
                <w:sz w:val="26"/>
                <w:szCs w:val="26"/>
                <w:lang w:eastAsia="ar-SA"/>
              </w:rPr>
              <w:t xml:space="preserve"> atbilstoši likumprojekta “Grozījumi Muitas likumā” (</w:t>
            </w:r>
            <w:r w:rsidR="00DA0ACA" w:rsidRPr="00F84847">
              <w:rPr>
                <w:rFonts w:cs="Times New Roman"/>
                <w:sz w:val="26"/>
                <w:szCs w:val="26"/>
                <w:lang w:eastAsia="ar-SA"/>
              </w:rPr>
              <w:t>Nr.</w:t>
            </w:r>
            <w:r w:rsidR="00F84847" w:rsidRPr="00F84847">
              <w:rPr>
                <w:rFonts w:cs="Times New Roman"/>
                <w:sz w:val="26"/>
                <w:szCs w:val="26"/>
                <w:lang w:eastAsia="ar-SA"/>
              </w:rPr>
              <w:t>1016</w:t>
            </w:r>
            <w:r w:rsidR="00DA0ACA" w:rsidRPr="00F84847">
              <w:rPr>
                <w:rFonts w:cs="Times New Roman"/>
                <w:sz w:val="26"/>
                <w:szCs w:val="26"/>
                <w:lang w:eastAsia="ar-SA"/>
              </w:rPr>
              <w:t>/Lp13</w:t>
            </w:r>
            <w:r w:rsidR="00DA0ACA" w:rsidRPr="00DA0ACA">
              <w:rPr>
                <w:rFonts w:cs="Times New Roman"/>
                <w:sz w:val="26"/>
                <w:szCs w:val="26"/>
                <w:lang w:eastAsia="ar-SA"/>
              </w:rPr>
              <w:t xml:space="preserve">) 6.pantam, kas paredz </w:t>
            </w:r>
            <w:r w:rsidR="00DA0ACA" w:rsidRPr="00DA0ACA">
              <w:rPr>
                <w:sz w:val="26"/>
                <w:szCs w:val="26"/>
                <w:shd w:val="clear" w:color="auto" w:fill="FFFFFF"/>
              </w:rPr>
              <w:t xml:space="preserve">papildināt Muitas </w:t>
            </w:r>
            <w:r w:rsidR="00DA0ACA" w:rsidRPr="00DA0ACA">
              <w:rPr>
                <w:rFonts w:eastAsia="Times New Roman"/>
                <w:iCs/>
                <w:sz w:val="26"/>
                <w:szCs w:val="26"/>
                <w:lang w:eastAsia="lv-LV"/>
              </w:rPr>
              <w:t>likumu ar jaunu14.</w:t>
            </w:r>
            <w:r w:rsidR="00DA0ACA" w:rsidRPr="00DA0ACA">
              <w:rPr>
                <w:rFonts w:eastAsia="Times New Roman"/>
                <w:iCs/>
                <w:sz w:val="26"/>
                <w:szCs w:val="26"/>
                <w:vertAlign w:val="superscript"/>
                <w:lang w:eastAsia="lv-LV"/>
              </w:rPr>
              <w:t>1</w:t>
            </w:r>
            <w:r w:rsidR="00DA0ACA" w:rsidRPr="00DA0ACA">
              <w:rPr>
                <w:rFonts w:eastAsia="Times New Roman"/>
                <w:iCs/>
                <w:sz w:val="26"/>
                <w:szCs w:val="26"/>
                <w:lang w:eastAsia="lv-LV"/>
              </w:rPr>
              <w:t>, 14.</w:t>
            </w:r>
            <w:r w:rsidR="00DA0ACA" w:rsidRPr="00DA0ACA">
              <w:rPr>
                <w:rFonts w:eastAsia="Times New Roman"/>
                <w:iCs/>
                <w:sz w:val="26"/>
                <w:szCs w:val="26"/>
                <w:vertAlign w:val="superscript"/>
                <w:lang w:eastAsia="lv-LV"/>
              </w:rPr>
              <w:t>2</w:t>
            </w:r>
            <w:r w:rsidR="00DA0ACA" w:rsidRPr="00DA0ACA">
              <w:rPr>
                <w:rFonts w:eastAsia="Times New Roman"/>
                <w:iCs/>
                <w:sz w:val="26"/>
                <w:szCs w:val="26"/>
                <w:lang w:eastAsia="lv-LV"/>
              </w:rPr>
              <w:t>, 14</w:t>
            </w:r>
            <w:r w:rsidR="00DA0ACA" w:rsidRPr="00DA0ACA">
              <w:rPr>
                <w:rFonts w:eastAsia="Times New Roman"/>
                <w:bCs/>
                <w:iCs/>
                <w:sz w:val="26"/>
                <w:szCs w:val="26"/>
                <w:lang w:eastAsia="lv-LV"/>
              </w:rPr>
              <w:t>.</w:t>
            </w:r>
            <w:r w:rsidR="00DA0ACA" w:rsidRPr="00DA0ACA">
              <w:rPr>
                <w:rFonts w:eastAsia="Times New Roman"/>
                <w:bCs/>
                <w:iCs/>
                <w:sz w:val="26"/>
                <w:szCs w:val="26"/>
                <w:vertAlign w:val="superscript"/>
                <w:lang w:eastAsia="lv-LV"/>
              </w:rPr>
              <w:t>3</w:t>
            </w:r>
            <w:r w:rsidR="00DA0ACA" w:rsidRPr="00DA0ACA">
              <w:rPr>
                <w:rFonts w:eastAsia="Times New Roman"/>
                <w:bCs/>
                <w:iCs/>
                <w:sz w:val="26"/>
                <w:szCs w:val="26"/>
                <w:lang w:eastAsia="lv-LV"/>
              </w:rPr>
              <w:t>, 14.</w:t>
            </w:r>
            <w:r w:rsidR="00DA0ACA" w:rsidRPr="00DA0ACA">
              <w:rPr>
                <w:rFonts w:eastAsia="Times New Roman"/>
                <w:bCs/>
                <w:iCs/>
                <w:sz w:val="26"/>
                <w:szCs w:val="26"/>
                <w:vertAlign w:val="superscript"/>
                <w:lang w:eastAsia="lv-LV"/>
              </w:rPr>
              <w:t>4</w:t>
            </w:r>
            <w:r w:rsidR="00996B09">
              <w:rPr>
                <w:rFonts w:eastAsia="Times New Roman"/>
                <w:bCs/>
                <w:iCs/>
                <w:sz w:val="26"/>
                <w:szCs w:val="26"/>
                <w:lang w:eastAsia="lv-LV"/>
              </w:rPr>
              <w:t>, 14.</w:t>
            </w:r>
            <w:r w:rsidR="00996B09">
              <w:rPr>
                <w:rFonts w:eastAsia="Times New Roman"/>
                <w:bCs/>
                <w:iCs/>
                <w:sz w:val="26"/>
                <w:szCs w:val="26"/>
                <w:vertAlign w:val="superscript"/>
                <w:lang w:eastAsia="lv-LV"/>
              </w:rPr>
              <w:t>5</w:t>
            </w:r>
            <w:r w:rsidR="00DA0ACA" w:rsidRPr="00DA0ACA">
              <w:rPr>
                <w:rFonts w:eastAsia="Times New Roman"/>
                <w:bCs/>
                <w:iCs/>
                <w:sz w:val="26"/>
                <w:szCs w:val="26"/>
                <w:lang w:eastAsia="lv-LV"/>
              </w:rPr>
              <w:t xml:space="preserve"> un 14.</w:t>
            </w:r>
            <w:r w:rsidR="00996B09">
              <w:rPr>
                <w:rFonts w:eastAsia="Times New Roman"/>
                <w:bCs/>
                <w:iCs/>
                <w:sz w:val="26"/>
                <w:szCs w:val="26"/>
                <w:vertAlign w:val="superscript"/>
                <w:lang w:eastAsia="lv-LV"/>
              </w:rPr>
              <w:t>6</w:t>
            </w:r>
            <w:r w:rsidR="00DA0ACA" w:rsidRPr="00DA0ACA">
              <w:rPr>
                <w:rFonts w:eastAsia="Times New Roman"/>
                <w:bCs/>
                <w:iCs/>
                <w:sz w:val="26"/>
                <w:szCs w:val="26"/>
                <w:vertAlign w:val="superscript"/>
                <w:lang w:eastAsia="lv-LV"/>
              </w:rPr>
              <w:t xml:space="preserve">  </w:t>
            </w:r>
            <w:r w:rsidR="00DA0ACA" w:rsidRPr="00DA0ACA">
              <w:rPr>
                <w:rFonts w:eastAsia="Times New Roman"/>
                <w:iCs/>
                <w:sz w:val="26"/>
                <w:szCs w:val="26"/>
                <w:lang w:eastAsia="lv-LV"/>
              </w:rPr>
              <w:t>pantu.</w:t>
            </w:r>
            <w:r w:rsidR="00DA0ACA" w:rsidRPr="00F31D7B">
              <w:rPr>
                <w:rFonts w:eastAsia="Times New Roman"/>
                <w:iCs/>
                <w:sz w:val="28"/>
                <w:szCs w:val="28"/>
                <w:lang w:eastAsia="lv-LV"/>
              </w:rPr>
              <w:t xml:space="preserve"> </w:t>
            </w:r>
          </w:p>
        </w:tc>
      </w:tr>
      <w:tr w:rsidR="00AF121C" w:rsidRPr="00A9403F" w14:paraId="36B3D91E" w14:textId="77777777" w:rsidTr="00686366">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4A2AA2E" w14:textId="77777777" w:rsidR="00AF121C" w:rsidRPr="00A9403F" w:rsidRDefault="00AF121C" w:rsidP="0046514D">
            <w:pPr>
              <w:rPr>
                <w:sz w:val="26"/>
                <w:szCs w:val="26"/>
              </w:rPr>
            </w:pPr>
            <w:r w:rsidRPr="00A9403F">
              <w:rPr>
                <w:sz w:val="26"/>
                <w:szCs w:val="26"/>
              </w:rPr>
              <w:t>3.</w:t>
            </w:r>
          </w:p>
        </w:tc>
        <w:tc>
          <w:tcPr>
            <w:tcW w:w="1667" w:type="pct"/>
            <w:tcBorders>
              <w:top w:val="outset" w:sz="6" w:space="0" w:color="auto"/>
              <w:left w:val="outset" w:sz="6" w:space="0" w:color="auto"/>
              <w:bottom w:val="outset" w:sz="6" w:space="0" w:color="auto"/>
              <w:right w:val="outset" w:sz="6" w:space="0" w:color="auto"/>
            </w:tcBorders>
            <w:hideMark/>
          </w:tcPr>
          <w:p w14:paraId="1F67A531" w14:textId="77777777" w:rsidR="00AF121C" w:rsidRPr="00A9403F" w:rsidRDefault="00AF121C" w:rsidP="0046514D">
            <w:pPr>
              <w:rPr>
                <w:sz w:val="26"/>
                <w:szCs w:val="26"/>
              </w:rPr>
            </w:pPr>
            <w:r w:rsidRPr="00A9403F">
              <w:rPr>
                <w:sz w:val="26"/>
                <w:szCs w:val="26"/>
              </w:rPr>
              <w:t>Administratīvo izmaksu monetārs novērtējums</w:t>
            </w:r>
          </w:p>
        </w:tc>
        <w:tc>
          <w:tcPr>
            <w:tcW w:w="2974" w:type="pct"/>
            <w:tcBorders>
              <w:top w:val="outset" w:sz="6" w:space="0" w:color="auto"/>
              <w:left w:val="outset" w:sz="6" w:space="0" w:color="auto"/>
              <w:bottom w:val="outset" w:sz="6" w:space="0" w:color="auto"/>
              <w:right w:val="outset" w:sz="6" w:space="0" w:color="auto"/>
            </w:tcBorders>
            <w:hideMark/>
          </w:tcPr>
          <w:p w14:paraId="663913A7" w14:textId="4FDA5B85" w:rsidR="00AF121C" w:rsidRPr="00235264" w:rsidRDefault="00DA0ACA" w:rsidP="006E0CA7">
            <w:pPr>
              <w:jc w:val="both"/>
              <w:rPr>
                <w:rFonts w:eastAsia="Times New Roman"/>
                <w:sz w:val="26"/>
                <w:szCs w:val="26"/>
                <w:lang w:eastAsia="lv-LV"/>
              </w:rPr>
            </w:pPr>
            <w:r w:rsidRPr="00A9403F">
              <w:rPr>
                <w:rFonts w:eastAsia="Times New Roman"/>
                <w:sz w:val="26"/>
                <w:szCs w:val="26"/>
                <w:lang w:eastAsia="lv-LV"/>
              </w:rPr>
              <w:t>Noteikumu projekts šo jomu neskar.</w:t>
            </w:r>
          </w:p>
        </w:tc>
      </w:tr>
      <w:tr w:rsidR="00AF121C" w:rsidRPr="00A9403F" w14:paraId="1545318C" w14:textId="77777777" w:rsidTr="00686366">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C9D1982" w14:textId="77777777" w:rsidR="00AF121C" w:rsidRPr="00A9403F" w:rsidRDefault="00AF121C" w:rsidP="0046514D">
            <w:pPr>
              <w:rPr>
                <w:sz w:val="26"/>
                <w:szCs w:val="26"/>
              </w:rPr>
            </w:pPr>
            <w:r w:rsidRPr="00A9403F">
              <w:rPr>
                <w:sz w:val="26"/>
                <w:szCs w:val="26"/>
              </w:rPr>
              <w:t>4.</w:t>
            </w:r>
          </w:p>
        </w:tc>
        <w:tc>
          <w:tcPr>
            <w:tcW w:w="1667" w:type="pct"/>
            <w:tcBorders>
              <w:top w:val="outset" w:sz="6" w:space="0" w:color="auto"/>
              <w:left w:val="outset" w:sz="6" w:space="0" w:color="auto"/>
              <w:bottom w:val="outset" w:sz="6" w:space="0" w:color="auto"/>
              <w:right w:val="outset" w:sz="6" w:space="0" w:color="auto"/>
            </w:tcBorders>
            <w:hideMark/>
          </w:tcPr>
          <w:p w14:paraId="21E86041" w14:textId="77777777" w:rsidR="00AF121C" w:rsidRPr="00A9403F" w:rsidRDefault="00AF121C" w:rsidP="0046514D">
            <w:pPr>
              <w:rPr>
                <w:sz w:val="26"/>
                <w:szCs w:val="26"/>
              </w:rPr>
            </w:pPr>
            <w:r w:rsidRPr="00A9403F">
              <w:rPr>
                <w:sz w:val="26"/>
                <w:szCs w:val="26"/>
              </w:rPr>
              <w:t>Atbilstības izmaksu monetārs novērtējums</w:t>
            </w:r>
          </w:p>
        </w:tc>
        <w:tc>
          <w:tcPr>
            <w:tcW w:w="2974" w:type="pct"/>
            <w:tcBorders>
              <w:top w:val="outset" w:sz="6" w:space="0" w:color="auto"/>
              <w:left w:val="outset" w:sz="6" w:space="0" w:color="auto"/>
              <w:bottom w:val="outset" w:sz="6" w:space="0" w:color="auto"/>
              <w:right w:val="outset" w:sz="6" w:space="0" w:color="auto"/>
            </w:tcBorders>
          </w:tcPr>
          <w:p w14:paraId="6AC150C9" w14:textId="77777777" w:rsidR="00AF121C" w:rsidRPr="00A9403F" w:rsidRDefault="00AF121C" w:rsidP="0046514D">
            <w:pPr>
              <w:jc w:val="both"/>
              <w:rPr>
                <w:rFonts w:eastAsia="Times New Roman"/>
                <w:sz w:val="26"/>
                <w:szCs w:val="26"/>
                <w:lang w:eastAsia="lv-LV"/>
              </w:rPr>
            </w:pPr>
            <w:r w:rsidRPr="00A9403F">
              <w:rPr>
                <w:rFonts w:eastAsia="Times New Roman"/>
                <w:sz w:val="26"/>
                <w:szCs w:val="26"/>
                <w:lang w:eastAsia="lv-LV"/>
              </w:rPr>
              <w:t>Noteikumu projekts šo jomu neskar.</w:t>
            </w:r>
          </w:p>
        </w:tc>
      </w:tr>
      <w:tr w:rsidR="00AF121C" w:rsidRPr="00EF7016" w14:paraId="7CE9DFAB" w14:textId="77777777" w:rsidTr="00686366">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A8A8B5F" w14:textId="77777777" w:rsidR="00AF121C" w:rsidRPr="00EF7016" w:rsidRDefault="00AF121C" w:rsidP="0046514D">
            <w:pPr>
              <w:rPr>
                <w:sz w:val="26"/>
                <w:szCs w:val="26"/>
              </w:rPr>
            </w:pPr>
            <w:r w:rsidRPr="00EF7016">
              <w:rPr>
                <w:sz w:val="26"/>
                <w:szCs w:val="26"/>
              </w:rPr>
              <w:t>5.</w:t>
            </w:r>
          </w:p>
        </w:tc>
        <w:tc>
          <w:tcPr>
            <w:tcW w:w="1667" w:type="pct"/>
            <w:tcBorders>
              <w:top w:val="outset" w:sz="6" w:space="0" w:color="auto"/>
              <w:left w:val="outset" w:sz="6" w:space="0" w:color="auto"/>
              <w:bottom w:val="outset" w:sz="6" w:space="0" w:color="auto"/>
              <w:right w:val="outset" w:sz="6" w:space="0" w:color="auto"/>
            </w:tcBorders>
            <w:hideMark/>
          </w:tcPr>
          <w:p w14:paraId="5011883D" w14:textId="77777777" w:rsidR="00AF121C" w:rsidRPr="00EF7016" w:rsidRDefault="00AF121C" w:rsidP="0046514D">
            <w:pPr>
              <w:rPr>
                <w:sz w:val="26"/>
                <w:szCs w:val="26"/>
              </w:rPr>
            </w:pPr>
            <w:r w:rsidRPr="00EF7016">
              <w:rPr>
                <w:sz w:val="26"/>
                <w:szCs w:val="26"/>
              </w:rPr>
              <w:t>Cita informācija</w:t>
            </w:r>
          </w:p>
        </w:tc>
        <w:tc>
          <w:tcPr>
            <w:tcW w:w="2974" w:type="pct"/>
            <w:tcBorders>
              <w:top w:val="outset" w:sz="6" w:space="0" w:color="auto"/>
              <w:left w:val="outset" w:sz="6" w:space="0" w:color="auto"/>
              <w:bottom w:val="outset" w:sz="6" w:space="0" w:color="auto"/>
              <w:right w:val="outset" w:sz="6" w:space="0" w:color="auto"/>
            </w:tcBorders>
            <w:hideMark/>
          </w:tcPr>
          <w:p w14:paraId="4BA46600" w14:textId="77777777" w:rsidR="00AF121C" w:rsidRPr="00EF7016" w:rsidRDefault="00AF121C" w:rsidP="0046514D">
            <w:pPr>
              <w:rPr>
                <w:sz w:val="26"/>
                <w:szCs w:val="26"/>
              </w:rPr>
            </w:pPr>
            <w:r w:rsidRPr="00EF7016">
              <w:rPr>
                <w:sz w:val="26"/>
                <w:szCs w:val="26"/>
              </w:rPr>
              <w:t>Nav</w:t>
            </w:r>
          </w:p>
        </w:tc>
      </w:tr>
      <w:tr w:rsidR="00686366" w:rsidRPr="007E77D7" w14:paraId="3001F1C6" w14:textId="77777777" w:rsidTr="007D1B33">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F6FD316" w14:textId="77777777" w:rsidR="00686366" w:rsidRPr="007E77D7" w:rsidRDefault="00686366" w:rsidP="007D1B33">
            <w:pPr>
              <w:rPr>
                <w:b/>
                <w:bCs/>
                <w:sz w:val="26"/>
                <w:szCs w:val="26"/>
              </w:rPr>
            </w:pPr>
            <w:r w:rsidRPr="007E77D7">
              <w:rPr>
                <w:b/>
                <w:bCs/>
                <w:sz w:val="26"/>
                <w:szCs w:val="26"/>
              </w:rPr>
              <w:t>III. Tiesību akta projekta ietekme uz valsts budžetu un pašvaldību budžetiem</w:t>
            </w:r>
          </w:p>
        </w:tc>
      </w:tr>
      <w:tr w:rsidR="00686366" w:rsidRPr="007E77D7" w14:paraId="34FC8D36" w14:textId="77777777" w:rsidTr="007D1B33">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tcPr>
          <w:p w14:paraId="55A4F94B" w14:textId="77777777" w:rsidR="00686366" w:rsidRPr="007E77D7" w:rsidRDefault="00686366" w:rsidP="007D1B33">
            <w:pPr>
              <w:jc w:val="center"/>
              <w:rPr>
                <w:bCs/>
                <w:sz w:val="26"/>
                <w:szCs w:val="26"/>
              </w:rPr>
            </w:pPr>
            <w:r w:rsidRPr="007E77D7">
              <w:rPr>
                <w:bCs/>
                <w:sz w:val="26"/>
                <w:szCs w:val="26"/>
              </w:rPr>
              <w:t>Noteikumu projekts šo jomu neskar</w:t>
            </w:r>
          </w:p>
        </w:tc>
      </w:tr>
    </w:tbl>
    <w:p w14:paraId="4E38BE3A" w14:textId="3BD45144" w:rsidR="00686366" w:rsidRDefault="00AF121C" w:rsidP="00AF121C">
      <w:pPr>
        <w:rPr>
          <w:sz w:val="28"/>
        </w:rPr>
      </w:pPr>
      <w:r w:rsidRPr="00EF7016">
        <w:rPr>
          <w:sz w:val="26"/>
          <w:szCs w:val="26"/>
        </w:rPr>
        <w:t xml:space="preserve"> </w:t>
      </w:r>
      <w:r w:rsidRPr="007B70D5">
        <w:rPr>
          <w:sz w:val="28"/>
        </w:rPr>
        <w:t xml:space="preserve">  </w:t>
      </w:r>
    </w:p>
    <w:tbl>
      <w:tblPr>
        <w:tblW w:w="5008" w:type="pct"/>
        <w:tblInd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2987"/>
        <w:gridCol w:w="5374"/>
      </w:tblGrid>
      <w:tr w:rsidR="006B746B" w:rsidRPr="007474F0" w14:paraId="74D124DA" w14:textId="77777777" w:rsidTr="007D1B33">
        <w:tc>
          <w:tcPr>
            <w:tcW w:w="5000" w:type="pct"/>
            <w:gridSpan w:val="3"/>
            <w:tcBorders>
              <w:top w:val="outset" w:sz="6" w:space="0" w:color="auto"/>
              <w:left w:val="outset" w:sz="6" w:space="0" w:color="auto"/>
              <w:bottom w:val="outset" w:sz="6" w:space="0" w:color="auto"/>
              <w:right w:val="outset" w:sz="6" w:space="0" w:color="auto"/>
            </w:tcBorders>
          </w:tcPr>
          <w:p w14:paraId="62871F85" w14:textId="77777777" w:rsidR="006B746B" w:rsidRPr="00BA7474" w:rsidRDefault="006B746B" w:rsidP="007D1B33">
            <w:pPr>
              <w:ind w:left="107" w:right="84"/>
              <w:jc w:val="center"/>
              <w:rPr>
                <w:sz w:val="26"/>
                <w:szCs w:val="26"/>
              </w:rPr>
            </w:pPr>
            <w:r w:rsidRPr="00BA7474">
              <w:rPr>
                <w:rFonts w:eastAsia="Times New Roman" w:cs="Times New Roman"/>
                <w:b/>
                <w:bCs/>
                <w:iCs/>
                <w:sz w:val="26"/>
                <w:szCs w:val="26"/>
                <w:lang w:eastAsia="lv-LV"/>
              </w:rPr>
              <w:t>IV. Tiesību akta projekta ietekme uz spēkā esošo tiesību normu sistēmu</w:t>
            </w:r>
          </w:p>
        </w:tc>
      </w:tr>
      <w:tr w:rsidR="006B746B" w:rsidRPr="007474F0" w14:paraId="74B80290" w14:textId="77777777" w:rsidTr="009C0169">
        <w:tc>
          <w:tcPr>
            <w:tcW w:w="390" w:type="pct"/>
            <w:tcBorders>
              <w:top w:val="outset" w:sz="6" w:space="0" w:color="auto"/>
              <w:left w:val="outset" w:sz="6" w:space="0" w:color="auto"/>
              <w:bottom w:val="outset" w:sz="6" w:space="0" w:color="auto"/>
              <w:right w:val="outset" w:sz="6" w:space="0" w:color="auto"/>
            </w:tcBorders>
          </w:tcPr>
          <w:p w14:paraId="167FC2D9" w14:textId="77777777" w:rsidR="006B746B" w:rsidRPr="009C0169" w:rsidRDefault="006B746B" w:rsidP="007D1B33">
            <w:pPr>
              <w:ind w:left="57"/>
              <w:rPr>
                <w:rFonts w:eastAsia="Calibri" w:cs="Times New Roman"/>
                <w:sz w:val="26"/>
                <w:szCs w:val="26"/>
              </w:rPr>
            </w:pPr>
            <w:r w:rsidRPr="009C0169">
              <w:rPr>
                <w:rFonts w:eastAsia="Calibri" w:cs="Times New Roman"/>
                <w:sz w:val="26"/>
                <w:szCs w:val="26"/>
              </w:rPr>
              <w:t>1.</w:t>
            </w:r>
          </w:p>
        </w:tc>
        <w:tc>
          <w:tcPr>
            <w:tcW w:w="16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E62B7DA" w14:textId="77777777" w:rsidR="006B746B" w:rsidRPr="009C0169" w:rsidRDefault="006B746B" w:rsidP="007D1B33">
            <w:pPr>
              <w:rPr>
                <w:rFonts w:eastAsia="Calibri" w:cs="Times New Roman"/>
                <w:sz w:val="26"/>
                <w:szCs w:val="26"/>
              </w:rPr>
            </w:pPr>
            <w:r w:rsidRPr="009C0169">
              <w:rPr>
                <w:rFonts w:eastAsia="Calibri" w:cs="Times New Roman"/>
                <w:sz w:val="26"/>
                <w:szCs w:val="26"/>
              </w:rPr>
              <w:t>Nepieciešamie saistītie tiesību aktu projekti</w:t>
            </w:r>
          </w:p>
        </w:tc>
        <w:tc>
          <w:tcPr>
            <w:tcW w:w="29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2AD7D98" w14:textId="01567E18" w:rsidR="006B746B" w:rsidRPr="009C0169" w:rsidRDefault="009C0169" w:rsidP="007D1B33">
            <w:pPr>
              <w:spacing w:before="120"/>
              <w:ind w:left="57" w:right="57"/>
              <w:jc w:val="both"/>
              <w:rPr>
                <w:rFonts w:eastAsia="Calibri" w:cs="Times New Roman"/>
                <w:sz w:val="26"/>
                <w:szCs w:val="26"/>
              </w:rPr>
            </w:pPr>
            <w:r w:rsidRPr="009C0169">
              <w:rPr>
                <w:rFonts w:cs="Times New Roman"/>
                <w:iCs/>
                <w:sz w:val="26"/>
                <w:szCs w:val="26"/>
              </w:rPr>
              <w:t>Nav attiecināms.</w:t>
            </w:r>
          </w:p>
        </w:tc>
      </w:tr>
      <w:tr w:rsidR="006B746B" w:rsidRPr="007474F0" w14:paraId="6DB940D3" w14:textId="77777777" w:rsidTr="009C0169">
        <w:tc>
          <w:tcPr>
            <w:tcW w:w="390" w:type="pct"/>
            <w:tcBorders>
              <w:top w:val="outset" w:sz="6" w:space="0" w:color="auto"/>
              <w:left w:val="outset" w:sz="6" w:space="0" w:color="auto"/>
              <w:bottom w:val="outset" w:sz="6" w:space="0" w:color="auto"/>
              <w:right w:val="outset" w:sz="6" w:space="0" w:color="auto"/>
            </w:tcBorders>
          </w:tcPr>
          <w:p w14:paraId="5247400E" w14:textId="77777777" w:rsidR="006B746B" w:rsidRPr="009C0169" w:rsidRDefault="006B746B" w:rsidP="007D1B33">
            <w:pPr>
              <w:ind w:left="57"/>
              <w:rPr>
                <w:rFonts w:eastAsia="Calibri" w:cs="Times New Roman"/>
                <w:sz w:val="26"/>
                <w:szCs w:val="26"/>
              </w:rPr>
            </w:pPr>
            <w:r w:rsidRPr="009C0169">
              <w:rPr>
                <w:rFonts w:eastAsia="Calibri" w:cs="Times New Roman"/>
                <w:sz w:val="26"/>
                <w:szCs w:val="26"/>
              </w:rPr>
              <w:t>2.</w:t>
            </w:r>
          </w:p>
        </w:tc>
        <w:tc>
          <w:tcPr>
            <w:tcW w:w="16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27128BD" w14:textId="77777777" w:rsidR="006B746B" w:rsidRPr="009C0169" w:rsidRDefault="006B746B" w:rsidP="007D1B33">
            <w:pPr>
              <w:rPr>
                <w:rFonts w:eastAsia="Calibri" w:cs="Times New Roman"/>
                <w:sz w:val="26"/>
                <w:szCs w:val="26"/>
              </w:rPr>
            </w:pPr>
            <w:r w:rsidRPr="009C0169">
              <w:rPr>
                <w:rFonts w:eastAsia="Calibri" w:cs="Times New Roman"/>
                <w:sz w:val="26"/>
                <w:szCs w:val="26"/>
              </w:rPr>
              <w:t>Atbildīgā institūcija</w:t>
            </w:r>
          </w:p>
        </w:tc>
        <w:tc>
          <w:tcPr>
            <w:tcW w:w="29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A34915C" w14:textId="77777777" w:rsidR="006B746B" w:rsidRPr="009C0169" w:rsidRDefault="006B746B" w:rsidP="007D1B33">
            <w:pPr>
              <w:ind w:left="107"/>
              <w:jc w:val="both"/>
              <w:rPr>
                <w:rFonts w:eastAsia="Calibri" w:cs="Times New Roman"/>
                <w:sz w:val="26"/>
                <w:szCs w:val="26"/>
              </w:rPr>
            </w:pPr>
            <w:r w:rsidRPr="009C0169">
              <w:rPr>
                <w:rFonts w:cs="Times New Roman"/>
                <w:sz w:val="26"/>
                <w:szCs w:val="26"/>
              </w:rPr>
              <w:t>Finanšu ministrija.</w:t>
            </w:r>
          </w:p>
        </w:tc>
      </w:tr>
      <w:tr w:rsidR="006B746B" w:rsidRPr="007474F0" w14:paraId="605F5C41" w14:textId="77777777" w:rsidTr="009C0169">
        <w:tc>
          <w:tcPr>
            <w:tcW w:w="390" w:type="pct"/>
            <w:tcBorders>
              <w:top w:val="outset" w:sz="6" w:space="0" w:color="auto"/>
              <w:left w:val="outset" w:sz="6" w:space="0" w:color="auto"/>
              <w:bottom w:val="outset" w:sz="6" w:space="0" w:color="auto"/>
              <w:right w:val="outset" w:sz="6" w:space="0" w:color="auto"/>
            </w:tcBorders>
          </w:tcPr>
          <w:p w14:paraId="76F8C6A6" w14:textId="77777777" w:rsidR="006B746B" w:rsidRPr="009C0169" w:rsidRDefault="006B746B" w:rsidP="007D1B33">
            <w:pPr>
              <w:ind w:left="57"/>
              <w:rPr>
                <w:rFonts w:eastAsia="Calibri" w:cs="Times New Roman"/>
                <w:sz w:val="26"/>
                <w:szCs w:val="26"/>
              </w:rPr>
            </w:pPr>
            <w:r w:rsidRPr="009C0169">
              <w:rPr>
                <w:rFonts w:eastAsia="Calibri" w:cs="Times New Roman"/>
                <w:sz w:val="26"/>
                <w:szCs w:val="26"/>
              </w:rPr>
              <w:t>3.</w:t>
            </w:r>
          </w:p>
        </w:tc>
        <w:tc>
          <w:tcPr>
            <w:tcW w:w="16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0E9D301" w14:textId="77777777" w:rsidR="006B746B" w:rsidRPr="009C0169" w:rsidRDefault="006B746B" w:rsidP="007D1B33">
            <w:pPr>
              <w:rPr>
                <w:rFonts w:eastAsia="Calibri" w:cs="Times New Roman"/>
                <w:sz w:val="26"/>
                <w:szCs w:val="26"/>
              </w:rPr>
            </w:pPr>
            <w:r w:rsidRPr="009C0169">
              <w:rPr>
                <w:rFonts w:eastAsia="Calibri" w:cs="Times New Roman"/>
                <w:sz w:val="26"/>
                <w:szCs w:val="26"/>
              </w:rPr>
              <w:t>Cita informācija</w:t>
            </w:r>
          </w:p>
        </w:tc>
        <w:tc>
          <w:tcPr>
            <w:tcW w:w="29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65509B36" w14:textId="23B0993C" w:rsidR="006B746B" w:rsidRPr="009C0169" w:rsidRDefault="009C0169" w:rsidP="00503DC7">
            <w:pPr>
              <w:pStyle w:val="Style7"/>
              <w:shd w:val="clear" w:color="auto" w:fill="auto"/>
              <w:tabs>
                <w:tab w:val="left" w:pos="1119"/>
              </w:tabs>
              <w:spacing w:before="120" w:after="0" w:line="240" w:lineRule="auto"/>
              <w:ind w:left="57" w:right="57" w:firstLine="0"/>
              <w:jc w:val="both"/>
              <w:rPr>
                <w:rFonts w:ascii="Times New Roman" w:eastAsia="Calibri" w:hAnsi="Times New Roman" w:cs="Times New Roman"/>
                <w:sz w:val="26"/>
                <w:szCs w:val="26"/>
                <w:u w:val="single"/>
              </w:rPr>
            </w:pPr>
            <w:r w:rsidRPr="009C0169">
              <w:rPr>
                <w:rFonts w:ascii="Times New Roman" w:hAnsi="Times New Roman" w:cs="Times New Roman"/>
                <w:sz w:val="26"/>
                <w:szCs w:val="26"/>
              </w:rPr>
              <w:t>Noteikum</w:t>
            </w:r>
            <w:r>
              <w:rPr>
                <w:rFonts w:ascii="Times New Roman" w:hAnsi="Times New Roman" w:cs="Times New Roman"/>
                <w:sz w:val="26"/>
                <w:szCs w:val="26"/>
              </w:rPr>
              <w:t>u projekt</w:t>
            </w:r>
            <w:r w:rsidR="00C70C99">
              <w:rPr>
                <w:rFonts w:ascii="Times New Roman" w:hAnsi="Times New Roman" w:cs="Times New Roman"/>
                <w:sz w:val="26"/>
                <w:szCs w:val="26"/>
              </w:rPr>
              <w:t xml:space="preserve">am jāstājas </w:t>
            </w:r>
            <w:r w:rsidR="00F224FE">
              <w:rPr>
                <w:rFonts w:ascii="Times New Roman" w:hAnsi="Times New Roman" w:cs="Times New Roman"/>
                <w:sz w:val="26"/>
                <w:szCs w:val="26"/>
              </w:rPr>
              <w:t xml:space="preserve"> spēkā vienlaikus ar likuma</w:t>
            </w:r>
            <w:r w:rsidRPr="009C0169">
              <w:rPr>
                <w:rFonts w:ascii="Times New Roman" w:hAnsi="Times New Roman" w:cs="Times New Roman"/>
                <w:sz w:val="26"/>
                <w:szCs w:val="26"/>
              </w:rPr>
              <w:t xml:space="preserve"> “Grozījumi Muitas likumā”</w:t>
            </w:r>
            <w:r>
              <w:rPr>
                <w:rFonts w:ascii="Times New Roman" w:hAnsi="Times New Roman" w:cs="Times New Roman"/>
                <w:sz w:val="26"/>
                <w:szCs w:val="26"/>
              </w:rPr>
              <w:t xml:space="preserve"> (</w:t>
            </w:r>
            <w:r w:rsidR="00503DC7">
              <w:rPr>
                <w:rFonts w:ascii="Times New Roman" w:hAnsi="Times New Roman" w:cs="Times New Roman"/>
                <w:sz w:val="26"/>
                <w:szCs w:val="26"/>
              </w:rPr>
              <w:t>1016</w:t>
            </w:r>
            <w:r w:rsidRPr="00503DC7">
              <w:rPr>
                <w:rFonts w:ascii="Times New Roman" w:hAnsi="Times New Roman" w:cs="Times New Roman"/>
                <w:sz w:val="26"/>
                <w:szCs w:val="26"/>
              </w:rPr>
              <w:t>/Lp13</w:t>
            </w:r>
            <w:r>
              <w:rPr>
                <w:rFonts w:ascii="Times New Roman" w:hAnsi="Times New Roman" w:cs="Times New Roman"/>
                <w:sz w:val="26"/>
                <w:szCs w:val="26"/>
              </w:rPr>
              <w:t>)</w:t>
            </w:r>
            <w:r w:rsidR="00F224FE">
              <w:rPr>
                <w:rFonts w:ascii="Times New Roman" w:hAnsi="Times New Roman" w:cs="Times New Roman"/>
                <w:sz w:val="26"/>
                <w:szCs w:val="26"/>
              </w:rPr>
              <w:t xml:space="preserve"> 6.</w:t>
            </w:r>
            <w:r w:rsidR="000C172B">
              <w:rPr>
                <w:rFonts w:ascii="Times New Roman" w:hAnsi="Times New Roman" w:cs="Times New Roman"/>
                <w:sz w:val="26"/>
                <w:szCs w:val="26"/>
              </w:rPr>
              <w:t> </w:t>
            </w:r>
            <w:r w:rsidR="00F224FE">
              <w:rPr>
                <w:rFonts w:ascii="Times New Roman" w:hAnsi="Times New Roman" w:cs="Times New Roman"/>
                <w:sz w:val="26"/>
                <w:szCs w:val="26"/>
              </w:rPr>
              <w:t>pantā iekļauto Muitas likuma 14.</w:t>
            </w:r>
            <w:r w:rsidR="00A4705D">
              <w:rPr>
                <w:rFonts w:ascii="Times New Roman" w:hAnsi="Times New Roman" w:cs="Times New Roman"/>
                <w:sz w:val="26"/>
                <w:szCs w:val="26"/>
                <w:vertAlign w:val="superscript"/>
              </w:rPr>
              <w:t>5</w:t>
            </w:r>
            <w:r w:rsidR="000C172B">
              <w:rPr>
                <w:rFonts w:ascii="Times New Roman" w:hAnsi="Times New Roman" w:cs="Times New Roman"/>
                <w:sz w:val="26"/>
                <w:szCs w:val="26"/>
                <w:vertAlign w:val="superscript"/>
              </w:rPr>
              <w:t> </w:t>
            </w:r>
            <w:r w:rsidR="00F224FE">
              <w:rPr>
                <w:rFonts w:ascii="Times New Roman" w:hAnsi="Times New Roman" w:cs="Times New Roman"/>
                <w:sz w:val="26"/>
                <w:szCs w:val="26"/>
              </w:rPr>
              <w:t>pantu, kuru spēkā stāšanas brīdis ir noteikts 2021.</w:t>
            </w:r>
            <w:r w:rsidR="000C172B">
              <w:rPr>
                <w:rFonts w:ascii="Times New Roman" w:hAnsi="Times New Roman" w:cs="Times New Roman"/>
                <w:sz w:val="26"/>
                <w:szCs w:val="26"/>
              </w:rPr>
              <w:t> </w:t>
            </w:r>
            <w:r w:rsidR="00F224FE">
              <w:rPr>
                <w:rFonts w:ascii="Times New Roman" w:hAnsi="Times New Roman" w:cs="Times New Roman"/>
                <w:sz w:val="26"/>
                <w:szCs w:val="26"/>
              </w:rPr>
              <w:t>gada 1.</w:t>
            </w:r>
            <w:r w:rsidR="000C172B">
              <w:rPr>
                <w:rFonts w:ascii="Times New Roman" w:hAnsi="Times New Roman" w:cs="Times New Roman"/>
                <w:sz w:val="26"/>
                <w:szCs w:val="26"/>
              </w:rPr>
              <w:t> </w:t>
            </w:r>
            <w:r w:rsidR="00F224FE">
              <w:rPr>
                <w:rFonts w:ascii="Times New Roman" w:hAnsi="Times New Roman" w:cs="Times New Roman"/>
                <w:sz w:val="26"/>
                <w:szCs w:val="26"/>
              </w:rPr>
              <w:t>septembris.</w:t>
            </w:r>
            <w:r w:rsidRPr="009C0169">
              <w:rPr>
                <w:rFonts w:ascii="Times New Roman" w:hAnsi="Times New Roman" w:cs="Times New Roman"/>
                <w:sz w:val="26"/>
                <w:szCs w:val="26"/>
              </w:rPr>
              <w:t xml:space="preserve"> </w:t>
            </w:r>
          </w:p>
        </w:tc>
      </w:tr>
    </w:tbl>
    <w:p w14:paraId="45128570" w14:textId="77777777" w:rsidR="006B746B" w:rsidRDefault="006B746B" w:rsidP="00AF121C">
      <w:pPr>
        <w:rPr>
          <w:sz w:val="28"/>
        </w:rPr>
      </w:pPr>
    </w:p>
    <w:tbl>
      <w:tblPr>
        <w:tblW w:w="5000" w:type="pct"/>
        <w:tblInd w:w="-8"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
        <w:gridCol w:w="464"/>
        <w:gridCol w:w="1744"/>
        <w:gridCol w:w="1177"/>
        <w:gridCol w:w="862"/>
        <w:gridCol w:w="1690"/>
        <w:gridCol w:w="3109"/>
      </w:tblGrid>
      <w:tr w:rsidR="005A09AF" w:rsidRPr="00E06EE8" w14:paraId="51520B76" w14:textId="77777777" w:rsidTr="00694A4A">
        <w:trPr>
          <w:gridBefore w:val="1"/>
          <w:wBefore w:w="5" w:type="pct"/>
        </w:trPr>
        <w:tc>
          <w:tcPr>
            <w:tcW w:w="4995" w:type="pct"/>
            <w:gridSpan w:val="6"/>
            <w:tcBorders>
              <w:top w:val="outset" w:sz="6" w:space="0" w:color="414142"/>
              <w:left w:val="outset" w:sz="6" w:space="0" w:color="414142"/>
              <w:bottom w:val="outset" w:sz="6" w:space="0" w:color="414142"/>
              <w:right w:val="outset" w:sz="6" w:space="0" w:color="414142"/>
            </w:tcBorders>
            <w:vAlign w:val="center"/>
            <w:hideMark/>
          </w:tcPr>
          <w:p w14:paraId="10BD82DD" w14:textId="77777777" w:rsidR="005A09AF" w:rsidRPr="00BA7474" w:rsidRDefault="005A09AF" w:rsidP="007D1B33">
            <w:pPr>
              <w:spacing w:before="100" w:beforeAutospacing="1" w:after="100" w:afterAutospacing="1" w:line="293" w:lineRule="atLeast"/>
              <w:jc w:val="center"/>
              <w:rPr>
                <w:rFonts w:eastAsia="Times New Roman" w:cs="Times New Roman"/>
                <w:b/>
                <w:bCs/>
                <w:sz w:val="26"/>
                <w:szCs w:val="26"/>
                <w:lang w:eastAsia="lv-LV"/>
              </w:rPr>
            </w:pPr>
            <w:r w:rsidRPr="00BA7474">
              <w:rPr>
                <w:rFonts w:eastAsia="Times New Roman" w:cs="Times New Roman"/>
                <w:b/>
                <w:bCs/>
                <w:sz w:val="26"/>
                <w:szCs w:val="26"/>
                <w:lang w:eastAsia="lv-LV"/>
              </w:rPr>
              <w:t>V. Tiesību akta projekta atbilstība Latvijas Republikas starptautiskajām saistībām</w:t>
            </w:r>
          </w:p>
        </w:tc>
      </w:tr>
      <w:tr w:rsidR="005A09AF" w:rsidRPr="00E06EE8" w14:paraId="0E68006D" w14:textId="77777777" w:rsidTr="00694A4A">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gridBefore w:val="1"/>
          <w:wBefore w:w="5" w:type="pct"/>
        </w:trPr>
        <w:tc>
          <w:tcPr>
            <w:tcW w:w="256" w:type="pct"/>
            <w:tcBorders>
              <w:top w:val="outset" w:sz="6" w:space="0" w:color="auto"/>
              <w:left w:val="outset" w:sz="6" w:space="0" w:color="auto"/>
              <w:bottom w:val="outset" w:sz="6" w:space="0" w:color="auto"/>
              <w:right w:val="outset" w:sz="6" w:space="0" w:color="auto"/>
            </w:tcBorders>
            <w:hideMark/>
          </w:tcPr>
          <w:p w14:paraId="538E8A07" w14:textId="77777777" w:rsidR="005A09AF" w:rsidRPr="00BA7474" w:rsidRDefault="005A09AF" w:rsidP="007D1B33">
            <w:pPr>
              <w:rPr>
                <w:rFonts w:eastAsia="Times New Roman" w:cs="Times New Roman"/>
                <w:sz w:val="26"/>
                <w:szCs w:val="26"/>
                <w:lang w:eastAsia="lv-LV"/>
              </w:rPr>
            </w:pPr>
            <w:r w:rsidRPr="00BA7474">
              <w:rPr>
                <w:rFonts w:eastAsia="Times New Roman" w:cs="Times New Roman"/>
                <w:sz w:val="26"/>
                <w:szCs w:val="26"/>
                <w:lang w:eastAsia="lv-LV"/>
              </w:rPr>
              <w:t>1.</w:t>
            </w:r>
          </w:p>
        </w:tc>
        <w:tc>
          <w:tcPr>
            <w:tcW w:w="1613" w:type="pct"/>
            <w:gridSpan w:val="2"/>
            <w:tcBorders>
              <w:top w:val="outset" w:sz="6" w:space="0" w:color="auto"/>
              <w:left w:val="outset" w:sz="6" w:space="0" w:color="auto"/>
              <w:bottom w:val="outset" w:sz="6" w:space="0" w:color="auto"/>
              <w:right w:val="outset" w:sz="6" w:space="0" w:color="auto"/>
            </w:tcBorders>
            <w:hideMark/>
          </w:tcPr>
          <w:p w14:paraId="1E52186B" w14:textId="77777777" w:rsidR="005A09AF" w:rsidRPr="00BA7474" w:rsidRDefault="005A09AF" w:rsidP="007D1B33">
            <w:pPr>
              <w:rPr>
                <w:rFonts w:eastAsia="Times New Roman" w:cs="Times New Roman"/>
                <w:sz w:val="26"/>
                <w:szCs w:val="26"/>
                <w:lang w:eastAsia="lv-LV"/>
              </w:rPr>
            </w:pPr>
            <w:r w:rsidRPr="00BA7474">
              <w:rPr>
                <w:rFonts w:eastAsia="Times New Roman" w:cs="Times New Roman"/>
                <w:sz w:val="26"/>
                <w:szCs w:val="26"/>
                <w:lang w:eastAsia="lv-LV"/>
              </w:rPr>
              <w:t>Saistības pret Eiropas Savienību</w:t>
            </w:r>
          </w:p>
        </w:tc>
        <w:tc>
          <w:tcPr>
            <w:tcW w:w="3126" w:type="pct"/>
            <w:gridSpan w:val="3"/>
            <w:tcBorders>
              <w:top w:val="outset" w:sz="6" w:space="0" w:color="auto"/>
              <w:left w:val="outset" w:sz="6" w:space="0" w:color="auto"/>
              <w:bottom w:val="outset" w:sz="6" w:space="0" w:color="auto"/>
              <w:right w:val="outset" w:sz="6" w:space="0" w:color="auto"/>
            </w:tcBorders>
            <w:hideMark/>
          </w:tcPr>
          <w:p w14:paraId="129A538D" w14:textId="11025BE8" w:rsidR="00F224FE" w:rsidRDefault="00575B76" w:rsidP="007D1B33">
            <w:pPr>
              <w:jc w:val="both"/>
              <w:rPr>
                <w:rFonts w:eastAsia="Times New Roman" w:cs="Times New Roman"/>
                <w:sz w:val="26"/>
                <w:szCs w:val="26"/>
                <w:lang w:eastAsia="lv-LV"/>
              </w:rPr>
            </w:pPr>
            <w:r>
              <w:rPr>
                <w:rFonts w:eastAsia="Times New Roman" w:cs="Times New Roman"/>
                <w:sz w:val="26"/>
                <w:szCs w:val="26"/>
                <w:lang w:eastAsia="lv-LV"/>
              </w:rPr>
              <w:t>Regula Nr.</w:t>
            </w:r>
            <w:r w:rsidR="000C172B">
              <w:rPr>
                <w:rFonts w:eastAsia="Times New Roman" w:cs="Times New Roman"/>
                <w:sz w:val="26"/>
                <w:szCs w:val="26"/>
                <w:lang w:eastAsia="lv-LV"/>
              </w:rPr>
              <w:t> </w:t>
            </w:r>
            <w:r>
              <w:rPr>
                <w:rFonts w:eastAsia="Times New Roman" w:cs="Times New Roman"/>
                <w:sz w:val="26"/>
                <w:szCs w:val="26"/>
                <w:lang w:eastAsia="lv-LV"/>
              </w:rPr>
              <w:t>608/2013.</w:t>
            </w:r>
          </w:p>
          <w:p w14:paraId="4E7F8D99" w14:textId="3A0A1A4E" w:rsidR="005A09AF" w:rsidRPr="00BA7474" w:rsidRDefault="005A09AF" w:rsidP="00F224FE">
            <w:pPr>
              <w:jc w:val="both"/>
              <w:rPr>
                <w:rFonts w:eastAsia="Times New Roman" w:cs="Times New Roman"/>
                <w:b/>
                <w:sz w:val="26"/>
                <w:szCs w:val="26"/>
                <w:lang w:eastAsia="lv-LV"/>
              </w:rPr>
            </w:pPr>
            <w:r w:rsidRPr="00BA7474">
              <w:rPr>
                <w:rFonts w:eastAsia="Times New Roman" w:cs="Times New Roman"/>
                <w:sz w:val="26"/>
                <w:szCs w:val="26"/>
                <w:lang w:eastAsia="lv-LV"/>
              </w:rPr>
              <w:t xml:space="preserve"> </w:t>
            </w:r>
          </w:p>
        </w:tc>
      </w:tr>
      <w:tr w:rsidR="005A09AF" w:rsidRPr="00E06EE8" w14:paraId="495BA8FD" w14:textId="77777777" w:rsidTr="00694A4A">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gridBefore w:val="1"/>
          <w:wBefore w:w="5" w:type="pct"/>
        </w:trPr>
        <w:tc>
          <w:tcPr>
            <w:tcW w:w="256" w:type="pct"/>
            <w:tcBorders>
              <w:top w:val="outset" w:sz="6" w:space="0" w:color="auto"/>
              <w:left w:val="outset" w:sz="6" w:space="0" w:color="auto"/>
              <w:bottom w:val="outset" w:sz="6" w:space="0" w:color="auto"/>
              <w:right w:val="outset" w:sz="6" w:space="0" w:color="auto"/>
            </w:tcBorders>
            <w:hideMark/>
          </w:tcPr>
          <w:p w14:paraId="46E500E8" w14:textId="77777777" w:rsidR="005A09AF" w:rsidRPr="00BA7474" w:rsidRDefault="005A09AF" w:rsidP="007D1B33">
            <w:pPr>
              <w:rPr>
                <w:rFonts w:eastAsia="Times New Roman" w:cs="Times New Roman"/>
                <w:sz w:val="26"/>
                <w:szCs w:val="26"/>
                <w:lang w:eastAsia="lv-LV"/>
              </w:rPr>
            </w:pPr>
            <w:r w:rsidRPr="00BA7474">
              <w:rPr>
                <w:rFonts w:eastAsia="Times New Roman" w:cs="Times New Roman"/>
                <w:sz w:val="26"/>
                <w:szCs w:val="26"/>
                <w:lang w:eastAsia="lv-LV"/>
              </w:rPr>
              <w:t>2.</w:t>
            </w:r>
          </w:p>
        </w:tc>
        <w:tc>
          <w:tcPr>
            <w:tcW w:w="1613" w:type="pct"/>
            <w:gridSpan w:val="2"/>
            <w:tcBorders>
              <w:top w:val="outset" w:sz="6" w:space="0" w:color="auto"/>
              <w:left w:val="outset" w:sz="6" w:space="0" w:color="auto"/>
              <w:bottom w:val="outset" w:sz="6" w:space="0" w:color="auto"/>
              <w:right w:val="outset" w:sz="6" w:space="0" w:color="auto"/>
            </w:tcBorders>
            <w:hideMark/>
          </w:tcPr>
          <w:p w14:paraId="5A609DAB" w14:textId="77777777" w:rsidR="005A09AF" w:rsidRPr="00BA7474" w:rsidRDefault="005A09AF" w:rsidP="007D1B33">
            <w:pPr>
              <w:rPr>
                <w:rFonts w:eastAsia="Times New Roman" w:cs="Times New Roman"/>
                <w:sz w:val="26"/>
                <w:szCs w:val="26"/>
                <w:lang w:eastAsia="lv-LV"/>
              </w:rPr>
            </w:pPr>
            <w:r w:rsidRPr="00BA7474">
              <w:rPr>
                <w:rFonts w:eastAsia="Times New Roman" w:cs="Times New Roman"/>
                <w:sz w:val="26"/>
                <w:szCs w:val="26"/>
                <w:lang w:eastAsia="lv-LV"/>
              </w:rPr>
              <w:t>Citas starptautiskās saistības</w:t>
            </w:r>
          </w:p>
        </w:tc>
        <w:tc>
          <w:tcPr>
            <w:tcW w:w="3126" w:type="pct"/>
            <w:gridSpan w:val="3"/>
            <w:tcBorders>
              <w:top w:val="outset" w:sz="6" w:space="0" w:color="auto"/>
              <w:left w:val="outset" w:sz="6" w:space="0" w:color="auto"/>
              <w:bottom w:val="outset" w:sz="6" w:space="0" w:color="auto"/>
              <w:right w:val="outset" w:sz="6" w:space="0" w:color="auto"/>
            </w:tcBorders>
            <w:hideMark/>
          </w:tcPr>
          <w:p w14:paraId="1EE81ADF" w14:textId="4510DF2B" w:rsidR="005A09AF" w:rsidRPr="00BA7474" w:rsidRDefault="00B51971" w:rsidP="007D1B33">
            <w:pPr>
              <w:rPr>
                <w:rFonts w:eastAsia="Times New Roman" w:cs="Times New Roman"/>
                <w:sz w:val="26"/>
                <w:szCs w:val="26"/>
                <w:lang w:eastAsia="lv-LV"/>
              </w:rPr>
            </w:pPr>
            <w:r w:rsidRPr="00BA7474">
              <w:rPr>
                <w:rFonts w:eastAsia="Times New Roman" w:cs="Times New Roman"/>
                <w:sz w:val="26"/>
                <w:szCs w:val="26"/>
                <w:lang w:eastAsia="lv-LV"/>
              </w:rPr>
              <w:t>Projekts šo jomu neskar.</w:t>
            </w:r>
          </w:p>
        </w:tc>
      </w:tr>
      <w:tr w:rsidR="005A09AF" w:rsidRPr="00E06EE8" w14:paraId="58CAA969" w14:textId="77777777" w:rsidTr="00694A4A">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gridBefore w:val="1"/>
          <w:wBefore w:w="5" w:type="pct"/>
        </w:trPr>
        <w:tc>
          <w:tcPr>
            <w:tcW w:w="256" w:type="pct"/>
            <w:tcBorders>
              <w:top w:val="outset" w:sz="6" w:space="0" w:color="auto"/>
              <w:left w:val="outset" w:sz="6" w:space="0" w:color="auto"/>
              <w:bottom w:val="single" w:sz="4" w:space="0" w:color="auto"/>
              <w:right w:val="outset" w:sz="6" w:space="0" w:color="auto"/>
            </w:tcBorders>
            <w:hideMark/>
          </w:tcPr>
          <w:p w14:paraId="5C6ED2CB" w14:textId="77777777" w:rsidR="005A09AF" w:rsidRPr="00BA7474" w:rsidRDefault="005A09AF" w:rsidP="007D1B33">
            <w:pPr>
              <w:rPr>
                <w:rFonts w:eastAsia="Times New Roman" w:cs="Times New Roman"/>
                <w:sz w:val="26"/>
                <w:szCs w:val="26"/>
                <w:lang w:eastAsia="lv-LV"/>
              </w:rPr>
            </w:pPr>
            <w:r w:rsidRPr="00BA7474">
              <w:rPr>
                <w:rFonts w:eastAsia="Times New Roman" w:cs="Times New Roman"/>
                <w:sz w:val="26"/>
                <w:szCs w:val="26"/>
                <w:lang w:eastAsia="lv-LV"/>
              </w:rPr>
              <w:t>3.</w:t>
            </w:r>
          </w:p>
        </w:tc>
        <w:tc>
          <w:tcPr>
            <w:tcW w:w="1613" w:type="pct"/>
            <w:gridSpan w:val="2"/>
            <w:tcBorders>
              <w:top w:val="outset" w:sz="6" w:space="0" w:color="auto"/>
              <w:left w:val="outset" w:sz="6" w:space="0" w:color="auto"/>
              <w:bottom w:val="single" w:sz="4" w:space="0" w:color="auto"/>
              <w:right w:val="outset" w:sz="6" w:space="0" w:color="auto"/>
            </w:tcBorders>
            <w:hideMark/>
          </w:tcPr>
          <w:p w14:paraId="22998A44" w14:textId="77777777" w:rsidR="005A09AF" w:rsidRPr="00BA7474" w:rsidRDefault="005A09AF" w:rsidP="007D1B33">
            <w:pPr>
              <w:rPr>
                <w:rFonts w:eastAsia="Times New Roman" w:cs="Times New Roman"/>
                <w:sz w:val="26"/>
                <w:szCs w:val="26"/>
                <w:lang w:eastAsia="lv-LV"/>
              </w:rPr>
            </w:pPr>
            <w:r w:rsidRPr="00BA7474">
              <w:rPr>
                <w:rFonts w:eastAsia="Times New Roman" w:cs="Times New Roman"/>
                <w:sz w:val="26"/>
                <w:szCs w:val="26"/>
                <w:lang w:eastAsia="lv-LV"/>
              </w:rPr>
              <w:t>Cita informācija</w:t>
            </w:r>
          </w:p>
        </w:tc>
        <w:tc>
          <w:tcPr>
            <w:tcW w:w="3126" w:type="pct"/>
            <w:gridSpan w:val="3"/>
            <w:tcBorders>
              <w:top w:val="outset" w:sz="6" w:space="0" w:color="auto"/>
              <w:left w:val="outset" w:sz="6" w:space="0" w:color="auto"/>
              <w:bottom w:val="single" w:sz="4" w:space="0" w:color="auto"/>
              <w:right w:val="outset" w:sz="6" w:space="0" w:color="auto"/>
            </w:tcBorders>
            <w:hideMark/>
          </w:tcPr>
          <w:p w14:paraId="775A2858" w14:textId="77777777" w:rsidR="005A09AF" w:rsidRPr="00BA7474" w:rsidRDefault="005A09AF" w:rsidP="007D1B33">
            <w:pPr>
              <w:spacing w:before="100" w:beforeAutospacing="1" w:after="100" w:afterAutospacing="1"/>
              <w:rPr>
                <w:rFonts w:eastAsia="Times New Roman" w:cs="Times New Roman"/>
                <w:sz w:val="26"/>
                <w:szCs w:val="26"/>
                <w:lang w:eastAsia="lv-LV"/>
              </w:rPr>
            </w:pPr>
            <w:r w:rsidRPr="00BA7474">
              <w:rPr>
                <w:rFonts w:eastAsia="Times New Roman" w:cs="Times New Roman"/>
                <w:sz w:val="26"/>
                <w:szCs w:val="26"/>
                <w:lang w:eastAsia="lv-LV"/>
              </w:rPr>
              <w:t>Nav</w:t>
            </w:r>
          </w:p>
        </w:tc>
      </w:tr>
      <w:tr w:rsidR="005A09AF" w:rsidRPr="00E06EE8" w14:paraId="5C0ED79A" w14:textId="77777777" w:rsidTr="005A09AF">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c>
          <w:tcPr>
            <w:tcW w:w="5000" w:type="pct"/>
            <w:gridSpan w:val="7"/>
            <w:tcBorders>
              <w:top w:val="single" w:sz="4" w:space="0" w:color="auto"/>
              <w:left w:val="outset" w:sz="6" w:space="0" w:color="auto"/>
              <w:bottom w:val="outset" w:sz="6" w:space="0" w:color="auto"/>
              <w:right w:val="outset" w:sz="6" w:space="0" w:color="auto"/>
            </w:tcBorders>
          </w:tcPr>
          <w:p w14:paraId="267EB2B1" w14:textId="77777777" w:rsidR="005A09AF" w:rsidRPr="00BA7474" w:rsidRDefault="005A09AF" w:rsidP="007D1B33">
            <w:pPr>
              <w:jc w:val="center"/>
              <w:rPr>
                <w:rFonts w:eastAsia="Times New Roman" w:cs="Times New Roman"/>
                <w:b/>
                <w:sz w:val="26"/>
                <w:szCs w:val="26"/>
              </w:rPr>
            </w:pPr>
            <w:r w:rsidRPr="00BA7474">
              <w:rPr>
                <w:rFonts w:eastAsia="Times New Roman" w:cs="Times New Roman"/>
                <w:b/>
                <w:sz w:val="26"/>
                <w:szCs w:val="26"/>
              </w:rPr>
              <w:t>1.tabula</w:t>
            </w:r>
          </w:p>
          <w:p w14:paraId="6599E5B9" w14:textId="77777777" w:rsidR="005A09AF" w:rsidRPr="00E06EE8" w:rsidRDefault="005A09AF" w:rsidP="007D1B33">
            <w:pPr>
              <w:jc w:val="center"/>
              <w:rPr>
                <w:rFonts w:eastAsia="Times New Roman" w:cs="Times New Roman"/>
                <w:szCs w:val="24"/>
                <w:lang w:eastAsia="lv-LV"/>
              </w:rPr>
            </w:pPr>
            <w:r w:rsidRPr="00BA7474">
              <w:rPr>
                <w:rFonts w:eastAsia="Times New Roman" w:cs="Times New Roman"/>
                <w:b/>
                <w:sz w:val="26"/>
                <w:szCs w:val="26"/>
              </w:rPr>
              <w:t>Tiesību akta projekta atbilstība ES tiesību aktiem</w:t>
            </w:r>
          </w:p>
        </w:tc>
      </w:tr>
      <w:tr w:rsidR="005A09AF" w:rsidRPr="00E06EE8" w14:paraId="2E5234C2" w14:textId="77777777" w:rsidTr="006F36FC">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c>
          <w:tcPr>
            <w:tcW w:w="1224" w:type="pct"/>
            <w:gridSpan w:val="3"/>
            <w:tcBorders>
              <w:top w:val="single" w:sz="4" w:space="0" w:color="auto"/>
              <w:left w:val="outset" w:sz="6" w:space="0" w:color="auto"/>
              <w:bottom w:val="outset" w:sz="6" w:space="0" w:color="auto"/>
              <w:right w:val="outset" w:sz="6" w:space="0" w:color="auto"/>
            </w:tcBorders>
            <w:hideMark/>
          </w:tcPr>
          <w:p w14:paraId="40721047" w14:textId="77777777" w:rsidR="005A09AF" w:rsidRPr="00BA7474" w:rsidRDefault="005A09AF" w:rsidP="007D1B33">
            <w:pPr>
              <w:rPr>
                <w:rFonts w:eastAsia="Times New Roman" w:cs="Times New Roman"/>
                <w:sz w:val="26"/>
                <w:szCs w:val="26"/>
                <w:lang w:eastAsia="lv-LV"/>
              </w:rPr>
            </w:pPr>
            <w:r w:rsidRPr="00BA7474">
              <w:rPr>
                <w:rFonts w:eastAsia="Times New Roman" w:cs="Times New Roman"/>
                <w:sz w:val="26"/>
                <w:szCs w:val="26"/>
                <w:lang w:eastAsia="lv-LV"/>
              </w:rPr>
              <w:lastRenderedPageBreak/>
              <w:t>Attiecīgā ES tiesību akta datums, numurs un nosaukums</w:t>
            </w:r>
          </w:p>
        </w:tc>
        <w:tc>
          <w:tcPr>
            <w:tcW w:w="3776" w:type="pct"/>
            <w:gridSpan w:val="4"/>
            <w:tcBorders>
              <w:top w:val="single" w:sz="4" w:space="0" w:color="auto"/>
              <w:left w:val="outset" w:sz="6" w:space="0" w:color="auto"/>
              <w:bottom w:val="outset" w:sz="6" w:space="0" w:color="auto"/>
              <w:right w:val="outset" w:sz="6" w:space="0" w:color="auto"/>
            </w:tcBorders>
            <w:hideMark/>
          </w:tcPr>
          <w:p w14:paraId="7B6EA032" w14:textId="6525EC5E" w:rsidR="00DA2F55" w:rsidRDefault="00575B76" w:rsidP="00DA2F55">
            <w:pPr>
              <w:jc w:val="both"/>
              <w:rPr>
                <w:rFonts w:eastAsia="Times New Roman" w:cs="Times New Roman"/>
                <w:sz w:val="26"/>
                <w:szCs w:val="26"/>
                <w:lang w:eastAsia="lv-LV"/>
              </w:rPr>
            </w:pPr>
            <w:r>
              <w:rPr>
                <w:rFonts w:eastAsia="Times New Roman" w:cs="Times New Roman"/>
                <w:sz w:val="26"/>
                <w:szCs w:val="26"/>
                <w:lang w:eastAsia="lv-LV"/>
              </w:rPr>
              <w:t>Regula Nr.</w:t>
            </w:r>
            <w:r w:rsidR="000C172B">
              <w:rPr>
                <w:rFonts w:eastAsia="Times New Roman" w:cs="Times New Roman"/>
                <w:sz w:val="26"/>
                <w:szCs w:val="26"/>
                <w:lang w:eastAsia="lv-LV"/>
              </w:rPr>
              <w:t> </w:t>
            </w:r>
            <w:r>
              <w:rPr>
                <w:rFonts w:eastAsia="Times New Roman" w:cs="Times New Roman"/>
                <w:sz w:val="26"/>
                <w:szCs w:val="26"/>
                <w:lang w:eastAsia="lv-LV"/>
              </w:rPr>
              <w:t>608/2013.</w:t>
            </w:r>
          </w:p>
          <w:p w14:paraId="72E74BC2" w14:textId="1E047D76" w:rsidR="005A09AF" w:rsidRPr="00BA7474" w:rsidRDefault="005A09AF" w:rsidP="00F5089C">
            <w:pPr>
              <w:jc w:val="both"/>
              <w:rPr>
                <w:rFonts w:eastAsia="Times New Roman" w:cs="Times New Roman"/>
                <w:sz w:val="26"/>
                <w:szCs w:val="26"/>
                <w:lang w:eastAsia="lv-LV"/>
              </w:rPr>
            </w:pPr>
          </w:p>
        </w:tc>
      </w:tr>
      <w:tr w:rsidR="005A09AF" w:rsidRPr="00E06EE8" w14:paraId="424150B9" w14:textId="77777777" w:rsidTr="00575B76">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c>
          <w:tcPr>
            <w:tcW w:w="1224" w:type="pct"/>
            <w:gridSpan w:val="3"/>
            <w:tcBorders>
              <w:top w:val="outset" w:sz="6" w:space="0" w:color="auto"/>
              <w:left w:val="outset" w:sz="6" w:space="0" w:color="auto"/>
              <w:bottom w:val="outset" w:sz="6" w:space="0" w:color="auto"/>
              <w:right w:val="outset" w:sz="6" w:space="0" w:color="auto"/>
            </w:tcBorders>
            <w:vAlign w:val="center"/>
            <w:hideMark/>
          </w:tcPr>
          <w:p w14:paraId="22BEC3E1" w14:textId="77777777" w:rsidR="005A09AF" w:rsidRPr="00BA7474" w:rsidRDefault="005A09AF" w:rsidP="007D1B33">
            <w:pPr>
              <w:spacing w:before="100" w:beforeAutospacing="1" w:after="100" w:afterAutospacing="1"/>
              <w:rPr>
                <w:rFonts w:eastAsia="Times New Roman" w:cs="Times New Roman"/>
                <w:sz w:val="26"/>
                <w:szCs w:val="26"/>
                <w:lang w:eastAsia="lv-LV"/>
              </w:rPr>
            </w:pPr>
            <w:r w:rsidRPr="00BA7474">
              <w:rPr>
                <w:rFonts w:eastAsia="Times New Roman" w:cs="Times New Roman"/>
                <w:sz w:val="26"/>
                <w:szCs w:val="26"/>
                <w:lang w:eastAsia="lv-LV"/>
              </w:rPr>
              <w:t>A</w:t>
            </w:r>
          </w:p>
        </w:tc>
        <w:tc>
          <w:tcPr>
            <w:tcW w:w="1126" w:type="pct"/>
            <w:gridSpan w:val="2"/>
            <w:tcBorders>
              <w:top w:val="outset" w:sz="6" w:space="0" w:color="auto"/>
              <w:left w:val="outset" w:sz="6" w:space="0" w:color="auto"/>
              <w:bottom w:val="outset" w:sz="6" w:space="0" w:color="auto"/>
              <w:right w:val="outset" w:sz="6" w:space="0" w:color="auto"/>
            </w:tcBorders>
            <w:vAlign w:val="center"/>
            <w:hideMark/>
          </w:tcPr>
          <w:p w14:paraId="0B6D5A92" w14:textId="77777777" w:rsidR="005A09AF" w:rsidRPr="00BA7474" w:rsidRDefault="005A09AF" w:rsidP="007D1B33">
            <w:pPr>
              <w:spacing w:before="100" w:beforeAutospacing="1" w:after="100" w:afterAutospacing="1"/>
              <w:rPr>
                <w:rFonts w:eastAsia="Times New Roman" w:cs="Times New Roman"/>
                <w:sz w:val="26"/>
                <w:szCs w:val="26"/>
                <w:lang w:eastAsia="lv-LV"/>
              </w:rPr>
            </w:pPr>
            <w:r w:rsidRPr="00BA7474">
              <w:rPr>
                <w:rFonts w:eastAsia="Times New Roman" w:cs="Times New Roman"/>
                <w:sz w:val="26"/>
                <w:szCs w:val="26"/>
                <w:lang w:eastAsia="lv-LV"/>
              </w:rPr>
              <w:t>B</w:t>
            </w:r>
          </w:p>
        </w:tc>
        <w:tc>
          <w:tcPr>
            <w:tcW w:w="933" w:type="pct"/>
            <w:tcBorders>
              <w:top w:val="outset" w:sz="6" w:space="0" w:color="auto"/>
              <w:left w:val="outset" w:sz="6" w:space="0" w:color="auto"/>
              <w:bottom w:val="outset" w:sz="6" w:space="0" w:color="auto"/>
              <w:right w:val="outset" w:sz="6" w:space="0" w:color="auto"/>
            </w:tcBorders>
            <w:vAlign w:val="center"/>
            <w:hideMark/>
          </w:tcPr>
          <w:p w14:paraId="7D383F9E" w14:textId="77777777" w:rsidR="005A09AF" w:rsidRPr="00BA7474" w:rsidRDefault="005A09AF" w:rsidP="007D1B33">
            <w:pPr>
              <w:spacing w:before="100" w:beforeAutospacing="1" w:after="100" w:afterAutospacing="1"/>
              <w:rPr>
                <w:rFonts w:eastAsia="Times New Roman" w:cs="Times New Roman"/>
                <w:sz w:val="26"/>
                <w:szCs w:val="26"/>
                <w:lang w:eastAsia="lv-LV"/>
              </w:rPr>
            </w:pPr>
            <w:r w:rsidRPr="00BA7474">
              <w:rPr>
                <w:rFonts w:eastAsia="Times New Roman" w:cs="Times New Roman"/>
                <w:sz w:val="26"/>
                <w:szCs w:val="26"/>
                <w:lang w:eastAsia="lv-LV"/>
              </w:rPr>
              <w:t>C</w:t>
            </w:r>
          </w:p>
        </w:tc>
        <w:tc>
          <w:tcPr>
            <w:tcW w:w="1717" w:type="pct"/>
            <w:tcBorders>
              <w:top w:val="outset" w:sz="6" w:space="0" w:color="auto"/>
              <w:left w:val="outset" w:sz="6" w:space="0" w:color="auto"/>
              <w:bottom w:val="outset" w:sz="6" w:space="0" w:color="auto"/>
              <w:right w:val="outset" w:sz="6" w:space="0" w:color="auto"/>
            </w:tcBorders>
            <w:vAlign w:val="center"/>
            <w:hideMark/>
          </w:tcPr>
          <w:p w14:paraId="71ED9385" w14:textId="77777777" w:rsidR="005A09AF" w:rsidRPr="00BA7474" w:rsidRDefault="005A09AF" w:rsidP="007D1B33">
            <w:pPr>
              <w:spacing w:before="100" w:beforeAutospacing="1" w:after="100" w:afterAutospacing="1"/>
              <w:rPr>
                <w:rFonts w:eastAsia="Times New Roman" w:cs="Times New Roman"/>
                <w:sz w:val="26"/>
                <w:szCs w:val="26"/>
                <w:lang w:eastAsia="lv-LV"/>
              </w:rPr>
            </w:pPr>
            <w:r w:rsidRPr="00BA7474">
              <w:rPr>
                <w:rFonts w:eastAsia="Times New Roman" w:cs="Times New Roman"/>
                <w:sz w:val="26"/>
                <w:szCs w:val="26"/>
                <w:lang w:eastAsia="lv-LV"/>
              </w:rPr>
              <w:t>D</w:t>
            </w:r>
          </w:p>
        </w:tc>
      </w:tr>
      <w:tr w:rsidR="005A09AF" w:rsidRPr="00E06EE8" w14:paraId="0F41F4F0" w14:textId="77777777" w:rsidTr="00575B76">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c>
          <w:tcPr>
            <w:tcW w:w="1224" w:type="pct"/>
            <w:gridSpan w:val="3"/>
            <w:tcBorders>
              <w:top w:val="outset" w:sz="6" w:space="0" w:color="auto"/>
              <w:left w:val="outset" w:sz="6" w:space="0" w:color="auto"/>
              <w:bottom w:val="outset" w:sz="6" w:space="0" w:color="auto"/>
              <w:right w:val="outset" w:sz="6" w:space="0" w:color="auto"/>
            </w:tcBorders>
            <w:hideMark/>
          </w:tcPr>
          <w:p w14:paraId="5EC2A957" w14:textId="77777777" w:rsidR="005A09AF" w:rsidRPr="00BA7474" w:rsidRDefault="005A09AF" w:rsidP="00440B68">
            <w:pPr>
              <w:jc w:val="both"/>
              <w:rPr>
                <w:rFonts w:eastAsia="Times New Roman" w:cs="Times New Roman"/>
                <w:sz w:val="26"/>
                <w:szCs w:val="26"/>
                <w:lang w:eastAsia="lv-LV"/>
              </w:rPr>
            </w:pPr>
            <w:r w:rsidRPr="00BA7474">
              <w:rPr>
                <w:rFonts w:eastAsia="Times New Roman" w:cs="Times New Roman"/>
                <w:sz w:val="26"/>
                <w:szCs w:val="26"/>
                <w:lang w:eastAsia="lv-LV"/>
              </w:rPr>
              <w:t>Attiecīgā ES tiesību akta panta numurs (uzskaitot katru tiesību akta vienību – pantu, daļu, punktu, apakšpunktu)</w:t>
            </w:r>
          </w:p>
        </w:tc>
        <w:tc>
          <w:tcPr>
            <w:tcW w:w="1126" w:type="pct"/>
            <w:gridSpan w:val="2"/>
            <w:tcBorders>
              <w:top w:val="outset" w:sz="6" w:space="0" w:color="auto"/>
              <w:left w:val="outset" w:sz="6" w:space="0" w:color="auto"/>
              <w:bottom w:val="outset" w:sz="6" w:space="0" w:color="auto"/>
              <w:right w:val="outset" w:sz="6" w:space="0" w:color="auto"/>
            </w:tcBorders>
            <w:hideMark/>
          </w:tcPr>
          <w:p w14:paraId="6CE74A2A" w14:textId="77777777" w:rsidR="005A09AF" w:rsidRPr="00BA7474" w:rsidRDefault="005A09AF" w:rsidP="00440B68">
            <w:pPr>
              <w:jc w:val="both"/>
              <w:rPr>
                <w:rFonts w:eastAsia="Times New Roman" w:cs="Times New Roman"/>
                <w:sz w:val="26"/>
                <w:szCs w:val="26"/>
                <w:lang w:eastAsia="lv-LV"/>
              </w:rPr>
            </w:pPr>
            <w:r w:rsidRPr="00BA7474">
              <w:rPr>
                <w:rFonts w:eastAsia="Times New Roman" w:cs="Times New Roman"/>
                <w:sz w:val="26"/>
                <w:szCs w:val="26"/>
                <w:lang w:eastAsia="lv-LV"/>
              </w:rPr>
              <w:t>Projekta vienība, kas pārņem vai ievieš katru šīs tabulas A ailē minēto ES tiesību akta vienību, vai tiesību akts, kur attiecīgā ES tiesību akta vienība pārņemta vai ieviesta</w:t>
            </w:r>
          </w:p>
        </w:tc>
        <w:tc>
          <w:tcPr>
            <w:tcW w:w="933" w:type="pct"/>
            <w:tcBorders>
              <w:top w:val="outset" w:sz="6" w:space="0" w:color="auto"/>
              <w:left w:val="outset" w:sz="6" w:space="0" w:color="auto"/>
              <w:bottom w:val="outset" w:sz="6" w:space="0" w:color="auto"/>
              <w:right w:val="outset" w:sz="6" w:space="0" w:color="auto"/>
            </w:tcBorders>
            <w:hideMark/>
          </w:tcPr>
          <w:p w14:paraId="00152C1E" w14:textId="77777777" w:rsidR="005A09AF" w:rsidRPr="00BA7474" w:rsidRDefault="005A09AF" w:rsidP="00440B68">
            <w:pPr>
              <w:jc w:val="both"/>
              <w:rPr>
                <w:rFonts w:eastAsia="Times New Roman" w:cs="Times New Roman"/>
                <w:sz w:val="26"/>
                <w:szCs w:val="26"/>
                <w:lang w:eastAsia="lv-LV"/>
              </w:rPr>
            </w:pPr>
            <w:r w:rsidRPr="00BA7474">
              <w:rPr>
                <w:rFonts w:eastAsia="Times New Roman" w:cs="Times New Roman"/>
                <w:sz w:val="26"/>
                <w:szCs w:val="26"/>
                <w:lang w:eastAsia="lv-LV"/>
              </w:rPr>
              <w:t xml:space="preserve">Informācija par to, vai šīs tabulas A ailē minētās ES tiesību akta vienības tiek pārņemtas vai ieviestas pilnībā vai daļēji. </w:t>
            </w:r>
          </w:p>
          <w:p w14:paraId="474A1BF1" w14:textId="77777777" w:rsidR="005A09AF" w:rsidRPr="00BA7474" w:rsidRDefault="005A09AF" w:rsidP="00440B68">
            <w:pPr>
              <w:spacing w:before="100" w:beforeAutospacing="1" w:after="100" w:afterAutospacing="1"/>
              <w:jc w:val="both"/>
              <w:rPr>
                <w:rFonts w:eastAsia="Times New Roman" w:cs="Times New Roman"/>
                <w:sz w:val="26"/>
                <w:szCs w:val="26"/>
                <w:lang w:eastAsia="lv-LV"/>
              </w:rPr>
            </w:pPr>
            <w:r w:rsidRPr="00BA7474">
              <w:rPr>
                <w:rFonts w:eastAsia="Times New Roman" w:cs="Times New Roman"/>
                <w:sz w:val="26"/>
                <w:szCs w:val="26"/>
                <w:lang w:eastAsia="lv-LV"/>
              </w:rPr>
              <w:t>Ja attiecīgā ES tiesību akta vienība tiek pārņemta vai ieviesta daļēji, sniedz attiecīgu skaidrojumu, kā arī precīzi norāda, kad un kādā veidā ES tiesību akta vienība tiks pārņemta vai ieviesta pilnībā.</w:t>
            </w:r>
          </w:p>
          <w:p w14:paraId="011ECA5E" w14:textId="77777777" w:rsidR="005A09AF" w:rsidRPr="00BA7474" w:rsidRDefault="005A09AF" w:rsidP="00440B68">
            <w:pPr>
              <w:spacing w:before="100" w:beforeAutospacing="1" w:after="100" w:afterAutospacing="1"/>
              <w:jc w:val="both"/>
              <w:rPr>
                <w:rFonts w:eastAsia="Times New Roman" w:cs="Times New Roman"/>
                <w:sz w:val="26"/>
                <w:szCs w:val="26"/>
                <w:lang w:eastAsia="lv-LV"/>
              </w:rPr>
            </w:pPr>
            <w:r w:rsidRPr="00BA7474">
              <w:rPr>
                <w:rFonts w:eastAsia="Times New Roman" w:cs="Times New Roman"/>
                <w:sz w:val="26"/>
                <w:szCs w:val="26"/>
                <w:lang w:eastAsia="lv-LV"/>
              </w:rPr>
              <w:t>Norāda institūciju, kas ir atbildīga par šo saistību izpildi pilnībā</w:t>
            </w:r>
          </w:p>
        </w:tc>
        <w:tc>
          <w:tcPr>
            <w:tcW w:w="1717" w:type="pct"/>
            <w:tcBorders>
              <w:top w:val="outset" w:sz="6" w:space="0" w:color="auto"/>
              <w:left w:val="outset" w:sz="6" w:space="0" w:color="auto"/>
              <w:bottom w:val="outset" w:sz="6" w:space="0" w:color="auto"/>
              <w:right w:val="outset" w:sz="6" w:space="0" w:color="auto"/>
            </w:tcBorders>
            <w:hideMark/>
          </w:tcPr>
          <w:p w14:paraId="154622C9" w14:textId="77777777" w:rsidR="005A09AF" w:rsidRPr="00BA7474" w:rsidRDefault="005A09AF" w:rsidP="00440B68">
            <w:pPr>
              <w:jc w:val="both"/>
              <w:rPr>
                <w:rFonts w:eastAsia="Times New Roman" w:cs="Times New Roman"/>
                <w:sz w:val="26"/>
                <w:szCs w:val="26"/>
                <w:lang w:eastAsia="lv-LV"/>
              </w:rPr>
            </w:pPr>
            <w:r w:rsidRPr="00BA7474">
              <w:rPr>
                <w:rFonts w:eastAsia="Times New Roman" w:cs="Times New Roman"/>
                <w:sz w:val="26"/>
                <w:szCs w:val="26"/>
                <w:lang w:eastAsia="lv-LV"/>
              </w:rPr>
              <w:t xml:space="preserve">Informācija par to, vai šīs tabulas B ailē minētās projekta vienības paredz stingrākas prasības nekā šīs tabulas A ailē minētās ES tiesību akta vienības. </w:t>
            </w:r>
          </w:p>
          <w:p w14:paraId="3EB13A0F" w14:textId="77777777" w:rsidR="005A09AF" w:rsidRPr="00BA7474" w:rsidRDefault="005A09AF" w:rsidP="00440B68">
            <w:pPr>
              <w:jc w:val="both"/>
              <w:rPr>
                <w:rFonts w:eastAsia="Times New Roman" w:cs="Times New Roman"/>
                <w:sz w:val="26"/>
                <w:szCs w:val="26"/>
                <w:lang w:eastAsia="lv-LV"/>
              </w:rPr>
            </w:pPr>
            <w:r w:rsidRPr="00BA7474">
              <w:rPr>
                <w:rFonts w:eastAsia="Times New Roman" w:cs="Times New Roman"/>
                <w:sz w:val="26"/>
                <w:szCs w:val="26"/>
                <w:lang w:eastAsia="lv-LV"/>
              </w:rPr>
              <w:t>Ja projekts satur stingrākas prasības nekā attiecīgais ES tiesību akts, norāda pamatojumu un samērīgumu.</w:t>
            </w:r>
          </w:p>
          <w:p w14:paraId="300D29E7" w14:textId="77777777" w:rsidR="005A09AF" w:rsidRPr="00BA7474" w:rsidRDefault="005A09AF" w:rsidP="00440B68">
            <w:pPr>
              <w:jc w:val="both"/>
              <w:rPr>
                <w:rFonts w:eastAsia="Times New Roman" w:cs="Times New Roman"/>
                <w:sz w:val="26"/>
                <w:szCs w:val="26"/>
                <w:lang w:eastAsia="lv-LV"/>
              </w:rPr>
            </w:pPr>
          </w:p>
          <w:p w14:paraId="040D59FD" w14:textId="77777777" w:rsidR="005A09AF" w:rsidRPr="00BA7474" w:rsidRDefault="005A09AF" w:rsidP="00440B68">
            <w:pPr>
              <w:jc w:val="both"/>
              <w:rPr>
                <w:rFonts w:eastAsia="Times New Roman" w:cs="Times New Roman"/>
                <w:sz w:val="26"/>
                <w:szCs w:val="26"/>
                <w:lang w:eastAsia="lv-LV"/>
              </w:rPr>
            </w:pPr>
            <w:r w:rsidRPr="00BA7474">
              <w:rPr>
                <w:rFonts w:eastAsia="Times New Roman" w:cs="Times New Roman"/>
                <w:sz w:val="26"/>
                <w:szCs w:val="26"/>
                <w:lang w:eastAsia="lv-LV"/>
              </w:rPr>
              <w:t>Norāda iespējamās alternatīvas (t.sk. alternatīvas, kas neparedz tiesiskā regulējuma izstrādi) – kādos gadījumos būtu iespējams izvairīties no stingrāku prasību noteikšanas, nekā paredzēts attiecīgajos ES tiesību aktos</w:t>
            </w:r>
          </w:p>
        </w:tc>
      </w:tr>
      <w:tr w:rsidR="0067480D" w:rsidRPr="00E06EE8" w14:paraId="79FFD892" w14:textId="77777777" w:rsidTr="00575B76">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c>
          <w:tcPr>
            <w:tcW w:w="1224" w:type="pct"/>
            <w:gridSpan w:val="3"/>
            <w:tcBorders>
              <w:top w:val="outset" w:sz="6" w:space="0" w:color="auto"/>
              <w:left w:val="outset" w:sz="6" w:space="0" w:color="auto"/>
              <w:bottom w:val="outset" w:sz="6" w:space="0" w:color="auto"/>
              <w:right w:val="outset" w:sz="6" w:space="0" w:color="auto"/>
            </w:tcBorders>
          </w:tcPr>
          <w:p w14:paraId="47E5DC6F" w14:textId="6AFDC292" w:rsidR="0067480D" w:rsidRPr="00E52498" w:rsidRDefault="00E52498" w:rsidP="006F36FC">
            <w:pPr>
              <w:jc w:val="both"/>
              <w:rPr>
                <w:rFonts w:eastAsia="Times New Roman" w:cs="Times New Roman"/>
                <w:sz w:val="26"/>
                <w:szCs w:val="26"/>
                <w:highlight w:val="yellow"/>
                <w:lang w:eastAsia="lv-LV"/>
              </w:rPr>
            </w:pPr>
            <w:r w:rsidRPr="00E52498">
              <w:rPr>
                <w:rFonts w:eastAsia="Times New Roman" w:cs="Times New Roman"/>
                <w:sz w:val="26"/>
                <w:szCs w:val="26"/>
                <w:lang w:eastAsia="lv-LV"/>
              </w:rPr>
              <w:t>608/2013 25. panta 1. punkta “a” apakšpunkts; 19. panta 2. punkts; regulas Nr. 952/2013 198. pants.</w:t>
            </w:r>
          </w:p>
        </w:tc>
        <w:tc>
          <w:tcPr>
            <w:tcW w:w="1126" w:type="pct"/>
            <w:gridSpan w:val="2"/>
            <w:tcBorders>
              <w:top w:val="outset" w:sz="6" w:space="0" w:color="auto"/>
              <w:left w:val="outset" w:sz="6" w:space="0" w:color="auto"/>
              <w:bottom w:val="outset" w:sz="6" w:space="0" w:color="auto"/>
              <w:right w:val="outset" w:sz="6" w:space="0" w:color="auto"/>
            </w:tcBorders>
          </w:tcPr>
          <w:p w14:paraId="6FD09780" w14:textId="294F70C4" w:rsidR="0067480D" w:rsidRPr="00E52498" w:rsidRDefault="0067480D" w:rsidP="006F36FC">
            <w:pPr>
              <w:jc w:val="both"/>
              <w:rPr>
                <w:rFonts w:cs="Times New Roman"/>
                <w:sz w:val="26"/>
                <w:szCs w:val="26"/>
              </w:rPr>
            </w:pPr>
            <w:r w:rsidRPr="00E52498">
              <w:rPr>
                <w:rFonts w:cs="Times New Roman"/>
                <w:sz w:val="26"/>
                <w:szCs w:val="26"/>
              </w:rPr>
              <w:t xml:space="preserve">Noteikumu projekta </w:t>
            </w:r>
            <w:r w:rsidR="008A5C49">
              <w:rPr>
                <w:rFonts w:cs="Times New Roman"/>
                <w:sz w:val="26"/>
                <w:szCs w:val="26"/>
              </w:rPr>
              <w:t>1.</w:t>
            </w:r>
            <w:r w:rsidR="00E52498" w:rsidRPr="00E52498">
              <w:rPr>
                <w:rFonts w:cs="Times New Roman"/>
                <w:sz w:val="26"/>
                <w:szCs w:val="26"/>
              </w:rPr>
              <w:t>1</w:t>
            </w:r>
            <w:r w:rsidR="000B4634">
              <w:rPr>
                <w:rFonts w:cs="Times New Roman"/>
                <w:sz w:val="26"/>
                <w:szCs w:val="26"/>
              </w:rPr>
              <w:t>1</w:t>
            </w:r>
            <w:r w:rsidR="00E52498" w:rsidRPr="00E52498">
              <w:rPr>
                <w:rFonts w:cs="Times New Roman"/>
                <w:sz w:val="26"/>
                <w:szCs w:val="26"/>
              </w:rPr>
              <w:t>.punkts</w:t>
            </w:r>
          </w:p>
          <w:p w14:paraId="305101E9" w14:textId="77777777" w:rsidR="0067480D" w:rsidRPr="00E52498" w:rsidRDefault="0067480D" w:rsidP="006F36FC">
            <w:pPr>
              <w:jc w:val="both"/>
              <w:rPr>
                <w:rFonts w:cs="Times New Roman"/>
                <w:sz w:val="26"/>
                <w:szCs w:val="26"/>
              </w:rPr>
            </w:pPr>
          </w:p>
          <w:p w14:paraId="584662A8" w14:textId="77777777" w:rsidR="0067480D" w:rsidRPr="00E52498" w:rsidRDefault="0067480D" w:rsidP="006F36FC">
            <w:pPr>
              <w:jc w:val="both"/>
              <w:rPr>
                <w:rFonts w:cs="Times New Roman"/>
                <w:sz w:val="26"/>
                <w:szCs w:val="26"/>
              </w:rPr>
            </w:pPr>
          </w:p>
        </w:tc>
        <w:tc>
          <w:tcPr>
            <w:tcW w:w="933" w:type="pct"/>
            <w:tcBorders>
              <w:top w:val="outset" w:sz="6" w:space="0" w:color="auto"/>
              <w:left w:val="outset" w:sz="6" w:space="0" w:color="auto"/>
              <w:bottom w:val="outset" w:sz="6" w:space="0" w:color="auto"/>
              <w:right w:val="outset" w:sz="6" w:space="0" w:color="auto"/>
            </w:tcBorders>
          </w:tcPr>
          <w:p w14:paraId="1F439E66" w14:textId="1CA073CC" w:rsidR="0067480D" w:rsidRPr="00E52498" w:rsidRDefault="0067480D" w:rsidP="006F36FC">
            <w:pPr>
              <w:jc w:val="both"/>
              <w:rPr>
                <w:rFonts w:cs="Times New Roman"/>
                <w:sz w:val="26"/>
                <w:szCs w:val="26"/>
              </w:rPr>
            </w:pPr>
            <w:r w:rsidRPr="00E52498">
              <w:rPr>
                <w:rFonts w:cs="Times New Roman"/>
                <w:spacing w:val="-2"/>
                <w:sz w:val="26"/>
                <w:szCs w:val="26"/>
              </w:rPr>
              <w:t>Tiek ieviests pilnībā.</w:t>
            </w:r>
          </w:p>
        </w:tc>
        <w:tc>
          <w:tcPr>
            <w:tcW w:w="1717" w:type="pct"/>
            <w:tcBorders>
              <w:top w:val="outset" w:sz="6" w:space="0" w:color="auto"/>
              <w:left w:val="outset" w:sz="6" w:space="0" w:color="auto"/>
              <w:bottom w:val="outset" w:sz="6" w:space="0" w:color="auto"/>
              <w:right w:val="outset" w:sz="6" w:space="0" w:color="auto"/>
            </w:tcBorders>
          </w:tcPr>
          <w:p w14:paraId="002080F5" w14:textId="0F00D109" w:rsidR="0067480D" w:rsidRPr="00E52498" w:rsidRDefault="0067480D" w:rsidP="006F36FC">
            <w:pPr>
              <w:jc w:val="both"/>
              <w:rPr>
                <w:rFonts w:cs="Times New Roman"/>
                <w:sz w:val="26"/>
                <w:szCs w:val="26"/>
              </w:rPr>
            </w:pPr>
            <w:r w:rsidRPr="00E52498">
              <w:rPr>
                <w:rFonts w:cs="Times New Roman"/>
                <w:spacing w:val="-2"/>
                <w:sz w:val="26"/>
                <w:szCs w:val="26"/>
              </w:rPr>
              <w:t>Nacionālais tiesību akts neparedz stingrākas prasības.</w:t>
            </w:r>
          </w:p>
        </w:tc>
      </w:tr>
      <w:tr w:rsidR="005A09AF" w:rsidRPr="00E06EE8" w14:paraId="6B2213AC" w14:textId="77777777" w:rsidTr="006F36FC">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c>
          <w:tcPr>
            <w:tcW w:w="1224" w:type="pct"/>
            <w:gridSpan w:val="3"/>
            <w:tcBorders>
              <w:top w:val="outset" w:sz="6" w:space="0" w:color="auto"/>
              <w:left w:val="outset" w:sz="6" w:space="0" w:color="auto"/>
              <w:bottom w:val="outset" w:sz="6" w:space="0" w:color="auto"/>
              <w:right w:val="outset" w:sz="6" w:space="0" w:color="auto"/>
            </w:tcBorders>
            <w:hideMark/>
          </w:tcPr>
          <w:p w14:paraId="043B679F" w14:textId="77777777" w:rsidR="005A09AF" w:rsidRPr="00BA7474" w:rsidRDefault="005A09AF" w:rsidP="00440B68">
            <w:pPr>
              <w:jc w:val="both"/>
              <w:rPr>
                <w:rFonts w:eastAsia="Times New Roman" w:cs="Times New Roman"/>
                <w:sz w:val="26"/>
                <w:szCs w:val="26"/>
                <w:lang w:eastAsia="lv-LV"/>
              </w:rPr>
            </w:pPr>
            <w:r w:rsidRPr="00BA7474">
              <w:rPr>
                <w:rFonts w:eastAsia="Times New Roman" w:cs="Times New Roman"/>
                <w:sz w:val="26"/>
                <w:szCs w:val="26"/>
                <w:lang w:eastAsia="lv-LV"/>
              </w:rPr>
              <w:t xml:space="preserve">Saistības sniegt paziņojumu ES institūcijām un ES dalībvalstīm </w:t>
            </w:r>
            <w:r w:rsidRPr="00BA7474">
              <w:rPr>
                <w:rFonts w:eastAsia="Times New Roman" w:cs="Times New Roman"/>
                <w:sz w:val="26"/>
                <w:szCs w:val="26"/>
                <w:lang w:eastAsia="lv-LV"/>
              </w:rPr>
              <w:lastRenderedPageBreak/>
              <w:t>atbilstoši normatīvajiem aktiem, kas regulē informācijas sniegšanu par tehnisko noteikumu, valsts atbalsta piešķiršanas un finanšu noteikumu (attiecībā uz monetāro politiku) projektiem</w:t>
            </w:r>
          </w:p>
        </w:tc>
        <w:tc>
          <w:tcPr>
            <w:tcW w:w="3776" w:type="pct"/>
            <w:gridSpan w:val="4"/>
            <w:tcBorders>
              <w:top w:val="outset" w:sz="6" w:space="0" w:color="auto"/>
              <w:left w:val="outset" w:sz="6" w:space="0" w:color="auto"/>
              <w:bottom w:val="outset" w:sz="6" w:space="0" w:color="auto"/>
              <w:right w:val="outset" w:sz="6" w:space="0" w:color="auto"/>
            </w:tcBorders>
            <w:hideMark/>
          </w:tcPr>
          <w:p w14:paraId="7602F947" w14:textId="77777777" w:rsidR="005A09AF" w:rsidRPr="00BA7474" w:rsidRDefault="005A09AF" w:rsidP="007D1B33">
            <w:pPr>
              <w:ind w:left="57" w:right="57"/>
              <w:rPr>
                <w:rFonts w:eastAsia="Times New Roman" w:cs="Times New Roman"/>
                <w:sz w:val="26"/>
                <w:szCs w:val="26"/>
                <w:lang w:eastAsia="lv-LV"/>
              </w:rPr>
            </w:pPr>
            <w:r w:rsidRPr="00BA7474">
              <w:rPr>
                <w:rFonts w:eastAsia="Times New Roman" w:cs="Times New Roman"/>
                <w:sz w:val="26"/>
                <w:szCs w:val="26"/>
                <w:lang w:eastAsia="lv-LV"/>
              </w:rPr>
              <w:lastRenderedPageBreak/>
              <w:t>Nav attiecināms</w:t>
            </w:r>
          </w:p>
        </w:tc>
      </w:tr>
      <w:tr w:rsidR="005A09AF" w:rsidRPr="00E06EE8" w14:paraId="3564920E" w14:textId="77777777" w:rsidTr="006F36FC">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c>
          <w:tcPr>
            <w:tcW w:w="1224" w:type="pct"/>
            <w:gridSpan w:val="3"/>
            <w:tcBorders>
              <w:top w:val="outset" w:sz="6" w:space="0" w:color="auto"/>
              <w:left w:val="outset" w:sz="6" w:space="0" w:color="auto"/>
              <w:bottom w:val="outset" w:sz="6" w:space="0" w:color="auto"/>
              <w:right w:val="outset" w:sz="6" w:space="0" w:color="auto"/>
            </w:tcBorders>
            <w:hideMark/>
          </w:tcPr>
          <w:p w14:paraId="1559A97E" w14:textId="77777777" w:rsidR="005A09AF" w:rsidRPr="00BA7474" w:rsidRDefault="005A09AF" w:rsidP="007D1B33">
            <w:pPr>
              <w:rPr>
                <w:rFonts w:eastAsia="Times New Roman" w:cs="Times New Roman"/>
                <w:sz w:val="26"/>
                <w:szCs w:val="26"/>
                <w:lang w:eastAsia="lv-LV"/>
              </w:rPr>
            </w:pPr>
            <w:r w:rsidRPr="00BA7474">
              <w:rPr>
                <w:rFonts w:eastAsia="Times New Roman" w:cs="Times New Roman"/>
                <w:sz w:val="26"/>
                <w:szCs w:val="26"/>
                <w:lang w:eastAsia="lv-LV"/>
              </w:rPr>
              <w:t>Cita informācija</w:t>
            </w:r>
          </w:p>
        </w:tc>
        <w:tc>
          <w:tcPr>
            <w:tcW w:w="3776" w:type="pct"/>
            <w:gridSpan w:val="4"/>
            <w:tcBorders>
              <w:top w:val="outset" w:sz="6" w:space="0" w:color="auto"/>
              <w:left w:val="outset" w:sz="6" w:space="0" w:color="auto"/>
              <w:bottom w:val="outset" w:sz="6" w:space="0" w:color="auto"/>
              <w:right w:val="outset" w:sz="6" w:space="0" w:color="auto"/>
            </w:tcBorders>
            <w:hideMark/>
          </w:tcPr>
          <w:p w14:paraId="2BC811EE" w14:textId="77777777" w:rsidR="005A09AF" w:rsidRPr="00BA7474" w:rsidRDefault="005A09AF" w:rsidP="007D1B33">
            <w:pPr>
              <w:pStyle w:val="CM4"/>
              <w:jc w:val="both"/>
              <w:rPr>
                <w:rFonts w:eastAsia="Times New Roman"/>
                <w:sz w:val="26"/>
                <w:szCs w:val="26"/>
                <w:lang w:eastAsia="lv-LV"/>
              </w:rPr>
            </w:pPr>
          </w:p>
        </w:tc>
      </w:tr>
      <w:tr w:rsidR="005A09AF" w:rsidRPr="00E06EE8" w14:paraId="6AD1358C" w14:textId="77777777" w:rsidTr="005A09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0" w:type="auto"/>
            <w:gridSpan w:val="7"/>
            <w:shd w:val="clear" w:color="auto" w:fill="auto"/>
            <w:hideMark/>
          </w:tcPr>
          <w:p w14:paraId="6E43FE92" w14:textId="77777777" w:rsidR="005A09AF" w:rsidRPr="00BA7474" w:rsidRDefault="005A09AF" w:rsidP="007D1B33">
            <w:pPr>
              <w:tabs>
                <w:tab w:val="left" w:pos="1377"/>
                <w:tab w:val="center" w:pos="4422"/>
              </w:tabs>
              <w:rPr>
                <w:rFonts w:eastAsia="Times New Roman" w:cs="Times New Roman"/>
                <w:b/>
                <w:sz w:val="26"/>
                <w:szCs w:val="26"/>
              </w:rPr>
            </w:pPr>
            <w:r w:rsidRPr="00BA7474">
              <w:rPr>
                <w:rFonts w:eastAsia="Times New Roman" w:cs="Times New Roman"/>
                <w:b/>
                <w:sz w:val="26"/>
                <w:szCs w:val="26"/>
              </w:rPr>
              <w:tab/>
            </w:r>
            <w:r w:rsidRPr="00BA7474">
              <w:rPr>
                <w:rFonts w:eastAsia="Times New Roman" w:cs="Times New Roman"/>
                <w:b/>
                <w:sz w:val="26"/>
                <w:szCs w:val="26"/>
              </w:rPr>
              <w:tab/>
              <w:t>2.tabula</w:t>
            </w:r>
          </w:p>
          <w:p w14:paraId="418A1EED" w14:textId="77777777" w:rsidR="005A09AF" w:rsidRPr="00BA7474" w:rsidRDefault="005A09AF" w:rsidP="007D1B33">
            <w:pPr>
              <w:jc w:val="center"/>
              <w:rPr>
                <w:rFonts w:eastAsia="Times New Roman" w:cs="Times New Roman"/>
                <w:sz w:val="26"/>
                <w:szCs w:val="26"/>
              </w:rPr>
            </w:pPr>
            <w:r w:rsidRPr="00BA7474">
              <w:rPr>
                <w:rFonts w:eastAsia="Times New Roman" w:cs="Times New Roman"/>
                <w:b/>
                <w:sz w:val="26"/>
                <w:szCs w:val="26"/>
              </w:rPr>
              <w:t>Ar tiesību akta projektu izpildītās vai uzņemtās saistības, kas izriet no starptautiskajiem tiesību aktiem vai starptautiskas institūcijas vai organizācijas dokumentiem.</w:t>
            </w:r>
            <w:r w:rsidRPr="00BA7474">
              <w:rPr>
                <w:rFonts w:eastAsia="Times New Roman" w:cs="Times New Roman"/>
                <w:b/>
                <w:sz w:val="26"/>
                <w:szCs w:val="26"/>
              </w:rPr>
              <w:br/>
              <w:t>Pasākumi šo saistību izpildei</w:t>
            </w:r>
          </w:p>
        </w:tc>
      </w:tr>
      <w:tr w:rsidR="001A0863" w:rsidRPr="00E06EE8" w14:paraId="2EF0A82D" w14:textId="77777777" w:rsidTr="001A08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477"/>
        </w:trPr>
        <w:tc>
          <w:tcPr>
            <w:tcW w:w="5000" w:type="pct"/>
            <w:gridSpan w:val="7"/>
            <w:shd w:val="clear" w:color="auto" w:fill="auto"/>
          </w:tcPr>
          <w:p w14:paraId="5E8BA974" w14:textId="730241C9" w:rsidR="001A0863" w:rsidRPr="00BA7474" w:rsidRDefault="001A0863" w:rsidP="001A0863">
            <w:pPr>
              <w:jc w:val="center"/>
              <w:rPr>
                <w:rFonts w:eastAsia="Times New Roman" w:cs="Times New Roman"/>
                <w:sz w:val="26"/>
                <w:szCs w:val="26"/>
              </w:rPr>
            </w:pPr>
            <w:r w:rsidRPr="00BA7474">
              <w:rPr>
                <w:rFonts w:eastAsia="Times New Roman" w:cs="Times New Roman"/>
                <w:sz w:val="26"/>
                <w:szCs w:val="26"/>
              </w:rPr>
              <w:t>Noteikumu projekts šo jomu neskar.</w:t>
            </w:r>
          </w:p>
        </w:tc>
      </w:tr>
    </w:tbl>
    <w:p w14:paraId="22DBEACF" w14:textId="77777777" w:rsidR="00311CB5" w:rsidRPr="007B70D5" w:rsidRDefault="00311CB5" w:rsidP="009B6765">
      <w:pPr>
        <w:rPr>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06"/>
        <w:gridCol w:w="1544"/>
        <w:gridCol w:w="7105"/>
      </w:tblGrid>
      <w:tr w:rsidR="00AF121C" w:rsidRPr="00465BB8" w14:paraId="63BBAE9D" w14:textId="77777777" w:rsidTr="00EF7016">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4B6B056B" w14:textId="77777777" w:rsidR="00AF121C" w:rsidRPr="00EF7016" w:rsidRDefault="00AF121C" w:rsidP="00CB7A7B">
            <w:pPr>
              <w:jc w:val="center"/>
              <w:rPr>
                <w:b/>
                <w:bCs/>
                <w:sz w:val="26"/>
                <w:szCs w:val="26"/>
              </w:rPr>
            </w:pPr>
            <w:r w:rsidRPr="00EF7016">
              <w:rPr>
                <w:b/>
                <w:bCs/>
                <w:sz w:val="26"/>
                <w:szCs w:val="26"/>
              </w:rPr>
              <w:t>VI. Sabiedrības līdzdalība un komunikācijas aktivitātes</w:t>
            </w:r>
          </w:p>
        </w:tc>
      </w:tr>
      <w:tr w:rsidR="00AF121C" w:rsidRPr="00465BB8" w14:paraId="2982FA38" w14:textId="77777777" w:rsidTr="00EF7016">
        <w:trPr>
          <w:tblCellSpacing w:w="15" w:type="dxa"/>
        </w:trPr>
        <w:tc>
          <w:tcPr>
            <w:tcW w:w="201" w:type="pct"/>
            <w:tcBorders>
              <w:top w:val="outset" w:sz="6" w:space="0" w:color="auto"/>
              <w:left w:val="outset" w:sz="6" w:space="0" w:color="auto"/>
              <w:bottom w:val="outset" w:sz="6" w:space="0" w:color="auto"/>
              <w:right w:val="outset" w:sz="6" w:space="0" w:color="auto"/>
            </w:tcBorders>
            <w:hideMark/>
          </w:tcPr>
          <w:p w14:paraId="3226B30C" w14:textId="77777777" w:rsidR="00AF121C" w:rsidRPr="00EF7016" w:rsidRDefault="00AF121C" w:rsidP="0046514D">
            <w:pPr>
              <w:rPr>
                <w:sz w:val="26"/>
                <w:szCs w:val="26"/>
              </w:rPr>
            </w:pPr>
            <w:r w:rsidRPr="00EF7016">
              <w:rPr>
                <w:sz w:val="26"/>
                <w:szCs w:val="26"/>
              </w:rPr>
              <w:t>1.</w:t>
            </w:r>
          </w:p>
        </w:tc>
        <w:tc>
          <w:tcPr>
            <w:tcW w:w="841" w:type="pct"/>
            <w:tcBorders>
              <w:top w:val="outset" w:sz="6" w:space="0" w:color="auto"/>
              <w:left w:val="outset" w:sz="6" w:space="0" w:color="auto"/>
              <w:bottom w:val="outset" w:sz="6" w:space="0" w:color="auto"/>
              <w:right w:val="outset" w:sz="6" w:space="0" w:color="auto"/>
            </w:tcBorders>
            <w:hideMark/>
          </w:tcPr>
          <w:p w14:paraId="11AFB06C" w14:textId="77777777" w:rsidR="00AF121C" w:rsidRPr="00EF7016" w:rsidRDefault="00AF121C" w:rsidP="0046514D">
            <w:pPr>
              <w:rPr>
                <w:sz w:val="26"/>
                <w:szCs w:val="26"/>
              </w:rPr>
            </w:pPr>
            <w:r w:rsidRPr="00EF7016">
              <w:rPr>
                <w:sz w:val="26"/>
                <w:szCs w:val="26"/>
              </w:rPr>
              <w:t>Plānotās sabiedrības līdzdalības un komunikācijas aktivitātes saistībā ar projektu</w:t>
            </w:r>
          </w:p>
        </w:tc>
        <w:tc>
          <w:tcPr>
            <w:tcW w:w="3892" w:type="pct"/>
            <w:tcBorders>
              <w:top w:val="outset" w:sz="6" w:space="0" w:color="auto"/>
              <w:left w:val="outset" w:sz="6" w:space="0" w:color="auto"/>
              <w:bottom w:val="outset" w:sz="6" w:space="0" w:color="auto"/>
              <w:right w:val="outset" w:sz="6" w:space="0" w:color="auto"/>
            </w:tcBorders>
          </w:tcPr>
          <w:p w14:paraId="173F17BE" w14:textId="563D966F" w:rsidR="004300D3" w:rsidRPr="003A5552" w:rsidRDefault="004300D3" w:rsidP="003A5552">
            <w:pPr>
              <w:spacing w:before="120"/>
              <w:ind w:left="57" w:right="57"/>
              <w:jc w:val="both"/>
              <w:rPr>
                <w:rFonts w:cs="Times New Roman"/>
                <w:sz w:val="26"/>
                <w:szCs w:val="26"/>
              </w:rPr>
            </w:pPr>
            <w:r w:rsidRPr="003A5552">
              <w:rPr>
                <w:rFonts w:cs="Times New Roman"/>
                <w:iCs/>
                <w:sz w:val="26"/>
                <w:szCs w:val="26"/>
              </w:rPr>
              <w:t xml:space="preserve">Informācija par </w:t>
            </w:r>
            <w:r w:rsidR="00575B76">
              <w:rPr>
                <w:rFonts w:cs="Times New Roman"/>
                <w:iCs/>
                <w:sz w:val="26"/>
                <w:szCs w:val="26"/>
              </w:rPr>
              <w:t xml:space="preserve">noteikumu </w:t>
            </w:r>
            <w:r w:rsidRPr="003A5552">
              <w:rPr>
                <w:rFonts w:cs="Times New Roman"/>
                <w:iCs/>
                <w:sz w:val="26"/>
                <w:szCs w:val="26"/>
              </w:rPr>
              <w:t>projekta izstrādi ir publicēta Finanšu ministrijas tīmekļvietnē sadaļā “Sabiedrības līdzdalība” – “Tiesību aktu projekti” – “Muitas politika”. L</w:t>
            </w:r>
            <w:r w:rsidRPr="003A5552">
              <w:rPr>
                <w:rFonts w:cs="Times New Roman"/>
                <w:iCs/>
                <w:spacing w:val="-2"/>
                <w:sz w:val="26"/>
                <w:szCs w:val="26"/>
              </w:rPr>
              <w:t xml:space="preserve">īdz ar to sabiedrības pārstāvji varēja līdzdarboties projekta izstrādē, </w:t>
            </w:r>
            <w:proofErr w:type="spellStart"/>
            <w:r w:rsidRPr="003A5552">
              <w:rPr>
                <w:rFonts w:cs="Times New Roman"/>
                <w:iCs/>
                <w:spacing w:val="-2"/>
                <w:sz w:val="26"/>
                <w:szCs w:val="26"/>
              </w:rPr>
              <w:t>rakstveidā</w:t>
            </w:r>
            <w:proofErr w:type="spellEnd"/>
            <w:r w:rsidRPr="003A5552">
              <w:rPr>
                <w:rFonts w:cs="Times New Roman"/>
                <w:iCs/>
                <w:spacing w:val="-2"/>
                <w:sz w:val="26"/>
                <w:szCs w:val="26"/>
              </w:rPr>
              <w:t xml:space="preserve"> sniedzot viedokļus par projektu.</w:t>
            </w:r>
            <w:r w:rsidRPr="003A5552">
              <w:rPr>
                <w:rFonts w:cs="Times New Roman"/>
                <w:iCs/>
                <w:sz w:val="26"/>
                <w:szCs w:val="26"/>
              </w:rPr>
              <w:t xml:space="preserve"> </w:t>
            </w:r>
            <w:r w:rsidRPr="003A5552">
              <w:rPr>
                <w:rFonts w:cs="Times New Roman"/>
                <w:iCs/>
                <w:spacing w:val="-2"/>
                <w:sz w:val="26"/>
                <w:szCs w:val="26"/>
              </w:rPr>
              <w:t>Tāpat sabiedrības pārstāvji varēs sniegt viedokļus par projektu pēc tā izsludināšanas Valsts sekretāru sanāksmē.</w:t>
            </w:r>
          </w:p>
          <w:p w14:paraId="1C0FE9A4" w14:textId="07F11506" w:rsidR="00E27386" w:rsidRPr="00EF7016" w:rsidRDefault="00575B76" w:rsidP="00694A4A">
            <w:pPr>
              <w:spacing w:before="120"/>
              <w:ind w:left="57" w:right="57"/>
              <w:jc w:val="both"/>
              <w:rPr>
                <w:sz w:val="26"/>
                <w:szCs w:val="26"/>
              </w:rPr>
            </w:pPr>
            <w:r>
              <w:rPr>
                <w:rFonts w:cs="Times New Roman"/>
                <w:sz w:val="26"/>
                <w:szCs w:val="26"/>
              </w:rPr>
              <w:t xml:space="preserve">Noteikumu projekts </w:t>
            </w:r>
            <w:r w:rsidR="004300D3" w:rsidRPr="000B4634">
              <w:rPr>
                <w:rFonts w:cs="Times New Roman"/>
                <w:sz w:val="26"/>
                <w:szCs w:val="26"/>
              </w:rPr>
              <w:t>202</w:t>
            </w:r>
            <w:r w:rsidR="00694A4A" w:rsidRPr="000B4634">
              <w:rPr>
                <w:rFonts w:cs="Times New Roman"/>
                <w:sz w:val="26"/>
                <w:szCs w:val="26"/>
              </w:rPr>
              <w:t>1</w:t>
            </w:r>
            <w:r w:rsidR="004300D3" w:rsidRPr="000B4634">
              <w:rPr>
                <w:rFonts w:cs="Times New Roman"/>
                <w:sz w:val="26"/>
                <w:szCs w:val="26"/>
              </w:rPr>
              <w:t>.</w:t>
            </w:r>
            <w:r w:rsidR="004300D3" w:rsidRPr="000B4634">
              <w:rPr>
                <w:rFonts w:eastAsia="Times New Roman" w:cs="Times New Roman"/>
                <w:sz w:val="26"/>
                <w:szCs w:val="26"/>
                <w:lang w:eastAsia="lv-LV"/>
              </w:rPr>
              <w:t> </w:t>
            </w:r>
            <w:r w:rsidR="004300D3" w:rsidRPr="000B4634">
              <w:rPr>
                <w:rFonts w:cs="Times New Roman"/>
                <w:sz w:val="26"/>
                <w:szCs w:val="26"/>
              </w:rPr>
              <w:t>gada 15.</w:t>
            </w:r>
            <w:r w:rsidR="004300D3" w:rsidRPr="000B4634">
              <w:rPr>
                <w:rFonts w:eastAsia="Times New Roman" w:cs="Times New Roman"/>
                <w:sz w:val="26"/>
                <w:szCs w:val="26"/>
                <w:lang w:eastAsia="lv-LV"/>
              </w:rPr>
              <w:t> </w:t>
            </w:r>
            <w:r w:rsidR="00694A4A" w:rsidRPr="000B4634">
              <w:rPr>
                <w:rFonts w:eastAsia="Times New Roman" w:cs="Times New Roman"/>
                <w:sz w:val="26"/>
                <w:szCs w:val="26"/>
                <w:lang w:eastAsia="lv-LV"/>
              </w:rPr>
              <w:t>janvārī</w:t>
            </w:r>
            <w:r w:rsidR="004300D3" w:rsidRPr="003A5552">
              <w:rPr>
                <w:rFonts w:cs="Times New Roman"/>
                <w:sz w:val="26"/>
                <w:szCs w:val="26"/>
              </w:rPr>
              <w:t xml:space="preserve"> nosūtīts pirmreizējai izvērtēšanai un priekšlikumu sniegšanai Konsultatīvās padomes muitas politikas jomā locekļiem</w:t>
            </w:r>
            <w:r w:rsidR="004300D3" w:rsidRPr="003A5552">
              <w:rPr>
                <w:rStyle w:val="FootnoteReference"/>
                <w:rFonts w:cs="Times New Roman"/>
                <w:sz w:val="26"/>
                <w:szCs w:val="26"/>
              </w:rPr>
              <w:footnoteReference w:id="18"/>
            </w:r>
            <w:r w:rsidR="004300D3" w:rsidRPr="003A5552">
              <w:rPr>
                <w:rFonts w:cs="Times New Roman"/>
                <w:sz w:val="26"/>
                <w:szCs w:val="26"/>
              </w:rPr>
              <w:t>, kā arī biedrībai “</w:t>
            </w:r>
            <w:r w:rsidR="004300D3" w:rsidRPr="003A5552">
              <w:rPr>
                <w:rFonts w:cs="Times New Roman"/>
                <w:bCs/>
                <w:sz w:val="26"/>
                <w:szCs w:val="26"/>
              </w:rPr>
              <w:t xml:space="preserve">Latvijas profesionālo </w:t>
            </w:r>
            <w:proofErr w:type="spellStart"/>
            <w:r w:rsidR="004300D3" w:rsidRPr="003A5552">
              <w:rPr>
                <w:rFonts w:cs="Times New Roman"/>
                <w:bCs/>
                <w:sz w:val="26"/>
                <w:szCs w:val="26"/>
              </w:rPr>
              <w:t>patentpilnvarnieku</w:t>
            </w:r>
            <w:proofErr w:type="spellEnd"/>
            <w:r w:rsidR="004300D3" w:rsidRPr="003A5552">
              <w:rPr>
                <w:rFonts w:cs="Times New Roman"/>
                <w:bCs/>
                <w:sz w:val="26"/>
                <w:szCs w:val="26"/>
              </w:rPr>
              <w:t xml:space="preserve"> asociācija”.</w:t>
            </w:r>
          </w:p>
        </w:tc>
      </w:tr>
      <w:tr w:rsidR="00AF121C" w:rsidRPr="00465BB8" w14:paraId="6EAFA8DD" w14:textId="77777777" w:rsidTr="00EF7016">
        <w:trPr>
          <w:tblCellSpacing w:w="15" w:type="dxa"/>
        </w:trPr>
        <w:tc>
          <w:tcPr>
            <w:tcW w:w="201" w:type="pct"/>
            <w:tcBorders>
              <w:top w:val="outset" w:sz="6" w:space="0" w:color="auto"/>
              <w:left w:val="outset" w:sz="6" w:space="0" w:color="auto"/>
              <w:bottom w:val="outset" w:sz="6" w:space="0" w:color="auto"/>
              <w:right w:val="outset" w:sz="6" w:space="0" w:color="auto"/>
            </w:tcBorders>
            <w:hideMark/>
          </w:tcPr>
          <w:p w14:paraId="20C5EE51" w14:textId="77777777" w:rsidR="00AF121C" w:rsidRPr="00EF7016" w:rsidRDefault="00AF121C" w:rsidP="0046514D">
            <w:pPr>
              <w:rPr>
                <w:sz w:val="26"/>
                <w:szCs w:val="26"/>
              </w:rPr>
            </w:pPr>
            <w:r w:rsidRPr="00EF7016">
              <w:rPr>
                <w:sz w:val="26"/>
                <w:szCs w:val="26"/>
              </w:rPr>
              <w:t>2.</w:t>
            </w:r>
          </w:p>
        </w:tc>
        <w:tc>
          <w:tcPr>
            <w:tcW w:w="841" w:type="pct"/>
            <w:tcBorders>
              <w:top w:val="outset" w:sz="6" w:space="0" w:color="auto"/>
              <w:left w:val="outset" w:sz="6" w:space="0" w:color="auto"/>
              <w:bottom w:val="outset" w:sz="6" w:space="0" w:color="auto"/>
              <w:right w:val="outset" w:sz="6" w:space="0" w:color="auto"/>
            </w:tcBorders>
            <w:hideMark/>
          </w:tcPr>
          <w:p w14:paraId="64546733" w14:textId="77777777" w:rsidR="00AF121C" w:rsidRPr="00EF7016" w:rsidRDefault="00AF121C" w:rsidP="0046514D">
            <w:pPr>
              <w:rPr>
                <w:sz w:val="26"/>
                <w:szCs w:val="26"/>
              </w:rPr>
            </w:pPr>
            <w:r w:rsidRPr="00EF7016">
              <w:rPr>
                <w:sz w:val="26"/>
                <w:szCs w:val="26"/>
              </w:rPr>
              <w:t>Sabiedrības līdzdalība projekta izstrādē</w:t>
            </w:r>
          </w:p>
        </w:tc>
        <w:tc>
          <w:tcPr>
            <w:tcW w:w="3892" w:type="pct"/>
            <w:tcBorders>
              <w:top w:val="outset" w:sz="6" w:space="0" w:color="auto"/>
              <w:left w:val="outset" w:sz="6" w:space="0" w:color="auto"/>
              <w:bottom w:val="outset" w:sz="6" w:space="0" w:color="auto"/>
              <w:right w:val="outset" w:sz="6" w:space="0" w:color="auto"/>
            </w:tcBorders>
          </w:tcPr>
          <w:p w14:paraId="075C8F0A" w14:textId="1DDCD3E7" w:rsidR="004300D3" w:rsidRPr="00766FD7" w:rsidRDefault="004300D3" w:rsidP="003A5552">
            <w:pPr>
              <w:pStyle w:val="NormalWeb"/>
              <w:spacing w:before="120" w:beforeAutospacing="0" w:after="0" w:afterAutospacing="0"/>
              <w:ind w:left="57" w:right="57"/>
              <w:jc w:val="both"/>
              <w:rPr>
                <w:color w:val="auto"/>
                <w:sz w:val="26"/>
                <w:szCs w:val="26"/>
              </w:rPr>
            </w:pPr>
            <w:r w:rsidRPr="003A5552">
              <w:rPr>
                <w:iCs/>
                <w:color w:val="auto"/>
                <w:spacing w:val="-2"/>
                <w:sz w:val="26"/>
                <w:szCs w:val="26"/>
              </w:rPr>
              <w:t xml:space="preserve">Sabiedrības pārstāvji varēja līdzdarboties projekta izstrādē, </w:t>
            </w:r>
            <w:proofErr w:type="spellStart"/>
            <w:r w:rsidRPr="003A5552">
              <w:rPr>
                <w:iCs/>
                <w:color w:val="auto"/>
                <w:spacing w:val="-2"/>
                <w:sz w:val="26"/>
                <w:szCs w:val="26"/>
              </w:rPr>
              <w:t>rakstveidā</w:t>
            </w:r>
            <w:proofErr w:type="spellEnd"/>
            <w:r w:rsidRPr="003A5552">
              <w:rPr>
                <w:iCs/>
                <w:color w:val="auto"/>
                <w:spacing w:val="-2"/>
                <w:sz w:val="26"/>
                <w:szCs w:val="26"/>
              </w:rPr>
              <w:t xml:space="preserve"> sniedzot viedokļus par projektu, kas </w:t>
            </w:r>
            <w:r w:rsidRPr="00766FD7">
              <w:rPr>
                <w:iCs/>
                <w:color w:val="auto"/>
                <w:sz w:val="26"/>
                <w:szCs w:val="26"/>
              </w:rPr>
              <w:t>2020.</w:t>
            </w:r>
            <w:r w:rsidR="000C172B">
              <w:rPr>
                <w:iCs/>
                <w:color w:val="auto"/>
                <w:sz w:val="26"/>
                <w:szCs w:val="26"/>
              </w:rPr>
              <w:t> </w:t>
            </w:r>
            <w:r w:rsidRPr="00766FD7">
              <w:rPr>
                <w:iCs/>
                <w:color w:val="auto"/>
                <w:sz w:val="26"/>
                <w:szCs w:val="26"/>
              </w:rPr>
              <w:t xml:space="preserve">gada </w:t>
            </w:r>
            <w:r w:rsidR="000B4634" w:rsidRPr="00766FD7">
              <w:rPr>
                <w:iCs/>
                <w:color w:val="auto"/>
                <w:sz w:val="26"/>
                <w:szCs w:val="26"/>
              </w:rPr>
              <w:t>2</w:t>
            </w:r>
            <w:r w:rsidRPr="00766FD7">
              <w:rPr>
                <w:iCs/>
                <w:color w:val="auto"/>
                <w:sz w:val="26"/>
                <w:szCs w:val="26"/>
              </w:rPr>
              <w:t>.</w:t>
            </w:r>
            <w:r w:rsidR="000C172B">
              <w:rPr>
                <w:iCs/>
                <w:color w:val="auto"/>
                <w:sz w:val="26"/>
                <w:szCs w:val="26"/>
              </w:rPr>
              <w:t> </w:t>
            </w:r>
            <w:r w:rsidR="000B4634" w:rsidRPr="00766FD7">
              <w:rPr>
                <w:iCs/>
                <w:color w:val="auto"/>
                <w:sz w:val="26"/>
                <w:szCs w:val="26"/>
              </w:rPr>
              <w:t>septembrī</w:t>
            </w:r>
            <w:r w:rsidRPr="00766FD7">
              <w:rPr>
                <w:iCs/>
                <w:color w:val="auto"/>
                <w:sz w:val="26"/>
                <w:szCs w:val="26"/>
              </w:rPr>
              <w:t xml:space="preserve"> publicēts Finanšu ministrijas tīmekļvie</w:t>
            </w:r>
            <w:r w:rsidRPr="003A5552">
              <w:rPr>
                <w:iCs/>
                <w:color w:val="auto"/>
                <w:sz w:val="26"/>
                <w:szCs w:val="26"/>
              </w:rPr>
              <w:t xml:space="preserve">tnē sadaļā “Sabiedrības līdzdalība” – “Tiesību aktu projekti” – “Muitas politika”, adrese: </w:t>
            </w:r>
            <w:hyperlink r:id="rId22" w:history="1">
              <w:r w:rsidR="00674A0A" w:rsidRPr="00766FD7">
                <w:rPr>
                  <w:rStyle w:val="Hyperlink"/>
                  <w:sz w:val="26"/>
                  <w:szCs w:val="26"/>
                </w:rPr>
                <w:t>https://www.fm.gov.lv/lv/mk-noteikumu-projekts-grozijumi-ministru-kabineta-2017gada-8augusta-noteikumos-nr468-noteikumi-par-atseviskiem-muitas-kontroles-veidiem</w:t>
              </w:r>
            </w:hyperlink>
            <w:r w:rsidR="00674A0A" w:rsidRPr="00766FD7">
              <w:rPr>
                <w:sz w:val="26"/>
                <w:szCs w:val="26"/>
              </w:rPr>
              <w:t xml:space="preserve"> </w:t>
            </w:r>
            <w:r w:rsidRPr="00766FD7">
              <w:rPr>
                <w:iCs/>
                <w:color w:val="auto"/>
                <w:sz w:val="26"/>
                <w:szCs w:val="26"/>
              </w:rPr>
              <w:t>un Ministru kabineta tīmekļvietnē sadaļā “Valsts kanceleja” – “Sabiedrības līdzdalība</w:t>
            </w:r>
            <w:r w:rsidRPr="00766FD7">
              <w:rPr>
                <w:color w:val="auto"/>
                <w:sz w:val="26"/>
                <w:szCs w:val="26"/>
              </w:rPr>
              <w:t xml:space="preserve">”, </w:t>
            </w:r>
            <w:r w:rsidRPr="00766FD7">
              <w:rPr>
                <w:iCs/>
                <w:color w:val="auto"/>
                <w:sz w:val="26"/>
                <w:szCs w:val="26"/>
              </w:rPr>
              <w:t>adrese:</w:t>
            </w:r>
            <w:r w:rsidRPr="00766FD7">
              <w:rPr>
                <w:color w:val="auto"/>
                <w:sz w:val="26"/>
                <w:szCs w:val="26"/>
              </w:rPr>
              <w:t xml:space="preserve"> </w:t>
            </w:r>
            <w:hyperlink r:id="rId23" w:history="1">
              <w:r w:rsidR="00766FD7" w:rsidRPr="00766FD7">
                <w:rPr>
                  <w:rStyle w:val="Hyperlink"/>
                  <w:sz w:val="26"/>
                  <w:szCs w:val="26"/>
                </w:rPr>
                <w:t>https://www.mk.gov.lv/lv/ministru-kabineta-diskusiju-dokumenti</w:t>
              </w:r>
            </w:hyperlink>
            <w:r w:rsidRPr="00766FD7">
              <w:rPr>
                <w:color w:val="auto"/>
                <w:sz w:val="26"/>
                <w:szCs w:val="26"/>
              </w:rPr>
              <w:t>.</w:t>
            </w:r>
          </w:p>
          <w:p w14:paraId="1507FE33" w14:textId="6ACA8678" w:rsidR="00AF121C" w:rsidRPr="00EF7016" w:rsidRDefault="004300D3" w:rsidP="003A5552">
            <w:pPr>
              <w:spacing w:before="120"/>
              <w:ind w:left="57" w:right="57"/>
              <w:jc w:val="both"/>
              <w:rPr>
                <w:color w:val="BF8F00" w:themeColor="accent4" w:themeShade="BF"/>
                <w:sz w:val="20"/>
                <w:szCs w:val="20"/>
              </w:rPr>
            </w:pPr>
            <w:r w:rsidRPr="003A5552">
              <w:rPr>
                <w:iCs/>
                <w:spacing w:val="-2"/>
                <w:sz w:val="26"/>
                <w:szCs w:val="26"/>
              </w:rPr>
              <w:t xml:space="preserve">Projekta izstrādes gaitā </w:t>
            </w:r>
            <w:r w:rsidRPr="003A5552">
              <w:rPr>
                <w:iCs/>
                <w:sz w:val="26"/>
                <w:szCs w:val="26"/>
              </w:rPr>
              <w:t>ir iesaistīti Konsultatīvās padomes muitas politikas jomā locekļi,</w:t>
            </w:r>
            <w:r w:rsidRPr="003A5552">
              <w:rPr>
                <w:rFonts w:cs="Times New Roman"/>
                <w:sz w:val="26"/>
                <w:szCs w:val="26"/>
              </w:rPr>
              <w:t xml:space="preserve"> kā arī biedrībai “</w:t>
            </w:r>
            <w:r w:rsidRPr="003A5552">
              <w:rPr>
                <w:rFonts w:cs="Times New Roman"/>
                <w:bCs/>
                <w:sz w:val="26"/>
                <w:szCs w:val="26"/>
              </w:rPr>
              <w:t xml:space="preserve">Latvijas profesionālo </w:t>
            </w:r>
            <w:proofErr w:type="spellStart"/>
            <w:r w:rsidRPr="003A5552">
              <w:rPr>
                <w:rFonts w:cs="Times New Roman"/>
                <w:bCs/>
                <w:sz w:val="26"/>
                <w:szCs w:val="26"/>
              </w:rPr>
              <w:t>patentpilnvarnieku</w:t>
            </w:r>
            <w:proofErr w:type="spellEnd"/>
            <w:r w:rsidRPr="003A5552">
              <w:rPr>
                <w:rFonts w:cs="Times New Roman"/>
                <w:bCs/>
                <w:sz w:val="26"/>
                <w:szCs w:val="26"/>
              </w:rPr>
              <w:t xml:space="preserve"> asociācija”.</w:t>
            </w:r>
          </w:p>
        </w:tc>
      </w:tr>
      <w:tr w:rsidR="00AF121C" w:rsidRPr="00465BB8" w14:paraId="2E471AE9" w14:textId="77777777" w:rsidTr="00EF7016">
        <w:trPr>
          <w:tblCellSpacing w:w="15" w:type="dxa"/>
        </w:trPr>
        <w:tc>
          <w:tcPr>
            <w:tcW w:w="201" w:type="pct"/>
            <w:tcBorders>
              <w:top w:val="outset" w:sz="6" w:space="0" w:color="auto"/>
              <w:left w:val="outset" w:sz="6" w:space="0" w:color="auto"/>
              <w:bottom w:val="outset" w:sz="6" w:space="0" w:color="auto"/>
              <w:right w:val="outset" w:sz="6" w:space="0" w:color="auto"/>
            </w:tcBorders>
            <w:hideMark/>
          </w:tcPr>
          <w:p w14:paraId="63EE2B48" w14:textId="77777777" w:rsidR="00AF121C" w:rsidRPr="00EF7016" w:rsidRDefault="00AF121C" w:rsidP="0046514D">
            <w:pPr>
              <w:rPr>
                <w:sz w:val="26"/>
                <w:szCs w:val="26"/>
              </w:rPr>
            </w:pPr>
            <w:r w:rsidRPr="00EF7016">
              <w:rPr>
                <w:sz w:val="26"/>
                <w:szCs w:val="26"/>
              </w:rPr>
              <w:lastRenderedPageBreak/>
              <w:t>3.</w:t>
            </w:r>
          </w:p>
        </w:tc>
        <w:tc>
          <w:tcPr>
            <w:tcW w:w="841" w:type="pct"/>
            <w:tcBorders>
              <w:top w:val="outset" w:sz="6" w:space="0" w:color="auto"/>
              <w:left w:val="outset" w:sz="6" w:space="0" w:color="auto"/>
              <w:bottom w:val="outset" w:sz="6" w:space="0" w:color="auto"/>
              <w:right w:val="outset" w:sz="6" w:space="0" w:color="auto"/>
            </w:tcBorders>
            <w:hideMark/>
          </w:tcPr>
          <w:p w14:paraId="42FF52E1" w14:textId="77777777" w:rsidR="00AF121C" w:rsidRPr="00EF7016" w:rsidRDefault="00AF121C" w:rsidP="0046514D">
            <w:pPr>
              <w:rPr>
                <w:sz w:val="26"/>
                <w:szCs w:val="26"/>
              </w:rPr>
            </w:pPr>
            <w:r w:rsidRPr="00EF7016">
              <w:rPr>
                <w:sz w:val="26"/>
                <w:szCs w:val="26"/>
              </w:rPr>
              <w:t>Sabiedrības līdzdalības rezultāti</w:t>
            </w:r>
          </w:p>
        </w:tc>
        <w:tc>
          <w:tcPr>
            <w:tcW w:w="3892" w:type="pct"/>
            <w:tcBorders>
              <w:top w:val="outset" w:sz="6" w:space="0" w:color="auto"/>
              <w:left w:val="outset" w:sz="6" w:space="0" w:color="auto"/>
              <w:bottom w:val="outset" w:sz="6" w:space="0" w:color="auto"/>
              <w:right w:val="outset" w:sz="6" w:space="0" w:color="auto"/>
            </w:tcBorders>
            <w:hideMark/>
          </w:tcPr>
          <w:p w14:paraId="581B66E4" w14:textId="6E5F474D" w:rsidR="00CB0C25" w:rsidRPr="00EF7016" w:rsidRDefault="000568D7" w:rsidP="004C1344">
            <w:pPr>
              <w:pStyle w:val="naiskr"/>
              <w:spacing w:before="120" w:beforeAutospacing="0" w:after="0" w:afterAutospacing="0"/>
              <w:ind w:left="57" w:right="57"/>
              <w:jc w:val="both"/>
              <w:rPr>
                <w:sz w:val="26"/>
                <w:szCs w:val="26"/>
              </w:rPr>
            </w:pPr>
            <w:r w:rsidRPr="003A5552">
              <w:rPr>
                <w:iCs/>
                <w:sz w:val="26"/>
                <w:szCs w:val="26"/>
              </w:rPr>
              <w:t>Konsultatīvās padomes muitas politikas jomā locekļi</w:t>
            </w:r>
            <w:r w:rsidR="00575B76">
              <w:rPr>
                <w:iCs/>
                <w:sz w:val="26"/>
                <w:szCs w:val="26"/>
              </w:rPr>
              <w:t xml:space="preserve"> un </w:t>
            </w:r>
            <w:r w:rsidR="00575B76" w:rsidRPr="004C1344">
              <w:rPr>
                <w:sz w:val="26"/>
                <w:szCs w:val="26"/>
              </w:rPr>
              <w:t>biedrība “</w:t>
            </w:r>
            <w:r w:rsidR="00575B76" w:rsidRPr="004C1344">
              <w:rPr>
                <w:bCs/>
                <w:sz w:val="26"/>
                <w:szCs w:val="26"/>
              </w:rPr>
              <w:t xml:space="preserve">Latvijas profesionālo </w:t>
            </w:r>
            <w:proofErr w:type="spellStart"/>
            <w:r w:rsidR="00575B76" w:rsidRPr="004C1344">
              <w:rPr>
                <w:bCs/>
                <w:sz w:val="26"/>
                <w:szCs w:val="26"/>
              </w:rPr>
              <w:t>patentpilnvarnieku</w:t>
            </w:r>
            <w:proofErr w:type="spellEnd"/>
            <w:r w:rsidR="00575B76" w:rsidRPr="004C1344">
              <w:rPr>
                <w:bCs/>
                <w:sz w:val="26"/>
                <w:szCs w:val="26"/>
              </w:rPr>
              <w:t xml:space="preserve"> asociācija”</w:t>
            </w:r>
            <w:r w:rsidRPr="003A5552">
              <w:rPr>
                <w:iCs/>
                <w:sz w:val="26"/>
                <w:szCs w:val="26"/>
              </w:rPr>
              <w:t xml:space="preserve"> atbalsta </w:t>
            </w:r>
            <w:r w:rsidR="004C1344">
              <w:rPr>
                <w:iCs/>
                <w:sz w:val="26"/>
                <w:szCs w:val="26"/>
              </w:rPr>
              <w:t>noteikumu projekta</w:t>
            </w:r>
            <w:r w:rsidRPr="003A5552">
              <w:rPr>
                <w:iCs/>
                <w:sz w:val="26"/>
                <w:szCs w:val="26"/>
              </w:rPr>
              <w:t xml:space="preserve"> tālāku virzību piedāvātajā redakcijā. </w:t>
            </w:r>
          </w:p>
        </w:tc>
      </w:tr>
      <w:tr w:rsidR="00AF121C" w:rsidRPr="00465BB8" w14:paraId="0CDCC3C4" w14:textId="77777777" w:rsidTr="00EF7016">
        <w:trPr>
          <w:tblCellSpacing w:w="15" w:type="dxa"/>
        </w:trPr>
        <w:tc>
          <w:tcPr>
            <w:tcW w:w="201" w:type="pct"/>
            <w:tcBorders>
              <w:top w:val="outset" w:sz="6" w:space="0" w:color="auto"/>
              <w:left w:val="outset" w:sz="6" w:space="0" w:color="auto"/>
              <w:bottom w:val="outset" w:sz="6" w:space="0" w:color="auto"/>
              <w:right w:val="outset" w:sz="6" w:space="0" w:color="auto"/>
            </w:tcBorders>
            <w:hideMark/>
          </w:tcPr>
          <w:p w14:paraId="78E02D90" w14:textId="77777777" w:rsidR="00AF121C" w:rsidRPr="00EF7016" w:rsidRDefault="00AF121C" w:rsidP="0046514D">
            <w:pPr>
              <w:rPr>
                <w:sz w:val="26"/>
                <w:szCs w:val="26"/>
              </w:rPr>
            </w:pPr>
            <w:r w:rsidRPr="00EF7016">
              <w:rPr>
                <w:sz w:val="26"/>
                <w:szCs w:val="26"/>
              </w:rPr>
              <w:t>4.</w:t>
            </w:r>
          </w:p>
        </w:tc>
        <w:tc>
          <w:tcPr>
            <w:tcW w:w="841" w:type="pct"/>
            <w:tcBorders>
              <w:top w:val="outset" w:sz="6" w:space="0" w:color="auto"/>
              <w:left w:val="outset" w:sz="6" w:space="0" w:color="auto"/>
              <w:bottom w:val="outset" w:sz="6" w:space="0" w:color="auto"/>
              <w:right w:val="outset" w:sz="6" w:space="0" w:color="auto"/>
            </w:tcBorders>
            <w:hideMark/>
          </w:tcPr>
          <w:p w14:paraId="4B40F41C" w14:textId="77777777" w:rsidR="00AF121C" w:rsidRPr="00EF7016" w:rsidRDefault="00AF121C" w:rsidP="0046514D">
            <w:pPr>
              <w:rPr>
                <w:sz w:val="26"/>
                <w:szCs w:val="26"/>
              </w:rPr>
            </w:pPr>
            <w:r w:rsidRPr="00EF7016">
              <w:rPr>
                <w:sz w:val="26"/>
                <w:szCs w:val="26"/>
              </w:rPr>
              <w:t>Cita informācija</w:t>
            </w:r>
          </w:p>
        </w:tc>
        <w:tc>
          <w:tcPr>
            <w:tcW w:w="3892" w:type="pct"/>
            <w:tcBorders>
              <w:top w:val="outset" w:sz="6" w:space="0" w:color="auto"/>
              <w:left w:val="outset" w:sz="6" w:space="0" w:color="auto"/>
              <w:bottom w:val="outset" w:sz="6" w:space="0" w:color="auto"/>
              <w:right w:val="outset" w:sz="6" w:space="0" w:color="auto"/>
            </w:tcBorders>
            <w:hideMark/>
          </w:tcPr>
          <w:p w14:paraId="15E1A752" w14:textId="5D61BC70" w:rsidR="00AF121C" w:rsidRPr="003A5552" w:rsidRDefault="005E113D" w:rsidP="000C172B">
            <w:pPr>
              <w:spacing w:before="120"/>
              <w:ind w:left="57" w:right="57"/>
              <w:jc w:val="both"/>
              <w:rPr>
                <w:sz w:val="26"/>
                <w:szCs w:val="26"/>
              </w:rPr>
            </w:pPr>
            <w:r w:rsidRPr="003A5552">
              <w:rPr>
                <w:rFonts w:eastAsia="Times New Roman" w:cs="Times New Roman"/>
                <w:iCs/>
                <w:sz w:val="26"/>
                <w:szCs w:val="26"/>
                <w:lang w:eastAsia="lv-LV"/>
              </w:rPr>
              <w:t>Konceptuālā ziņojuma, uz kura pamata ir sagatavots</w:t>
            </w:r>
            <w:r w:rsidR="00575B76">
              <w:rPr>
                <w:rFonts w:eastAsia="Times New Roman" w:cs="Times New Roman"/>
                <w:iCs/>
                <w:sz w:val="26"/>
                <w:szCs w:val="26"/>
                <w:lang w:eastAsia="lv-LV"/>
              </w:rPr>
              <w:t xml:space="preserve"> noteikumu projekts, kā arī </w:t>
            </w:r>
            <w:r w:rsidRPr="003A5552">
              <w:rPr>
                <w:rFonts w:eastAsia="Times New Roman" w:cs="Times New Roman"/>
                <w:iCs/>
                <w:sz w:val="26"/>
                <w:szCs w:val="26"/>
                <w:lang w:eastAsia="lv-LV"/>
              </w:rPr>
              <w:t>likumprojekta “Grozījumi Muitas likumā” 6.pants, ar kuru Muitas likumā tiek iekļauts jauns 14.</w:t>
            </w:r>
            <w:r w:rsidR="00694A4A">
              <w:rPr>
                <w:rFonts w:eastAsia="Times New Roman" w:cs="Times New Roman"/>
                <w:iCs/>
                <w:sz w:val="26"/>
                <w:szCs w:val="26"/>
                <w:vertAlign w:val="superscript"/>
                <w:lang w:eastAsia="lv-LV"/>
              </w:rPr>
              <w:t>5</w:t>
            </w:r>
            <w:r w:rsidR="000C172B">
              <w:rPr>
                <w:rFonts w:eastAsia="Times New Roman" w:cs="Times New Roman"/>
                <w:iCs/>
                <w:sz w:val="26"/>
                <w:szCs w:val="26"/>
                <w:vertAlign w:val="superscript"/>
                <w:lang w:eastAsia="lv-LV"/>
              </w:rPr>
              <w:t> </w:t>
            </w:r>
            <w:r w:rsidRPr="003A5552">
              <w:rPr>
                <w:rFonts w:eastAsia="Times New Roman" w:cs="Times New Roman"/>
                <w:iCs/>
                <w:sz w:val="26"/>
                <w:szCs w:val="26"/>
                <w:lang w:eastAsia="lv-LV"/>
              </w:rPr>
              <w:t>pants, izstrādē tika iesaistīta Tieslietu ministrija, Satiksmes ministrija, kā arī nozares asociācijas.</w:t>
            </w:r>
          </w:p>
        </w:tc>
      </w:tr>
    </w:tbl>
    <w:p w14:paraId="0C4EFAEA" w14:textId="77777777" w:rsidR="00AF121C" w:rsidRPr="007B70D5" w:rsidRDefault="00AF121C" w:rsidP="00AF121C">
      <w:pPr>
        <w:rPr>
          <w:sz w:val="28"/>
          <w:szCs w:val="28"/>
        </w:rPr>
      </w:pPr>
      <w:r w:rsidRPr="007B70D5">
        <w:rPr>
          <w:sz w:val="28"/>
          <w:szCs w:val="28"/>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AF121C" w:rsidRPr="00465BB8" w14:paraId="14649F59" w14:textId="77777777" w:rsidTr="0046514D">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CFCAC23" w14:textId="77777777" w:rsidR="00AF121C" w:rsidRPr="00EF7016" w:rsidRDefault="00AF121C" w:rsidP="0046514D">
            <w:pPr>
              <w:rPr>
                <w:b/>
                <w:bCs/>
                <w:sz w:val="26"/>
                <w:szCs w:val="26"/>
              </w:rPr>
            </w:pPr>
            <w:r w:rsidRPr="00EF7016">
              <w:rPr>
                <w:b/>
                <w:bCs/>
                <w:sz w:val="26"/>
                <w:szCs w:val="26"/>
              </w:rPr>
              <w:t>VII. Tiesību akta projekta izpildes nodrošināšana un tās ietekme uz institūcijām</w:t>
            </w:r>
          </w:p>
        </w:tc>
      </w:tr>
      <w:tr w:rsidR="00AF121C" w:rsidRPr="00465BB8" w14:paraId="2172BDA3" w14:textId="77777777" w:rsidTr="00C1110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341CAA2" w14:textId="77777777" w:rsidR="00AF121C" w:rsidRPr="00EF7016" w:rsidRDefault="00AF121C" w:rsidP="0046514D">
            <w:pPr>
              <w:rPr>
                <w:sz w:val="26"/>
                <w:szCs w:val="26"/>
              </w:rPr>
            </w:pPr>
            <w:r w:rsidRPr="00EF7016">
              <w:rPr>
                <w:sz w:val="26"/>
                <w:szCs w:val="26"/>
              </w:rPr>
              <w:t>1.</w:t>
            </w:r>
          </w:p>
        </w:tc>
        <w:tc>
          <w:tcPr>
            <w:tcW w:w="1678" w:type="pct"/>
            <w:tcBorders>
              <w:top w:val="outset" w:sz="6" w:space="0" w:color="auto"/>
              <w:left w:val="outset" w:sz="6" w:space="0" w:color="auto"/>
              <w:bottom w:val="outset" w:sz="6" w:space="0" w:color="auto"/>
              <w:right w:val="outset" w:sz="6" w:space="0" w:color="auto"/>
            </w:tcBorders>
            <w:hideMark/>
          </w:tcPr>
          <w:p w14:paraId="3E07969F" w14:textId="77777777" w:rsidR="00AF121C" w:rsidRPr="00EF7016" w:rsidRDefault="00AF121C" w:rsidP="003A5552">
            <w:pPr>
              <w:jc w:val="both"/>
              <w:rPr>
                <w:sz w:val="26"/>
                <w:szCs w:val="26"/>
              </w:rPr>
            </w:pPr>
            <w:r w:rsidRPr="00EF7016">
              <w:rPr>
                <w:sz w:val="26"/>
                <w:szCs w:val="26"/>
              </w:rPr>
              <w:t>Projekta izpildē iesaistītās institūcijas</w:t>
            </w:r>
          </w:p>
        </w:tc>
        <w:tc>
          <w:tcPr>
            <w:tcW w:w="2960" w:type="pct"/>
            <w:tcBorders>
              <w:top w:val="outset" w:sz="6" w:space="0" w:color="auto"/>
              <w:left w:val="outset" w:sz="6" w:space="0" w:color="auto"/>
              <w:bottom w:val="outset" w:sz="6" w:space="0" w:color="auto"/>
              <w:right w:val="outset" w:sz="6" w:space="0" w:color="auto"/>
            </w:tcBorders>
          </w:tcPr>
          <w:p w14:paraId="442A2FA6" w14:textId="4D7A00E0" w:rsidR="00AF121C" w:rsidRPr="003A5552" w:rsidRDefault="00D465E8">
            <w:pPr>
              <w:spacing w:before="120"/>
              <w:ind w:left="57" w:right="57"/>
              <w:rPr>
                <w:sz w:val="26"/>
                <w:szCs w:val="26"/>
              </w:rPr>
            </w:pPr>
            <w:r w:rsidRPr="003A5552">
              <w:rPr>
                <w:sz w:val="26"/>
                <w:szCs w:val="26"/>
              </w:rPr>
              <w:t>V</w:t>
            </w:r>
            <w:r w:rsidR="007D2B55">
              <w:rPr>
                <w:sz w:val="26"/>
                <w:szCs w:val="26"/>
              </w:rPr>
              <w:t>ID</w:t>
            </w:r>
            <w:r w:rsidR="00EA20DA">
              <w:rPr>
                <w:sz w:val="26"/>
                <w:szCs w:val="26"/>
              </w:rPr>
              <w:t>.</w:t>
            </w:r>
          </w:p>
        </w:tc>
      </w:tr>
      <w:tr w:rsidR="00AF121C" w:rsidRPr="00465BB8" w14:paraId="72A98798" w14:textId="77777777" w:rsidTr="00C1110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9E1D0E2" w14:textId="77777777" w:rsidR="00AF121C" w:rsidRPr="00EF7016" w:rsidRDefault="00AF121C" w:rsidP="0046514D">
            <w:pPr>
              <w:rPr>
                <w:sz w:val="26"/>
                <w:szCs w:val="26"/>
              </w:rPr>
            </w:pPr>
            <w:r w:rsidRPr="00EF7016">
              <w:rPr>
                <w:sz w:val="26"/>
                <w:szCs w:val="26"/>
              </w:rPr>
              <w:t>2.</w:t>
            </w:r>
          </w:p>
        </w:tc>
        <w:tc>
          <w:tcPr>
            <w:tcW w:w="1678" w:type="pct"/>
            <w:tcBorders>
              <w:top w:val="outset" w:sz="6" w:space="0" w:color="auto"/>
              <w:left w:val="outset" w:sz="6" w:space="0" w:color="auto"/>
              <w:bottom w:val="outset" w:sz="6" w:space="0" w:color="auto"/>
              <w:right w:val="outset" w:sz="6" w:space="0" w:color="auto"/>
            </w:tcBorders>
            <w:hideMark/>
          </w:tcPr>
          <w:p w14:paraId="7717508E" w14:textId="77777777" w:rsidR="00AF121C" w:rsidRPr="00EF7016" w:rsidRDefault="00AF121C" w:rsidP="003A5552">
            <w:pPr>
              <w:jc w:val="both"/>
              <w:rPr>
                <w:sz w:val="26"/>
                <w:szCs w:val="26"/>
              </w:rPr>
            </w:pPr>
            <w:r w:rsidRPr="00EF7016">
              <w:rPr>
                <w:sz w:val="26"/>
                <w:szCs w:val="26"/>
              </w:rPr>
              <w:t>Projekta izpildes ietekme uz pārvaldes funkcijām un institucionālo struktūru.</w:t>
            </w:r>
            <w:r w:rsidRPr="00EF7016">
              <w:rPr>
                <w:sz w:val="26"/>
                <w:szCs w:val="26"/>
              </w:rPr>
              <w:br/>
              <w:t>Jaunu institūciju izveide, esošu institūciju likvidācija vai reorganizācija, to ietekme uz institūcijas cilvēkresursiem</w:t>
            </w:r>
          </w:p>
        </w:tc>
        <w:tc>
          <w:tcPr>
            <w:tcW w:w="2960" w:type="pct"/>
            <w:tcBorders>
              <w:top w:val="outset" w:sz="6" w:space="0" w:color="auto"/>
              <w:left w:val="outset" w:sz="6" w:space="0" w:color="auto"/>
              <w:bottom w:val="outset" w:sz="6" w:space="0" w:color="auto"/>
              <w:right w:val="outset" w:sz="6" w:space="0" w:color="auto"/>
            </w:tcBorders>
            <w:hideMark/>
          </w:tcPr>
          <w:p w14:paraId="22F46CD6" w14:textId="7E741248" w:rsidR="00AB27F3" w:rsidRPr="003A5552" w:rsidRDefault="00AB27F3" w:rsidP="003A5552">
            <w:pPr>
              <w:spacing w:before="120"/>
              <w:ind w:left="57" w:right="57"/>
              <w:jc w:val="both"/>
              <w:rPr>
                <w:sz w:val="26"/>
                <w:szCs w:val="26"/>
              </w:rPr>
            </w:pPr>
            <w:r w:rsidRPr="003A5552">
              <w:rPr>
                <w:sz w:val="26"/>
                <w:szCs w:val="26"/>
              </w:rPr>
              <w:t>V</w:t>
            </w:r>
            <w:r w:rsidR="007D2B55">
              <w:rPr>
                <w:sz w:val="26"/>
                <w:szCs w:val="26"/>
              </w:rPr>
              <w:t>ID</w:t>
            </w:r>
            <w:r w:rsidRPr="003A5552">
              <w:rPr>
                <w:sz w:val="26"/>
                <w:szCs w:val="26"/>
              </w:rPr>
              <w:t xml:space="preserve"> </w:t>
            </w:r>
            <w:r w:rsidRPr="003A5552">
              <w:rPr>
                <w:rFonts w:eastAsia="Times New Roman" w:cs="Times New Roman"/>
                <w:iCs/>
                <w:sz w:val="26"/>
                <w:szCs w:val="26"/>
                <w:lang w:eastAsia="lv-LV"/>
              </w:rPr>
              <w:t>funkcijas</w:t>
            </w:r>
            <w:r w:rsidRPr="003A5552">
              <w:rPr>
                <w:sz w:val="26"/>
                <w:szCs w:val="26"/>
              </w:rPr>
              <w:t xml:space="preserve"> netiks mainītas. Nav nepieciešams veidot jaunas institūcijas. Nav nepieciešama esošu institūciju likvidācija vai reorganizācija. </w:t>
            </w:r>
          </w:p>
          <w:p w14:paraId="547A4B59" w14:textId="1F6F7F24" w:rsidR="00C307AB" w:rsidRPr="003A5552" w:rsidRDefault="00AB27F3" w:rsidP="003A5552">
            <w:pPr>
              <w:spacing w:before="120"/>
              <w:ind w:left="57" w:right="57"/>
              <w:jc w:val="both"/>
              <w:rPr>
                <w:sz w:val="26"/>
                <w:szCs w:val="26"/>
              </w:rPr>
            </w:pPr>
            <w:r w:rsidRPr="003A5552">
              <w:rPr>
                <w:sz w:val="26"/>
                <w:szCs w:val="26"/>
              </w:rPr>
              <w:t>Noteikumu projektā ietvertās normas tiks realizētas esošo cilvēkresursu un finanšu līdzekļu ietvaros.</w:t>
            </w:r>
          </w:p>
        </w:tc>
      </w:tr>
      <w:tr w:rsidR="00AF121C" w:rsidRPr="00465BB8" w14:paraId="74B7E7C8" w14:textId="77777777" w:rsidTr="00C1110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CC3D27E" w14:textId="77777777" w:rsidR="00AF121C" w:rsidRPr="00EF7016" w:rsidRDefault="00AF121C" w:rsidP="0046514D">
            <w:pPr>
              <w:rPr>
                <w:sz w:val="26"/>
                <w:szCs w:val="26"/>
              </w:rPr>
            </w:pPr>
            <w:r w:rsidRPr="00EF7016">
              <w:rPr>
                <w:sz w:val="26"/>
                <w:szCs w:val="26"/>
              </w:rPr>
              <w:t>3.</w:t>
            </w:r>
          </w:p>
        </w:tc>
        <w:tc>
          <w:tcPr>
            <w:tcW w:w="1678" w:type="pct"/>
            <w:tcBorders>
              <w:top w:val="outset" w:sz="6" w:space="0" w:color="auto"/>
              <w:left w:val="outset" w:sz="6" w:space="0" w:color="auto"/>
              <w:bottom w:val="outset" w:sz="6" w:space="0" w:color="auto"/>
              <w:right w:val="outset" w:sz="6" w:space="0" w:color="auto"/>
            </w:tcBorders>
            <w:hideMark/>
          </w:tcPr>
          <w:p w14:paraId="2F6F2AC7" w14:textId="77777777" w:rsidR="00AF121C" w:rsidRPr="00EF7016" w:rsidRDefault="00AF121C" w:rsidP="0046514D">
            <w:pPr>
              <w:rPr>
                <w:sz w:val="26"/>
                <w:szCs w:val="26"/>
              </w:rPr>
            </w:pPr>
            <w:r w:rsidRPr="00EF7016">
              <w:rPr>
                <w:sz w:val="26"/>
                <w:szCs w:val="26"/>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56C8E9A3" w14:textId="77777777" w:rsidR="00AF121C" w:rsidRPr="003A5552" w:rsidRDefault="00AF121C" w:rsidP="003A5552">
            <w:pPr>
              <w:spacing w:before="120"/>
              <w:ind w:left="57" w:right="57"/>
              <w:rPr>
                <w:sz w:val="26"/>
                <w:szCs w:val="26"/>
              </w:rPr>
            </w:pPr>
            <w:r w:rsidRPr="003A5552">
              <w:rPr>
                <w:sz w:val="26"/>
                <w:szCs w:val="26"/>
              </w:rPr>
              <w:t>Nav</w:t>
            </w:r>
          </w:p>
        </w:tc>
      </w:tr>
    </w:tbl>
    <w:p w14:paraId="37AC1DFC" w14:textId="6F15C91B" w:rsidR="00AF121C" w:rsidRDefault="00AF121C" w:rsidP="00AF121C"/>
    <w:p w14:paraId="0D193699" w14:textId="77777777" w:rsidR="00BB4DC6" w:rsidRDefault="00BB4DC6" w:rsidP="00AF121C">
      <w:pPr>
        <w:rPr>
          <w:rFonts w:eastAsia="Times New Roman" w:cs="Times New Roman"/>
          <w:bCs/>
          <w:iCs/>
          <w:kern w:val="1"/>
          <w:sz w:val="26"/>
          <w:szCs w:val="26"/>
          <w:lang w:eastAsia="ar-SA"/>
        </w:rPr>
      </w:pPr>
    </w:p>
    <w:p w14:paraId="6E65D3FC" w14:textId="77777777" w:rsidR="00BB4DC6" w:rsidRDefault="00BB4DC6" w:rsidP="00AF121C">
      <w:pPr>
        <w:rPr>
          <w:rFonts w:eastAsia="Times New Roman" w:cs="Times New Roman"/>
          <w:bCs/>
          <w:iCs/>
          <w:kern w:val="1"/>
          <w:sz w:val="26"/>
          <w:szCs w:val="26"/>
          <w:lang w:eastAsia="ar-SA"/>
        </w:rPr>
      </w:pPr>
    </w:p>
    <w:p w14:paraId="6BDC842D" w14:textId="4309EA14" w:rsidR="00AF121C" w:rsidRPr="00EF7016" w:rsidRDefault="008A4A87" w:rsidP="00AF121C">
      <w:pPr>
        <w:rPr>
          <w:rFonts w:eastAsia="Calibri" w:cs="Times New Roman"/>
          <w:sz w:val="26"/>
          <w:szCs w:val="26"/>
        </w:rPr>
      </w:pPr>
      <w:r>
        <w:rPr>
          <w:rFonts w:eastAsia="Times New Roman" w:cs="Times New Roman"/>
          <w:bCs/>
          <w:iCs/>
          <w:kern w:val="1"/>
          <w:sz w:val="26"/>
          <w:szCs w:val="26"/>
          <w:lang w:eastAsia="ar-SA"/>
        </w:rPr>
        <w:t>F</w:t>
      </w:r>
      <w:r w:rsidR="00AF121C" w:rsidRPr="00EF7016">
        <w:rPr>
          <w:rFonts w:eastAsia="Times New Roman" w:cs="Times New Roman"/>
          <w:bCs/>
          <w:iCs/>
          <w:kern w:val="1"/>
          <w:sz w:val="26"/>
          <w:szCs w:val="26"/>
          <w:lang w:eastAsia="ar-SA"/>
        </w:rPr>
        <w:t>inanšu ministr</w:t>
      </w:r>
      <w:r w:rsidR="00E77E3B">
        <w:rPr>
          <w:rFonts w:eastAsia="Times New Roman" w:cs="Times New Roman"/>
          <w:bCs/>
          <w:iCs/>
          <w:kern w:val="1"/>
          <w:sz w:val="26"/>
          <w:szCs w:val="26"/>
          <w:lang w:eastAsia="ar-SA"/>
        </w:rPr>
        <w:t>s</w:t>
      </w:r>
      <w:r w:rsidR="00AF121C" w:rsidRPr="00EF7016">
        <w:rPr>
          <w:rFonts w:eastAsia="Times New Roman" w:cs="Times New Roman"/>
          <w:bCs/>
          <w:iCs/>
          <w:kern w:val="1"/>
          <w:sz w:val="26"/>
          <w:szCs w:val="26"/>
          <w:lang w:eastAsia="ar-SA"/>
        </w:rPr>
        <w:t xml:space="preserve">  </w:t>
      </w:r>
      <w:r w:rsidR="00AF121C" w:rsidRPr="00EF7016">
        <w:rPr>
          <w:rFonts w:eastAsia="Times New Roman" w:cs="Times New Roman"/>
          <w:bCs/>
          <w:iCs/>
          <w:kern w:val="1"/>
          <w:sz w:val="26"/>
          <w:szCs w:val="26"/>
          <w:lang w:eastAsia="ar-SA"/>
        </w:rPr>
        <w:tab/>
      </w:r>
      <w:r w:rsidR="00AF121C" w:rsidRPr="00EF7016">
        <w:rPr>
          <w:rFonts w:eastAsia="Times New Roman" w:cs="Times New Roman"/>
          <w:bCs/>
          <w:iCs/>
          <w:kern w:val="1"/>
          <w:sz w:val="26"/>
          <w:szCs w:val="26"/>
          <w:lang w:eastAsia="ar-SA"/>
        </w:rPr>
        <w:tab/>
      </w:r>
      <w:r w:rsidR="00AF121C" w:rsidRPr="00EF7016">
        <w:rPr>
          <w:rFonts w:eastAsia="Times New Roman" w:cs="Times New Roman"/>
          <w:bCs/>
          <w:iCs/>
          <w:kern w:val="1"/>
          <w:sz w:val="26"/>
          <w:szCs w:val="26"/>
          <w:lang w:eastAsia="ar-SA"/>
        </w:rPr>
        <w:tab/>
      </w:r>
      <w:r w:rsidR="00AF121C" w:rsidRPr="00EF7016">
        <w:rPr>
          <w:rFonts w:eastAsia="Times New Roman" w:cs="Times New Roman"/>
          <w:bCs/>
          <w:iCs/>
          <w:kern w:val="1"/>
          <w:sz w:val="26"/>
          <w:szCs w:val="26"/>
          <w:lang w:eastAsia="ar-SA"/>
        </w:rPr>
        <w:tab/>
      </w:r>
      <w:r w:rsidR="00AF121C" w:rsidRPr="00EF7016">
        <w:rPr>
          <w:rFonts w:eastAsia="Times New Roman" w:cs="Times New Roman"/>
          <w:bCs/>
          <w:iCs/>
          <w:kern w:val="1"/>
          <w:sz w:val="26"/>
          <w:szCs w:val="26"/>
          <w:lang w:eastAsia="ar-SA"/>
        </w:rPr>
        <w:tab/>
      </w:r>
      <w:r w:rsidR="00AF121C" w:rsidRPr="00EF7016">
        <w:rPr>
          <w:rFonts w:eastAsia="Times New Roman" w:cs="Times New Roman"/>
          <w:bCs/>
          <w:iCs/>
          <w:kern w:val="1"/>
          <w:sz w:val="26"/>
          <w:szCs w:val="26"/>
          <w:lang w:eastAsia="ar-SA"/>
        </w:rPr>
        <w:tab/>
        <w:t xml:space="preserve">      </w:t>
      </w:r>
      <w:r w:rsidR="00AF121C" w:rsidRPr="00EF7016">
        <w:rPr>
          <w:rFonts w:eastAsia="Times New Roman" w:cs="Times New Roman"/>
          <w:bCs/>
          <w:iCs/>
          <w:kern w:val="1"/>
          <w:sz w:val="26"/>
          <w:szCs w:val="26"/>
          <w:lang w:eastAsia="ar-SA"/>
        </w:rPr>
        <w:tab/>
      </w:r>
      <w:proofErr w:type="spellStart"/>
      <w:r w:rsidR="00E77E3B">
        <w:rPr>
          <w:rFonts w:eastAsia="Times New Roman" w:cs="Times New Roman"/>
          <w:bCs/>
          <w:iCs/>
          <w:kern w:val="1"/>
          <w:sz w:val="26"/>
          <w:szCs w:val="26"/>
          <w:lang w:eastAsia="ar-SA"/>
        </w:rPr>
        <w:t>J.Reirs</w:t>
      </w:r>
      <w:proofErr w:type="spellEnd"/>
    </w:p>
    <w:p w14:paraId="05C79ED9" w14:textId="35DE9DC5" w:rsidR="00AF121C" w:rsidRDefault="00AF121C" w:rsidP="00AF121C">
      <w:pPr>
        <w:tabs>
          <w:tab w:val="left" w:pos="5122"/>
        </w:tabs>
        <w:rPr>
          <w:rFonts w:eastAsia="Calibri" w:cs="Times New Roman"/>
          <w:sz w:val="20"/>
          <w:szCs w:val="20"/>
        </w:rPr>
      </w:pPr>
    </w:p>
    <w:p w14:paraId="68A08DF3" w14:textId="346BE14F" w:rsidR="00C10DE2" w:rsidRDefault="00C10DE2" w:rsidP="00AF121C">
      <w:pPr>
        <w:tabs>
          <w:tab w:val="left" w:pos="5122"/>
        </w:tabs>
        <w:rPr>
          <w:rFonts w:eastAsia="Calibri" w:cs="Times New Roman"/>
          <w:sz w:val="20"/>
          <w:szCs w:val="20"/>
        </w:rPr>
      </w:pPr>
    </w:p>
    <w:p w14:paraId="29AF550A" w14:textId="4C623F5B" w:rsidR="00C10DE2" w:rsidRDefault="00C10DE2" w:rsidP="00AF121C">
      <w:pPr>
        <w:tabs>
          <w:tab w:val="left" w:pos="5122"/>
        </w:tabs>
        <w:rPr>
          <w:rFonts w:eastAsia="Calibri" w:cs="Times New Roman"/>
          <w:sz w:val="20"/>
          <w:szCs w:val="20"/>
        </w:rPr>
      </w:pPr>
    </w:p>
    <w:p w14:paraId="70256836" w14:textId="77777777" w:rsidR="00C10DE2" w:rsidRDefault="00C10DE2" w:rsidP="00AF121C">
      <w:pPr>
        <w:tabs>
          <w:tab w:val="left" w:pos="5122"/>
        </w:tabs>
        <w:rPr>
          <w:rFonts w:eastAsia="Calibri" w:cs="Times New Roman"/>
          <w:sz w:val="20"/>
          <w:szCs w:val="20"/>
        </w:rPr>
      </w:pPr>
    </w:p>
    <w:p w14:paraId="4BEC7C52" w14:textId="77777777" w:rsidR="00A57037" w:rsidRPr="00996724" w:rsidRDefault="00A57037" w:rsidP="00AF121C">
      <w:pPr>
        <w:tabs>
          <w:tab w:val="left" w:pos="5122"/>
        </w:tabs>
        <w:rPr>
          <w:rFonts w:eastAsia="Calibri" w:cs="Times New Roman"/>
          <w:sz w:val="20"/>
          <w:szCs w:val="20"/>
        </w:rPr>
      </w:pPr>
    </w:p>
    <w:p w14:paraId="32168CD7" w14:textId="38CACF87" w:rsidR="00AF121C" w:rsidRPr="00996724" w:rsidRDefault="00A60CC5" w:rsidP="00AF121C">
      <w:pPr>
        <w:rPr>
          <w:rFonts w:eastAsia="Times New Roman" w:cs="Times New Roman"/>
          <w:sz w:val="20"/>
          <w:szCs w:val="20"/>
        </w:rPr>
      </w:pPr>
      <w:r>
        <w:rPr>
          <w:rFonts w:eastAsia="Times New Roman" w:cs="Times New Roman"/>
          <w:sz w:val="20"/>
          <w:szCs w:val="20"/>
        </w:rPr>
        <w:t>Vībāne, 67095559</w:t>
      </w:r>
    </w:p>
    <w:p w14:paraId="4303399D" w14:textId="1EB5D93F" w:rsidR="00A60CC5" w:rsidRDefault="0087718D" w:rsidP="00AF121C">
      <w:pPr>
        <w:rPr>
          <w:rFonts w:eastAsia="Calibri" w:cs="Times New Roman"/>
          <w:color w:val="0000FF"/>
          <w:sz w:val="20"/>
          <w:szCs w:val="20"/>
          <w:u w:val="single"/>
        </w:rPr>
      </w:pPr>
      <w:hyperlink r:id="rId24" w:history="1">
        <w:r w:rsidR="00A60CC5" w:rsidRPr="00DC2F4B">
          <w:rPr>
            <w:rStyle w:val="Hyperlink"/>
            <w:rFonts w:eastAsia="Calibri" w:cs="Times New Roman"/>
            <w:sz w:val="20"/>
            <w:szCs w:val="20"/>
          </w:rPr>
          <w:t>Marika.Vibane@fm.gov.lv</w:t>
        </w:r>
      </w:hyperlink>
    </w:p>
    <w:p w14:paraId="046A0E9F" w14:textId="1ADA640C" w:rsidR="00A60CC5" w:rsidRDefault="00A60CC5" w:rsidP="00AF121C">
      <w:pPr>
        <w:rPr>
          <w:rFonts w:eastAsia="Calibri" w:cs="Times New Roman"/>
          <w:color w:val="0000FF"/>
          <w:sz w:val="20"/>
          <w:szCs w:val="20"/>
          <w:u w:val="single"/>
        </w:rPr>
      </w:pPr>
    </w:p>
    <w:sectPr w:rsidR="00A60CC5" w:rsidSect="0046514D">
      <w:headerReference w:type="default" r:id="rId25"/>
      <w:footerReference w:type="default" r:id="rId26"/>
      <w:headerReference w:type="first" r:id="rId27"/>
      <w:footerReference w:type="first" r:id="rId2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16724" w14:textId="77777777" w:rsidR="00F75AD8" w:rsidRDefault="00F75AD8" w:rsidP="00AF121C">
      <w:r>
        <w:separator/>
      </w:r>
    </w:p>
  </w:endnote>
  <w:endnote w:type="continuationSeparator" w:id="0">
    <w:p w14:paraId="6E0CCA4A" w14:textId="77777777" w:rsidR="00F75AD8" w:rsidRDefault="00F75AD8" w:rsidP="00AF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1478A" w14:textId="6B593871" w:rsidR="00D14B38" w:rsidRPr="00292A20" w:rsidRDefault="00D14B38" w:rsidP="006908B0">
    <w:pPr>
      <w:pStyle w:val="Footer"/>
      <w:rPr>
        <w:sz w:val="20"/>
        <w:szCs w:val="20"/>
      </w:rPr>
    </w:pPr>
    <w:r>
      <w:rPr>
        <w:sz w:val="20"/>
        <w:szCs w:val="20"/>
      </w:rPr>
      <w:t>FMAnot_</w:t>
    </w:r>
    <w:r w:rsidR="00A070E2">
      <w:rPr>
        <w:sz w:val="20"/>
        <w:szCs w:val="20"/>
      </w:rPr>
      <w:t>1</w:t>
    </w:r>
    <w:r w:rsidR="002B630A">
      <w:rPr>
        <w:sz w:val="20"/>
        <w:szCs w:val="20"/>
      </w:rPr>
      <w:t>504</w:t>
    </w:r>
    <w:r w:rsidR="0086691B">
      <w:rPr>
        <w:sz w:val="20"/>
        <w:szCs w:val="20"/>
      </w:rPr>
      <w:t>21</w:t>
    </w:r>
    <w:r w:rsidR="001970F7">
      <w:rPr>
        <w:sz w:val="20"/>
        <w:szCs w:val="20"/>
      </w:rPr>
      <w:t>_</w:t>
    </w:r>
    <w:r w:rsidR="00872910">
      <w:rPr>
        <w:sz w:val="20"/>
        <w:szCs w:val="20"/>
      </w:rPr>
      <w:t>groz46</w:t>
    </w:r>
    <w:r w:rsidR="00A5240F">
      <w:rPr>
        <w:sz w:val="20"/>
        <w:szCs w:val="20"/>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CD649" w14:textId="1356BAD1" w:rsidR="00D14B38" w:rsidRPr="00292A20" w:rsidRDefault="00D14B38">
    <w:pPr>
      <w:pStyle w:val="Footer"/>
      <w:rPr>
        <w:sz w:val="20"/>
        <w:szCs w:val="20"/>
      </w:rPr>
    </w:pPr>
    <w:r>
      <w:rPr>
        <w:sz w:val="20"/>
        <w:szCs w:val="20"/>
      </w:rPr>
      <w:t>FMAnot_</w:t>
    </w:r>
    <w:r w:rsidR="002B630A">
      <w:rPr>
        <w:sz w:val="20"/>
        <w:szCs w:val="20"/>
      </w:rPr>
      <w:t>1504</w:t>
    </w:r>
    <w:r w:rsidR="0086691B">
      <w:rPr>
        <w:sz w:val="20"/>
        <w:szCs w:val="20"/>
      </w:rPr>
      <w:t>21</w:t>
    </w:r>
    <w:r w:rsidRPr="00292A20">
      <w:rPr>
        <w:sz w:val="20"/>
        <w:szCs w:val="20"/>
      </w:rPr>
      <w:t>_</w:t>
    </w:r>
    <w:r w:rsidR="00872910">
      <w:rPr>
        <w:sz w:val="20"/>
        <w:szCs w:val="20"/>
      </w:rPr>
      <w:t>groz46</w:t>
    </w:r>
    <w:r w:rsidR="00A5240F">
      <w:rPr>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CD190" w14:textId="77777777" w:rsidR="00F75AD8" w:rsidRDefault="00F75AD8" w:rsidP="00AF121C">
      <w:r>
        <w:separator/>
      </w:r>
    </w:p>
  </w:footnote>
  <w:footnote w:type="continuationSeparator" w:id="0">
    <w:p w14:paraId="266F8720" w14:textId="77777777" w:rsidR="00F75AD8" w:rsidRDefault="00F75AD8" w:rsidP="00AF121C">
      <w:r>
        <w:continuationSeparator/>
      </w:r>
    </w:p>
  </w:footnote>
  <w:footnote w:id="1">
    <w:p w14:paraId="2276DB71" w14:textId="041EF3E5" w:rsidR="00A27406" w:rsidRPr="00A27406" w:rsidRDefault="00A27406" w:rsidP="00D85A18">
      <w:pPr>
        <w:spacing w:before="120"/>
        <w:jc w:val="both"/>
        <w:rPr>
          <w:sz w:val="18"/>
          <w:szCs w:val="18"/>
        </w:rPr>
      </w:pPr>
      <w:r>
        <w:rPr>
          <w:rStyle w:val="FootnoteReference"/>
        </w:rPr>
        <w:footnoteRef/>
      </w:r>
      <w:r>
        <w:t xml:space="preserve"> </w:t>
      </w:r>
      <w:r w:rsidRPr="00A27406">
        <w:rPr>
          <w:sz w:val="18"/>
          <w:szCs w:val="18"/>
        </w:rPr>
        <w:t>MK nosaka (</w:t>
      </w:r>
      <w:r w:rsidRPr="00A27406">
        <w:rPr>
          <w:rFonts w:eastAsia="Times New Roman"/>
          <w:iCs/>
          <w:sz w:val="18"/>
          <w:szCs w:val="18"/>
          <w:lang w:eastAsia="lv-LV"/>
        </w:rPr>
        <w:t xml:space="preserve">1) kārtību, </w:t>
      </w:r>
      <w:r w:rsidRPr="00A27406">
        <w:rPr>
          <w:rFonts w:eastAsia="Times New Roman"/>
          <w:sz w:val="18"/>
          <w:szCs w:val="18"/>
          <w:lang w:eastAsia="lv-LV"/>
        </w:rPr>
        <w:t>kādā īsteno muitas kontroles pasākumus intelektuālā īpašuma tiesību aizsardzībai; (2) lēmuma, ar kuru tiek apstiprināts lūgums muitas iestādei rīkoties attiecībā uz precēm, par kurām ir aizdomas, ka ar tām tiek pārkāptas intelektuālā īpašuma tiesības, saņēmēja pienākumus muitas kontroles pasākumu īstenošanas procesā; (</w:t>
      </w:r>
      <w:r w:rsidRPr="00A27406">
        <w:rPr>
          <w:rFonts w:eastAsia="Times New Roman"/>
          <w:iCs/>
          <w:sz w:val="18"/>
          <w:szCs w:val="18"/>
          <w:lang w:eastAsia="lv-LV"/>
        </w:rPr>
        <w:t>3) lēmuma saņēmēja apstiprinājumā par intelektuālā īpašuma tiesību pārkāpumu norādāmo informāciju; (</w:t>
      </w:r>
      <w:r w:rsidRPr="00A27406">
        <w:rPr>
          <w:rFonts w:eastAsia="Times New Roman"/>
          <w:sz w:val="18"/>
          <w:szCs w:val="18"/>
          <w:lang w:eastAsia="lv-LV"/>
        </w:rPr>
        <w:t xml:space="preserve">4) kārtību, kādā </w:t>
      </w:r>
      <w:r w:rsidRPr="00A27406">
        <w:rPr>
          <w:bCs/>
          <w:iCs/>
          <w:sz w:val="18"/>
          <w:szCs w:val="18"/>
        </w:rPr>
        <w:t>lēmuma saņēmējs Regulas Nr. 608/2013 izpratnē</w:t>
      </w:r>
      <w:r w:rsidRPr="00A27406">
        <w:rPr>
          <w:bCs/>
          <w:sz w:val="18"/>
          <w:szCs w:val="18"/>
        </w:rPr>
        <w:t xml:space="preserve"> </w:t>
      </w:r>
      <w:r w:rsidRPr="00A27406">
        <w:rPr>
          <w:rFonts w:eastAsia="Times New Roman"/>
          <w:sz w:val="18"/>
          <w:szCs w:val="18"/>
          <w:lang w:eastAsia="lv-LV"/>
        </w:rPr>
        <w:t xml:space="preserve">sedz izdevumus par izlaišanai apturēto vai izturēto preču glabāšanu un iznīcināšanu un nosaka šo izdevumu apmēru; (5) Muitas likuma </w:t>
      </w:r>
      <w:r w:rsidRPr="00A27406">
        <w:rPr>
          <w:rFonts w:eastAsia="Times New Roman"/>
          <w:iCs/>
          <w:sz w:val="18"/>
          <w:szCs w:val="18"/>
          <w:lang w:eastAsia="lv-LV"/>
        </w:rPr>
        <w:t>14.</w:t>
      </w:r>
      <w:r w:rsidRPr="00A27406">
        <w:rPr>
          <w:rFonts w:eastAsia="Times New Roman"/>
          <w:iCs/>
          <w:sz w:val="18"/>
          <w:szCs w:val="18"/>
          <w:vertAlign w:val="superscript"/>
          <w:lang w:eastAsia="lv-LV"/>
        </w:rPr>
        <w:t xml:space="preserve">4 </w:t>
      </w:r>
      <w:r w:rsidRPr="00A27406">
        <w:rPr>
          <w:rFonts w:eastAsia="Times New Roman"/>
          <w:iCs/>
          <w:sz w:val="18"/>
          <w:szCs w:val="18"/>
          <w:lang w:eastAsia="lv-LV"/>
        </w:rPr>
        <w:t> pant</w:t>
      </w:r>
      <w:r w:rsidRPr="00A27406">
        <w:rPr>
          <w:rFonts w:eastAsia="Times New Roman"/>
          <w:sz w:val="18"/>
          <w:szCs w:val="18"/>
          <w:lang w:eastAsia="lv-LV"/>
        </w:rPr>
        <w:t xml:space="preserve">ā minēto preču paraugu izņemšanas kārtību; (6) </w:t>
      </w:r>
      <w:r w:rsidRPr="00A27406">
        <w:rPr>
          <w:sz w:val="18"/>
          <w:szCs w:val="18"/>
        </w:rPr>
        <w:t xml:space="preserve">preču paraugu, kas izņemti saskaņā ar Regulas Nr. 608/2013 19. pantu, atdošanas kārtību preču deklarētājam vai valdītājam gadījumā, ja tiek konstatēts, ka </w:t>
      </w:r>
      <w:r w:rsidR="00F60DA7">
        <w:rPr>
          <w:sz w:val="18"/>
          <w:szCs w:val="18"/>
        </w:rPr>
        <w:t>ar precēm netiek pārkāptas</w:t>
      </w:r>
      <w:r w:rsidRPr="00A27406">
        <w:rPr>
          <w:sz w:val="18"/>
          <w:szCs w:val="18"/>
        </w:rPr>
        <w:t xml:space="preserve"> intelektuālā īpašuma tiesības.</w:t>
      </w:r>
      <w:r w:rsidR="00D85A18">
        <w:rPr>
          <w:sz w:val="18"/>
          <w:szCs w:val="18"/>
        </w:rPr>
        <w:t xml:space="preserve"> </w:t>
      </w:r>
    </w:p>
  </w:footnote>
  <w:footnote w:id="2">
    <w:p w14:paraId="30EE3BA2" w14:textId="47A321F4" w:rsidR="00D14B38" w:rsidRPr="00EC69CC" w:rsidRDefault="00D14B38">
      <w:pPr>
        <w:pStyle w:val="FootnoteText"/>
        <w:rPr>
          <w:sz w:val="18"/>
          <w:szCs w:val="18"/>
        </w:rPr>
      </w:pPr>
      <w:r w:rsidRPr="007B5A0E">
        <w:rPr>
          <w:rStyle w:val="FootnoteReference"/>
          <w:sz w:val="18"/>
          <w:szCs w:val="18"/>
        </w:rPr>
        <w:footnoteRef/>
      </w:r>
      <w:r w:rsidRPr="007B5A0E">
        <w:rPr>
          <w:sz w:val="18"/>
          <w:szCs w:val="18"/>
        </w:rPr>
        <w:t xml:space="preserve"> </w:t>
      </w:r>
      <w:r w:rsidRPr="007B5A0E">
        <w:rPr>
          <w:sz w:val="18"/>
          <w:szCs w:val="18"/>
        </w:rPr>
        <w:t>Likumprojekts “Grozījumi Muitas likumā” (Nr.</w:t>
      </w:r>
      <w:r w:rsidR="007B5A0E" w:rsidRPr="007B5A0E">
        <w:rPr>
          <w:sz w:val="18"/>
          <w:szCs w:val="18"/>
        </w:rPr>
        <w:t>1016</w:t>
      </w:r>
      <w:r w:rsidRPr="007B5A0E">
        <w:rPr>
          <w:sz w:val="18"/>
          <w:szCs w:val="18"/>
        </w:rPr>
        <w:t xml:space="preserve">/Lp13) Saeimā pieņemts 1.lasījumā </w:t>
      </w:r>
      <w:r w:rsidRPr="006252E3">
        <w:rPr>
          <w:sz w:val="18"/>
          <w:szCs w:val="18"/>
        </w:rPr>
        <w:t>202</w:t>
      </w:r>
      <w:r w:rsidR="007B5A0E" w:rsidRPr="006252E3">
        <w:rPr>
          <w:sz w:val="18"/>
          <w:szCs w:val="18"/>
        </w:rPr>
        <w:t>1</w:t>
      </w:r>
      <w:r w:rsidRPr="006252E3">
        <w:rPr>
          <w:sz w:val="18"/>
          <w:szCs w:val="18"/>
        </w:rPr>
        <w:t xml:space="preserve">.gada </w:t>
      </w:r>
      <w:r w:rsidR="005C5FC1">
        <w:rPr>
          <w:sz w:val="18"/>
          <w:szCs w:val="18"/>
        </w:rPr>
        <w:t>29.aprīlī</w:t>
      </w:r>
    </w:p>
  </w:footnote>
  <w:footnote w:id="3">
    <w:p w14:paraId="5AD05DD8" w14:textId="3C6EA8B6" w:rsidR="00D14B38" w:rsidRPr="00C11FAE" w:rsidRDefault="00D14B38" w:rsidP="00515B54">
      <w:pPr>
        <w:pStyle w:val="FootnoteText"/>
        <w:jc w:val="both"/>
        <w:rPr>
          <w:sz w:val="18"/>
          <w:szCs w:val="18"/>
        </w:rPr>
      </w:pPr>
      <w:r w:rsidRPr="00515B54">
        <w:rPr>
          <w:rStyle w:val="FootnoteReference"/>
          <w:sz w:val="18"/>
          <w:szCs w:val="18"/>
        </w:rPr>
        <w:footnoteRef/>
      </w:r>
      <w:r w:rsidRPr="00515B54">
        <w:rPr>
          <w:sz w:val="18"/>
          <w:szCs w:val="18"/>
        </w:rPr>
        <w:t xml:space="preserve"> </w:t>
      </w:r>
      <w:r w:rsidRPr="00515B54">
        <w:rPr>
          <w:rFonts w:cs="Times New Roman"/>
          <w:sz w:val="18"/>
          <w:szCs w:val="18"/>
          <w:shd w:val="clear" w:color="auto" w:fill="FFFFFF"/>
        </w:rPr>
        <w:t xml:space="preserve">Konceptuālais ziņojums “Par līdzšinējā regulējuma </w:t>
      </w:r>
      <w:proofErr w:type="spellStart"/>
      <w:r w:rsidRPr="00515B54">
        <w:rPr>
          <w:rFonts w:cs="Times New Roman"/>
          <w:sz w:val="18"/>
          <w:szCs w:val="18"/>
          <w:shd w:val="clear" w:color="auto" w:fill="FFFFFF"/>
        </w:rPr>
        <w:t>izvērtējumu</w:t>
      </w:r>
      <w:proofErr w:type="spellEnd"/>
      <w:r w:rsidRPr="00515B54">
        <w:rPr>
          <w:rFonts w:cs="Times New Roman"/>
          <w:sz w:val="18"/>
          <w:szCs w:val="18"/>
          <w:shd w:val="clear" w:color="auto" w:fill="FFFFFF"/>
        </w:rPr>
        <w:t xml:space="preserve"> attiecībā uz intelektuālā īpašuma tiesību aizsardzību muitas jomā”, </w:t>
      </w:r>
      <w:r w:rsidRPr="00515B54">
        <w:rPr>
          <w:rFonts w:cs="Times New Roman"/>
          <w:sz w:val="18"/>
          <w:szCs w:val="18"/>
        </w:rPr>
        <w:t xml:space="preserve">kurā ietvertie risinājumi tika atbalstīti ar </w:t>
      </w:r>
      <w:r w:rsidRPr="00515B54">
        <w:rPr>
          <w:rFonts w:cs="Times New Roman"/>
          <w:sz w:val="18"/>
          <w:szCs w:val="18"/>
          <w:shd w:val="clear" w:color="auto" w:fill="FFFFFF"/>
        </w:rPr>
        <w:t>Ministru kabineta 2019.</w:t>
      </w:r>
      <w:r w:rsidRPr="00515B54">
        <w:rPr>
          <w:rFonts w:eastAsia="Times New Roman" w:cs="Times New Roman"/>
          <w:sz w:val="18"/>
          <w:szCs w:val="18"/>
          <w:lang w:eastAsia="lv-LV"/>
        </w:rPr>
        <w:t> </w:t>
      </w:r>
      <w:r w:rsidRPr="00515B54">
        <w:rPr>
          <w:rFonts w:cs="Times New Roman"/>
          <w:sz w:val="18"/>
          <w:szCs w:val="18"/>
          <w:shd w:val="clear" w:color="auto" w:fill="FFFFFF"/>
        </w:rPr>
        <w:t>gada 14.</w:t>
      </w:r>
      <w:r w:rsidRPr="00515B54">
        <w:rPr>
          <w:rFonts w:eastAsia="Times New Roman" w:cs="Times New Roman"/>
          <w:sz w:val="18"/>
          <w:szCs w:val="18"/>
          <w:lang w:eastAsia="lv-LV"/>
        </w:rPr>
        <w:t> </w:t>
      </w:r>
      <w:r w:rsidRPr="00515B54">
        <w:rPr>
          <w:rFonts w:cs="Times New Roman"/>
          <w:sz w:val="18"/>
          <w:szCs w:val="18"/>
          <w:shd w:val="clear" w:color="auto" w:fill="FFFFFF"/>
        </w:rPr>
        <w:t>augusta rīkojuma Nr.</w:t>
      </w:r>
      <w:r w:rsidRPr="00515B54">
        <w:rPr>
          <w:rFonts w:eastAsia="Times New Roman" w:cs="Times New Roman"/>
          <w:sz w:val="18"/>
          <w:szCs w:val="18"/>
          <w:lang w:eastAsia="lv-LV"/>
        </w:rPr>
        <w:t> </w:t>
      </w:r>
      <w:r w:rsidRPr="00515B54">
        <w:rPr>
          <w:rFonts w:cs="Times New Roman"/>
          <w:sz w:val="18"/>
          <w:szCs w:val="18"/>
          <w:shd w:val="clear" w:color="auto" w:fill="FFFFFF"/>
        </w:rPr>
        <w:t>401 “</w:t>
      </w:r>
      <w:r w:rsidRPr="00515B54">
        <w:rPr>
          <w:rFonts w:cs="Times New Roman"/>
          <w:bCs/>
          <w:sz w:val="18"/>
          <w:szCs w:val="18"/>
          <w:shd w:val="clear" w:color="auto" w:fill="FFFFFF"/>
        </w:rPr>
        <w:t xml:space="preserve">Par konceptuālo ziņojumu “Par </w:t>
      </w:r>
      <w:r w:rsidRPr="00C11FAE">
        <w:rPr>
          <w:rFonts w:cs="Times New Roman"/>
          <w:bCs/>
          <w:sz w:val="18"/>
          <w:szCs w:val="18"/>
          <w:shd w:val="clear" w:color="auto" w:fill="FFFFFF"/>
        </w:rPr>
        <w:t xml:space="preserve">līdzšinējā regulējuma </w:t>
      </w:r>
      <w:proofErr w:type="spellStart"/>
      <w:r w:rsidRPr="00C11FAE">
        <w:rPr>
          <w:rFonts w:cs="Times New Roman"/>
          <w:bCs/>
          <w:sz w:val="18"/>
          <w:szCs w:val="18"/>
          <w:shd w:val="clear" w:color="auto" w:fill="FFFFFF"/>
        </w:rPr>
        <w:t>izvērtējumu</w:t>
      </w:r>
      <w:proofErr w:type="spellEnd"/>
      <w:r w:rsidRPr="00C11FAE">
        <w:rPr>
          <w:rFonts w:cs="Times New Roman"/>
          <w:bCs/>
          <w:sz w:val="18"/>
          <w:szCs w:val="18"/>
          <w:shd w:val="clear" w:color="auto" w:fill="FFFFFF"/>
        </w:rPr>
        <w:t xml:space="preserve"> attiecībā uz intelektuālā īpašuma tiesību aizsardzību muitas jomā”” </w:t>
      </w:r>
      <w:r w:rsidRPr="00C11FAE">
        <w:rPr>
          <w:rFonts w:cs="Times New Roman"/>
          <w:sz w:val="18"/>
          <w:szCs w:val="18"/>
          <w:shd w:val="clear" w:color="auto" w:fill="FFFFFF"/>
        </w:rPr>
        <w:t>2.</w:t>
      </w:r>
      <w:r w:rsidRPr="00C11FAE">
        <w:rPr>
          <w:rFonts w:eastAsia="Times New Roman" w:cs="Times New Roman"/>
          <w:sz w:val="18"/>
          <w:szCs w:val="18"/>
          <w:lang w:eastAsia="lv-LV"/>
        </w:rPr>
        <w:t> </w:t>
      </w:r>
      <w:r w:rsidRPr="00C11FAE">
        <w:rPr>
          <w:rFonts w:cs="Times New Roman"/>
          <w:sz w:val="18"/>
          <w:szCs w:val="18"/>
          <w:shd w:val="clear" w:color="auto" w:fill="FFFFFF"/>
        </w:rPr>
        <w:t>punktu</w:t>
      </w:r>
    </w:p>
  </w:footnote>
  <w:footnote w:id="4">
    <w:p w14:paraId="455FBA6D" w14:textId="4160BB86" w:rsidR="00D14B38" w:rsidRPr="00C46269" w:rsidRDefault="00D14B38">
      <w:pPr>
        <w:pStyle w:val="FootnoteText"/>
        <w:rPr>
          <w:sz w:val="18"/>
          <w:szCs w:val="18"/>
        </w:rPr>
      </w:pPr>
      <w:r w:rsidRPr="00C46269">
        <w:rPr>
          <w:rStyle w:val="FootnoteReference"/>
          <w:sz w:val="18"/>
          <w:szCs w:val="18"/>
        </w:rPr>
        <w:footnoteRef/>
      </w:r>
      <w:r w:rsidRPr="00C46269">
        <w:rPr>
          <w:sz w:val="18"/>
          <w:szCs w:val="18"/>
        </w:rPr>
        <w:t xml:space="preserve"> </w:t>
      </w:r>
      <w:r w:rsidR="00C46269" w:rsidRPr="002D6748">
        <w:rPr>
          <w:sz w:val="18"/>
          <w:szCs w:val="18"/>
        </w:rPr>
        <w:t xml:space="preserve">2021.gada </w:t>
      </w:r>
      <w:r w:rsidR="002D6748" w:rsidRPr="002D6748">
        <w:rPr>
          <w:sz w:val="18"/>
          <w:szCs w:val="18"/>
        </w:rPr>
        <w:t>29.aprīlī</w:t>
      </w:r>
      <w:r w:rsidR="00C46269" w:rsidRPr="002D6748">
        <w:rPr>
          <w:sz w:val="18"/>
          <w:szCs w:val="18"/>
        </w:rPr>
        <w:t xml:space="preserve"> likumprojekts “Grozījumi Muitas likumā” (Nr.1016/Lp13)  pieņemts Saeimā 1.lasījumā</w:t>
      </w:r>
    </w:p>
  </w:footnote>
  <w:footnote w:id="5">
    <w:p w14:paraId="060CF4ED" w14:textId="2648FB28" w:rsidR="00D14B38" w:rsidRPr="003C2A9A" w:rsidRDefault="00D14B38" w:rsidP="003C2A9A">
      <w:pPr>
        <w:pStyle w:val="FootnoteText"/>
        <w:jc w:val="both"/>
        <w:rPr>
          <w:sz w:val="18"/>
          <w:szCs w:val="18"/>
        </w:rPr>
      </w:pPr>
      <w:r w:rsidRPr="003C2A9A">
        <w:rPr>
          <w:rStyle w:val="FootnoteReference"/>
          <w:sz w:val="18"/>
          <w:szCs w:val="18"/>
        </w:rPr>
        <w:footnoteRef/>
      </w:r>
      <w:r w:rsidRPr="003C2A9A">
        <w:rPr>
          <w:sz w:val="18"/>
          <w:szCs w:val="18"/>
        </w:rPr>
        <w:t xml:space="preserve"> </w:t>
      </w:r>
      <w:r w:rsidRPr="003C2A9A">
        <w:rPr>
          <w:rFonts w:cs="Times New Roman"/>
          <w:sz w:val="18"/>
          <w:szCs w:val="18"/>
        </w:rPr>
        <w:t>Eiropas Parlamenta un Padomes 2013. gada 12. jūnija regula (ES) Nr. 608/2013 par muitas darbu intelektuālā īpašuma tiesību īstenošanā un ar ko atceļ Padomes Regulu (EK) Nr. 1383/2003 (turpmāk – regula Nr. 608/2013)</w:t>
      </w:r>
    </w:p>
  </w:footnote>
  <w:footnote w:id="6">
    <w:p w14:paraId="21D36468" w14:textId="031D5243" w:rsidR="00D14B38" w:rsidRPr="003C2A9A" w:rsidRDefault="00D14B38" w:rsidP="003C2A9A">
      <w:pPr>
        <w:pStyle w:val="FootnoteText"/>
        <w:jc w:val="both"/>
        <w:rPr>
          <w:sz w:val="18"/>
          <w:szCs w:val="18"/>
        </w:rPr>
      </w:pPr>
      <w:r w:rsidRPr="003C2A9A">
        <w:rPr>
          <w:rStyle w:val="FootnoteReference"/>
          <w:sz w:val="18"/>
          <w:szCs w:val="18"/>
        </w:rPr>
        <w:footnoteRef/>
      </w:r>
      <w:r w:rsidRPr="003C2A9A">
        <w:rPr>
          <w:sz w:val="18"/>
          <w:szCs w:val="18"/>
        </w:rPr>
        <w:t xml:space="preserve"> </w:t>
      </w:r>
      <w:r w:rsidRPr="003C2A9A">
        <w:rPr>
          <w:sz w:val="18"/>
          <w:szCs w:val="18"/>
        </w:rPr>
        <w:t>Noteikumu projekta 27.punktā minētais lēmuma saņēmējs</w:t>
      </w:r>
    </w:p>
  </w:footnote>
  <w:footnote w:id="7">
    <w:p w14:paraId="270E9DEB" w14:textId="3E656A80" w:rsidR="00D14B38" w:rsidRPr="003C2A9A" w:rsidRDefault="00D14B38" w:rsidP="003C2A9A">
      <w:pPr>
        <w:pStyle w:val="FootnoteText"/>
        <w:jc w:val="both"/>
        <w:rPr>
          <w:sz w:val="18"/>
          <w:szCs w:val="18"/>
        </w:rPr>
      </w:pPr>
      <w:r w:rsidRPr="003C2A9A">
        <w:rPr>
          <w:rStyle w:val="FootnoteReference"/>
          <w:sz w:val="18"/>
          <w:szCs w:val="18"/>
        </w:rPr>
        <w:footnoteRef/>
      </w:r>
      <w:r w:rsidRPr="003C2A9A">
        <w:rPr>
          <w:sz w:val="18"/>
          <w:szCs w:val="18"/>
        </w:rPr>
        <w:t xml:space="preserve"> </w:t>
      </w:r>
      <w:r w:rsidRPr="003C2A9A">
        <w:rPr>
          <w:sz w:val="18"/>
          <w:szCs w:val="18"/>
        </w:rPr>
        <w:t>Noteikumu projekta 29.punktā minētais apstiprinājums</w:t>
      </w:r>
    </w:p>
  </w:footnote>
  <w:footnote w:id="8">
    <w:p w14:paraId="6F4DA7C3" w14:textId="08A89BB6" w:rsidR="00D14B38" w:rsidRPr="00A8447B" w:rsidRDefault="00D14B38" w:rsidP="00A8447B">
      <w:pPr>
        <w:pStyle w:val="FootnoteText"/>
        <w:jc w:val="both"/>
        <w:rPr>
          <w:sz w:val="18"/>
          <w:szCs w:val="18"/>
        </w:rPr>
      </w:pPr>
      <w:r>
        <w:rPr>
          <w:rStyle w:val="FootnoteReference"/>
        </w:rPr>
        <w:footnoteRef/>
      </w:r>
      <w:r>
        <w:t xml:space="preserve"> </w:t>
      </w:r>
      <w:r w:rsidRPr="00A8447B">
        <w:rPr>
          <w:rFonts w:cs="Times New Roman"/>
          <w:sz w:val="18"/>
          <w:szCs w:val="18"/>
          <w:shd w:val="clear" w:color="auto" w:fill="FFFFFF"/>
        </w:rPr>
        <w:t>Komisijas 2015.</w:t>
      </w:r>
      <w:r w:rsidRPr="00A8447B">
        <w:rPr>
          <w:rFonts w:eastAsia="Times New Roman" w:cs="Times New Roman"/>
          <w:sz w:val="18"/>
          <w:szCs w:val="18"/>
          <w:lang w:eastAsia="lv-LV"/>
        </w:rPr>
        <w:t> </w:t>
      </w:r>
      <w:r w:rsidRPr="00A8447B">
        <w:rPr>
          <w:rFonts w:cs="Times New Roman"/>
          <w:sz w:val="18"/>
          <w:szCs w:val="18"/>
          <w:shd w:val="clear" w:color="auto" w:fill="FFFFFF"/>
        </w:rPr>
        <w:t>gada 28.</w:t>
      </w:r>
      <w:r w:rsidRPr="00A8447B">
        <w:rPr>
          <w:rFonts w:eastAsia="Times New Roman" w:cs="Times New Roman"/>
          <w:sz w:val="18"/>
          <w:szCs w:val="18"/>
          <w:lang w:eastAsia="lv-LV"/>
        </w:rPr>
        <w:t> </w:t>
      </w:r>
      <w:r w:rsidRPr="00A8447B">
        <w:rPr>
          <w:rFonts w:cs="Times New Roman"/>
          <w:sz w:val="18"/>
          <w:szCs w:val="18"/>
          <w:shd w:val="clear" w:color="auto" w:fill="FFFFFF"/>
        </w:rPr>
        <w:t>jūlija Deleģētās regulas (ES) </w:t>
      </w:r>
      <w:hyperlink r:id="rId1" w:tgtFrame="_blank" w:history="1">
        <w:r w:rsidRPr="00A8447B">
          <w:rPr>
            <w:rStyle w:val="Hyperlink"/>
            <w:rFonts w:cs="Times New Roman"/>
            <w:color w:val="auto"/>
            <w:sz w:val="18"/>
            <w:szCs w:val="18"/>
            <w:u w:val="none"/>
            <w:shd w:val="clear" w:color="auto" w:fill="FFFFFF"/>
          </w:rPr>
          <w:t>2015/2446</w:t>
        </w:r>
      </w:hyperlink>
      <w:r w:rsidRPr="00A8447B">
        <w:rPr>
          <w:rFonts w:cs="Times New Roman"/>
          <w:sz w:val="18"/>
          <w:szCs w:val="18"/>
          <w:shd w:val="clear" w:color="auto" w:fill="FFFFFF"/>
        </w:rPr>
        <w:t>, ar ko papildina Eiropas Parlamenta un Padomes Regulu (ES) Nr. </w:t>
      </w:r>
      <w:hyperlink r:id="rId2" w:tgtFrame="_blank" w:history="1">
        <w:r w:rsidRPr="00A8447B">
          <w:rPr>
            <w:rStyle w:val="Hyperlink"/>
            <w:rFonts w:cs="Times New Roman"/>
            <w:color w:val="auto"/>
            <w:sz w:val="18"/>
            <w:szCs w:val="18"/>
            <w:u w:val="none"/>
            <w:shd w:val="clear" w:color="auto" w:fill="FFFFFF"/>
          </w:rPr>
          <w:t>952/2013</w:t>
        </w:r>
      </w:hyperlink>
      <w:r w:rsidRPr="00A8447B">
        <w:rPr>
          <w:rFonts w:cs="Times New Roman"/>
          <w:sz w:val="18"/>
          <w:szCs w:val="18"/>
          <w:shd w:val="clear" w:color="auto" w:fill="FFFFFF"/>
        </w:rPr>
        <w:t> attiecībā uz sīki izstrādātiem noteikumiem, kuri attiecas uz dažiem Savienības Muitas kodeksa noteikumiem</w:t>
      </w:r>
    </w:p>
  </w:footnote>
  <w:footnote w:id="9">
    <w:p w14:paraId="0805613D" w14:textId="77777777" w:rsidR="00D14B38" w:rsidRPr="004421CF" w:rsidRDefault="00D14B38" w:rsidP="00A8447B">
      <w:pPr>
        <w:pStyle w:val="FootnoteText"/>
        <w:jc w:val="both"/>
        <w:rPr>
          <w:sz w:val="18"/>
          <w:szCs w:val="18"/>
        </w:rPr>
      </w:pPr>
      <w:r w:rsidRPr="004421CF">
        <w:rPr>
          <w:rStyle w:val="FootnoteReference"/>
          <w:sz w:val="18"/>
          <w:szCs w:val="18"/>
        </w:rPr>
        <w:footnoteRef/>
      </w:r>
      <w:r w:rsidRPr="004421CF">
        <w:rPr>
          <w:sz w:val="18"/>
          <w:szCs w:val="18"/>
        </w:rPr>
        <w:t xml:space="preserve"> </w:t>
      </w:r>
      <w:r w:rsidRPr="004421CF">
        <w:rPr>
          <w:sz w:val="18"/>
          <w:szCs w:val="18"/>
          <w:shd w:val="clear" w:color="auto" w:fill="FFFFFF"/>
        </w:rPr>
        <w:t>Mutisku deklarāciju var iesniegt par nekomerciālām precēm; komerciālām precēm ceļotāja personīgajā bagāžā, kuru vērtība nepārsniedz 1000 </w:t>
      </w:r>
      <w:proofErr w:type="spellStart"/>
      <w:r w:rsidRPr="004421CF">
        <w:rPr>
          <w:i/>
          <w:iCs/>
          <w:sz w:val="18"/>
          <w:szCs w:val="18"/>
          <w:shd w:val="clear" w:color="auto" w:fill="FFFFFF"/>
        </w:rPr>
        <w:t>euro</w:t>
      </w:r>
      <w:proofErr w:type="spellEnd"/>
      <w:r w:rsidRPr="004421CF">
        <w:rPr>
          <w:sz w:val="18"/>
          <w:szCs w:val="18"/>
          <w:shd w:val="clear" w:color="auto" w:fill="FFFFFF"/>
        </w:rPr>
        <w:t>  vai kuru neto svars nepārsniedz 1000 kg</w:t>
      </w:r>
      <w:r>
        <w:rPr>
          <w:sz w:val="18"/>
          <w:szCs w:val="18"/>
          <w:shd w:val="clear" w:color="auto" w:fill="FFFFFF"/>
        </w:rPr>
        <w:t>.</w:t>
      </w:r>
    </w:p>
  </w:footnote>
  <w:footnote w:id="10">
    <w:p w14:paraId="55807327" w14:textId="3FF73430" w:rsidR="00667EA1" w:rsidRPr="00667EA1" w:rsidRDefault="00667EA1" w:rsidP="00667EA1">
      <w:pPr>
        <w:pStyle w:val="FootnoteText"/>
        <w:jc w:val="both"/>
        <w:rPr>
          <w:rFonts w:cs="Times New Roman"/>
          <w:sz w:val="18"/>
          <w:szCs w:val="18"/>
        </w:rPr>
      </w:pPr>
      <w:r w:rsidRPr="00667EA1">
        <w:rPr>
          <w:rStyle w:val="FootnoteReference"/>
          <w:rFonts w:cs="Times New Roman"/>
          <w:sz w:val="18"/>
          <w:szCs w:val="18"/>
        </w:rPr>
        <w:footnoteRef/>
      </w:r>
      <w:r w:rsidRPr="00667EA1">
        <w:rPr>
          <w:rFonts w:cs="Times New Roman"/>
          <w:sz w:val="18"/>
          <w:szCs w:val="18"/>
        </w:rPr>
        <w:t xml:space="preserve"> </w:t>
      </w:r>
      <w:r w:rsidRPr="00667EA1">
        <w:rPr>
          <w:rFonts w:cs="Times New Roman"/>
          <w:sz w:val="18"/>
          <w:szCs w:val="18"/>
        </w:rPr>
        <w:t xml:space="preserve">MK nosaka </w:t>
      </w:r>
      <w:r w:rsidRPr="00667EA1">
        <w:rPr>
          <w:rFonts w:cs="Times New Roman"/>
          <w:sz w:val="18"/>
          <w:szCs w:val="18"/>
          <w:shd w:val="clear" w:color="auto" w:fill="FFFFFF"/>
        </w:rPr>
        <w:t>kārtību, kādā īsteno muitas kontroles pasākumus intelektuālā īpašuma tiesību aizsardzībai, kā arī lēmuma, ar kuru tiek apstiprināts lūgums muitas iestādei rīkoties attiecībā uz precēm, par kurām ir aizdomas, ka ar tām tiek pārkāptas intelektuālā īpašuma tiesības, saņēmēja pienākumus muitas kontroles pasākumu īstenošanas procesā un kārtību, kādā sedz izdevumus par izlaišanai apturēto vai aizturēto preču glabāšanu un iznīcināšanu un nosaka šo izdevumu apmēru</w:t>
      </w:r>
      <w:r>
        <w:rPr>
          <w:rFonts w:cs="Times New Roman"/>
          <w:sz w:val="18"/>
          <w:szCs w:val="18"/>
          <w:shd w:val="clear" w:color="auto" w:fill="FFFFFF"/>
        </w:rPr>
        <w:t>.</w:t>
      </w:r>
    </w:p>
  </w:footnote>
  <w:footnote w:id="11">
    <w:p w14:paraId="212DA5D2" w14:textId="302E5FF1" w:rsidR="00667EA1" w:rsidRPr="00667EA1" w:rsidRDefault="00667EA1" w:rsidP="00667EA1">
      <w:pPr>
        <w:pStyle w:val="FootnoteText"/>
        <w:jc w:val="both"/>
        <w:rPr>
          <w:rFonts w:cs="Times New Roman"/>
          <w:sz w:val="18"/>
          <w:szCs w:val="18"/>
        </w:rPr>
      </w:pPr>
      <w:r w:rsidRPr="00667EA1">
        <w:rPr>
          <w:rStyle w:val="FootnoteReference"/>
          <w:rFonts w:cs="Times New Roman"/>
          <w:sz w:val="18"/>
          <w:szCs w:val="18"/>
        </w:rPr>
        <w:footnoteRef/>
      </w:r>
      <w:r w:rsidRPr="00667EA1">
        <w:rPr>
          <w:rFonts w:cs="Times New Roman"/>
          <w:sz w:val="18"/>
          <w:szCs w:val="18"/>
        </w:rPr>
        <w:t xml:space="preserve"> </w:t>
      </w:r>
      <w:r w:rsidRPr="00667EA1">
        <w:rPr>
          <w:rFonts w:cs="Times New Roman"/>
          <w:sz w:val="18"/>
          <w:szCs w:val="18"/>
        </w:rPr>
        <w:t xml:space="preserve">MK nosaka </w:t>
      </w:r>
      <w:r w:rsidRPr="00667EA1">
        <w:rPr>
          <w:rFonts w:cs="Times New Roman"/>
          <w:sz w:val="18"/>
          <w:szCs w:val="18"/>
          <w:shd w:val="clear" w:color="auto" w:fill="FFFFFF"/>
        </w:rPr>
        <w:t>kārtību, kādā muitas amatpersona veic transportlīdzekļa apturēšanu Latvijas Republikas muitas teritorijā muitas kontroles veikšanai un nogādā transportlīdzekli muitas iestādē muitas kontroles veikšanai</w:t>
      </w:r>
      <w:r>
        <w:rPr>
          <w:rFonts w:cs="Times New Roman"/>
          <w:sz w:val="18"/>
          <w:szCs w:val="18"/>
          <w:shd w:val="clear" w:color="auto" w:fill="FFFFFF"/>
        </w:rPr>
        <w:t>.</w:t>
      </w:r>
    </w:p>
  </w:footnote>
  <w:footnote w:id="12">
    <w:p w14:paraId="2E949021" w14:textId="458CD2F4" w:rsidR="00667EA1" w:rsidRPr="00667EA1" w:rsidRDefault="00667EA1" w:rsidP="00667EA1">
      <w:pPr>
        <w:pStyle w:val="FootnoteText"/>
        <w:jc w:val="both"/>
        <w:rPr>
          <w:rFonts w:cs="Times New Roman"/>
          <w:sz w:val="18"/>
          <w:szCs w:val="18"/>
        </w:rPr>
      </w:pPr>
      <w:r w:rsidRPr="00667EA1">
        <w:rPr>
          <w:rStyle w:val="FootnoteReference"/>
          <w:rFonts w:cs="Times New Roman"/>
          <w:sz w:val="18"/>
          <w:szCs w:val="18"/>
        </w:rPr>
        <w:footnoteRef/>
      </w:r>
      <w:r w:rsidRPr="00667EA1">
        <w:rPr>
          <w:rFonts w:cs="Times New Roman"/>
          <w:sz w:val="18"/>
          <w:szCs w:val="18"/>
        </w:rPr>
        <w:t xml:space="preserve"> </w:t>
      </w:r>
      <w:r w:rsidRPr="00667EA1">
        <w:rPr>
          <w:rFonts w:cs="Times New Roman"/>
          <w:sz w:val="18"/>
          <w:szCs w:val="18"/>
        </w:rPr>
        <w:t xml:space="preserve">MK nosaka </w:t>
      </w:r>
      <w:r w:rsidRPr="00667EA1">
        <w:rPr>
          <w:rFonts w:cs="Times New Roman"/>
          <w:sz w:val="18"/>
          <w:szCs w:val="18"/>
          <w:shd w:val="clear" w:color="auto" w:fill="FFFFFF"/>
        </w:rPr>
        <w:t>tehniskās prasības preču identifikācijas līdzekļiem, kā arī to izmantošanas kārtību.</w:t>
      </w:r>
    </w:p>
  </w:footnote>
  <w:footnote w:id="13">
    <w:p w14:paraId="1AA90ABC" w14:textId="2AAF4887" w:rsidR="00D14B38" w:rsidRPr="00965D34" w:rsidRDefault="00D14B38" w:rsidP="009D428A">
      <w:pPr>
        <w:pStyle w:val="FootnoteText"/>
        <w:jc w:val="both"/>
        <w:rPr>
          <w:sz w:val="18"/>
          <w:szCs w:val="18"/>
        </w:rPr>
      </w:pPr>
      <w:r w:rsidRPr="00965D34">
        <w:rPr>
          <w:rStyle w:val="FootnoteReference"/>
          <w:sz w:val="18"/>
          <w:szCs w:val="18"/>
        </w:rPr>
        <w:footnoteRef/>
      </w:r>
      <w:r w:rsidRPr="00965D34">
        <w:rPr>
          <w:sz w:val="18"/>
          <w:szCs w:val="18"/>
        </w:rPr>
        <w:t xml:space="preserve"> </w:t>
      </w:r>
      <w:r w:rsidRPr="00965D34">
        <w:rPr>
          <w:rFonts w:cs="Times New Roman"/>
          <w:sz w:val="18"/>
          <w:szCs w:val="18"/>
        </w:rPr>
        <w:t>Eiropas Parlamenta un Padomes 2013. gada 12. jūnija regula (ES) Nr. 608/2013 par muitas darbu intelektuālā īpašuma tiesību īstenošanā un ar ko atceļ Padomes Regulu (EK) Nr. 1383/2003 (turpmāk – regula Nr. 608/2013)</w:t>
      </w:r>
    </w:p>
  </w:footnote>
  <w:footnote w:id="14">
    <w:p w14:paraId="521A43F2" w14:textId="6C7DA83A" w:rsidR="00D14B38" w:rsidRDefault="00D14B38">
      <w:pPr>
        <w:pStyle w:val="FootnoteText"/>
      </w:pPr>
      <w:r w:rsidRPr="00965D34">
        <w:rPr>
          <w:rStyle w:val="FootnoteReference"/>
          <w:sz w:val="18"/>
          <w:szCs w:val="18"/>
        </w:rPr>
        <w:footnoteRef/>
      </w:r>
      <w:r w:rsidRPr="00965D34">
        <w:rPr>
          <w:sz w:val="18"/>
          <w:szCs w:val="18"/>
        </w:rPr>
        <w:t xml:space="preserve"> </w:t>
      </w:r>
      <w:r w:rsidRPr="00965D34">
        <w:rPr>
          <w:sz w:val="18"/>
          <w:szCs w:val="18"/>
        </w:rPr>
        <w:t>Regulas Nr.608/2013 23.panta 1.punkts</w:t>
      </w:r>
    </w:p>
  </w:footnote>
  <w:footnote w:id="15">
    <w:p w14:paraId="363567D6" w14:textId="688E820C" w:rsidR="00D14B38" w:rsidRPr="00357091" w:rsidRDefault="00D14B38" w:rsidP="00357091">
      <w:pPr>
        <w:pStyle w:val="FootnoteText"/>
        <w:jc w:val="both"/>
        <w:rPr>
          <w:sz w:val="18"/>
          <w:szCs w:val="18"/>
        </w:rPr>
      </w:pPr>
      <w:r w:rsidRPr="00357091">
        <w:rPr>
          <w:rStyle w:val="FootnoteReference"/>
          <w:sz w:val="18"/>
          <w:szCs w:val="18"/>
        </w:rPr>
        <w:footnoteRef/>
      </w:r>
      <w:r w:rsidRPr="00357091">
        <w:rPr>
          <w:sz w:val="18"/>
          <w:szCs w:val="18"/>
        </w:rPr>
        <w:t xml:space="preserve"> </w:t>
      </w:r>
      <w:r w:rsidRPr="00357091">
        <w:rPr>
          <w:rFonts w:eastAsia="Times New Roman" w:cs="Times New Roman"/>
          <w:sz w:val="18"/>
          <w:szCs w:val="18"/>
          <w:lang w:eastAsia="lv-LV"/>
        </w:rPr>
        <w:t>Eiropas Parlamenta un Padomes 2013. gada 9. oktobra Regulas (ES) Nr. 952/2013, ar ko izveido Savienības Muitas kodeksu (turpmāk – regula Nr. 952/2013)</w:t>
      </w:r>
    </w:p>
  </w:footnote>
  <w:footnote w:id="16">
    <w:p w14:paraId="29597747" w14:textId="77777777" w:rsidR="00D14B38" w:rsidRPr="00DA0C05" w:rsidRDefault="00D14B38" w:rsidP="004111A6">
      <w:pPr>
        <w:pStyle w:val="FootnoteText"/>
        <w:rPr>
          <w:sz w:val="18"/>
          <w:szCs w:val="18"/>
        </w:rPr>
      </w:pPr>
      <w:r w:rsidRPr="00DA0C05">
        <w:rPr>
          <w:rStyle w:val="FootnoteReference"/>
          <w:sz w:val="18"/>
          <w:szCs w:val="18"/>
        </w:rPr>
        <w:footnoteRef/>
      </w:r>
      <w:r w:rsidRPr="00DA0C05">
        <w:rPr>
          <w:sz w:val="18"/>
          <w:szCs w:val="18"/>
        </w:rPr>
        <w:t xml:space="preserve"> </w:t>
      </w:r>
      <w:r w:rsidRPr="00DA0C05">
        <w:rPr>
          <w:sz w:val="18"/>
          <w:szCs w:val="18"/>
        </w:rPr>
        <w:t xml:space="preserve">Konceptuālā ziņojuma </w:t>
      </w:r>
      <w:proofErr w:type="spellStart"/>
      <w:r w:rsidRPr="00DA0C05">
        <w:rPr>
          <w:sz w:val="18"/>
          <w:szCs w:val="18"/>
        </w:rPr>
        <w:t>IV.sadaļas</w:t>
      </w:r>
      <w:proofErr w:type="spellEnd"/>
      <w:r w:rsidRPr="00DA0C05">
        <w:rPr>
          <w:sz w:val="18"/>
          <w:szCs w:val="18"/>
        </w:rPr>
        <w:t xml:space="preserve"> 4.3.punkts.</w:t>
      </w:r>
    </w:p>
  </w:footnote>
  <w:footnote w:id="17">
    <w:p w14:paraId="43C8FEDD" w14:textId="1CAB3A23" w:rsidR="00D14B38" w:rsidRDefault="00D14B38">
      <w:pPr>
        <w:pStyle w:val="FootnoteText"/>
      </w:pPr>
      <w:r>
        <w:rPr>
          <w:rStyle w:val="FootnoteReference"/>
        </w:rPr>
        <w:footnoteRef/>
      </w:r>
      <w:r>
        <w:t xml:space="preserve"> </w:t>
      </w:r>
      <w:r w:rsidRPr="00DA0C05">
        <w:rPr>
          <w:sz w:val="18"/>
          <w:szCs w:val="18"/>
        </w:rPr>
        <w:t xml:space="preserve">Konceptuālā ziņojuma </w:t>
      </w:r>
      <w:proofErr w:type="spellStart"/>
      <w:r w:rsidRPr="00DA0C05">
        <w:rPr>
          <w:sz w:val="18"/>
          <w:szCs w:val="18"/>
        </w:rPr>
        <w:t>IV.sadaļas</w:t>
      </w:r>
      <w:proofErr w:type="spellEnd"/>
      <w:r w:rsidRPr="00DA0C05">
        <w:rPr>
          <w:sz w:val="18"/>
          <w:szCs w:val="18"/>
        </w:rPr>
        <w:t xml:space="preserve"> 4.</w:t>
      </w:r>
      <w:r w:rsidR="0010040E">
        <w:rPr>
          <w:sz w:val="18"/>
          <w:szCs w:val="18"/>
        </w:rPr>
        <w:t>5</w:t>
      </w:r>
      <w:r w:rsidRPr="00DA0C05">
        <w:rPr>
          <w:sz w:val="18"/>
          <w:szCs w:val="18"/>
        </w:rPr>
        <w:t>.punkts</w:t>
      </w:r>
    </w:p>
  </w:footnote>
  <w:footnote w:id="18">
    <w:p w14:paraId="12971162" w14:textId="77777777" w:rsidR="004300D3" w:rsidRPr="00583F29" w:rsidRDefault="004300D3" w:rsidP="004300D3">
      <w:pPr>
        <w:spacing w:before="120"/>
        <w:ind w:left="57" w:right="57"/>
        <w:jc w:val="both"/>
        <w:rPr>
          <w:rFonts w:cs="Times New Roman"/>
          <w:sz w:val="18"/>
          <w:szCs w:val="18"/>
        </w:rPr>
      </w:pPr>
      <w:r w:rsidRPr="00583F29">
        <w:rPr>
          <w:rStyle w:val="FootnoteReference"/>
          <w:rFonts w:cs="Times New Roman"/>
          <w:sz w:val="18"/>
          <w:szCs w:val="18"/>
        </w:rPr>
        <w:footnoteRef/>
      </w:r>
      <w:r w:rsidRPr="00583F29">
        <w:rPr>
          <w:rFonts w:cs="Times New Roman"/>
          <w:sz w:val="18"/>
          <w:szCs w:val="18"/>
        </w:rPr>
        <w:t xml:space="preserve"> </w:t>
      </w:r>
      <w:r w:rsidRPr="00583F29">
        <w:rPr>
          <w:rFonts w:cs="Times New Roman"/>
          <w:sz w:val="18"/>
          <w:szCs w:val="18"/>
        </w:rPr>
        <w:t>Minētās padomes sastāvā ir pārstāvji no biedrības “Autopārvadātāju asociācija “Latvijas auto””, Rīgas tehniskās universitātes, Latvijas Nacionālās kravas ekspeditoru un loģistikas asociācijas, biedrības “Latvijas Aviācijas asociācija”, Latvijas Darba devēju konfederācijas, Satiksmes ministrijas, VAS “Latvijas dzelzceļš” un Latvijas Loģistikas asociācijas.</w:t>
      </w:r>
    </w:p>
    <w:p w14:paraId="4882959F" w14:textId="77777777" w:rsidR="004300D3" w:rsidRDefault="004300D3" w:rsidP="004300D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9016806"/>
      <w:docPartObj>
        <w:docPartGallery w:val="Page Numbers (Top of Page)"/>
        <w:docPartUnique/>
      </w:docPartObj>
    </w:sdtPr>
    <w:sdtEndPr>
      <w:rPr>
        <w:noProof/>
      </w:rPr>
    </w:sdtEndPr>
    <w:sdtContent>
      <w:p w14:paraId="42685365" w14:textId="5424F811" w:rsidR="00D14B38" w:rsidRDefault="00D14B38">
        <w:pPr>
          <w:pStyle w:val="Header"/>
          <w:jc w:val="center"/>
        </w:pPr>
        <w:r>
          <w:fldChar w:fldCharType="begin"/>
        </w:r>
        <w:r>
          <w:instrText xml:space="preserve"> PAGE   \* MERGEFORMAT </w:instrText>
        </w:r>
        <w:r>
          <w:fldChar w:fldCharType="separate"/>
        </w:r>
        <w:r w:rsidR="002D6748">
          <w:rPr>
            <w:noProof/>
          </w:rPr>
          <w:t>3</w:t>
        </w:r>
        <w:r>
          <w:rPr>
            <w:noProof/>
          </w:rPr>
          <w:fldChar w:fldCharType="end"/>
        </w:r>
      </w:p>
    </w:sdtContent>
  </w:sdt>
  <w:p w14:paraId="37541140" w14:textId="77777777" w:rsidR="00D14B38" w:rsidRDefault="00D14B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0F4BE" w14:textId="0B418FB5" w:rsidR="00D14B38" w:rsidRPr="00292A20" w:rsidRDefault="00D14B38">
    <w:pPr>
      <w:pStyle w:val="Header"/>
      <w:jc w:val="center"/>
      <w:rPr>
        <w:sz w:val="20"/>
        <w:szCs w:val="20"/>
      </w:rPr>
    </w:pPr>
  </w:p>
  <w:p w14:paraId="75C9DAD6" w14:textId="77777777" w:rsidR="00D14B38" w:rsidRDefault="00D14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D6A93"/>
    <w:multiLevelType w:val="hybridMultilevel"/>
    <w:tmpl w:val="8C201E16"/>
    <w:lvl w:ilvl="0" w:tplc="2772B2FC">
      <w:start w:val="1"/>
      <w:numFmt w:val="bullet"/>
      <w:lvlText w:val=""/>
      <w:lvlJc w:val="left"/>
      <w:pPr>
        <w:ind w:left="720" w:hanging="360"/>
      </w:pPr>
      <w:rPr>
        <w:rFonts w:ascii="Symbol" w:hAnsi="Symbol" w:hint="default"/>
      </w:rPr>
    </w:lvl>
    <w:lvl w:ilvl="1" w:tplc="1EE4516A" w:tentative="1">
      <w:start w:val="1"/>
      <w:numFmt w:val="bullet"/>
      <w:lvlText w:val="o"/>
      <w:lvlJc w:val="left"/>
      <w:pPr>
        <w:ind w:left="1440" w:hanging="360"/>
      </w:pPr>
      <w:rPr>
        <w:rFonts w:ascii="Courier New" w:hAnsi="Courier New" w:cs="Courier New" w:hint="default"/>
      </w:rPr>
    </w:lvl>
    <w:lvl w:ilvl="2" w:tplc="CCA2E414" w:tentative="1">
      <w:start w:val="1"/>
      <w:numFmt w:val="bullet"/>
      <w:lvlText w:val=""/>
      <w:lvlJc w:val="left"/>
      <w:pPr>
        <w:ind w:left="2160" w:hanging="360"/>
      </w:pPr>
      <w:rPr>
        <w:rFonts w:ascii="Wingdings" w:hAnsi="Wingdings" w:hint="default"/>
      </w:rPr>
    </w:lvl>
    <w:lvl w:ilvl="3" w:tplc="917CE1FE" w:tentative="1">
      <w:start w:val="1"/>
      <w:numFmt w:val="bullet"/>
      <w:lvlText w:val=""/>
      <w:lvlJc w:val="left"/>
      <w:pPr>
        <w:ind w:left="2880" w:hanging="360"/>
      </w:pPr>
      <w:rPr>
        <w:rFonts w:ascii="Symbol" w:hAnsi="Symbol" w:hint="default"/>
      </w:rPr>
    </w:lvl>
    <w:lvl w:ilvl="4" w:tplc="909AF25C" w:tentative="1">
      <w:start w:val="1"/>
      <w:numFmt w:val="bullet"/>
      <w:lvlText w:val="o"/>
      <w:lvlJc w:val="left"/>
      <w:pPr>
        <w:ind w:left="3600" w:hanging="360"/>
      </w:pPr>
      <w:rPr>
        <w:rFonts w:ascii="Courier New" w:hAnsi="Courier New" w:cs="Courier New" w:hint="default"/>
      </w:rPr>
    </w:lvl>
    <w:lvl w:ilvl="5" w:tplc="7DEC2CAA" w:tentative="1">
      <w:start w:val="1"/>
      <w:numFmt w:val="bullet"/>
      <w:lvlText w:val=""/>
      <w:lvlJc w:val="left"/>
      <w:pPr>
        <w:ind w:left="4320" w:hanging="360"/>
      </w:pPr>
      <w:rPr>
        <w:rFonts w:ascii="Wingdings" w:hAnsi="Wingdings" w:hint="default"/>
      </w:rPr>
    </w:lvl>
    <w:lvl w:ilvl="6" w:tplc="EF7AA1D8" w:tentative="1">
      <w:start w:val="1"/>
      <w:numFmt w:val="bullet"/>
      <w:lvlText w:val=""/>
      <w:lvlJc w:val="left"/>
      <w:pPr>
        <w:ind w:left="5040" w:hanging="360"/>
      </w:pPr>
      <w:rPr>
        <w:rFonts w:ascii="Symbol" w:hAnsi="Symbol" w:hint="default"/>
      </w:rPr>
    </w:lvl>
    <w:lvl w:ilvl="7" w:tplc="7FFA1B62" w:tentative="1">
      <w:start w:val="1"/>
      <w:numFmt w:val="bullet"/>
      <w:lvlText w:val="o"/>
      <w:lvlJc w:val="left"/>
      <w:pPr>
        <w:ind w:left="5760" w:hanging="360"/>
      </w:pPr>
      <w:rPr>
        <w:rFonts w:ascii="Courier New" w:hAnsi="Courier New" w:cs="Courier New" w:hint="default"/>
      </w:rPr>
    </w:lvl>
    <w:lvl w:ilvl="8" w:tplc="F9B4F4CC" w:tentative="1">
      <w:start w:val="1"/>
      <w:numFmt w:val="bullet"/>
      <w:lvlText w:val=""/>
      <w:lvlJc w:val="left"/>
      <w:pPr>
        <w:ind w:left="6480" w:hanging="360"/>
      </w:pPr>
      <w:rPr>
        <w:rFonts w:ascii="Wingdings" w:hAnsi="Wingdings" w:hint="default"/>
      </w:rPr>
    </w:lvl>
  </w:abstractNum>
  <w:abstractNum w:abstractNumId="1" w15:restartNumberingAfterBreak="0">
    <w:nsid w:val="19586CB2"/>
    <w:multiLevelType w:val="hybridMultilevel"/>
    <w:tmpl w:val="EC7A8CD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1C24569C"/>
    <w:multiLevelType w:val="hybridMultilevel"/>
    <w:tmpl w:val="852C6224"/>
    <w:lvl w:ilvl="0" w:tplc="F38031F2">
      <w:start w:val="1"/>
      <w:numFmt w:val="decimal"/>
      <w:lvlText w:val="%1."/>
      <w:lvlJc w:val="left"/>
      <w:pPr>
        <w:ind w:left="417" w:hanging="360"/>
      </w:pPr>
      <w:rPr>
        <w:rFonts w:ascii="Times New Roman" w:hAnsi="Times New Roman" w:cs="Times New Roman" w:hint="default"/>
        <w:sz w:val="24"/>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3" w15:restartNumberingAfterBreak="0">
    <w:nsid w:val="1ED63AFD"/>
    <w:multiLevelType w:val="hybridMultilevel"/>
    <w:tmpl w:val="D4E87BDA"/>
    <w:lvl w:ilvl="0" w:tplc="C83C1F44">
      <w:start w:val="1"/>
      <w:numFmt w:val="decimal"/>
      <w:lvlText w:val="%1."/>
      <w:lvlJc w:val="left"/>
      <w:pPr>
        <w:ind w:left="417" w:hanging="360"/>
      </w:pPr>
      <w:rPr>
        <w:rFonts w:ascii="Times New Roman" w:hAnsi="Times New Roman" w:cs="Times New Roman" w:hint="default"/>
        <w:sz w:val="24"/>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4" w15:restartNumberingAfterBreak="0">
    <w:nsid w:val="236D3803"/>
    <w:multiLevelType w:val="hybridMultilevel"/>
    <w:tmpl w:val="3720110E"/>
    <w:lvl w:ilvl="0" w:tplc="A8069166">
      <w:start w:val="1"/>
      <w:numFmt w:val="bullet"/>
      <w:lvlText w:val=""/>
      <w:lvlJc w:val="left"/>
      <w:pPr>
        <w:ind w:left="720" w:hanging="360"/>
      </w:pPr>
      <w:rPr>
        <w:rFonts w:ascii="Symbol" w:hAnsi="Symbol" w:hint="default"/>
      </w:rPr>
    </w:lvl>
    <w:lvl w:ilvl="1" w:tplc="9202BA78" w:tentative="1">
      <w:start w:val="1"/>
      <w:numFmt w:val="bullet"/>
      <w:lvlText w:val="o"/>
      <w:lvlJc w:val="left"/>
      <w:pPr>
        <w:ind w:left="1440" w:hanging="360"/>
      </w:pPr>
      <w:rPr>
        <w:rFonts w:ascii="Courier New" w:hAnsi="Courier New" w:cs="Courier New" w:hint="default"/>
      </w:rPr>
    </w:lvl>
    <w:lvl w:ilvl="2" w:tplc="430ECB40" w:tentative="1">
      <w:start w:val="1"/>
      <w:numFmt w:val="bullet"/>
      <w:lvlText w:val=""/>
      <w:lvlJc w:val="left"/>
      <w:pPr>
        <w:ind w:left="2160" w:hanging="360"/>
      </w:pPr>
      <w:rPr>
        <w:rFonts w:ascii="Wingdings" w:hAnsi="Wingdings" w:hint="default"/>
      </w:rPr>
    </w:lvl>
    <w:lvl w:ilvl="3" w:tplc="EA96089C" w:tentative="1">
      <w:start w:val="1"/>
      <w:numFmt w:val="bullet"/>
      <w:lvlText w:val=""/>
      <w:lvlJc w:val="left"/>
      <w:pPr>
        <w:ind w:left="2880" w:hanging="360"/>
      </w:pPr>
      <w:rPr>
        <w:rFonts w:ascii="Symbol" w:hAnsi="Symbol" w:hint="default"/>
      </w:rPr>
    </w:lvl>
    <w:lvl w:ilvl="4" w:tplc="863E6722" w:tentative="1">
      <w:start w:val="1"/>
      <w:numFmt w:val="bullet"/>
      <w:lvlText w:val="o"/>
      <w:lvlJc w:val="left"/>
      <w:pPr>
        <w:ind w:left="3600" w:hanging="360"/>
      </w:pPr>
      <w:rPr>
        <w:rFonts w:ascii="Courier New" w:hAnsi="Courier New" w:cs="Courier New" w:hint="default"/>
      </w:rPr>
    </w:lvl>
    <w:lvl w:ilvl="5" w:tplc="1C6CD568" w:tentative="1">
      <w:start w:val="1"/>
      <w:numFmt w:val="bullet"/>
      <w:lvlText w:val=""/>
      <w:lvlJc w:val="left"/>
      <w:pPr>
        <w:ind w:left="4320" w:hanging="360"/>
      </w:pPr>
      <w:rPr>
        <w:rFonts w:ascii="Wingdings" w:hAnsi="Wingdings" w:hint="default"/>
      </w:rPr>
    </w:lvl>
    <w:lvl w:ilvl="6" w:tplc="73AE4D88" w:tentative="1">
      <w:start w:val="1"/>
      <w:numFmt w:val="bullet"/>
      <w:lvlText w:val=""/>
      <w:lvlJc w:val="left"/>
      <w:pPr>
        <w:ind w:left="5040" w:hanging="360"/>
      </w:pPr>
      <w:rPr>
        <w:rFonts w:ascii="Symbol" w:hAnsi="Symbol" w:hint="default"/>
      </w:rPr>
    </w:lvl>
    <w:lvl w:ilvl="7" w:tplc="CB46E6DE" w:tentative="1">
      <w:start w:val="1"/>
      <w:numFmt w:val="bullet"/>
      <w:lvlText w:val="o"/>
      <w:lvlJc w:val="left"/>
      <w:pPr>
        <w:ind w:left="5760" w:hanging="360"/>
      </w:pPr>
      <w:rPr>
        <w:rFonts w:ascii="Courier New" w:hAnsi="Courier New" w:cs="Courier New" w:hint="default"/>
      </w:rPr>
    </w:lvl>
    <w:lvl w:ilvl="8" w:tplc="6D2C8844" w:tentative="1">
      <w:start w:val="1"/>
      <w:numFmt w:val="bullet"/>
      <w:lvlText w:val=""/>
      <w:lvlJc w:val="left"/>
      <w:pPr>
        <w:ind w:left="6480" w:hanging="360"/>
      </w:pPr>
      <w:rPr>
        <w:rFonts w:ascii="Wingdings" w:hAnsi="Wingdings" w:hint="default"/>
      </w:rPr>
    </w:lvl>
  </w:abstractNum>
  <w:abstractNum w:abstractNumId="5" w15:restartNumberingAfterBreak="0">
    <w:nsid w:val="47431D89"/>
    <w:multiLevelType w:val="hybridMultilevel"/>
    <w:tmpl w:val="458A1C00"/>
    <w:lvl w:ilvl="0" w:tplc="247AA5C0">
      <w:start w:val="7"/>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6" w15:restartNumberingAfterBreak="0">
    <w:nsid w:val="500646D2"/>
    <w:multiLevelType w:val="hybridMultilevel"/>
    <w:tmpl w:val="100A9D5E"/>
    <w:lvl w:ilvl="0" w:tplc="DA2E96D6">
      <w:numFmt w:val="bullet"/>
      <w:lvlText w:val="-"/>
      <w:lvlJc w:val="left"/>
      <w:pPr>
        <w:ind w:left="927" w:hanging="360"/>
      </w:pPr>
      <w:rPr>
        <w:rFonts w:ascii="Times New Roman" w:eastAsia="Times New Roman" w:hAnsi="Times New Roman" w:cs="Times New Roman" w:hint="default"/>
      </w:rPr>
    </w:lvl>
    <w:lvl w:ilvl="1" w:tplc="F5E0435A" w:tentative="1">
      <w:start w:val="1"/>
      <w:numFmt w:val="bullet"/>
      <w:lvlText w:val="o"/>
      <w:lvlJc w:val="left"/>
      <w:pPr>
        <w:ind w:left="1647" w:hanging="360"/>
      </w:pPr>
      <w:rPr>
        <w:rFonts w:ascii="Courier New" w:hAnsi="Courier New" w:cs="Courier New" w:hint="default"/>
      </w:rPr>
    </w:lvl>
    <w:lvl w:ilvl="2" w:tplc="2ABE4122" w:tentative="1">
      <w:start w:val="1"/>
      <w:numFmt w:val="bullet"/>
      <w:lvlText w:val=""/>
      <w:lvlJc w:val="left"/>
      <w:pPr>
        <w:ind w:left="2367" w:hanging="360"/>
      </w:pPr>
      <w:rPr>
        <w:rFonts w:ascii="Wingdings" w:hAnsi="Wingdings" w:hint="default"/>
      </w:rPr>
    </w:lvl>
    <w:lvl w:ilvl="3" w:tplc="281E5FEA" w:tentative="1">
      <w:start w:val="1"/>
      <w:numFmt w:val="bullet"/>
      <w:lvlText w:val=""/>
      <w:lvlJc w:val="left"/>
      <w:pPr>
        <w:ind w:left="3087" w:hanging="360"/>
      </w:pPr>
      <w:rPr>
        <w:rFonts w:ascii="Symbol" w:hAnsi="Symbol" w:hint="default"/>
      </w:rPr>
    </w:lvl>
    <w:lvl w:ilvl="4" w:tplc="01A214B2" w:tentative="1">
      <w:start w:val="1"/>
      <w:numFmt w:val="bullet"/>
      <w:lvlText w:val="o"/>
      <w:lvlJc w:val="left"/>
      <w:pPr>
        <w:ind w:left="3807" w:hanging="360"/>
      </w:pPr>
      <w:rPr>
        <w:rFonts w:ascii="Courier New" w:hAnsi="Courier New" w:cs="Courier New" w:hint="default"/>
      </w:rPr>
    </w:lvl>
    <w:lvl w:ilvl="5" w:tplc="5812FD04" w:tentative="1">
      <w:start w:val="1"/>
      <w:numFmt w:val="bullet"/>
      <w:lvlText w:val=""/>
      <w:lvlJc w:val="left"/>
      <w:pPr>
        <w:ind w:left="4527" w:hanging="360"/>
      </w:pPr>
      <w:rPr>
        <w:rFonts w:ascii="Wingdings" w:hAnsi="Wingdings" w:hint="default"/>
      </w:rPr>
    </w:lvl>
    <w:lvl w:ilvl="6" w:tplc="0644CD5A" w:tentative="1">
      <w:start w:val="1"/>
      <w:numFmt w:val="bullet"/>
      <w:lvlText w:val=""/>
      <w:lvlJc w:val="left"/>
      <w:pPr>
        <w:ind w:left="5247" w:hanging="360"/>
      </w:pPr>
      <w:rPr>
        <w:rFonts w:ascii="Symbol" w:hAnsi="Symbol" w:hint="default"/>
      </w:rPr>
    </w:lvl>
    <w:lvl w:ilvl="7" w:tplc="995E12A6" w:tentative="1">
      <w:start w:val="1"/>
      <w:numFmt w:val="bullet"/>
      <w:lvlText w:val="o"/>
      <w:lvlJc w:val="left"/>
      <w:pPr>
        <w:ind w:left="5967" w:hanging="360"/>
      </w:pPr>
      <w:rPr>
        <w:rFonts w:ascii="Courier New" w:hAnsi="Courier New" w:cs="Courier New" w:hint="default"/>
      </w:rPr>
    </w:lvl>
    <w:lvl w:ilvl="8" w:tplc="BDB8C718" w:tentative="1">
      <w:start w:val="1"/>
      <w:numFmt w:val="bullet"/>
      <w:lvlText w:val=""/>
      <w:lvlJc w:val="left"/>
      <w:pPr>
        <w:ind w:left="6687" w:hanging="360"/>
      </w:pPr>
      <w:rPr>
        <w:rFonts w:ascii="Wingdings" w:hAnsi="Wingdings" w:hint="default"/>
      </w:rPr>
    </w:lvl>
  </w:abstractNum>
  <w:abstractNum w:abstractNumId="7" w15:restartNumberingAfterBreak="0">
    <w:nsid w:val="51532041"/>
    <w:multiLevelType w:val="hybridMultilevel"/>
    <w:tmpl w:val="95C651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5CA65AC"/>
    <w:multiLevelType w:val="hybridMultilevel"/>
    <w:tmpl w:val="691CF8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5D516B2"/>
    <w:multiLevelType w:val="hybridMultilevel"/>
    <w:tmpl w:val="5AD29AAA"/>
    <w:lvl w:ilvl="0" w:tplc="34981F68">
      <w:start w:val="7"/>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10" w15:restartNumberingAfterBreak="0">
    <w:nsid w:val="5F910D8A"/>
    <w:multiLevelType w:val="hybridMultilevel"/>
    <w:tmpl w:val="D4E87BDA"/>
    <w:lvl w:ilvl="0" w:tplc="C83C1F44">
      <w:start w:val="1"/>
      <w:numFmt w:val="decimal"/>
      <w:lvlText w:val="%1."/>
      <w:lvlJc w:val="left"/>
      <w:pPr>
        <w:ind w:left="417" w:hanging="360"/>
      </w:pPr>
      <w:rPr>
        <w:rFonts w:ascii="Times New Roman" w:hAnsi="Times New Roman" w:cs="Times New Roman" w:hint="default"/>
        <w:sz w:val="24"/>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11" w15:restartNumberingAfterBreak="0">
    <w:nsid w:val="61AF320F"/>
    <w:multiLevelType w:val="hybridMultilevel"/>
    <w:tmpl w:val="5E042FF4"/>
    <w:lvl w:ilvl="0" w:tplc="0B1455F8">
      <w:start w:val="1"/>
      <w:numFmt w:val="upperRoman"/>
      <w:lvlText w:val="%1."/>
      <w:lvlJc w:val="left"/>
      <w:pPr>
        <w:ind w:left="390" w:hanging="274"/>
      </w:pPr>
      <w:rPr>
        <w:rFonts w:ascii="Times New Roman" w:eastAsia="Times New Roman" w:hAnsi="Times New Roman" w:hint="default"/>
        <w:b/>
        <w:bCs/>
        <w:sz w:val="24"/>
        <w:szCs w:val="24"/>
      </w:rPr>
    </w:lvl>
    <w:lvl w:ilvl="1" w:tplc="6D0A7E58">
      <w:start w:val="1"/>
      <w:numFmt w:val="bullet"/>
      <w:lvlText w:val=""/>
      <w:lvlJc w:val="left"/>
      <w:pPr>
        <w:ind w:left="837" w:hanging="356"/>
      </w:pPr>
      <w:rPr>
        <w:rFonts w:ascii="Wingdings" w:eastAsia="Wingdings" w:hAnsi="Wingdings" w:hint="default"/>
        <w:sz w:val="24"/>
        <w:szCs w:val="24"/>
      </w:rPr>
    </w:lvl>
    <w:lvl w:ilvl="2" w:tplc="9604AE86">
      <w:start w:val="1"/>
      <w:numFmt w:val="bullet"/>
      <w:lvlText w:val="•"/>
      <w:lvlJc w:val="left"/>
      <w:pPr>
        <w:ind w:left="1869" w:hanging="356"/>
      </w:pPr>
      <w:rPr>
        <w:rFonts w:hint="default"/>
      </w:rPr>
    </w:lvl>
    <w:lvl w:ilvl="3" w:tplc="D3EE0918">
      <w:start w:val="1"/>
      <w:numFmt w:val="bullet"/>
      <w:lvlText w:val="•"/>
      <w:lvlJc w:val="left"/>
      <w:pPr>
        <w:ind w:left="2902" w:hanging="356"/>
      </w:pPr>
      <w:rPr>
        <w:rFonts w:hint="default"/>
      </w:rPr>
    </w:lvl>
    <w:lvl w:ilvl="4" w:tplc="3E7689C0">
      <w:start w:val="1"/>
      <w:numFmt w:val="bullet"/>
      <w:lvlText w:val="•"/>
      <w:lvlJc w:val="left"/>
      <w:pPr>
        <w:ind w:left="3934" w:hanging="356"/>
      </w:pPr>
      <w:rPr>
        <w:rFonts w:hint="default"/>
      </w:rPr>
    </w:lvl>
    <w:lvl w:ilvl="5" w:tplc="FF365390">
      <w:start w:val="1"/>
      <w:numFmt w:val="bullet"/>
      <w:lvlText w:val="•"/>
      <w:lvlJc w:val="left"/>
      <w:pPr>
        <w:ind w:left="4966" w:hanging="356"/>
      </w:pPr>
      <w:rPr>
        <w:rFonts w:hint="default"/>
      </w:rPr>
    </w:lvl>
    <w:lvl w:ilvl="6" w:tplc="20F48D2C">
      <w:start w:val="1"/>
      <w:numFmt w:val="bullet"/>
      <w:lvlText w:val="•"/>
      <w:lvlJc w:val="left"/>
      <w:pPr>
        <w:ind w:left="5999" w:hanging="356"/>
      </w:pPr>
      <w:rPr>
        <w:rFonts w:hint="default"/>
      </w:rPr>
    </w:lvl>
    <w:lvl w:ilvl="7" w:tplc="45C02C18">
      <w:start w:val="1"/>
      <w:numFmt w:val="bullet"/>
      <w:lvlText w:val="•"/>
      <w:lvlJc w:val="left"/>
      <w:pPr>
        <w:ind w:left="7031" w:hanging="356"/>
      </w:pPr>
      <w:rPr>
        <w:rFonts w:hint="default"/>
      </w:rPr>
    </w:lvl>
    <w:lvl w:ilvl="8" w:tplc="DA48894E">
      <w:start w:val="1"/>
      <w:numFmt w:val="bullet"/>
      <w:lvlText w:val="•"/>
      <w:lvlJc w:val="left"/>
      <w:pPr>
        <w:ind w:left="8064" w:hanging="356"/>
      </w:pPr>
      <w:rPr>
        <w:rFonts w:hint="default"/>
      </w:rPr>
    </w:lvl>
  </w:abstractNum>
  <w:abstractNum w:abstractNumId="12" w15:restartNumberingAfterBreak="0">
    <w:nsid w:val="628D0118"/>
    <w:multiLevelType w:val="hybridMultilevel"/>
    <w:tmpl w:val="2FDEDE66"/>
    <w:lvl w:ilvl="0" w:tplc="99409CF0">
      <w:start w:val="6"/>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num w:numId="1">
    <w:abstractNumId w:val="2"/>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2"/>
  </w:num>
  <w:num w:numId="7">
    <w:abstractNumId w:val="7"/>
  </w:num>
  <w:num w:numId="8">
    <w:abstractNumId w:val="3"/>
  </w:num>
  <w:num w:numId="9">
    <w:abstractNumId w:val="1"/>
  </w:num>
  <w:num w:numId="10">
    <w:abstractNumId w:val="8"/>
  </w:num>
  <w:num w:numId="11">
    <w:abstractNumId w:val="6"/>
  </w:num>
  <w:num w:numId="12">
    <w:abstractNumId w:val="0"/>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1C"/>
    <w:rsid w:val="00001C19"/>
    <w:rsid w:val="000041BA"/>
    <w:rsid w:val="000043D3"/>
    <w:rsid w:val="00006CF4"/>
    <w:rsid w:val="00006E67"/>
    <w:rsid w:val="00010235"/>
    <w:rsid w:val="000102FF"/>
    <w:rsid w:val="000107C0"/>
    <w:rsid w:val="000118D0"/>
    <w:rsid w:val="000150C4"/>
    <w:rsid w:val="000152B3"/>
    <w:rsid w:val="00017736"/>
    <w:rsid w:val="00017B84"/>
    <w:rsid w:val="00020B2C"/>
    <w:rsid w:val="0002109F"/>
    <w:rsid w:val="00022B75"/>
    <w:rsid w:val="000231B6"/>
    <w:rsid w:val="000244EE"/>
    <w:rsid w:val="00025EF4"/>
    <w:rsid w:val="0002770F"/>
    <w:rsid w:val="00027FFA"/>
    <w:rsid w:val="00032B89"/>
    <w:rsid w:val="0004322C"/>
    <w:rsid w:val="000455AB"/>
    <w:rsid w:val="00045E96"/>
    <w:rsid w:val="0004702D"/>
    <w:rsid w:val="00047D2F"/>
    <w:rsid w:val="00050AC1"/>
    <w:rsid w:val="000568D7"/>
    <w:rsid w:val="00061FD0"/>
    <w:rsid w:val="00064B15"/>
    <w:rsid w:val="000670DF"/>
    <w:rsid w:val="0007024F"/>
    <w:rsid w:val="00072129"/>
    <w:rsid w:val="0008191A"/>
    <w:rsid w:val="00083937"/>
    <w:rsid w:val="000901C6"/>
    <w:rsid w:val="00090D5A"/>
    <w:rsid w:val="00093D8F"/>
    <w:rsid w:val="00095DA3"/>
    <w:rsid w:val="000966A7"/>
    <w:rsid w:val="000A0954"/>
    <w:rsid w:val="000A099C"/>
    <w:rsid w:val="000A1D0B"/>
    <w:rsid w:val="000A35FF"/>
    <w:rsid w:val="000A3DAE"/>
    <w:rsid w:val="000A6A73"/>
    <w:rsid w:val="000A73D1"/>
    <w:rsid w:val="000B3A6D"/>
    <w:rsid w:val="000B4634"/>
    <w:rsid w:val="000B5127"/>
    <w:rsid w:val="000B52D4"/>
    <w:rsid w:val="000B6E59"/>
    <w:rsid w:val="000B7F5E"/>
    <w:rsid w:val="000C172B"/>
    <w:rsid w:val="000C1D09"/>
    <w:rsid w:val="000C27BB"/>
    <w:rsid w:val="000C2D64"/>
    <w:rsid w:val="000C376A"/>
    <w:rsid w:val="000C405C"/>
    <w:rsid w:val="000D19F1"/>
    <w:rsid w:val="000D23EC"/>
    <w:rsid w:val="000E0C0D"/>
    <w:rsid w:val="000E433B"/>
    <w:rsid w:val="000E666D"/>
    <w:rsid w:val="000F277B"/>
    <w:rsid w:val="000F6A23"/>
    <w:rsid w:val="000F7D3B"/>
    <w:rsid w:val="0010040E"/>
    <w:rsid w:val="00100FF8"/>
    <w:rsid w:val="00101ED5"/>
    <w:rsid w:val="0010336A"/>
    <w:rsid w:val="00111329"/>
    <w:rsid w:val="00115895"/>
    <w:rsid w:val="00117F2E"/>
    <w:rsid w:val="0012443E"/>
    <w:rsid w:val="00133110"/>
    <w:rsid w:val="0013389B"/>
    <w:rsid w:val="00133A05"/>
    <w:rsid w:val="001378E1"/>
    <w:rsid w:val="00137C5F"/>
    <w:rsid w:val="00142E81"/>
    <w:rsid w:val="00143C82"/>
    <w:rsid w:val="00144C24"/>
    <w:rsid w:val="00145605"/>
    <w:rsid w:val="0014655E"/>
    <w:rsid w:val="0015023B"/>
    <w:rsid w:val="00154B22"/>
    <w:rsid w:val="00155183"/>
    <w:rsid w:val="00156A1A"/>
    <w:rsid w:val="00156F73"/>
    <w:rsid w:val="001607EF"/>
    <w:rsid w:val="00161595"/>
    <w:rsid w:val="00170B69"/>
    <w:rsid w:val="00172AB4"/>
    <w:rsid w:val="00173F31"/>
    <w:rsid w:val="0017710C"/>
    <w:rsid w:val="00177E74"/>
    <w:rsid w:val="00180DD2"/>
    <w:rsid w:val="00181152"/>
    <w:rsid w:val="001822F8"/>
    <w:rsid w:val="00182C0B"/>
    <w:rsid w:val="00182C8A"/>
    <w:rsid w:val="00183F40"/>
    <w:rsid w:val="00184D81"/>
    <w:rsid w:val="00186E98"/>
    <w:rsid w:val="0019292A"/>
    <w:rsid w:val="00195DBC"/>
    <w:rsid w:val="001970F7"/>
    <w:rsid w:val="00197F83"/>
    <w:rsid w:val="001A0863"/>
    <w:rsid w:val="001A4BE8"/>
    <w:rsid w:val="001A521C"/>
    <w:rsid w:val="001A7EFF"/>
    <w:rsid w:val="001B2E2D"/>
    <w:rsid w:val="001B448A"/>
    <w:rsid w:val="001C1110"/>
    <w:rsid w:val="001C20F8"/>
    <w:rsid w:val="001C3031"/>
    <w:rsid w:val="001C3798"/>
    <w:rsid w:val="001C4453"/>
    <w:rsid w:val="001C4D58"/>
    <w:rsid w:val="001C64A3"/>
    <w:rsid w:val="001C67BC"/>
    <w:rsid w:val="001C6C5E"/>
    <w:rsid w:val="001C752C"/>
    <w:rsid w:val="001D12BB"/>
    <w:rsid w:val="001D21DB"/>
    <w:rsid w:val="001D27FC"/>
    <w:rsid w:val="001D2FC6"/>
    <w:rsid w:val="001E0DD8"/>
    <w:rsid w:val="001E43F6"/>
    <w:rsid w:val="001E5EC3"/>
    <w:rsid w:val="001E6375"/>
    <w:rsid w:val="001F02A6"/>
    <w:rsid w:val="001F414B"/>
    <w:rsid w:val="001F551F"/>
    <w:rsid w:val="001F7A58"/>
    <w:rsid w:val="002036CC"/>
    <w:rsid w:val="0020411D"/>
    <w:rsid w:val="0020591B"/>
    <w:rsid w:val="002064B4"/>
    <w:rsid w:val="00206F4A"/>
    <w:rsid w:val="00217D79"/>
    <w:rsid w:val="0022017D"/>
    <w:rsid w:val="00225512"/>
    <w:rsid w:val="00226DCF"/>
    <w:rsid w:val="00231C9C"/>
    <w:rsid w:val="00232270"/>
    <w:rsid w:val="00233DC3"/>
    <w:rsid w:val="002342AB"/>
    <w:rsid w:val="0023439A"/>
    <w:rsid w:val="00235264"/>
    <w:rsid w:val="0024180E"/>
    <w:rsid w:val="00242A61"/>
    <w:rsid w:val="00246FAC"/>
    <w:rsid w:val="002471DC"/>
    <w:rsid w:val="00252720"/>
    <w:rsid w:val="00271634"/>
    <w:rsid w:val="00272051"/>
    <w:rsid w:val="002743F7"/>
    <w:rsid w:val="00281891"/>
    <w:rsid w:val="00285FDF"/>
    <w:rsid w:val="00292EBD"/>
    <w:rsid w:val="00294741"/>
    <w:rsid w:val="00295653"/>
    <w:rsid w:val="00295B88"/>
    <w:rsid w:val="002A38E3"/>
    <w:rsid w:val="002A5905"/>
    <w:rsid w:val="002A79CA"/>
    <w:rsid w:val="002B11EB"/>
    <w:rsid w:val="002B630A"/>
    <w:rsid w:val="002B6597"/>
    <w:rsid w:val="002B6E57"/>
    <w:rsid w:val="002B7C62"/>
    <w:rsid w:val="002C14E2"/>
    <w:rsid w:val="002C54C9"/>
    <w:rsid w:val="002C6577"/>
    <w:rsid w:val="002C72B4"/>
    <w:rsid w:val="002D47A9"/>
    <w:rsid w:val="002D5E1A"/>
    <w:rsid w:val="002D6748"/>
    <w:rsid w:val="002D67E3"/>
    <w:rsid w:val="002D75D3"/>
    <w:rsid w:val="002E017C"/>
    <w:rsid w:val="002E1EA4"/>
    <w:rsid w:val="002E538D"/>
    <w:rsid w:val="0030075F"/>
    <w:rsid w:val="003013FE"/>
    <w:rsid w:val="0030147F"/>
    <w:rsid w:val="00302047"/>
    <w:rsid w:val="0030535A"/>
    <w:rsid w:val="003116C3"/>
    <w:rsid w:val="00311CB5"/>
    <w:rsid w:val="00314413"/>
    <w:rsid w:val="00316D40"/>
    <w:rsid w:val="00321723"/>
    <w:rsid w:val="003245E1"/>
    <w:rsid w:val="0032701B"/>
    <w:rsid w:val="003314A8"/>
    <w:rsid w:val="00334776"/>
    <w:rsid w:val="003354E4"/>
    <w:rsid w:val="00341636"/>
    <w:rsid w:val="0034243E"/>
    <w:rsid w:val="00346759"/>
    <w:rsid w:val="00350DF8"/>
    <w:rsid w:val="0035586E"/>
    <w:rsid w:val="00355EE0"/>
    <w:rsid w:val="00357091"/>
    <w:rsid w:val="00361D47"/>
    <w:rsid w:val="0036785F"/>
    <w:rsid w:val="00373FDD"/>
    <w:rsid w:val="00377943"/>
    <w:rsid w:val="003814FC"/>
    <w:rsid w:val="00382252"/>
    <w:rsid w:val="00391C34"/>
    <w:rsid w:val="00392807"/>
    <w:rsid w:val="00392CA6"/>
    <w:rsid w:val="003A375C"/>
    <w:rsid w:val="003A484E"/>
    <w:rsid w:val="003A53F3"/>
    <w:rsid w:val="003A5552"/>
    <w:rsid w:val="003B2518"/>
    <w:rsid w:val="003B3C8D"/>
    <w:rsid w:val="003B46DE"/>
    <w:rsid w:val="003B6AEB"/>
    <w:rsid w:val="003B7301"/>
    <w:rsid w:val="003C0B4C"/>
    <w:rsid w:val="003C2A9A"/>
    <w:rsid w:val="003C337D"/>
    <w:rsid w:val="003C3B79"/>
    <w:rsid w:val="003C6C9C"/>
    <w:rsid w:val="003D056C"/>
    <w:rsid w:val="003D0A5E"/>
    <w:rsid w:val="003D207F"/>
    <w:rsid w:val="003D64E1"/>
    <w:rsid w:val="003E4767"/>
    <w:rsid w:val="003E61C4"/>
    <w:rsid w:val="003E7CB9"/>
    <w:rsid w:val="003F0091"/>
    <w:rsid w:val="003F1969"/>
    <w:rsid w:val="003F28CC"/>
    <w:rsid w:val="003F58C0"/>
    <w:rsid w:val="003F65F5"/>
    <w:rsid w:val="003F6955"/>
    <w:rsid w:val="003F6ED1"/>
    <w:rsid w:val="003F7DBA"/>
    <w:rsid w:val="004039A7"/>
    <w:rsid w:val="00406428"/>
    <w:rsid w:val="00410DFB"/>
    <w:rsid w:val="004111A6"/>
    <w:rsid w:val="004135AF"/>
    <w:rsid w:val="00420EFA"/>
    <w:rsid w:val="0042137E"/>
    <w:rsid w:val="00423936"/>
    <w:rsid w:val="0042687B"/>
    <w:rsid w:val="004300D3"/>
    <w:rsid w:val="004302C6"/>
    <w:rsid w:val="00434D03"/>
    <w:rsid w:val="00440B68"/>
    <w:rsid w:val="00441704"/>
    <w:rsid w:val="0044289C"/>
    <w:rsid w:val="00442FD6"/>
    <w:rsid w:val="00447B3C"/>
    <w:rsid w:val="0045123A"/>
    <w:rsid w:val="004519BA"/>
    <w:rsid w:val="00462432"/>
    <w:rsid w:val="00463288"/>
    <w:rsid w:val="0046514D"/>
    <w:rsid w:val="00472136"/>
    <w:rsid w:val="00475628"/>
    <w:rsid w:val="00481632"/>
    <w:rsid w:val="00487127"/>
    <w:rsid w:val="00490A76"/>
    <w:rsid w:val="00494EFB"/>
    <w:rsid w:val="004957F2"/>
    <w:rsid w:val="004975A0"/>
    <w:rsid w:val="00497D5B"/>
    <w:rsid w:val="004A41A7"/>
    <w:rsid w:val="004A5C88"/>
    <w:rsid w:val="004A5FFA"/>
    <w:rsid w:val="004A7337"/>
    <w:rsid w:val="004B711F"/>
    <w:rsid w:val="004C1344"/>
    <w:rsid w:val="004C14B1"/>
    <w:rsid w:val="004C44E4"/>
    <w:rsid w:val="004C4BE8"/>
    <w:rsid w:val="004C4CF3"/>
    <w:rsid w:val="004C63A9"/>
    <w:rsid w:val="004D09D5"/>
    <w:rsid w:val="004D0D62"/>
    <w:rsid w:val="004D1158"/>
    <w:rsid w:val="004D3981"/>
    <w:rsid w:val="004D4DCB"/>
    <w:rsid w:val="004D7D15"/>
    <w:rsid w:val="004E5ECC"/>
    <w:rsid w:val="004E782E"/>
    <w:rsid w:val="004F0CF5"/>
    <w:rsid w:val="004F29D9"/>
    <w:rsid w:val="004F445F"/>
    <w:rsid w:val="004F58C4"/>
    <w:rsid w:val="004F621C"/>
    <w:rsid w:val="004F68E4"/>
    <w:rsid w:val="00500A9C"/>
    <w:rsid w:val="005017D3"/>
    <w:rsid w:val="00501B2B"/>
    <w:rsid w:val="00501C2F"/>
    <w:rsid w:val="00503DC7"/>
    <w:rsid w:val="00504131"/>
    <w:rsid w:val="00506387"/>
    <w:rsid w:val="00507982"/>
    <w:rsid w:val="00515B54"/>
    <w:rsid w:val="0051638A"/>
    <w:rsid w:val="00521709"/>
    <w:rsid w:val="005228C1"/>
    <w:rsid w:val="00526A14"/>
    <w:rsid w:val="00530C4B"/>
    <w:rsid w:val="005350F8"/>
    <w:rsid w:val="0053767E"/>
    <w:rsid w:val="0054582A"/>
    <w:rsid w:val="005467CB"/>
    <w:rsid w:val="00546E81"/>
    <w:rsid w:val="00547171"/>
    <w:rsid w:val="00547AF0"/>
    <w:rsid w:val="00550D44"/>
    <w:rsid w:val="00555094"/>
    <w:rsid w:val="00556884"/>
    <w:rsid w:val="00557857"/>
    <w:rsid w:val="00563354"/>
    <w:rsid w:val="0056370B"/>
    <w:rsid w:val="00565355"/>
    <w:rsid w:val="00566E7A"/>
    <w:rsid w:val="00567078"/>
    <w:rsid w:val="00575B4F"/>
    <w:rsid w:val="00575B76"/>
    <w:rsid w:val="00575E8D"/>
    <w:rsid w:val="005805A3"/>
    <w:rsid w:val="00582335"/>
    <w:rsid w:val="00583C31"/>
    <w:rsid w:val="005873EE"/>
    <w:rsid w:val="0059268D"/>
    <w:rsid w:val="00592E8C"/>
    <w:rsid w:val="00593026"/>
    <w:rsid w:val="00594BEF"/>
    <w:rsid w:val="005950A2"/>
    <w:rsid w:val="005964F3"/>
    <w:rsid w:val="005A09AF"/>
    <w:rsid w:val="005A2FC4"/>
    <w:rsid w:val="005A490D"/>
    <w:rsid w:val="005A4E33"/>
    <w:rsid w:val="005A5F48"/>
    <w:rsid w:val="005A6D14"/>
    <w:rsid w:val="005A7274"/>
    <w:rsid w:val="005A7DDD"/>
    <w:rsid w:val="005B4037"/>
    <w:rsid w:val="005B426C"/>
    <w:rsid w:val="005B4A75"/>
    <w:rsid w:val="005B691E"/>
    <w:rsid w:val="005B6F97"/>
    <w:rsid w:val="005B79CF"/>
    <w:rsid w:val="005C055D"/>
    <w:rsid w:val="005C4886"/>
    <w:rsid w:val="005C5FC1"/>
    <w:rsid w:val="005C6320"/>
    <w:rsid w:val="005C6BE1"/>
    <w:rsid w:val="005C714E"/>
    <w:rsid w:val="005D2326"/>
    <w:rsid w:val="005D3983"/>
    <w:rsid w:val="005D5C24"/>
    <w:rsid w:val="005D6966"/>
    <w:rsid w:val="005D6A83"/>
    <w:rsid w:val="005E113D"/>
    <w:rsid w:val="005E27E8"/>
    <w:rsid w:val="005E4E20"/>
    <w:rsid w:val="005E586B"/>
    <w:rsid w:val="005E5A61"/>
    <w:rsid w:val="00600F27"/>
    <w:rsid w:val="00602A8D"/>
    <w:rsid w:val="006046CD"/>
    <w:rsid w:val="006048AB"/>
    <w:rsid w:val="00606F27"/>
    <w:rsid w:val="006077AE"/>
    <w:rsid w:val="00610BD0"/>
    <w:rsid w:val="00612562"/>
    <w:rsid w:val="00612D1E"/>
    <w:rsid w:val="0061331C"/>
    <w:rsid w:val="00613E2C"/>
    <w:rsid w:val="00614817"/>
    <w:rsid w:val="00621D5E"/>
    <w:rsid w:val="00623D49"/>
    <w:rsid w:val="006252E3"/>
    <w:rsid w:val="006256EB"/>
    <w:rsid w:val="00627B5A"/>
    <w:rsid w:val="00627C72"/>
    <w:rsid w:val="00631CBD"/>
    <w:rsid w:val="006338F0"/>
    <w:rsid w:val="006353CB"/>
    <w:rsid w:val="006357C0"/>
    <w:rsid w:val="00641E13"/>
    <w:rsid w:val="00643F49"/>
    <w:rsid w:val="00643F95"/>
    <w:rsid w:val="00645A01"/>
    <w:rsid w:val="00646573"/>
    <w:rsid w:val="006534A4"/>
    <w:rsid w:val="0065461B"/>
    <w:rsid w:val="0065539D"/>
    <w:rsid w:val="00655639"/>
    <w:rsid w:val="006569B5"/>
    <w:rsid w:val="00660FC0"/>
    <w:rsid w:val="006612C1"/>
    <w:rsid w:val="00664D2D"/>
    <w:rsid w:val="006654A2"/>
    <w:rsid w:val="006666CE"/>
    <w:rsid w:val="00667EA1"/>
    <w:rsid w:val="0067453D"/>
    <w:rsid w:val="0067480D"/>
    <w:rsid w:val="00674A0A"/>
    <w:rsid w:val="006759F9"/>
    <w:rsid w:val="00675D0C"/>
    <w:rsid w:val="0068109A"/>
    <w:rsid w:val="00683111"/>
    <w:rsid w:val="00686366"/>
    <w:rsid w:val="006908B0"/>
    <w:rsid w:val="00691568"/>
    <w:rsid w:val="00694A4A"/>
    <w:rsid w:val="00696AEE"/>
    <w:rsid w:val="006A06E0"/>
    <w:rsid w:val="006A15FF"/>
    <w:rsid w:val="006A2E06"/>
    <w:rsid w:val="006A2E91"/>
    <w:rsid w:val="006A4226"/>
    <w:rsid w:val="006A5FF3"/>
    <w:rsid w:val="006A7309"/>
    <w:rsid w:val="006B2DA4"/>
    <w:rsid w:val="006B470E"/>
    <w:rsid w:val="006B5DC5"/>
    <w:rsid w:val="006B601F"/>
    <w:rsid w:val="006B746B"/>
    <w:rsid w:val="006B7D3C"/>
    <w:rsid w:val="006C2C8D"/>
    <w:rsid w:val="006C364A"/>
    <w:rsid w:val="006C370C"/>
    <w:rsid w:val="006C54E8"/>
    <w:rsid w:val="006D3CEA"/>
    <w:rsid w:val="006D707E"/>
    <w:rsid w:val="006E0CA7"/>
    <w:rsid w:val="006E0F59"/>
    <w:rsid w:val="006E71E3"/>
    <w:rsid w:val="006E7DC9"/>
    <w:rsid w:val="006F240C"/>
    <w:rsid w:val="006F36FC"/>
    <w:rsid w:val="006F3C7B"/>
    <w:rsid w:val="006F480B"/>
    <w:rsid w:val="006F5186"/>
    <w:rsid w:val="006F7423"/>
    <w:rsid w:val="00700D56"/>
    <w:rsid w:val="00700E68"/>
    <w:rsid w:val="00702DA0"/>
    <w:rsid w:val="00705F0D"/>
    <w:rsid w:val="0070736F"/>
    <w:rsid w:val="00711F41"/>
    <w:rsid w:val="007127FF"/>
    <w:rsid w:val="007128A2"/>
    <w:rsid w:val="00713F47"/>
    <w:rsid w:val="00713F80"/>
    <w:rsid w:val="00714959"/>
    <w:rsid w:val="007211A8"/>
    <w:rsid w:val="007274AC"/>
    <w:rsid w:val="00727B6D"/>
    <w:rsid w:val="00730EAB"/>
    <w:rsid w:val="00733C42"/>
    <w:rsid w:val="00734864"/>
    <w:rsid w:val="00740BC6"/>
    <w:rsid w:val="0074328C"/>
    <w:rsid w:val="007475C6"/>
    <w:rsid w:val="00754E24"/>
    <w:rsid w:val="007556FA"/>
    <w:rsid w:val="00756C41"/>
    <w:rsid w:val="00760077"/>
    <w:rsid w:val="00763F06"/>
    <w:rsid w:val="007647ED"/>
    <w:rsid w:val="00765744"/>
    <w:rsid w:val="00766EC6"/>
    <w:rsid w:val="00766FD7"/>
    <w:rsid w:val="00771867"/>
    <w:rsid w:val="00772E0B"/>
    <w:rsid w:val="00773F84"/>
    <w:rsid w:val="007761AF"/>
    <w:rsid w:val="00780096"/>
    <w:rsid w:val="00780416"/>
    <w:rsid w:val="00780E12"/>
    <w:rsid w:val="007824FA"/>
    <w:rsid w:val="00784570"/>
    <w:rsid w:val="00785653"/>
    <w:rsid w:val="007863ED"/>
    <w:rsid w:val="007869D8"/>
    <w:rsid w:val="00794F3A"/>
    <w:rsid w:val="0079601B"/>
    <w:rsid w:val="00797196"/>
    <w:rsid w:val="007A0BDD"/>
    <w:rsid w:val="007A119E"/>
    <w:rsid w:val="007A144B"/>
    <w:rsid w:val="007A5C97"/>
    <w:rsid w:val="007A7661"/>
    <w:rsid w:val="007B5A0E"/>
    <w:rsid w:val="007B6456"/>
    <w:rsid w:val="007B70D5"/>
    <w:rsid w:val="007C2E54"/>
    <w:rsid w:val="007C39C2"/>
    <w:rsid w:val="007C4FF5"/>
    <w:rsid w:val="007C7CCC"/>
    <w:rsid w:val="007C7EAD"/>
    <w:rsid w:val="007D1B33"/>
    <w:rsid w:val="007D2B55"/>
    <w:rsid w:val="007D315A"/>
    <w:rsid w:val="007D6DB6"/>
    <w:rsid w:val="007E21E8"/>
    <w:rsid w:val="007F1DDF"/>
    <w:rsid w:val="007F3739"/>
    <w:rsid w:val="007F762B"/>
    <w:rsid w:val="007F7BCC"/>
    <w:rsid w:val="00803A77"/>
    <w:rsid w:val="00805369"/>
    <w:rsid w:val="00811173"/>
    <w:rsid w:val="00811A0E"/>
    <w:rsid w:val="00816A32"/>
    <w:rsid w:val="0082575F"/>
    <w:rsid w:val="00825ED8"/>
    <w:rsid w:val="008275A9"/>
    <w:rsid w:val="00831108"/>
    <w:rsid w:val="00833648"/>
    <w:rsid w:val="0083472B"/>
    <w:rsid w:val="008411C8"/>
    <w:rsid w:val="008463CC"/>
    <w:rsid w:val="008510F3"/>
    <w:rsid w:val="00854C65"/>
    <w:rsid w:val="00857591"/>
    <w:rsid w:val="00860889"/>
    <w:rsid w:val="00862BBD"/>
    <w:rsid w:val="00863904"/>
    <w:rsid w:val="0086691B"/>
    <w:rsid w:val="00870CC4"/>
    <w:rsid w:val="00871B04"/>
    <w:rsid w:val="00871FC1"/>
    <w:rsid w:val="00872910"/>
    <w:rsid w:val="0087318F"/>
    <w:rsid w:val="00873AE3"/>
    <w:rsid w:val="0087718D"/>
    <w:rsid w:val="00877876"/>
    <w:rsid w:val="00877B63"/>
    <w:rsid w:val="008866C8"/>
    <w:rsid w:val="00897C97"/>
    <w:rsid w:val="008A1494"/>
    <w:rsid w:val="008A2EBC"/>
    <w:rsid w:val="008A4A87"/>
    <w:rsid w:val="008A5C49"/>
    <w:rsid w:val="008A7C4D"/>
    <w:rsid w:val="008A7D5E"/>
    <w:rsid w:val="008B0204"/>
    <w:rsid w:val="008B0C98"/>
    <w:rsid w:val="008B0DEF"/>
    <w:rsid w:val="008B253D"/>
    <w:rsid w:val="008B4C62"/>
    <w:rsid w:val="008B5B76"/>
    <w:rsid w:val="008B7AF8"/>
    <w:rsid w:val="008C1BAC"/>
    <w:rsid w:val="008C6C7D"/>
    <w:rsid w:val="008C75F9"/>
    <w:rsid w:val="008C79E5"/>
    <w:rsid w:val="008D1B5A"/>
    <w:rsid w:val="008D2038"/>
    <w:rsid w:val="008D2DB6"/>
    <w:rsid w:val="008D3D40"/>
    <w:rsid w:val="008D58A9"/>
    <w:rsid w:val="008D67D7"/>
    <w:rsid w:val="008D7EB0"/>
    <w:rsid w:val="008E05B4"/>
    <w:rsid w:val="008E2869"/>
    <w:rsid w:val="008E43F0"/>
    <w:rsid w:val="008E5C95"/>
    <w:rsid w:val="008E5F7D"/>
    <w:rsid w:val="008E79E0"/>
    <w:rsid w:val="008F0EA6"/>
    <w:rsid w:val="008F193A"/>
    <w:rsid w:val="008F2CBE"/>
    <w:rsid w:val="008F3610"/>
    <w:rsid w:val="008F4747"/>
    <w:rsid w:val="008F5693"/>
    <w:rsid w:val="00904D70"/>
    <w:rsid w:val="00904E0A"/>
    <w:rsid w:val="009155D9"/>
    <w:rsid w:val="00915F0B"/>
    <w:rsid w:val="00917451"/>
    <w:rsid w:val="00917577"/>
    <w:rsid w:val="00917826"/>
    <w:rsid w:val="0091793B"/>
    <w:rsid w:val="00917D9D"/>
    <w:rsid w:val="00920871"/>
    <w:rsid w:val="00920918"/>
    <w:rsid w:val="00922AAF"/>
    <w:rsid w:val="00924EC7"/>
    <w:rsid w:val="00927D65"/>
    <w:rsid w:val="00932585"/>
    <w:rsid w:val="00933A45"/>
    <w:rsid w:val="00934554"/>
    <w:rsid w:val="00936E03"/>
    <w:rsid w:val="00941AD5"/>
    <w:rsid w:val="009457A2"/>
    <w:rsid w:val="0094733B"/>
    <w:rsid w:val="00950A48"/>
    <w:rsid w:val="0095520A"/>
    <w:rsid w:val="00955B44"/>
    <w:rsid w:val="00955B57"/>
    <w:rsid w:val="009623AD"/>
    <w:rsid w:val="00965D34"/>
    <w:rsid w:val="00966562"/>
    <w:rsid w:val="00970264"/>
    <w:rsid w:val="00971157"/>
    <w:rsid w:val="0097385B"/>
    <w:rsid w:val="00974496"/>
    <w:rsid w:val="00981E5D"/>
    <w:rsid w:val="009837AA"/>
    <w:rsid w:val="009867C3"/>
    <w:rsid w:val="009908C8"/>
    <w:rsid w:val="00990EC2"/>
    <w:rsid w:val="00993775"/>
    <w:rsid w:val="00996B09"/>
    <w:rsid w:val="009A0283"/>
    <w:rsid w:val="009A3523"/>
    <w:rsid w:val="009B17F2"/>
    <w:rsid w:val="009B53A7"/>
    <w:rsid w:val="009B5843"/>
    <w:rsid w:val="009B6760"/>
    <w:rsid w:val="009B6765"/>
    <w:rsid w:val="009B755A"/>
    <w:rsid w:val="009C0169"/>
    <w:rsid w:val="009C0B6E"/>
    <w:rsid w:val="009C2764"/>
    <w:rsid w:val="009C2E8F"/>
    <w:rsid w:val="009D2ABE"/>
    <w:rsid w:val="009D3955"/>
    <w:rsid w:val="009D428A"/>
    <w:rsid w:val="009D478C"/>
    <w:rsid w:val="009E0440"/>
    <w:rsid w:val="009E411B"/>
    <w:rsid w:val="009E68ED"/>
    <w:rsid w:val="009E7E9F"/>
    <w:rsid w:val="009F1164"/>
    <w:rsid w:val="009F78E5"/>
    <w:rsid w:val="009F7FA2"/>
    <w:rsid w:val="00A015CC"/>
    <w:rsid w:val="00A070E2"/>
    <w:rsid w:val="00A1044B"/>
    <w:rsid w:val="00A104DA"/>
    <w:rsid w:val="00A130F9"/>
    <w:rsid w:val="00A16A20"/>
    <w:rsid w:val="00A27406"/>
    <w:rsid w:val="00A32299"/>
    <w:rsid w:val="00A333EA"/>
    <w:rsid w:val="00A33E69"/>
    <w:rsid w:val="00A37808"/>
    <w:rsid w:val="00A405D7"/>
    <w:rsid w:val="00A455B3"/>
    <w:rsid w:val="00A4705D"/>
    <w:rsid w:val="00A50FD1"/>
    <w:rsid w:val="00A5240F"/>
    <w:rsid w:val="00A52A38"/>
    <w:rsid w:val="00A52C0D"/>
    <w:rsid w:val="00A57037"/>
    <w:rsid w:val="00A6004A"/>
    <w:rsid w:val="00A60CC5"/>
    <w:rsid w:val="00A67217"/>
    <w:rsid w:val="00A72369"/>
    <w:rsid w:val="00A72D4A"/>
    <w:rsid w:val="00A739D4"/>
    <w:rsid w:val="00A740AB"/>
    <w:rsid w:val="00A75C05"/>
    <w:rsid w:val="00A77B1F"/>
    <w:rsid w:val="00A807B0"/>
    <w:rsid w:val="00A8447B"/>
    <w:rsid w:val="00A913BB"/>
    <w:rsid w:val="00A934D3"/>
    <w:rsid w:val="00A9403F"/>
    <w:rsid w:val="00A9709A"/>
    <w:rsid w:val="00A97214"/>
    <w:rsid w:val="00AA0D79"/>
    <w:rsid w:val="00AA2F76"/>
    <w:rsid w:val="00AA3119"/>
    <w:rsid w:val="00AA314B"/>
    <w:rsid w:val="00AA6AB2"/>
    <w:rsid w:val="00AA6EBC"/>
    <w:rsid w:val="00AA6EF2"/>
    <w:rsid w:val="00AA71BE"/>
    <w:rsid w:val="00AB1DB8"/>
    <w:rsid w:val="00AB27F3"/>
    <w:rsid w:val="00AC4028"/>
    <w:rsid w:val="00AD0838"/>
    <w:rsid w:val="00AD37FE"/>
    <w:rsid w:val="00AD5F5F"/>
    <w:rsid w:val="00AD7852"/>
    <w:rsid w:val="00AE041E"/>
    <w:rsid w:val="00AE08C5"/>
    <w:rsid w:val="00AE1DD5"/>
    <w:rsid w:val="00AF121C"/>
    <w:rsid w:val="00AF6797"/>
    <w:rsid w:val="00AF70AE"/>
    <w:rsid w:val="00B0158C"/>
    <w:rsid w:val="00B049F5"/>
    <w:rsid w:val="00B06391"/>
    <w:rsid w:val="00B11021"/>
    <w:rsid w:val="00B12B8F"/>
    <w:rsid w:val="00B12F7C"/>
    <w:rsid w:val="00B132A6"/>
    <w:rsid w:val="00B15372"/>
    <w:rsid w:val="00B16B66"/>
    <w:rsid w:val="00B16D43"/>
    <w:rsid w:val="00B2064E"/>
    <w:rsid w:val="00B210C3"/>
    <w:rsid w:val="00B238D7"/>
    <w:rsid w:val="00B23C1E"/>
    <w:rsid w:val="00B27445"/>
    <w:rsid w:val="00B33647"/>
    <w:rsid w:val="00B34002"/>
    <w:rsid w:val="00B43C28"/>
    <w:rsid w:val="00B47A26"/>
    <w:rsid w:val="00B50CD7"/>
    <w:rsid w:val="00B51971"/>
    <w:rsid w:val="00B52DD5"/>
    <w:rsid w:val="00B536A7"/>
    <w:rsid w:val="00B53D9A"/>
    <w:rsid w:val="00B560B7"/>
    <w:rsid w:val="00B657A9"/>
    <w:rsid w:val="00B7109C"/>
    <w:rsid w:val="00B75033"/>
    <w:rsid w:val="00B84335"/>
    <w:rsid w:val="00B920F1"/>
    <w:rsid w:val="00B92635"/>
    <w:rsid w:val="00B93FAA"/>
    <w:rsid w:val="00B9411B"/>
    <w:rsid w:val="00BA1AFD"/>
    <w:rsid w:val="00BA1E7E"/>
    <w:rsid w:val="00BA69E4"/>
    <w:rsid w:val="00BA7474"/>
    <w:rsid w:val="00BB3431"/>
    <w:rsid w:val="00BB3AC0"/>
    <w:rsid w:val="00BB4DC6"/>
    <w:rsid w:val="00BB7937"/>
    <w:rsid w:val="00BC019A"/>
    <w:rsid w:val="00BC133B"/>
    <w:rsid w:val="00BC450B"/>
    <w:rsid w:val="00BD0897"/>
    <w:rsid w:val="00BD0FE5"/>
    <w:rsid w:val="00BD2284"/>
    <w:rsid w:val="00BD623F"/>
    <w:rsid w:val="00BE2FF9"/>
    <w:rsid w:val="00BE7170"/>
    <w:rsid w:val="00BE7A52"/>
    <w:rsid w:val="00BF308C"/>
    <w:rsid w:val="00BF3BFF"/>
    <w:rsid w:val="00BF3F91"/>
    <w:rsid w:val="00BF4AFB"/>
    <w:rsid w:val="00BF5D9D"/>
    <w:rsid w:val="00BF6002"/>
    <w:rsid w:val="00C00B66"/>
    <w:rsid w:val="00C04510"/>
    <w:rsid w:val="00C058ED"/>
    <w:rsid w:val="00C10DE2"/>
    <w:rsid w:val="00C11102"/>
    <w:rsid w:val="00C11FAE"/>
    <w:rsid w:val="00C124AA"/>
    <w:rsid w:val="00C145C1"/>
    <w:rsid w:val="00C1535B"/>
    <w:rsid w:val="00C154B1"/>
    <w:rsid w:val="00C15B90"/>
    <w:rsid w:val="00C21815"/>
    <w:rsid w:val="00C23112"/>
    <w:rsid w:val="00C2360A"/>
    <w:rsid w:val="00C236FA"/>
    <w:rsid w:val="00C307AB"/>
    <w:rsid w:val="00C30EEB"/>
    <w:rsid w:val="00C3198B"/>
    <w:rsid w:val="00C34D18"/>
    <w:rsid w:val="00C35F49"/>
    <w:rsid w:val="00C36312"/>
    <w:rsid w:val="00C4091E"/>
    <w:rsid w:val="00C4175E"/>
    <w:rsid w:val="00C46076"/>
    <w:rsid w:val="00C46269"/>
    <w:rsid w:val="00C47C0A"/>
    <w:rsid w:val="00C51EE4"/>
    <w:rsid w:val="00C544E1"/>
    <w:rsid w:val="00C55600"/>
    <w:rsid w:val="00C559F6"/>
    <w:rsid w:val="00C5752D"/>
    <w:rsid w:val="00C577D6"/>
    <w:rsid w:val="00C625FF"/>
    <w:rsid w:val="00C63837"/>
    <w:rsid w:val="00C64372"/>
    <w:rsid w:val="00C6689A"/>
    <w:rsid w:val="00C70612"/>
    <w:rsid w:val="00C70AB2"/>
    <w:rsid w:val="00C70C99"/>
    <w:rsid w:val="00C73F19"/>
    <w:rsid w:val="00C75F17"/>
    <w:rsid w:val="00C815B2"/>
    <w:rsid w:val="00C82B74"/>
    <w:rsid w:val="00C83341"/>
    <w:rsid w:val="00C83573"/>
    <w:rsid w:val="00C84680"/>
    <w:rsid w:val="00C84E2F"/>
    <w:rsid w:val="00C92B91"/>
    <w:rsid w:val="00C9670A"/>
    <w:rsid w:val="00CA3C73"/>
    <w:rsid w:val="00CA7271"/>
    <w:rsid w:val="00CB0C25"/>
    <w:rsid w:val="00CB3E7C"/>
    <w:rsid w:val="00CB599F"/>
    <w:rsid w:val="00CB72DB"/>
    <w:rsid w:val="00CB7A7B"/>
    <w:rsid w:val="00CC0FE2"/>
    <w:rsid w:val="00CC215D"/>
    <w:rsid w:val="00CC2667"/>
    <w:rsid w:val="00CC326C"/>
    <w:rsid w:val="00CC3DE1"/>
    <w:rsid w:val="00CC6736"/>
    <w:rsid w:val="00CD00D9"/>
    <w:rsid w:val="00CD1C7F"/>
    <w:rsid w:val="00CD44C7"/>
    <w:rsid w:val="00CE0C33"/>
    <w:rsid w:val="00CE1403"/>
    <w:rsid w:val="00CE1882"/>
    <w:rsid w:val="00CE37CB"/>
    <w:rsid w:val="00CE4520"/>
    <w:rsid w:val="00CE5E8F"/>
    <w:rsid w:val="00CF2062"/>
    <w:rsid w:val="00CF3BC3"/>
    <w:rsid w:val="00CF500E"/>
    <w:rsid w:val="00CF64B8"/>
    <w:rsid w:val="00CF713C"/>
    <w:rsid w:val="00CF71BE"/>
    <w:rsid w:val="00D011F3"/>
    <w:rsid w:val="00D041D6"/>
    <w:rsid w:val="00D045D1"/>
    <w:rsid w:val="00D0728E"/>
    <w:rsid w:val="00D100FD"/>
    <w:rsid w:val="00D10124"/>
    <w:rsid w:val="00D115A9"/>
    <w:rsid w:val="00D123DB"/>
    <w:rsid w:val="00D12D61"/>
    <w:rsid w:val="00D14B38"/>
    <w:rsid w:val="00D14F24"/>
    <w:rsid w:val="00D22A85"/>
    <w:rsid w:val="00D2371C"/>
    <w:rsid w:val="00D3485D"/>
    <w:rsid w:val="00D3570D"/>
    <w:rsid w:val="00D4409F"/>
    <w:rsid w:val="00D465E8"/>
    <w:rsid w:val="00D4665D"/>
    <w:rsid w:val="00D505E2"/>
    <w:rsid w:val="00D53F99"/>
    <w:rsid w:val="00D55F96"/>
    <w:rsid w:val="00D57476"/>
    <w:rsid w:val="00D62B61"/>
    <w:rsid w:val="00D62C83"/>
    <w:rsid w:val="00D67608"/>
    <w:rsid w:val="00D70A82"/>
    <w:rsid w:val="00D72B60"/>
    <w:rsid w:val="00D772AA"/>
    <w:rsid w:val="00D8148D"/>
    <w:rsid w:val="00D81E7A"/>
    <w:rsid w:val="00D830CE"/>
    <w:rsid w:val="00D85A18"/>
    <w:rsid w:val="00D87577"/>
    <w:rsid w:val="00D90596"/>
    <w:rsid w:val="00D9098F"/>
    <w:rsid w:val="00D94F49"/>
    <w:rsid w:val="00DA041C"/>
    <w:rsid w:val="00DA0ACA"/>
    <w:rsid w:val="00DA2F55"/>
    <w:rsid w:val="00DA36EB"/>
    <w:rsid w:val="00DA757B"/>
    <w:rsid w:val="00DA76BA"/>
    <w:rsid w:val="00DB000D"/>
    <w:rsid w:val="00DB0E63"/>
    <w:rsid w:val="00DB2EB7"/>
    <w:rsid w:val="00DC0F1E"/>
    <w:rsid w:val="00DC11B9"/>
    <w:rsid w:val="00DC4C2C"/>
    <w:rsid w:val="00DC4F53"/>
    <w:rsid w:val="00DC7777"/>
    <w:rsid w:val="00DD3328"/>
    <w:rsid w:val="00DD6B42"/>
    <w:rsid w:val="00DD6C00"/>
    <w:rsid w:val="00DD7B85"/>
    <w:rsid w:val="00DE5E9B"/>
    <w:rsid w:val="00DF1569"/>
    <w:rsid w:val="00DF2655"/>
    <w:rsid w:val="00DF4175"/>
    <w:rsid w:val="00DF7700"/>
    <w:rsid w:val="00E01141"/>
    <w:rsid w:val="00E06BE3"/>
    <w:rsid w:val="00E108AB"/>
    <w:rsid w:val="00E126E7"/>
    <w:rsid w:val="00E13DD6"/>
    <w:rsid w:val="00E161E0"/>
    <w:rsid w:val="00E168B5"/>
    <w:rsid w:val="00E16D0E"/>
    <w:rsid w:val="00E17E50"/>
    <w:rsid w:val="00E21140"/>
    <w:rsid w:val="00E25F43"/>
    <w:rsid w:val="00E2698F"/>
    <w:rsid w:val="00E27386"/>
    <w:rsid w:val="00E2779A"/>
    <w:rsid w:val="00E27CF1"/>
    <w:rsid w:val="00E30F89"/>
    <w:rsid w:val="00E31EEB"/>
    <w:rsid w:val="00E32B37"/>
    <w:rsid w:val="00E34856"/>
    <w:rsid w:val="00E34D4E"/>
    <w:rsid w:val="00E376D4"/>
    <w:rsid w:val="00E37D1E"/>
    <w:rsid w:val="00E4227E"/>
    <w:rsid w:val="00E43471"/>
    <w:rsid w:val="00E43E2C"/>
    <w:rsid w:val="00E45B33"/>
    <w:rsid w:val="00E5196D"/>
    <w:rsid w:val="00E52498"/>
    <w:rsid w:val="00E55115"/>
    <w:rsid w:val="00E56016"/>
    <w:rsid w:val="00E56B1C"/>
    <w:rsid w:val="00E56D20"/>
    <w:rsid w:val="00E5714D"/>
    <w:rsid w:val="00E57F38"/>
    <w:rsid w:val="00E62D1F"/>
    <w:rsid w:val="00E67F06"/>
    <w:rsid w:val="00E700CF"/>
    <w:rsid w:val="00E7112B"/>
    <w:rsid w:val="00E71EE7"/>
    <w:rsid w:val="00E73C47"/>
    <w:rsid w:val="00E73E89"/>
    <w:rsid w:val="00E74A37"/>
    <w:rsid w:val="00E75D30"/>
    <w:rsid w:val="00E77E3B"/>
    <w:rsid w:val="00E80561"/>
    <w:rsid w:val="00E81B3D"/>
    <w:rsid w:val="00E81C7A"/>
    <w:rsid w:val="00E841EB"/>
    <w:rsid w:val="00E8553B"/>
    <w:rsid w:val="00E867C1"/>
    <w:rsid w:val="00E86B3D"/>
    <w:rsid w:val="00E90854"/>
    <w:rsid w:val="00E91743"/>
    <w:rsid w:val="00E91E98"/>
    <w:rsid w:val="00E928E8"/>
    <w:rsid w:val="00E96198"/>
    <w:rsid w:val="00E96241"/>
    <w:rsid w:val="00E96301"/>
    <w:rsid w:val="00EA1C99"/>
    <w:rsid w:val="00EA20DA"/>
    <w:rsid w:val="00EA29A8"/>
    <w:rsid w:val="00EA44B3"/>
    <w:rsid w:val="00EB1FD5"/>
    <w:rsid w:val="00EB6169"/>
    <w:rsid w:val="00EB6800"/>
    <w:rsid w:val="00EC090F"/>
    <w:rsid w:val="00EC1453"/>
    <w:rsid w:val="00EC14FF"/>
    <w:rsid w:val="00EC2DC3"/>
    <w:rsid w:val="00EC2DEA"/>
    <w:rsid w:val="00EC5169"/>
    <w:rsid w:val="00EC69CC"/>
    <w:rsid w:val="00ED2BD7"/>
    <w:rsid w:val="00ED6B65"/>
    <w:rsid w:val="00EE3843"/>
    <w:rsid w:val="00EE6940"/>
    <w:rsid w:val="00EE71EB"/>
    <w:rsid w:val="00EF61E0"/>
    <w:rsid w:val="00EF6305"/>
    <w:rsid w:val="00EF652C"/>
    <w:rsid w:val="00EF7016"/>
    <w:rsid w:val="00F00B8A"/>
    <w:rsid w:val="00F224FE"/>
    <w:rsid w:val="00F2535B"/>
    <w:rsid w:val="00F27301"/>
    <w:rsid w:val="00F31C91"/>
    <w:rsid w:val="00F3214C"/>
    <w:rsid w:val="00F43415"/>
    <w:rsid w:val="00F43AD2"/>
    <w:rsid w:val="00F478FC"/>
    <w:rsid w:val="00F50100"/>
    <w:rsid w:val="00F5089C"/>
    <w:rsid w:val="00F55F46"/>
    <w:rsid w:val="00F561EB"/>
    <w:rsid w:val="00F56937"/>
    <w:rsid w:val="00F574A9"/>
    <w:rsid w:val="00F60DA7"/>
    <w:rsid w:val="00F612D2"/>
    <w:rsid w:val="00F63B9A"/>
    <w:rsid w:val="00F729D5"/>
    <w:rsid w:val="00F75AD8"/>
    <w:rsid w:val="00F7659E"/>
    <w:rsid w:val="00F8208B"/>
    <w:rsid w:val="00F83945"/>
    <w:rsid w:val="00F83C80"/>
    <w:rsid w:val="00F84847"/>
    <w:rsid w:val="00F867CB"/>
    <w:rsid w:val="00F86B7F"/>
    <w:rsid w:val="00F87892"/>
    <w:rsid w:val="00F87ED7"/>
    <w:rsid w:val="00F87F42"/>
    <w:rsid w:val="00F91459"/>
    <w:rsid w:val="00F95501"/>
    <w:rsid w:val="00FA1B63"/>
    <w:rsid w:val="00FA33A0"/>
    <w:rsid w:val="00FA5637"/>
    <w:rsid w:val="00FA5678"/>
    <w:rsid w:val="00FB25FF"/>
    <w:rsid w:val="00FB5776"/>
    <w:rsid w:val="00FB7BD8"/>
    <w:rsid w:val="00FC0546"/>
    <w:rsid w:val="00FC143F"/>
    <w:rsid w:val="00FC47B4"/>
    <w:rsid w:val="00FD25B7"/>
    <w:rsid w:val="00FD32A8"/>
    <w:rsid w:val="00FD3732"/>
    <w:rsid w:val="00FD396D"/>
    <w:rsid w:val="00FD6D1A"/>
    <w:rsid w:val="00FE39B0"/>
    <w:rsid w:val="00FE5EFE"/>
    <w:rsid w:val="00FE6543"/>
    <w:rsid w:val="00FF08D4"/>
    <w:rsid w:val="00FF219D"/>
    <w:rsid w:val="00FF4971"/>
    <w:rsid w:val="00FF4E61"/>
    <w:rsid w:val="00FF78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A2D9EE"/>
  <w15:docId w15:val="{21AB107C-10F0-4DF3-95B3-6840A3D4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21C"/>
    <w:pPr>
      <w:tabs>
        <w:tab w:val="center" w:pos="4153"/>
        <w:tab w:val="right" w:pos="8306"/>
      </w:tabs>
    </w:pPr>
  </w:style>
  <w:style w:type="character" w:customStyle="1" w:styleId="HeaderChar">
    <w:name w:val="Header Char"/>
    <w:basedOn w:val="DefaultParagraphFont"/>
    <w:link w:val="Header"/>
    <w:uiPriority w:val="99"/>
    <w:rsid w:val="00AF121C"/>
  </w:style>
  <w:style w:type="paragraph" w:styleId="Footer">
    <w:name w:val="footer"/>
    <w:basedOn w:val="Normal"/>
    <w:link w:val="FooterChar"/>
    <w:uiPriority w:val="99"/>
    <w:unhideWhenUsed/>
    <w:rsid w:val="00AF121C"/>
    <w:pPr>
      <w:tabs>
        <w:tab w:val="center" w:pos="4153"/>
        <w:tab w:val="right" w:pos="8306"/>
      </w:tabs>
    </w:pPr>
  </w:style>
  <w:style w:type="character" w:customStyle="1" w:styleId="FooterChar">
    <w:name w:val="Footer Char"/>
    <w:basedOn w:val="DefaultParagraphFont"/>
    <w:link w:val="Footer"/>
    <w:uiPriority w:val="99"/>
    <w:rsid w:val="00AF121C"/>
  </w:style>
  <w:style w:type="paragraph" w:styleId="BalloonText">
    <w:name w:val="Balloon Text"/>
    <w:basedOn w:val="Normal"/>
    <w:link w:val="BalloonTextChar"/>
    <w:uiPriority w:val="99"/>
    <w:semiHidden/>
    <w:unhideWhenUsed/>
    <w:rsid w:val="008B7A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AF8"/>
    <w:rPr>
      <w:rFonts w:ascii="Segoe UI" w:hAnsi="Segoe UI" w:cs="Segoe UI"/>
      <w:sz w:val="18"/>
      <w:szCs w:val="18"/>
    </w:rPr>
  </w:style>
  <w:style w:type="character" w:styleId="CommentReference">
    <w:name w:val="annotation reference"/>
    <w:basedOn w:val="DefaultParagraphFont"/>
    <w:uiPriority w:val="99"/>
    <w:semiHidden/>
    <w:unhideWhenUsed/>
    <w:rsid w:val="00292EBD"/>
    <w:rPr>
      <w:sz w:val="16"/>
      <w:szCs w:val="16"/>
    </w:rPr>
  </w:style>
  <w:style w:type="paragraph" w:styleId="CommentText">
    <w:name w:val="annotation text"/>
    <w:basedOn w:val="Normal"/>
    <w:link w:val="CommentTextChar"/>
    <w:unhideWhenUsed/>
    <w:rsid w:val="00292EBD"/>
    <w:rPr>
      <w:sz w:val="20"/>
      <w:szCs w:val="20"/>
    </w:rPr>
  </w:style>
  <w:style w:type="character" w:customStyle="1" w:styleId="CommentTextChar">
    <w:name w:val="Comment Text Char"/>
    <w:basedOn w:val="DefaultParagraphFont"/>
    <w:link w:val="CommentText"/>
    <w:rsid w:val="00292EBD"/>
    <w:rPr>
      <w:sz w:val="20"/>
      <w:szCs w:val="20"/>
    </w:rPr>
  </w:style>
  <w:style w:type="paragraph" w:styleId="CommentSubject">
    <w:name w:val="annotation subject"/>
    <w:basedOn w:val="CommentText"/>
    <w:next w:val="CommentText"/>
    <w:link w:val="CommentSubjectChar"/>
    <w:uiPriority w:val="99"/>
    <w:semiHidden/>
    <w:unhideWhenUsed/>
    <w:rsid w:val="00292EBD"/>
    <w:rPr>
      <w:b/>
      <w:bCs/>
    </w:rPr>
  </w:style>
  <w:style w:type="character" w:customStyle="1" w:styleId="CommentSubjectChar">
    <w:name w:val="Comment Subject Char"/>
    <w:basedOn w:val="CommentTextChar"/>
    <w:link w:val="CommentSubject"/>
    <w:uiPriority w:val="99"/>
    <w:semiHidden/>
    <w:rsid w:val="00292EBD"/>
    <w:rPr>
      <w:b/>
      <w:bCs/>
      <w:sz w:val="20"/>
      <w:szCs w:val="20"/>
    </w:rPr>
  </w:style>
  <w:style w:type="paragraph" w:styleId="ListParagraph">
    <w:name w:val="List Paragraph"/>
    <w:basedOn w:val="Normal"/>
    <w:uiPriority w:val="34"/>
    <w:qFormat/>
    <w:rsid w:val="00594BEF"/>
    <w:pPr>
      <w:ind w:left="720"/>
      <w:contextualSpacing/>
    </w:pPr>
  </w:style>
  <w:style w:type="character" w:customStyle="1" w:styleId="sadalasteksts">
    <w:name w:val="sadalasteksts"/>
    <w:basedOn w:val="DefaultParagraphFont"/>
    <w:rsid w:val="009B6765"/>
  </w:style>
  <w:style w:type="character" w:styleId="Hyperlink">
    <w:name w:val="Hyperlink"/>
    <w:basedOn w:val="DefaultParagraphFont"/>
    <w:uiPriority w:val="99"/>
    <w:unhideWhenUsed/>
    <w:rsid w:val="000B7F5E"/>
    <w:rPr>
      <w:color w:val="0563C1" w:themeColor="hyperlink"/>
      <w:u w:val="single"/>
    </w:rPr>
  </w:style>
  <w:style w:type="paragraph" w:customStyle="1" w:styleId="Default">
    <w:name w:val="Default"/>
    <w:rsid w:val="009E0440"/>
    <w:pPr>
      <w:autoSpaceDE w:val="0"/>
      <w:autoSpaceDN w:val="0"/>
      <w:adjustRightInd w:val="0"/>
    </w:pPr>
    <w:rPr>
      <w:rFonts w:cs="Times New Roman"/>
      <w:color w:val="000000"/>
      <w:szCs w:val="24"/>
    </w:rPr>
  </w:style>
  <w:style w:type="paragraph" w:styleId="FootnoteText">
    <w:name w:val="footnote text"/>
    <w:basedOn w:val="Normal"/>
    <w:link w:val="FootnoteTextChar"/>
    <w:uiPriority w:val="99"/>
    <w:unhideWhenUsed/>
    <w:rsid w:val="00BF4AFB"/>
    <w:rPr>
      <w:sz w:val="20"/>
      <w:szCs w:val="20"/>
    </w:rPr>
  </w:style>
  <w:style w:type="character" w:customStyle="1" w:styleId="FootnoteTextChar">
    <w:name w:val="Footnote Text Char"/>
    <w:basedOn w:val="DefaultParagraphFont"/>
    <w:link w:val="FootnoteText"/>
    <w:uiPriority w:val="99"/>
    <w:rsid w:val="00BF4AFB"/>
    <w:rPr>
      <w:sz w:val="20"/>
      <w:szCs w:val="20"/>
    </w:rPr>
  </w:style>
  <w:style w:type="character" w:styleId="FootnoteReference">
    <w:name w:val="footnote reference"/>
    <w:basedOn w:val="DefaultParagraphFont"/>
    <w:uiPriority w:val="99"/>
    <w:semiHidden/>
    <w:unhideWhenUsed/>
    <w:rsid w:val="00BF4AFB"/>
    <w:rPr>
      <w:vertAlign w:val="superscript"/>
    </w:rPr>
  </w:style>
  <w:style w:type="character" w:styleId="FollowedHyperlink">
    <w:name w:val="FollowedHyperlink"/>
    <w:basedOn w:val="DefaultParagraphFont"/>
    <w:uiPriority w:val="99"/>
    <w:semiHidden/>
    <w:unhideWhenUsed/>
    <w:rsid w:val="00A9403F"/>
    <w:rPr>
      <w:color w:val="954F72" w:themeColor="followedHyperlink"/>
      <w:u w:val="single"/>
    </w:rPr>
  </w:style>
  <w:style w:type="paragraph" w:customStyle="1" w:styleId="naisf">
    <w:name w:val="naisf"/>
    <w:basedOn w:val="Normal"/>
    <w:rsid w:val="00C70612"/>
    <w:pPr>
      <w:spacing w:before="100" w:beforeAutospacing="1" w:after="100" w:afterAutospacing="1"/>
    </w:pPr>
    <w:rPr>
      <w:rFonts w:eastAsia="Times New Roman" w:cs="Times New Roman"/>
      <w:szCs w:val="24"/>
      <w:lang w:eastAsia="lv-LV"/>
    </w:rPr>
  </w:style>
  <w:style w:type="paragraph" w:customStyle="1" w:styleId="considrant">
    <w:name w:val="considrant"/>
    <w:basedOn w:val="Normal"/>
    <w:uiPriority w:val="99"/>
    <w:rsid w:val="00D4409F"/>
    <w:pPr>
      <w:spacing w:before="120" w:after="120"/>
      <w:jc w:val="both"/>
    </w:pPr>
    <w:rPr>
      <w:rFonts w:eastAsia="Calibri" w:cs="Times New Roman"/>
      <w:szCs w:val="24"/>
      <w:lang w:eastAsia="lv-LV"/>
    </w:rPr>
  </w:style>
  <w:style w:type="character" w:customStyle="1" w:styleId="CharStyle8">
    <w:name w:val="Char Style 8"/>
    <w:basedOn w:val="DefaultParagraphFont"/>
    <w:link w:val="Style7"/>
    <w:rsid w:val="00EC2DC3"/>
    <w:rPr>
      <w:rFonts w:ascii="Arial" w:eastAsia="Arial" w:hAnsi="Arial" w:cs="Arial"/>
      <w:sz w:val="18"/>
      <w:szCs w:val="18"/>
      <w:shd w:val="clear" w:color="auto" w:fill="FFFFFF"/>
    </w:rPr>
  </w:style>
  <w:style w:type="paragraph" w:customStyle="1" w:styleId="Style7">
    <w:name w:val="Style 7"/>
    <w:basedOn w:val="Normal"/>
    <w:link w:val="CharStyle8"/>
    <w:rsid w:val="00EC2DC3"/>
    <w:pPr>
      <w:shd w:val="clear" w:color="auto" w:fill="FFFFFF"/>
      <w:spacing w:before="260" w:after="800" w:line="200" w:lineRule="exact"/>
      <w:ind w:firstLine="720"/>
    </w:pPr>
    <w:rPr>
      <w:rFonts w:ascii="Arial" w:eastAsia="Arial" w:hAnsi="Arial" w:cs="Arial"/>
      <w:sz w:val="18"/>
      <w:szCs w:val="18"/>
    </w:rPr>
  </w:style>
  <w:style w:type="paragraph" w:customStyle="1" w:styleId="CM4">
    <w:name w:val="CM4"/>
    <w:basedOn w:val="Normal"/>
    <w:next w:val="Normal"/>
    <w:uiPriority w:val="99"/>
    <w:rsid w:val="005A09AF"/>
    <w:pPr>
      <w:autoSpaceDE w:val="0"/>
      <w:autoSpaceDN w:val="0"/>
      <w:adjustRightInd w:val="0"/>
    </w:pPr>
    <w:rPr>
      <w:rFonts w:cs="Times New Roman"/>
      <w:szCs w:val="24"/>
    </w:rPr>
  </w:style>
  <w:style w:type="paragraph" w:customStyle="1" w:styleId="naiskr">
    <w:name w:val="naiskr"/>
    <w:basedOn w:val="Normal"/>
    <w:rsid w:val="0044289C"/>
    <w:pPr>
      <w:spacing w:before="100" w:beforeAutospacing="1" w:after="100" w:afterAutospacing="1"/>
    </w:pPr>
    <w:rPr>
      <w:rFonts w:eastAsia="Times New Roman" w:cs="Times New Roman"/>
      <w:szCs w:val="24"/>
      <w:lang w:eastAsia="lv-LV"/>
    </w:rPr>
  </w:style>
  <w:style w:type="paragraph" w:styleId="BodyText">
    <w:name w:val="Body Text"/>
    <w:basedOn w:val="Normal"/>
    <w:link w:val="BodyTextChar"/>
    <w:uiPriority w:val="1"/>
    <w:qFormat/>
    <w:rsid w:val="003C337D"/>
    <w:pPr>
      <w:widowControl w:val="0"/>
      <w:ind w:left="117"/>
    </w:pPr>
    <w:rPr>
      <w:rFonts w:eastAsia="Times New Roman"/>
      <w:szCs w:val="24"/>
      <w:lang w:eastAsia="lv-LV" w:bidi="lv-LV"/>
    </w:rPr>
  </w:style>
  <w:style w:type="character" w:customStyle="1" w:styleId="BodyTextChar">
    <w:name w:val="Body Text Char"/>
    <w:basedOn w:val="DefaultParagraphFont"/>
    <w:link w:val="BodyText"/>
    <w:uiPriority w:val="1"/>
    <w:rsid w:val="003C337D"/>
    <w:rPr>
      <w:rFonts w:eastAsia="Times New Roman"/>
      <w:szCs w:val="24"/>
      <w:lang w:eastAsia="lv-LV" w:bidi="lv-LV"/>
    </w:rPr>
  </w:style>
  <w:style w:type="paragraph" w:customStyle="1" w:styleId="doc-ti1">
    <w:name w:val="doc-ti1"/>
    <w:basedOn w:val="Normal"/>
    <w:rsid w:val="008E5F7D"/>
    <w:pPr>
      <w:spacing w:before="240" w:after="120" w:line="312" w:lineRule="atLeast"/>
      <w:jc w:val="center"/>
    </w:pPr>
    <w:rPr>
      <w:rFonts w:eastAsia="Times New Roman" w:cs="Times New Roman"/>
      <w:b/>
      <w:bCs/>
      <w:szCs w:val="24"/>
      <w:lang w:eastAsia="lv-LV"/>
    </w:rPr>
  </w:style>
  <w:style w:type="paragraph" w:customStyle="1" w:styleId="title-article-norm">
    <w:name w:val="title-article-norm"/>
    <w:basedOn w:val="Normal"/>
    <w:rsid w:val="006A4226"/>
    <w:pPr>
      <w:spacing w:before="100" w:beforeAutospacing="1" w:after="100" w:afterAutospacing="1"/>
    </w:pPr>
    <w:rPr>
      <w:rFonts w:eastAsia="Times New Roman" w:cs="Times New Roman"/>
      <w:szCs w:val="24"/>
      <w:lang w:eastAsia="lv-LV"/>
    </w:rPr>
  </w:style>
  <w:style w:type="paragraph" w:customStyle="1" w:styleId="stitle-article-norm">
    <w:name w:val="stitle-article-norm"/>
    <w:basedOn w:val="Normal"/>
    <w:rsid w:val="006A4226"/>
    <w:pPr>
      <w:spacing w:before="100" w:beforeAutospacing="1" w:after="100" w:afterAutospacing="1"/>
    </w:pPr>
    <w:rPr>
      <w:rFonts w:eastAsia="Times New Roman" w:cs="Times New Roman"/>
      <w:szCs w:val="24"/>
      <w:lang w:eastAsia="lv-LV"/>
    </w:rPr>
  </w:style>
  <w:style w:type="paragraph" w:customStyle="1" w:styleId="norm">
    <w:name w:val="norm"/>
    <w:basedOn w:val="Normal"/>
    <w:rsid w:val="006A4226"/>
    <w:pPr>
      <w:spacing w:before="100" w:beforeAutospacing="1" w:after="100" w:afterAutospacing="1"/>
    </w:pPr>
    <w:rPr>
      <w:rFonts w:eastAsia="Times New Roman" w:cs="Times New Roman"/>
      <w:szCs w:val="24"/>
      <w:lang w:eastAsia="lv-LV"/>
    </w:rPr>
  </w:style>
  <w:style w:type="paragraph" w:customStyle="1" w:styleId="tv213">
    <w:name w:val="tv213"/>
    <w:basedOn w:val="Normal"/>
    <w:rsid w:val="009B17F2"/>
    <w:pPr>
      <w:spacing w:before="100" w:beforeAutospacing="1" w:after="100" w:afterAutospacing="1"/>
    </w:pPr>
    <w:rPr>
      <w:rFonts w:eastAsia="Times New Roman" w:cs="Times New Roman"/>
      <w:szCs w:val="24"/>
      <w:lang w:eastAsia="lv-LV"/>
    </w:rPr>
  </w:style>
  <w:style w:type="table" w:styleId="TableGrid">
    <w:name w:val="Table Grid"/>
    <w:basedOn w:val="TableNormal"/>
    <w:uiPriority w:val="39"/>
    <w:rsid w:val="00CC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Normal"/>
    <w:rsid w:val="00E168B5"/>
    <w:pPr>
      <w:spacing w:before="100" w:beforeAutospacing="1" w:after="100" w:afterAutospacing="1"/>
    </w:pPr>
    <w:rPr>
      <w:rFonts w:eastAsia="Times New Roman" w:cs="Times New Roman"/>
      <w:szCs w:val="24"/>
      <w:lang w:eastAsia="lv-LV"/>
    </w:rPr>
  </w:style>
  <w:style w:type="paragraph" w:styleId="NormalWeb">
    <w:name w:val="Normal (Web)"/>
    <w:basedOn w:val="Normal"/>
    <w:uiPriority w:val="99"/>
    <w:unhideWhenUsed/>
    <w:rsid w:val="004300D3"/>
    <w:pPr>
      <w:spacing w:before="100" w:beforeAutospacing="1" w:after="100" w:afterAutospacing="1"/>
    </w:pPr>
    <w:rPr>
      <w:rFonts w:eastAsia="Times New Roman" w:cs="Times New Roman"/>
      <w:color w:val="00000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154446">
      <w:bodyDiv w:val="1"/>
      <w:marLeft w:val="0"/>
      <w:marRight w:val="0"/>
      <w:marTop w:val="0"/>
      <w:marBottom w:val="0"/>
      <w:divBdr>
        <w:top w:val="none" w:sz="0" w:space="0" w:color="auto"/>
        <w:left w:val="none" w:sz="0" w:space="0" w:color="auto"/>
        <w:bottom w:val="none" w:sz="0" w:space="0" w:color="auto"/>
        <w:right w:val="none" w:sz="0" w:space="0" w:color="auto"/>
      </w:divBdr>
    </w:div>
    <w:div w:id="325714537">
      <w:bodyDiv w:val="1"/>
      <w:marLeft w:val="0"/>
      <w:marRight w:val="0"/>
      <w:marTop w:val="0"/>
      <w:marBottom w:val="0"/>
      <w:divBdr>
        <w:top w:val="none" w:sz="0" w:space="0" w:color="auto"/>
        <w:left w:val="none" w:sz="0" w:space="0" w:color="auto"/>
        <w:bottom w:val="none" w:sz="0" w:space="0" w:color="auto"/>
        <w:right w:val="none" w:sz="0" w:space="0" w:color="auto"/>
      </w:divBdr>
    </w:div>
    <w:div w:id="845437490">
      <w:bodyDiv w:val="1"/>
      <w:marLeft w:val="0"/>
      <w:marRight w:val="0"/>
      <w:marTop w:val="0"/>
      <w:marBottom w:val="0"/>
      <w:divBdr>
        <w:top w:val="none" w:sz="0" w:space="0" w:color="auto"/>
        <w:left w:val="none" w:sz="0" w:space="0" w:color="auto"/>
        <w:bottom w:val="none" w:sz="0" w:space="0" w:color="auto"/>
        <w:right w:val="none" w:sz="0" w:space="0" w:color="auto"/>
      </w:divBdr>
    </w:div>
    <w:div w:id="1128012680">
      <w:bodyDiv w:val="1"/>
      <w:marLeft w:val="0"/>
      <w:marRight w:val="0"/>
      <w:marTop w:val="0"/>
      <w:marBottom w:val="0"/>
      <w:divBdr>
        <w:top w:val="none" w:sz="0" w:space="0" w:color="auto"/>
        <w:left w:val="none" w:sz="0" w:space="0" w:color="auto"/>
        <w:bottom w:val="none" w:sz="0" w:space="0" w:color="auto"/>
        <w:right w:val="none" w:sz="0" w:space="0" w:color="auto"/>
      </w:divBdr>
    </w:div>
    <w:div w:id="1630551985">
      <w:bodyDiv w:val="1"/>
      <w:marLeft w:val="0"/>
      <w:marRight w:val="0"/>
      <w:marTop w:val="0"/>
      <w:marBottom w:val="0"/>
      <w:divBdr>
        <w:top w:val="none" w:sz="0" w:space="0" w:color="auto"/>
        <w:left w:val="none" w:sz="0" w:space="0" w:color="auto"/>
        <w:bottom w:val="none" w:sz="0" w:space="0" w:color="auto"/>
        <w:right w:val="none" w:sz="0" w:space="0" w:color="auto"/>
      </w:divBdr>
    </w:div>
    <w:div w:id="1668440361">
      <w:bodyDiv w:val="1"/>
      <w:marLeft w:val="0"/>
      <w:marRight w:val="0"/>
      <w:marTop w:val="0"/>
      <w:marBottom w:val="0"/>
      <w:divBdr>
        <w:top w:val="none" w:sz="0" w:space="0" w:color="auto"/>
        <w:left w:val="none" w:sz="0" w:space="0" w:color="auto"/>
        <w:bottom w:val="none" w:sz="0" w:space="0" w:color="auto"/>
        <w:right w:val="none" w:sz="0" w:space="0" w:color="auto"/>
      </w:divBdr>
    </w:div>
    <w:div w:id="1692761129">
      <w:bodyDiv w:val="1"/>
      <w:marLeft w:val="0"/>
      <w:marRight w:val="0"/>
      <w:marTop w:val="0"/>
      <w:marBottom w:val="0"/>
      <w:divBdr>
        <w:top w:val="none" w:sz="0" w:space="0" w:color="auto"/>
        <w:left w:val="none" w:sz="0" w:space="0" w:color="auto"/>
        <w:bottom w:val="none" w:sz="0" w:space="0" w:color="auto"/>
        <w:right w:val="none" w:sz="0" w:space="0" w:color="auto"/>
      </w:divBdr>
      <w:divsChild>
        <w:div w:id="440226607">
          <w:marLeft w:val="0"/>
          <w:marRight w:val="0"/>
          <w:marTop w:val="0"/>
          <w:marBottom w:val="0"/>
          <w:divBdr>
            <w:top w:val="none" w:sz="0" w:space="0" w:color="auto"/>
            <w:left w:val="none" w:sz="0" w:space="0" w:color="auto"/>
            <w:bottom w:val="none" w:sz="0" w:space="0" w:color="auto"/>
            <w:right w:val="none" w:sz="0" w:space="0" w:color="auto"/>
          </w:divBdr>
          <w:divsChild>
            <w:div w:id="550270541">
              <w:marLeft w:val="0"/>
              <w:marRight w:val="0"/>
              <w:marTop w:val="0"/>
              <w:marBottom w:val="0"/>
              <w:divBdr>
                <w:top w:val="none" w:sz="0" w:space="0" w:color="auto"/>
                <w:left w:val="none" w:sz="0" w:space="0" w:color="auto"/>
                <w:bottom w:val="none" w:sz="0" w:space="0" w:color="auto"/>
                <w:right w:val="none" w:sz="0" w:space="0" w:color="auto"/>
              </w:divBdr>
              <w:divsChild>
                <w:div w:id="790126740">
                  <w:marLeft w:val="0"/>
                  <w:marRight w:val="0"/>
                  <w:marTop w:val="0"/>
                  <w:marBottom w:val="0"/>
                  <w:divBdr>
                    <w:top w:val="none" w:sz="0" w:space="0" w:color="auto"/>
                    <w:left w:val="none" w:sz="0" w:space="0" w:color="auto"/>
                    <w:bottom w:val="none" w:sz="0" w:space="0" w:color="auto"/>
                    <w:right w:val="none" w:sz="0" w:space="0" w:color="auto"/>
                  </w:divBdr>
                  <w:divsChild>
                    <w:div w:id="504637634">
                      <w:marLeft w:val="-150"/>
                      <w:marRight w:val="-150"/>
                      <w:marTop w:val="0"/>
                      <w:marBottom w:val="0"/>
                      <w:divBdr>
                        <w:top w:val="none" w:sz="0" w:space="0" w:color="auto"/>
                        <w:left w:val="none" w:sz="0" w:space="0" w:color="auto"/>
                        <w:bottom w:val="none" w:sz="0" w:space="0" w:color="auto"/>
                        <w:right w:val="none" w:sz="0" w:space="0" w:color="auto"/>
                      </w:divBdr>
                      <w:divsChild>
                        <w:div w:id="1218669406">
                          <w:marLeft w:val="0"/>
                          <w:marRight w:val="0"/>
                          <w:marTop w:val="0"/>
                          <w:marBottom w:val="0"/>
                          <w:divBdr>
                            <w:top w:val="none" w:sz="0" w:space="0" w:color="auto"/>
                            <w:left w:val="none" w:sz="0" w:space="0" w:color="auto"/>
                            <w:bottom w:val="none" w:sz="0" w:space="0" w:color="auto"/>
                            <w:right w:val="none" w:sz="0" w:space="0" w:color="auto"/>
                          </w:divBdr>
                          <w:divsChild>
                            <w:div w:id="1663968274">
                              <w:marLeft w:val="0"/>
                              <w:marRight w:val="0"/>
                              <w:marTop w:val="0"/>
                              <w:marBottom w:val="0"/>
                              <w:divBdr>
                                <w:top w:val="none" w:sz="0" w:space="0" w:color="auto"/>
                                <w:left w:val="none" w:sz="0" w:space="0" w:color="auto"/>
                                <w:bottom w:val="none" w:sz="0" w:space="0" w:color="auto"/>
                                <w:right w:val="none" w:sz="0" w:space="0" w:color="auto"/>
                              </w:divBdr>
                              <w:divsChild>
                                <w:div w:id="2114010729">
                                  <w:marLeft w:val="0"/>
                                  <w:marRight w:val="0"/>
                                  <w:marTop w:val="0"/>
                                  <w:marBottom w:val="300"/>
                                  <w:divBdr>
                                    <w:top w:val="none" w:sz="0" w:space="0" w:color="auto"/>
                                    <w:left w:val="none" w:sz="0" w:space="0" w:color="auto"/>
                                    <w:bottom w:val="none" w:sz="0" w:space="0" w:color="auto"/>
                                    <w:right w:val="none" w:sz="0" w:space="0" w:color="auto"/>
                                  </w:divBdr>
                                  <w:divsChild>
                                    <w:div w:id="1846552075">
                                      <w:marLeft w:val="0"/>
                                      <w:marRight w:val="0"/>
                                      <w:marTop w:val="0"/>
                                      <w:marBottom w:val="0"/>
                                      <w:divBdr>
                                        <w:top w:val="none" w:sz="0" w:space="0" w:color="auto"/>
                                        <w:left w:val="none" w:sz="0" w:space="0" w:color="auto"/>
                                        <w:bottom w:val="none" w:sz="0" w:space="0" w:color="auto"/>
                                        <w:right w:val="none" w:sz="0" w:space="0" w:color="auto"/>
                                      </w:divBdr>
                                      <w:divsChild>
                                        <w:div w:id="349382301">
                                          <w:marLeft w:val="0"/>
                                          <w:marRight w:val="0"/>
                                          <w:marTop w:val="0"/>
                                          <w:marBottom w:val="0"/>
                                          <w:divBdr>
                                            <w:top w:val="none" w:sz="0" w:space="0" w:color="auto"/>
                                            <w:left w:val="none" w:sz="0" w:space="0" w:color="auto"/>
                                            <w:bottom w:val="none" w:sz="0" w:space="0" w:color="auto"/>
                                            <w:right w:val="none" w:sz="0" w:space="0" w:color="auto"/>
                                          </w:divBdr>
                                          <w:divsChild>
                                            <w:div w:id="313920453">
                                              <w:marLeft w:val="0"/>
                                              <w:marRight w:val="0"/>
                                              <w:marTop w:val="0"/>
                                              <w:marBottom w:val="0"/>
                                              <w:divBdr>
                                                <w:top w:val="none" w:sz="0" w:space="0" w:color="auto"/>
                                                <w:left w:val="none" w:sz="0" w:space="0" w:color="auto"/>
                                                <w:bottom w:val="none" w:sz="0" w:space="0" w:color="auto"/>
                                                <w:right w:val="none" w:sz="0" w:space="0" w:color="auto"/>
                                              </w:divBdr>
                                              <w:divsChild>
                                                <w:div w:id="1504274860">
                                                  <w:marLeft w:val="0"/>
                                                  <w:marRight w:val="0"/>
                                                  <w:marTop w:val="0"/>
                                                  <w:marBottom w:val="0"/>
                                                  <w:divBdr>
                                                    <w:top w:val="none" w:sz="0" w:space="0" w:color="auto"/>
                                                    <w:left w:val="none" w:sz="0" w:space="0" w:color="auto"/>
                                                    <w:bottom w:val="none" w:sz="0" w:space="0" w:color="auto"/>
                                                    <w:right w:val="none" w:sz="0" w:space="0" w:color="auto"/>
                                                  </w:divBdr>
                                                  <w:divsChild>
                                                    <w:div w:id="1762875677">
                                                      <w:marLeft w:val="0"/>
                                                      <w:marRight w:val="0"/>
                                                      <w:marTop w:val="0"/>
                                                      <w:marBottom w:val="0"/>
                                                      <w:divBdr>
                                                        <w:top w:val="none" w:sz="0" w:space="0" w:color="auto"/>
                                                        <w:left w:val="none" w:sz="0" w:space="0" w:color="auto"/>
                                                        <w:bottom w:val="none" w:sz="0" w:space="0" w:color="auto"/>
                                                        <w:right w:val="none" w:sz="0" w:space="0" w:color="auto"/>
                                                      </w:divBdr>
                                                      <w:divsChild>
                                                        <w:div w:id="2063746256">
                                                          <w:marLeft w:val="0"/>
                                                          <w:marRight w:val="0"/>
                                                          <w:marTop w:val="0"/>
                                                          <w:marBottom w:val="0"/>
                                                          <w:divBdr>
                                                            <w:top w:val="none" w:sz="0" w:space="0" w:color="auto"/>
                                                            <w:left w:val="none" w:sz="0" w:space="0" w:color="auto"/>
                                                            <w:bottom w:val="none" w:sz="0" w:space="0" w:color="auto"/>
                                                            <w:right w:val="none" w:sz="0" w:space="0" w:color="auto"/>
                                                          </w:divBdr>
                                                          <w:divsChild>
                                                            <w:div w:id="78931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988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reg/2013/608/oj/?locale=LV" TargetMode="External"/><Relationship Id="rId18" Type="http://schemas.openxmlformats.org/officeDocument/2006/relationships/hyperlink" Target="http://eur-lex.europa.eu/eli/reg/2013/608/oj/?locale=LV"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eur-lex.europa.eu/eli/reg/2013/608/oj/?locale=LV" TargetMode="External"/><Relationship Id="rId7" Type="http://schemas.openxmlformats.org/officeDocument/2006/relationships/settings" Target="settings.xml"/><Relationship Id="rId12" Type="http://schemas.openxmlformats.org/officeDocument/2006/relationships/hyperlink" Target="http://eur-lex.europa.eu/eli/reg/2013/608/oj/?locale=LV" TargetMode="External"/><Relationship Id="rId17" Type="http://schemas.openxmlformats.org/officeDocument/2006/relationships/hyperlink" Target="http://eur-lex.europa.eu/eli/reg/2013/608/oj/?locale=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ur-lex.europa.eu/eli/reg/2013/608/oj/?locale=LV" TargetMode="External"/><Relationship Id="rId20" Type="http://schemas.openxmlformats.org/officeDocument/2006/relationships/hyperlink" Target="http://eur-lex.europa.eu/eli/reg/2013/608/oj/?locale=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_del/2015/2446/oj/?locale=LV" TargetMode="External"/><Relationship Id="rId24" Type="http://schemas.openxmlformats.org/officeDocument/2006/relationships/hyperlink" Target="mailto:Marika.Vibane@fm.gov.lv" TargetMode="External"/><Relationship Id="rId5" Type="http://schemas.openxmlformats.org/officeDocument/2006/relationships/numbering" Target="numbering.xml"/><Relationship Id="rId15" Type="http://schemas.openxmlformats.org/officeDocument/2006/relationships/hyperlink" Target="http://eur-lex.europa.eu/eli/reg/2013/608/oj/?locale=LV" TargetMode="External"/><Relationship Id="rId23" Type="http://schemas.openxmlformats.org/officeDocument/2006/relationships/hyperlink" Target="https://www.mk.gov.lv/lv/ministru-kabineta-diskusiju-dokumenti"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eur-lex.europa.eu/eli/reg/2013/608/oj/?local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3/608/oj/?locale=LV" TargetMode="External"/><Relationship Id="rId22" Type="http://schemas.openxmlformats.org/officeDocument/2006/relationships/hyperlink" Target="https://www.fm.gov.lv/lv/mk-noteikumu-projekts-grozijumi-ministru-kabineta-2017gada-8augusta-noteikumos-nr468-noteikumi-par-atseviskiem-muitas-kontroles-veidiem"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eli/reg/2013/952/oj/?locale=LV" TargetMode="External"/><Relationship Id="rId1" Type="http://schemas.openxmlformats.org/officeDocument/2006/relationships/hyperlink" Target="http://eur-lex.europa.eu/eli/reg_del/2015/2446/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Solvita Āmare-Pilka</Vad_x012b_t_x0101_js>
    <NPK xmlns="b6da864e-06a3-40ee-a61e-0cd067b16413">1</NPK>
    <Kategorija xmlns="2e5bb04e-596e-45bd-9003-43ca78b1ba16">Anotācija</Kategorija>
    <DKP xmlns="2e5bb04e-596e-45bd-9003-43ca78b1ba16" xsi:nil="true"/>
  </documentManagement>
</p:properties>
</file>

<file path=customXml/itemProps1.xml><?xml version="1.0" encoding="utf-8"?>
<ds:datastoreItem xmlns:ds="http://schemas.openxmlformats.org/officeDocument/2006/customXml" ds:itemID="{3732D465-65E3-4851-BE3C-79AF44278008}">
  <ds:schemaRefs>
    <ds:schemaRef ds:uri="http://schemas.microsoft.com/sharepoint/v3/contenttype/forms"/>
  </ds:schemaRefs>
</ds:datastoreItem>
</file>

<file path=customXml/itemProps2.xml><?xml version="1.0" encoding="utf-8"?>
<ds:datastoreItem xmlns:ds="http://schemas.openxmlformats.org/officeDocument/2006/customXml" ds:itemID="{58D66941-48AE-4EA5-9904-4DCFAF28B547}">
  <ds:schemaRefs>
    <ds:schemaRef ds:uri="http://schemas.openxmlformats.org/officeDocument/2006/bibliography"/>
  </ds:schemaRefs>
</ds:datastoreItem>
</file>

<file path=customXml/itemProps3.xml><?xml version="1.0" encoding="utf-8"?>
<ds:datastoreItem xmlns:ds="http://schemas.openxmlformats.org/officeDocument/2006/customXml" ds:itemID="{47AD2DB3-A00B-4122-BE1B-5D77BB6D5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609753-AE51-4BAB-9CB2-767336B45094}">
  <ds:schemaRefs>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b6da864e-06a3-40ee-a61e-0cd067b16413"/>
    <ds:schemaRef ds:uri="http://schemas.microsoft.com/office/infopath/2007/PartnerControls"/>
    <ds:schemaRef ds:uri="2e5bb04e-596e-45bd-9003-43ca78b1ba16"/>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20608</Words>
  <Characters>11748</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MK noteikumu projekta "Grozījumi Ministru kabineta 2017.gada 8.augusta noteikumos Nr.468 "Noteikumi par atsevišķiem muitas kontroles veidiem" anotācija</vt:lpstr>
    </vt:vector>
  </TitlesOfParts>
  <Manager>Solvita Āmare-Pilka</Manager>
  <Company>Finanšu ministrija</Company>
  <LinksUpToDate>false</LinksUpToDate>
  <CharactersWithSpaces>32292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"Grozījumi Ministru kabineta 2017.gada 8.augusta noteikumos Nr.468 "Noteikumi par atsevišķiem muitas kontroles veidiem" anotācija</dc:title>
  <dc:subject>Noteikumu projekta anotācija</dc:subject>
  <dc:creator>Marika Vībāne</dc:creator>
  <cp:keywords>muita</cp:keywords>
  <dc:description>67095559, marika.vibane@fm.gov.lv</dc:description>
  <cp:lastModifiedBy>Inguna Dancīte</cp:lastModifiedBy>
  <cp:revision>2</cp:revision>
  <cp:lastPrinted>2020-12-08T08:29:00Z</cp:lastPrinted>
  <dcterms:created xsi:type="dcterms:W3CDTF">2021-05-06T10:31:00Z</dcterms:created>
  <dcterms:modified xsi:type="dcterms:W3CDTF">2021-05-06T10:31:00Z</dcterms:modified>
  <cp:category>MK noteikumi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