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D6885" w14:textId="77777777" w:rsidR="006646D4" w:rsidRPr="00BE4535" w:rsidRDefault="006646D4" w:rsidP="001B23F3">
      <w:pPr>
        <w:ind w:firstLine="6521"/>
        <w:jc w:val="right"/>
        <w:rPr>
          <w:sz w:val="24"/>
          <w:szCs w:val="24"/>
        </w:rPr>
      </w:pPr>
      <w:bookmarkStart w:id="0" w:name="Pielikums1"/>
      <w:r w:rsidRPr="00BE4535">
        <w:rPr>
          <w:sz w:val="24"/>
          <w:szCs w:val="24"/>
        </w:rPr>
        <w:t>1</w:t>
      </w:r>
      <w:r w:rsidR="001B23F3" w:rsidRPr="00BE4535">
        <w:rPr>
          <w:sz w:val="24"/>
          <w:szCs w:val="24"/>
        </w:rPr>
        <w:t>. p</w:t>
      </w:r>
      <w:r w:rsidRPr="00BE4535">
        <w:rPr>
          <w:sz w:val="24"/>
          <w:szCs w:val="24"/>
        </w:rPr>
        <w:t>ielikums</w:t>
      </w:r>
    </w:p>
    <w:bookmarkEnd w:id="0"/>
    <w:p w14:paraId="1EEFA224" w14:textId="77777777" w:rsidR="006646D4" w:rsidRPr="00BE4535" w:rsidRDefault="006646D4" w:rsidP="001B23F3">
      <w:pPr>
        <w:ind w:firstLine="6521"/>
        <w:jc w:val="right"/>
        <w:rPr>
          <w:sz w:val="24"/>
          <w:szCs w:val="24"/>
        </w:rPr>
      </w:pPr>
      <w:r w:rsidRPr="00BE4535">
        <w:rPr>
          <w:sz w:val="24"/>
          <w:szCs w:val="24"/>
        </w:rPr>
        <w:t xml:space="preserve">Ministru kabineta </w:t>
      </w:r>
    </w:p>
    <w:p w14:paraId="6A2C013D" w14:textId="77777777" w:rsidR="001B23F3" w:rsidRPr="00BE4535" w:rsidRDefault="00EF0B8F" w:rsidP="00CD757F">
      <w:pPr>
        <w:jc w:val="right"/>
        <w:rPr>
          <w:sz w:val="24"/>
          <w:szCs w:val="24"/>
        </w:rPr>
      </w:pPr>
      <w:r>
        <w:rPr>
          <w:sz w:val="24"/>
          <w:szCs w:val="24"/>
        </w:rPr>
        <w:t>2021</w:t>
      </w:r>
      <w:r w:rsidR="001B23F3" w:rsidRPr="00BE4535">
        <w:rPr>
          <w:sz w:val="24"/>
          <w:szCs w:val="24"/>
        </w:rPr>
        <w:t>. gada  </w:t>
      </w:r>
    </w:p>
    <w:p w14:paraId="353869E9" w14:textId="77777777" w:rsidR="00BE4535" w:rsidRPr="00F75573" w:rsidRDefault="001B23F3" w:rsidP="00F75573">
      <w:pPr>
        <w:jc w:val="right"/>
        <w:rPr>
          <w:sz w:val="24"/>
          <w:szCs w:val="24"/>
        </w:rPr>
      </w:pPr>
      <w:r w:rsidRPr="00BE4535">
        <w:rPr>
          <w:sz w:val="24"/>
          <w:szCs w:val="24"/>
        </w:rPr>
        <w:t>noteikumiem Nr. </w:t>
      </w:r>
    </w:p>
    <w:p w14:paraId="5043E6EF" w14:textId="77777777" w:rsidR="006B1CAB" w:rsidRPr="001B23F3" w:rsidRDefault="006B1CAB" w:rsidP="007460C0">
      <w:pPr>
        <w:rPr>
          <w:sz w:val="28"/>
          <w:szCs w:val="28"/>
        </w:rPr>
      </w:pPr>
    </w:p>
    <w:p w14:paraId="57FF501D" w14:textId="77777777" w:rsidR="006646D4" w:rsidRDefault="006646D4" w:rsidP="001B23F3">
      <w:pPr>
        <w:jc w:val="center"/>
        <w:outlineLvl w:val="3"/>
        <w:rPr>
          <w:b/>
          <w:bCs/>
          <w:sz w:val="28"/>
          <w:szCs w:val="28"/>
          <w:lang w:eastAsia="lv-LV"/>
        </w:rPr>
      </w:pPr>
      <w:r w:rsidRPr="00A7039E">
        <w:rPr>
          <w:b/>
          <w:bCs/>
          <w:sz w:val="28"/>
          <w:szCs w:val="28"/>
          <w:lang w:eastAsia="lv-LV"/>
        </w:rPr>
        <w:t xml:space="preserve">Iesniegums alkoholisko dzērienu akcīzes nodokļa marku saņemšanai </w:t>
      </w:r>
    </w:p>
    <w:p w14:paraId="78B15AF3" w14:textId="77777777" w:rsidR="009839A2" w:rsidRPr="001B23F3" w:rsidRDefault="009839A2" w:rsidP="007460C0">
      <w:pPr>
        <w:rPr>
          <w:sz w:val="28"/>
          <w:szCs w:val="28"/>
        </w:rPr>
      </w:pPr>
    </w:p>
    <w:p w14:paraId="46FB0421" w14:textId="77777777" w:rsidR="00E301FA" w:rsidRPr="00A7039E" w:rsidRDefault="00E301FA" w:rsidP="009839A2">
      <w:pPr>
        <w:tabs>
          <w:tab w:val="left" w:pos="9072"/>
        </w:tabs>
        <w:outlineLvl w:val="3"/>
        <w:rPr>
          <w:bCs/>
          <w:color w:val="000000"/>
          <w:sz w:val="24"/>
          <w:szCs w:val="24"/>
          <w:lang w:eastAsia="lv-LV"/>
        </w:rPr>
      </w:pPr>
      <w:r w:rsidRPr="00A7039E">
        <w:rPr>
          <w:bCs/>
          <w:color w:val="000000"/>
          <w:sz w:val="24"/>
          <w:szCs w:val="24"/>
          <w:lang w:eastAsia="lv-LV"/>
        </w:rPr>
        <w:t>Nodokļ</w:t>
      </w:r>
      <w:r w:rsidR="009B1F5B">
        <w:rPr>
          <w:bCs/>
          <w:color w:val="000000"/>
          <w:sz w:val="24"/>
          <w:szCs w:val="24"/>
          <w:lang w:eastAsia="lv-LV"/>
        </w:rPr>
        <w:t>a</w:t>
      </w:r>
      <w:r w:rsidR="009839A2">
        <w:rPr>
          <w:bCs/>
          <w:color w:val="000000"/>
          <w:sz w:val="24"/>
          <w:szCs w:val="24"/>
          <w:lang w:eastAsia="lv-LV"/>
        </w:rPr>
        <w:t xml:space="preserve"> maksātāja nosaukums </w:t>
      </w:r>
      <w:r w:rsidR="009839A2" w:rsidRPr="009839A2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26DA368A" w14:textId="77777777" w:rsidR="00E301FA" w:rsidRPr="00A7039E" w:rsidRDefault="00E301FA" w:rsidP="009839A2">
      <w:pPr>
        <w:tabs>
          <w:tab w:val="left" w:pos="9072"/>
        </w:tabs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A7039E">
        <w:rPr>
          <w:bCs/>
          <w:color w:val="000000"/>
          <w:sz w:val="24"/>
          <w:szCs w:val="24"/>
          <w:lang w:eastAsia="lv-LV"/>
        </w:rPr>
        <w:t>Nodokļ</w:t>
      </w:r>
      <w:r w:rsidR="009B1F5B">
        <w:rPr>
          <w:bCs/>
          <w:color w:val="000000"/>
          <w:sz w:val="24"/>
          <w:szCs w:val="24"/>
          <w:lang w:eastAsia="lv-LV"/>
        </w:rPr>
        <w:t>a</w:t>
      </w:r>
      <w:r w:rsidRPr="00A7039E">
        <w:rPr>
          <w:bCs/>
          <w:color w:val="000000"/>
          <w:sz w:val="24"/>
          <w:szCs w:val="24"/>
          <w:lang w:eastAsia="lv-LV"/>
        </w:rPr>
        <w:t xml:space="preserve"> maksātāja reģistrācijas kods</w:t>
      </w:r>
      <w:r w:rsidR="009839A2">
        <w:rPr>
          <w:bCs/>
          <w:color w:val="000000"/>
          <w:sz w:val="24"/>
          <w:szCs w:val="24"/>
          <w:lang w:eastAsia="lv-LV"/>
        </w:rPr>
        <w:t xml:space="preserve"> </w:t>
      </w:r>
      <w:r w:rsidR="009839A2" w:rsidRPr="009839A2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1C6B09BA" w14:textId="77777777" w:rsidR="00E301FA" w:rsidRPr="00A7039E" w:rsidRDefault="00E301FA" w:rsidP="009839A2">
      <w:pPr>
        <w:tabs>
          <w:tab w:val="left" w:pos="3686"/>
        </w:tabs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A7039E">
        <w:rPr>
          <w:bCs/>
          <w:color w:val="000000"/>
          <w:sz w:val="24"/>
          <w:szCs w:val="24"/>
          <w:lang w:eastAsia="lv-LV"/>
        </w:rPr>
        <w:t>Tālrunis</w:t>
      </w:r>
      <w:r w:rsidR="009839A2">
        <w:rPr>
          <w:bCs/>
          <w:color w:val="000000"/>
          <w:sz w:val="24"/>
          <w:szCs w:val="24"/>
          <w:lang w:eastAsia="lv-LV"/>
        </w:rPr>
        <w:t xml:space="preserve"> </w:t>
      </w:r>
      <w:r w:rsidR="009839A2" w:rsidRPr="009839A2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5160E3E2" w14:textId="77777777" w:rsidR="006646D4" w:rsidRPr="00A7039E" w:rsidRDefault="006141AD" w:rsidP="009839A2">
      <w:pPr>
        <w:spacing w:before="40"/>
        <w:outlineLvl w:val="3"/>
        <w:rPr>
          <w:bCs/>
          <w:sz w:val="24"/>
          <w:szCs w:val="24"/>
          <w:lang w:eastAsia="lv-LV"/>
        </w:rPr>
      </w:pPr>
      <w:r w:rsidRPr="00A7039E">
        <w:rPr>
          <w:bCs/>
          <w:sz w:val="24"/>
          <w:szCs w:val="24"/>
          <w:lang w:eastAsia="lv-LV"/>
        </w:rPr>
        <w:t>N</w:t>
      </w:r>
      <w:r w:rsidR="006646D4" w:rsidRPr="00A7039E">
        <w:rPr>
          <w:bCs/>
          <w:sz w:val="24"/>
          <w:szCs w:val="24"/>
          <w:lang w:eastAsia="lv-LV"/>
        </w:rPr>
        <w:t xml:space="preserve">odokļa maksātāja veids: </w:t>
      </w:r>
    </w:p>
    <w:p w14:paraId="0D13419A" w14:textId="77777777" w:rsidR="006646D4" w:rsidRPr="00A7039E" w:rsidRDefault="006646D4" w:rsidP="001B23F3">
      <w:pPr>
        <w:numPr>
          <w:ilvl w:val="0"/>
          <w:numId w:val="5"/>
        </w:numPr>
        <w:outlineLvl w:val="3"/>
        <w:rPr>
          <w:bCs/>
          <w:sz w:val="24"/>
          <w:szCs w:val="24"/>
          <w:lang w:eastAsia="lv-LV"/>
        </w:rPr>
      </w:pPr>
      <w:r w:rsidRPr="00A7039E">
        <w:rPr>
          <w:bCs/>
          <w:sz w:val="24"/>
          <w:szCs w:val="24"/>
          <w:lang w:eastAsia="lv-LV"/>
        </w:rPr>
        <w:t>apstiprināts noliktavas turētājs</w:t>
      </w:r>
    </w:p>
    <w:p w14:paraId="36C86505" w14:textId="77777777" w:rsidR="006646D4" w:rsidRPr="00A7039E" w:rsidRDefault="006646D4" w:rsidP="001B23F3">
      <w:pPr>
        <w:numPr>
          <w:ilvl w:val="0"/>
          <w:numId w:val="5"/>
        </w:numPr>
        <w:outlineLvl w:val="3"/>
        <w:rPr>
          <w:bCs/>
          <w:sz w:val="24"/>
          <w:szCs w:val="24"/>
          <w:lang w:eastAsia="lv-LV"/>
        </w:rPr>
      </w:pPr>
      <w:r w:rsidRPr="00A7039E">
        <w:rPr>
          <w:bCs/>
          <w:sz w:val="24"/>
          <w:szCs w:val="24"/>
          <w:lang w:eastAsia="lv-LV"/>
        </w:rPr>
        <w:t>reģistrēts saņēmējs</w:t>
      </w:r>
    </w:p>
    <w:p w14:paraId="40D853DF" w14:textId="77777777" w:rsidR="006646D4" w:rsidRPr="00A7039E" w:rsidRDefault="006646D4" w:rsidP="001B23F3">
      <w:pPr>
        <w:numPr>
          <w:ilvl w:val="0"/>
          <w:numId w:val="5"/>
        </w:numPr>
        <w:outlineLvl w:val="3"/>
        <w:rPr>
          <w:bCs/>
          <w:sz w:val="24"/>
          <w:szCs w:val="24"/>
          <w:lang w:eastAsia="lv-LV"/>
        </w:rPr>
      </w:pPr>
      <w:r w:rsidRPr="00A7039E">
        <w:rPr>
          <w:bCs/>
          <w:sz w:val="24"/>
          <w:szCs w:val="24"/>
          <w:lang w:eastAsia="lv-LV"/>
        </w:rPr>
        <w:t>īslaicīgi reģistrēts saņēmējs</w:t>
      </w:r>
    </w:p>
    <w:p w14:paraId="461670CC" w14:textId="77777777" w:rsidR="006646D4" w:rsidRPr="00A7039E" w:rsidRDefault="006646D4" w:rsidP="001B23F3">
      <w:pPr>
        <w:numPr>
          <w:ilvl w:val="0"/>
          <w:numId w:val="5"/>
        </w:numPr>
        <w:outlineLvl w:val="3"/>
        <w:rPr>
          <w:bCs/>
          <w:sz w:val="24"/>
          <w:szCs w:val="24"/>
          <w:lang w:eastAsia="lv-LV"/>
        </w:rPr>
      </w:pPr>
      <w:r w:rsidRPr="00A7039E">
        <w:rPr>
          <w:bCs/>
          <w:sz w:val="24"/>
          <w:szCs w:val="24"/>
          <w:lang w:eastAsia="lv-LV"/>
        </w:rPr>
        <w:t>importētājs</w:t>
      </w:r>
    </w:p>
    <w:p w14:paraId="65F21354" w14:textId="77777777" w:rsidR="00E301FA" w:rsidRDefault="006646D4" w:rsidP="001B23F3">
      <w:pPr>
        <w:numPr>
          <w:ilvl w:val="0"/>
          <w:numId w:val="5"/>
        </w:numPr>
        <w:outlineLvl w:val="3"/>
        <w:rPr>
          <w:bCs/>
          <w:sz w:val="24"/>
          <w:szCs w:val="24"/>
          <w:lang w:eastAsia="lv-LV"/>
        </w:rPr>
      </w:pPr>
      <w:r w:rsidRPr="00A7039E">
        <w:rPr>
          <w:bCs/>
          <w:sz w:val="24"/>
          <w:szCs w:val="24"/>
          <w:lang w:eastAsia="lv-LV"/>
        </w:rPr>
        <w:t>cita persona</w:t>
      </w:r>
    </w:p>
    <w:p w14:paraId="12DC79D3" w14:textId="77777777" w:rsidR="009839A2" w:rsidRDefault="009839A2" w:rsidP="007460C0">
      <w:pPr>
        <w:ind w:left="360" w:hanging="360"/>
        <w:rPr>
          <w:sz w:val="28"/>
          <w:szCs w:val="28"/>
        </w:rPr>
      </w:pPr>
    </w:p>
    <w:p w14:paraId="2F3A543E" w14:textId="77777777" w:rsidR="002C27D9" w:rsidRPr="00E944D6" w:rsidRDefault="002C27D9" w:rsidP="00E944D6">
      <w:pPr>
        <w:numPr>
          <w:ilvl w:val="0"/>
          <w:numId w:val="6"/>
        </w:numPr>
        <w:ind w:left="360"/>
        <w:jc w:val="both"/>
        <w:outlineLvl w:val="3"/>
        <w:rPr>
          <w:sz w:val="28"/>
          <w:szCs w:val="28"/>
        </w:rPr>
      </w:pPr>
      <w:r w:rsidRPr="00E944D6">
        <w:rPr>
          <w:bCs/>
          <w:color w:val="000000"/>
          <w:sz w:val="24"/>
          <w:szCs w:val="24"/>
          <w:lang w:eastAsia="lv-LV"/>
        </w:rPr>
        <w:t>Apliecinu, ka saņemtās akcīzes nodokļa markas tiks piestiprinātas tikai tādiem alkoholiskajiem dzērieniem</w:t>
      </w:r>
      <w:r w:rsidR="00E944D6" w:rsidRPr="00E944D6">
        <w:rPr>
          <w:bCs/>
          <w:color w:val="000000"/>
          <w:sz w:val="24"/>
          <w:szCs w:val="24"/>
          <w:lang w:eastAsia="lv-LV"/>
        </w:rPr>
        <w:t xml:space="preserve">, </w:t>
      </w:r>
      <w:r w:rsidR="004323F2">
        <w:rPr>
          <w:bCs/>
          <w:color w:val="000000"/>
          <w:sz w:val="24"/>
          <w:szCs w:val="24"/>
          <w:lang w:eastAsia="lv-LV"/>
        </w:rPr>
        <w:t>kam</w:t>
      </w:r>
      <w:r w:rsidR="00E944D6" w:rsidRPr="00E944D6">
        <w:rPr>
          <w:bCs/>
          <w:color w:val="000000"/>
          <w:sz w:val="24"/>
          <w:szCs w:val="24"/>
          <w:lang w:eastAsia="lv-LV"/>
        </w:rPr>
        <w:t xml:space="preserve"> vienas iepakojuma vienības tilpums atbilst Ministru kabineta 2008.gada 2.jūnija noteikumos Nr.383 “Par fasēto preču nominālā daudzuma un iepakojuma nominālā tilpuma </w:t>
      </w:r>
      <w:proofErr w:type="spellStart"/>
      <w:r w:rsidR="00E944D6" w:rsidRPr="00E944D6">
        <w:rPr>
          <w:bCs/>
          <w:color w:val="000000"/>
          <w:sz w:val="24"/>
          <w:szCs w:val="24"/>
          <w:lang w:eastAsia="lv-LV"/>
        </w:rPr>
        <w:t>standartvērtībām</w:t>
      </w:r>
      <w:proofErr w:type="spellEnd"/>
      <w:r w:rsidR="00E944D6" w:rsidRPr="00E944D6">
        <w:rPr>
          <w:bCs/>
          <w:color w:val="000000"/>
          <w:sz w:val="24"/>
          <w:szCs w:val="24"/>
          <w:lang w:eastAsia="lv-LV"/>
        </w:rPr>
        <w:t xml:space="preserve">” noteiktajām prasībām. </w:t>
      </w:r>
    </w:p>
    <w:p w14:paraId="6BBE9807" w14:textId="77777777" w:rsidR="00E944D6" w:rsidRPr="00E944D6" w:rsidRDefault="00E944D6" w:rsidP="00E944D6">
      <w:pPr>
        <w:ind w:left="360"/>
        <w:jc w:val="both"/>
        <w:outlineLvl w:val="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127"/>
        <w:gridCol w:w="1701"/>
        <w:gridCol w:w="1445"/>
        <w:gridCol w:w="1638"/>
      </w:tblGrid>
      <w:tr w:rsidR="00C05ADF" w:rsidRPr="009839A2" w14:paraId="2EAF6ECD" w14:textId="77777777" w:rsidTr="007460C0">
        <w:trPr>
          <w:trHeight w:val="630"/>
        </w:trPr>
        <w:tc>
          <w:tcPr>
            <w:tcW w:w="675" w:type="dxa"/>
            <w:shd w:val="clear" w:color="auto" w:fill="auto"/>
            <w:vAlign w:val="center"/>
          </w:tcPr>
          <w:p w14:paraId="09DB25A7" w14:textId="77777777" w:rsidR="00C05ADF" w:rsidRPr="009839A2" w:rsidRDefault="00C05ADF" w:rsidP="009839A2">
            <w:pPr>
              <w:jc w:val="center"/>
              <w:rPr>
                <w:sz w:val="24"/>
              </w:rPr>
            </w:pPr>
            <w:r w:rsidRPr="009839A2">
              <w:rPr>
                <w:sz w:val="24"/>
              </w:rPr>
              <w:t>Nr</w:t>
            </w:r>
            <w:r w:rsidR="001B23F3" w:rsidRPr="009839A2">
              <w:rPr>
                <w:sz w:val="24"/>
              </w:rPr>
              <w:t>.</w:t>
            </w:r>
            <w:r w:rsidR="009839A2" w:rsidRPr="009839A2">
              <w:rPr>
                <w:sz w:val="24"/>
              </w:rPr>
              <w:br/>
            </w:r>
            <w:r w:rsidR="001B23F3" w:rsidRPr="009839A2">
              <w:rPr>
                <w:sz w:val="24"/>
              </w:rPr>
              <w:t>p</w:t>
            </w:r>
            <w:r w:rsidRPr="009839A2">
              <w:rPr>
                <w:sz w:val="24"/>
              </w:rPr>
              <w:t>.</w:t>
            </w:r>
            <w:r w:rsidR="001B23F3" w:rsidRPr="009839A2">
              <w:rPr>
                <w:sz w:val="24"/>
              </w:rPr>
              <w:t> </w:t>
            </w:r>
            <w:r w:rsidRPr="009839A2">
              <w:rPr>
                <w:sz w:val="24"/>
              </w:rPr>
              <w:t>k.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403ABB" w14:textId="77777777" w:rsidR="00C05ADF" w:rsidRPr="009839A2" w:rsidRDefault="00C05ADF" w:rsidP="001B23F3">
            <w:pPr>
              <w:jc w:val="center"/>
              <w:rPr>
                <w:sz w:val="24"/>
              </w:rPr>
            </w:pPr>
            <w:r w:rsidRPr="009839A2">
              <w:rPr>
                <w:sz w:val="24"/>
              </w:rPr>
              <w:t>Alkoholiskā dzēriena grupa</w:t>
            </w:r>
            <w:r w:rsidR="00F83F5C" w:rsidRPr="00F83F5C">
              <w:rPr>
                <w:bCs/>
                <w:sz w:val="24"/>
                <w:szCs w:val="24"/>
                <w:vertAlign w:val="superscript"/>
                <w:lang w:eastAsia="lv-LV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19E137" w14:textId="77777777" w:rsidR="00C05ADF" w:rsidRPr="009839A2" w:rsidRDefault="00C05ADF" w:rsidP="00F83F5C">
            <w:pPr>
              <w:jc w:val="center"/>
              <w:rPr>
                <w:sz w:val="24"/>
              </w:rPr>
            </w:pPr>
            <w:r w:rsidRPr="009839A2">
              <w:rPr>
                <w:sz w:val="24"/>
              </w:rPr>
              <w:t>Absolūtā spirta saturs tilpumprocentos</w:t>
            </w:r>
            <w:r w:rsidR="00F83F5C">
              <w:rPr>
                <w:bCs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1C72F" w14:textId="77777777" w:rsidR="00C05ADF" w:rsidRPr="009839A2" w:rsidRDefault="00C05ADF" w:rsidP="001B23F3">
            <w:pPr>
              <w:jc w:val="center"/>
              <w:rPr>
                <w:sz w:val="24"/>
              </w:rPr>
            </w:pPr>
            <w:r w:rsidRPr="009839A2">
              <w:rPr>
                <w:sz w:val="24"/>
              </w:rPr>
              <w:t>Fasējuma vienības tilpums (litri)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5A32581" w14:textId="77777777" w:rsidR="00C05ADF" w:rsidRPr="009839A2" w:rsidRDefault="00B25F44" w:rsidP="001B23F3">
            <w:pPr>
              <w:jc w:val="center"/>
              <w:rPr>
                <w:sz w:val="24"/>
              </w:rPr>
            </w:pPr>
            <w:r w:rsidRPr="009839A2">
              <w:rPr>
                <w:sz w:val="24"/>
              </w:rPr>
              <w:t>Akcīzes nodokļa m</w:t>
            </w:r>
            <w:r w:rsidR="00C05ADF" w:rsidRPr="009839A2">
              <w:rPr>
                <w:sz w:val="24"/>
              </w:rPr>
              <w:t>arku skaits (gab.)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EE267A8" w14:textId="77777777" w:rsidR="00C05ADF" w:rsidRPr="009839A2" w:rsidRDefault="00C05ADF" w:rsidP="001B23F3">
            <w:pPr>
              <w:jc w:val="center"/>
              <w:rPr>
                <w:sz w:val="24"/>
              </w:rPr>
            </w:pPr>
            <w:r w:rsidRPr="009839A2">
              <w:rPr>
                <w:sz w:val="24"/>
              </w:rPr>
              <w:t>Aprēķinātais akcīzes nodoklis (EUR)</w:t>
            </w:r>
          </w:p>
        </w:tc>
      </w:tr>
      <w:tr w:rsidR="006646D4" w:rsidRPr="009839A2" w14:paraId="7375A3D9" w14:textId="77777777" w:rsidTr="007460C0">
        <w:tc>
          <w:tcPr>
            <w:tcW w:w="675" w:type="dxa"/>
            <w:shd w:val="clear" w:color="auto" w:fill="auto"/>
          </w:tcPr>
          <w:p w14:paraId="1B3A6EFD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C0A273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824D4A5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7FE80A0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59996D4A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E0290B0" w14:textId="77777777" w:rsidR="006646D4" w:rsidRPr="009839A2" w:rsidRDefault="006646D4" w:rsidP="001B23F3">
            <w:pPr>
              <w:rPr>
                <w:sz w:val="24"/>
              </w:rPr>
            </w:pPr>
          </w:p>
        </w:tc>
      </w:tr>
      <w:tr w:rsidR="006646D4" w:rsidRPr="009839A2" w14:paraId="1BE72648" w14:textId="77777777" w:rsidTr="007460C0">
        <w:tc>
          <w:tcPr>
            <w:tcW w:w="675" w:type="dxa"/>
            <w:shd w:val="clear" w:color="auto" w:fill="auto"/>
          </w:tcPr>
          <w:p w14:paraId="031BBC0A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A097704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3827B4D0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5070AB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445" w:type="dxa"/>
            <w:shd w:val="clear" w:color="auto" w:fill="auto"/>
          </w:tcPr>
          <w:p w14:paraId="36FF398C" w14:textId="77777777" w:rsidR="006646D4" w:rsidRPr="009839A2" w:rsidRDefault="006646D4" w:rsidP="001B23F3">
            <w:pPr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784F7923" w14:textId="77777777" w:rsidR="006646D4" w:rsidRPr="009839A2" w:rsidRDefault="006646D4" w:rsidP="001B23F3">
            <w:pPr>
              <w:rPr>
                <w:sz w:val="24"/>
              </w:rPr>
            </w:pPr>
          </w:p>
        </w:tc>
      </w:tr>
      <w:tr w:rsidR="006646D4" w:rsidRPr="009839A2" w14:paraId="7F2EDFF5" w14:textId="77777777" w:rsidTr="00F83F5C">
        <w:tc>
          <w:tcPr>
            <w:tcW w:w="4503" w:type="dxa"/>
            <w:gridSpan w:val="3"/>
            <w:shd w:val="clear" w:color="auto" w:fill="auto"/>
          </w:tcPr>
          <w:p w14:paraId="0DB467A9" w14:textId="77777777" w:rsidR="006646D4" w:rsidRPr="009839A2" w:rsidRDefault="009839A2" w:rsidP="001B23F3">
            <w:pPr>
              <w:jc w:val="right"/>
              <w:rPr>
                <w:sz w:val="24"/>
              </w:rPr>
            </w:pPr>
            <w:r w:rsidRPr="009839A2">
              <w:rPr>
                <w:sz w:val="24"/>
              </w:rPr>
              <w:t>Kopā</w:t>
            </w:r>
          </w:p>
        </w:tc>
        <w:tc>
          <w:tcPr>
            <w:tcW w:w="1701" w:type="dxa"/>
            <w:shd w:val="clear" w:color="auto" w:fill="auto"/>
          </w:tcPr>
          <w:p w14:paraId="5CF96727" w14:textId="77777777" w:rsidR="006646D4" w:rsidRPr="009839A2" w:rsidRDefault="00400027" w:rsidP="001B23F3">
            <w:pPr>
              <w:jc w:val="center"/>
              <w:rPr>
                <w:sz w:val="24"/>
              </w:rPr>
            </w:pPr>
            <w:r w:rsidRPr="009839A2">
              <w:rPr>
                <w:sz w:val="24"/>
              </w:rPr>
              <w:t>X</w:t>
            </w:r>
          </w:p>
        </w:tc>
        <w:tc>
          <w:tcPr>
            <w:tcW w:w="1445" w:type="dxa"/>
            <w:shd w:val="clear" w:color="auto" w:fill="auto"/>
          </w:tcPr>
          <w:p w14:paraId="66F73C2D" w14:textId="77777777" w:rsidR="006646D4" w:rsidRPr="009839A2" w:rsidRDefault="006646D4" w:rsidP="001B23F3">
            <w:pPr>
              <w:jc w:val="center"/>
              <w:rPr>
                <w:sz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35CC719A" w14:textId="77777777" w:rsidR="006646D4" w:rsidRPr="009839A2" w:rsidRDefault="006646D4" w:rsidP="001B23F3">
            <w:pPr>
              <w:rPr>
                <w:sz w:val="24"/>
              </w:rPr>
            </w:pPr>
          </w:p>
        </w:tc>
      </w:tr>
    </w:tbl>
    <w:p w14:paraId="4452B0FD" w14:textId="77777777" w:rsidR="009839A2" w:rsidRPr="00F83F5C" w:rsidRDefault="009839A2" w:rsidP="00F83F5C">
      <w:pPr>
        <w:rPr>
          <w:sz w:val="24"/>
          <w:szCs w:val="28"/>
        </w:rPr>
      </w:pPr>
    </w:p>
    <w:p w14:paraId="335CC4D5" w14:textId="77777777" w:rsidR="009839A2" w:rsidRPr="00B56B57" w:rsidRDefault="009839A2" w:rsidP="009839A2">
      <w:pPr>
        <w:rPr>
          <w:sz w:val="22"/>
          <w:szCs w:val="28"/>
        </w:rPr>
      </w:pPr>
      <w:r w:rsidRPr="00B56B57">
        <w:rPr>
          <w:sz w:val="22"/>
          <w:szCs w:val="28"/>
        </w:rPr>
        <w:t>Piezīmes.</w:t>
      </w:r>
    </w:p>
    <w:p w14:paraId="08F800F0" w14:textId="77777777" w:rsidR="006646D4" w:rsidRPr="00B56B57" w:rsidRDefault="00F83F5C" w:rsidP="009839A2">
      <w:pPr>
        <w:rPr>
          <w:bCs/>
          <w:sz w:val="22"/>
          <w:szCs w:val="24"/>
          <w:lang w:eastAsia="lv-LV"/>
        </w:rPr>
      </w:pPr>
      <w:r w:rsidRPr="00B56B57">
        <w:rPr>
          <w:bCs/>
          <w:sz w:val="22"/>
          <w:szCs w:val="24"/>
          <w:vertAlign w:val="superscript"/>
          <w:lang w:eastAsia="lv-LV"/>
        </w:rPr>
        <w:t>1</w:t>
      </w:r>
      <w:r w:rsidR="00BB2CAE" w:rsidRPr="00B56B57">
        <w:rPr>
          <w:bCs/>
          <w:sz w:val="22"/>
          <w:szCs w:val="24"/>
          <w:lang w:eastAsia="lv-LV"/>
        </w:rPr>
        <w:t> </w:t>
      </w:r>
      <w:r w:rsidR="006646D4" w:rsidRPr="00B56B57">
        <w:rPr>
          <w:bCs/>
          <w:sz w:val="22"/>
          <w:szCs w:val="24"/>
          <w:lang w:eastAsia="lv-LV"/>
        </w:rPr>
        <w:t>Alkoholisk</w:t>
      </w:r>
      <w:r w:rsidRPr="00B56B57">
        <w:rPr>
          <w:bCs/>
          <w:sz w:val="22"/>
          <w:szCs w:val="24"/>
          <w:lang w:eastAsia="lv-LV"/>
        </w:rPr>
        <w:t>o</w:t>
      </w:r>
      <w:r w:rsidR="006646D4" w:rsidRPr="00B56B57">
        <w:rPr>
          <w:bCs/>
          <w:sz w:val="22"/>
          <w:szCs w:val="24"/>
          <w:lang w:eastAsia="lv-LV"/>
        </w:rPr>
        <w:t xml:space="preserve"> dzērien</w:t>
      </w:r>
      <w:r w:rsidRPr="00B56B57">
        <w:rPr>
          <w:bCs/>
          <w:sz w:val="22"/>
          <w:szCs w:val="24"/>
          <w:lang w:eastAsia="lv-LV"/>
        </w:rPr>
        <w:t>u</w:t>
      </w:r>
      <w:r w:rsidR="006646D4" w:rsidRPr="00B56B57">
        <w:rPr>
          <w:bCs/>
          <w:sz w:val="22"/>
          <w:szCs w:val="24"/>
          <w:lang w:eastAsia="lv-LV"/>
        </w:rPr>
        <w:t xml:space="preserve"> </w:t>
      </w:r>
      <w:r w:rsidRPr="00B56B57">
        <w:rPr>
          <w:bCs/>
          <w:sz w:val="22"/>
          <w:szCs w:val="24"/>
          <w:lang w:eastAsia="lv-LV"/>
        </w:rPr>
        <w:t xml:space="preserve">iedalījums grupās </w:t>
      </w:r>
      <w:r w:rsidR="006646D4" w:rsidRPr="00B56B57">
        <w:rPr>
          <w:bCs/>
          <w:sz w:val="22"/>
          <w:szCs w:val="24"/>
          <w:lang w:eastAsia="lv-LV"/>
        </w:rPr>
        <w:t xml:space="preserve">atbilstoši akcīzes nodokļa likmei: </w:t>
      </w:r>
    </w:p>
    <w:p w14:paraId="2D48BDB2" w14:textId="77777777" w:rsidR="006646D4" w:rsidRPr="00B56B57" w:rsidRDefault="006646D4" w:rsidP="00F83F5C">
      <w:pPr>
        <w:ind w:firstLine="142"/>
        <w:rPr>
          <w:bCs/>
          <w:sz w:val="22"/>
          <w:szCs w:val="24"/>
          <w:lang w:eastAsia="lv-LV"/>
        </w:rPr>
      </w:pPr>
      <w:r w:rsidRPr="00B56B57">
        <w:rPr>
          <w:bCs/>
          <w:sz w:val="22"/>
          <w:szCs w:val="24"/>
          <w:lang w:eastAsia="lv-LV"/>
        </w:rPr>
        <w:t>2. grupa – vīns;</w:t>
      </w:r>
    </w:p>
    <w:p w14:paraId="5AA22C94" w14:textId="77777777" w:rsidR="006646D4" w:rsidRPr="00B56B57" w:rsidRDefault="00F341BD" w:rsidP="00F341BD">
      <w:pPr>
        <w:ind w:firstLine="142"/>
        <w:rPr>
          <w:bCs/>
          <w:sz w:val="22"/>
          <w:szCs w:val="24"/>
          <w:lang w:eastAsia="lv-LV"/>
        </w:rPr>
      </w:pPr>
      <w:r w:rsidRPr="00F341BD">
        <w:rPr>
          <w:bCs/>
          <w:sz w:val="22"/>
          <w:szCs w:val="24"/>
          <w:lang w:eastAsia="lv-LV"/>
        </w:rPr>
        <w:t>3.b grupa – raudzētie dzērieni ar absolūtā spirta saturu virs 6 tilpumprocentiem;</w:t>
      </w:r>
    </w:p>
    <w:p w14:paraId="1A951E95" w14:textId="77777777" w:rsidR="006646D4" w:rsidRPr="00B56B57" w:rsidRDefault="006646D4" w:rsidP="00F83F5C">
      <w:pPr>
        <w:ind w:firstLine="142"/>
        <w:rPr>
          <w:bCs/>
          <w:sz w:val="22"/>
          <w:szCs w:val="24"/>
          <w:lang w:eastAsia="lv-LV"/>
        </w:rPr>
      </w:pPr>
      <w:r w:rsidRPr="00B56B57">
        <w:rPr>
          <w:bCs/>
          <w:sz w:val="22"/>
          <w:szCs w:val="24"/>
          <w:lang w:eastAsia="lv-LV"/>
        </w:rPr>
        <w:t>4</w:t>
      </w:r>
      <w:r w:rsidR="00F83F5C" w:rsidRPr="00B56B57">
        <w:rPr>
          <w:bCs/>
          <w:sz w:val="22"/>
          <w:szCs w:val="24"/>
          <w:lang w:eastAsia="lv-LV"/>
        </w:rPr>
        <w:t>.</w:t>
      </w:r>
      <w:r w:rsidRPr="00B56B57">
        <w:rPr>
          <w:bCs/>
          <w:sz w:val="22"/>
          <w:szCs w:val="24"/>
          <w:lang w:eastAsia="lv-LV"/>
        </w:rPr>
        <w:t>a grupa</w:t>
      </w:r>
      <w:r w:rsidR="00F83F5C" w:rsidRPr="00B56B57">
        <w:rPr>
          <w:bCs/>
          <w:sz w:val="22"/>
          <w:szCs w:val="24"/>
          <w:lang w:eastAsia="lv-LV"/>
        </w:rPr>
        <w:t> </w:t>
      </w:r>
      <w:r w:rsidRPr="00B56B57">
        <w:rPr>
          <w:bCs/>
          <w:sz w:val="22"/>
          <w:szCs w:val="24"/>
          <w:lang w:eastAsia="lv-LV"/>
        </w:rPr>
        <w:t>– starpprodukti ar absolūtā spirta saturu līdz 15 tilpumprocentiem (ieskaitot);</w:t>
      </w:r>
    </w:p>
    <w:p w14:paraId="65C2F46C" w14:textId="77777777" w:rsidR="006646D4" w:rsidRPr="00B56B57" w:rsidRDefault="006646D4" w:rsidP="00B56B57">
      <w:pPr>
        <w:ind w:left="426" w:hanging="284"/>
        <w:jc w:val="both"/>
        <w:rPr>
          <w:bCs/>
          <w:sz w:val="22"/>
          <w:szCs w:val="24"/>
          <w:lang w:eastAsia="lv-LV"/>
        </w:rPr>
      </w:pPr>
      <w:r w:rsidRPr="00B56B57">
        <w:rPr>
          <w:bCs/>
          <w:spacing w:val="-2"/>
          <w:sz w:val="22"/>
          <w:szCs w:val="24"/>
          <w:lang w:eastAsia="lv-LV"/>
        </w:rPr>
        <w:t>4</w:t>
      </w:r>
      <w:r w:rsidR="00F83F5C" w:rsidRPr="00B56B57">
        <w:rPr>
          <w:bCs/>
          <w:spacing w:val="-2"/>
          <w:sz w:val="22"/>
          <w:szCs w:val="24"/>
          <w:lang w:eastAsia="lv-LV"/>
        </w:rPr>
        <w:t>.</w:t>
      </w:r>
      <w:r w:rsidRPr="00B56B57">
        <w:rPr>
          <w:bCs/>
          <w:spacing w:val="-2"/>
          <w:sz w:val="22"/>
          <w:szCs w:val="24"/>
          <w:lang w:eastAsia="lv-LV"/>
        </w:rPr>
        <w:t>b</w:t>
      </w:r>
      <w:r w:rsidR="00B56B57">
        <w:rPr>
          <w:bCs/>
          <w:spacing w:val="-2"/>
          <w:sz w:val="22"/>
          <w:szCs w:val="24"/>
          <w:lang w:eastAsia="lv-LV"/>
        </w:rPr>
        <w:t> </w:t>
      </w:r>
      <w:r w:rsidRPr="00B56B57">
        <w:rPr>
          <w:bCs/>
          <w:spacing w:val="-2"/>
          <w:sz w:val="22"/>
          <w:szCs w:val="24"/>
          <w:lang w:eastAsia="lv-LV"/>
        </w:rPr>
        <w:t>grupa</w:t>
      </w:r>
      <w:r w:rsidR="00F83F5C" w:rsidRPr="00B56B57">
        <w:rPr>
          <w:bCs/>
          <w:spacing w:val="-2"/>
          <w:sz w:val="22"/>
          <w:szCs w:val="24"/>
          <w:lang w:eastAsia="lv-LV"/>
        </w:rPr>
        <w:t> </w:t>
      </w:r>
      <w:r w:rsidRPr="00B56B57">
        <w:rPr>
          <w:bCs/>
          <w:spacing w:val="-2"/>
          <w:sz w:val="22"/>
          <w:szCs w:val="24"/>
          <w:lang w:eastAsia="lv-LV"/>
        </w:rPr>
        <w:t xml:space="preserve">– starpprodukti ar absolūtā spirta saturu </w:t>
      </w:r>
      <w:r w:rsidR="005737E0">
        <w:rPr>
          <w:bCs/>
          <w:spacing w:val="-2"/>
          <w:sz w:val="22"/>
          <w:szCs w:val="24"/>
          <w:lang w:eastAsia="lv-LV"/>
        </w:rPr>
        <w:t>virs</w:t>
      </w:r>
      <w:r w:rsidRPr="00B56B57">
        <w:rPr>
          <w:bCs/>
          <w:spacing w:val="-2"/>
          <w:sz w:val="22"/>
          <w:szCs w:val="24"/>
          <w:lang w:eastAsia="lv-LV"/>
        </w:rPr>
        <w:t xml:space="preserve"> 15 līdz</w:t>
      </w:r>
      <w:r w:rsidR="00B56B57">
        <w:rPr>
          <w:bCs/>
          <w:sz w:val="22"/>
          <w:szCs w:val="24"/>
          <w:lang w:eastAsia="lv-LV"/>
        </w:rPr>
        <w:t xml:space="preserve"> 22 </w:t>
      </w:r>
      <w:r w:rsidRPr="00B56B57">
        <w:rPr>
          <w:bCs/>
          <w:sz w:val="22"/>
          <w:szCs w:val="24"/>
          <w:lang w:eastAsia="lv-LV"/>
        </w:rPr>
        <w:t>tilpumprocentiem (ieskaitot);</w:t>
      </w:r>
    </w:p>
    <w:p w14:paraId="0327B937" w14:textId="77777777" w:rsidR="006646D4" w:rsidRDefault="006646D4" w:rsidP="00F83F5C">
      <w:pPr>
        <w:ind w:firstLine="142"/>
        <w:rPr>
          <w:bCs/>
          <w:sz w:val="22"/>
          <w:szCs w:val="24"/>
          <w:lang w:eastAsia="lv-LV"/>
        </w:rPr>
      </w:pPr>
      <w:r w:rsidRPr="00B56B57">
        <w:rPr>
          <w:bCs/>
          <w:sz w:val="22"/>
          <w:szCs w:val="24"/>
          <w:lang w:eastAsia="lv-LV"/>
        </w:rPr>
        <w:t xml:space="preserve">5. grupa </w:t>
      </w:r>
      <w:r w:rsidR="00536B0A">
        <w:rPr>
          <w:bCs/>
          <w:sz w:val="22"/>
          <w:szCs w:val="24"/>
          <w:lang w:eastAsia="lv-LV"/>
        </w:rPr>
        <w:t>– pārējie alkoholiskie dzērieni;</w:t>
      </w:r>
    </w:p>
    <w:p w14:paraId="25F92EA0" w14:textId="77777777" w:rsidR="006B1CAB" w:rsidRPr="006B1CAB" w:rsidRDefault="006B1CAB" w:rsidP="00F83F5C">
      <w:pPr>
        <w:ind w:firstLine="142"/>
        <w:rPr>
          <w:bCs/>
          <w:sz w:val="22"/>
          <w:szCs w:val="22"/>
          <w:lang w:eastAsia="lv-LV"/>
        </w:rPr>
      </w:pPr>
      <w:r w:rsidRPr="006B1CAB">
        <w:rPr>
          <w:sz w:val="22"/>
          <w:szCs w:val="22"/>
        </w:rPr>
        <w:t>5.m grupa – pārējie alkoholiskie dzērieni, kas saražoti mazajā alkoholisko dzērienu darītavā</w:t>
      </w:r>
      <w:r w:rsidR="00536B0A">
        <w:rPr>
          <w:sz w:val="22"/>
          <w:szCs w:val="22"/>
        </w:rPr>
        <w:t>.</w:t>
      </w:r>
    </w:p>
    <w:p w14:paraId="637E7A14" w14:textId="77777777" w:rsidR="007673F4" w:rsidRPr="002A4FD8" w:rsidRDefault="00F83F5C" w:rsidP="002A4FD8">
      <w:pPr>
        <w:rPr>
          <w:bCs/>
          <w:sz w:val="22"/>
          <w:szCs w:val="24"/>
          <w:lang w:eastAsia="lv-LV"/>
        </w:rPr>
      </w:pPr>
      <w:r w:rsidRPr="00B56B57">
        <w:rPr>
          <w:bCs/>
          <w:sz w:val="22"/>
          <w:szCs w:val="24"/>
          <w:vertAlign w:val="superscript"/>
          <w:lang w:eastAsia="lv-LV"/>
        </w:rPr>
        <w:t>2</w:t>
      </w:r>
      <w:r w:rsidR="00BB2CAE" w:rsidRPr="00B56B57">
        <w:rPr>
          <w:bCs/>
          <w:sz w:val="22"/>
          <w:szCs w:val="24"/>
          <w:lang w:eastAsia="lv-LV"/>
        </w:rPr>
        <w:t> </w:t>
      </w:r>
      <w:r w:rsidR="006646D4" w:rsidRPr="00B56B57">
        <w:rPr>
          <w:bCs/>
          <w:sz w:val="22"/>
          <w:szCs w:val="24"/>
          <w:lang w:eastAsia="lv-LV"/>
        </w:rPr>
        <w:t>Absolūtā spirta satur</w:t>
      </w:r>
      <w:r w:rsidRPr="00B56B57">
        <w:rPr>
          <w:bCs/>
          <w:sz w:val="22"/>
          <w:szCs w:val="24"/>
          <w:lang w:eastAsia="lv-LV"/>
        </w:rPr>
        <w:t xml:space="preserve">u </w:t>
      </w:r>
      <w:r w:rsidR="006646D4" w:rsidRPr="00B56B57">
        <w:rPr>
          <w:bCs/>
          <w:sz w:val="22"/>
          <w:szCs w:val="24"/>
          <w:lang w:eastAsia="lv-LV"/>
        </w:rPr>
        <w:t>tilpumprocentos norād</w:t>
      </w:r>
      <w:r w:rsidRPr="00B56B57">
        <w:rPr>
          <w:bCs/>
          <w:sz w:val="22"/>
          <w:szCs w:val="24"/>
          <w:lang w:eastAsia="lv-LV"/>
        </w:rPr>
        <w:t>a</w:t>
      </w:r>
      <w:r w:rsidR="006646D4" w:rsidRPr="00B56B57">
        <w:rPr>
          <w:bCs/>
          <w:sz w:val="22"/>
          <w:szCs w:val="24"/>
          <w:lang w:eastAsia="lv-LV"/>
        </w:rPr>
        <w:t xml:space="preserve"> tikai </w:t>
      </w:r>
      <w:r w:rsidR="006B1CAB" w:rsidRPr="006B1CAB">
        <w:rPr>
          <w:sz w:val="22"/>
          <w:szCs w:val="22"/>
        </w:rPr>
        <w:t>5. un 5.m grupai</w:t>
      </w:r>
      <w:r w:rsidR="00D2306C" w:rsidRPr="00B56B57">
        <w:rPr>
          <w:bCs/>
          <w:sz w:val="22"/>
          <w:szCs w:val="24"/>
          <w:lang w:eastAsia="lv-LV"/>
        </w:rPr>
        <w:t>.</w:t>
      </w:r>
    </w:p>
    <w:p w14:paraId="061E4CD4" w14:textId="77777777" w:rsidR="0048546D" w:rsidRDefault="0048546D" w:rsidP="007673F4">
      <w:pPr>
        <w:tabs>
          <w:tab w:val="left" w:pos="6840"/>
        </w:tabs>
        <w:ind w:firstLine="720"/>
        <w:jc w:val="both"/>
        <w:rPr>
          <w:sz w:val="28"/>
          <w:szCs w:val="28"/>
        </w:rPr>
      </w:pPr>
    </w:p>
    <w:sectPr w:rsidR="0048546D" w:rsidSect="001B23F3">
      <w:headerReference w:type="default" r:id="rId8"/>
      <w:footerReference w:type="default" r:id="rId9"/>
      <w:foot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30CA5" w14:textId="77777777" w:rsidR="00680357" w:rsidRDefault="00680357" w:rsidP="00DB34F7">
      <w:r>
        <w:separator/>
      </w:r>
    </w:p>
  </w:endnote>
  <w:endnote w:type="continuationSeparator" w:id="0">
    <w:p w14:paraId="025DA36D" w14:textId="77777777" w:rsidR="00680357" w:rsidRDefault="00680357" w:rsidP="00DB3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F1B7F" w14:textId="77777777" w:rsidR="00F55C1B" w:rsidRDefault="00F55C1B" w:rsidP="00E15D89">
    <w:pPr>
      <w:pStyle w:val="Footer"/>
      <w:jc w:val="both"/>
      <w:rPr>
        <w:lang w:val="de-DE"/>
      </w:rPr>
    </w:pPr>
  </w:p>
  <w:p w14:paraId="460EA2BD" w14:textId="77777777" w:rsidR="00F55C1B" w:rsidRPr="00852946" w:rsidRDefault="00F55C1B" w:rsidP="00852946">
    <w:pPr>
      <w:pStyle w:val="Footer"/>
      <w:jc w:val="both"/>
      <w:rPr>
        <w:lang w:val="de-DE"/>
      </w:rPr>
    </w:pPr>
    <w:r w:rsidRPr="00E15D89">
      <w:rPr>
        <w:lang w:val="de-DE"/>
      </w:rPr>
      <w:t>FMNot_</w:t>
    </w:r>
    <w:r w:rsidR="00723B58">
      <w:rPr>
        <w:lang w:val="de-DE"/>
      </w:rPr>
      <w:t>2301</w:t>
    </w:r>
    <w:r w:rsidR="00723B58" w:rsidRPr="00E15D89">
      <w:rPr>
        <w:lang w:val="de-DE"/>
      </w:rPr>
      <w:t>1</w:t>
    </w:r>
    <w:r w:rsidR="00723B58">
      <w:rPr>
        <w:lang w:val="de-DE"/>
      </w:rPr>
      <w:t>5</w:t>
    </w:r>
    <w:r w:rsidRPr="00E15D89">
      <w:rPr>
        <w:lang w:val="de-DE"/>
      </w:rPr>
      <w:t>_markesana; Ministru kabineta noteikumu projekts “Kārtība, kādā alkoholiskos dzērienus un tabakas izstrādājumus m</w:t>
    </w:r>
    <w:r>
      <w:rPr>
        <w:lang w:val="de-DE"/>
      </w:rPr>
      <w:t>arķē ar akcīzes nodokļa markām”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97BF0" w14:textId="77777777" w:rsidR="00F55C1B" w:rsidRPr="0071117D" w:rsidRDefault="0071117D" w:rsidP="00D8791E">
    <w:pPr>
      <w:pStyle w:val="Footer"/>
      <w:jc w:val="both"/>
      <w:rPr>
        <w:sz w:val="16"/>
        <w:szCs w:val="16"/>
        <w:lang w:val="en-US"/>
      </w:rPr>
    </w:pPr>
    <w:r>
      <w:rPr>
        <w:sz w:val="16"/>
        <w:szCs w:val="16"/>
        <w:lang w:val="en-US"/>
      </w:rPr>
      <w:t>FMNot_p1_2021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60248" w14:textId="77777777" w:rsidR="00680357" w:rsidRDefault="00680357" w:rsidP="00DB34F7">
      <w:r>
        <w:separator/>
      </w:r>
    </w:p>
  </w:footnote>
  <w:footnote w:type="continuationSeparator" w:id="0">
    <w:p w14:paraId="1DD72660" w14:textId="77777777" w:rsidR="00680357" w:rsidRDefault="00680357" w:rsidP="00DB3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89289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045C9C" w14:textId="77777777" w:rsidR="00F55C1B" w:rsidRDefault="000F3843">
        <w:pPr>
          <w:pStyle w:val="Header"/>
          <w:jc w:val="center"/>
        </w:pPr>
        <w:r>
          <w:fldChar w:fldCharType="begin"/>
        </w:r>
        <w:r w:rsidR="00F55C1B">
          <w:instrText xml:space="preserve"> PAGE   \* MERGEFORMAT </w:instrText>
        </w:r>
        <w:r>
          <w:fldChar w:fldCharType="separate"/>
        </w:r>
        <w:r w:rsidR="003912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61A5FD" w14:textId="77777777" w:rsidR="00F55C1B" w:rsidRDefault="00F55C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vestnesis.lv/wwwraksti/BILDES/KVADRATS.GIF" style="width:9.9pt;height:9.9pt;visibility:visible" o:bullet="t">
        <v:imagedata r:id="rId1" o:title="KVADRATS"/>
      </v:shape>
    </w:pict>
  </w:numPicBullet>
  <w:abstractNum w:abstractNumId="0" w15:restartNumberingAfterBreak="0">
    <w:nsid w:val="2C614A70"/>
    <w:multiLevelType w:val="hybridMultilevel"/>
    <w:tmpl w:val="EF10C5D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B222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DFF4197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4CA6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C60FD9"/>
    <w:multiLevelType w:val="hybridMultilevel"/>
    <w:tmpl w:val="72D2598C"/>
    <w:lvl w:ilvl="0" w:tplc="3A1459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852A6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BD"/>
    <w:rsid w:val="00000C02"/>
    <w:rsid w:val="0000406A"/>
    <w:rsid w:val="00014A4E"/>
    <w:rsid w:val="000268BD"/>
    <w:rsid w:val="00031077"/>
    <w:rsid w:val="00043D69"/>
    <w:rsid w:val="00047B99"/>
    <w:rsid w:val="00061F12"/>
    <w:rsid w:val="00072851"/>
    <w:rsid w:val="00076B06"/>
    <w:rsid w:val="00083724"/>
    <w:rsid w:val="00092A2A"/>
    <w:rsid w:val="000B5884"/>
    <w:rsid w:val="000B5BE1"/>
    <w:rsid w:val="000C44C7"/>
    <w:rsid w:val="000D4945"/>
    <w:rsid w:val="000E529C"/>
    <w:rsid w:val="000F3843"/>
    <w:rsid w:val="0010219C"/>
    <w:rsid w:val="0012433A"/>
    <w:rsid w:val="00147992"/>
    <w:rsid w:val="001517C1"/>
    <w:rsid w:val="0016073E"/>
    <w:rsid w:val="00165856"/>
    <w:rsid w:val="001705B5"/>
    <w:rsid w:val="001743F9"/>
    <w:rsid w:val="00176EF4"/>
    <w:rsid w:val="001772AE"/>
    <w:rsid w:val="001803A2"/>
    <w:rsid w:val="00181735"/>
    <w:rsid w:val="001946A3"/>
    <w:rsid w:val="00194CBF"/>
    <w:rsid w:val="00195D15"/>
    <w:rsid w:val="001B23F3"/>
    <w:rsid w:val="001B6387"/>
    <w:rsid w:val="001B729F"/>
    <w:rsid w:val="001C7DE1"/>
    <w:rsid w:val="001E72E1"/>
    <w:rsid w:val="00213598"/>
    <w:rsid w:val="00213A36"/>
    <w:rsid w:val="00214907"/>
    <w:rsid w:val="00215CF0"/>
    <w:rsid w:val="002252DE"/>
    <w:rsid w:val="002310E1"/>
    <w:rsid w:val="0023602E"/>
    <w:rsid w:val="00236578"/>
    <w:rsid w:val="0024350E"/>
    <w:rsid w:val="002458B8"/>
    <w:rsid w:val="002477D5"/>
    <w:rsid w:val="0025605B"/>
    <w:rsid w:val="0026073D"/>
    <w:rsid w:val="00261B2B"/>
    <w:rsid w:val="00266393"/>
    <w:rsid w:val="00266B6D"/>
    <w:rsid w:val="002971C1"/>
    <w:rsid w:val="002A4FD8"/>
    <w:rsid w:val="002B2CC5"/>
    <w:rsid w:val="002C246B"/>
    <w:rsid w:val="002C27D9"/>
    <w:rsid w:val="002D4FDA"/>
    <w:rsid w:val="002E008F"/>
    <w:rsid w:val="002E48B1"/>
    <w:rsid w:val="00316EAB"/>
    <w:rsid w:val="00330C8F"/>
    <w:rsid w:val="003350C4"/>
    <w:rsid w:val="00341B86"/>
    <w:rsid w:val="00354672"/>
    <w:rsid w:val="00366453"/>
    <w:rsid w:val="003739C2"/>
    <w:rsid w:val="00375ED7"/>
    <w:rsid w:val="00376AD6"/>
    <w:rsid w:val="00391281"/>
    <w:rsid w:val="00394BB0"/>
    <w:rsid w:val="003A22DD"/>
    <w:rsid w:val="003A5187"/>
    <w:rsid w:val="003C6D80"/>
    <w:rsid w:val="003D61DC"/>
    <w:rsid w:val="003E5B25"/>
    <w:rsid w:val="003E6D55"/>
    <w:rsid w:val="003F2CFA"/>
    <w:rsid w:val="00400027"/>
    <w:rsid w:val="00406908"/>
    <w:rsid w:val="004100F6"/>
    <w:rsid w:val="004108D1"/>
    <w:rsid w:val="004162AC"/>
    <w:rsid w:val="0042580E"/>
    <w:rsid w:val="00431021"/>
    <w:rsid w:val="004323F2"/>
    <w:rsid w:val="00441BB3"/>
    <w:rsid w:val="004526F4"/>
    <w:rsid w:val="00453218"/>
    <w:rsid w:val="004558EA"/>
    <w:rsid w:val="00456DF2"/>
    <w:rsid w:val="00472A3F"/>
    <w:rsid w:val="00480999"/>
    <w:rsid w:val="0048546D"/>
    <w:rsid w:val="00485FFD"/>
    <w:rsid w:val="00486687"/>
    <w:rsid w:val="00487B8E"/>
    <w:rsid w:val="0049022A"/>
    <w:rsid w:val="004916A4"/>
    <w:rsid w:val="004950F1"/>
    <w:rsid w:val="004A2FBF"/>
    <w:rsid w:val="004A3D2A"/>
    <w:rsid w:val="004A3ED1"/>
    <w:rsid w:val="004A5F47"/>
    <w:rsid w:val="004C639E"/>
    <w:rsid w:val="004D689D"/>
    <w:rsid w:val="004E51CA"/>
    <w:rsid w:val="004F6781"/>
    <w:rsid w:val="0050304A"/>
    <w:rsid w:val="00516B1E"/>
    <w:rsid w:val="00527F1B"/>
    <w:rsid w:val="00536B0A"/>
    <w:rsid w:val="00550A29"/>
    <w:rsid w:val="00556B37"/>
    <w:rsid w:val="005669AA"/>
    <w:rsid w:val="005737E0"/>
    <w:rsid w:val="00577C17"/>
    <w:rsid w:val="00592DB0"/>
    <w:rsid w:val="00595422"/>
    <w:rsid w:val="005C2093"/>
    <w:rsid w:val="005C42C2"/>
    <w:rsid w:val="005D1BCE"/>
    <w:rsid w:val="005E23A3"/>
    <w:rsid w:val="005E53AC"/>
    <w:rsid w:val="005F42E9"/>
    <w:rsid w:val="00606B1C"/>
    <w:rsid w:val="006141AD"/>
    <w:rsid w:val="00614942"/>
    <w:rsid w:val="00620618"/>
    <w:rsid w:val="00624F03"/>
    <w:rsid w:val="00633758"/>
    <w:rsid w:val="006458C9"/>
    <w:rsid w:val="006478BA"/>
    <w:rsid w:val="00651B6D"/>
    <w:rsid w:val="0065387C"/>
    <w:rsid w:val="00655131"/>
    <w:rsid w:val="006646D4"/>
    <w:rsid w:val="00666BCB"/>
    <w:rsid w:val="006755E3"/>
    <w:rsid w:val="00677C42"/>
    <w:rsid w:val="00680357"/>
    <w:rsid w:val="00683634"/>
    <w:rsid w:val="0069195F"/>
    <w:rsid w:val="006A48BC"/>
    <w:rsid w:val="006A4A60"/>
    <w:rsid w:val="006A6AF0"/>
    <w:rsid w:val="006B0004"/>
    <w:rsid w:val="006B0CF2"/>
    <w:rsid w:val="006B1CAB"/>
    <w:rsid w:val="00700667"/>
    <w:rsid w:val="00700C62"/>
    <w:rsid w:val="00701DE2"/>
    <w:rsid w:val="00703D17"/>
    <w:rsid w:val="0071117D"/>
    <w:rsid w:val="00712ADC"/>
    <w:rsid w:val="00715958"/>
    <w:rsid w:val="00723B58"/>
    <w:rsid w:val="00732773"/>
    <w:rsid w:val="007439F2"/>
    <w:rsid w:val="007460C0"/>
    <w:rsid w:val="00754638"/>
    <w:rsid w:val="00763222"/>
    <w:rsid w:val="007673F4"/>
    <w:rsid w:val="00783C2E"/>
    <w:rsid w:val="0078520B"/>
    <w:rsid w:val="00787854"/>
    <w:rsid w:val="007A00D9"/>
    <w:rsid w:val="007A1432"/>
    <w:rsid w:val="007A15FF"/>
    <w:rsid w:val="007A526B"/>
    <w:rsid w:val="007B036C"/>
    <w:rsid w:val="007B2B7F"/>
    <w:rsid w:val="007B380D"/>
    <w:rsid w:val="007D1B1F"/>
    <w:rsid w:val="007D4839"/>
    <w:rsid w:val="007D4DC4"/>
    <w:rsid w:val="007D5710"/>
    <w:rsid w:val="007D5858"/>
    <w:rsid w:val="007D585A"/>
    <w:rsid w:val="007E561B"/>
    <w:rsid w:val="008114CC"/>
    <w:rsid w:val="0081152E"/>
    <w:rsid w:val="008144BB"/>
    <w:rsid w:val="00815874"/>
    <w:rsid w:val="008270C3"/>
    <w:rsid w:val="0083300F"/>
    <w:rsid w:val="0083587D"/>
    <w:rsid w:val="00836B11"/>
    <w:rsid w:val="00851BA0"/>
    <w:rsid w:val="00852946"/>
    <w:rsid w:val="00861C71"/>
    <w:rsid w:val="008734D8"/>
    <w:rsid w:val="0087495A"/>
    <w:rsid w:val="00877C93"/>
    <w:rsid w:val="0088630C"/>
    <w:rsid w:val="00887CA0"/>
    <w:rsid w:val="008B630D"/>
    <w:rsid w:val="008B6D81"/>
    <w:rsid w:val="008C690C"/>
    <w:rsid w:val="008D3B0C"/>
    <w:rsid w:val="008F553B"/>
    <w:rsid w:val="008F6F36"/>
    <w:rsid w:val="00906F7B"/>
    <w:rsid w:val="00916218"/>
    <w:rsid w:val="00925005"/>
    <w:rsid w:val="00927870"/>
    <w:rsid w:val="00933C13"/>
    <w:rsid w:val="00942DA8"/>
    <w:rsid w:val="00945A54"/>
    <w:rsid w:val="00957A41"/>
    <w:rsid w:val="00967089"/>
    <w:rsid w:val="009744E3"/>
    <w:rsid w:val="009839A2"/>
    <w:rsid w:val="009901DE"/>
    <w:rsid w:val="00996F51"/>
    <w:rsid w:val="009A137E"/>
    <w:rsid w:val="009A6338"/>
    <w:rsid w:val="009B1F5B"/>
    <w:rsid w:val="009B31B2"/>
    <w:rsid w:val="009C0CC6"/>
    <w:rsid w:val="009D19CC"/>
    <w:rsid w:val="009E1B4D"/>
    <w:rsid w:val="009F2383"/>
    <w:rsid w:val="009F66B6"/>
    <w:rsid w:val="00A054F2"/>
    <w:rsid w:val="00A218AF"/>
    <w:rsid w:val="00A3285F"/>
    <w:rsid w:val="00A35E02"/>
    <w:rsid w:val="00A41439"/>
    <w:rsid w:val="00A42C3B"/>
    <w:rsid w:val="00A560EC"/>
    <w:rsid w:val="00A6766C"/>
    <w:rsid w:val="00A702C1"/>
    <w:rsid w:val="00A7039E"/>
    <w:rsid w:val="00A71973"/>
    <w:rsid w:val="00A71DA7"/>
    <w:rsid w:val="00A725B0"/>
    <w:rsid w:val="00A801DB"/>
    <w:rsid w:val="00A861DE"/>
    <w:rsid w:val="00A96E62"/>
    <w:rsid w:val="00AB05A3"/>
    <w:rsid w:val="00AB412E"/>
    <w:rsid w:val="00AC5F52"/>
    <w:rsid w:val="00AD3D1E"/>
    <w:rsid w:val="00AD6FAB"/>
    <w:rsid w:val="00AD77CE"/>
    <w:rsid w:val="00AF25AE"/>
    <w:rsid w:val="00AF665C"/>
    <w:rsid w:val="00B02421"/>
    <w:rsid w:val="00B25F44"/>
    <w:rsid w:val="00B33C39"/>
    <w:rsid w:val="00B43357"/>
    <w:rsid w:val="00B507A9"/>
    <w:rsid w:val="00B52E1B"/>
    <w:rsid w:val="00B56B57"/>
    <w:rsid w:val="00B72314"/>
    <w:rsid w:val="00B727DE"/>
    <w:rsid w:val="00B73FF8"/>
    <w:rsid w:val="00B832B5"/>
    <w:rsid w:val="00B85176"/>
    <w:rsid w:val="00BA0E26"/>
    <w:rsid w:val="00BA3346"/>
    <w:rsid w:val="00BB2CAE"/>
    <w:rsid w:val="00BC365E"/>
    <w:rsid w:val="00BC541A"/>
    <w:rsid w:val="00BE4535"/>
    <w:rsid w:val="00C003AF"/>
    <w:rsid w:val="00C05ADF"/>
    <w:rsid w:val="00C07684"/>
    <w:rsid w:val="00C20642"/>
    <w:rsid w:val="00C24BBF"/>
    <w:rsid w:val="00C31AAE"/>
    <w:rsid w:val="00C42AF6"/>
    <w:rsid w:val="00C520E0"/>
    <w:rsid w:val="00C91CAE"/>
    <w:rsid w:val="00C91CF8"/>
    <w:rsid w:val="00C94AA0"/>
    <w:rsid w:val="00CB10EB"/>
    <w:rsid w:val="00CC4634"/>
    <w:rsid w:val="00CD391D"/>
    <w:rsid w:val="00CD5003"/>
    <w:rsid w:val="00CD5246"/>
    <w:rsid w:val="00D01DD1"/>
    <w:rsid w:val="00D10FDC"/>
    <w:rsid w:val="00D1344B"/>
    <w:rsid w:val="00D138D0"/>
    <w:rsid w:val="00D21D76"/>
    <w:rsid w:val="00D2306C"/>
    <w:rsid w:val="00D239E4"/>
    <w:rsid w:val="00D3054D"/>
    <w:rsid w:val="00D33A2E"/>
    <w:rsid w:val="00D3624B"/>
    <w:rsid w:val="00D37DB3"/>
    <w:rsid w:val="00D443DD"/>
    <w:rsid w:val="00D468CC"/>
    <w:rsid w:val="00D47BCF"/>
    <w:rsid w:val="00D506B9"/>
    <w:rsid w:val="00D5193E"/>
    <w:rsid w:val="00D53EFE"/>
    <w:rsid w:val="00D57BA7"/>
    <w:rsid w:val="00D62515"/>
    <w:rsid w:val="00D64B59"/>
    <w:rsid w:val="00D653A9"/>
    <w:rsid w:val="00D6607D"/>
    <w:rsid w:val="00D74D89"/>
    <w:rsid w:val="00D83C13"/>
    <w:rsid w:val="00D8791E"/>
    <w:rsid w:val="00D95A9D"/>
    <w:rsid w:val="00D965D0"/>
    <w:rsid w:val="00D971A2"/>
    <w:rsid w:val="00DA07E7"/>
    <w:rsid w:val="00DA4611"/>
    <w:rsid w:val="00DA527B"/>
    <w:rsid w:val="00DB027D"/>
    <w:rsid w:val="00DB34F7"/>
    <w:rsid w:val="00DB5533"/>
    <w:rsid w:val="00DC3341"/>
    <w:rsid w:val="00DC3B95"/>
    <w:rsid w:val="00DE2D5F"/>
    <w:rsid w:val="00DE6F09"/>
    <w:rsid w:val="00DF2D87"/>
    <w:rsid w:val="00E03A0F"/>
    <w:rsid w:val="00E15D89"/>
    <w:rsid w:val="00E301FA"/>
    <w:rsid w:val="00E31261"/>
    <w:rsid w:val="00E64AAF"/>
    <w:rsid w:val="00E76E66"/>
    <w:rsid w:val="00E77222"/>
    <w:rsid w:val="00E91C67"/>
    <w:rsid w:val="00E93CC4"/>
    <w:rsid w:val="00E944D6"/>
    <w:rsid w:val="00EB5227"/>
    <w:rsid w:val="00ED0BD2"/>
    <w:rsid w:val="00ED2FA6"/>
    <w:rsid w:val="00ED4AC1"/>
    <w:rsid w:val="00EE516A"/>
    <w:rsid w:val="00EF0B8F"/>
    <w:rsid w:val="00EF5644"/>
    <w:rsid w:val="00F11DE1"/>
    <w:rsid w:val="00F341BD"/>
    <w:rsid w:val="00F36F65"/>
    <w:rsid w:val="00F55C1B"/>
    <w:rsid w:val="00F64A40"/>
    <w:rsid w:val="00F73883"/>
    <w:rsid w:val="00F73D41"/>
    <w:rsid w:val="00F75573"/>
    <w:rsid w:val="00F83F5C"/>
    <w:rsid w:val="00F911F9"/>
    <w:rsid w:val="00FC095F"/>
    <w:rsid w:val="00FF4551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88D350"/>
  <w15:docId w15:val="{244EA823-1027-4AF3-96EF-1C8C5BFB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24"/>
    <w:rPr>
      <w:rFonts w:eastAsia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8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083724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6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83724"/>
    <w:rPr>
      <w:rFonts w:eastAsia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083724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083724"/>
    <w:rPr>
      <w:rFonts w:eastAsia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08372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81587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7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7854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6D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46D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6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D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34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4F7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DB34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B34F7"/>
    <w:rPr>
      <w:rFonts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6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A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AA"/>
    <w:rPr>
      <w:rFonts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30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33758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159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859F-26F2-44A4-BDCD-680B6FAF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927</Words>
  <Characters>529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projekts</vt:lpstr>
    </vt:vector>
  </TitlesOfParts>
  <Company>Valsts ieņēmumu dienests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</dc:title>
  <dc:subject>pielikums1</dc:subject>
  <dc:creator>Mairita Damberga</dc:creator>
  <dc:description>67120150, Mairita.Damberga@vid.gov.lv</dc:description>
  <cp:lastModifiedBy>Inguna Dancīte</cp:lastModifiedBy>
  <cp:revision>2</cp:revision>
  <cp:lastPrinted>2015-05-20T09:34:00Z</cp:lastPrinted>
  <dcterms:created xsi:type="dcterms:W3CDTF">2021-05-17T07:34:00Z</dcterms:created>
  <dcterms:modified xsi:type="dcterms:W3CDTF">2021-05-17T07:34:00Z</dcterms:modified>
</cp:coreProperties>
</file>