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0D902" w14:textId="77777777" w:rsidR="009D3044" w:rsidRPr="005F7428" w:rsidRDefault="009D3044" w:rsidP="009D3044">
      <w:pPr>
        <w:spacing w:after="0" w:line="240" w:lineRule="auto"/>
        <w:jc w:val="center"/>
        <w:rPr>
          <w:rFonts w:cs="Times New Roman"/>
          <w:b/>
          <w:sz w:val="32"/>
          <w:szCs w:val="32"/>
        </w:rPr>
      </w:pPr>
    </w:p>
    <w:p w14:paraId="4002078E" w14:textId="77777777" w:rsidR="009D3044" w:rsidRPr="005F7428" w:rsidRDefault="009D3044" w:rsidP="009D3044">
      <w:pPr>
        <w:spacing w:after="0" w:line="240" w:lineRule="auto"/>
        <w:jc w:val="center"/>
        <w:rPr>
          <w:rFonts w:cs="Times New Roman"/>
          <w:b/>
          <w:sz w:val="32"/>
          <w:szCs w:val="32"/>
        </w:rPr>
      </w:pPr>
    </w:p>
    <w:p w14:paraId="28E8A6BB" w14:textId="77777777" w:rsidR="009D3044" w:rsidRPr="005F7428" w:rsidRDefault="009D3044" w:rsidP="009D3044">
      <w:pPr>
        <w:spacing w:after="0" w:line="240" w:lineRule="auto"/>
        <w:jc w:val="center"/>
        <w:rPr>
          <w:rFonts w:cs="Times New Roman"/>
          <w:b/>
          <w:sz w:val="32"/>
          <w:szCs w:val="32"/>
        </w:rPr>
      </w:pPr>
    </w:p>
    <w:p w14:paraId="00512D1A" w14:textId="77777777" w:rsidR="009D3044" w:rsidRPr="005F7428" w:rsidRDefault="009D3044" w:rsidP="009D3044">
      <w:pPr>
        <w:spacing w:after="0" w:line="240" w:lineRule="auto"/>
        <w:jc w:val="center"/>
        <w:rPr>
          <w:rFonts w:cs="Times New Roman"/>
          <w:b/>
          <w:sz w:val="32"/>
          <w:szCs w:val="32"/>
        </w:rPr>
      </w:pPr>
    </w:p>
    <w:p w14:paraId="453BF7C4" w14:textId="77777777" w:rsidR="009D3044" w:rsidRPr="005F7428" w:rsidRDefault="009D3044" w:rsidP="009D3044">
      <w:pPr>
        <w:spacing w:after="0" w:line="240" w:lineRule="auto"/>
        <w:jc w:val="center"/>
        <w:rPr>
          <w:rFonts w:cs="Times New Roman"/>
          <w:b/>
          <w:sz w:val="32"/>
          <w:szCs w:val="32"/>
        </w:rPr>
      </w:pPr>
    </w:p>
    <w:p w14:paraId="289CF252" w14:textId="77777777" w:rsidR="009D3044" w:rsidRPr="005F7428" w:rsidRDefault="009D3044" w:rsidP="009D3044">
      <w:pPr>
        <w:spacing w:after="0" w:line="240" w:lineRule="auto"/>
        <w:jc w:val="center"/>
        <w:rPr>
          <w:rFonts w:cs="Times New Roman"/>
          <w:b/>
          <w:sz w:val="32"/>
          <w:szCs w:val="32"/>
        </w:rPr>
      </w:pPr>
    </w:p>
    <w:p w14:paraId="28090D08" w14:textId="77777777" w:rsidR="009D3044" w:rsidRPr="005F7428" w:rsidRDefault="009D3044" w:rsidP="009D3044">
      <w:pPr>
        <w:spacing w:after="0" w:line="240" w:lineRule="auto"/>
        <w:jc w:val="center"/>
        <w:rPr>
          <w:rFonts w:cs="Times New Roman"/>
          <w:b/>
          <w:sz w:val="32"/>
          <w:szCs w:val="32"/>
        </w:rPr>
      </w:pPr>
    </w:p>
    <w:p w14:paraId="7E45AC31" w14:textId="40ED3AD4" w:rsidR="009D3044" w:rsidRPr="005F7428" w:rsidRDefault="2B4B58A6" w:rsidP="42ED0BA5">
      <w:pPr>
        <w:spacing w:after="0" w:line="240" w:lineRule="auto"/>
        <w:jc w:val="center"/>
        <w:rPr>
          <w:rFonts w:cs="Times New Roman"/>
          <w:b/>
          <w:bCs/>
          <w:sz w:val="32"/>
          <w:szCs w:val="32"/>
        </w:rPr>
      </w:pPr>
      <w:r w:rsidRPr="42ED0BA5">
        <w:rPr>
          <w:rFonts w:cs="Times New Roman"/>
          <w:b/>
          <w:bCs/>
          <w:sz w:val="32"/>
          <w:szCs w:val="32"/>
        </w:rPr>
        <w:t xml:space="preserve"> </w:t>
      </w:r>
    </w:p>
    <w:p w14:paraId="51EBCE28" w14:textId="77777777" w:rsidR="009D3044" w:rsidRPr="005F7428" w:rsidRDefault="009D3044" w:rsidP="009D3044">
      <w:pPr>
        <w:spacing w:after="0" w:line="240" w:lineRule="auto"/>
        <w:jc w:val="center"/>
        <w:rPr>
          <w:rFonts w:cs="Times New Roman"/>
          <w:b/>
          <w:sz w:val="32"/>
          <w:szCs w:val="32"/>
        </w:rPr>
      </w:pPr>
    </w:p>
    <w:p w14:paraId="5E50C632" w14:textId="77777777" w:rsidR="009947D5" w:rsidRPr="005F7428" w:rsidRDefault="00850DAA" w:rsidP="009D3044">
      <w:pPr>
        <w:spacing w:after="0" w:line="240" w:lineRule="auto"/>
        <w:jc w:val="center"/>
        <w:rPr>
          <w:rFonts w:cs="Times New Roman"/>
          <w:b/>
          <w:sz w:val="32"/>
          <w:szCs w:val="32"/>
        </w:rPr>
      </w:pPr>
      <w:r w:rsidRPr="005F7428">
        <w:rPr>
          <w:rFonts w:cs="Times New Roman"/>
          <w:b/>
          <w:sz w:val="32"/>
          <w:szCs w:val="32"/>
        </w:rPr>
        <w:t>Informatīvais ziņojums</w:t>
      </w:r>
    </w:p>
    <w:p w14:paraId="5BD05B0E" w14:textId="5582FDD0" w:rsidR="0038752F" w:rsidRPr="005F7428" w:rsidRDefault="009D3044" w:rsidP="009D3044">
      <w:pPr>
        <w:spacing w:after="0" w:line="240" w:lineRule="auto"/>
        <w:jc w:val="center"/>
        <w:rPr>
          <w:rFonts w:cs="Times New Roman"/>
          <w:b/>
          <w:sz w:val="32"/>
          <w:szCs w:val="32"/>
        </w:rPr>
      </w:pPr>
      <w:r w:rsidRPr="005F7428">
        <w:rPr>
          <w:rFonts w:cs="Times New Roman"/>
          <w:b/>
          <w:sz w:val="32"/>
          <w:szCs w:val="32"/>
        </w:rPr>
        <w:t>“</w:t>
      </w:r>
      <w:r w:rsidR="00790615">
        <w:rPr>
          <w:rFonts w:cs="Times New Roman"/>
          <w:b/>
          <w:sz w:val="32"/>
          <w:szCs w:val="32"/>
        </w:rPr>
        <w:t>Par attaisnojuma</w:t>
      </w:r>
      <w:r w:rsidR="0038752F" w:rsidRPr="005F7428">
        <w:rPr>
          <w:rFonts w:cs="Times New Roman"/>
          <w:b/>
          <w:sz w:val="32"/>
          <w:szCs w:val="32"/>
        </w:rPr>
        <w:t xml:space="preserve"> dokumentu un preču </w:t>
      </w:r>
      <w:r w:rsidR="00826085">
        <w:rPr>
          <w:rFonts w:cs="Times New Roman"/>
          <w:b/>
          <w:sz w:val="32"/>
          <w:szCs w:val="32"/>
        </w:rPr>
        <w:t xml:space="preserve">piegādes </w:t>
      </w:r>
      <w:r w:rsidR="0038752F" w:rsidRPr="005F7428">
        <w:rPr>
          <w:rFonts w:cs="Times New Roman"/>
          <w:b/>
          <w:sz w:val="32"/>
          <w:szCs w:val="32"/>
        </w:rPr>
        <w:t>dokumentu elektroniskās aprites sistēmas ieviešanu</w:t>
      </w:r>
      <w:r w:rsidRPr="005F7428">
        <w:rPr>
          <w:rFonts w:cs="Times New Roman"/>
          <w:b/>
          <w:sz w:val="32"/>
          <w:szCs w:val="32"/>
        </w:rPr>
        <w:t>”</w:t>
      </w:r>
    </w:p>
    <w:p w14:paraId="634221B1" w14:textId="77777777" w:rsidR="0038752F" w:rsidRPr="005F7428" w:rsidRDefault="0038752F" w:rsidP="00850DAA">
      <w:pPr>
        <w:spacing w:after="0" w:line="240" w:lineRule="auto"/>
        <w:rPr>
          <w:rFonts w:cs="Times New Roman"/>
          <w:szCs w:val="24"/>
        </w:rPr>
      </w:pPr>
    </w:p>
    <w:p w14:paraId="7B137BEF" w14:textId="77777777" w:rsidR="0038752F" w:rsidRPr="005F7428" w:rsidRDefault="0038752F">
      <w:pPr>
        <w:rPr>
          <w:rFonts w:cs="Times New Roman"/>
          <w:szCs w:val="24"/>
        </w:rPr>
      </w:pPr>
      <w:r w:rsidRPr="005F7428">
        <w:rPr>
          <w:rFonts w:cs="Times New Roman"/>
          <w:szCs w:val="24"/>
        </w:rPr>
        <w:br w:type="page"/>
      </w:r>
    </w:p>
    <w:p w14:paraId="38A16596" w14:textId="77777777" w:rsidR="0038752F" w:rsidRPr="005F7428" w:rsidRDefault="0038752F" w:rsidP="00121464">
      <w:pPr>
        <w:tabs>
          <w:tab w:val="left" w:pos="3046"/>
        </w:tabs>
        <w:spacing w:after="0" w:line="240" w:lineRule="auto"/>
        <w:rPr>
          <w:rFonts w:cs="Times New Roman"/>
          <w:b/>
          <w:sz w:val="28"/>
          <w:szCs w:val="28"/>
        </w:rPr>
      </w:pPr>
      <w:r w:rsidRPr="005F7428">
        <w:rPr>
          <w:rFonts w:cs="Times New Roman"/>
          <w:b/>
          <w:sz w:val="28"/>
          <w:szCs w:val="28"/>
        </w:rPr>
        <w:lastRenderedPageBreak/>
        <w:t>Saturs</w:t>
      </w:r>
      <w:r w:rsidR="00121464">
        <w:rPr>
          <w:rFonts w:cs="Times New Roman"/>
          <w:b/>
          <w:sz w:val="28"/>
          <w:szCs w:val="28"/>
        </w:rPr>
        <w:tab/>
      </w:r>
    </w:p>
    <w:p w14:paraId="22C2F3C3" w14:textId="77777777" w:rsidR="0038752F" w:rsidRPr="005F7428" w:rsidRDefault="0038752F" w:rsidP="00850DAA">
      <w:pPr>
        <w:spacing w:after="0" w:line="240" w:lineRule="auto"/>
        <w:rPr>
          <w:rFonts w:cs="Times New Roman"/>
          <w:szCs w:val="24"/>
        </w:rPr>
      </w:pPr>
    </w:p>
    <w:p w14:paraId="209A0700" w14:textId="614984C6" w:rsidR="00E430C8" w:rsidRDefault="0070619A">
      <w:pPr>
        <w:pStyle w:val="TOC1"/>
        <w:tabs>
          <w:tab w:val="right" w:leader="dot" w:pos="8296"/>
        </w:tabs>
        <w:rPr>
          <w:rFonts w:asciiTheme="minorHAnsi" w:eastAsiaTheme="minorEastAsia" w:hAnsiTheme="minorHAnsi"/>
          <w:noProof/>
          <w:sz w:val="22"/>
          <w:lang w:eastAsia="lv-LV"/>
        </w:rPr>
      </w:pPr>
      <w:r w:rsidRPr="005F7428">
        <w:fldChar w:fldCharType="begin"/>
      </w:r>
      <w:r w:rsidRPr="005F7428">
        <w:instrText xml:space="preserve"> TOC \o "1-3" \h \z \u </w:instrText>
      </w:r>
      <w:r w:rsidRPr="005F7428">
        <w:fldChar w:fldCharType="separate"/>
      </w:r>
      <w:hyperlink w:anchor="_Toc72136645" w:history="1">
        <w:r w:rsidR="00E430C8" w:rsidRPr="002F5DB9">
          <w:rPr>
            <w:rStyle w:val="Hyperlink"/>
            <w:noProof/>
          </w:rPr>
          <w:t>Ievads</w:t>
        </w:r>
        <w:r w:rsidR="00E430C8">
          <w:rPr>
            <w:noProof/>
            <w:webHidden/>
          </w:rPr>
          <w:tab/>
        </w:r>
        <w:r w:rsidR="00E430C8">
          <w:rPr>
            <w:noProof/>
            <w:webHidden/>
          </w:rPr>
          <w:fldChar w:fldCharType="begin"/>
        </w:r>
        <w:r w:rsidR="00E430C8">
          <w:rPr>
            <w:noProof/>
            <w:webHidden/>
          </w:rPr>
          <w:instrText xml:space="preserve"> PAGEREF _Toc72136645 \h </w:instrText>
        </w:r>
        <w:r w:rsidR="00E430C8">
          <w:rPr>
            <w:noProof/>
            <w:webHidden/>
          </w:rPr>
        </w:r>
        <w:r w:rsidR="00E430C8">
          <w:rPr>
            <w:noProof/>
            <w:webHidden/>
          </w:rPr>
          <w:fldChar w:fldCharType="separate"/>
        </w:r>
        <w:r w:rsidR="00E430C8">
          <w:rPr>
            <w:noProof/>
            <w:webHidden/>
          </w:rPr>
          <w:t>3</w:t>
        </w:r>
        <w:r w:rsidR="00E430C8">
          <w:rPr>
            <w:noProof/>
            <w:webHidden/>
          </w:rPr>
          <w:fldChar w:fldCharType="end"/>
        </w:r>
      </w:hyperlink>
    </w:p>
    <w:p w14:paraId="500B52DB" w14:textId="58A2AF3E" w:rsidR="00E430C8" w:rsidRDefault="008F258C">
      <w:pPr>
        <w:pStyle w:val="TOC1"/>
        <w:tabs>
          <w:tab w:val="left" w:pos="440"/>
          <w:tab w:val="right" w:leader="dot" w:pos="8296"/>
        </w:tabs>
        <w:rPr>
          <w:rFonts w:asciiTheme="minorHAnsi" w:eastAsiaTheme="minorEastAsia" w:hAnsiTheme="minorHAnsi"/>
          <w:noProof/>
          <w:sz w:val="22"/>
          <w:lang w:eastAsia="lv-LV"/>
        </w:rPr>
      </w:pPr>
      <w:hyperlink w:anchor="_Toc72136646" w:history="1">
        <w:r w:rsidR="00E430C8" w:rsidRPr="002F5DB9">
          <w:rPr>
            <w:rStyle w:val="Hyperlink"/>
            <w:noProof/>
          </w:rPr>
          <w:t>1</w:t>
        </w:r>
        <w:r w:rsidR="00E430C8">
          <w:rPr>
            <w:rFonts w:asciiTheme="minorHAnsi" w:eastAsiaTheme="minorEastAsia" w:hAnsiTheme="minorHAnsi"/>
            <w:noProof/>
            <w:sz w:val="22"/>
            <w:lang w:eastAsia="lv-LV"/>
          </w:rPr>
          <w:tab/>
        </w:r>
        <w:r w:rsidR="00E430C8" w:rsidRPr="002F5DB9">
          <w:rPr>
            <w:rStyle w:val="Hyperlink"/>
            <w:noProof/>
          </w:rPr>
          <w:t>Esošā situācija darījumu attaisnojuma dokumentu elektroniskā apritē</w:t>
        </w:r>
        <w:r w:rsidR="00E430C8">
          <w:rPr>
            <w:noProof/>
            <w:webHidden/>
          </w:rPr>
          <w:tab/>
        </w:r>
        <w:r w:rsidR="00E430C8">
          <w:rPr>
            <w:noProof/>
            <w:webHidden/>
          </w:rPr>
          <w:fldChar w:fldCharType="begin"/>
        </w:r>
        <w:r w:rsidR="00E430C8">
          <w:rPr>
            <w:noProof/>
            <w:webHidden/>
          </w:rPr>
          <w:instrText xml:space="preserve"> PAGEREF _Toc72136646 \h </w:instrText>
        </w:r>
        <w:r w:rsidR="00E430C8">
          <w:rPr>
            <w:noProof/>
            <w:webHidden/>
          </w:rPr>
        </w:r>
        <w:r w:rsidR="00E430C8">
          <w:rPr>
            <w:noProof/>
            <w:webHidden/>
          </w:rPr>
          <w:fldChar w:fldCharType="separate"/>
        </w:r>
        <w:r w:rsidR="00E430C8">
          <w:rPr>
            <w:noProof/>
            <w:webHidden/>
          </w:rPr>
          <w:t>5</w:t>
        </w:r>
        <w:r w:rsidR="00E430C8">
          <w:rPr>
            <w:noProof/>
            <w:webHidden/>
          </w:rPr>
          <w:fldChar w:fldCharType="end"/>
        </w:r>
      </w:hyperlink>
    </w:p>
    <w:p w14:paraId="5D767CD0" w14:textId="1BBD8C98" w:rsidR="00E430C8" w:rsidRDefault="008F258C">
      <w:pPr>
        <w:pStyle w:val="TOC2"/>
        <w:tabs>
          <w:tab w:val="left" w:pos="880"/>
          <w:tab w:val="right" w:leader="dot" w:pos="8296"/>
        </w:tabs>
        <w:rPr>
          <w:rFonts w:asciiTheme="minorHAnsi" w:eastAsiaTheme="minorEastAsia" w:hAnsiTheme="minorHAnsi"/>
          <w:noProof/>
          <w:sz w:val="22"/>
          <w:lang w:eastAsia="lv-LV"/>
        </w:rPr>
      </w:pPr>
      <w:hyperlink w:anchor="_Toc72136647" w:history="1">
        <w:r w:rsidR="00E430C8" w:rsidRPr="002F5DB9">
          <w:rPr>
            <w:rStyle w:val="Hyperlink"/>
            <w:noProof/>
          </w:rPr>
          <w:t>1.1.</w:t>
        </w:r>
        <w:r w:rsidR="00E430C8">
          <w:rPr>
            <w:rFonts w:asciiTheme="minorHAnsi" w:eastAsiaTheme="minorEastAsia" w:hAnsiTheme="minorHAnsi"/>
            <w:noProof/>
            <w:sz w:val="22"/>
            <w:lang w:eastAsia="lv-LV"/>
          </w:rPr>
          <w:tab/>
        </w:r>
        <w:r w:rsidR="00E430C8" w:rsidRPr="002F5DB9">
          <w:rPr>
            <w:rStyle w:val="Hyperlink"/>
            <w:noProof/>
          </w:rPr>
          <w:t>E-rēķinu tiesiskais regulējums un lietošana Latvijā</w:t>
        </w:r>
        <w:r w:rsidR="00E430C8">
          <w:rPr>
            <w:noProof/>
            <w:webHidden/>
          </w:rPr>
          <w:tab/>
        </w:r>
        <w:r w:rsidR="00E430C8">
          <w:rPr>
            <w:noProof/>
            <w:webHidden/>
          </w:rPr>
          <w:fldChar w:fldCharType="begin"/>
        </w:r>
        <w:r w:rsidR="00E430C8">
          <w:rPr>
            <w:noProof/>
            <w:webHidden/>
          </w:rPr>
          <w:instrText xml:space="preserve"> PAGEREF _Toc72136647 \h </w:instrText>
        </w:r>
        <w:r w:rsidR="00E430C8">
          <w:rPr>
            <w:noProof/>
            <w:webHidden/>
          </w:rPr>
        </w:r>
        <w:r w:rsidR="00E430C8">
          <w:rPr>
            <w:noProof/>
            <w:webHidden/>
          </w:rPr>
          <w:fldChar w:fldCharType="separate"/>
        </w:r>
        <w:r w:rsidR="00E430C8">
          <w:rPr>
            <w:noProof/>
            <w:webHidden/>
          </w:rPr>
          <w:t>5</w:t>
        </w:r>
        <w:r w:rsidR="00E430C8">
          <w:rPr>
            <w:noProof/>
            <w:webHidden/>
          </w:rPr>
          <w:fldChar w:fldCharType="end"/>
        </w:r>
      </w:hyperlink>
    </w:p>
    <w:p w14:paraId="259F2EED" w14:textId="137A3F1B" w:rsidR="00E430C8" w:rsidRDefault="008F258C">
      <w:pPr>
        <w:pStyle w:val="TOC2"/>
        <w:tabs>
          <w:tab w:val="left" w:pos="880"/>
          <w:tab w:val="right" w:leader="dot" w:pos="8296"/>
        </w:tabs>
        <w:rPr>
          <w:rFonts w:asciiTheme="minorHAnsi" w:eastAsiaTheme="minorEastAsia" w:hAnsiTheme="minorHAnsi"/>
          <w:noProof/>
          <w:sz w:val="22"/>
          <w:lang w:eastAsia="lv-LV"/>
        </w:rPr>
      </w:pPr>
      <w:hyperlink w:anchor="_Toc72136648" w:history="1">
        <w:r w:rsidR="00E430C8" w:rsidRPr="002F5DB9">
          <w:rPr>
            <w:rStyle w:val="Hyperlink"/>
            <w:noProof/>
          </w:rPr>
          <w:t>1.2.</w:t>
        </w:r>
        <w:r w:rsidR="00E430C8">
          <w:rPr>
            <w:rFonts w:asciiTheme="minorHAnsi" w:eastAsiaTheme="minorEastAsia" w:hAnsiTheme="minorHAnsi"/>
            <w:noProof/>
            <w:sz w:val="22"/>
            <w:lang w:eastAsia="lv-LV"/>
          </w:rPr>
          <w:tab/>
        </w:r>
        <w:r w:rsidR="00E430C8" w:rsidRPr="002F5DB9">
          <w:rPr>
            <w:rStyle w:val="Hyperlink"/>
            <w:noProof/>
          </w:rPr>
          <w:t>Preču piegādes dokumentu (pavadzīmju) elektroniska aprite</w:t>
        </w:r>
        <w:r w:rsidR="00E430C8">
          <w:rPr>
            <w:noProof/>
            <w:webHidden/>
          </w:rPr>
          <w:tab/>
        </w:r>
        <w:r w:rsidR="00E430C8">
          <w:rPr>
            <w:noProof/>
            <w:webHidden/>
          </w:rPr>
          <w:fldChar w:fldCharType="begin"/>
        </w:r>
        <w:r w:rsidR="00E430C8">
          <w:rPr>
            <w:noProof/>
            <w:webHidden/>
          </w:rPr>
          <w:instrText xml:space="preserve"> PAGEREF _Toc72136648 \h </w:instrText>
        </w:r>
        <w:r w:rsidR="00E430C8">
          <w:rPr>
            <w:noProof/>
            <w:webHidden/>
          </w:rPr>
        </w:r>
        <w:r w:rsidR="00E430C8">
          <w:rPr>
            <w:noProof/>
            <w:webHidden/>
          </w:rPr>
          <w:fldChar w:fldCharType="separate"/>
        </w:r>
        <w:r w:rsidR="00E430C8">
          <w:rPr>
            <w:noProof/>
            <w:webHidden/>
          </w:rPr>
          <w:t>7</w:t>
        </w:r>
        <w:r w:rsidR="00E430C8">
          <w:rPr>
            <w:noProof/>
            <w:webHidden/>
          </w:rPr>
          <w:fldChar w:fldCharType="end"/>
        </w:r>
      </w:hyperlink>
    </w:p>
    <w:p w14:paraId="66D7FB22" w14:textId="5C3AE7E8" w:rsidR="00E430C8" w:rsidRDefault="008F258C">
      <w:pPr>
        <w:pStyle w:val="TOC2"/>
        <w:tabs>
          <w:tab w:val="left" w:pos="880"/>
          <w:tab w:val="right" w:leader="dot" w:pos="8296"/>
        </w:tabs>
        <w:rPr>
          <w:rFonts w:asciiTheme="minorHAnsi" w:eastAsiaTheme="minorEastAsia" w:hAnsiTheme="minorHAnsi"/>
          <w:noProof/>
          <w:sz w:val="22"/>
          <w:lang w:eastAsia="lv-LV"/>
        </w:rPr>
      </w:pPr>
      <w:hyperlink w:anchor="_Toc72136649" w:history="1">
        <w:r w:rsidR="00E430C8" w:rsidRPr="002F5DB9">
          <w:rPr>
            <w:rStyle w:val="Hyperlink"/>
            <w:bCs/>
            <w:iCs/>
            <w:noProof/>
          </w:rPr>
          <w:t>1.3.</w:t>
        </w:r>
        <w:r w:rsidR="00E430C8">
          <w:rPr>
            <w:rFonts w:asciiTheme="minorHAnsi" w:eastAsiaTheme="minorEastAsia" w:hAnsiTheme="minorHAnsi"/>
            <w:noProof/>
            <w:sz w:val="22"/>
            <w:lang w:eastAsia="lv-LV"/>
          </w:rPr>
          <w:tab/>
        </w:r>
        <w:r w:rsidR="00E430C8" w:rsidRPr="002F5DB9">
          <w:rPr>
            <w:rStyle w:val="Hyperlink"/>
            <w:bCs/>
            <w:iCs/>
            <w:noProof/>
          </w:rPr>
          <w:t>Elektronisko rēķinu lietošana veselības aprūpes pakalpojumu sniegšanā</w:t>
        </w:r>
        <w:r w:rsidR="00E430C8">
          <w:rPr>
            <w:noProof/>
            <w:webHidden/>
          </w:rPr>
          <w:tab/>
        </w:r>
        <w:r w:rsidR="00E430C8">
          <w:rPr>
            <w:noProof/>
            <w:webHidden/>
          </w:rPr>
          <w:fldChar w:fldCharType="begin"/>
        </w:r>
        <w:r w:rsidR="00E430C8">
          <w:rPr>
            <w:noProof/>
            <w:webHidden/>
          </w:rPr>
          <w:instrText xml:space="preserve"> PAGEREF _Toc72136649 \h </w:instrText>
        </w:r>
        <w:r w:rsidR="00E430C8">
          <w:rPr>
            <w:noProof/>
            <w:webHidden/>
          </w:rPr>
        </w:r>
        <w:r w:rsidR="00E430C8">
          <w:rPr>
            <w:noProof/>
            <w:webHidden/>
          </w:rPr>
          <w:fldChar w:fldCharType="separate"/>
        </w:r>
        <w:r w:rsidR="00E430C8">
          <w:rPr>
            <w:noProof/>
            <w:webHidden/>
          </w:rPr>
          <w:t>9</w:t>
        </w:r>
        <w:r w:rsidR="00E430C8">
          <w:rPr>
            <w:noProof/>
            <w:webHidden/>
          </w:rPr>
          <w:fldChar w:fldCharType="end"/>
        </w:r>
      </w:hyperlink>
    </w:p>
    <w:p w14:paraId="06CA3AAC" w14:textId="6A113425" w:rsidR="00E430C8" w:rsidRDefault="008F258C">
      <w:pPr>
        <w:pStyle w:val="TOC2"/>
        <w:tabs>
          <w:tab w:val="left" w:pos="880"/>
          <w:tab w:val="right" w:leader="dot" w:pos="8296"/>
        </w:tabs>
        <w:rPr>
          <w:rFonts w:asciiTheme="minorHAnsi" w:eastAsiaTheme="minorEastAsia" w:hAnsiTheme="minorHAnsi"/>
          <w:noProof/>
          <w:sz w:val="22"/>
          <w:lang w:eastAsia="lv-LV"/>
        </w:rPr>
      </w:pPr>
      <w:hyperlink w:anchor="_Toc72136650" w:history="1">
        <w:r w:rsidR="00E430C8" w:rsidRPr="002F5DB9">
          <w:rPr>
            <w:rStyle w:val="Hyperlink"/>
            <w:noProof/>
          </w:rPr>
          <w:t>1.4.</w:t>
        </w:r>
        <w:r w:rsidR="00E430C8">
          <w:rPr>
            <w:rFonts w:asciiTheme="minorHAnsi" w:eastAsiaTheme="minorEastAsia" w:hAnsiTheme="minorHAnsi"/>
            <w:noProof/>
            <w:sz w:val="22"/>
            <w:lang w:eastAsia="lv-LV"/>
          </w:rPr>
          <w:tab/>
        </w:r>
        <w:r w:rsidR="00E430C8" w:rsidRPr="002F5DB9">
          <w:rPr>
            <w:rStyle w:val="Hyperlink"/>
            <w:noProof/>
          </w:rPr>
          <w:t>Kases aparātu un kases sistēmu lietošana un veiktās reformas</w:t>
        </w:r>
        <w:r w:rsidR="00E430C8">
          <w:rPr>
            <w:noProof/>
            <w:webHidden/>
          </w:rPr>
          <w:tab/>
        </w:r>
        <w:r w:rsidR="00E430C8">
          <w:rPr>
            <w:noProof/>
            <w:webHidden/>
          </w:rPr>
          <w:fldChar w:fldCharType="begin"/>
        </w:r>
        <w:r w:rsidR="00E430C8">
          <w:rPr>
            <w:noProof/>
            <w:webHidden/>
          </w:rPr>
          <w:instrText xml:space="preserve"> PAGEREF _Toc72136650 \h </w:instrText>
        </w:r>
        <w:r w:rsidR="00E430C8">
          <w:rPr>
            <w:noProof/>
            <w:webHidden/>
          </w:rPr>
        </w:r>
        <w:r w:rsidR="00E430C8">
          <w:rPr>
            <w:noProof/>
            <w:webHidden/>
          </w:rPr>
          <w:fldChar w:fldCharType="separate"/>
        </w:r>
        <w:r w:rsidR="00E430C8">
          <w:rPr>
            <w:noProof/>
            <w:webHidden/>
          </w:rPr>
          <w:t>11</w:t>
        </w:r>
        <w:r w:rsidR="00E430C8">
          <w:rPr>
            <w:noProof/>
            <w:webHidden/>
          </w:rPr>
          <w:fldChar w:fldCharType="end"/>
        </w:r>
      </w:hyperlink>
    </w:p>
    <w:p w14:paraId="17397A81" w14:textId="576B5493" w:rsidR="00E430C8" w:rsidRDefault="008F258C">
      <w:pPr>
        <w:pStyle w:val="TOC2"/>
        <w:tabs>
          <w:tab w:val="left" w:pos="880"/>
          <w:tab w:val="right" w:leader="dot" w:pos="8296"/>
        </w:tabs>
        <w:rPr>
          <w:rFonts w:asciiTheme="minorHAnsi" w:eastAsiaTheme="minorEastAsia" w:hAnsiTheme="minorHAnsi"/>
          <w:noProof/>
          <w:sz w:val="22"/>
          <w:lang w:eastAsia="lv-LV"/>
        </w:rPr>
      </w:pPr>
      <w:hyperlink w:anchor="_Toc72136651" w:history="1">
        <w:r w:rsidR="00E430C8" w:rsidRPr="002F5DB9">
          <w:rPr>
            <w:rStyle w:val="Hyperlink"/>
            <w:noProof/>
          </w:rPr>
          <w:t>1.5.</w:t>
        </w:r>
        <w:r w:rsidR="00E430C8">
          <w:rPr>
            <w:rFonts w:asciiTheme="minorHAnsi" w:eastAsiaTheme="minorEastAsia" w:hAnsiTheme="minorHAnsi"/>
            <w:noProof/>
            <w:sz w:val="22"/>
            <w:lang w:eastAsia="lv-LV"/>
          </w:rPr>
          <w:tab/>
        </w:r>
        <w:r w:rsidR="00E430C8" w:rsidRPr="002F5DB9">
          <w:rPr>
            <w:rStyle w:val="Hyperlink"/>
            <w:noProof/>
          </w:rPr>
          <w:t>PVN rēķini</w:t>
        </w:r>
        <w:r w:rsidR="00E430C8">
          <w:rPr>
            <w:noProof/>
            <w:webHidden/>
          </w:rPr>
          <w:tab/>
        </w:r>
        <w:r w:rsidR="00E430C8">
          <w:rPr>
            <w:noProof/>
            <w:webHidden/>
          </w:rPr>
          <w:fldChar w:fldCharType="begin"/>
        </w:r>
        <w:r w:rsidR="00E430C8">
          <w:rPr>
            <w:noProof/>
            <w:webHidden/>
          </w:rPr>
          <w:instrText xml:space="preserve"> PAGEREF _Toc72136651 \h </w:instrText>
        </w:r>
        <w:r w:rsidR="00E430C8">
          <w:rPr>
            <w:noProof/>
            <w:webHidden/>
          </w:rPr>
        </w:r>
        <w:r w:rsidR="00E430C8">
          <w:rPr>
            <w:noProof/>
            <w:webHidden/>
          </w:rPr>
          <w:fldChar w:fldCharType="separate"/>
        </w:r>
        <w:r w:rsidR="00E430C8">
          <w:rPr>
            <w:noProof/>
            <w:webHidden/>
          </w:rPr>
          <w:t>16</w:t>
        </w:r>
        <w:r w:rsidR="00E430C8">
          <w:rPr>
            <w:noProof/>
            <w:webHidden/>
          </w:rPr>
          <w:fldChar w:fldCharType="end"/>
        </w:r>
      </w:hyperlink>
    </w:p>
    <w:p w14:paraId="131D6C2D" w14:textId="0CD8F1C7" w:rsidR="00E430C8" w:rsidRDefault="008F258C">
      <w:pPr>
        <w:pStyle w:val="TOC2"/>
        <w:tabs>
          <w:tab w:val="left" w:pos="880"/>
          <w:tab w:val="right" w:leader="dot" w:pos="8296"/>
        </w:tabs>
        <w:rPr>
          <w:rFonts w:asciiTheme="minorHAnsi" w:eastAsiaTheme="minorEastAsia" w:hAnsiTheme="minorHAnsi"/>
          <w:noProof/>
          <w:sz w:val="22"/>
          <w:lang w:eastAsia="lv-LV"/>
        </w:rPr>
      </w:pPr>
      <w:hyperlink w:anchor="_Toc72136652" w:history="1">
        <w:r w:rsidR="00E430C8" w:rsidRPr="002F5DB9">
          <w:rPr>
            <w:rStyle w:val="Hyperlink"/>
            <w:noProof/>
          </w:rPr>
          <w:t>1.6.</w:t>
        </w:r>
        <w:r w:rsidR="00E430C8">
          <w:rPr>
            <w:rFonts w:asciiTheme="minorHAnsi" w:eastAsiaTheme="minorEastAsia" w:hAnsiTheme="minorHAnsi"/>
            <w:noProof/>
            <w:sz w:val="22"/>
            <w:lang w:eastAsia="lv-LV"/>
          </w:rPr>
          <w:tab/>
        </w:r>
        <w:r w:rsidR="00E430C8" w:rsidRPr="002F5DB9">
          <w:rPr>
            <w:rStyle w:val="Hyperlink"/>
            <w:noProof/>
          </w:rPr>
          <w:t>Kases čeki u.c. darījumu apliecinoši dokumenti</w:t>
        </w:r>
        <w:r w:rsidR="00E430C8">
          <w:rPr>
            <w:noProof/>
            <w:webHidden/>
          </w:rPr>
          <w:tab/>
        </w:r>
        <w:r w:rsidR="00E430C8">
          <w:rPr>
            <w:noProof/>
            <w:webHidden/>
          </w:rPr>
          <w:fldChar w:fldCharType="begin"/>
        </w:r>
        <w:r w:rsidR="00E430C8">
          <w:rPr>
            <w:noProof/>
            <w:webHidden/>
          </w:rPr>
          <w:instrText xml:space="preserve"> PAGEREF _Toc72136652 \h </w:instrText>
        </w:r>
        <w:r w:rsidR="00E430C8">
          <w:rPr>
            <w:noProof/>
            <w:webHidden/>
          </w:rPr>
        </w:r>
        <w:r w:rsidR="00E430C8">
          <w:rPr>
            <w:noProof/>
            <w:webHidden/>
          </w:rPr>
          <w:fldChar w:fldCharType="separate"/>
        </w:r>
        <w:r w:rsidR="00E430C8">
          <w:rPr>
            <w:noProof/>
            <w:webHidden/>
          </w:rPr>
          <w:t>19</w:t>
        </w:r>
        <w:r w:rsidR="00E430C8">
          <w:rPr>
            <w:noProof/>
            <w:webHidden/>
          </w:rPr>
          <w:fldChar w:fldCharType="end"/>
        </w:r>
      </w:hyperlink>
    </w:p>
    <w:p w14:paraId="6ACBAE7F" w14:textId="38008F7B" w:rsidR="00E430C8" w:rsidRDefault="008F258C">
      <w:pPr>
        <w:pStyle w:val="TOC1"/>
        <w:tabs>
          <w:tab w:val="left" w:pos="440"/>
          <w:tab w:val="right" w:leader="dot" w:pos="8296"/>
        </w:tabs>
        <w:rPr>
          <w:rFonts w:asciiTheme="minorHAnsi" w:eastAsiaTheme="minorEastAsia" w:hAnsiTheme="minorHAnsi"/>
          <w:noProof/>
          <w:sz w:val="22"/>
          <w:lang w:eastAsia="lv-LV"/>
        </w:rPr>
      </w:pPr>
      <w:hyperlink w:anchor="_Toc72136653" w:history="1">
        <w:r w:rsidR="00E430C8" w:rsidRPr="002F5DB9">
          <w:rPr>
            <w:rStyle w:val="Hyperlink"/>
            <w:noProof/>
          </w:rPr>
          <w:t>2</w:t>
        </w:r>
        <w:r w:rsidR="00E430C8">
          <w:rPr>
            <w:rFonts w:asciiTheme="minorHAnsi" w:eastAsiaTheme="minorEastAsia" w:hAnsiTheme="minorHAnsi"/>
            <w:noProof/>
            <w:sz w:val="22"/>
            <w:lang w:eastAsia="lv-LV"/>
          </w:rPr>
          <w:tab/>
        </w:r>
        <w:r w:rsidR="00E430C8" w:rsidRPr="002F5DB9">
          <w:rPr>
            <w:rStyle w:val="Hyperlink"/>
            <w:noProof/>
          </w:rPr>
          <w:t>Attaisnojuma dokumentu (rēķinu) elektroniskās aprites ieviešanas ieguvumi nodokļu administrēšanas vajadzībām</w:t>
        </w:r>
        <w:r w:rsidR="00E430C8">
          <w:rPr>
            <w:noProof/>
            <w:webHidden/>
          </w:rPr>
          <w:tab/>
        </w:r>
        <w:r w:rsidR="00E430C8">
          <w:rPr>
            <w:noProof/>
            <w:webHidden/>
          </w:rPr>
          <w:fldChar w:fldCharType="begin"/>
        </w:r>
        <w:r w:rsidR="00E430C8">
          <w:rPr>
            <w:noProof/>
            <w:webHidden/>
          </w:rPr>
          <w:instrText xml:space="preserve"> PAGEREF _Toc72136653 \h </w:instrText>
        </w:r>
        <w:r w:rsidR="00E430C8">
          <w:rPr>
            <w:noProof/>
            <w:webHidden/>
          </w:rPr>
        </w:r>
        <w:r w:rsidR="00E430C8">
          <w:rPr>
            <w:noProof/>
            <w:webHidden/>
          </w:rPr>
          <w:fldChar w:fldCharType="separate"/>
        </w:r>
        <w:r w:rsidR="00E430C8">
          <w:rPr>
            <w:noProof/>
            <w:webHidden/>
          </w:rPr>
          <w:t>21</w:t>
        </w:r>
        <w:r w:rsidR="00E430C8">
          <w:rPr>
            <w:noProof/>
            <w:webHidden/>
          </w:rPr>
          <w:fldChar w:fldCharType="end"/>
        </w:r>
      </w:hyperlink>
    </w:p>
    <w:p w14:paraId="22F2282A" w14:textId="40C4ED05" w:rsidR="00E430C8" w:rsidRDefault="008F258C">
      <w:pPr>
        <w:pStyle w:val="TOC1"/>
        <w:tabs>
          <w:tab w:val="left" w:pos="440"/>
          <w:tab w:val="right" w:leader="dot" w:pos="8296"/>
        </w:tabs>
        <w:rPr>
          <w:rFonts w:asciiTheme="minorHAnsi" w:eastAsiaTheme="minorEastAsia" w:hAnsiTheme="minorHAnsi"/>
          <w:noProof/>
          <w:sz w:val="22"/>
          <w:lang w:eastAsia="lv-LV"/>
        </w:rPr>
      </w:pPr>
      <w:hyperlink w:anchor="_Toc72136654" w:history="1">
        <w:r w:rsidR="00E430C8" w:rsidRPr="002F5DB9">
          <w:rPr>
            <w:rStyle w:val="Hyperlink"/>
            <w:noProof/>
          </w:rPr>
          <w:t>3</w:t>
        </w:r>
        <w:r w:rsidR="00E430C8">
          <w:rPr>
            <w:rFonts w:asciiTheme="minorHAnsi" w:eastAsiaTheme="minorEastAsia" w:hAnsiTheme="minorHAnsi"/>
            <w:noProof/>
            <w:sz w:val="22"/>
            <w:lang w:eastAsia="lv-LV"/>
          </w:rPr>
          <w:tab/>
        </w:r>
        <w:r w:rsidR="00E430C8" w:rsidRPr="002F5DB9">
          <w:rPr>
            <w:rStyle w:val="Hyperlink"/>
            <w:noProof/>
          </w:rPr>
          <w:t>E-pavadzīmju aprites ieviešana, starptautisko autotransporta pavadzīmju (e-CMR) ieviešana, DIGINNO projekts</w:t>
        </w:r>
        <w:r w:rsidR="00E430C8">
          <w:rPr>
            <w:noProof/>
            <w:webHidden/>
          </w:rPr>
          <w:tab/>
        </w:r>
        <w:r w:rsidR="00E430C8">
          <w:rPr>
            <w:noProof/>
            <w:webHidden/>
          </w:rPr>
          <w:fldChar w:fldCharType="begin"/>
        </w:r>
        <w:r w:rsidR="00E430C8">
          <w:rPr>
            <w:noProof/>
            <w:webHidden/>
          </w:rPr>
          <w:instrText xml:space="preserve"> PAGEREF _Toc72136654 \h </w:instrText>
        </w:r>
        <w:r w:rsidR="00E430C8">
          <w:rPr>
            <w:noProof/>
            <w:webHidden/>
          </w:rPr>
        </w:r>
        <w:r w:rsidR="00E430C8">
          <w:rPr>
            <w:noProof/>
            <w:webHidden/>
          </w:rPr>
          <w:fldChar w:fldCharType="separate"/>
        </w:r>
        <w:r w:rsidR="00E430C8">
          <w:rPr>
            <w:noProof/>
            <w:webHidden/>
          </w:rPr>
          <w:t>27</w:t>
        </w:r>
        <w:r w:rsidR="00E430C8">
          <w:rPr>
            <w:noProof/>
            <w:webHidden/>
          </w:rPr>
          <w:fldChar w:fldCharType="end"/>
        </w:r>
      </w:hyperlink>
    </w:p>
    <w:p w14:paraId="3EFB87A2" w14:textId="2BBE689E" w:rsidR="00E430C8" w:rsidRDefault="008F258C">
      <w:pPr>
        <w:pStyle w:val="TOC1"/>
        <w:tabs>
          <w:tab w:val="left" w:pos="440"/>
          <w:tab w:val="right" w:leader="dot" w:pos="8296"/>
        </w:tabs>
        <w:rPr>
          <w:rFonts w:asciiTheme="minorHAnsi" w:eastAsiaTheme="minorEastAsia" w:hAnsiTheme="minorHAnsi"/>
          <w:noProof/>
          <w:sz w:val="22"/>
          <w:lang w:eastAsia="lv-LV"/>
        </w:rPr>
      </w:pPr>
      <w:hyperlink w:anchor="_Toc72136655" w:history="1">
        <w:r w:rsidR="00E430C8" w:rsidRPr="002F5DB9">
          <w:rPr>
            <w:rStyle w:val="Hyperlink"/>
            <w:noProof/>
          </w:rPr>
          <w:t>4</w:t>
        </w:r>
        <w:r w:rsidR="00E430C8">
          <w:rPr>
            <w:rFonts w:asciiTheme="minorHAnsi" w:eastAsiaTheme="minorEastAsia" w:hAnsiTheme="minorHAnsi"/>
            <w:noProof/>
            <w:sz w:val="22"/>
            <w:lang w:eastAsia="lv-LV"/>
          </w:rPr>
          <w:tab/>
        </w:r>
        <w:r w:rsidR="00E430C8" w:rsidRPr="002F5DB9">
          <w:rPr>
            <w:rStyle w:val="Hyperlink"/>
            <w:noProof/>
          </w:rPr>
          <w:t>E-rēķinu ieviešana un iespējamie tehnoloģiskie risinājumi</w:t>
        </w:r>
        <w:r w:rsidR="00E430C8">
          <w:rPr>
            <w:noProof/>
            <w:webHidden/>
          </w:rPr>
          <w:tab/>
        </w:r>
        <w:r w:rsidR="00E430C8">
          <w:rPr>
            <w:noProof/>
            <w:webHidden/>
          </w:rPr>
          <w:fldChar w:fldCharType="begin"/>
        </w:r>
        <w:r w:rsidR="00E430C8">
          <w:rPr>
            <w:noProof/>
            <w:webHidden/>
          </w:rPr>
          <w:instrText xml:space="preserve"> PAGEREF _Toc72136655 \h </w:instrText>
        </w:r>
        <w:r w:rsidR="00E430C8">
          <w:rPr>
            <w:noProof/>
            <w:webHidden/>
          </w:rPr>
        </w:r>
        <w:r w:rsidR="00E430C8">
          <w:rPr>
            <w:noProof/>
            <w:webHidden/>
          </w:rPr>
          <w:fldChar w:fldCharType="separate"/>
        </w:r>
        <w:r w:rsidR="00E430C8">
          <w:rPr>
            <w:noProof/>
            <w:webHidden/>
          </w:rPr>
          <w:t>31</w:t>
        </w:r>
        <w:r w:rsidR="00E430C8">
          <w:rPr>
            <w:noProof/>
            <w:webHidden/>
          </w:rPr>
          <w:fldChar w:fldCharType="end"/>
        </w:r>
      </w:hyperlink>
    </w:p>
    <w:p w14:paraId="528F2A6A" w14:textId="074A43BA" w:rsidR="00E430C8" w:rsidRDefault="008F258C">
      <w:pPr>
        <w:pStyle w:val="TOC1"/>
        <w:tabs>
          <w:tab w:val="left" w:pos="440"/>
          <w:tab w:val="right" w:leader="dot" w:pos="8296"/>
        </w:tabs>
        <w:rPr>
          <w:rFonts w:asciiTheme="minorHAnsi" w:eastAsiaTheme="minorEastAsia" w:hAnsiTheme="minorHAnsi"/>
          <w:noProof/>
          <w:sz w:val="22"/>
          <w:lang w:eastAsia="lv-LV"/>
        </w:rPr>
      </w:pPr>
      <w:hyperlink w:anchor="_Toc72136656" w:history="1">
        <w:r w:rsidR="00E430C8" w:rsidRPr="002F5DB9">
          <w:rPr>
            <w:rStyle w:val="Hyperlink"/>
            <w:noProof/>
          </w:rPr>
          <w:t>5</w:t>
        </w:r>
        <w:r w:rsidR="00E430C8">
          <w:rPr>
            <w:rFonts w:asciiTheme="minorHAnsi" w:eastAsiaTheme="minorEastAsia" w:hAnsiTheme="minorHAnsi"/>
            <w:noProof/>
            <w:sz w:val="22"/>
            <w:lang w:eastAsia="lv-LV"/>
          </w:rPr>
          <w:tab/>
        </w:r>
        <w:r w:rsidR="00E430C8" w:rsidRPr="002F5DB9">
          <w:rPr>
            <w:rStyle w:val="Hyperlink"/>
            <w:noProof/>
          </w:rPr>
          <w:t>Secinājumi un priekšlikumi</w:t>
        </w:r>
        <w:r w:rsidR="00E430C8">
          <w:rPr>
            <w:noProof/>
            <w:webHidden/>
          </w:rPr>
          <w:tab/>
        </w:r>
        <w:r w:rsidR="00E430C8">
          <w:rPr>
            <w:noProof/>
            <w:webHidden/>
          </w:rPr>
          <w:fldChar w:fldCharType="begin"/>
        </w:r>
        <w:r w:rsidR="00E430C8">
          <w:rPr>
            <w:noProof/>
            <w:webHidden/>
          </w:rPr>
          <w:instrText xml:space="preserve"> PAGEREF _Toc72136656 \h </w:instrText>
        </w:r>
        <w:r w:rsidR="00E430C8">
          <w:rPr>
            <w:noProof/>
            <w:webHidden/>
          </w:rPr>
        </w:r>
        <w:r w:rsidR="00E430C8">
          <w:rPr>
            <w:noProof/>
            <w:webHidden/>
          </w:rPr>
          <w:fldChar w:fldCharType="separate"/>
        </w:r>
        <w:r w:rsidR="00E430C8">
          <w:rPr>
            <w:noProof/>
            <w:webHidden/>
          </w:rPr>
          <w:t>43</w:t>
        </w:r>
        <w:r w:rsidR="00E430C8">
          <w:rPr>
            <w:noProof/>
            <w:webHidden/>
          </w:rPr>
          <w:fldChar w:fldCharType="end"/>
        </w:r>
      </w:hyperlink>
    </w:p>
    <w:p w14:paraId="5C67CAA7" w14:textId="2DAB52F3" w:rsidR="0070619A" w:rsidRPr="005F7428" w:rsidRDefault="0070619A" w:rsidP="00F2341D">
      <w:pPr>
        <w:spacing w:after="120" w:line="276" w:lineRule="auto"/>
      </w:pPr>
      <w:r w:rsidRPr="005F7428">
        <w:fldChar w:fldCharType="end"/>
      </w:r>
      <w:r w:rsidRPr="005F7428">
        <w:br w:type="page"/>
      </w:r>
    </w:p>
    <w:p w14:paraId="14D6510C" w14:textId="77777777" w:rsidR="0038752F" w:rsidRPr="005F7428" w:rsidRDefault="0070619A" w:rsidP="004D7250">
      <w:pPr>
        <w:pStyle w:val="Heading1"/>
        <w:numPr>
          <w:ilvl w:val="0"/>
          <w:numId w:val="0"/>
        </w:numPr>
        <w:ind w:left="432"/>
        <w:jc w:val="center"/>
      </w:pPr>
      <w:bookmarkStart w:id="0" w:name="_Toc72136645"/>
      <w:r w:rsidRPr="005F7428">
        <w:lastRenderedPageBreak/>
        <w:t>Ievads</w:t>
      </w:r>
      <w:bookmarkEnd w:id="0"/>
    </w:p>
    <w:p w14:paraId="7CEFEDCE" w14:textId="77777777" w:rsidR="0070619A" w:rsidRPr="005F7428" w:rsidRDefault="0070619A" w:rsidP="0070619A"/>
    <w:p w14:paraId="3B167809" w14:textId="46472B62" w:rsidR="00ED488D" w:rsidRPr="005F7428" w:rsidRDefault="00A21028" w:rsidP="00C243E0">
      <w:pPr>
        <w:spacing w:after="0" w:line="276" w:lineRule="auto"/>
        <w:ind w:firstLine="432"/>
        <w:rPr>
          <w:rFonts w:eastAsia="Times New Roman" w:cs="Times New Roman"/>
          <w:szCs w:val="24"/>
        </w:rPr>
      </w:pPr>
      <w:r w:rsidRPr="7842FC33">
        <w:rPr>
          <w:rFonts w:cs="Times New Roman"/>
        </w:rPr>
        <w:t xml:space="preserve">Informatīvais ziņojums ir sagatavots saskaņā ar Ministru kabineta 2020. gada 16. jūnija sēdes protokola Nr. 41 55.§ un 56.§ </w:t>
      </w:r>
      <w:r w:rsidR="00ED488D" w:rsidRPr="7842FC33">
        <w:rPr>
          <w:rFonts w:cs="Times New Roman"/>
        </w:rPr>
        <w:t>2</w:t>
      </w:r>
      <w:r w:rsidRPr="7842FC33">
        <w:rPr>
          <w:rFonts w:cs="Times New Roman"/>
        </w:rPr>
        <w:t>.</w:t>
      </w:r>
      <w:r w:rsidR="00ED488D" w:rsidRPr="7842FC33">
        <w:rPr>
          <w:rFonts w:cs="Times New Roman"/>
        </w:rPr>
        <w:t> </w:t>
      </w:r>
      <w:r w:rsidRPr="7842FC33">
        <w:rPr>
          <w:rFonts w:cs="Times New Roman"/>
        </w:rPr>
        <w:t>punktā noteikto, proti, Finanšu ministrijai</w:t>
      </w:r>
      <w:r w:rsidR="00BB3DCF">
        <w:rPr>
          <w:rFonts w:cs="Times New Roman"/>
        </w:rPr>
        <w:t xml:space="preserve"> (turpmāk – FM)</w:t>
      </w:r>
      <w:r w:rsidRPr="7842FC33">
        <w:rPr>
          <w:rFonts w:cs="Times New Roman"/>
        </w:rPr>
        <w:t xml:space="preserve"> </w:t>
      </w:r>
      <w:r w:rsidR="00ED488D" w:rsidRPr="7842FC33">
        <w:rPr>
          <w:rFonts w:cs="Times New Roman"/>
        </w:rPr>
        <w:t>organizē</w:t>
      </w:r>
      <w:r w:rsidR="5ACA35FD" w:rsidRPr="7842FC33">
        <w:rPr>
          <w:rFonts w:cs="Times New Roman"/>
        </w:rPr>
        <w:t>t</w:t>
      </w:r>
      <w:r w:rsidR="00ED488D" w:rsidRPr="7842FC33">
        <w:rPr>
          <w:rFonts w:cs="Times New Roman"/>
        </w:rPr>
        <w:t xml:space="preserve"> darba grup</w:t>
      </w:r>
      <w:r w:rsidR="5F916D6E" w:rsidRPr="7842FC33">
        <w:rPr>
          <w:rFonts w:cs="Times New Roman"/>
        </w:rPr>
        <w:t>u</w:t>
      </w:r>
      <w:r w:rsidR="00ED488D" w:rsidRPr="7842FC33">
        <w:rPr>
          <w:rFonts w:cs="Times New Roman"/>
        </w:rPr>
        <w:t xml:space="preserve"> par attaisnojum</w:t>
      </w:r>
      <w:r w:rsidR="00790615">
        <w:rPr>
          <w:rFonts w:cs="Times New Roman"/>
        </w:rPr>
        <w:t>a</w:t>
      </w:r>
      <w:r w:rsidR="00ED488D" w:rsidRPr="7842FC33">
        <w:rPr>
          <w:rFonts w:cs="Times New Roman"/>
        </w:rPr>
        <w:t xml:space="preserve"> dokumentu un preču </w:t>
      </w:r>
      <w:r w:rsidR="00556551">
        <w:rPr>
          <w:rFonts w:cs="Times New Roman"/>
        </w:rPr>
        <w:t xml:space="preserve">piegādes </w:t>
      </w:r>
      <w:r w:rsidR="00ED488D" w:rsidRPr="7842FC33">
        <w:rPr>
          <w:rFonts w:cs="Times New Roman"/>
        </w:rPr>
        <w:t>dokumentu elektroniskās aprites sistēmas ieviešanu, iesaistot Ekonomikas ministrijas</w:t>
      </w:r>
      <w:r w:rsidR="00BB3DCF">
        <w:rPr>
          <w:rFonts w:cs="Times New Roman"/>
        </w:rPr>
        <w:t xml:space="preserve"> (turpmāk – EM)</w:t>
      </w:r>
      <w:r w:rsidR="00ED488D" w:rsidRPr="7842FC33">
        <w:rPr>
          <w:rFonts w:cs="Times New Roman"/>
        </w:rPr>
        <w:t>, Vides aizsardzības un reģionālās attīstības ministrijas</w:t>
      </w:r>
      <w:r w:rsidR="00BB3DCF">
        <w:rPr>
          <w:rFonts w:cs="Times New Roman"/>
        </w:rPr>
        <w:t xml:space="preserve"> (turpmāk – VARAM)</w:t>
      </w:r>
      <w:r w:rsidR="00ED488D" w:rsidRPr="7842FC33">
        <w:rPr>
          <w:rFonts w:cs="Times New Roman"/>
        </w:rPr>
        <w:t>, Satiksmes ministrijas</w:t>
      </w:r>
      <w:r w:rsidR="00BB3DCF">
        <w:rPr>
          <w:rFonts w:cs="Times New Roman"/>
        </w:rPr>
        <w:t xml:space="preserve"> (turpmāk – SM)</w:t>
      </w:r>
      <w:r w:rsidR="00ED488D" w:rsidRPr="7842FC33">
        <w:rPr>
          <w:rFonts w:cs="Times New Roman"/>
        </w:rPr>
        <w:t>, Labklājības ministrijas</w:t>
      </w:r>
      <w:r w:rsidR="00BB3DCF">
        <w:rPr>
          <w:rFonts w:cs="Times New Roman"/>
        </w:rPr>
        <w:t xml:space="preserve"> (turpmāk – LM)</w:t>
      </w:r>
      <w:r w:rsidR="00ED488D" w:rsidRPr="7842FC33">
        <w:rPr>
          <w:rFonts w:cs="Times New Roman"/>
        </w:rPr>
        <w:t>, Veselības ministrijas</w:t>
      </w:r>
      <w:r w:rsidR="00E20BE8">
        <w:rPr>
          <w:rFonts w:cs="Times New Roman"/>
        </w:rPr>
        <w:t xml:space="preserve"> (turpmāk – VM)</w:t>
      </w:r>
      <w:r w:rsidR="00ED488D" w:rsidRPr="7842FC33">
        <w:rPr>
          <w:rFonts w:cs="Times New Roman"/>
        </w:rPr>
        <w:t>, Zemkopības ministrijas pārstāvjus</w:t>
      </w:r>
      <w:r w:rsidR="00E20BE8">
        <w:rPr>
          <w:rFonts w:cs="Times New Roman"/>
        </w:rPr>
        <w:t xml:space="preserve"> (turpmāk – ZM)</w:t>
      </w:r>
      <w:r w:rsidR="00ED488D" w:rsidRPr="7842FC33">
        <w:rPr>
          <w:rFonts w:cs="Times New Roman"/>
        </w:rPr>
        <w:t>, kā arī nepieciešamības gadījumā pieaicinot arī nozaru ekspertus, un sagatavo</w:t>
      </w:r>
      <w:r w:rsidR="18171EF6" w:rsidRPr="7842FC33">
        <w:rPr>
          <w:rFonts w:cs="Times New Roman"/>
        </w:rPr>
        <w:t>t</w:t>
      </w:r>
      <w:r w:rsidR="00ED488D" w:rsidRPr="7842FC33">
        <w:rPr>
          <w:rFonts w:cs="Times New Roman"/>
        </w:rPr>
        <w:t xml:space="preserve"> informatīv</w:t>
      </w:r>
      <w:r w:rsidR="237DB920" w:rsidRPr="7842FC33">
        <w:rPr>
          <w:rFonts w:cs="Times New Roman"/>
        </w:rPr>
        <w:t>o</w:t>
      </w:r>
      <w:r w:rsidR="00ED488D" w:rsidRPr="7842FC33">
        <w:rPr>
          <w:rFonts w:cs="Times New Roman"/>
        </w:rPr>
        <w:t xml:space="preserve"> ziņojum</w:t>
      </w:r>
      <w:r w:rsidR="352BBD29" w:rsidRPr="7842FC33">
        <w:rPr>
          <w:rFonts w:cs="Times New Roman"/>
        </w:rPr>
        <w:t>u</w:t>
      </w:r>
      <w:r w:rsidR="00ED488D" w:rsidRPr="7842FC33">
        <w:rPr>
          <w:rFonts w:cs="Times New Roman"/>
        </w:rPr>
        <w:t xml:space="preserve"> par sistēmas ieguvumiem, riskiem, sistēmas ieviešanas izmaksām un priekšlikumiem tālāk</w:t>
      </w:r>
      <w:r w:rsidR="2E287DAF" w:rsidRPr="7842FC33">
        <w:rPr>
          <w:rFonts w:cs="Times New Roman"/>
        </w:rPr>
        <w:t>ai</w:t>
      </w:r>
      <w:r w:rsidR="00ED488D" w:rsidRPr="7842FC33">
        <w:rPr>
          <w:rFonts w:cs="Times New Roman"/>
        </w:rPr>
        <w:t xml:space="preserve"> rīcīb</w:t>
      </w:r>
      <w:r w:rsidR="3593FE75" w:rsidRPr="7842FC33">
        <w:rPr>
          <w:rFonts w:cs="Times New Roman"/>
        </w:rPr>
        <w:t>ai</w:t>
      </w:r>
      <w:r w:rsidR="00ED488D" w:rsidRPr="7842FC33">
        <w:rPr>
          <w:rFonts w:cs="Times New Roman"/>
        </w:rPr>
        <w:t>.</w:t>
      </w:r>
      <w:r w:rsidR="00ED488D" w:rsidRPr="7842FC33">
        <w:rPr>
          <w:rFonts w:eastAsia="Times New Roman" w:cs="Times New Roman"/>
          <w:lang w:eastAsia="lv-LV"/>
        </w:rPr>
        <w:t xml:space="preserve"> Vienlaikus </w:t>
      </w:r>
      <w:r w:rsidR="00ED488D" w:rsidRPr="7842FC33">
        <w:rPr>
          <w:rFonts w:cs="Times New Roman"/>
        </w:rPr>
        <w:t xml:space="preserve">darba grupai, </w:t>
      </w:r>
      <w:r w:rsidR="00454E51" w:rsidRPr="7842FC33">
        <w:rPr>
          <w:rFonts w:cs="Times New Roman"/>
        </w:rPr>
        <w:t>izstrādājot</w:t>
      </w:r>
      <w:r w:rsidR="00ED488D" w:rsidRPr="7842FC33">
        <w:rPr>
          <w:rFonts w:cs="Times New Roman"/>
        </w:rPr>
        <w:t xml:space="preserve"> risinājumu informācijas sistēmu pielāgošanai </w:t>
      </w:r>
      <w:r w:rsidR="001D7E46">
        <w:rPr>
          <w:rFonts w:cs="Times New Roman"/>
        </w:rPr>
        <w:t>attaisnojuma dokumentu/</w:t>
      </w:r>
      <w:r w:rsidR="00ED488D" w:rsidRPr="7842FC33">
        <w:rPr>
          <w:rFonts w:cs="Times New Roman"/>
        </w:rPr>
        <w:t>elektronisko rēķinu</w:t>
      </w:r>
      <w:r w:rsidR="00335937">
        <w:rPr>
          <w:rFonts w:cs="Times New Roman"/>
        </w:rPr>
        <w:t xml:space="preserve"> (turpmāk – e-rēķinu)</w:t>
      </w:r>
      <w:r w:rsidR="00ED488D" w:rsidRPr="7842FC33">
        <w:rPr>
          <w:rFonts w:cs="Times New Roman"/>
        </w:rPr>
        <w:t xml:space="preserve"> saņemšanai un apstrādei nodokļu administrēšanas vajadzībām, ēnu ekonomikas mazināšanas nolūkos </w:t>
      </w:r>
      <w:r w:rsidR="56E29A47" w:rsidRPr="7842FC33">
        <w:rPr>
          <w:rFonts w:cs="Times New Roman"/>
        </w:rPr>
        <w:t>uzdots izvērtēt</w:t>
      </w:r>
      <w:r w:rsidR="00ED488D" w:rsidRPr="7842FC33">
        <w:rPr>
          <w:rFonts w:cs="Times New Roman"/>
        </w:rPr>
        <w:t xml:space="preserve"> </w:t>
      </w:r>
      <w:proofErr w:type="spellStart"/>
      <w:r w:rsidR="00ED488D" w:rsidRPr="7842FC33">
        <w:rPr>
          <w:rFonts w:cs="Times New Roman"/>
        </w:rPr>
        <w:t>blokķēdes</w:t>
      </w:r>
      <w:proofErr w:type="spellEnd"/>
      <w:r w:rsidR="00ED488D" w:rsidRPr="7842FC33">
        <w:rPr>
          <w:rFonts w:cs="Times New Roman"/>
        </w:rPr>
        <w:t xml:space="preserve"> tehnoloģijas izmantošanas iespēj</w:t>
      </w:r>
      <w:r w:rsidR="1BFD1EC7" w:rsidRPr="7842FC33">
        <w:rPr>
          <w:rFonts w:cs="Times New Roman"/>
        </w:rPr>
        <w:t>as</w:t>
      </w:r>
      <w:r w:rsidR="00ED488D" w:rsidRPr="7842FC33">
        <w:rPr>
          <w:rFonts w:cs="Times New Roman"/>
        </w:rPr>
        <w:t xml:space="preserve"> kases aparātos un tajos reģistrēto datu nodošanu V</w:t>
      </w:r>
      <w:r w:rsidR="00EA7A0A">
        <w:rPr>
          <w:rFonts w:cs="Times New Roman"/>
        </w:rPr>
        <w:t>alsts ieņēmumu dienestam (turpmāk – VID)</w:t>
      </w:r>
      <w:r w:rsidR="00ED488D" w:rsidRPr="7842FC33">
        <w:rPr>
          <w:rFonts w:cs="Times New Roman"/>
        </w:rPr>
        <w:t xml:space="preserve"> tiešsaistes režīmā</w:t>
      </w:r>
      <w:r w:rsidR="587E6AA8" w:rsidRPr="7842FC33">
        <w:rPr>
          <w:rFonts w:cs="Times New Roman"/>
        </w:rPr>
        <w:t>.</w:t>
      </w:r>
      <w:r w:rsidR="39FF2E4C" w:rsidRPr="7842FC33">
        <w:rPr>
          <w:rFonts w:eastAsia="Times New Roman" w:cs="Times New Roman"/>
          <w:szCs w:val="24"/>
        </w:rPr>
        <w:t xml:space="preserve"> Darba grupai tika noteikts izstrādāt konceptuālu risinājumu un iesniegt Ministru kabinetā informatīvo ziņojumu līdz 2021.</w:t>
      </w:r>
      <w:r w:rsidR="00F93C8A">
        <w:rPr>
          <w:rFonts w:eastAsia="Times New Roman" w:cs="Times New Roman"/>
          <w:szCs w:val="24"/>
        </w:rPr>
        <w:t> gada 1. </w:t>
      </w:r>
      <w:r w:rsidR="39FF2E4C" w:rsidRPr="7842FC33">
        <w:rPr>
          <w:rFonts w:eastAsia="Times New Roman" w:cs="Times New Roman"/>
          <w:szCs w:val="24"/>
        </w:rPr>
        <w:t>martam.</w:t>
      </w:r>
    </w:p>
    <w:p w14:paraId="0B4CDF8E" w14:textId="742D1ABB" w:rsidR="003650CD" w:rsidRPr="005F7428" w:rsidRDefault="00A21028" w:rsidP="00C243E0">
      <w:pPr>
        <w:spacing w:after="0" w:line="276" w:lineRule="auto"/>
        <w:ind w:firstLine="432"/>
        <w:rPr>
          <w:rFonts w:cs="Times New Roman"/>
        </w:rPr>
      </w:pPr>
      <w:r w:rsidRPr="7842FC33">
        <w:rPr>
          <w:rFonts w:cs="Times New Roman"/>
        </w:rPr>
        <w:t xml:space="preserve">Minētais uzdevums ir skatāms </w:t>
      </w:r>
      <w:r w:rsidR="001724FB" w:rsidRPr="7842FC33">
        <w:rPr>
          <w:rFonts w:cs="Times New Roman"/>
        </w:rPr>
        <w:t>saistībā</w:t>
      </w:r>
      <w:r w:rsidRPr="7842FC33">
        <w:rPr>
          <w:rFonts w:cs="Times New Roman"/>
        </w:rPr>
        <w:t xml:space="preserve"> ar </w:t>
      </w:r>
      <w:r w:rsidR="001724FB" w:rsidRPr="7842FC33">
        <w:rPr>
          <w:rFonts w:cs="Times New Roman"/>
        </w:rPr>
        <w:t>Ministru kabineta 2020. gada 16. jūnija sēdē izskatītajiem F</w:t>
      </w:r>
      <w:r w:rsidR="7E7BC004" w:rsidRPr="7842FC33">
        <w:rPr>
          <w:rFonts w:cs="Times New Roman"/>
        </w:rPr>
        <w:t>M</w:t>
      </w:r>
      <w:r w:rsidR="001724FB" w:rsidRPr="7842FC33">
        <w:rPr>
          <w:rFonts w:cs="Times New Roman"/>
        </w:rPr>
        <w:t xml:space="preserve"> informatīvo ziņojumu "Par informācijas sistēmu pielāgošanu elektronisko rēķinu saņemšanai un apstrādei nodokļu administrēšanas vajadzībām” un E</w:t>
      </w:r>
      <w:r w:rsidR="2C8CCB94" w:rsidRPr="7842FC33">
        <w:rPr>
          <w:rFonts w:cs="Times New Roman"/>
        </w:rPr>
        <w:t>M</w:t>
      </w:r>
      <w:r w:rsidR="001724FB" w:rsidRPr="7842FC33">
        <w:rPr>
          <w:rFonts w:cs="Times New Roman"/>
        </w:rPr>
        <w:t xml:space="preserve"> informatīvo ziņojumu “Par </w:t>
      </w:r>
      <w:proofErr w:type="spellStart"/>
      <w:r w:rsidR="001724FB" w:rsidRPr="7842FC33">
        <w:rPr>
          <w:rFonts w:cs="Times New Roman"/>
        </w:rPr>
        <w:t>blokķēdes</w:t>
      </w:r>
      <w:proofErr w:type="spellEnd"/>
      <w:r w:rsidR="001724FB" w:rsidRPr="7842FC33">
        <w:rPr>
          <w:rFonts w:cs="Times New Roman"/>
        </w:rPr>
        <w:t xml:space="preserve"> tehnoloģijas izmantošanas iespējām kases aparātos un citās ierīcēs ēnu ekonomikas mazināšanas nolūkos".</w:t>
      </w:r>
    </w:p>
    <w:p w14:paraId="1F28FE4A" w14:textId="6693EF0E" w:rsidR="00F46828" w:rsidRPr="005F7428" w:rsidRDefault="0062484A" w:rsidP="00C243E0">
      <w:pPr>
        <w:spacing w:after="0" w:line="276" w:lineRule="auto"/>
        <w:ind w:firstLine="432"/>
        <w:rPr>
          <w:rFonts w:cs="Times New Roman"/>
        </w:rPr>
      </w:pPr>
      <w:r w:rsidRPr="7842FC33">
        <w:rPr>
          <w:rFonts w:cs="Times New Roman"/>
        </w:rPr>
        <w:t>Saskaņā ar F</w:t>
      </w:r>
      <w:r w:rsidR="1F00433F" w:rsidRPr="7842FC33">
        <w:rPr>
          <w:rFonts w:cs="Times New Roman"/>
        </w:rPr>
        <w:t>M</w:t>
      </w:r>
      <w:r w:rsidR="59CE46D3" w:rsidRPr="7842FC33">
        <w:rPr>
          <w:rFonts w:cs="Times New Roman"/>
        </w:rPr>
        <w:t xml:space="preserve"> </w:t>
      </w:r>
      <w:r w:rsidRPr="7842FC33">
        <w:rPr>
          <w:rFonts w:cs="Times New Roman"/>
        </w:rPr>
        <w:t xml:space="preserve">informatīvajā ziņojumā “Par informācijas sistēmu pielāgošanu elektronisko rēķinu saņemšanai un apstrādei nodokļu administrēšanas vajadzībām” </w:t>
      </w:r>
      <w:r w:rsidR="5A3E1EEA" w:rsidRPr="7842FC33">
        <w:rPr>
          <w:rFonts w:cs="Times New Roman"/>
        </w:rPr>
        <w:t>izklāstīto redzējumu</w:t>
      </w:r>
      <w:r w:rsidRPr="7842FC33">
        <w:rPr>
          <w:rFonts w:cs="Times New Roman"/>
        </w:rPr>
        <w:t>, FM ieskatā ir nepieciešams</w:t>
      </w:r>
      <w:r w:rsidR="00616137">
        <w:rPr>
          <w:rFonts w:cs="Times New Roman"/>
        </w:rPr>
        <w:t xml:space="preserve"> </w:t>
      </w:r>
      <w:r w:rsidR="00616137" w:rsidRPr="00616137">
        <w:rPr>
          <w:rFonts w:cs="Times New Roman"/>
        </w:rPr>
        <w:t>plānot un nodrošināt stratēģiskā līmenī visas valsts pāreju uz digitālu dokumentu apriti</w:t>
      </w:r>
      <w:r w:rsidR="00616137">
        <w:rPr>
          <w:rFonts w:cs="Times New Roman"/>
        </w:rPr>
        <w:t>.</w:t>
      </w:r>
      <w:r w:rsidRPr="7842FC33">
        <w:rPr>
          <w:rFonts w:cs="Times New Roman"/>
        </w:rPr>
        <w:t xml:space="preserve"> </w:t>
      </w:r>
      <w:r w:rsidR="001D7AF9">
        <w:rPr>
          <w:rFonts w:eastAsia="Times New Roman" w:cs="Times New Roman"/>
          <w:szCs w:val="24"/>
        </w:rPr>
        <w:t xml:space="preserve">FM uzsvēra, ka </w:t>
      </w:r>
      <w:r w:rsidR="1F27418D" w:rsidRPr="7842FC33">
        <w:rPr>
          <w:rFonts w:eastAsia="Times New Roman" w:cs="Times New Roman"/>
          <w:szCs w:val="24"/>
        </w:rPr>
        <w:t xml:space="preserve">lietderīgi ir </w:t>
      </w:r>
      <w:r w:rsidRPr="7842FC33">
        <w:rPr>
          <w:rFonts w:cs="Times New Roman"/>
        </w:rPr>
        <w:t xml:space="preserve">visu valsts </w:t>
      </w:r>
      <w:r w:rsidR="00616137" w:rsidRPr="00616137">
        <w:rPr>
          <w:rFonts w:cs="Times New Roman"/>
        </w:rPr>
        <w:t>digitālu dokumentu pieeju un apriti</w:t>
      </w:r>
      <w:r w:rsidRPr="7842FC33">
        <w:rPr>
          <w:rFonts w:cs="Times New Roman"/>
        </w:rPr>
        <w:t xml:space="preserve"> veidot vienotā kopējā konceptā un stratēģijā valsts līmenī, lai darbības nedublējas un nodokļu maksātājam nevajadzētu vienu un to pašu informāciju ievadīt dažādās nesaistītās informācijas sistēmās. Līdz ar to </w:t>
      </w:r>
      <w:r w:rsidR="5EF2FC58" w:rsidRPr="7842FC33">
        <w:rPr>
          <w:rFonts w:eastAsia="Times New Roman" w:cs="Times New Roman"/>
          <w:szCs w:val="24"/>
        </w:rPr>
        <w:t xml:space="preserve">tiktu nodrošināta efektīvāka </w:t>
      </w:r>
      <w:r w:rsidR="00954C4B" w:rsidRPr="00954C4B">
        <w:rPr>
          <w:rFonts w:eastAsia="Times New Roman" w:cs="Times New Roman"/>
          <w:szCs w:val="24"/>
        </w:rPr>
        <w:t>informācijas un datu aprite</w:t>
      </w:r>
      <w:r w:rsidRPr="7842FC33">
        <w:rPr>
          <w:rFonts w:cs="Times New Roman"/>
        </w:rPr>
        <w:t xml:space="preserve"> gan nodokļu administrācijai, gan nodokļu maksātājiem, gan arī citām iestādēm.</w:t>
      </w:r>
    </w:p>
    <w:p w14:paraId="02B01D1A" w14:textId="2D472D31" w:rsidR="001218D7" w:rsidRPr="005F7428" w:rsidRDefault="001218D7" w:rsidP="00C243E0">
      <w:pPr>
        <w:spacing w:after="0" w:line="276" w:lineRule="auto"/>
        <w:ind w:firstLine="432"/>
        <w:rPr>
          <w:rFonts w:cs="Times New Roman"/>
        </w:rPr>
      </w:pPr>
      <w:r w:rsidRPr="7842FC33">
        <w:rPr>
          <w:rFonts w:cs="Times New Roman"/>
        </w:rPr>
        <w:t xml:space="preserve">Savukārt </w:t>
      </w:r>
      <w:r w:rsidR="004407F1">
        <w:rPr>
          <w:rFonts w:cs="Times New Roman"/>
        </w:rPr>
        <w:t>EM</w:t>
      </w:r>
      <w:r w:rsidRPr="7842FC33">
        <w:rPr>
          <w:rFonts w:cs="Times New Roman"/>
        </w:rPr>
        <w:t xml:space="preserve"> informatīvajā ziņojumā “Par </w:t>
      </w:r>
      <w:proofErr w:type="spellStart"/>
      <w:r w:rsidRPr="7842FC33">
        <w:rPr>
          <w:rFonts w:cs="Times New Roman"/>
        </w:rPr>
        <w:t>blokķēdes</w:t>
      </w:r>
      <w:proofErr w:type="spellEnd"/>
      <w:r w:rsidRPr="7842FC33">
        <w:rPr>
          <w:rFonts w:cs="Times New Roman"/>
        </w:rPr>
        <w:t xml:space="preserve"> tehnoloģijas izmantošanas iespējām kases aparātos un citās ierīcēs ēnu ekonomikas mazināšanas nolūkos” EM saskata nepieciešamību ieviest </w:t>
      </w:r>
      <w:proofErr w:type="spellStart"/>
      <w:r w:rsidRPr="7842FC33">
        <w:rPr>
          <w:rFonts w:cs="Times New Roman"/>
        </w:rPr>
        <w:t>blokķēdes</w:t>
      </w:r>
      <w:proofErr w:type="spellEnd"/>
      <w:r w:rsidRPr="7842FC33">
        <w:rPr>
          <w:rFonts w:cs="Times New Roman"/>
        </w:rPr>
        <w:t xml:space="preserve"> tehnoloģijā balstītu risinājumu kases aparātu funkciju veikšanai un komersantu darījumu datu no</w:t>
      </w:r>
      <w:r w:rsidR="00F26C24">
        <w:rPr>
          <w:rFonts w:cs="Times New Roman"/>
        </w:rPr>
        <w:t>došanai VID tiešsaistes režīmā.</w:t>
      </w:r>
    </w:p>
    <w:p w14:paraId="3959151C" w14:textId="3465450A" w:rsidR="00602E35" w:rsidRPr="005F7428" w:rsidRDefault="736C02B5" w:rsidP="00C243E0">
      <w:pPr>
        <w:spacing w:after="0" w:line="276" w:lineRule="auto"/>
        <w:ind w:firstLine="432"/>
        <w:rPr>
          <w:rFonts w:cs="Times New Roman"/>
          <w:szCs w:val="24"/>
        </w:rPr>
      </w:pPr>
      <w:r w:rsidRPr="7842FC33">
        <w:rPr>
          <w:rFonts w:cs="Times New Roman"/>
        </w:rPr>
        <w:t xml:space="preserve">Ar </w:t>
      </w:r>
      <w:r w:rsidR="009F4856">
        <w:rPr>
          <w:rFonts w:cs="Times New Roman"/>
        </w:rPr>
        <w:t>FM</w:t>
      </w:r>
      <w:r w:rsidR="00006081">
        <w:rPr>
          <w:rFonts w:cs="Times New Roman"/>
        </w:rPr>
        <w:t xml:space="preserve"> valsts sekretāres</w:t>
      </w:r>
      <w:r w:rsidR="552F6A27" w:rsidRPr="7842FC33">
        <w:rPr>
          <w:rFonts w:cs="Times New Roman"/>
        </w:rPr>
        <w:t xml:space="preserve"> </w:t>
      </w:r>
      <w:r w:rsidRPr="7842FC33">
        <w:rPr>
          <w:rFonts w:cs="Times New Roman"/>
        </w:rPr>
        <w:t>2020.</w:t>
      </w:r>
      <w:r w:rsidR="00DA4E86">
        <w:rPr>
          <w:rFonts w:cs="Times New Roman"/>
        </w:rPr>
        <w:t> </w:t>
      </w:r>
      <w:r w:rsidRPr="7842FC33">
        <w:rPr>
          <w:rFonts w:cs="Times New Roman"/>
        </w:rPr>
        <w:t xml:space="preserve">gada </w:t>
      </w:r>
      <w:r w:rsidR="2A6B9D3E" w:rsidRPr="7842FC33">
        <w:rPr>
          <w:rFonts w:cs="Times New Roman"/>
        </w:rPr>
        <w:t>16.</w:t>
      </w:r>
      <w:r w:rsidR="00DA4E86">
        <w:rPr>
          <w:rFonts w:cs="Times New Roman"/>
        </w:rPr>
        <w:t> </w:t>
      </w:r>
      <w:r w:rsidR="2A6B9D3E" w:rsidRPr="7842FC33">
        <w:rPr>
          <w:rFonts w:cs="Times New Roman"/>
        </w:rPr>
        <w:t>septembra rīkojumu Nr.</w:t>
      </w:r>
      <w:r w:rsidR="00DA4E86">
        <w:rPr>
          <w:rFonts w:cs="Times New Roman"/>
        </w:rPr>
        <w:t> </w:t>
      </w:r>
      <w:r w:rsidR="2A6B9D3E" w:rsidRPr="7842FC33">
        <w:rPr>
          <w:rFonts w:cs="Times New Roman"/>
        </w:rPr>
        <w:t xml:space="preserve">355 “Par darba grupas izveidi” tika izveidota </w:t>
      </w:r>
      <w:r w:rsidR="38F6634C" w:rsidRPr="7842FC33">
        <w:rPr>
          <w:rFonts w:cs="Times New Roman"/>
        </w:rPr>
        <w:t xml:space="preserve">darba grupa, </w:t>
      </w:r>
      <w:r w:rsidR="00790615">
        <w:rPr>
          <w:rFonts w:eastAsia="Times New Roman" w:cs="Times New Roman"/>
          <w:szCs w:val="24"/>
        </w:rPr>
        <w:t>lai izvērtētu attaisnojuma</w:t>
      </w:r>
      <w:r w:rsidR="38F6634C" w:rsidRPr="7842FC33">
        <w:rPr>
          <w:rFonts w:eastAsia="Times New Roman" w:cs="Times New Roman"/>
          <w:szCs w:val="24"/>
        </w:rPr>
        <w:t xml:space="preserve"> dokumentu un preču </w:t>
      </w:r>
      <w:r w:rsidR="00556551">
        <w:rPr>
          <w:rFonts w:eastAsia="Times New Roman" w:cs="Times New Roman"/>
          <w:szCs w:val="24"/>
        </w:rPr>
        <w:t xml:space="preserve">piegādes </w:t>
      </w:r>
      <w:r w:rsidR="38F6634C" w:rsidRPr="7842FC33">
        <w:rPr>
          <w:rFonts w:eastAsia="Times New Roman" w:cs="Times New Roman"/>
          <w:szCs w:val="24"/>
        </w:rPr>
        <w:t xml:space="preserve">dokumentu elektroniskās aprites sistēmas ieviešanu, izvērtētu sistēmas ieviešanas ieguvumus, riskus, sistēmas ieviešanas izmaksas, vienlaicīgi izvērtētu </w:t>
      </w:r>
      <w:proofErr w:type="spellStart"/>
      <w:r w:rsidR="38F6634C" w:rsidRPr="7842FC33">
        <w:rPr>
          <w:rFonts w:eastAsia="Times New Roman" w:cs="Times New Roman"/>
          <w:szCs w:val="24"/>
        </w:rPr>
        <w:t>blokķēdes</w:t>
      </w:r>
      <w:proofErr w:type="spellEnd"/>
      <w:r w:rsidR="38F6634C" w:rsidRPr="7842FC33">
        <w:rPr>
          <w:rFonts w:eastAsia="Times New Roman" w:cs="Times New Roman"/>
          <w:szCs w:val="24"/>
        </w:rPr>
        <w:t xml:space="preserve"> tehnoloģijas izmantošanas iespējas kases aparātos un tajos reģistrēto datu nodošanu </w:t>
      </w:r>
      <w:r w:rsidR="009F4856">
        <w:rPr>
          <w:rFonts w:eastAsia="Times New Roman" w:cs="Times New Roman"/>
          <w:szCs w:val="24"/>
        </w:rPr>
        <w:t xml:space="preserve">VID </w:t>
      </w:r>
      <w:r w:rsidR="38F6634C" w:rsidRPr="7842FC33">
        <w:rPr>
          <w:rFonts w:eastAsia="Times New Roman" w:cs="Times New Roman"/>
          <w:szCs w:val="24"/>
        </w:rPr>
        <w:t>tiešsaistes režīmā, kā arī izstrādātu priekšlikumus tālākai rīcībai. Da</w:t>
      </w:r>
      <w:r w:rsidR="00F26C24">
        <w:rPr>
          <w:rFonts w:eastAsia="Times New Roman" w:cs="Times New Roman"/>
          <w:szCs w:val="24"/>
        </w:rPr>
        <w:t>r</w:t>
      </w:r>
      <w:r w:rsidR="38F6634C" w:rsidRPr="7842FC33">
        <w:rPr>
          <w:rFonts w:eastAsia="Times New Roman" w:cs="Times New Roman"/>
          <w:szCs w:val="24"/>
        </w:rPr>
        <w:t xml:space="preserve">ba </w:t>
      </w:r>
      <w:r w:rsidR="38F6634C" w:rsidRPr="7842FC33">
        <w:rPr>
          <w:rFonts w:eastAsia="Times New Roman" w:cs="Times New Roman"/>
          <w:szCs w:val="24"/>
        </w:rPr>
        <w:lastRenderedPageBreak/>
        <w:t>grupas darbības laikā tika izvērtēt</w:t>
      </w:r>
      <w:r w:rsidR="009F4856">
        <w:rPr>
          <w:rFonts w:eastAsia="Times New Roman" w:cs="Times New Roman"/>
          <w:szCs w:val="24"/>
        </w:rPr>
        <w:t>a</w:t>
      </w:r>
      <w:r w:rsidR="38F6634C" w:rsidRPr="7842FC33">
        <w:rPr>
          <w:rFonts w:eastAsia="Times New Roman" w:cs="Times New Roman"/>
          <w:szCs w:val="24"/>
        </w:rPr>
        <w:t xml:space="preserve"> esošajos plānošanas dokumentos </w:t>
      </w:r>
      <w:r w:rsidR="009F4856" w:rsidRPr="7842FC33">
        <w:rPr>
          <w:rFonts w:eastAsia="Times New Roman" w:cs="Times New Roman"/>
          <w:szCs w:val="24"/>
        </w:rPr>
        <w:t>noteikt</w:t>
      </w:r>
      <w:r w:rsidR="008D5054">
        <w:rPr>
          <w:rFonts w:eastAsia="Times New Roman" w:cs="Times New Roman"/>
          <w:szCs w:val="24"/>
        </w:rPr>
        <w:t>ais</w:t>
      </w:r>
      <w:r w:rsidR="009F4856" w:rsidRPr="7842FC33">
        <w:rPr>
          <w:rFonts w:eastAsia="Times New Roman" w:cs="Times New Roman"/>
          <w:szCs w:val="24"/>
        </w:rPr>
        <w:t xml:space="preserve"> </w:t>
      </w:r>
      <w:r w:rsidR="126671A3" w:rsidRPr="7842FC33">
        <w:rPr>
          <w:rFonts w:eastAsia="Times New Roman" w:cs="Times New Roman"/>
          <w:szCs w:val="24"/>
        </w:rPr>
        <w:t>informācijas aprite</w:t>
      </w:r>
      <w:r w:rsidR="008D5054">
        <w:rPr>
          <w:rFonts w:eastAsia="Times New Roman" w:cs="Times New Roman"/>
          <w:szCs w:val="24"/>
        </w:rPr>
        <w:t>s</w:t>
      </w:r>
      <w:r w:rsidR="126671A3" w:rsidRPr="7842FC33">
        <w:rPr>
          <w:rFonts w:eastAsia="Times New Roman" w:cs="Times New Roman"/>
          <w:szCs w:val="24"/>
        </w:rPr>
        <w:t xml:space="preserve"> </w:t>
      </w:r>
      <w:proofErr w:type="spellStart"/>
      <w:r w:rsidR="126671A3" w:rsidRPr="7842FC33">
        <w:rPr>
          <w:rFonts w:eastAsia="Times New Roman" w:cs="Times New Roman"/>
          <w:szCs w:val="24"/>
        </w:rPr>
        <w:t>digitalizāci</w:t>
      </w:r>
      <w:r w:rsidR="3AEFB537" w:rsidRPr="7842FC33">
        <w:rPr>
          <w:rFonts w:eastAsia="Times New Roman" w:cs="Times New Roman"/>
          <w:szCs w:val="24"/>
        </w:rPr>
        <w:t>jā</w:t>
      </w:r>
      <w:proofErr w:type="spellEnd"/>
      <w:r w:rsidR="001D7AF9">
        <w:rPr>
          <w:rFonts w:eastAsia="Times New Roman" w:cs="Times New Roman"/>
          <w:szCs w:val="24"/>
        </w:rPr>
        <w:t xml:space="preserve">, </w:t>
      </w:r>
      <w:r w:rsidR="3406F9D6" w:rsidRPr="7842FC33">
        <w:rPr>
          <w:rFonts w:eastAsia="Times New Roman" w:cs="Times New Roman"/>
          <w:szCs w:val="24"/>
        </w:rPr>
        <w:t>izskatītas jau uz</w:t>
      </w:r>
      <w:r w:rsidR="00795889">
        <w:rPr>
          <w:rFonts w:eastAsia="Times New Roman" w:cs="Times New Roman"/>
          <w:szCs w:val="24"/>
        </w:rPr>
        <w:t>s</w:t>
      </w:r>
      <w:r w:rsidR="3406F9D6" w:rsidRPr="7842FC33">
        <w:rPr>
          <w:rFonts w:eastAsia="Times New Roman" w:cs="Times New Roman"/>
          <w:szCs w:val="24"/>
        </w:rPr>
        <w:t>ākt</w:t>
      </w:r>
      <w:r w:rsidR="092C3C94" w:rsidRPr="7842FC33">
        <w:rPr>
          <w:rFonts w:eastAsia="Times New Roman" w:cs="Times New Roman"/>
          <w:szCs w:val="24"/>
        </w:rPr>
        <w:t>ā</w:t>
      </w:r>
      <w:r w:rsidR="3406F9D6" w:rsidRPr="7842FC33">
        <w:rPr>
          <w:rFonts w:eastAsia="Times New Roman" w:cs="Times New Roman"/>
          <w:szCs w:val="24"/>
        </w:rPr>
        <w:t xml:space="preserve">s iniciatīvas </w:t>
      </w:r>
      <w:r w:rsidR="00790615">
        <w:rPr>
          <w:rFonts w:eastAsia="Times New Roman" w:cs="Times New Roman"/>
          <w:szCs w:val="24"/>
        </w:rPr>
        <w:t>un paveiktais darbs attaisnojuma</w:t>
      </w:r>
      <w:r w:rsidR="3406F9D6" w:rsidRPr="7842FC33">
        <w:rPr>
          <w:rFonts w:eastAsia="Times New Roman" w:cs="Times New Roman"/>
          <w:szCs w:val="24"/>
        </w:rPr>
        <w:t xml:space="preserve"> dokumentu (rēķinu, pavadzīmju u</w:t>
      </w:r>
      <w:r w:rsidR="13596C6F" w:rsidRPr="7842FC33">
        <w:rPr>
          <w:rFonts w:eastAsia="Times New Roman" w:cs="Times New Roman"/>
          <w:szCs w:val="24"/>
        </w:rPr>
        <w:t>.c.) elektroniskas aprites vides izveidošanai. Darba grup</w:t>
      </w:r>
      <w:r w:rsidR="00F26C24">
        <w:rPr>
          <w:rFonts w:eastAsia="Times New Roman" w:cs="Times New Roman"/>
          <w:szCs w:val="24"/>
        </w:rPr>
        <w:t>as darbības</w:t>
      </w:r>
      <w:r w:rsidR="027C865F" w:rsidRPr="7842FC33">
        <w:rPr>
          <w:rFonts w:eastAsia="Times New Roman" w:cs="Times New Roman"/>
          <w:szCs w:val="24"/>
        </w:rPr>
        <w:t xml:space="preserve"> rezultātā tika izvērtēts l</w:t>
      </w:r>
      <w:r w:rsidR="6E17F39D" w:rsidRPr="7842FC33">
        <w:rPr>
          <w:rFonts w:eastAsia="Times New Roman" w:cs="Times New Roman"/>
          <w:szCs w:val="24"/>
        </w:rPr>
        <w:t xml:space="preserve">īdz šim paveiktais un </w:t>
      </w:r>
      <w:r w:rsidR="009F4856">
        <w:rPr>
          <w:rFonts w:eastAsia="Times New Roman" w:cs="Times New Roman"/>
          <w:szCs w:val="24"/>
        </w:rPr>
        <w:t xml:space="preserve">definētas </w:t>
      </w:r>
      <w:r w:rsidR="006F3F92">
        <w:rPr>
          <w:rFonts w:eastAsia="Times New Roman" w:cs="Times New Roman"/>
          <w:szCs w:val="24"/>
        </w:rPr>
        <w:t xml:space="preserve">nākotnes </w:t>
      </w:r>
      <w:r w:rsidR="6E17F39D" w:rsidRPr="7842FC33">
        <w:rPr>
          <w:rFonts w:eastAsia="Times New Roman" w:cs="Times New Roman"/>
          <w:szCs w:val="24"/>
        </w:rPr>
        <w:t>i</w:t>
      </w:r>
      <w:r w:rsidR="027C865F" w:rsidRPr="7842FC33">
        <w:rPr>
          <w:rFonts w:eastAsia="Times New Roman" w:cs="Times New Roman"/>
          <w:szCs w:val="24"/>
        </w:rPr>
        <w:t>espējas</w:t>
      </w:r>
      <w:r w:rsidR="59B360DC" w:rsidRPr="7842FC33">
        <w:rPr>
          <w:rFonts w:eastAsia="Times New Roman" w:cs="Times New Roman"/>
          <w:szCs w:val="24"/>
        </w:rPr>
        <w:t xml:space="preserve"> attaisnojuma dokumentu elektroniskas aprites sistēmas ieviešanai.</w:t>
      </w:r>
      <w:r w:rsidR="00602E35" w:rsidRPr="005F7428">
        <w:rPr>
          <w:rFonts w:cs="Times New Roman"/>
          <w:szCs w:val="24"/>
        </w:rPr>
        <w:br w:type="page"/>
      </w:r>
    </w:p>
    <w:p w14:paraId="298BA286" w14:textId="28E0C9AB" w:rsidR="003D759C" w:rsidRDefault="001B73F1" w:rsidP="00EC26E0">
      <w:pPr>
        <w:pStyle w:val="Heading1"/>
        <w:jc w:val="left"/>
      </w:pPr>
      <w:bookmarkStart w:id="1" w:name="_Toc72136646"/>
      <w:r>
        <w:lastRenderedPageBreak/>
        <w:t>Esošā situācija</w:t>
      </w:r>
      <w:r w:rsidR="003D759C">
        <w:t xml:space="preserve"> darījumu attaisnojuma dokumentu </w:t>
      </w:r>
      <w:r w:rsidR="57098622">
        <w:t>elektroniskā apritē</w:t>
      </w:r>
      <w:bookmarkEnd w:id="1"/>
    </w:p>
    <w:p w14:paraId="6C682AD5" w14:textId="17C7063C" w:rsidR="009A52F3" w:rsidRDefault="00D56985" w:rsidP="009A52F3">
      <w:pPr>
        <w:pStyle w:val="Heading2"/>
      </w:pPr>
      <w:bookmarkStart w:id="2" w:name="_Toc72136647"/>
      <w:r>
        <w:t>E-rē</w:t>
      </w:r>
      <w:r w:rsidR="001B73F1">
        <w:t>ķinu tiesiskais regulējums un</w:t>
      </w:r>
      <w:r>
        <w:t xml:space="preserve"> lietošana Latvijā</w:t>
      </w:r>
      <w:bookmarkEnd w:id="2"/>
    </w:p>
    <w:p w14:paraId="734014B4" w14:textId="77777777" w:rsidR="009A52F3" w:rsidRPr="00795889" w:rsidRDefault="009A52F3" w:rsidP="7842FC33">
      <w:pPr>
        <w:rPr>
          <w:rFonts w:eastAsia="Times New Roman" w:cs="Times New Roman"/>
        </w:rPr>
      </w:pPr>
    </w:p>
    <w:p w14:paraId="0E0B19E8" w14:textId="17589962" w:rsidR="08B8CCE3" w:rsidRDefault="08B8CCE3" w:rsidP="00F65DFC">
      <w:pPr>
        <w:spacing w:line="276" w:lineRule="auto"/>
        <w:ind w:firstLine="576"/>
        <w:rPr>
          <w:rFonts w:eastAsia="Times New Roman" w:cs="Times New Roman"/>
          <w:szCs w:val="24"/>
        </w:rPr>
      </w:pPr>
      <w:r w:rsidRPr="7842FC33">
        <w:rPr>
          <w:rFonts w:eastAsia="Times New Roman" w:cs="Times New Roman"/>
          <w:szCs w:val="24"/>
        </w:rPr>
        <w:t>Vērtējot darījumu attaisnojuma dokume</w:t>
      </w:r>
      <w:r w:rsidR="00587349">
        <w:rPr>
          <w:rFonts w:eastAsia="Times New Roman" w:cs="Times New Roman"/>
          <w:szCs w:val="24"/>
        </w:rPr>
        <w:t>ntu elektronisko apstrādes praksi</w:t>
      </w:r>
      <w:r w:rsidRPr="7842FC33">
        <w:rPr>
          <w:rFonts w:eastAsia="Times New Roman" w:cs="Times New Roman"/>
          <w:szCs w:val="24"/>
        </w:rPr>
        <w:t xml:space="preserve"> Latvijā, secināms, ka šobrīd</w:t>
      </w:r>
      <w:r w:rsidR="00886592">
        <w:rPr>
          <w:rFonts w:eastAsia="Times New Roman" w:cs="Times New Roman"/>
          <w:szCs w:val="24"/>
        </w:rPr>
        <w:t xml:space="preserve"> attaisnojuma dokumenta veidu –</w:t>
      </w:r>
      <w:r w:rsidRPr="7842FC33">
        <w:rPr>
          <w:rFonts w:eastAsia="Times New Roman" w:cs="Times New Roman"/>
          <w:szCs w:val="24"/>
        </w:rPr>
        <w:t xml:space="preserve"> rēķinu </w:t>
      </w:r>
      <w:r w:rsidR="008D5240" w:rsidRPr="7842FC33">
        <w:rPr>
          <w:rFonts w:eastAsia="Times New Roman" w:cs="Times New Roman"/>
          <w:szCs w:val="24"/>
        </w:rPr>
        <w:t xml:space="preserve">elektronisko </w:t>
      </w:r>
      <w:r w:rsidRPr="7842FC33">
        <w:rPr>
          <w:rFonts w:eastAsia="Times New Roman" w:cs="Times New Roman"/>
          <w:szCs w:val="24"/>
        </w:rPr>
        <w:t xml:space="preserve">sagatavošanu </w:t>
      </w:r>
      <w:r w:rsidR="008D5240">
        <w:rPr>
          <w:rFonts w:eastAsia="Times New Roman" w:cs="Times New Roman"/>
          <w:szCs w:val="24"/>
        </w:rPr>
        <w:t xml:space="preserve">visaktīvāk izmanto </w:t>
      </w:r>
      <w:r w:rsidR="008D5240" w:rsidRPr="008D5240">
        <w:rPr>
          <w:rFonts w:eastAsia="Times New Roman" w:cs="Times New Roman"/>
          <w:szCs w:val="24"/>
        </w:rPr>
        <w:t xml:space="preserve">telekomunikāciju, mediju, apdrošināšanas, nekustamā īpašuma apsaimniekošanas jomā darbojošies uzņēmumi, kuri tālāk tos </w:t>
      </w:r>
      <w:proofErr w:type="spellStart"/>
      <w:r w:rsidR="008D5240" w:rsidRPr="008D5240">
        <w:rPr>
          <w:rFonts w:eastAsia="Times New Roman" w:cs="Times New Roman"/>
          <w:szCs w:val="24"/>
        </w:rPr>
        <w:t>nosūta</w:t>
      </w:r>
      <w:proofErr w:type="spellEnd"/>
      <w:r w:rsidR="008D5240" w:rsidRPr="008D5240">
        <w:rPr>
          <w:rFonts w:eastAsia="Times New Roman" w:cs="Times New Roman"/>
          <w:szCs w:val="24"/>
        </w:rPr>
        <w:t xml:space="preserve"> saviem klientiem</w:t>
      </w:r>
      <w:r w:rsidR="00FC7BB9">
        <w:rPr>
          <w:rFonts w:eastAsia="Times New Roman" w:cs="Times New Roman"/>
          <w:szCs w:val="24"/>
        </w:rPr>
        <w:t xml:space="preserve"> samaksāšanai</w:t>
      </w:r>
      <w:r w:rsidR="00790615">
        <w:rPr>
          <w:rFonts w:eastAsia="Times New Roman" w:cs="Times New Roman"/>
          <w:szCs w:val="24"/>
        </w:rPr>
        <w:t>. Pašlaik darījumu attaisnojuma</w:t>
      </w:r>
      <w:r w:rsidRPr="7842FC33">
        <w:rPr>
          <w:rFonts w:eastAsia="Times New Roman" w:cs="Times New Roman"/>
          <w:szCs w:val="24"/>
        </w:rPr>
        <w:t xml:space="preserve"> dokumentu</w:t>
      </w:r>
      <w:r w:rsidR="00FC7BB9">
        <w:rPr>
          <w:rFonts w:eastAsia="Times New Roman" w:cs="Times New Roman"/>
          <w:szCs w:val="24"/>
        </w:rPr>
        <w:t xml:space="preserve"> – rēķinu</w:t>
      </w:r>
      <w:r w:rsidR="001955B6">
        <w:rPr>
          <w:rFonts w:eastAsia="Times New Roman" w:cs="Times New Roman"/>
          <w:szCs w:val="24"/>
        </w:rPr>
        <w:t xml:space="preserve"> elektroniska lietošana Latvijā</w:t>
      </w:r>
      <w:r w:rsidR="001955B6" w:rsidRPr="001955B6">
        <w:rPr>
          <w:rFonts w:eastAsia="Times New Roman" w:cs="Times New Roman"/>
          <w:szCs w:val="24"/>
        </w:rPr>
        <w:t xml:space="preserve"> nav obligāta, proti, gan juridiskām, gan</w:t>
      </w:r>
      <w:r w:rsidR="001955B6">
        <w:rPr>
          <w:rFonts w:eastAsia="Times New Roman" w:cs="Times New Roman"/>
          <w:szCs w:val="24"/>
        </w:rPr>
        <w:t xml:space="preserve"> </w:t>
      </w:r>
      <w:r w:rsidR="001955B6" w:rsidRPr="001955B6">
        <w:rPr>
          <w:rFonts w:eastAsia="Times New Roman" w:cs="Times New Roman"/>
          <w:szCs w:val="24"/>
        </w:rPr>
        <w:t>fiziskām personām ir tiesības (iespējas) brīvi izvēlēties šādu pakalpojumu izmantot vai neizmantot.</w:t>
      </w:r>
    </w:p>
    <w:p w14:paraId="33E1F3F7" w14:textId="35AE007D" w:rsidR="00333520" w:rsidRDefault="00333520" w:rsidP="00333520">
      <w:pPr>
        <w:spacing w:line="276" w:lineRule="auto"/>
        <w:ind w:firstLine="576"/>
        <w:rPr>
          <w:rFonts w:eastAsia="Times New Roman" w:cs="Times New Roman"/>
          <w:szCs w:val="24"/>
        </w:rPr>
      </w:pPr>
      <w:r w:rsidRPr="00333520">
        <w:rPr>
          <w:rFonts w:eastAsia="Times New Roman" w:cs="Times New Roman"/>
          <w:szCs w:val="24"/>
        </w:rPr>
        <w:t xml:space="preserve">Likuma “Par grāmatvedību” 7. pants nosaka, ka grāmatvedības reģistros izdara ierakstus, kas pamatoti ar attaisnojuma dokumentiem. Attaisnojuma dokuments ir dokuments, kurš apliecina uzņēmuma saimnieciskā darījuma esamību un kurā ietverti likuma noteiktie dokumenta rekvizīti un informācija par saimniecisko darījumu. Līdz ar to elektroniskais rēķins likuma “Par grāmatvedību” izpratnē ir </w:t>
      </w:r>
      <w:r w:rsidR="00FC7BB9">
        <w:rPr>
          <w:rFonts w:eastAsia="Times New Roman" w:cs="Times New Roman"/>
          <w:szCs w:val="24"/>
        </w:rPr>
        <w:t xml:space="preserve">viens no </w:t>
      </w:r>
      <w:r w:rsidRPr="00333520">
        <w:rPr>
          <w:rFonts w:eastAsia="Times New Roman" w:cs="Times New Roman"/>
          <w:szCs w:val="24"/>
        </w:rPr>
        <w:t xml:space="preserve">attaisnojuma </w:t>
      </w:r>
      <w:r w:rsidR="00FC7BB9">
        <w:rPr>
          <w:rFonts w:eastAsia="Times New Roman" w:cs="Times New Roman"/>
          <w:szCs w:val="24"/>
        </w:rPr>
        <w:t>dokumentu veidiem</w:t>
      </w:r>
      <w:r w:rsidRPr="00333520">
        <w:rPr>
          <w:rFonts w:eastAsia="Times New Roman" w:cs="Times New Roman"/>
          <w:szCs w:val="24"/>
        </w:rPr>
        <w:t xml:space="preserve">. Saskaņā ar Pievienotās vērtības nodokļa likuma 125. pantā noteikto, par </w:t>
      </w:r>
      <w:r w:rsidR="009B7BA5">
        <w:rPr>
          <w:rFonts w:eastAsia="Times New Roman" w:cs="Times New Roman"/>
          <w:szCs w:val="24"/>
        </w:rPr>
        <w:t xml:space="preserve">pievienotās </w:t>
      </w:r>
      <w:r w:rsidR="00F53FA9" w:rsidRPr="00F53FA9">
        <w:rPr>
          <w:rFonts w:eastAsia="Times New Roman" w:cs="Times New Roman"/>
          <w:szCs w:val="24"/>
        </w:rPr>
        <w:t>vērtības nodokļa (turpmāk – PVN)</w:t>
      </w:r>
      <w:r w:rsidR="009B7BA5">
        <w:rPr>
          <w:rFonts w:eastAsia="Times New Roman" w:cs="Times New Roman"/>
          <w:szCs w:val="24"/>
        </w:rPr>
        <w:t xml:space="preserve"> rēķinu</w:t>
      </w:r>
      <w:r w:rsidRPr="00333520">
        <w:rPr>
          <w:rFonts w:eastAsia="Times New Roman" w:cs="Times New Roman"/>
          <w:szCs w:val="24"/>
        </w:rPr>
        <w:t xml:space="preserve"> uzskata dokumentu papīra vai elektroniskā formā, kurā norādīti likumā noteiktie rekvizīti un informācija, respektīvi, pašlaik Pievienotās vērtības nodokļa likuma izpratnē PVN rēķins var būt gan elektroniskā, gan papīra formā.</w:t>
      </w:r>
    </w:p>
    <w:p w14:paraId="156C3496" w14:textId="2886491C" w:rsidR="009F5CC0" w:rsidRDefault="00F53FA9" w:rsidP="00C243E0">
      <w:pPr>
        <w:spacing w:line="276" w:lineRule="auto"/>
        <w:ind w:firstLine="576"/>
      </w:pPr>
      <w:r w:rsidRPr="00F53FA9">
        <w:t>Likuma “Par grāmatvedību” pakārtot</w:t>
      </w:r>
      <w:r w:rsidR="008428EA">
        <w:t>aj</w:t>
      </w:r>
      <w:r w:rsidRPr="00F53FA9">
        <w:t>os Ministru kabineta 2003. gada 21. oktobra noteikumos Nr. 585 “Noteikumi par grāmatvedības kārtošanu un organizāciju” ir ietverta atsauce uz Latvijas Republikā pieņemto e-rēķinu standartu. Proti, ar minēto noteikumu 7.</w:t>
      </w:r>
      <w:r w:rsidRPr="00F53FA9">
        <w:rPr>
          <w:vertAlign w:val="superscript"/>
        </w:rPr>
        <w:t xml:space="preserve">7 </w:t>
      </w:r>
      <w:r w:rsidRPr="00F53FA9">
        <w:t>pantu noteikts, ka</w:t>
      </w:r>
      <w:r w:rsidR="008428EA">
        <w:t>,</w:t>
      </w:r>
      <w:r w:rsidRPr="00F53FA9">
        <w:t xml:space="preserve"> sagatavojot elektronisko rēķinu atbilstoši Eiropas Savienības standartam LVS EN 16931-1:2017 "Elektroniskie rēķini. 1. daļa. Elektronisko rēķinu pamatelementu semantisko datu modelis", uzņēmums to izraksta atbilstoši tehniskajā specifikācijā LVS CEN/TS 16931-2:2017 "Elektroniskie rēķini. 2. daļa: Standartam EN 16931-1 atbilstošo sintakšu saraksts" noteiktajai ISO/IEC 19845 (UBL 2.1) sintaksei</w:t>
      </w:r>
      <w:r>
        <w:t>.</w:t>
      </w:r>
      <w:r w:rsidR="009F5CC0">
        <w:t xml:space="preserve"> </w:t>
      </w:r>
    </w:p>
    <w:p w14:paraId="687852C7" w14:textId="04B52D16" w:rsidR="009F5CC0" w:rsidRDefault="009F5CC0" w:rsidP="00F65DFC">
      <w:pPr>
        <w:spacing w:line="276" w:lineRule="auto"/>
        <w:ind w:firstLine="720"/>
      </w:pPr>
      <w:r w:rsidRPr="009F5CC0">
        <w:t xml:space="preserve">Ar Eiropas </w:t>
      </w:r>
      <w:r w:rsidR="00C87C53" w:rsidRPr="00C87C53">
        <w:t xml:space="preserve">Parlamenta un Padomes direktīvu 2014/55/ES </w:t>
      </w:r>
      <w:r w:rsidR="00C87C53" w:rsidRPr="00C87C53">
        <w:rPr>
          <w:bCs/>
        </w:rPr>
        <w:t>par elektroniskajiem rēķiniem publiskā iepirkuma procedūrās</w:t>
      </w:r>
      <w:r w:rsidRPr="009F5CC0">
        <w:t xml:space="preserve"> tika noteikts, ka valsts tiešās pārvaldes iestādēm publiskajos iepirkumos jāspēj pieņemt elektroniskos rēķinus. </w:t>
      </w:r>
      <w:r w:rsidR="000E11F0">
        <w:t>A</w:t>
      </w:r>
      <w:r w:rsidRPr="009F5CC0">
        <w:t>r</w:t>
      </w:r>
      <w:r>
        <w:t xml:space="preserve"> </w:t>
      </w:r>
      <w:r w:rsidRPr="009F5CC0">
        <w:t xml:space="preserve">Ministru kabineta 2019. gada 9. aprīļa noteikumiem Nr. 154 </w:t>
      </w:r>
      <w:r w:rsidRPr="002422A4">
        <w:t>“</w:t>
      </w:r>
      <w:r w:rsidRPr="002422A4">
        <w:rPr>
          <w:iCs/>
        </w:rPr>
        <w:t>Piemērojamais elektroniskā rēķina standarts un tā pamatelementu izmantošanas specifikācija un aprites kārtība</w:t>
      </w:r>
      <w:r w:rsidRPr="002422A4">
        <w:t xml:space="preserve">” </w:t>
      </w:r>
      <w:r w:rsidRPr="009F5CC0">
        <w:t xml:space="preserve">tika noteikts, ka “pasūtītājs, sabiedrisko pakalpojumu sniedzējs, kā arī publiskais partneris vai tā pārstāvis pieņem elektroniskā veidā sagatavoto un izsniegto rēķinu, kas atbilst piemērojamajam elektroniskā rēķina standartam. Minētajos noteikumos ar piemērojamo elektroniskā rēķina standartu izprot dokumentu kopumu, uz kuru atsauce publicēta Eiropas Savienības Oficiālajā Vēstnesī un ko veido Latvijas nacionālā standarta statusā adaptētais Eiropas Savienības standarts LVS EN 16931-1:2017 "Elektroniskie </w:t>
      </w:r>
      <w:r w:rsidR="00231944" w:rsidRPr="009F5CC0">
        <w:t>rēķini</w:t>
      </w:r>
      <w:r w:rsidRPr="009F5CC0">
        <w:t>.</w:t>
      </w:r>
      <w:r w:rsidR="00231944">
        <w:t xml:space="preserve"> </w:t>
      </w:r>
      <w:r w:rsidR="00231944" w:rsidRPr="00231944">
        <w:t xml:space="preserve">1. daļa. Elektronisko rēķinu pamatelementu semantisko datu </w:t>
      </w:r>
      <w:r w:rsidR="00231944" w:rsidRPr="00231944">
        <w:lastRenderedPageBreak/>
        <w:t xml:space="preserve">modelis" un ar to saistītā tehniskā specifikācija LVS CEN/TS 16931-2:2017 "Elektroniskie rēķini. 2. daļa: Standartam EN 16931-1 atbilstošo sintakšu saraksts". Tātad piegādātājam, kas reģistrēts vai pastāvīgi dzīvo Latvijā, pasūtītājam, sabiedrisko pakalpojumu sniedzējam, kā arī publiskajam partnerim vai tā pārstāvim ir jāpieņem piegādātāja elektroniskā veidā sagatavoto un izsniegto elektronisko rēķinu, ja papildus piemērojamajam elektroniskā rēķina standartam, tas atbilst </w:t>
      </w:r>
      <w:proofErr w:type="spellStart"/>
      <w:r w:rsidR="00231944" w:rsidRPr="00231944">
        <w:t>Pan-European</w:t>
      </w:r>
      <w:proofErr w:type="spellEnd"/>
      <w:r w:rsidR="00231944" w:rsidRPr="00231944">
        <w:t xml:space="preserve"> </w:t>
      </w:r>
      <w:proofErr w:type="spellStart"/>
      <w:r w:rsidR="00231944" w:rsidRPr="00231944">
        <w:t>Public</w:t>
      </w:r>
      <w:proofErr w:type="spellEnd"/>
      <w:r w:rsidR="00231944" w:rsidRPr="00231944">
        <w:t xml:space="preserve"> </w:t>
      </w:r>
      <w:proofErr w:type="spellStart"/>
      <w:r w:rsidR="00231944" w:rsidRPr="00231944">
        <w:t>Procurement</w:t>
      </w:r>
      <w:proofErr w:type="spellEnd"/>
      <w:r w:rsidR="00231944" w:rsidRPr="00231944">
        <w:t xml:space="preserve"> </w:t>
      </w:r>
      <w:proofErr w:type="spellStart"/>
      <w:r w:rsidR="00231944" w:rsidRPr="00231944">
        <w:t>On</w:t>
      </w:r>
      <w:proofErr w:type="spellEnd"/>
      <w:r w:rsidR="00231944" w:rsidRPr="00231944">
        <w:t>-Line (</w:t>
      </w:r>
      <w:r w:rsidR="002422A4">
        <w:t xml:space="preserve">turpmāk – </w:t>
      </w:r>
      <w:r w:rsidR="00231944" w:rsidRPr="00231944">
        <w:t xml:space="preserve">PEPPOL) BIS </w:t>
      </w:r>
      <w:proofErr w:type="spellStart"/>
      <w:r w:rsidR="00231944" w:rsidRPr="00231944">
        <w:t>Billing</w:t>
      </w:r>
      <w:proofErr w:type="spellEnd"/>
      <w:r w:rsidR="00231944" w:rsidRPr="00231944">
        <w:t xml:space="preserve"> 3.0 elektronisko rēķinu pamatelementu izmantošanas specifikācijai (</w:t>
      </w:r>
      <w:proofErr w:type="spellStart"/>
      <w:r w:rsidR="00231944" w:rsidRPr="00231944">
        <w:t>Core</w:t>
      </w:r>
      <w:proofErr w:type="spellEnd"/>
      <w:r w:rsidR="00231944" w:rsidRPr="00231944">
        <w:t xml:space="preserve"> </w:t>
      </w:r>
      <w:proofErr w:type="spellStart"/>
      <w:r w:rsidR="00231944" w:rsidRPr="00231944">
        <w:t>Invoice</w:t>
      </w:r>
      <w:proofErr w:type="spellEnd"/>
      <w:r w:rsidR="00231944" w:rsidRPr="00231944">
        <w:t xml:space="preserve"> </w:t>
      </w:r>
      <w:proofErr w:type="spellStart"/>
      <w:r w:rsidR="00231944" w:rsidRPr="00231944">
        <w:t>Usage</w:t>
      </w:r>
      <w:proofErr w:type="spellEnd"/>
      <w:r w:rsidR="00231944" w:rsidRPr="00231944">
        <w:t xml:space="preserve"> </w:t>
      </w:r>
      <w:proofErr w:type="spellStart"/>
      <w:r w:rsidR="00231944" w:rsidRPr="00231944">
        <w:t>Specification</w:t>
      </w:r>
      <w:proofErr w:type="spellEnd"/>
      <w:r w:rsidR="00231944" w:rsidRPr="00231944">
        <w:t xml:space="preserve"> (CIUS), publicēta PEPPOL tīmekļvietnē http://docs.peppol.eu/poacc/billing/3.0/).</w:t>
      </w:r>
    </w:p>
    <w:p w14:paraId="7AF6405E" w14:textId="6FD8E3A5" w:rsidR="3E6754AB" w:rsidRDefault="00231944" w:rsidP="00C243E0">
      <w:pPr>
        <w:spacing w:line="276" w:lineRule="auto"/>
        <w:ind w:firstLine="720"/>
        <w:rPr>
          <w:rFonts w:eastAsia="Times New Roman" w:cs="Times New Roman"/>
        </w:rPr>
      </w:pPr>
      <w:r>
        <w:rPr>
          <w:rFonts w:eastAsia="Times New Roman" w:cs="Times New Roman"/>
        </w:rPr>
        <w:t>Iepriekš minētais r</w:t>
      </w:r>
      <w:r w:rsidR="508EDCAC" w:rsidRPr="1432AD22">
        <w:rPr>
          <w:rFonts w:eastAsia="Times New Roman" w:cs="Times New Roman"/>
        </w:rPr>
        <w:t>egulējums veicina elektronisko rēķinu ieviešanu publiskā iepirkuma procedūrās, nodrošinot juridisko noteiktību Eiropas Savienības dalībvalstu vidū, līdz ar to ļaujot Eiropas Savienības dalībvalstīm, pasūtītājiem un piegādātājiem radīt ievērojamus ieguvumus attiecībā uz ietaupījumiem, ietekmi uz vidi un administratīvā sloga samazināšanu. Šie noteikumi nosaka piemērojamo elektroniskā rēķina standartu, tā pamatelementu izmantošanas specifikāciju un aprites kārtību, kas ir jānodrošina, pirmkārt, publisko iepirkumu procedūrās.</w:t>
      </w:r>
    </w:p>
    <w:p w14:paraId="2F52C906" w14:textId="4FE7D80A" w:rsidR="007E1D33" w:rsidRPr="007E1D33" w:rsidRDefault="007E1D33" w:rsidP="00C243E0">
      <w:pPr>
        <w:spacing w:line="276" w:lineRule="auto"/>
        <w:ind w:firstLine="720"/>
        <w:rPr>
          <w:rFonts w:eastAsia="Times New Roman" w:cs="Times New Roman"/>
        </w:rPr>
      </w:pPr>
      <w:r w:rsidRPr="007E1D33">
        <w:rPr>
          <w:rFonts w:eastAsia="Times New Roman" w:cs="Times New Roman"/>
        </w:rPr>
        <w:t>PEPPOL ir starptautisks e-rēķinu tīkls, kas ļauj droši nosūtīt e-rēķinus uzņēmumiem un valsts institūcijām visā pasaulē. PEPPOL testa projektu izveidoja Eiropas Komisija 2008.</w:t>
      </w:r>
      <w:r w:rsidR="00985192">
        <w:rPr>
          <w:rFonts w:eastAsia="Times New Roman" w:cs="Times New Roman"/>
        </w:rPr>
        <w:t> </w:t>
      </w:r>
      <w:r w:rsidRPr="007E1D33">
        <w:rPr>
          <w:rFonts w:eastAsia="Times New Roman" w:cs="Times New Roman"/>
        </w:rPr>
        <w:t>gadā. PEPPOL mērķis bija dot iespēju uzņēmumiem iepirkumu procesā elektroniski sazināties ar jebkuru Eiropas valsts iestādi, palielinot efektivitāti un samazinot izmaksas. Svarīgi ir atzīmēt, ka PEPPOL ir platforma ar tehnisko specifikāciju kopumu, kurus var iesviest e-iepirkumu risinājumos un biznesa apmaiņas pakalpojumos, lai tie būtu savstarpēji savietojami. PEPPOL standarti tiek izmantoti gan Eiropā, gan ārpus tās.</w:t>
      </w:r>
    </w:p>
    <w:p w14:paraId="07DCEA1C" w14:textId="6DDB9BFE" w:rsidR="007E1D33" w:rsidRDefault="007E1D33" w:rsidP="00C243E0">
      <w:pPr>
        <w:spacing w:line="276" w:lineRule="auto"/>
        <w:ind w:firstLine="720"/>
        <w:rPr>
          <w:rFonts w:eastAsia="Times New Roman" w:cs="Times New Roman"/>
        </w:rPr>
      </w:pPr>
      <w:r w:rsidRPr="007E1D33">
        <w:rPr>
          <w:rFonts w:eastAsia="Times New Roman" w:cs="Times New Roman"/>
        </w:rPr>
        <w:t xml:space="preserve">PEPPOL regulē daudzpusēja vienošanās struktūra, kas pieder un ko uztur </w:t>
      </w:r>
      <w:r w:rsidR="00C0336D">
        <w:rPr>
          <w:rFonts w:eastAsia="Times New Roman" w:cs="Times New Roman"/>
        </w:rPr>
        <w:t>“</w:t>
      </w:r>
      <w:proofErr w:type="spellStart"/>
      <w:r w:rsidRPr="007E1D33">
        <w:rPr>
          <w:rFonts w:eastAsia="Times New Roman" w:cs="Times New Roman"/>
        </w:rPr>
        <w:t>OpenPeppol</w:t>
      </w:r>
      <w:proofErr w:type="spellEnd"/>
      <w:r w:rsidR="00C0336D">
        <w:rPr>
          <w:rFonts w:eastAsia="Times New Roman" w:cs="Times New Roman"/>
        </w:rPr>
        <w:t>”</w:t>
      </w:r>
      <w:r w:rsidRPr="007E1D33">
        <w:rPr>
          <w:rFonts w:eastAsia="Times New Roman" w:cs="Times New Roman"/>
        </w:rPr>
        <w:t xml:space="preserve">. </w:t>
      </w:r>
      <w:r w:rsidR="00C0336D">
        <w:rPr>
          <w:rFonts w:eastAsia="Times New Roman" w:cs="Times New Roman"/>
        </w:rPr>
        <w:t>“</w:t>
      </w:r>
      <w:proofErr w:type="spellStart"/>
      <w:r w:rsidRPr="007E1D33">
        <w:rPr>
          <w:rFonts w:eastAsia="Times New Roman" w:cs="Times New Roman"/>
        </w:rPr>
        <w:t>OpenPeppol</w:t>
      </w:r>
      <w:proofErr w:type="spellEnd"/>
      <w:r w:rsidR="00C0336D">
        <w:rPr>
          <w:rFonts w:eastAsia="Times New Roman" w:cs="Times New Roman"/>
        </w:rPr>
        <w:t>”</w:t>
      </w:r>
      <w:r w:rsidRPr="007E1D33">
        <w:rPr>
          <w:rFonts w:eastAsia="Times New Roman" w:cs="Times New Roman"/>
        </w:rPr>
        <w:t xml:space="preserve"> saskaņā ar Beļģijas tiesību aktiem ir bezpeļņas asociācija, kurā ietilpst gan valsts, gan privātā sektora dalībnieki. </w:t>
      </w:r>
      <w:r w:rsidR="00C0336D">
        <w:rPr>
          <w:rFonts w:eastAsia="Times New Roman" w:cs="Times New Roman"/>
        </w:rPr>
        <w:t>“</w:t>
      </w:r>
      <w:proofErr w:type="spellStart"/>
      <w:r w:rsidRPr="007E1D33">
        <w:rPr>
          <w:rFonts w:eastAsia="Times New Roman" w:cs="Times New Roman"/>
        </w:rPr>
        <w:t>OpenPeppol</w:t>
      </w:r>
      <w:proofErr w:type="spellEnd"/>
      <w:r w:rsidR="00C0336D">
        <w:rPr>
          <w:rFonts w:eastAsia="Times New Roman" w:cs="Times New Roman"/>
        </w:rPr>
        <w:t>”</w:t>
      </w:r>
      <w:r w:rsidRPr="007E1D33">
        <w:rPr>
          <w:rFonts w:eastAsia="Times New Roman" w:cs="Times New Roman"/>
        </w:rPr>
        <w:t xml:space="preserve"> ir asociācija, kura atbild par PEPPOL specifikāciju, to pakalpojumu izstrādi, uzturēšanu un ieviešanu.</w:t>
      </w:r>
    </w:p>
    <w:p w14:paraId="491EBF25" w14:textId="285428C8" w:rsidR="007E1D33" w:rsidRDefault="007E1D33" w:rsidP="00227948">
      <w:pPr>
        <w:spacing w:line="276" w:lineRule="auto"/>
        <w:ind w:firstLine="720"/>
        <w:rPr>
          <w:rFonts w:eastAsia="Times New Roman" w:cs="Times New Roman"/>
        </w:rPr>
      </w:pPr>
      <w:r w:rsidRPr="007E1D33">
        <w:rPr>
          <w:rFonts w:eastAsia="Times New Roman" w:cs="Times New Roman"/>
        </w:rPr>
        <w:t>Tātad PEPPOL ir Eiropā plaši izmantots tīkls Eiropas starpvalstu iepirkumu dokumentu apmaiņai. E-rēķinu aprite PEPPOL tīklā norisinās atbilstoši noteiktajam standartam, noteiktā sintaksē. Vislielākā priekšrocība e-rēķinu apritē ir t</w:t>
      </w:r>
      <w:r w:rsidR="005F46B3">
        <w:rPr>
          <w:rFonts w:eastAsia="Times New Roman" w:cs="Times New Roman"/>
        </w:rPr>
        <w:t>ā</w:t>
      </w:r>
      <w:r w:rsidRPr="007E1D33">
        <w:rPr>
          <w:rFonts w:eastAsia="Times New Roman" w:cs="Times New Roman"/>
        </w:rPr>
        <w:t>, ka</w:t>
      </w:r>
      <w:r w:rsidR="00070652">
        <w:rPr>
          <w:rFonts w:eastAsia="Times New Roman" w:cs="Times New Roman"/>
        </w:rPr>
        <w:t xml:space="preserve"> </w:t>
      </w:r>
      <w:r w:rsidRPr="007E1D33">
        <w:rPr>
          <w:rFonts w:eastAsia="Times New Roman" w:cs="Times New Roman"/>
        </w:rPr>
        <w:t>to sagatavošana, nosūtīšana, saņemšana un apstrādāšana ir pilnībā auto</w:t>
      </w:r>
      <w:r w:rsidR="00CE4211">
        <w:rPr>
          <w:rFonts w:eastAsia="Times New Roman" w:cs="Times New Roman"/>
        </w:rPr>
        <w:t>matizēta, nepielietojot manuālu</w:t>
      </w:r>
      <w:r w:rsidR="00031A82">
        <w:rPr>
          <w:rFonts w:eastAsia="Times New Roman" w:cs="Times New Roman"/>
        </w:rPr>
        <w:t xml:space="preserve"> </w:t>
      </w:r>
      <w:r w:rsidR="005F46B3">
        <w:rPr>
          <w:rFonts w:eastAsia="Times New Roman" w:cs="Times New Roman"/>
        </w:rPr>
        <w:t>iesaisti</w:t>
      </w:r>
      <w:r>
        <w:rPr>
          <w:rFonts w:eastAsia="Times New Roman" w:cs="Times New Roman"/>
        </w:rPr>
        <w:t xml:space="preserve">. </w:t>
      </w:r>
      <w:r w:rsidR="005F46B3">
        <w:rPr>
          <w:rFonts w:eastAsia="Times New Roman" w:cs="Times New Roman"/>
        </w:rPr>
        <w:t xml:space="preserve">Tādējādi </w:t>
      </w:r>
      <w:r w:rsidRPr="007E1D33">
        <w:rPr>
          <w:rFonts w:eastAsia="Times New Roman" w:cs="Times New Roman"/>
        </w:rPr>
        <w:t>par e-</w:t>
      </w:r>
      <w:r w:rsidR="005F46B3" w:rsidRPr="007E1D33">
        <w:rPr>
          <w:rFonts w:eastAsia="Times New Roman" w:cs="Times New Roman"/>
        </w:rPr>
        <w:t>rēķin</w:t>
      </w:r>
      <w:r w:rsidR="005F46B3">
        <w:rPr>
          <w:rFonts w:eastAsia="Times New Roman" w:cs="Times New Roman"/>
        </w:rPr>
        <w:t xml:space="preserve">u </w:t>
      </w:r>
      <w:r w:rsidRPr="007E1D33">
        <w:rPr>
          <w:rFonts w:eastAsia="Times New Roman" w:cs="Times New Roman"/>
        </w:rPr>
        <w:t>uzskatāms strukturēts elektronisks dokuments/dati, kas ir izveidots mašīnlasāmā veidā un izsniegts attiecīgajā elektroniskās datu apmaiņas formātā, viszināmākie formāti i</w:t>
      </w:r>
      <w:r w:rsidR="00CF7E0D">
        <w:rPr>
          <w:rFonts w:eastAsia="Times New Roman" w:cs="Times New Roman"/>
        </w:rPr>
        <w:t>r - EDI</w:t>
      </w:r>
      <w:r w:rsidRPr="007E1D33">
        <w:rPr>
          <w:rFonts w:eastAsia="Times New Roman" w:cs="Times New Roman"/>
        </w:rPr>
        <w:t xml:space="preserve"> vai XML. Tāpat par e-rēķinu ir uzsk</w:t>
      </w:r>
      <w:r w:rsidR="00CD4E92">
        <w:rPr>
          <w:rFonts w:eastAsia="Times New Roman" w:cs="Times New Roman"/>
        </w:rPr>
        <w:t>atāma</w:t>
      </w:r>
      <w:r w:rsidRPr="007E1D33">
        <w:rPr>
          <w:rFonts w:eastAsia="Times New Roman" w:cs="Times New Roman"/>
        </w:rPr>
        <w:t xml:space="preserve"> strukturētā (mašīnlasāmā) formā veidota rēķina datu informācija, kas izsniegta, izmantojot standarta tīmekļa veidlapas internetā.</w:t>
      </w:r>
      <w:r w:rsidRPr="007E1D33" w:rsidDel="006F38D9">
        <w:rPr>
          <w:rFonts w:eastAsia="Times New Roman" w:cs="Times New Roman"/>
        </w:rPr>
        <w:t xml:space="preserve"> </w:t>
      </w:r>
      <w:r w:rsidRPr="007E1D33">
        <w:rPr>
          <w:rFonts w:eastAsia="Times New Roman" w:cs="Times New Roman"/>
        </w:rPr>
        <w:t xml:space="preserve">Par e-rēķiniem nav korekti uzskatīt dokumentus, kas veidoti nestrukturētā formā un izsniegti PDF vai Word formā, papīrā veidoti rēķini, kas nosūtīti pa faksu vai izmantojot </w:t>
      </w:r>
      <w:r w:rsidR="00227948">
        <w:rPr>
          <w:rFonts w:eastAsia="Times New Roman" w:cs="Times New Roman"/>
        </w:rPr>
        <w:t xml:space="preserve">elektronisko pastu (turpmāk – </w:t>
      </w:r>
      <w:r w:rsidRPr="007E1D33">
        <w:rPr>
          <w:rFonts w:eastAsia="Times New Roman" w:cs="Times New Roman"/>
        </w:rPr>
        <w:t>e-pastu</w:t>
      </w:r>
      <w:r w:rsidR="00227948">
        <w:rPr>
          <w:rFonts w:eastAsia="Times New Roman" w:cs="Times New Roman"/>
        </w:rPr>
        <w:t>)</w:t>
      </w:r>
      <w:r w:rsidRPr="007E1D33">
        <w:rPr>
          <w:rFonts w:eastAsia="Times New Roman" w:cs="Times New Roman"/>
        </w:rPr>
        <w:t>, skenēti papīra rēķini u.c.</w:t>
      </w:r>
    </w:p>
    <w:p w14:paraId="45CE40E5" w14:textId="693C4005" w:rsidR="0064356C" w:rsidRDefault="0064356C" w:rsidP="00C243E0">
      <w:pPr>
        <w:spacing w:line="276" w:lineRule="auto"/>
        <w:ind w:firstLine="720"/>
        <w:rPr>
          <w:rFonts w:eastAsia="Times New Roman" w:cs="Times New Roman"/>
        </w:rPr>
      </w:pPr>
      <w:r w:rsidRPr="0064356C">
        <w:rPr>
          <w:rFonts w:eastAsia="Times New Roman" w:cs="Times New Roman"/>
        </w:rPr>
        <w:t>PEPPOL e-rēķinu platformai var pievienoties uzņēmumi no visas Eiropas un ne tikai. E-rēķinu aprite PEPPOL ietvaros ir iespējam</w:t>
      </w:r>
      <w:r w:rsidR="00087A4C">
        <w:rPr>
          <w:rFonts w:eastAsia="Times New Roman" w:cs="Times New Roman"/>
        </w:rPr>
        <w:t>a</w:t>
      </w:r>
      <w:r w:rsidRPr="0064356C">
        <w:rPr>
          <w:rFonts w:eastAsia="Times New Roman" w:cs="Times New Roman"/>
        </w:rPr>
        <w:t xml:space="preserve"> tikai starp tās dalībniekiem, vai </w:t>
      </w:r>
      <w:r w:rsidRPr="0064356C">
        <w:rPr>
          <w:rFonts w:eastAsia="Times New Roman" w:cs="Times New Roman"/>
        </w:rPr>
        <w:lastRenderedPageBreak/>
        <w:t xml:space="preserve">izmantojot attiecīgus operatorus. Lai izmantotu un sūtītu e-rēķinus PEPPOL, ir nepieciešams pieteikties pie kāda no operatoriem un reģistrēties PEPPOL tīklā kā adresātam. PEPPOL nosaka, ka e-rēķinam jāatbilst PEPPOL BIS </w:t>
      </w:r>
      <w:proofErr w:type="spellStart"/>
      <w:r w:rsidRPr="0064356C">
        <w:rPr>
          <w:rFonts w:eastAsia="Times New Roman" w:cs="Times New Roman"/>
        </w:rPr>
        <w:t>Billing</w:t>
      </w:r>
      <w:proofErr w:type="spellEnd"/>
      <w:r w:rsidRPr="0064356C">
        <w:rPr>
          <w:rFonts w:eastAsia="Times New Roman" w:cs="Times New Roman"/>
        </w:rPr>
        <w:t xml:space="preserve"> 3.0 elektronisko rēķinu pamatelementu izmantošanas specifikācijai un svarīgi arī uzsvērt, ka šī specifikācija nosaka, ka vienā XML failā var būt iekļauta informācija tikai par vienu rēķinu.</w:t>
      </w:r>
    </w:p>
    <w:p w14:paraId="05D2990B" w14:textId="307D1490" w:rsidR="3E6754AB" w:rsidRDefault="00F075F0" w:rsidP="00F65DFC">
      <w:pPr>
        <w:spacing w:line="276" w:lineRule="auto"/>
        <w:ind w:firstLine="720"/>
      </w:pPr>
      <w:r w:rsidRPr="00F075F0">
        <w:rPr>
          <w:bCs/>
        </w:rPr>
        <w:t>Eiropas infrastrukt</w:t>
      </w:r>
      <w:r w:rsidRPr="00F075F0">
        <w:rPr>
          <w:rFonts w:hint="eastAsia"/>
          <w:bCs/>
        </w:rPr>
        <w:t>ū</w:t>
      </w:r>
      <w:r w:rsidRPr="00F075F0">
        <w:rPr>
          <w:bCs/>
        </w:rPr>
        <w:t>ras savieno</w:t>
      </w:r>
      <w:r w:rsidRPr="00F075F0">
        <w:rPr>
          <w:rFonts w:hint="eastAsia"/>
          <w:bCs/>
        </w:rPr>
        <w:t>š</w:t>
      </w:r>
      <w:r w:rsidRPr="00F075F0">
        <w:rPr>
          <w:bCs/>
        </w:rPr>
        <w:t>anas instrumenta</w:t>
      </w:r>
      <w:r w:rsidRPr="00F075F0">
        <w:t xml:space="preserve"> (angļu val. - </w:t>
      </w:r>
      <w:proofErr w:type="spellStart"/>
      <w:r w:rsidRPr="00F075F0">
        <w:t>Connecting</w:t>
      </w:r>
      <w:proofErr w:type="spellEnd"/>
      <w:r w:rsidRPr="00F075F0">
        <w:t xml:space="preserve"> </w:t>
      </w:r>
      <w:proofErr w:type="spellStart"/>
      <w:r w:rsidRPr="00F075F0">
        <w:t>Europe</w:t>
      </w:r>
      <w:proofErr w:type="spellEnd"/>
      <w:r w:rsidRPr="00F075F0">
        <w:t xml:space="preserve"> </w:t>
      </w:r>
      <w:proofErr w:type="spellStart"/>
      <w:r w:rsidRPr="00F075F0">
        <w:t>Facility</w:t>
      </w:r>
      <w:proofErr w:type="spellEnd"/>
      <w:r>
        <w:t xml:space="preserve"> (CEF)</w:t>
      </w:r>
      <w:r w:rsidR="3E6754AB">
        <w:t xml:space="preserve">) projekta ietvaros ir izstrādāts e-rēķinu aprites risinājums uz </w:t>
      </w:r>
      <w:r w:rsidR="008B3DB1">
        <w:t>o</w:t>
      </w:r>
      <w:r w:rsidR="008B3DB1" w:rsidRPr="008B3DB1">
        <w:t>ficiālā</w:t>
      </w:r>
      <w:r w:rsidR="008B3DB1">
        <w:t>s</w:t>
      </w:r>
      <w:r w:rsidR="008B3DB1" w:rsidRPr="008B3DB1">
        <w:t xml:space="preserve"> elektroniskā</w:t>
      </w:r>
      <w:r w:rsidR="008B3DB1">
        <w:t>s</w:t>
      </w:r>
      <w:r w:rsidR="008B3DB1" w:rsidRPr="008B3DB1">
        <w:t xml:space="preserve"> adrese</w:t>
      </w:r>
      <w:r w:rsidR="008B3DB1">
        <w:t xml:space="preserve">s (turpmāk – </w:t>
      </w:r>
      <w:r w:rsidR="3E6754AB">
        <w:t>e-adreses</w:t>
      </w:r>
      <w:r w:rsidR="008B3DB1">
        <w:t>)</w:t>
      </w:r>
      <w:r w:rsidR="3E6754AB">
        <w:t xml:space="preserve"> bāzes. Izstrādātais risinājums paredz, ka fizisk</w:t>
      </w:r>
      <w:r w:rsidR="005F46B3">
        <w:t>a</w:t>
      </w:r>
      <w:r w:rsidR="681275ED">
        <w:t xml:space="preserve"> </w:t>
      </w:r>
      <w:r w:rsidR="3E6754AB">
        <w:t>persona</w:t>
      </w:r>
      <w:r w:rsidR="00267C98">
        <w:t>, kas veic saimniecisko darbību,</w:t>
      </w:r>
      <w:r w:rsidR="3E6754AB">
        <w:t xml:space="preserve"> e-rēķinu var izveidot un nosūtīt, izmantojot e-rēķinu formu</w:t>
      </w:r>
      <w:r w:rsidR="0058327C">
        <w:t xml:space="preserve"> e-adresē</w:t>
      </w:r>
      <w:r w:rsidR="3E6754AB">
        <w:t xml:space="preserve"> portālā Latvija.lv un saņemt e-rēķinus var savā e-adreses kontā portālā Latvija.lv. Juridiska persona e-rēķinu var nosūtīt no savas sistēmas</w:t>
      </w:r>
      <w:r w:rsidR="0058327C">
        <w:t>, kur ir integrēta e-adrese</w:t>
      </w:r>
      <w:r w:rsidR="3E6754AB">
        <w:t xml:space="preserve"> uz iestādes e-adresi, vai arī, izmantojot e-adresē pieejamo e-rēķinu formu portālā Latvija.lv. Saņemt e-rēķinus var, attiecīgi, vai nu savā sistēmā, vai e-adreses kontā portālā Latvija.lv. Valsts iestāde e-rēķinu var nosūtīt no savas sistēmas</w:t>
      </w:r>
      <w:r w:rsidR="0058327C">
        <w:t xml:space="preserve"> </w:t>
      </w:r>
      <w:r w:rsidR="0058327C" w:rsidRPr="0058327C">
        <w:t>(ja ir integrēta ar e-adresi un e-adreses konts ir aktīvs)</w:t>
      </w:r>
      <w:r w:rsidR="3E6754AB">
        <w:t xml:space="preserve"> uz fiziskas vai juridiskas personas e-adresi, vai arī, izmantojot e-rēķinu operatora, kas nodrošina PEPPOL piekļuves punkta pakalpojumus starpniecību. Par šo valsts iestādei ir nepieciešams pašai noslēgt attiecīgu līgumu a</w:t>
      </w:r>
      <w:r w:rsidR="0043351B">
        <w:t>r e-rēķinu operatoru. Savukārt ā</w:t>
      </w:r>
      <w:r w:rsidR="3E6754AB">
        <w:t xml:space="preserve">rzemju komersants var sūtīt e-rēķinu valsts iestādei uz e-adresi, izmantojot PEPPOL </w:t>
      </w:r>
      <w:r w:rsidR="005F46B3">
        <w:t>p</w:t>
      </w:r>
      <w:r w:rsidR="3E6754AB">
        <w:t xml:space="preserve">iekļuves punktus (Access </w:t>
      </w:r>
      <w:proofErr w:type="spellStart"/>
      <w:r w:rsidR="3E6754AB">
        <w:t>Point</w:t>
      </w:r>
      <w:proofErr w:type="spellEnd"/>
      <w:r w:rsidR="3E6754AB">
        <w:t>). E-rēķinu operatori, kas nodrošina PEPPOL piekļuves punkta pakalpojumus, izmantojot spec</w:t>
      </w:r>
      <w:r>
        <w:t>iālu e-adreses slēgumu, novirza</w:t>
      </w:r>
      <w:r w:rsidR="3E6754AB">
        <w:t xml:space="preserve"> e-rēķinu noteiktam e-adreses adresātam (valsts iestādei).</w:t>
      </w:r>
      <w:r w:rsidR="003D0244">
        <w:t xml:space="preserve"> </w:t>
      </w:r>
      <w:r w:rsidR="008600BB" w:rsidRPr="008428EA">
        <w:t>Ņem</w:t>
      </w:r>
      <w:r w:rsidR="00A4524E" w:rsidRPr="008428EA">
        <w:t>ot vērā</w:t>
      </w:r>
      <w:r w:rsidR="003D0244" w:rsidRPr="008428EA">
        <w:t xml:space="preserve"> Ministru kabineta </w:t>
      </w:r>
      <w:r w:rsidR="00560CCF" w:rsidRPr="008428EA">
        <w:t>201</w:t>
      </w:r>
      <w:r w:rsidR="003D0244" w:rsidRPr="008428EA">
        <w:t xml:space="preserve">9. gada 9. aprīļa </w:t>
      </w:r>
      <w:proofErr w:type="spellStart"/>
      <w:r w:rsidR="003D0244" w:rsidRPr="008428EA">
        <w:t>protokollēmuma</w:t>
      </w:r>
      <w:proofErr w:type="spellEnd"/>
      <w:r w:rsidR="00560CCF" w:rsidRPr="008428EA">
        <w:t xml:space="preserve"> Nr. </w:t>
      </w:r>
      <w:r w:rsidR="00A4524E" w:rsidRPr="008428EA">
        <w:t>18 33. </w:t>
      </w:r>
      <w:r w:rsidR="00C3124A" w:rsidRPr="008428EA">
        <w:t>§</w:t>
      </w:r>
      <w:r w:rsidR="00560CCF" w:rsidRPr="008428EA">
        <w:t>, VARAM</w:t>
      </w:r>
      <w:r w:rsidR="00BD4BA5" w:rsidRPr="008428EA">
        <w:t>, īstenojot Eiropas infrastruktūras savienošanas instrumenta (</w:t>
      </w:r>
      <w:proofErr w:type="spellStart"/>
      <w:r w:rsidR="00BD4BA5" w:rsidRPr="008428EA">
        <w:t>Connecting</w:t>
      </w:r>
      <w:proofErr w:type="spellEnd"/>
      <w:r w:rsidR="00BD4BA5" w:rsidRPr="008428EA">
        <w:t xml:space="preserve"> </w:t>
      </w:r>
      <w:proofErr w:type="spellStart"/>
      <w:r w:rsidR="00BD4BA5" w:rsidRPr="008428EA">
        <w:t>Europe</w:t>
      </w:r>
      <w:proofErr w:type="spellEnd"/>
      <w:r w:rsidR="00BD4BA5" w:rsidRPr="008428EA">
        <w:t xml:space="preserve"> </w:t>
      </w:r>
      <w:proofErr w:type="spellStart"/>
      <w:r w:rsidR="00BD4BA5" w:rsidRPr="008428EA">
        <w:t>Facility</w:t>
      </w:r>
      <w:proofErr w:type="spellEnd"/>
      <w:r w:rsidR="00BD4BA5" w:rsidRPr="008428EA">
        <w:t>) līdzfinansēto projektu “Eiropas elektroniskais rēķins” (e-</w:t>
      </w:r>
      <w:proofErr w:type="spellStart"/>
      <w:r w:rsidR="00BD4BA5" w:rsidRPr="008428EA">
        <w:t>Invoices</w:t>
      </w:r>
      <w:proofErr w:type="spellEnd"/>
      <w:r w:rsidR="00BD4BA5" w:rsidRPr="008428EA">
        <w:t xml:space="preserve"> CEF Project),</w:t>
      </w:r>
      <w:r w:rsidR="00560CCF" w:rsidRPr="008428EA">
        <w:t xml:space="preserve"> jāsagatavo un atbilstoši kompetencei noteiktā kārtībā Ministru kabinetā jāiesniedz nepieciešamos grozījumus normatīvajos aktos, nosakot, ka tiešās pārvaldes iestādes elektronisko rēķinu saņemšanai izmanto tikai projekta ietvaros radītos elektronisko rēķinu piegādes risinājumus.</w:t>
      </w:r>
    </w:p>
    <w:p w14:paraId="7271FB5C" w14:textId="358C23DB" w:rsidR="00C3124A" w:rsidRDefault="00C3124A" w:rsidP="00EB04F6"/>
    <w:p w14:paraId="5C484805" w14:textId="77777777" w:rsidR="00C3124A" w:rsidRDefault="00C3124A" w:rsidP="00EB04F6"/>
    <w:p w14:paraId="4C61E235" w14:textId="28D2E4F8" w:rsidR="009A52F3" w:rsidRDefault="00A00DD9" w:rsidP="00640B58">
      <w:pPr>
        <w:pStyle w:val="Heading2"/>
      </w:pPr>
      <w:bookmarkStart w:id="3" w:name="_Toc72136648"/>
      <w:r>
        <w:t xml:space="preserve">Preču </w:t>
      </w:r>
      <w:r w:rsidR="5C59C966">
        <w:t xml:space="preserve">piegādes </w:t>
      </w:r>
      <w:r>
        <w:t xml:space="preserve">dokumentu </w:t>
      </w:r>
      <w:r w:rsidR="009A52F3">
        <w:t xml:space="preserve">(pavadzīmju) </w:t>
      </w:r>
      <w:r w:rsidR="0145A1AF">
        <w:t>elektroniska aprite</w:t>
      </w:r>
      <w:bookmarkEnd w:id="3"/>
    </w:p>
    <w:p w14:paraId="4BFBAE37" w14:textId="24B6CE2F" w:rsidR="007F6652" w:rsidRDefault="007F6652" w:rsidP="7842FC33">
      <w:pPr>
        <w:ind w:firstLine="720"/>
        <w:rPr>
          <w:rFonts w:eastAsia="Times New Roman" w:cs="Times New Roman"/>
          <w:szCs w:val="24"/>
        </w:rPr>
      </w:pPr>
    </w:p>
    <w:p w14:paraId="0DC33310" w14:textId="46C0AF0E" w:rsidR="007F6652" w:rsidRDefault="002A77B5" w:rsidP="00C243E0">
      <w:pPr>
        <w:spacing w:line="276" w:lineRule="auto"/>
        <w:ind w:firstLine="576"/>
        <w:rPr>
          <w:rFonts w:eastAsia="Times New Roman" w:cs="Times New Roman"/>
          <w:szCs w:val="24"/>
        </w:rPr>
      </w:pPr>
      <w:r w:rsidRPr="002A77B5">
        <w:rPr>
          <w:rFonts w:eastAsia="Times New Roman" w:cs="Times New Roman"/>
          <w:szCs w:val="24"/>
        </w:rPr>
        <w:t>Viena no lielākajām ē</w:t>
      </w:r>
      <w:r>
        <w:rPr>
          <w:rFonts w:eastAsia="Times New Roman" w:cs="Times New Roman"/>
          <w:szCs w:val="24"/>
        </w:rPr>
        <w:t xml:space="preserve">nu ekonomiku </w:t>
      </w:r>
      <w:r w:rsidRPr="002A77B5">
        <w:rPr>
          <w:rFonts w:eastAsia="Times New Roman" w:cs="Times New Roman"/>
          <w:szCs w:val="24"/>
        </w:rPr>
        <w:t>veidojošām komponentēm</w:t>
      </w:r>
      <w:r>
        <w:rPr>
          <w:rFonts w:eastAsia="Times New Roman" w:cs="Times New Roman"/>
          <w:szCs w:val="24"/>
        </w:rPr>
        <w:t xml:space="preserve"> </w:t>
      </w:r>
      <w:r w:rsidR="6937DE84" w:rsidRPr="7842FC33">
        <w:rPr>
          <w:rFonts w:eastAsia="Times New Roman" w:cs="Times New Roman"/>
          <w:szCs w:val="24"/>
        </w:rPr>
        <w:t xml:space="preserve">ir izvairīšanās no nodokļu nomaksas, sniedzot nepatiesas ziņas </w:t>
      </w:r>
      <w:r>
        <w:rPr>
          <w:rFonts w:eastAsia="Times New Roman" w:cs="Times New Roman"/>
          <w:szCs w:val="24"/>
        </w:rPr>
        <w:t>nodokļ</w:t>
      </w:r>
      <w:r w:rsidR="006E1FF3">
        <w:rPr>
          <w:rFonts w:eastAsia="Times New Roman" w:cs="Times New Roman"/>
          <w:szCs w:val="24"/>
        </w:rPr>
        <w:t>u</w:t>
      </w:r>
      <w:r>
        <w:rPr>
          <w:rFonts w:eastAsia="Times New Roman" w:cs="Times New Roman"/>
          <w:szCs w:val="24"/>
        </w:rPr>
        <w:t xml:space="preserve"> deklarācijās </w:t>
      </w:r>
      <w:r w:rsidR="6937DE84" w:rsidRPr="7842FC33">
        <w:rPr>
          <w:rFonts w:eastAsia="Times New Roman" w:cs="Times New Roman"/>
          <w:szCs w:val="24"/>
        </w:rPr>
        <w:t xml:space="preserve">par veiktiem darījumiem, kā arī nodokļu krāpšana, deklarējot nenotikušus fiktīvus darījumus priekšnodokļa aprēķinam. VID uzdevumos ir veikt komersantu deklarēto ziņu pārbaudi, noteiktas komercdarbības uzraudzību un veikto deklarēto darījumu kontroli, nodrošinot atbilstošu nodokļu maksājumu saistību izpildes uzraudzību un kontroli. VID funkciju izpildei tiek izmantota VID rīcībā esošā informācija, nodrošinot riska pārvaldības procesu kontroles pasākumu plānošanā un īstenošanā. </w:t>
      </w:r>
      <w:r w:rsidR="00C35A12">
        <w:rPr>
          <w:rFonts w:eastAsia="Times New Roman" w:cs="Times New Roman"/>
          <w:szCs w:val="24"/>
        </w:rPr>
        <w:t>K</w:t>
      </w:r>
      <w:r w:rsidR="6937DE84" w:rsidRPr="7842FC33">
        <w:rPr>
          <w:rFonts w:eastAsia="Times New Roman" w:cs="Times New Roman"/>
          <w:szCs w:val="24"/>
        </w:rPr>
        <w:t xml:space="preserve">omersantu deklarētās ziņas par veiktiem darījumiem tiek veiktas ar noteiktu laika starpību, liedzot </w:t>
      </w:r>
      <w:r w:rsidR="6937DE84" w:rsidRPr="7842FC33">
        <w:rPr>
          <w:rFonts w:eastAsia="Times New Roman" w:cs="Times New Roman"/>
          <w:szCs w:val="24"/>
        </w:rPr>
        <w:lastRenderedPageBreak/>
        <w:t xml:space="preserve">VID saņemt tiešsaistē informāciju par uzsākto preču apriti deklarētajos komersantu savstarpējos darījumos, kā arī liedzot iespējas VID veikt nekavējošus kontroles pasākumus noteiktu risku pārbaudei. </w:t>
      </w:r>
    </w:p>
    <w:p w14:paraId="66458ECA" w14:textId="5337B421" w:rsidR="007F6652" w:rsidRDefault="6937DE84" w:rsidP="00C243E0">
      <w:pPr>
        <w:spacing w:line="276" w:lineRule="auto"/>
        <w:ind w:firstLine="720"/>
        <w:rPr>
          <w:rFonts w:eastAsia="Times New Roman" w:cs="Times New Roman"/>
          <w:color w:val="000000" w:themeColor="text1"/>
        </w:rPr>
      </w:pPr>
      <w:r w:rsidRPr="1432AD22">
        <w:rPr>
          <w:rFonts w:eastAsia="Times New Roman" w:cs="Times New Roman"/>
        </w:rPr>
        <w:t xml:space="preserve">Eiropas Savienības ietvaros attiecībā uz atsevišķu </w:t>
      </w:r>
      <w:r w:rsidRPr="1432AD22">
        <w:rPr>
          <w:rFonts w:eastAsia="Times New Roman" w:cs="Times New Roman"/>
          <w:color w:val="000000" w:themeColor="text1"/>
        </w:rPr>
        <w:t>harmonizēto</w:t>
      </w:r>
      <w:r w:rsidRPr="1432AD22">
        <w:rPr>
          <w:rFonts w:eastAsia="Times New Roman" w:cs="Times New Roman"/>
        </w:rPr>
        <w:t xml:space="preserve"> akcīzes preču kategorijām </w:t>
      </w:r>
      <w:r w:rsidR="000F746B">
        <w:rPr>
          <w:rFonts w:eastAsia="Times New Roman" w:cs="Times New Roman"/>
          <w:color w:val="000000" w:themeColor="text1"/>
        </w:rPr>
        <w:t>(alkoholiskiem dzērieniem, tabakas izstrādājumiem</w:t>
      </w:r>
      <w:r w:rsidRPr="1432AD22">
        <w:rPr>
          <w:rFonts w:eastAsia="Times New Roman" w:cs="Times New Roman"/>
          <w:color w:val="000000" w:themeColor="text1"/>
        </w:rPr>
        <w:t xml:space="preserve"> un </w:t>
      </w:r>
      <w:r w:rsidR="000F746B">
        <w:rPr>
          <w:rFonts w:eastAsia="Times New Roman" w:cs="Times New Roman"/>
          <w:color w:val="000000" w:themeColor="text1"/>
        </w:rPr>
        <w:t>naftas produktiem</w:t>
      </w:r>
      <w:r w:rsidRPr="1432AD22">
        <w:rPr>
          <w:rFonts w:eastAsia="Times New Roman" w:cs="Times New Roman"/>
          <w:color w:val="000000" w:themeColor="text1"/>
        </w:rPr>
        <w:t xml:space="preserve">) </w:t>
      </w:r>
      <w:r w:rsidRPr="1432AD22">
        <w:rPr>
          <w:rFonts w:eastAsia="Times New Roman" w:cs="Times New Roman"/>
        </w:rPr>
        <w:t xml:space="preserve">darbojas tiešsaistes preču aprites kontroles sistēma </w:t>
      </w:r>
      <w:r w:rsidR="00083504">
        <w:rPr>
          <w:rFonts w:eastAsia="Times New Roman" w:cs="Times New Roman"/>
        </w:rPr>
        <w:t>–</w:t>
      </w:r>
      <w:r w:rsidRPr="1432AD22">
        <w:rPr>
          <w:rFonts w:eastAsia="Times New Roman" w:cs="Times New Roman"/>
        </w:rPr>
        <w:t xml:space="preserve"> Akcīzes preču pārvietošanas un kontroles sistēma (</w:t>
      </w:r>
      <w:r w:rsidR="001D7E46">
        <w:rPr>
          <w:rFonts w:eastAsia="Times New Roman" w:cs="Times New Roman"/>
        </w:rPr>
        <w:t xml:space="preserve">turpmāk – </w:t>
      </w:r>
      <w:r w:rsidRPr="1432AD22">
        <w:rPr>
          <w:rFonts w:eastAsia="Times New Roman" w:cs="Times New Roman"/>
        </w:rPr>
        <w:t>EMCS)</w:t>
      </w:r>
      <w:r w:rsidRPr="1432AD22">
        <w:rPr>
          <w:rFonts w:eastAsia="Times New Roman" w:cs="Times New Roman"/>
          <w:color w:val="000000" w:themeColor="text1"/>
        </w:rPr>
        <w:t>, kurā komersanti iesniedz informāciju par akcīzes preču pārvietošanu starp dalībvalstu un Latvijas akcīzes preču noliktavām atliktā akcīzes nodokļa maksāšanas režīmā. Sistēma ieviesta 2010.</w:t>
      </w:r>
      <w:r w:rsidR="00F6717B">
        <w:rPr>
          <w:rFonts w:eastAsia="Times New Roman" w:cs="Times New Roman"/>
          <w:color w:val="000000" w:themeColor="text1"/>
        </w:rPr>
        <w:t> </w:t>
      </w:r>
      <w:r w:rsidRPr="1432AD22">
        <w:rPr>
          <w:rFonts w:eastAsia="Times New Roman" w:cs="Times New Roman"/>
          <w:color w:val="000000" w:themeColor="text1"/>
        </w:rPr>
        <w:t>gada 1.</w:t>
      </w:r>
      <w:r w:rsidR="00F6717B">
        <w:rPr>
          <w:rFonts w:eastAsia="Times New Roman" w:cs="Times New Roman"/>
          <w:color w:val="000000" w:themeColor="text1"/>
        </w:rPr>
        <w:t> </w:t>
      </w:r>
      <w:r w:rsidRPr="1432AD22">
        <w:rPr>
          <w:rFonts w:eastAsia="Times New Roman" w:cs="Times New Roman"/>
          <w:color w:val="000000" w:themeColor="text1"/>
        </w:rPr>
        <w:t>aprīlī, aizstājot papīra pavaddokumentus ar elektroniskajiem administratīvajiem dokumentiem. Taču EMCS netiek deklarēta neharmonizēto preču pārvietošana (Latvijā – kafija, bezalkoholiskie dzērieni, dabasgāze, elektroniskajās cigaretēs izmantojamais šķidrums, tabaka</w:t>
      </w:r>
      <w:r w:rsidR="000E790A">
        <w:rPr>
          <w:rFonts w:eastAsia="Times New Roman" w:cs="Times New Roman"/>
          <w:color w:val="000000" w:themeColor="text1"/>
        </w:rPr>
        <w:t xml:space="preserve">s lapas, </w:t>
      </w:r>
      <w:proofErr w:type="spellStart"/>
      <w:r w:rsidR="000E790A">
        <w:rPr>
          <w:rFonts w:eastAsia="Times New Roman" w:cs="Times New Roman"/>
          <w:color w:val="000000" w:themeColor="text1"/>
        </w:rPr>
        <w:t>ziežeļļas</w:t>
      </w:r>
      <w:proofErr w:type="spellEnd"/>
      <w:r w:rsidR="000E790A">
        <w:rPr>
          <w:rFonts w:eastAsia="Times New Roman" w:cs="Times New Roman"/>
          <w:color w:val="000000" w:themeColor="text1"/>
        </w:rPr>
        <w:t xml:space="preserve"> u.c.). Tāpat</w:t>
      </w:r>
      <w:r w:rsidRPr="1432AD22">
        <w:rPr>
          <w:rFonts w:eastAsia="Times New Roman" w:cs="Times New Roman"/>
          <w:color w:val="000000" w:themeColor="text1"/>
        </w:rPr>
        <w:t xml:space="preserve"> tiešsaistē netiek deklarēta patēriņam nodotu akcīzes preču pārvietošana līdz vairumtirgotājam un mazumtirgotājam, taču akcīzes nodokļa krāpšanas riski ir pietiekami augsti un būtu nepieciešams nodrošināt kontroles iespējas tālākai akcīzes preču kustībai.</w:t>
      </w:r>
    </w:p>
    <w:p w14:paraId="1418C3EA" w14:textId="21B2CDEF" w:rsidR="007F6652" w:rsidRDefault="6937DE84" w:rsidP="00B32713">
      <w:pPr>
        <w:spacing w:line="276" w:lineRule="auto"/>
        <w:ind w:firstLine="720"/>
        <w:rPr>
          <w:rFonts w:eastAsia="Times New Roman" w:cs="Times New Roman"/>
          <w:szCs w:val="24"/>
        </w:rPr>
      </w:pPr>
      <w:r w:rsidRPr="7842FC33">
        <w:rPr>
          <w:rFonts w:eastAsia="Times New Roman" w:cs="Times New Roman"/>
          <w:szCs w:val="24"/>
        </w:rPr>
        <w:t xml:space="preserve">Apzinoties nepieciešamību pilnveidot preču pārvietošanas tiešsaistes informācijas ieguvi, kā arī EMCS darbības sekmīgo pieredzi, VID tika uzsākts darbs pie akcīzes e- pavadzīmju sistēmas ierosinājumu izstrādes akcīzes preču aprites kontrolei nacionālā līmenī, izsakot priekšlikumu veidot iekšzemes pavaddokumentu sistēmu, balstoties uz EMCS biznesa procesiem. Tika apzinātas praktiskās iespējas e-pavadzīmju sistēmas izstrādei un veikts darbs pie sistēmas darbības principiem. E-pavadzīmju projektu VID pārstāvji ir jau apsprieduši Eiropas Komisijas vadītajā Informācijas tehnoloģiju sadarbības grupā, kā arī ir iegūta informācija par citu dalībvalstu pieredzi un plāniem kontroles vides uzlabošanai. VID redzējums, vērtējot iespējas ieviest akcīzes preču aprites e-pavadzīmju sistēmu, kura darbotos tiešsaistē, paredz iespējas paplašināt e-pavadzīmju sistēmas darbību arī citu preču aprites elektroniskai kontrolei. </w:t>
      </w:r>
    </w:p>
    <w:p w14:paraId="32B642CC" w14:textId="56428417" w:rsidR="007F6652" w:rsidRDefault="6937DE84" w:rsidP="00C243E0">
      <w:pPr>
        <w:spacing w:line="276" w:lineRule="auto"/>
        <w:ind w:firstLine="720"/>
        <w:rPr>
          <w:rFonts w:eastAsia="Times New Roman" w:cs="Times New Roman"/>
          <w:szCs w:val="24"/>
        </w:rPr>
      </w:pPr>
      <w:r w:rsidRPr="7842FC33">
        <w:rPr>
          <w:rFonts w:eastAsia="Times New Roman" w:cs="Times New Roman"/>
          <w:szCs w:val="24"/>
        </w:rPr>
        <w:t xml:space="preserve">FM, vērtējot VID veiktos pasākumus e-pavadzīmju ieviešanai akcīzes preču aprites elektroniskai kontrolei, ir apkopojusi atsevišķu tautsaimniecības nozaru pārstāvju un ministriju viedokļus, rosinot diskusiju par iespējām paplašināt elektronisku preču pavadzīmju aprites iespējas arī citās tautsaimniecībai nozīmīgās jomās, kā arī jomās, kurās vērojami augsti ēnu ekonomikas riski, tādējādi, nodrošinot iesaistīto iestāžu ieguvumus to pārraudzībā esošā saimnieciskās darbības uzraudzībā un kontrolē. </w:t>
      </w:r>
    </w:p>
    <w:p w14:paraId="35FFD4A1" w14:textId="6F43CB7E" w:rsidR="007F6652" w:rsidRDefault="6937DE84" w:rsidP="00C243E0">
      <w:pPr>
        <w:spacing w:line="276" w:lineRule="auto"/>
        <w:ind w:firstLine="720"/>
        <w:rPr>
          <w:rFonts w:eastAsia="Times New Roman" w:cs="Times New Roman"/>
          <w:color w:val="000000" w:themeColor="text1"/>
          <w:szCs w:val="24"/>
        </w:rPr>
      </w:pPr>
      <w:r w:rsidRPr="7842FC33">
        <w:rPr>
          <w:rFonts w:eastAsia="Times New Roman" w:cs="Times New Roman"/>
          <w:szCs w:val="24"/>
        </w:rPr>
        <w:t>Tā piemēram, Lauksaimnieku organizāciju sadarbības padome jau ar 2017.</w:t>
      </w:r>
      <w:r w:rsidR="00F6717B">
        <w:rPr>
          <w:rFonts w:eastAsia="Times New Roman" w:cs="Times New Roman"/>
          <w:szCs w:val="24"/>
        </w:rPr>
        <w:t> </w:t>
      </w:r>
      <w:r w:rsidRPr="7842FC33">
        <w:rPr>
          <w:rFonts w:eastAsia="Times New Roman" w:cs="Times New Roman"/>
          <w:szCs w:val="24"/>
        </w:rPr>
        <w:t>gada 3.</w:t>
      </w:r>
      <w:r w:rsidR="00F6717B">
        <w:rPr>
          <w:rFonts w:eastAsia="Times New Roman" w:cs="Times New Roman"/>
          <w:szCs w:val="24"/>
        </w:rPr>
        <w:t> </w:t>
      </w:r>
      <w:r w:rsidRPr="7842FC33">
        <w:rPr>
          <w:rFonts w:eastAsia="Times New Roman" w:cs="Times New Roman"/>
          <w:szCs w:val="24"/>
        </w:rPr>
        <w:t>augusta vēstuli Nr.</w:t>
      </w:r>
      <w:r w:rsidR="00F6717B">
        <w:rPr>
          <w:rFonts w:eastAsia="Times New Roman" w:cs="Times New Roman"/>
          <w:szCs w:val="24"/>
        </w:rPr>
        <w:t> </w:t>
      </w:r>
      <w:r w:rsidRPr="7842FC33">
        <w:rPr>
          <w:rFonts w:eastAsia="Times New Roman" w:cs="Times New Roman"/>
          <w:szCs w:val="24"/>
        </w:rPr>
        <w:t>73</w:t>
      </w:r>
      <w:r w:rsidR="000B7030">
        <w:rPr>
          <w:rStyle w:val="FootnoteReference"/>
          <w:rFonts w:eastAsia="Times New Roman" w:cs="Times New Roman"/>
          <w:szCs w:val="24"/>
        </w:rPr>
        <w:footnoteReference w:id="2"/>
      </w:r>
      <w:r w:rsidRPr="7842FC33">
        <w:rPr>
          <w:rFonts w:eastAsia="Times New Roman" w:cs="Times New Roman"/>
          <w:szCs w:val="24"/>
        </w:rPr>
        <w:t xml:space="preserve"> </w:t>
      </w:r>
      <w:r w:rsidR="009D6CF2" w:rsidRPr="000B7030">
        <w:t>Saeimas Tautsaimniecības, agrārās, vides un</w:t>
      </w:r>
      <w:r w:rsidR="009D6CF2">
        <w:t xml:space="preserve"> reģionālās attīstības komisijai</w:t>
      </w:r>
      <w:r w:rsidR="009D6CF2" w:rsidRPr="000B7030">
        <w:t xml:space="preserve"> </w:t>
      </w:r>
      <w:r w:rsidRPr="7842FC33">
        <w:rPr>
          <w:rFonts w:eastAsia="Times New Roman" w:cs="Times New Roman"/>
          <w:szCs w:val="24"/>
        </w:rPr>
        <w:t>uzsvēra nepieciešamību ieviest elektronisko preču pavadzīmju sistēmu lauksaimniecības un pārtikas preču grupām. Minēto iniciatīvu Saeimas Tautsaimniecības, agrārās, vides un reģionālās attīstības komisija</w:t>
      </w:r>
      <w:r w:rsidR="00C06454" w:rsidRPr="00C06454">
        <w:rPr>
          <w:rFonts w:eastAsia="Times New Roman" w:cs="Times New Roman"/>
          <w:szCs w:val="24"/>
        </w:rPr>
        <w:t xml:space="preserve"> </w:t>
      </w:r>
      <w:r w:rsidR="00C06454">
        <w:rPr>
          <w:rFonts w:eastAsia="Times New Roman" w:cs="Times New Roman"/>
          <w:szCs w:val="24"/>
        </w:rPr>
        <w:t>atbalstīja</w:t>
      </w:r>
      <w:r w:rsidR="000B7030">
        <w:rPr>
          <w:rStyle w:val="FootnoteReference"/>
          <w:rFonts w:eastAsia="Times New Roman" w:cs="Times New Roman"/>
          <w:szCs w:val="24"/>
        </w:rPr>
        <w:footnoteReference w:id="3"/>
      </w:r>
      <w:r w:rsidRPr="7842FC33">
        <w:rPr>
          <w:rFonts w:eastAsia="Times New Roman" w:cs="Times New Roman"/>
          <w:szCs w:val="24"/>
        </w:rPr>
        <w:t xml:space="preserve">, </w:t>
      </w:r>
      <w:r w:rsidRPr="7842FC33">
        <w:rPr>
          <w:rFonts w:eastAsia="Times New Roman" w:cs="Times New Roman"/>
          <w:szCs w:val="24"/>
        </w:rPr>
        <w:lastRenderedPageBreak/>
        <w:t>rosinot FM ieviest elektronisko preču pavadzīmju sistēmu līdz 2019.</w:t>
      </w:r>
      <w:r w:rsidR="00F6717B">
        <w:rPr>
          <w:rFonts w:eastAsia="Times New Roman" w:cs="Times New Roman"/>
          <w:szCs w:val="24"/>
        </w:rPr>
        <w:t> </w:t>
      </w:r>
      <w:r w:rsidRPr="7842FC33">
        <w:rPr>
          <w:rFonts w:eastAsia="Times New Roman" w:cs="Times New Roman"/>
          <w:szCs w:val="24"/>
        </w:rPr>
        <w:t xml:space="preserve">gadam, lai novērstu nodokļu krāpšanas shēmas, nodrošinātu produktu izsekojamību un patērētāju informētību par produktu izcelsmi, kā arī mazinātu ēnu ekonomiku lauksaimniecības preču un pārtikas preču aprites jomā. Arī </w:t>
      </w:r>
      <w:r w:rsidR="00E20BE8">
        <w:rPr>
          <w:rFonts w:eastAsia="Times New Roman" w:cs="Times New Roman"/>
          <w:szCs w:val="24"/>
        </w:rPr>
        <w:t xml:space="preserve">ZM </w:t>
      </w:r>
      <w:r w:rsidRPr="7842FC33">
        <w:rPr>
          <w:rFonts w:eastAsia="Times New Roman" w:cs="Times New Roman"/>
          <w:szCs w:val="24"/>
        </w:rPr>
        <w:t>savā 2018.</w:t>
      </w:r>
      <w:r w:rsidR="00F6717B">
        <w:rPr>
          <w:rFonts w:eastAsia="Times New Roman" w:cs="Times New Roman"/>
          <w:szCs w:val="24"/>
        </w:rPr>
        <w:t> </w:t>
      </w:r>
      <w:r w:rsidRPr="7842FC33">
        <w:rPr>
          <w:rFonts w:eastAsia="Times New Roman" w:cs="Times New Roman"/>
          <w:szCs w:val="24"/>
        </w:rPr>
        <w:t>gada 16.</w:t>
      </w:r>
      <w:r w:rsidR="00F6717B">
        <w:rPr>
          <w:rFonts w:eastAsia="Times New Roman" w:cs="Times New Roman"/>
          <w:szCs w:val="24"/>
        </w:rPr>
        <w:t> </w:t>
      </w:r>
      <w:r w:rsidRPr="7842FC33">
        <w:rPr>
          <w:rFonts w:eastAsia="Times New Roman" w:cs="Times New Roman"/>
          <w:szCs w:val="24"/>
        </w:rPr>
        <w:t>marta vēstulē Nr.</w:t>
      </w:r>
      <w:r w:rsidR="00F6717B">
        <w:rPr>
          <w:rFonts w:eastAsia="Times New Roman" w:cs="Times New Roman"/>
          <w:szCs w:val="24"/>
        </w:rPr>
        <w:t> </w:t>
      </w:r>
      <w:r w:rsidRPr="7842FC33">
        <w:rPr>
          <w:rFonts w:eastAsia="Times New Roman" w:cs="Times New Roman"/>
          <w:szCs w:val="24"/>
        </w:rPr>
        <w:t>9.2-2e/694/2018 “Par preču aprites elektroniskās kontroles sistēmas izveidi”</w:t>
      </w:r>
      <w:r w:rsidR="000B7030">
        <w:rPr>
          <w:rStyle w:val="FootnoteReference"/>
          <w:rFonts w:eastAsia="Times New Roman" w:cs="Times New Roman"/>
          <w:szCs w:val="24"/>
        </w:rPr>
        <w:footnoteReference w:id="4"/>
      </w:r>
      <w:r w:rsidRPr="7842FC33">
        <w:rPr>
          <w:rFonts w:eastAsia="Times New Roman" w:cs="Times New Roman"/>
          <w:szCs w:val="24"/>
        </w:rPr>
        <w:t xml:space="preserve"> sniedza atbalstu pavadzīmju elektroniskas aprites ieviešanai. </w:t>
      </w:r>
      <w:r w:rsidRPr="7842FC33">
        <w:rPr>
          <w:rFonts w:eastAsia="Times New Roman" w:cs="Times New Roman"/>
          <w:color w:val="000000" w:themeColor="text1"/>
          <w:szCs w:val="24"/>
        </w:rPr>
        <w:t xml:space="preserve">Elektroniskas pavadzīmju aprites sistēmas radīšanu atbalsta arī VARAM, saskatot iespējas pilnveidot zemes dzīļu resursu </w:t>
      </w:r>
      <w:r w:rsidR="00A46F79">
        <w:rPr>
          <w:rFonts w:eastAsia="Times New Roman" w:cs="Times New Roman"/>
          <w:color w:val="000000" w:themeColor="text1"/>
          <w:szCs w:val="24"/>
        </w:rPr>
        <w:t>ieguves uzraudzību un kontroli.</w:t>
      </w:r>
    </w:p>
    <w:p w14:paraId="622FE2FE" w14:textId="490A8EF4" w:rsidR="007F6652" w:rsidRPr="000B7030" w:rsidRDefault="6937DE84" w:rsidP="00C243E0">
      <w:pPr>
        <w:spacing w:line="276" w:lineRule="auto"/>
        <w:ind w:firstLine="720"/>
        <w:rPr>
          <w:rFonts w:eastAsia="Times New Roman" w:cs="Times New Roman"/>
        </w:rPr>
      </w:pPr>
      <w:r w:rsidRPr="1432AD22">
        <w:rPr>
          <w:rFonts w:eastAsia="Times New Roman" w:cs="Times New Roman"/>
        </w:rPr>
        <w:t xml:space="preserve">Tomēr, ņemot vērā veiktos priekšdarbus akcīzes preču elektroniskās kontroles sistēmas ieviešanai, kā arī, lai izvērtētu sistēmas darbības priekšrocības, ieguvumus un iespējamās pilnveidojamās sfēras pilnvērtīgai sistēmas darbībai, mazinot riskus komercdarbībai sistēmas ieviešanas un darbības uzsākšanas laikā, </w:t>
      </w:r>
      <w:r w:rsidR="000F746B">
        <w:rPr>
          <w:rFonts w:eastAsia="Times New Roman" w:cs="Times New Roman"/>
        </w:rPr>
        <w:t>būtu apsverama pilotprojekta iespēja – sākotnēji elektronisku</w:t>
      </w:r>
      <w:r w:rsidRPr="1432AD22">
        <w:rPr>
          <w:rFonts w:eastAsia="Times New Roman" w:cs="Times New Roman"/>
        </w:rPr>
        <w:t xml:space="preserve"> preču pavadzīmju aprites darbības uzsākšanu attiecināt tikai noteiktu preču apritē, piem</w:t>
      </w:r>
      <w:r w:rsidR="7D28624F" w:rsidRPr="1432AD22">
        <w:rPr>
          <w:rFonts w:eastAsia="Times New Roman" w:cs="Times New Roman"/>
        </w:rPr>
        <w:t>ēram,</w:t>
      </w:r>
      <w:r w:rsidRPr="1432AD22">
        <w:rPr>
          <w:rFonts w:eastAsia="Times New Roman" w:cs="Times New Roman"/>
        </w:rPr>
        <w:t xml:space="preserve"> akcīzes preču aprites uzraudzībai un kontrolei. Turklāt, ņemot vērā </w:t>
      </w:r>
      <w:r w:rsidR="00BB466C">
        <w:rPr>
          <w:rFonts w:eastAsia="Times New Roman" w:cs="Times New Roman"/>
        </w:rPr>
        <w:t>SM</w:t>
      </w:r>
      <w:r w:rsidR="00B7455F">
        <w:rPr>
          <w:rFonts w:eastAsia="Times New Roman" w:cs="Times New Roman"/>
        </w:rPr>
        <w:t>, Latvijas Informācijas un komunikācijas</w:t>
      </w:r>
      <w:r w:rsidRPr="1432AD22">
        <w:rPr>
          <w:rFonts w:eastAsia="Times New Roman" w:cs="Times New Roman"/>
        </w:rPr>
        <w:t xml:space="preserve"> tehnoloģiju asociācijas un citu projektā iesaistīto iestāžu darbību un paveikto </w:t>
      </w:r>
      <w:r w:rsidR="001D529F" w:rsidRPr="001D529F">
        <w:rPr>
          <w:rFonts w:eastAsia="Times New Roman" w:cs="Times New Roman"/>
        </w:rPr>
        <w:t>elektroniskās kravas starptautiskā autopārvadājumu līguma</w:t>
      </w:r>
      <w:r w:rsidR="001D529F">
        <w:rPr>
          <w:rFonts w:eastAsia="Times New Roman" w:cs="Times New Roman"/>
        </w:rPr>
        <w:t xml:space="preserve"> (</w:t>
      </w:r>
      <w:r w:rsidRPr="1432AD22">
        <w:rPr>
          <w:rFonts w:eastAsia="Times New Roman" w:cs="Times New Roman"/>
        </w:rPr>
        <w:t xml:space="preserve">e-CMR </w:t>
      </w:r>
      <w:r w:rsidR="001D529F" w:rsidRPr="1432AD22">
        <w:rPr>
          <w:rFonts w:eastAsia="Times New Roman" w:cs="Times New Roman"/>
        </w:rPr>
        <w:t>pavadzīmes</w:t>
      </w:r>
      <w:r w:rsidR="001D529F">
        <w:rPr>
          <w:rFonts w:eastAsia="Times New Roman" w:cs="Times New Roman"/>
        </w:rPr>
        <w:t>)</w:t>
      </w:r>
      <w:r w:rsidR="001D529F" w:rsidRPr="1432AD22">
        <w:rPr>
          <w:rFonts w:eastAsia="Times New Roman" w:cs="Times New Roman"/>
        </w:rPr>
        <w:t xml:space="preserve"> </w:t>
      </w:r>
      <w:r w:rsidRPr="1432AD22">
        <w:rPr>
          <w:rFonts w:eastAsia="Times New Roman" w:cs="Times New Roman"/>
        </w:rPr>
        <w:t>ieviešanai, lietderīgi iekšzemes preču pārvadājumos izmantojamo preču pārvadājumu pavadzīmes ieviest uz e-CMR sistēmas pamata</w:t>
      </w:r>
      <w:r w:rsidR="00D516DA">
        <w:rPr>
          <w:rStyle w:val="FootnoteReference"/>
          <w:rFonts w:eastAsia="Times New Roman" w:cs="Times New Roman"/>
        </w:rPr>
        <w:footnoteReference w:id="5"/>
      </w:r>
      <w:r w:rsidRPr="1432AD22">
        <w:rPr>
          <w:rFonts w:eastAsia="Times New Roman" w:cs="Times New Roman"/>
        </w:rPr>
        <w:t xml:space="preserve">. </w:t>
      </w:r>
    </w:p>
    <w:p w14:paraId="05F8F27C" w14:textId="22FB38AB" w:rsidR="7842FC33" w:rsidRDefault="7842FC33" w:rsidP="00C243E0">
      <w:pPr>
        <w:spacing w:line="276" w:lineRule="auto"/>
      </w:pPr>
    </w:p>
    <w:p w14:paraId="056348C0" w14:textId="4EF06E80" w:rsidR="7842FC33" w:rsidRDefault="7842FC33" w:rsidP="7842FC33"/>
    <w:p w14:paraId="0CA51D5E" w14:textId="65A0EF19" w:rsidR="008B7E3B" w:rsidRDefault="008B7E3B" w:rsidP="00295B53">
      <w:pPr>
        <w:pStyle w:val="Heading2"/>
        <w:rPr>
          <w:bCs/>
          <w:iCs/>
        </w:rPr>
      </w:pPr>
      <w:bookmarkStart w:id="4" w:name="_Toc72136649"/>
      <w:r>
        <w:rPr>
          <w:bCs/>
          <w:iCs/>
        </w:rPr>
        <w:t xml:space="preserve">Elektronisko rēķinu lietošana </w:t>
      </w:r>
      <w:r w:rsidRPr="008B7E3B">
        <w:rPr>
          <w:bCs/>
          <w:iCs/>
        </w:rPr>
        <w:t>veselība</w:t>
      </w:r>
      <w:r w:rsidR="005D6328">
        <w:rPr>
          <w:bCs/>
          <w:iCs/>
        </w:rPr>
        <w:t>s</w:t>
      </w:r>
      <w:r w:rsidRPr="008B7E3B">
        <w:rPr>
          <w:bCs/>
          <w:iCs/>
        </w:rPr>
        <w:t xml:space="preserve"> aprūpes pakalpojumu sniegšanā</w:t>
      </w:r>
      <w:bookmarkEnd w:id="4"/>
    </w:p>
    <w:p w14:paraId="6A25BD9F" w14:textId="4F31F1E3" w:rsidR="008B7E3B" w:rsidRDefault="008B7E3B" w:rsidP="008B7E3B"/>
    <w:p w14:paraId="08C024E7" w14:textId="550BB87E" w:rsidR="008B7E3B" w:rsidRPr="009310F1" w:rsidRDefault="008B7E3B" w:rsidP="00C243E0">
      <w:pPr>
        <w:spacing w:line="276" w:lineRule="auto"/>
        <w:ind w:firstLine="576"/>
        <w:rPr>
          <w:rFonts w:cs="Times New Roman"/>
          <w:szCs w:val="24"/>
        </w:rPr>
      </w:pPr>
      <w:r w:rsidRPr="009310F1">
        <w:rPr>
          <w:rFonts w:cs="Times New Roman"/>
          <w:szCs w:val="24"/>
          <w:shd w:val="clear" w:color="auto" w:fill="FFFFFF"/>
        </w:rPr>
        <w:t>Nacionālais veselības dienests</w:t>
      </w:r>
      <w:r w:rsidR="001E424C">
        <w:rPr>
          <w:rFonts w:cs="Times New Roman"/>
          <w:szCs w:val="24"/>
          <w:shd w:val="clear" w:color="auto" w:fill="FFFFFF"/>
        </w:rPr>
        <w:t xml:space="preserve"> (turpmāk – NVD)</w:t>
      </w:r>
      <w:r w:rsidRPr="009310F1">
        <w:rPr>
          <w:rFonts w:cs="Times New Roman"/>
          <w:szCs w:val="24"/>
          <w:shd w:val="clear" w:color="auto" w:fill="FFFFFF"/>
        </w:rPr>
        <w:t xml:space="preserve"> par valsts apmaksāto veselības aprūpes pakalpojumu sniegšanu slēdz līgumus ar ambulatorām un stacionārām ārstniecības iestādēm, ģimenes ārstu, zobārstniecības un speciālistu praksēm, laboratorijām, kā arī ar aptiekām, to juridiskajiem īpašniekiem.</w:t>
      </w:r>
      <w:r w:rsidRPr="009310F1">
        <w:rPr>
          <w:rFonts w:cs="Times New Roman"/>
          <w:szCs w:val="24"/>
        </w:rPr>
        <w:t xml:space="preserve"> </w:t>
      </w:r>
      <w:r w:rsidRPr="009310F1">
        <w:rPr>
          <w:rFonts w:cs="Times New Roman"/>
          <w:szCs w:val="24"/>
          <w:bdr w:val="none" w:sz="0" w:space="0" w:color="auto" w:frame="1"/>
        </w:rPr>
        <w:t xml:space="preserve">Noslēdzot līgumu par valsts apmaksājamo pakalpojumu sniegšanu un apmaksu, pakalpojuma sniedzējam atbilstoši pielikumam par informācijas apmaiņas kārtību, jānoslēdz papildlīgums par </w:t>
      </w:r>
      <w:r w:rsidR="001E424C">
        <w:rPr>
          <w:rFonts w:cs="Times New Roman"/>
          <w:szCs w:val="24"/>
          <w:bdr w:val="none" w:sz="0" w:space="0" w:color="auto" w:frame="1"/>
        </w:rPr>
        <w:t>NVD</w:t>
      </w:r>
      <w:r w:rsidRPr="009310F1">
        <w:rPr>
          <w:rFonts w:cs="Times New Roman"/>
          <w:szCs w:val="24"/>
          <w:bdr w:val="none" w:sz="0" w:space="0" w:color="auto" w:frame="1"/>
        </w:rPr>
        <w:t xml:space="preserve"> Vadības informācijas sistēmas (turpmāk </w:t>
      </w:r>
      <w:r w:rsidR="00991F03">
        <w:rPr>
          <w:rFonts w:cs="Times New Roman"/>
          <w:szCs w:val="24"/>
          <w:bdr w:val="none" w:sz="0" w:space="0" w:color="auto" w:frame="1"/>
        </w:rPr>
        <w:t xml:space="preserve">– </w:t>
      </w:r>
      <w:r w:rsidRPr="009310F1">
        <w:rPr>
          <w:rFonts w:cs="Times New Roman"/>
          <w:szCs w:val="24"/>
          <w:bdr w:val="none" w:sz="0" w:space="0" w:color="auto" w:frame="1"/>
        </w:rPr>
        <w:t xml:space="preserve">VIS) lietošanu norādot pakalpojuma sniedzēja konkrētas personas-sistēmas lietotājus un viņu darbībai nepieciešamās informācijas sistēmas pieejas tiesību prasības. Vienlaikus pakalpojuma sniedzēji apņemas </w:t>
      </w:r>
      <w:r w:rsidR="001E424C">
        <w:rPr>
          <w:rFonts w:cs="Times New Roman"/>
          <w:szCs w:val="24"/>
          <w:bdr w:val="none" w:sz="0" w:space="0" w:color="auto" w:frame="1"/>
        </w:rPr>
        <w:t>NVD</w:t>
      </w:r>
      <w:r w:rsidRPr="009310F1">
        <w:rPr>
          <w:rFonts w:cs="Times New Roman"/>
          <w:szCs w:val="24"/>
          <w:bdr w:val="none" w:sz="0" w:space="0" w:color="auto" w:frame="1"/>
        </w:rPr>
        <w:t xml:space="preserve"> VIS sistēmā konkrētajos termiņos nodrošināt uzskaites dokumentu datu ievadi par pakalpojuma sniedzēja veikto darbu. Uz šo dokumentu pamata </w:t>
      </w:r>
      <w:r w:rsidR="001E424C">
        <w:rPr>
          <w:rFonts w:cs="Times New Roman"/>
          <w:szCs w:val="24"/>
          <w:bdr w:val="none" w:sz="0" w:space="0" w:color="auto" w:frame="1"/>
        </w:rPr>
        <w:t>NVD</w:t>
      </w:r>
      <w:r w:rsidRPr="009310F1">
        <w:rPr>
          <w:rFonts w:cs="Times New Roman"/>
          <w:szCs w:val="24"/>
          <w:bdr w:val="none" w:sz="0" w:space="0" w:color="auto" w:frame="1"/>
        </w:rPr>
        <w:t xml:space="preserve"> VIS veic aprēķinus un veido rēķinus</w:t>
      </w:r>
      <w:r w:rsidR="0060423D">
        <w:rPr>
          <w:rFonts w:cs="Times New Roman"/>
          <w:szCs w:val="24"/>
          <w:bdr w:val="none" w:sz="0" w:space="0" w:color="auto" w:frame="1"/>
        </w:rPr>
        <w:t xml:space="preserve"> </w:t>
      </w:r>
      <w:r w:rsidR="00200BEE">
        <w:rPr>
          <w:rFonts w:cs="Times New Roman"/>
          <w:szCs w:val="24"/>
          <w:bdr w:val="none" w:sz="0" w:space="0" w:color="auto" w:frame="1"/>
        </w:rPr>
        <w:t>–</w:t>
      </w:r>
      <w:r w:rsidRPr="009310F1">
        <w:rPr>
          <w:rFonts w:cs="Times New Roman"/>
          <w:szCs w:val="24"/>
          <w:bdr w:val="none" w:sz="0" w:space="0" w:color="auto" w:frame="1"/>
        </w:rPr>
        <w:t xml:space="preserve"> pakalpojuma sniedzēju norēķinu dokumentus pret </w:t>
      </w:r>
      <w:r w:rsidR="001E424C">
        <w:rPr>
          <w:rFonts w:cs="Times New Roman"/>
          <w:szCs w:val="24"/>
          <w:bdr w:val="none" w:sz="0" w:space="0" w:color="auto" w:frame="1"/>
        </w:rPr>
        <w:t>NVD</w:t>
      </w:r>
      <w:r w:rsidRPr="009310F1">
        <w:rPr>
          <w:rFonts w:cs="Times New Roman"/>
          <w:szCs w:val="24"/>
          <w:bdr w:val="none" w:sz="0" w:space="0" w:color="auto" w:frame="1"/>
        </w:rPr>
        <w:t xml:space="preserve"> par valsts apmaksāto veselības aprūpes pakalpojumu sniegšanu. Minētā </w:t>
      </w:r>
      <w:r w:rsidR="001E424C">
        <w:rPr>
          <w:rFonts w:cs="Times New Roman"/>
          <w:szCs w:val="24"/>
          <w:bdr w:val="none" w:sz="0" w:space="0" w:color="auto" w:frame="1"/>
        </w:rPr>
        <w:t>NVD</w:t>
      </w:r>
      <w:r w:rsidRPr="009310F1">
        <w:rPr>
          <w:rFonts w:cs="Times New Roman"/>
          <w:szCs w:val="24"/>
          <w:bdr w:val="none" w:sz="0" w:space="0" w:color="auto" w:frame="1"/>
        </w:rPr>
        <w:t xml:space="preserve"> VIS </w:t>
      </w:r>
      <w:r w:rsidRPr="009310F1">
        <w:rPr>
          <w:rFonts w:cs="Times New Roman"/>
          <w:szCs w:val="24"/>
        </w:rPr>
        <w:t>no 2003.</w:t>
      </w:r>
      <w:r w:rsidR="009717DE">
        <w:rPr>
          <w:rFonts w:cs="Times New Roman"/>
          <w:szCs w:val="24"/>
        </w:rPr>
        <w:t> </w:t>
      </w:r>
      <w:r w:rsidRPr="009310F1">
        <w:rPr>
          <w:rFonts w:cs="Times New Roman"/>
          <w:szCs w:val="24"/>
        </w:rPr>
        <w:t xml:space="preserve">gada nodrošina </w:t>
      </w:r>
      <w:r w:rsidR="001E424C">
        <w:rPr>
          <w:rFonts w:cs="Times New Roman"/>
          <w:szCs w:val="24"/>
        </w:rPr>
        <w:t>NVD</w:t>
      </w:r>
      <w:r w:rsidRPr="009310F1">
        <w:rPr>
          <w:rFonts w:cs="Times New Roman"/>
          <w:szCs w:val="24"/>
        </w:rPr>
        <w:t xml:space="preserve"> pamatdarbību - norēķinus ar </w:t>
      </w:r>
      <w:proofErr w:type="spellStart"/>
      <w:r w:rsidRPr="009310F1">
        <w:rPr>
          <w:rFonts w:cs="Times New Roman"/>
          <w:szCs w:val="24"/>
        </w:rPr>
        <w:t>līgumiestādēm</w:t>
      </w:r>
      <w:proofErr w:type="spellEnd"/>
      <w:r w:rsidRPr="009310F1">
        <w:rPr>
          <w:rFonts w:cs="Times New Roman"/>
          <w:szCs w:val="24"/>
        </w:rPr>
        <w:t xml:space="preserve"> par </w:t>
      </w:r>
      <w:r w:rsidRPr="009310F1">
        <w:rPr>
          <w:rFonts w:cs="Times New Roman"/>
          <w:szCs w:val="24"/>
        </w:rPr>
        <w:lastRenderedPageBreak/>
        <w:t>sniegtajiem valsts apmaksājamiem pakalpojumiem. VIS sastāvā ir daudz sadaļu (moduļu), kas gan savstarpēji sadarbojas, gan katrs par sevi darbojas konkrētu uzdevumu izpildei.</w:t>
      </w:r>
    </w:p>
    <w:p w14:paraId="4E546E16" w14:textId="77777777" w:rsidR="008B7E3B" w:rsidRPr="009310F1" w:rsidRDefault="008B7E3B" w:rsidP="00C243E0">
      <w:pPr>
        <w:spacing w:line="276" w:lineRule="auto"/>
        <w:ind w:firstLine="576"/>
        <w:rPr>
          <w:rFonts w:cs="Times New Roman"/>
          <w:szCs w:val="24"/>
        </w:rPr>
      </w:pPr>
      <w:r w:rsidRPr="009310F1">
        <w:rPr>
          <w:rFonts w:cs="Times New Roman"/>
          <w:szCs w:val="24"/>
        </w:rPr>
        <w:t>Norēķiniem izmantoti Ambulatoro pakalpojumu, Zobārstniecības pakalpojumu, Stacionāro pakalpojumu modulis un kompensējamo medikamentu un medicīnas ierīču apmaksas modulis.</w:t>
      </w:r>
    </w:p>
    <w:p w14:paraId="181021DE" w14:textId="77777777" w:rsidR="008B7E3B" w:rsidRPr="009310F1" w:rsidRDefault="008B7E3B" w:rsidP="00C243E0">
      <w:pPr>
        <w:spacing w:line="276" w:lineRule="auto"/>
        <w:ind w:firstLine="576"/>
        <w:rPr>
          <w:rFonts w:eastAsia="Times New Roman" w:cs="Times New Roman"/>
          <w:szCs w:val="24"/>
        </w:rPr>
      </w:pPr>
      <w:r w:rsidRPr="009310F1">
        <w:rPr>
          <w:rFonts w:cs="Times New Roman"/>
          <w:szCs w:val="24"/>
        </w:rPr>
        <w:t xml:space="preserve">Šajos VIS moduļos </w:t>
      </w:r>
      <w:r>
        <w:rPr>
          <w:rFonts w:cs="Times New Roman"/>
          <w:szCs w:val="24"/>
        </w:rPr>
        <w:t>tiek veiktas konkrētas darbības</w:t>
      </w:r>
      <w:r w:rsidRPr="009310F1">
        <w:rPr>
          <w:rFonts w:cs="Times New Roman"/>
          <w:szCs w:val="24"/>
        </w:rPr>
        <w:t xml:space="preserve">, lai izveidotu rēķinus norēķiniem ar </w:t>
      </w:r>
      <w:proofErr w:type="spellStart"/>
      <w:r w:rsidRPr="009310F1">
        <w:rPr>
          <w:rFonts w:cs="Times New Roman"/>
          <w:szCs w:val="24"/>
        </w:rPr>
        <w:t>līgumiestādēm</w:t>
      </w:r>
      <w:proofErr w:type="spellEnd"/>
      <w:r w:rsidRPr="009310F1">
        <w:rPr>
          <w:rFonts w:cs="Times New Roman"/>
          <w:szCs w:val="24"/>
        </w:rPr>
        <w:t xml:space="preserve"> par sniegtajiem valsts apmaksājamiem pakalpojumiem.</w:t>
      </w:r>
    </w:p>
    <w:p w14:paraId="3DEFF19A" w14:textId="77777777" w:rsidR="008B7E3B" w:rsidRPr="00386AEB" w:rsidRDefault="008B7E3B" w:rsidP="008B7E3B">
      <w:pPr>
        <w:pStyle w:val="Attls"/>
        <w:numPr>
          <w:ilvl w:val="0"/>
          <w:numId w:val="34"/>
        </w:numPr>
        <w:ind w:left="-1985"/>
        <w:rPr>
          <w:rFonts w:cs="Arial"/>
          <w:sz w:val="22"/>
          <w:szCs w:val="22"/>
        </w:rPr>
      </w:pPr>
      <w:r w:rsidRPr="00386AEB">
        <w:rPr>
          <w:rFonts w:cs="Arial"/>
          <w:sz w:val="22"/>
          <w:szCs w:val="22"/>
        </w:rPr>
        <w:object w:dxaOrig="2520" w:dyaOrig="4500" w14:anchorId="016E8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85pt;height:225.25pt" o:ole="">
            <v:imagedata r:id="rId8" o:title=""/>
          </v:shape>
          <o:OLEObject Type="Embed" ProgID="Visio.Drawing.11" ShapeID="_x0000_i1025" DrawAspect="Content" ObjectID="_1682759699" r:id="rId9"/>
        </w:object>
      </w:r>
    </w:p>
    <w:p w14:paraId="39148460" w14:textId="77777777" w:rsidR="008B7E3B" w:rsidRPr="009310F1" w:rsidRDefault="008B7E3B" w:rsidP="00C243E0">
      <w:pPr>
        <w:pStyle w:val="ListBullet"/>
        <w:keepLines w:val="0"/>
        <w:numPr>
          <w:ilvl w:val="0"/>
          <w:numId w:val="35"/>
        </w:numPr>
        <w:spacing w:line="276" w:lineRule="auto"/>
        <w:rPr>
          <w:rFonts w:ascii="Times New Roman" w:hAnsi="Times New Roman"/>
          <w:b/>
          <w:szCs w:val="24"/>
        </w:rPr>
      </w:pPr>
      <w:r w:rsidRPr="009310F1">
        <w:rPr>
          <w:rFonts w:ascii="Times New Roman" w:hAnsi="Times New Roman"/>
          <w:szCs w:val="24"/>
        </w:rPr>
        <w:t xml:space="preserve">Vispirms sistēmā </w:t>
      </w:r>
      <w:proofErr w:type="spellStart"/>
      <w:r w:rsidRPr="009310F1">
        <w:rPr>
          <w:rFonts w:ascii="Times New Roman" w:hAnsi="Times New Roman"/>
          <w:szCs w:val="24"/>
        </w:rPr>
        <w:t>Līgumiestādes</w:t>
      </w:r>
      <w:proofErr w:type="spellEnd"/>
      <w:r w:rsidRPr="009310F1">
        <w:rPr>
          <w:rFonts w:ascii="Times New Roman" w:hAnsi="Times New Roman"/>
          <w:szCs w:val="24"/>
        </w:rPr>
        <w:t xml:space="preserve"> ievada uzskaites dokumenta (</w:t>
      </w:r>
      <w:proofErr w:type="spellStart"/>
      <w:r w:rsidRPr="009310F1">
        <w:rPr>
          <w:rFonts w:ascii="Times New Roman" w:hAnsi="Times New Roman"/>
          <w:szCs w:val="24"/>
        </w:rPr>
        <w:t>rēķintalona</w:t>
      </w:r>
      <w:proofErr w:type="spellEnd"/>
      <w:r w:rsidRPr="009310F1">
        <w:rPr>
          <w:rFonts w:ascii="Times New Roman" w:hAnsi="Times New Roman"/>
          <w:szCs w:val="24"/>
        </w:rPr>
        <w:t>, stacionārās kartes, receptes) datus;</w:t>
      </w:r>
    </w:p>
    <w:p w14:paraId="63273223" w14:textId="7CBA880E" w:rsidR="008B7E3B" w:rsidRPr="009310F1" w:rsidRDefault="008B7E3B" w:rsidP="00C243E0">
      <w:pPr>
        <w:pStyle w:val="ListBullet"/>
        <w:keepLines w:val="0"/>
        <w:numPr>
          <w:ilvl w:val="0"/>
          <w:numId w:val="35"/>
        </w:numPr>
        <w:spacing w:line="276" w:lineRule="auto"/>
        <w:rPr>
          <w:rFonts w:ascii="Times New Roman" w:hAnsi="Times New Roman"/>
          <w:szCs w:val="24"/>
        </w:rPr>
      </w:pPr>
      <w:r w:rsidRPr="009310F1">
        <w:rPr>
          <w:rFonts w:ascii="Times New Roman" w:hAnsi="Times New Roman"/>
          <w:szCs w:val="24"/>
        </w:rPr>
        <w:t>ievadītie dati tiek pārbaudīti un, ja pārbaudes rezultātā dokumentā netiek atrastas kļūdas, tiek veikts aprēķins (aprēķina mehānisma konfigurācija ir algoritms, pēc kāda norēķinu sistēmas kodols nosaka summu p</w:t>
      </w:r>
      <w:r w:rsidR="001B0223">
        <w:rPr>
          <w:rFonts w:ascii="Times New Roman" w:hAnsi="Times New Roman"/>
          <w:szCs w:val="24"/>
        </w:rPr>
        <w:t>ar ienākošo uzskaites dokumentu</w:t>
      </w:r>
      <w:r w:rsidRPr="009310F1">
        <w:rPr>
          <w:rFonts w:ascii="Times New Roman" w:hAnsi="Times New Roman"/>
          <w:szCs w:val="24"/>
        </w:rPr>
        <w:t>);</w:t>
      </w:r>
    </w:p>
    <w:p w14:paraId="71BB4BB1" w14:textId="77777777" w:rsidR="008B7E3B" w:rsidRPr="009310F1" w:rsidRDefault="008B7E3B" w:rsidP="00C243E0">
      <w:pPr>
        <w:pStyle w:val="ListBullet"/>
        <w:keepLines w:val="0"/>
        <w:numPr>
          <w:ilvl w:val="0"/>
          <w:numId w:val="35"/>
        </w:numPr>
        <w:spacing w:line="276" w:lineRule="auto"/>
        <w:rPr>
          <w:rFonts w:ascii="Times New Roman" w:hAnsi="Times New Roman"/>
          <w:szCs w:val="24"/>
        </w:rPr>
      </w:pPr>
      <w:r w:rsidRPr="009310F1">
        <w:rPr>
          <w:rFonts w:ascii="Times New Roman" w:hAnsi="Times New Roman"/>
          <w:szCs w:val="24"/>
        </w:rPr>
        <w:t xml:space="preserve">pēc aprēķina veikšanas uzskaites dokuments tiek iekļauts rēķinā un apmaksāts. </w:t>
      </w:r>
    </w:p>
    <w:p w14:paraId="3953C37B" w14:textId="77777777" w:rsidR="008B7E3B" w:rsidRPr="009310F1" w:rsidRDefault="008B7E3B" w:rsidP="00C243E0">
      <w:pPr>
        <w:spacing w:line="276" w:lineRule="auto"/>
        <w:rPr>
          <w:rFonts w:cs="Times New Roman"/>
          <w:szCs w:val="24"/>
        </w:rPr>
      </w:pPr>
    </w:p>
    <w:p w14:paraId="703CB11C" w14:textId="17C7225C" w:rsidR="008B7E3B" w:rsidRPr="009310F1" w:rsidRDefault="008B7E3B" w:rsidP="00F65DFC">
      <w:pPr>
        <w:spacing w:line="276" w:lineRule="auto"/>
        <w:ind w:firstLine="720"/>
        <w:rPr>
          <w:rFonts w:cs="Times New Roman"/>
          <w:szCs w:val="24"/>
        </w:rPr>
      </w:pPr>
      <w:r w:rsidRPr="009310F1">
        <w:rPr>
          <w:rFonts w:cs="Times New Roman"/>
          <w:szCs w:val="24"/>
        </w:rPr>
        <w:t>Rēķinu veidošanas un apstiprināšanas mehānismi ir vienoti visām VIS norēķinu sistēmām. Rēķinu veidi ir dažādi un vairāki veidi pat vienam norēķinu modulim, lai realizētu pakalpojumu programmu apjomu izpildi un kontroli.</w:t>
      </w:r>
      <w:r w:rsidR="00C277E4">
        <w:rPr>
          <w:rFonts w:cs="Times New Roman"/>
          <w:szCs w:val="24"/>
        </w:rPr>
        <w:t xml:space="preserve"> </w:t>
      </w:r>
      <w:r w:rsidRPr="009310F1">
        <w:rPr>
          <w:rFonts w:cs="Times New Roman"/>
          <w:szCs w:val="24"/>
        </w:rPr>
        <w:t xml:space="preserve">Piemēram, ambulatorie norēķini notiek ar </w:t>
      </w:r>
      <w:r w:rsidR="007019DD">
        <w:rPr>
          <w:rFonts w:cs="Times New Roman"/>
          <w:szCs w:val="24"/>
        </w:rPr>
        <w:t>pieciem</w:t>
      </w:r>
      <w:r w:rsidRPr="009310F1">
        <w:rPr>
          <w:rFonts w:cs="Times New Roman"/>
          <w:szCs w:val="24"/>
        </w:rPr>
        <w:t xml:space="preserve"> rēķinu veidiem </w:t>
      </w:r>
      <w:r w:rsidRPr="009310F1">
        <w:rPr>
          <w:rFonts w:cs="Times New Roman"/>
          <w:color w:val="333333"/>
          <w:szCs w:val="24"/>
          <w:shd w:val="clear" w:color="auto" w:fill="FFFFFF"/>
        </w:rPr>
        <w:t>un s</w:t>
      </w:r>
      <w:r w:rsidRPr="009310F1">
        <w:rPr>
          <w:rFonts w:cs="Times New Roman"/>
          <w:szCs w:val="24"/>
        </w:rPr>
        <w:t xml:space="preserve">tacionārie norēķini ar </w:t>
      </w:r>
      <w:r w:rsidR="00D8519E">
        <w:rPr>
          <w:rFonts w:cs="Times New Roman"/>
          <w:szCs w:val="24"/>
        </w:rPr>
        <w:t>sešiem</w:t>
      </w:r>
      <w:r w:rsidRPr="009310F1">
        <w:rPr>
          <w:rFonts w:cs="Times New Roman"/>
          <w:szCs w:val="24"/>
        </w:rPr>
        <w:t xml:space="preserve"> rēķinu veidiem. </w:t>
      </w:r>
    </w:p>
    <w:p w14:paraId="636369A5" w14:textId="77777777" w:rsidR="008B7E3B" w:rsidRPr="009310F1" w:rsidRDefault="008B7E3B" w:rsidP="00F65DFC">
      <w:pPr>
        <w:spacing w:line="276" w:lineRule="auto"/>
        <w:ind w:firstLine="567"/>
        <w:rPr>
          <w:rFonts w:cs="Times New Roman"/>
          <w:szCs w:val="24"/>
        </w:rPr>
      </w:pPr>
      <w:r w:rsidRPr="009310F1">
        <w:rPr>
          <w:rFonts w:cs="Times New Roman"/>
          <w:szCs w:val="24"/>
        </w:rPr>
        <w:t xml:space="preserve">Veidojot rēķinu, to vispirms sagatavo sistēma, atbilstoši līgumiem un ierobežojošo kvotu pieejamām summām. </w:t>
      </w:r>
    </w:p>
    <w:p w14:paraId="77D8BD20" w14:textId="77777777" w:rsidR="008B7E3B" w:rsidRPr="009310F1" w:rsidRDefault="008B7E3B" w:rsidP="00F65DFC">
      <w:pPr>
        <w:spacing w:line="276" w:lineRule="auto"/>
        <w:ind w:firstLine="567"/>
        <w:rPr>
          <w:rFonts w:cs="Times New Roman"/>
          <w:szCs w:val="24"/>
        </w:rPr>
      </w:pPr>
      <w:r w:rsidRPr="009310F1">
        <w:rPr>
          <w:rFonts w:cs="Times New Roman"/>
          <w:szCs w:val="24"/>
        </w:rPr>
        <w:t>Vispārīgs rēķina veidošanas procesa apraksts:</w:t>
      </w:r>
    </w:p>
    <w:p w14:paraId="50DC5AD4" w14:textId="77777777" w:rsidR="008B7E3B" w:rsidRPr="009310F1" w:rsidRDefault="008B7E3B" w:rsidP="00C243E0">
      <w:pPr>
        <w:pStyle w:val="Darbbusaraksts"/>
        <w:keepLines w:val="0"/>
        <w:numPr>
          <w:ilvl w:val="0"/>
          <w:numId w:val="36"/>
        </w:numPr>
        <w:spacing w:line="276" w:lineRule="auto"/>
        <w:rPr>
          <w:rFonts w:ascii="Times New Roman" w:hAnsi="Times New Roman"/>
          <w:szCs w:val="24"/>
        </w:rPr>
      </w:pPr>
      <w:r w:rsidRPr="009310F1">
        <w:rPr>
          <w:rFonts w:ascii="Times New Roman" w:hAnsi="Times New Roman"/>
          <w:szCs w:val="24"/>
        </w:rPr>
        <w:t>Tiek izvēlēts norēķinu modulis un veids kāds rēķins jāveido. Sistēmai var uzdot veikt rēķina sagatavošanu masveidā (kā sistēmas procesam) vai pa vienam.</w:t>
      </w:r>
    </w:p>
    <w:p w14:paraId="30954791" w14:textId="77777777" w:rsidR="008B7E3B" w:rsidRPr="009310F1" w:rsidRDefault="008B7E3B" w:rsidP="00C243E0">
      <w:pPr>
        <w:pStyle w:val="Darbbusaraksts"/>
        <w:keepLines w:val="0"/>
        <w:numPr>
          <w:ilvl w:val="0"/>
          <w:numId w:val="36"/>
        </w:numPr>
        <w:spacing w:line="276" w:lineRule="auto"/>
        <w:rPr>
          <w:rFonts w:ascii="Times New Roman" w:hAnsi="Times New Roman"/>
          <w:szCs w:val="24"/>
        </w:rPr>
      </w:pPr>
      <w:r w:rsidRPr="009310F1">
        <w:rPr>
          <w:rFonts w:ascii="Times New Roman" w:hAnsi="Times New Roman"/>
          <w:szCs w:val="24"/>
        </w:rPr>
        <w:lastRenderedPageBreak/>
        <w:t>Atbilstoši nodotajiem parametriem, sistēma meklē aprēķināto dokumentu transakcijas, kas potenciāli iekļaujamas konkrētajā rēķinā. Ja to nav, rēķins netiek veidots.</w:t>
      </w:r>
    </w:p>
    <w:p w14:paraId="69E74344" w14:textId="77777777" w:rsidR="008B7E3B" w:rsidRPr="009310F1" w:rsidRDefault="008B7E3B" w:rsidP="00C243E0">
      <w:pPr>
        <w:pStyle w:val="Darbbusaraksts"/>
        <w:keepLines w:val="0"/>
        <w:numPr>
          <w:ilvl w:val="0"/>
          <w:numId w:val="36"/>
        </w:numPr>
        <w:spacing w:line="276" w:lineRule="auto"/>
        <w:rPr>
          <w:rFonts w:ascii="Times New Roman" w:hAnsi="Times New Roman"/>
          <w:szCs w:val="24"/>
        </w:rPr>
      </w:pPr>
      <w:r w:rsidRPr="009310F1">
        <w:rPr>
          <w:rFonts w:ascii="Times New Roman" w:hAnsi="Times New Roman"/>
          <w:szCs w:val="24"/>
        </w:rPr>
        <w:t xml:space="preserve">Ja tiek atrastas aprēķināto dokumentu transakcijas, kas atbilst konkrētajam rēķinam, sistēma noskaidro, vai rēķinu ierobežo kvotas; aprēķina atbilstošo kvotu pieejamās summas, kuru ietvaros izveido rēķinu ar statusu </w:t>
      </w:r>
      <w:r w:rsidRPr="009310F1">
        <w:rPr>
          <w:rFonts w:ascii="Times New Roman" w:hAnsi="Times New Roman"/>
          <w:i/>
          <w:iCs/>
          <w:szCs w:val="24"/>
        </w:rPr>
        <w:t>Sagatavošanā</w:t>
      </w:r>
      <w:r w:rsidRPr="009310F1">
        <w:rPr>
          <w:rFonts w:ascii="Times New Roman" w:hAnsi="Times New Roman"/>
          <w:szCs w:val="24"/>
        </w:rPr>
        <w:t>.</w:t>
      </w:r>
    </w:p>
    <w:p w14:paraId="680C6D61" w14:textId="77777777" w:rsidR="008B7E3B" w:rsidRPr="009310F1" w:rsidRDefault="008B7E3B" w:rsidP="00C243E0">
      <w:pPr>
        <w:pStyle w:val="Darbbusaraksts"/>
        <w:keepLines w:val="0"/>
        <w:numPr>
          <w:ilvl w:val="0"/>
          <w:numId w:val="36"/>
        </w:numPr>
        <w:spacing w:line="276" w:lineRule="auto"/>
        <w:rPr>
          <w:rFonts w:ascii="Times New Roman" w:hAnsi="Times New Roman"/>
          <w:szCs w:val="24"/>
        </w:rPr>
      </w:pPr>
      <w:r w:rsidRPr="009310F1">
        <w:rPr>
          <w:rFonts w:ascii="Times New Roman" w:hAnsi="Times New Roman"/>
          <w:szCs w:val="24"/>
        </w:rPr>
        <w:t>Ja kvotas nav ierobežojošas, visas transakcijas iekļauj rēķinā, kuram uzstāda statusu</w:t>
      </w:r>
      <w:r w:rsidRPr="009310F1">
        <w:rPr>
          <w:rFonts w:ascii="Times New Roman" w:hAnsi="Times New Roman"/>
          <w:i/>
          <w:szCs w:val="24"/>
        </w:rPr>
        <w:t xml:space="preserve"> </w:t>
      </w:r>
      <w:r w:rsidRPr="009310F1">
        <w:rPr>
          <w:rFonts w:ascii="Times New Roman" w:hAnsi="Times New Roman"/>
          <w:i/>
          <w:iCs/>
          <w:szCs w:val="24"/>
        </w:rPr>
        <w:t>Sagatavošanā</w:t>
      </w:r>
      <w:r w:rsidRPr="009310F1">
        <w:rPr>
          <w:rFonts w:ascii="Times New Roman" w:hAnsi="Times New Roman"/>
          <w:i/>
          <w:szCs w:val="24"/>
        </w:rPr>
        <w:t xml:space="preserve">. </w:t>
      </w:r>
      <w:r w:rsidRPr="009310F1">
        <w:rPr>
          <w:rFonts w:ascii="Times New Roman" w:hAnsi="Times New Roman"/>
          <w:szCs w:val="24"/>
        </w:rPr>
        <w:t xml:space="preserve">Pēc tam lietotājs, atbilstoši lietotāja kā norēķina partnera statusam un rēķina veidam, sistēma ierobežo iespēju apstiprināt rēķina izveidošanu (piešķirt statusu </w:t>
      </w:r>
      <w:r w:rsidRPr="009310F1">
        <w:rPr>
          <w:rFonts w:ascii="Times New Roman" w:hAnsi="Times New Roman"/>
          <w:i/>
          <w:iCs/>
          <w:szCs w:val="24"/>
        </w:rPr>
        <w:t>Izveidots</w:t>
      </w:r>
      <w:r w:rsidRPr="009310F1">
        <w:rPr>
          <w:rFonts w:ascii="Times New Roman" w:hAnsi="Times New Roman"/>
          <w:szCs w:val="24"/>
        </w:rPr>
        <w:t>).</w:t>
      </w:r>
    </w:p>
    <w:p w14:paraId="3FCD0EBC" w14:textId="5FC2468A" w:rsidR="008B7E3B" w:rsidRPr="009310F1" w:rsidRDefault="008B7E3B" w:rsidP="00C243E0">
      <w:pPr>
        <w:numPr>
          <w:ilvl w:val="0"/>
          <w:numId w:val="36"/>
        </w:numPr>
        <w:overflowPunct w:val="0"/>
        <w:autoSpaceDE w:val="0"/>
        <w:autoSpaceDN w:val="0"/>
        <w:adjustRightInd w:val="0"/>
        <w:spacing w:before="120" w:after="0" w:line="276" w:lineRule="auto"/>
        <w:rPr>
          <w:rFonts w:cs="Times New Roman"/>
          <w:szCs w:val="24"/>
        </w:rPr>
      </w:pPr>
      <w:r w:rsidRPr="009310F1">
        <w:rPr>
          <w:rFonts w:cs="Times New Roman"/>
          <w:bCs/>
          <w:szCs w:val="24"/>
        </w:rPr>
        <w:t>J</w:t>
      </w:r>
      <w:r w:rsidRPr="009310F1">
        <w:rPr>
          <w:rFonts w:cs="Times New Roman"/>
          <w:szCs w:val="24"/>
        </w:rPr>
        <w:t xml:space="preserve">a rēķinam ir statuss </w:t>
      </w:r>
      <w:r w:rsidRPr="009310F1">
        <w:rPr>
          <w:rFonts w:cs="Times New Roman"/>
          <w:bCs/>
          <w:i/>
          <w:szCs w:val="24"/>
        </w:rPr>
        <w:t>Izveidots</w:t>
      </w:r>
      <w:r w:rsidRPr="009310F1">
        <w:rPr>
          <w:rFonts w:cs="Times New Roman"/>
          <w:szCs w:val="24"/>
        </w:rPr>
        <w:t>, tas nozīmē, ka viens no norēķinu partneriem (tas kurš sagatavojis/pārbaudījis rēķinu) ir apstiprinājis rēķina saturu. Rēķinu vairs nevar labot, bet to vēl nevar arī apmaksāt, jo jāsagaida akcepts no otra norēķinu partnera</w:t>
      </w:r>
      <w:r w:rsidR="00F519A2">
        <w:rPr>
          <w:rFonts w:cs="Times New Roman"/>
          <w:szCs w:val="24"/>
        </w:rPr>
        <w:t xml:space="preserve"> – </w:t>
      </w:r>
      <w:proofErr w:type="spellStart"/>
      <w:r w:rsidRPr="009310F1">
        <w:rPr>
          <w:rFonts w:cs="Times New Roman"/>
          <w:szCs w:val="24"/>
        </w:rPr>
        <w:t>līgumiestādes</w:t>
      </w:r>
      <w:proofErr w:type="spellEnd"/>
      <w:r w:rsidRPr="009310F1">
        <w:rPr>
          <w:rFonts w:cs="Times New Roman"/>
          <w:szCs w:val="24"/>
        </w:rPr>
        <w:t>.</w:t>
      </w:r>
    </w:p>
    <w:p w14:paraId="7D4A3B59" w14:textId="70C132A2" w:rsidR="008B7E3B" w:rsidRPr="00594963" w:rsidRDefault="008B7E3B" w:rsidP="00594963">
      <w:pPr>
        <w:pStyle w:val="Darbbusaraksts"/>
        <w:keepLines w:val="0"/>
        <w:numPr>
          <w:ilvl w:val="0"/>
          <w:numId w:val="36"/>
        </w:numPr>
        <w:spacing w:line="276" w:lineRule="auto"/>
        <w:rPr>
          <w:rFonts w:ascii="Times New Roman" w:hAnsi="Times New Roman"/>
          <w:szCs w:val="24"/>
        </w:rPr>
      </w:pPr>
      <w:r w:rsidRPr="009310F1">
        <w:rPr>
          <w:rFonts w:ascii="Times New Roman" w:hAnsi="Times New Roman"/>
          <w:bCs/>
          <w:i/>
          <w:szCs w:val="24"/>
        </w:rPr>
        <w:t>Apstiprināts</w:t>
      </w:r>
      <w:r w:rsidRPr="009310F1">
        <w:rPr>
          <w:rFonts w:ascii="Times New Roman" w:hAnsi="Times New Roman"/>
          <w:szCs w:val="24"/>
        </w:rPr>
        <w:t xml:space="preserve"> – rēķinu ir apstiprinājuši abi norēķinu partneri, to nevar rediģēt un tas tiek apmaksāts.</w:t>
      </w:r>
    </w:p>
    <w:p w14:paraId="0A7CD925" w14:textId="709A499C" w:rsidR="0082313C" w:rsidRDefault="0082313C" w:rsidP="00D84C2F">
      <w:pPr>
        <w:spacing w:line="276" w:lineRule="auto"/>
        <w:ind w:firstLine="567"/>
      </w:pPr>
      <w:r w:rsidRPr="0082313C">
        <w:t xml:space="preserve">Ņemot vērā, ka </w:t>
      </w:r>
      <w:r w:rsidRPr="001E424C">
        <w:t>NVD</w:t>
      </w:r>
      <w:r w:rsidRPr="0082313C">
        <w:t xml:space="preserve"> rēķinu apstrādes risinājums jau ir realizēts, tiks saglabāta esošā veselības aprūpes pakalpojumu e-rēķinu aprites kārtība un uz to nebūs attiecināmi turpmāk ziņojumā minētie e-rēķinu aprites nosacījumi. Papildus, veicot </w:t>
      </w:r>
      <w:proofErr w:type="spellStart"/>
      <w:r w:rsidRPr="0082313C">
        <w:t>izvērtējumu</w:t>
      </w:r>
      <w:proofErr w:type="spellEnd"/>
      <w:r w:rsidRPr="0082313C">
        <w:t xml:space="preserve"> secināts, ka VID funkciju veikšanai saņemt šāda veida datus nav nepieciešams, tādēļ šī projekta ietvaros datu apmaiņa starp NVD un VID netiks realizēta</w:t>
      </w:r>
      <w:r>
        <w:t>.</w:t>
      </w:r>
    </w:p>
    <w:p w14:paraId="45AC008C" w14:textId="77777777" w:rsidR="001D7E46" w:rsidRDefault="001D7E46" w:rsidP="008B7E3B"/>
    <w:p w14:paraId="7D87335C" w14:textId="77777777" w:rsidR="006E3D1E" w:rsidRPr="008B7E3B" w:rsidRDefault="006E3D1E" w:rsidP="008B7E3B"/>
    <w:p w14:paraId="62241F03" w14:textId="7BE5756B" w:rsidR="009A52F3" w:rsidRDefault="007F6652" w:rsidP="00295B53">
      <w:pPr>
        <w:pStyle w:val="Heading2"/>
      </w:pPr>
      <w:bookmarkStart w:id="5" w:name="_Toc72136650"/>
      <w:r>
        <w:t xml:space="preserve">Kases aparātu un kases sistēmu lietošana </w:t>
      </w:r>
      <w:r w:rsidR="2B85F41F">
        <w:t>un veiktās reformas</w:t>
      </w:r>
      <w:bookmarkEnd w:id="5"/>
    </w:p>
    <w:p w14:paraId="1A886C38" w14:textId="6CD19A01" w:rsidR="007C7598" w:rsidRDefault="007C7598" w:rsidP="00876C47">
      <w:pPr>
        <w:ind w:firstLine="432"/>
      </w:pPr>
    </w:p>
    <w:p w14:paraId="52BFB235" w14:textId="77777777" w:rsidR="007C7598" w:rsidRPr="007C7598" w:rsidRDefault="007C7598" w:rsidP="00C243E0">
      <w:pPr>
        <w:spacing w:after="0" w:line="276" w:lineRule="auto"/>
        <w:ind w:firstLine="720"/>
        <w:rPr>
          <w:rFonts w:eastAsia="Calibri" w:cs="Times New Roman"/>
          <w:szCs w:val="24"/>
        </w:rPr>
      </w:pPr>
      <w:r w:rsidRPr="007C7598">
        <w:rPr>
          <w:rFonts w:eastAsia="Calibri" w:cs="Times New Roman"/>
          <w:szCs w:val="24"/>
        </w:rPr>
        <w:t>Atbilstoši likumam “Par nodokļiem un nodevām”</w:t>
      </w:r>
      <w:r w:rsidRPr="007C7598">
        <w:rPr>
          <w:rFonts w:ascii="Calibri" w:eastAsia="Calibri" w:hAnsi="Calibri" w:cs="Times New Roman"/>
          <w:szCs w:val="24"/>
        </w:rPr>
        <w:t xml:space="preserve"> </w:t>
      </w:r>
      <w:r w:rsidRPr="007C7598">
        <w:rPr>
          <w:rFonts w:eastAsia="Calibri" w:cs="Times New Roman"/>
          <w:szCs w:val="24"/>
        </w:rPr>
        <w:t>nodokļu maksātāji drīkst lietot elektroniskās ierīces un iekārtas, kuras atbilst nodokļu un citu maksājumu reģistrēšanas elektronisko ierīču un iekārtu tehniskajām prasībām un kurām ir veikta atbilstības pārbaude.</w:t>
      </w:r>
      <w:r w:rsidRPr="007C7598">
        <w:rPr>
          <w:rFonts w:eastAsia="Calibri" w:cs="Times New Roman"/>
          <w:szCs w:val="24"/>
          <w:vertAlign w:val="superscript"/>
        </w:rPr>
        <w:footnoteReference w:id="6"/>
      </w:r>
    </w:p>
    <w:p w14:paraId="1F2485E1" w14:textId="24982EFA" w:rsidR="007C7598" w:rsidRPr="007C7598" w:rsidRDefault="007C7598" w:rsidP="00C243E0">
      <w:pPr>
        <w:spacing w:after="0" w:line="276" w:lineRule="auto"/>
        <w:ind w:firstLine="720"/>
        <w:rPr>
          <w:rFonts w:eastAsia="Calibri" w:cs="Times New Roman"/>
          <w:szCs w:val="24"/>
        </w:rPr>
      </w:pPr>
      <w:r w:rsidRPr="007C7598">
        <w:rPr>
          <w:rFonts w:eastAsia="Calibri" w:cs="Times New Roman"/>
          <w:szCs w:val="24"/>
        </w:rPr>
        <w:t xml:space="preserve">Tehniskās prasības nodokļu un citu maksājumu reģistrēšanas elektroniskajām ierīcēm un iekārtām – kases aparātiem, hibrīda kases aparātiem, kases sistēmām, specializētajām ierīcēm un iekārtām (turpmāk – elektroniskās ierīces vai iekārtas) nosaka </w:t>
      </w:r>
      <w:bookmarkStart w:id="6" w:name="_Hlk58420717"/>
      <w:r w:rsidRPr="007C7598">
        <w:rPr>
          <w:rFonts w:eastAsia="Calibri" w:cs="Times New Roman"/>
          <w:szCs w:val="24"/>
        </w:rPr>
        <w:t>Ministru kabineta 2014.</w:t>
      </w:r>
      <w:r w:rsidR="00613587">
        <w:rPr>
          <w:rFonts w:eastAsia="Calibri" w:cs="Times New Roman"/>
          <w:szCs w:val="24"/>
        </w:rPr>
        <w:t> </w:t>
      </w:r>
      <w:r w:rsidRPr="007C7598">
        <w:rPr>
          <w:rFonts w:eastAsia="Calibri" w:cs="Times New Roman"/>
          <w:szCs w:val="24"/>
        </w:rPr>
        <w:t>gada 11.</w:t>
      </w:r>
      <w:r w:rsidR="00613587">
        <w:rPr>
          <w:rFonts w:eastAsia="Calibri" w:cs="Times New Roman"/>
          <w:szCs w:val="24"/>
        </w:rPr>
        <w:t> </w:t>
      </w:r>
      <w:r w:rsidRPr="007C7598">
        <w:rPr>
          <w:rFonts w:eastAsia="Calibri" w:cs="Times New Roman"/>
          <w:szCs w:val="24"/>
        </w:rPr>
        <w:t>februāra noteikumi Nr.</w:t>
      </w:r>
      <w:r w:rsidR="00613587">
        <w:rPr>
          <w:rFonts w:eastAsia="Calibri" w:cs="Times New Roman"/>
          <w:szCs w:val="24"/>
        </w:rPr>
        <w:t> </w:t>
      </w:r>
      <w:r w:rsidRPr="007C7598">
        <w:rPr>
          <w:rFonts w:eastAsia="Calibri" w:cs="Times New Roman"/>
          <w:szCs w:val="24"/>
        </w:rPr>
        <w:t xml:space="preserve">95 “Noteikumi par nodokļu un citu maksājumu reģistrēšanas elektronisko ierīču un iekārtu tehniskajām prasībām” </w:t>
      </w:r>
      <w:bookmarkEnd w:id="6"/>
      <w:r w:rsidRPr="007C7598">
        <w:rPr>
          <w:rFonts w:eastAsia="Calibri" w:cs="Times New Roman"/>
          <w:szCs w:val="24"/>
        </w:rPr>
        <w:t>(turpmāk – Ministru kabineta 2014.</w:t>
      </w:r>
      <w:r w:rsidR="00613587">
        <w:rPr>
          <w:rFonts w:eastAsia="Calibri" w:cs="Times New Roman"/>
          <w:szCs w:val="24"/>
        </w:rPr>
        <w:t> </w:t>
      </w:r>
      <w:r w:rsidRPr="007C7598">
        <w:rPr>
          <w:rFonts w:eastAsia="Calibri" w:cs="Times New Roman"/>
          <w:szCs w:val="24"/>
        </w:rPr>
        <w:t>gada 11.</w:t>
      </w:r>
      <w:r w:rsidR="00613587">
        <w:rPr>
          <w:rFonts w:eastAsia="Calibri" w:cs="Times New Roman"/>
          <w:szCs w:val="24"/>
        </w:rPr>
        <w:t> </w:t>
      </w:r>
      <w:r w:rsidRPr="007C7598">
        <w:rPr>
          <w:rFonts w:eastAsia="Calibri" w:cs="Times New Roman"/>
          <w:szCs w:val="24"/>
        </w:rPr>
        <w:t>februāra noteikumi Nr.</w:t>
      </w:r>
      <w:r w:rsidR="00613587">
        <w:rPr>
          <w:rFonts w:eastAsia="Calibri" w:cs="Times New Roman"/>
          <w:szCs w:val="24"/>
        </w:rPr>
        <w:t> </w:t>
      </w:r>
      <w:r w:rsidRPr="007C7598">
        <w:rPr>
          <w:rFonts w:eastAsia="Calibri" w:cs="Times New Roman"/>
          <w:szCs w:val="24"/>
        </w:rPr>
        <w:t>95), savukārt elektronisko ierīču un iekārtu lietošanas kārtību nosaka Ministru kabineta 2014.</w:t>
      </w:r>
      <w:r w:rsidR="00613587">
        <w:rPr>
          <w:rFonts w:eastAsia="Calibri" w:cs="Times New Roman"/>
          <w:szCs w:val="24"/>
        </w:rPr>
        <w:t> </w:t>
      </w:r>
      <w:r w:rsidRPr="007C7598">
        <w:rPr>
          <w:rFonts w:eastAsia="Calibri" w:cs="Times New Roman"/>
          <w:szCs w:val="24"/>
        </w:rPr>
        <w:t>gada 11.</w:t>
      </w:r>
      <w:r w:rsidR="00613587">
        <w:rPr>
          <w:rFonts w:eastAsia="Calibri" w:cs="Times New Roman"/>
          <w:szCs w:val="24"/>
        </w:rPr>
        <w:t> </w:t>
      </w:r>
      <w:r w:rsidRPr="007C7598">
        <w:rPr>
          <w:rFonts w:eastAsia="Calibri" w:cs="Times New Roman"/>
          <w:szCs w:val="24"/>
        </w:rPr>
        <w:t>februāra noteikumi Nr.</w:t>
      </w:r>
      <w:r w:rsidR="00613587">
        <w:rPr>
          <w:rFonts w:eastAsia="Calibri" w:cs="Times New Roman"/>
          <w:szCs w:val="24"/>
        </w:rPr>
        <w:t> </w:t>
      </w:r>
      <w:r w:rsidRPr="007C7598">
        <w:rPr>
          <w:rFonts w:eastAsia="Calibri" w:cs="Times New Roman"/>
          <w:szCs w:val="24"/>
        </w:rPr>
        <w:t>96 “Nodokļu un citu maksājumu reģistrēšanas elektronisko ierīču un iekārtu lietošanas kārtība” (turpmāk – Ministru kabineta 2014.</w:t>
      </w:r>
      <w:r w:rsidR="00613587">
        <w:rPr>
          <w:rFonts w:eastAsia="Calibri" w:cs="Times New Roman"/>
          <w:szCs w:val="24"/>
        </w:rPr>
        <w:t> </w:t>
      </w:r>
      <w:r w:rsidRPr="007C7598">
        <w:rPr>
          <w:rFonts w:eastAsia="Calibri" w:cs="Times New Roman"/>
          <w:szCs w:val="24"/>
        </w:rPr>
        <w:t>gada 11.</w:t>
      </w:r>
      <w:r w:rsidR="00613587">
        <w:rPr>
          <w:rFonts w:eastAsia="Calibri" w:cs="Times New Roman"/>
          <w:szCs w:val="24"/>
        </w:rPr>
        <w:t> </w:t>
      </w:r>
      <w:r w:rsidRPr="007C7598">
        <w:rPr>
          <w:rFonts w:eastAsia="Calibri" w:cs="Times New Roman"/>
          <w:szCs w:val="24"/>
        </w:rPr>
        <w:t>februāra noteikumi Nr.</w:t>
      </w:r>
      <w:r w:rsidR="00613587">
        <w:rPr>
          <w:rFonts w:eastAsia="Calibri" w:cs="Times New Roman"/>
          <w:szCs w:val="24"/>
        </w:rPr>
        <w:t> </w:t>
      </w:r>
      <w:r w:rsidRPr="007C7598">
        <w:rPr>
          <w:rFonts w:eastAsia="Calibri" w:cs="Times New Roman"/>
          <w:szCs w:val="24"/>
        </w:rPr>
        <w:t>96).</w:t>
      </w:r>
    </w:p>
    <w:p w14:paraId="5730CE6C" w14:textId="243DAF17" w:rsidR="007C7598" w:rsidRPr="007C7598" w:rsidRDefault="007C7598" w:rsidP="00C243E0">
      <w:pPr>
        <w:spacing w:after="0" w:line="276" w:lineRule="auto"/>
        <w:ind w:firstLine="720"/>
        <w:rPr>
          <w:rFonts w:eastAsia="Calibri" w:cs="Times New Roman"/>
          <w:szCs w:val="24"/>
        </w:rPr>
      </w:pPr>
      <w:r w:rsidRPr="007C7598">
        <w:rPr>
          <w:rFonts w:eastAsia="Calibri" w:cs="Times New Roman"/>
          <w:szCs w:val="24"/>
        </w:rPr>
        <w:lastRenderedPageBreak/>
        <w:t xml:space="preserve">Viens no galvenajiem veidiem, kā notiek izvairīšanās no nodokļu nomaksas, ir darījumu neuzrādīšana </w:t>
      </w:r>
      <w:r w:rsidR="002A77B5" w:rsidRPr="002A77B5">
        <w:rPr>
          <w:rFonts w:eastAsia="Calibri" w:cs="Times New Roman"/>
          <w:szCs w:val="24"/>
        </w:rPr>
        <w:t xml:space="preserve">un kases sistēmas datu sagrozīšana </w:t>
      </w:r>
      <w:r w:rsidRPr="007C7598">
        <w:rPr>
          <w:rFonts w:eastAsia="Calibri" w:cs="Times New Roman"/>
          <w:szCs w:val="24"/>
        </w:rPr>
        <w:t xml:space="preserve">ar mērķi slēpt patieso saimnieciskās darbības ienākumu apjomu. Tādējādi netiek nomaksāti nodokļi valsts budžetā pilnā apmērā, kā arī ir iespējams iegūt līdzekļus “aplokšņu algām” un </w:t>
      </w:r>
      <w:proofErr w:type="spellStart"/>
      <w:r w:rsidRPr="007C7598">
        <w:rPr>
          <w:rFonts w:eastAsia="Calibri" w:cs="Times New Roman"/>
          <w:szCs w:val="24"/>
        </w:rPr>
        <w:t>koruptīvām</w:t>
      </w:r>
      <w:proofErr w:type="spellEnd"/>
      <w:r w:rsidRPr="007C7598">
        <w:rPr>
          <w:rFonts w:eastAsia="Calibri" w:cs="Times New Roman"/>
          <w:szCs w:val="24"/>
        </w:rPr>
        <w:t xml:space="preserve"> darbībām. </w:t>
      </w:r>
    </w:p>
    <w:p w14:paraId="066BDC3B" w14:textId="4D20A4DB" w:rsidR="007C7598" w:rsidRPr="007C7598" w:rsidRDefault="007C7598" w:rsidP="00C243E0">
      <w:pPr>
        <w:spacing w:after="0" w:line="276" w:lineRule="auto"/>
        <w:ind w:firstLine="720"/>
        <w:rPr>
          <w:rFonts w:eastAsia="Calibri" w:cs="Times New Roman"/>
        </w:rPr>
      </w:pPr>
      <w:r w:rsidRPr="7842FC33">
        <w:rPr>
          <w:rFonts w:eastAsia="Calibri" w:cs="Times New Roman"/>
        </w:rPr>
        <w:t>Kases aparātu reformas mērķis</w:t>
      </w:r>
      <w:r w:rsidR="2E435A1A" w:rsidRPr="7842FC33">
        <w:rPr>
          <w:rFonts w:eastAsia="Calibri" w:cs="Times New Roman"/>
        </w:rPr>
        <w:t>, kas tika uzsākta 2010.</w:t>
      </w:r>
      <w:r w:rsidR="00CB7ADE">
        <w:rPr>
          <w:rFonts w:eastAsia="Calibri" w:cs="Times New Roman"/>
        </w:rPr>
        <w:t> </w:t>
      </w:r>
      <w:r w:rsidR="2E435A1A" w:rsidRPr="7842FC33">
        <w:rPr>
          <w:rFonts w:eastAsia="Calibri" w:cs="Times New Roman"/>
        </w:rPr>
        <w:t>gadā,</w:t>
      </w:r>
      <w:r w:rsidRPr="7842FC33">
        <w:rPr>
          <w:rFonts w:eastAsia="Calibri" w:cs="Times New Roman"/>
        </w:rPr>
        <w:t xml:space="preserve"> bija ieviest tādas elektroniskas ierīces un iekārtas, kas nodrošina datu integritāti (nemainību) un izslēdz iespēju dzēst informāciju par gūtajiem ieņēmumiem. Novecojušās, zema līmeņa tehniskās prasības elektroniskajām ierīcēm un iekārtām ļāva iejaukties to programmatūrā un manipulēt ar reģistrēto darījumu datiem.</w:t>
      </w:r>
    </w:p>
    <w:p w14:paraId="72EC727C" w14:textId="51E1FDF5" w:rsidR="007C7598" w:rsidRPr="007C7598" w:rsidRDefault="007C7598" w:rsidP="00C243E0">
      <w:pPr>
        <w:spacing w:after="0" w:line="276" w:lineRule="auto"/>
        <w:ind w:firstLine="720"/>
        <w:rPr>
          <w:rFonts w:eastAsia="Calibri" w:cs="Times New Roman"/>
          <w:szCs w:val="24"/>
        </w:rPr>
      </w:pPr>
      <w:r w:rsidRPr="007C7598">
        <w:rPr>
          <w:rFonts w:eastAsia="Calibri" w:cs="Times New Roman"/>
          <w:szCs w:val="24"/>
        </w:rPr>
        <w:t>Normatīvā regulējuma elektronisko iekārtu un ierīču jaunajām tehniskajām prasībām izstrāde tika uzsākta jau 2011.</w:t>
      </w:r>
      <w:r w:rsidR="00CB7ADE">
        <w:rPr>
          <w:rFonts w:eastAsia="Calibri" w:cs="Times New Roman"/>
          <w:szCs w:val="24"/>
        </w:rPr>
        <w:t> </w:t>
      </w:r>
      <w:r w:rsidRPr="007C7598">
        <w:rPr>
          <w:rFonts w:eastAsia="Calibri" w:cs="Times New Roman"/>
          <w:szCs w:val="24"/>
        </w:rPr>
        <w:t>gadā, ciešā sadarbībā ar nevalstiskajām organizācijām. Ministru kabineta noteikumi, kas nosaka elektronisko ierīču un iekārtu tehniskās prasības, tika pieņemti 2014.</w:t>
      </w:r>
      <w:r w:rsidR="00CB7ADE">
        <w:rPr>
          <w:rFonts w:eastAsia="Calibri" w:cs="Times New Roman"/>
          <w:szCs w:val="24"/>
        </w:rPr>
        <w:t> </w:t>
      </w:r>
      <w:r w:rsidRPr="007C7598">
        <w:rPr>
          <w:rFonts w:eastAsia="Calibri" w:cs="Times New Roman"/>
          <w:szCs w:val="24"/>
        </w:rPr>
        <w:t>gada aprīlī. Lai kases aparātu reforma tiktu realizēta, bija nepieciešams panākt vienošanos par jaunajām prasībām un prasību ieviešanas termiņiem ar sociālajiem partneriem. Sākotnēji jaunajām prasībām atbilstošu elektronisko ierīču un iekārtu lietošanas uzsākšanas termiņš bija 2015.</w:t>
      </w:r>
      <w:r w:rsidR="00CB7ADE">
        <w:rPr>
          <w:rFonts w:eastAsia="Calibri" w:cs="Times New Roman"/>
          <w:szCs w:val="24"/>
        </w:rPr>
        <w:t> </w:t>
      </w:r>
      <w:r w:rsidRPr="007C7598">
        <w:rPr>
          <w:rFonts w:eastAsia="Calibri" w:cs="Times New Roman"/>
          <w:szCs w:val="24"/>
        </w:rPr>
        <w:t>gada 1.</w:t>
      </w:r>
      <w:r w:rsidR="00CB7ADE">
        <w:rPr>
          <w:rFonts w:eastAsia="Calibri" w:cs="Times New Roman"/>
          <w:szCs w:val="24"/>
        </w:rPr>
        <w:t> </w:t>
      </w:r>
      <w:r w:rsidRPr="007C7598">
        <w:rPr>
          <w:rFonts w:eastAsia="Calibri" w:cs="Times New Roman"/>
          <w:szCs w:val="24"/>
        </w:rPr>
        <w:t>janvāris, tomēr tas tika vairākkārtīgi atlikts, ņemot vērā nodokļu maksātāju iebildumus, kā arī sociālo partneru izteiktos viedokļus par laika posmu, kas nepieciešams, lai elektronisko ierīču un iekārtu apkalpojošiem dienestiem būtu iespējams izstrādāt jaunajām tehniskajām prasībām atbilstošās elektroniskās ierīces un iekārtas, veikt to atbilstības pārbaudi tehniskajām prasībām atbilstības pārbaudes institūcijā un nodrošināt uzņēmumus ar jaunajām iekārtām. Kases aparātu reforma ir uzskatāma par pabeigtu, jo ir panākta praktiski visu ierīču un iekārtu pielāgošana vai nomaiņa pret prasībām atbilstošām ierīcēm vai iekārtām (izņemot sabiedriskā transporta nozari, kur tehniskajām prasībām atbilstošo ierīču un iekārtu uzsākšanas termiņš ir pagarināts līdz 2022.</w:t>
      </w:r>
      <w:r w:rsidR="00CB7ADE">
        <w:rPr>
          <w:rFonts w:eastAsia="Calibri" w:cs="Times New Roman"/>
          <w:szCs w:val="24"/>
        </w:rPr>
        <w:t> gada 1. </w:t>
      </w:r>
      <w:r w:rsidRPr="007C7598">
        <w:rPr>
          <w:rFonts w:eastAsia="Calibri" w:cs="Times New Roman"/>
          <w:szCs w:val="24"/>
        </w:rPr>
        <w:t>janvārim).</w:t>
      </w:r>
    </w:p>
    <w:p w14:paraId="73F101F2" w14:textId="77777777" w:rsidR="007C7598" w:rsidRPr="007C7598" w:rsidRDefault="007C7598" w:rsidP="00C243E0">
      <w:pPr>
        <w:spacing w:after="0" w:line="276" w:lineRule="auto"/>
        <w:ind w:firstLine="720"/>
        <w:rPr>
          <w:rFonts w:eastAsia="Calibri" w:cs="Times New Roman"/>
          <w:szCs w:val="24"/>
        </w:rPr>
      </w:pPr>
      <w:r w:rsidRPr="007C7598">
        <w:rPr>
          <w:rFonts w:eastAsia="Calibri" w:cs="Times New Roman"/>
          <w:szCs w:val="24"/>
        </w:rPr>
        <w:t xml:space="preserve">Kases aparātu reforma ir nodrošinājusi, ka VID ir tehniskas iespējas konstatēt iejaukšanos elektroniskās ierīces vai iekārtas konstrukcijā un programmatūrā, konstatēt kases čeka dzēšanu vai tā vērtības izmaiņas, konstatēt, vai energoneatkarīgā atmiņa nav fiziski mainīta, vai izmantotā ierīce vai iekārta ir tā, kas reģistrēta VID, kā arī atjaunot dzēstos atmiņas datus un nodrošināties pret iespējamiem datu zudumiem. </w:t>
      </w:r>
    </w:p>
    <w:p w14:paraId="7FE48756" w14:textId="77777777" w:rsidR="007C7598" w:rsidRPr="007C7598" w:rsidRDefault="007C7598" w:rsidP="00C243E0">
      <w:pPr>
        <w:spacing w:after="0" w:line="276" w:lineRule="auto"/>
        <w:ind w:firstLine="720"/>
        <w:rPr>
          <w:rFonts w:eastAsia="Calibri" w:cs="Times New Roman"/>
          <w:szCs w:val="24"/>
        </w:rPr>
      </w:pPr>
      <w:r w:rsidRPr="007C7598">
        <w:rPr>
          <w:rFonts w:eastAsia="Calibri" w:cs="Times New Roman"/>
          <w:szCs w:val="24"/>
        </w:rPr>
        <w:t>Atbilstoši tehniskajām prasībām elektroniskajā ierīcē vai iekārtā nedrīkst atrasties ar elektroniskās ierīces vai iekārtas nodrošināšanu nesaistīta datortehnikas aparatūra vai programmnodrošinājums, kas nav aprakstīta VID iesniegtajā ierīces dokumentācijā.</w:t>
      </w:r>
      <w:r w:rsidRPr="007C7598">
        <w:rPr>
          <w:rFonts w:eastAsia="Calibri" w:cs="Times New Roman"/>
          <w:szCs w:val="24"/>
          <w:vertAlign w:val="superscript"/>
        </w:rPr>
        <w:footnoteReference w:id="7"/>
      </w:r>
      <w:r w:rsidRPr="007C7598">
        <w:rPr>
          <w:rFonts w:eastAsia="Calibri" w:cs="Times New Roman"/>
          <w:szCs w:val="24"/>
        </w:rPr>
        <w:t xml:space="preserve"> VID rīcībā tiek nodots arī ierīces programmatūras pirmkods.</w:t>
      </w:r>
      <w:r w:rsidRPr="007C7598">
        <w:rPr>
          <w:rFonts w:eastAsia="Calibri" w:cs="Times New Roman"/>
          <w:szCs w:val="24"/>
          <w:vertAlign w:val="superscript"/>
        </w:rPr>
        <w:footnoteReference w:id="8"/>
      </w:r>
      <w:r w:rsidRPr="007C7598">
        <w:rPr>
          <w:rFonts w:eastAsia="Calibri" w:cs="Times New Roman"/>
          <w:szCs w:val="24"/>
        </w:rPr>
        <w:t xml:space="preserve"> Tas nozīmē – ja notiek </w:t>
      </w:r>
      <w:proofErr w:type="spellStart"/>
      <w:r w:rsidRPr="007C7598">
        <w:rPr>
          <w:rFonts w:eastAsia="Calibri" w:cs="Times New Roman"/>
          <w:szCs w:val="24"/>
        </w:rPr>
        <w:t>manipulatīvas</w:t>
      </w:r>
      <w:proofErr w:type="spellEnd"/>
      <w:r w:rsidRPr="007C7598">
        <w:rPr>
          <w:rFonts w:eastAsia="Calibri" w:cs="Times New Roman"/>
          <w:szCs w:val="24"/>
        </w:rPr>
        <w:t xml:space="preserve"> darbības ierīces programmatūrā, VID ir iespēja tās konstatēt. Savukārt prasība informāciju saglabāt energoneatkarīgajā atmiņā nodrošina pret iespējamiem datu zudumiem, piemēram, elektrības pārrāvuma gadījumā. Hibrīda kases aparāts</w:t>
      </w:r>
      <w:r w:rsidRPr="007C7598">
        <w:rPr>
          <w:rFonts w:eastAsia="Calibri" w:cs="Times New Roman"/>
          <w:szCs w:val="24"/>
          <w:vertAlign w:val="superscript"/>
        </w:rPr>
        <w:footnoteReference w:id="9"/>
      </w:r>
      <w:r w:rsidRPr="007C7598">
        <w:rPr>
          <w:rFonts w:eastAsia="Calibri" w:cs="Times New Roman"/>
          <w:szCs w:val="24"/>
        </w:rPr>
        <w:t xml:space="preserve"> un kases sistēma</w:t>
      </w:r>
      <w:r w:rsidRPr="007C7598">
        <w:rPr>
          <w:rFonts w:eastAsia="Calibri" w:cs="Times New Roman"/>
          <w:szCs w:val="24"/>
          <w:vertAlign w:val="superscript"/>
        </w:rPr>
        <w:footnoteReference w:id="10"/>
      </w:r>
      <w:r w:rsidRPr="007C7598">
        <w:rPr>
          <w:rFonts w:eastAsia="Calibri" w:cs="Times New Roman"/>
          <w:szCs w:val="24"/>
        </w:rPr>
        <w:t xml:space="preserve"> ir jāaprīko ar fiskālās atmiņas moduli, kas nodrošina </w:t>
      </w:r>
      <w:r w:rsidRPr="007C7598">
        <w:rPr>
          <w:rFonts w:eastAsia="Calibri" w:cs="Times New Roman"/>
          <w:szCs w:val="24"/>
        </w:rPr>
        <w:lastRenderedPageBreak/>
        <w:t>tajā reģistrēto datu nemainību un integritāti. Hibrīda kases aparātam un kases sistēmai ir jānodrošina apkalpojošā dienesta un ierīces lietotāja darbinieku autentifikācija, visas veiktās darbības kases aparātā vai kases sistēmā tiek reģistrētas auditācijas pierakstos atsevišķā audita datnē.</w:t>
      </w:r>
      <w:r w:rsidRPr="007C7598">
        <w:rPr>
          <w:rFonts w:eastAsia="Calibri" w:cs="Times New Roman"/>
          <w:szCs w:val="24"/>
          <w:vertAlign w:val="superscript"/>
        </w:rPr>
        <w:footnoteReference w:id="11"/>
      </w:r>
      <w:r w:rsidRPr="007C7598">
        <w:rPr>
          <w:rFonts w:eastAsia="Calibri" w:cs="Times New Roman"/>
          <w:szCs w:val="24"/>
        </w:rPr>
        <w:t xml:space="preserve"> </w:t>
      </w:r>
    </w:p>
    <w:p w14:paraId="7D28FA21" w14:textId="77777777" w:rsidR="007C7598" w:rsidRPr="007C7598" w:rsidRDefault="007C7598" w:rsidP="00C243E0">
      <w:pPr>
        <w:spacing w:after="0" w:line="276" w:lineRule="auto"/>
        <w:ind w:firstLine="720"/>
        <w:rPr>
          <w:rFonts w:eastAsia="Calibri" w:cs="Times New Roman"/>
          <w:szCs w:val="24"/>
        </w:rPr>
      </w:pPr>
      <w:r w:rsidRPr="007C7598">
        <w:rPr>
          <w:rFonts w:eastAsia="Calibri" w:cs="Times New Roman"/>
          <w:szCs w:val="24"/>
        </w:rPr>
        <w:t xml:space="preserve">Elektroniskajām ierīcēm un iekārtām noteiktās tehniskās prasības paredz katram elektroniskās ierīces vai iekārtas sagatavotam dokumentam (čekam, starprēķinam, pārskatam u.c.) aprēķināt </w:t>
      </w:r>
      <w:proofErr w:type="spellStart"/>
      <w:r w:rsidRPr="007C7598">
        <w:rPr>
          <w:rFonts w:eastAsia="Calibri" w:cs="Times New Roman"/>
          <w:szCs w:val="24"/>
        </w:rPr>
        <w:t>Hash</w:t>
      </w:r>
      <w:proofErr w:type="spellEnd"/>
      <w:r w:rsidRPr="007C7598">
        <w:rPr>
          <w:rFonts w:eastAsia="Calibri" w:cs="Times New Roman"/>
          <w:szCs w:val="24"/>
        </w:rPr>
        <w:t xml:space="preserve"> SHA kontrolsummu.</w:t>
      </w:r>
      <w:r w:rsidRPr="007C7598">
        <w:rPr>
          <w:rFonts w:eastAsia="Calibri" w:cs="Times New Roman"/>
          <w:szCs w:val="24"/>
          <w:vertAlign w:val="superscript"/>
        </w:rPr>
        <w:footnoteReference w:id="12"/>
      </w:r>
      <w:r w:rsidRPr="007C7598">
        <w:rPr>
          <w:rFonts w:eastAsia="Calibri" w:cs="Times New Roman"/>
          <w:szCs w:val="24"/>
        </w:rPr>
        <w:t xml:space="preserve"> </w:t>
      </w:r>
      <w:proofErr w:type="spellStart"/>
      <w:r w:rsidRPr="007C7598">
        <w:rPr>
          <w:rFonts w:eastAsia="Calibri" w:cs="Times New Roman"/>
          <w:szCs w:val="24"/>
        </w:rPr>
        <w:t>Hash</w:t>
      </w:r>
      <w:proofErr w:type="spellEnd"/>
      <w:r w:rsidRPr="007C7598">
        <w:rPr>
          <w:rFonts w:eastAsia="Calibri" w:cs="Times New Roman"/>
          <w:szCs w:val="24"/>
        </w:rPr>
        <w:t xml:space="preserve"> SHA kontrolsummu algoritmi ir kriptogrāfiskas jaucējfunkcijas, kas sākotnējiem datiem aprēķina noteikta garuma unikālu kodu jeb kontrolsummu. Katrā elektroniskās ierīces vai iekārtas sagatavotā dokumentā norāda iepriekšējā dokumenta un kārtējā dokumenta </w:t>
      </w:r>
      <w:proofErr w:type="spellStart"/>
      <w:r w:rsidRPr="007C7598">
        <w:rPr>
          <w:rFonts w:eastAsia="Calibri" w:cs="Times New Roman"/>
          <w:szCs w:val="24"/>
        </w:rPr>
        <w:t>Hash</w:t>
      </w:r>
      <w:proofErr w:type="spellEnd"/>
      <w:r w:rsidRPr="007C7598">
        <w:rPr>
          <w:rFonts w:eastAsia="Calibri" w:cs="Times New Roman"/>
          <w:szCs w:val="24"/>
        </w:rPr>
        <w:t xml:space="preserve"> SHA kontrolsummu. Dokumenta </w:t>
      </w:r>
      <w:proofErr w:type="spellStart"/>
      <w:r w:rsidRPr="007C7598">
        <w:rPr>
          <w:rFonts w:eastAsia="Calibri" w:cs="Times New Roman"/>
          <w:szCs w:val="24"/>
        </w:rPr>
        <w:t>Hash</w:t>
      </w:r>
      <w:proofErr w:type="spellEnd"/>
      <w:r w:rsidRPr="007C7598">
        <w:rPr>
          <w:rFonts w:eastAsia="Calibri" w:cs="Times New Roman"/>
          <w:szCs w:val="24"/>
        </w:rPr>
        <w:t xml:space="preserve"> SHA kontrolsummu aprēķina no dokumentā iekļautās informācijas kopējā apjoma. Visu dokumentu un pārskatu aprēķinātās </w:t>
      </w:r>
      <w:proofErr w:type="spellStart"/>
      <w:r w:rsidRPr="007C7598">
        <w:rPr>
          <w:rFonts w:eastAsia="Calibri" w:cs="Times New Roman"/>
          <w:szCs w:val="24"/>
        </w:rPr>
        <w:t>Hash</w:t>
      </w:r>
      <w:proofErr w:type="spellEnd"/>
      <w:r w:rsidRPr="007C7598">
        <w:rPr>
          <w:rFonts w:eastAsia="Calibri" w:cs="Times New Roman"/>
          <w:szCs w:val="24"/>
        </w:rPr>
        <w:t xml:space="preserve"> SHA-1 vai SHA-256 kontrolsummas veido nepārtrauktu </w:t>
      </w:r>
      <w:proofErr w:type="spellStart"/>
      <w:r w:rsidRPr="007C7598">
        <w:rPr>
          <w:rFonts w:eastAsia="Calibri" w:cs="Times New Roman"/>
          <w:szCs w:val="24"/>
        </w:rPr>
        <w:t>Hash</w:t>
      </w:r>
      <w:proofErr w:type="spellEnd"/>
      <w:r w:rsidRPr="007C7598">
        <w:rPr>
          <w:rFonts w:eastAsia="Calibri" w:cs="Times New Roman"/>
          <w:szCs w:val="24"/>
        </w:rPr>
        <w:t xml:space="preserve"> kontrolsummu ķēdi, kuras pārtraukšana nav pieļaujama. </w:t>
      </w:r>
      <w:proofErr w:type="spellStart"/>
      <w:r w:rsidRPr="007C7598">
        <w:rPr>
          <w:rFonts w:eastAsia="Calibri" w:cs="Times New Roman"/>
          <w:szCs w:val="24"/>
        </w:rPr>
        <w:t>Hash</w:t>
      </w:r>
      <w:proofErr w:type="spellEnd"/>
      <w:r w:rsidRPr="007C7598">
        <w:rPr>
          <w:rFonts w:eastAsia="Calibri" w:cs="Times New Roman"/>
          <w:szCs w:val="24"/>
        </w:rPr>
        <w:t xml:space="preserve"> SHA-1 vai SHA-256 kontrolsumma tiek aprēķināta atbilstoši "</w:t>
      </w:r>
      <w:proofErr w:type="spellStart"/>
      <w:r w:rsidRPr="007C7598">
        <w:rPr>
          <w:rFonts w:eastAsia="Calibri" w:cs="Times New Roman"/>
          <w:szCs w:val="24"/>
        </w:rPr>
        <w:t>Secure</w:t>
      </w:r>
      <w:proofErr w:type="spellEnd"/>
      <w:r w:rsidRPr="007C7598">
        <w:rPr>
          <w:rFonts w:eastAsia="Calibri" w:cs="Times New Roman"/>
          <w:szCs w:val="24"/>
        </w:rPr>
        <w:t xml:space="preserve"> </w:t>
      </w:r>
      <w:proofErr w:type="spellStart"/>
      <w:r w:rsidRPr="007C7598">
        <w:rPr>
          <w:rFonts w:eastAsia="Calibri" w:cs="Times New Roman"/>
          <w:szCs w:val="24"/>
        </w:rPr>
        <w:t>Hash</w:t>
      </w:r>
      <w:proofErr w:type="spellEnd"/>
      <w:r w:rsidRPr="007C7598">
        <w:rPr>
          <w:rFonts w:eastAsia="Calibri" w:cs="Times New Roman"/>
          <w:szCs w:val="24"/>
        </w:rPr>
        <w:t xml:space="preserve"> Standard (SHS) (FIPS PUB 180-4)" standartam.</w:t>
      </w:r>
      <w:r w:rsidRPr="007C7598">
        <w:rPr>
          <w:rFonts w:eastAsia="Calibri" w:cs="Times New Roman"/>
          <w:szCs w:val="24"/>
          <w:vertAlign w:val="superscript"/>
        </w:rPr>
        <w:footnoteReference w:id="13"/>
      </w:r>
      <w:r w:rsidRPr="007C7598">
        <w:rPr>
          <w:rFonts w:eastAsia="Calibri" w:cs="Times New Roman"/>
          <w:szCs w:val="24"/>
        </w:rPr>
        <w:t xml:space="preserve"> </w:t>
      </w:r>
    </w:p>
    <w:p w14:paraId="2810C8FD" w14:textId="77777777" w:rsidR="007C7598" w:rsidRPr="007C7598" w:rsidRDefault="007C7598" w:rsidP="00C243E0">
      <w:pPr>
        <w:spacing w:after="0" w:line="276" w:lineRule="auto"/>
        <w:ind w:firstLine="720"/>
        <w:rPr>
          <w:rFonts w:eastAsia="Calibri" w:cs="Times New Roman"/>
          <w:szCs w:val="24"/>
        </w:rPr>
      </w:pPr>
      <w:r w:rsidRPr="007C7598">
        <w:rPr>
          <w:rFonts w:eastAsia="Calibri" w:cs="Times New Roman"/>
          <w:szCs w:val="24"/>
        </w:rPr>
        <w:t xml:space="preserve">Katrā dokumentā norādot iepriekšējā dokumenta </w:t>
      </w:r>
      <w:proofErr w:type="spellStart"/>
      <w:r w:rsidRPr="007C7598">
        <w:rPr>
          <w:rFonts w:eastAsia="Calibri" w:cs="Times New Roman"/>
          <w:szCs w:val="24"/>
        </w:rPr>
        <w:t>Hash</w:t>
      </w:r>
      <w:proofErr w:type="spellEnd"/>
      <w:r w:rsidRPr="007C7598">
        <w:rPr>
          <w:rFonts w:eastAsia="Calibri" w:cs="Times New Roman"/>
          <w:szCs w:val="24"/>
        </w:rPr>
        <w:t xml:space="preserve"> SHA kontrolsummu un kārtējā dokumenta </w:t>
      </w:r>
      <w:proofErr w:type="spellStart"/>
      <w:r w:rsidRPr="007C7598">
        <w:rPr>
          <w:rFonts w:eastAsia="Calibri" w:cs="Times New Roman"/>
          <w:szCs w:val="24"/>
        </w:rPr>
        <w:t>Hash</w:t>
      </w:r>
      <w:proofErr w:type="spellEnd"/>
      <w:r w:rsidRPr="007C7598">
        <w:rPr>
          <w:rFonts w:eastAsia="Calibri" w:cs="Times New Roman"/>
          <w:szCs w:val="24"/>
        </w:rPr>
        <w:t xml:space="preserve"> SHA kontrolsummu, tiek veidota sasaiste ar iepriekšējo dokumentu. Šāda </w:t>
      </w:r>
      <w:proofErr w:type="spellStart"/>
      <w:r w:rsidRPr="007C7598">
        <w:rPr>
          <w:rFonts w:eastAsia="Calibri" w:cs="Times New Roman"/>
          <w:szCs w:val="24"/>
        </w:rPr>
        <w:t>Hash</w:t>
      </w:r>
      <w:proofErr w:type="spellEnd"/>
      <w:r w:rsidRPr="007C7598">
        <w:rPr>
          <w:rFonts w:eastAsia="Calibri" w:cs="Times New Roman"/>
          <w:szCs w:val="24"/>
        </w:rPr>
        <w:t xml:space="preserve"> SHA kontrolsummu aprēķina ķēde nodrošina elektroniskajās ierīcēs un iekārtās reģistrēto datu nemainību, tādējādi elektroniskajā ierīcē un iekārtā reģistrētie dati ir aizsargāti no nesankcionētām izmaiņām. Minētais risinājums ir </w:t>
      </w:r>
      <w:proofErr w:type="spellStart"/>
      <w:r w:rsidRPr="007C7598">
        <w:rPr>
          <w:rFonts w:eastAsia="Calibri" w:cs="Times New Roman"/>
          <w:szCs w:val="24"/>
        </w:rPr>
        <w:t>blokķēde</w:t>
      </w:r>
      <w:proofErr w:type="spellEnd"/>
      <w:r w:rsidRPr="007C7598">
        <w:rPr>
          <w:rFonts w:eastAsia="Calibri" w:cs="Times New Roman"/>
          <w:szCs w:val="24"/>
        </w:rPr>
        <w:t xml:space="preserve">, kur katrs datu bloks satur kriptogrāfisku </w:t>
      </w:r>
      <w:proofErr w:type="spellStart"/>
      <w:r w:rsidRPr="007C7598">
        <w:rPr>
          <w:rFonts w:eastAsia="Calibri" w:cs="Times New Roman"/>
          <w:szCs w:val="24"/>
        </w:rPr>
        <w:t>Hash</w:t>
      </w:r>
      <w:proofErr w:type="spellEnd"/>
      <w:r w:rsidRPr="007C7598">
        <w:rPr>
          <w:rFonts w:eastAsia="Calibri" w:cs="Times New Roman"/>
          <w:szCs w:val="24"/>
        </w:rPr>
        <w:t xml:space="preserve"> kontrolsummu no iepriekšējā bloka.</w:t>
      </w:r>
    </w:p>
    <w:p w14:paraId="26FB5546" w14:textId="5096A504" w:rsidR="007C7598" w:rsidRPr="007C7598" w:rsidRDefault="00C277E4" w:rsidP="00F65DFC">
      <w:pPr>
        <w:spacing w:after="0" w:line="276" w:lineRule="auto"/>
        <w:ind w:firstLine="720"/>
        <w:rPr>
          <w:rFonts w:eastAsia="Calibri" w:cs="Times New Roman"/>
          <w:szCs w:val="24"/>
        </w:rPr>
      </w:pPr>
      <w:r>
        <w:rPr>
          <w:rFonts w:eastAsia="Calibri" w:cs="Times New Roman"/>
          <w:szCs w:val="24"/>
        </w:rPr>
        <w:t xml:space="preserve">VID </w:t>
      </w:r>
      <w:r w:rsidR="007C7598" w:rsidRPr="007C7598">
        <w:rPr>
          <w:rFonts w:eastAsia="Calibri" w:cs="Times New Roman"/>
          <w:szCs w:val="24"/>
        </w:rPr>
        <w:t xml:space="preserve">pārbaudes laikā veicot </w:t>
      </w:r>
      <w:proofErr w:type="spellStart"/>
      <w:r w:rsidR="007C7598" w:rsidRPr="007C7598">
        <w:rPr>
          <w:rFonts w:eastAsia="Calibri" w:cs="Times New Roman"/>
          <w:szCs w:val="24"/>
        </w:rPr>
        <w:t>kontrolpirkumu</w:t>
      </w:r>
      <w:proofErr w:type="spellEnd"/>
      <w:r w:rsidR="007C7598" w:rsidRPr="007C7598">
        <w:rPr>
          <w:rFonts w:eastAsia="Calibri" w:cs="Times New Roman"/>
          <w:szCs w:val="24"/>
        </w:rPr>
        <w:t>, salīdzina saņemto čeka kontrolsummu ar datiem, kas reģistrēti e</w:t>
      </w:r>
      <w:r>
        <w:rPr>
          <w:rFonts w:eastAsia="Calibri" w:cs="Times New Roman"/>
          <w:szCs w:val="24"/>
        </w:rPr>
        <w:t>lektroniskajā ierīcē vai iekārtā</w:t>
      </w:r>
      <w:r w:rsidR="007C7598" w:rsidRPr="007C7598">
        <w:rPr>
          <w:rFonts w:eastAsia="Calibri" w:cs="Times New Roman"/>
          <w:szCs w:val="24"/>
        </w:rPr>
        <w:t xml:space="preserve"> un var konstatēt, vai dati ir saglabāti korekti atbilstošajā datnē. VID ir iespējams veikt arī visu elektroniskajā ierīcē vai iekārtā sagatavoto dokumentu integritātes pārbaudi, veicot </w:t>
      </w:r>
      <w:proofErr w:type="spellStart"/>
      <w:r w:rsidR="007C7598" w:rsidRPr="007C7598">
        <w:rPr>
          <w:rFonts w:eastAsia="Calibri" w:cs="Times New Roman"/>
          <w:szCs w:val="24"/>
        </w:rPr>
        <w:t>Hash</w:t>
      </w:r>
      <w:proofErr w:type="spellEnd"/>
      <w:r w:rsidR="007C7598" w:rsidRPr="007C7598">
        <w:rPr>
          <w:rFonts w:eastAsia="Calibri" w:cs="Times New Roman"/>
          <w:szCs w:val="24"/>
        </w:rPr>
        <w:t xml:space="preserve"> SHA kontrolsummu pārrēķinu. Tādējādi jau šobrīd, izmantojot </w:t>
      </w:r>
      <w:proofErr w:type="spellStart"/>
      <w:r w:rsidR="007C7598" w:rsidRPr="007C7598">
        <w:rPr>
          <w:rFonts w:eastAsia="Calibri" w:cs="Times New Roman"/>
          <w:szCs w:val="24"/>
        </w:rPr>
        <w:t>Hash</w:t>
      </w:r>
      <w:proofErr w:type="spellEnd"/>
      <w:r w:rsidR="007C7598" w:rsidRPr="007C7598">
        <w:rPr>
          <w:rFonts w:eastAsia="Calibri" w:cs="Times New Roman"/>
          <w:szCs w:val="24"/>
        </w:rPr>
        <w:t xml:space="preserve"> SHA kontrolsummu ķēdes tehnisko risinājumu, elektroniskajās ierīcēs un iekārtās ir panākta būtiska datu drošība.</w:t>
      </w:r>
    </w:p>
    <w:p w14:paraId="13031D39" w14:textId="77777777" w:rsidR="007C7598" w:rsidRPr="007C7598" w:rsidRDefault="007C7598" w:rsidP="00C243E0">
      <w:pPr>
        <w:spacing w:after="0" w:line="276" w:lineRule="auto"/>
        <w:ind w:firstLine="720"/>
        <w:rPr>
          <w:rFonts w:eastAsia="Calibri" w:cs="Times New Roman"/>
          <w:szCs w:val="24"/>
        </w:rPr>
      </w:pPr>
      <w:r w:rsidRPr="007C7598">
        <w:rPr>
          <w:rFonts w:eastAsia="Calibri" w:cs="Times New Roman"/>
          <w:szCs w:val="24"/>
        </w:rPr>
        <w:t>Sākotnēji kases aparātu reformu bija plānots veikt divos etapos. Pirmā etapa (kas ir ieviests) uzdevums bija izveidot tādas elektroniskās ierīces un iekārtas, kurās reģistrētos datus nav iespējams mainīt. Savukārt otrajā etapā dati tiktu nosūtīti VID tiešsaistē (reālajā laikā) uz centralizētu datu krātuvi.</w:t>
      </w:r>
    </w:p>
    <w:p w14:paraId="7984CF6C" w14:textId="775BC7AD" w:rsidR="007C7598" w:rsidRPr="007C7598" w:rsidRDefault="007C7598" w:rsidP="00C243E0">
      <w:pPr>
        <w:spacing w:after="0" w:line="276" w:lineRule="auto"/>
        <w:ind w:firstLine="720"/>
        <w:rPr>
          <w:rFonts w:eastAsia="Calibri" w:cs="Times New Roman"/>
          <w:szCs w:val="24"/>
        </w:rPr>
      </w:pPr>
      <w:r w:rsidRPr="007C7598">
        <w:rPr>
          <w:rFonts w:eastAsia="Calibri" w:cs="Times New Roman"/>
          <w:szCs w:val="24"/>
        </w:rPr>
        <w:t>Pamatojoties uz Valdības rīcības plānā iekļauto pasākumu “Viedkaršu ieviešana kases aparātos”, 2016.</w:t>
      </w:r>
      <w:r w:rsidR="00CB7ADE">
        <w:rPr>
          <w:rFonts w:eastAsia="Calibri" w:cs="Times New Roman"/>
          <w:szCs w:val="24"/>
        </w:rPr>
        <w:t> </w:t>
      </w:r>
      <w:r w:rsidRPr="007C7598">
        <w:rPr>
          <w:rFonts w:eastAsia="Calibri" w:cs="Times New Roman"/>
          <w:szCs w:val="24"/>
        </w:rPr>
        <w:t>gada nogalē tika sagatavots redzējums kases aparātu reformas otrajam posmam. Kases aparātu reformu bija paredzēts turpināt, pastiprinot elektronisko ka</w:t>
      </w:r>
      <w:r w:rsidR="00B65E01">
        <w:rPr>
          <w:rFonts w:eastAsia="Calibri" w:cs="Times New Roman"/>
          <w:szCs w:val="24"/>
        </w:rPr>
        <w:t>ses aparātu tehniskās prasības –</w:t>
      </w:r>
      <w:r w:rsidRPr="007C7598">
        <w:rPr>
          <w:rFonts w:eastAsia="Calibri" w:cs="Times New Roman"/>
          <w:szCs w:val="24"/>
        </w:rPr>
        <w:t xml:space="preserve"> elektroniskajā ierīcē vai iekārtā integrējot kontroles moduli, kas veiktu kases čeku elektronisku parakstīšanu. Kases čeka elektroniska parakstīšana nodrošinātu katra kases čeka autentiskumu un kontrolētu čeka identificējošo datu pareizību un saglabāšanu. Elektroniskajā ierīcē vai iekārtā </w:t>
      </w:r>
      <w:r w:rsidRPr="007C7598">
        <w:rPr>
          <w:rFonts w:eastAsia="Calibri" w:cs="Times New Roman"/>
          <w:szCs w:val="24"/>
        </w:rPr>
        <w:lastRenderedPageBreak/>
        <w:t>reģistrētie dati periodiski (piemēram, reizi dienā) tiktu nosūtīti glabāšanai VID serveriem.</w:t>
      </w:r>
    </w:p>
    <w:p w14:paraId="77165984" w14:textId="77777777" w:rsidR="007C7598" w:rsidRPr="007C7598" w:rsidRDefault="007C7598" w:rsidP="00C243E0">
      <w:pPr>
        <w:spacing w:after="0" w:line="276" w:lineRule="auto"/>
        <w:ind w:firstLine="720"/>
        <w:rPr>
          <w:rFonts w:eastAsia="Calibri" w:cs="Times New Roman"/>
          <w:szCs w:val="24"/>
        </w:rPr>
      </w:pPr>
      <w:r w:rsidRPr="007C7598">
        <w:rPr>
          <w:rFonts w:eastAsia="Calibri" w:cs="Times New Roman"/>
          <w:szCs w:val="24"/>
        </w:rPr>
        <w:t>Tomēr, izvērtējot reformas otrā posma ieviešanas iespējas un lietderību, tika konstatēti būtiski trūkumi un riski.</w:t>
      </w:r>
    </w:p>
    <w:p w14:paraId="2F7523C0" w14:textId="77777777" w:rsidR="007C7598" w:rsidRPr="007C7598" w:rsidRDefault="007C7598" w:rsidP="00C243E0">
      <w:pPr>
        <w:spacing w:after="0" w:line="276" w:lineRule="auto"/>
        <w:ind w:firstLine="720"/>
        <w:rPr>
          <w:rFonts w:eastAsia="Calibri" w:cs="Times New Roman"/>
          <w:szCs w:val="24"/>
        </w:rPr>
      </w:pPr>
      <w:r w:rsidRPr="007C7598">
        <w:rPr>
          <w:rFonts w:eastAsia="Calibri" w:cs="Times New Roman"/>
          <w:szCs w:val="24"/>
        </w:rPr>
        <w:t xml:space="preserve">Elektronisko kases aparātu reformas pirmā posma jauno tehnisko prasību ieviešanai aprēķinātās izmaksas elektronisko ierīču un iekārtu lietotājiem sasniedza 20 milj. </w:t>
      </w:r>
      <w:proofErr w:type="spellStart"/>
      <w:r w:rsidRPr="007C7598">
        <w:rPr>
          <w:rFonts w:eastAsia="Calibri" w:cs="Times New Roman"/>
          <w:i/>
          <w:szCs w:val="24"/>
        </w:rPr>
        <w:t>euro</w:t>
      </w:r>
      <w:proofErr w:type="spellEnd"/>
      <w:r w:rsidRPr="007C7598">
        <w:rPr>
          <w:rFonts w:eastAsia="Calibri" w:cs="Times New Roman"/>
          <w:szCs w:val="24"/>
        </w:rPr>
        <w:t xml:space="preserve">. Savukārt, ieviešot arī otrajā posmā plānotās tehniskās prasības, izmaksas elektronisko ierīču un iekārtu lietotājiem varētu sasniegt pat 25 milj. </w:t>
      </w:r>
      <w:proofErr w:type="spellStart"/>
      <w:r w:rsidRPr="007C7598">
        <w:rPr>
          <w:rFonts w:eastAsia="Calibri" w:cs="Times New Roman"/>
          <w:i/>
          <w:szCs w:val="24"/>
        </w:rPr>
        <w:t>euro</w:t>
      </w:r>
      <w:proofErr w:type="spellEnd"/>
      <w:r w:rsidRPr="007C7598">
        <w:rPr>
          <w:rFonts w:eastAsia="Calibri" w:cs="Times New Roman"/>
          <w:szCs w:val="24"/>
        </w:rPr>
        <w:t xml:space="preserve"> piecu gadu laikā. Savukārt VID informācijas un komunikāciju tehnoloģijas infrastruktūras izveidošanas un uzturēšanas izmaksas varētu sasniegt vairāk kā 5 milj. </w:t>
      </w:r>
      <w:proofErr w:type="spellStart"/>
      <w:r w:rsidRPr="007C7598">
        <w:rPr>
          <w:rFonts w:eastAsia="Calibri" w:cs="Times New Roman"/>
          <w:i/>
          <w:szCs w:val="24"/>
        </w:rPr>
        <w:t>euro</w:t>
      </w:r>
      <w:proofErr w:type="spellEnd"/>
      <w:r w:rsidRPr="007C7598">
        <w:rPr>
          <w:rFonts w:eastAsia="Calibri" w:cs="Times New Roman"/>
          <w:szCs w:val="24"/>
        </w:rPr>
        <w:t xml:space="preserve">. Kopējās izmaksas pēc toreizējiem aprēķiniem pārsniegtu 30 milj. </w:t>
      </w:r>
      <w:proofErr w:type="spellStart"/>
      <w:r w:rsidRPr="007C7598">
        <w:rPr>
          <w:rFonts w:eastAsia="Calibri" w:cs="Times New Roman"/>
          <w:i/>
          <w:szCs w:val="24"/>
        </w:rPr>
        <w:t>euro</w:t>
      </w:r>
      <w:proofErr w:type="spellEnd"/>
      <w:r w:rsidRPr="007C7598">
        <w:rPr>
          <w:rFonts w:eastAsia="Calibri" w:cs="Times New Roman"/>
          <w:szCs w:val="24"/>
        </w:rPr>
        <w:t>. Tādējādi, ņemot vērā cenu pieaugumu faktiskās izmaksas šodien būtu ievērojami augstākas.</w:t>
      </w:r>
    </w:p>
    <w:p w14:paraId="3BE94DE6" w14:textId="7C71121F" w:rsidR="007C7598" w:rsidRPr="007C7598" w:rsidRDefault="007C7598" w:rsidP="00C243E0">
      <w:pPr>
        <w:spacing w:after="0" w:line="276" w:lineRule="auto"/>
        <w:ind w:firstLine="720"/>
        <w:rPr>
          <w:rFonts w:eastAsia="Calibri" w:cs="Times New Roman"/>
        </w:rPr>
      </w:pPr>
      <w:r w:rsidRPr="42ED0BA5">
        <w:rPr>
          <w:rFonts w:eastAsia="Calibri" w:cs="Times New Roman"/>
        </w:rPr>
        <w:t xml:space="preserve">Izvērtējot dažādus aspektus, tai skaitā ar pirmo posmu ieviesto drošības pakāpi, augstās turpmākās projekta īstenošanas izmaksas, projekta ieviešanas sarežģītību un ilgo ieviešanas procesu, iespējamo </w:t>
      </w:r>
      <w:r w:rsidR="001D7E46">
        <w:rPr>
          <w:rFonts w:eastAsia="Calibri" w:cs="Times New Roman"/>
        </w:rPr>
        <w:t>noraidošo attieksmi</w:t>
      </w:r>
      <w:r w:rsidR="001D7E46" w:rsidRPr="42ED0BA5">
        <w:rPr>
          <w:rFonts w:eastAsia="Calibri" w:cs="Times New Roman"/>
        </w:rPr>
        <w:t xml:space="preserve"> </w:t>
      </w:r>
      <w:r w:rsidRPr="42ED0BA5">
        <w:rPr>
          <w:rFonts w:eastAsia="Calibri" w:cs="Times New Roman"/>
        </w:rPr>
        <w:t>no nodokļu maksātāju puses, kases aparātu reformas otro posmu neuzsāka īstenot un uzdevums “Viedkaršu ieviešana kases aparātos” tika svītrots no Valdības rīcības plāna.</w:t>
      </w:r>
    </w:p>
    <w:p w14:paraId="005E3F89" w14:textId="7F81E630" w:rsidR="007C7598" w:rsidRPr="007C7598" w:rsidRDefault="007C7598" w:rsidP="00C243E0">
      <w:pPr>
        <w:spacing w:after="0" w:line="276" w:lineRule="auto"/>
        <w:ind w:firstLine="720"/>
        <w:rPr>
          <w:rFonts w:eastAsia="Calibri" w:cs="Times New Roman"/>
        </w:rPr>
      </w:pPr>
      <w:r w:rsidRPr="7842FC33">
        <w:rPr>
          <w:rFonts w:eastAsia="Calibri" w:cs="Times New Roman"/>
        </w:rPr>
        <w:t xml:space="preserve">Pēc </w:t>
      </w:r>
      <w:r w:rsidR="3817DB89" w:rsidRPr="7842FC33">
        <w:rPr>
          <w:rFonts w:eastAsia="Calibri" w:cs="Times New Roman"/>
        </w:rPr>
        <w:t xml:space="preserve">VID </w:t>
      </w:r>
      <w:r w:rsidRPr="7842FC33">
        <w:rPr>
          <w:rFonts w:eastAsia="Calibri" w:cs="Times New Roman"/>
        </w:rPr>
        <w:t>rīcībā esošās informācijas tiešsaistes sistēma vai daļēja tiešsaistes sistēma, kur dati no elektroniskām ierīcēm un iekārtām vienlaicīgi tiek nodoti nodokļu administrācijai, ir ieviesta Krievijā, Kazahstānā, Gruzijā, Horvātijā un Maķedonijā. Visās minētajās valstīs ir obligāta prasība ierīci vai iekārtu, kas nodrošina darījuma reģistrāciju, aprīkot ar fiskālo atmiņu. Savukārt ierīces darījumu reģistrācijai, kas aprīkotas ar fiskālo atmiņu, ir jālieto Vācijā, Austrijā, Ungārijā, Zviedrijā, Polijā, Čehijā, Beļģijā, Bulgārijā, Portugālē un Grieķijā.</w:t>
      </w:r>
    </w:p>
    <w:p w14:paraId="3AB8091E" w14:textId="77777777" w:rsidR="007C7598" w:rsidRPr="007C7598" w:rsidRDefault="007C7598" w:rsidP="00C243E0">
      <w:pPr>
        <w:spacing w:after="0" w:line="276" w:lineRule="auto"/>
        <w:ind w:firstLine="720"/>
        <w:rPr>
          <w:rFonts w:eastAsia="Calibri" w:cs="Times New Roman"/>
          <w:szCs w:val="24"/>
        </w:rPr>
      </w:pPr>
      <w:r w:rsidRPr="007C7598">
        <w:rPr>
          <w:rFonts w:eastAsia="Calibri" w:cs="Times New Roman"/>
          <w:szCs w:val="24"/>
        </w:rPr>
        <w:t xml:space="preserve">Tiešsaistes sistēmā ir izmantojamas tikai tādas elektroniskās ierīces un iekārtas, kuras ir aprīkotas ar fiskālās atmiņas moduli, kurām ir pieeja interneta tīklam un kurās reģistrētie dati tiek saglabāti speciāli izstrādātā </w:t>
      </w:r>
      <w:r w:rsidRPr="00E13415">
        <w:rPr>
          <w:rFonts w:eastAsia="Calibri" w:cs="Times New Roman"/>
          <w:szCs w:val="24"/>
        </w:rPr>
        <w:t>XML</w:t>
      </w:r>
      <w:r w:rsidRPr="007C7598">
        <w:rPr>
          <w:rFonts w:eastAsia="Calibri" w:cs="Times New Roman"/>
          <w:szCs w:val="24"/>
        </w:rPr>
        <w:t xml:space="preserve"> datnes formā, lai nodrošinātu datu nosūtīšanu uz centralizētu datu krātuvi. Fiskālās atmiņas modulis nodrošina reģistrēto datu nemainību un integritāti. Darījuma dati tiek saglabāti nemainīgi arī situācijā, kad ir pārtraukta datu nosūtīšana uz e-čeku sistēmu, piemēram, interneta sakaru pārtraukuma gadījumā.</w:t>
      </w:r>
    </w:p>
    <w:p w14:paraId="41428D08" w14:textId="0DD0D310" w:rsidR="007C7598" w:rsidRDefault="007C7598" w:rsidP="00C243E0">
      <w:pPr>
        <w:spacing w:after="0" w:line="276" w:lineRule="auto"/>
        <w:ind w:firstLine="720"/>
        <w:rPr>
          <w:rFonts w:eastAsia="Calibri" w:cs="Times New Roman"/>
          <w:szCs w:val="24"/>
        </w:rPr>
      </w:pPr>
      <w:r w:rsidRPr="007C7598">
        <w:rPr>
          <w:rFonts w:eastAsia="Calibri" w:cs="Times New Roman"/>
          <w:szCs w:val="24"/>
        </w:rPr>
        <w:t>Atbilstoši šobrīd spēkā esošajām prasībām</w:t>
      </w:r>
      <w:r w:rsidRPr="007C7598">
        <w:rPr>
          <w:rFonts w:eastAsia="Calibri" w:cs="Times New Roman"/>
          <w:szCs w:val="24"/>
          <w:vertAlign w:val="superscript"/>
        </w:rPr>
        <w:footnoteReference w:id="14"/>
      </w:r>
      <w:r w:rsidRPr="007C7598">
        <w:rPr>
          <w:rFonts w:eastAsia="Calibri" w:cs="Times New Roman"/>
          <w:szCs w:val="24"/>
        </w:rPr>
        <w:t xml:space="preserve"> fiskālās atmiņas modulis tiek uzstādīts tikai daļai no elektroniskajām ierīcēm un iekārtām, tātad tikai daļa no elektroniskām ierīcēm un iekārtām būtu izmantojama tiešsaistē. Ar fiskālas atmiņas moduli ir aprīkotas kases sistēmas, degvielas </w:t>
      </w:r>
      <w:proofErr w:type="spellStart"/>
      <w:r w:rsidRPr="007C7598">
        <w:rPr>
          <w:rFonts w:eastAsia="Calibri" w:cs="Times New Roman"/>
          <w:szCs w:val="24"/>
        </w:rPr>
        <w:t>uzpildes</w:t>
      </w:r>
      <w:proofErr w:type="spellEnd"/>
      <w:r w:rsidRPr="007C7598">
        <w:rPr>
          <w:rFonts w:eastAsia="Calibri" w:cs="Times New Roman"/>
          <w:szCs w:val="24"/>
        </w:rPr>
        <w:t xml:space="preserve"> kases sistēmas un hibrīda kases aparāti, jeb 37 % no visām elektroniskajām ierīcēm un iekārtām. Savukārt ar fiskālās atmiņas moduli nav aprīkotas 66 % jeb 32894 elektronisko ierīču un iekārtu – kases aparāti ar elektronisko </w:t>
      </w:r>
      <w:proofErr w:type="spellStart"/>
      <w:r w:rsidRPr="007C7598">
        <w:rPr>
          <w:rFonts w:eastAsia="Calibri" w:cs="Times New Roman"/>
          <w:szCs w:val="24"/>
        </w:rPr>
        <w:t>kontrollenti</w:t>
      </w:r>
      <w:proofErr w:type="spellEnd"/>
      <w:r w:rsidRPr="007C7598">
        <w:rPr>
          <w:rFonts w:eastAsia="Calibri" w:cs="Times New Roman"/>
          <w:szCs w:val="24"/>
        </w:rPr>
        <w:t>, tirdzniecības automāti un taksometra skaitītāji.</w:t>
      </w:r>
    </w:p>
    <w:p w14:paraId="1F3DC802" w14:textId="65F9152D" w:rsidR="00C565D7" w:rsidRDefault="00C565D7" w:rsidP="007C7598">
      <w:pPr>
        <w:spacing w:after="0" w:line="240" w:lineRule="auto"/>
        <w:ind w:firstLine="720"/>
        <w:rPr>
          <w:rFonts w:eastAsia="Calibri" w:cs="Times New Roman"/>
          <w:szCs w:val="24"/>
        </w:rPr>
      </w:pPr>
    </w:p>
    <w:p w14:paraId="1FAE47BA" w14:textId="77777777" w:rsidR="0050543D" w:rsidRDefault="0050543D" w:rsidP="007C7598">
      <w:pPr>
        <w:spacing w:after="0" w:line="240" w:lineRule="auto"/>
        <w:ind w:firstLine="720"/>
        <w:rPr>
          <w:rFonts w:eastAsia="Calibri" w:cs="Times New Roman"/>
          <w:szCs w:val="24"/>
        </w:rPr>
      </w:pPr>
    </w:p>
    <w:p w14:paraId="3129388F" w14:textId="14DF99B1" w:rsidR="007C7598" w:rsidRPr="007C7598" w:rsidRDefault="00C565D7" w:rsidP="00C565D7">
      <w:pPr>
        <w:spacing w:after="0" w:line="240" w:lineRule="auto"/>
        <w:ind w:firstLine="720"/>
        <w:jc w:val="right"/>
        <w:rPr>
          <w:rFonts w:eastAsia="Calibri" w:cs="Times New Roman"/>
          <w:szCs w:val="24"/>
        </w:rPr>
      </w:pPr>
      <w:r w:rsidRPr="7842FC33">
        <w:rPr>
          <w:rFonts w:eastAsia="Times New Roman" w:cs="Times New Roman"/>
          <w:i/>
          <w:iCs/>
          <w:szCs w:val="24"/>
        </w:rPr>
        <w:t>1.</w:t>
      </w:r>
      <w:r w:rsidR="00D13DC3">
        <w:rPr>
          <w:rFonts w:eastAsia="Times New Roman" w:cs="Times New Roman"/>
          <w:i/>
          <w:iCs/>
          <w:szCs w:val="24"/>
        </w:rPr>
        <w:t> </w:t>
      </w:r>
      <w:r w:rsidRPr="7842FC33">
        <w:rPr>
          <w:rFonts w:eastAsia="Times New Roman" w:cs="Times New Roman"/>
          <w:i/>
          <w:iCs/>
          <w:szCs w:val="24"/>
        </w:rPr>
        <w:t>attēls</w:t>
      </w:r>
    </w:p>
    <w:p w14:paraId="0C66434E" w14:textId="35C3DEF9" w:rsidR="007C7598" w:rsidRPr="00C565D7" w:rsidRDefault="007C7598" w:rsidP="00C565D7">
      <w:pPr>
        <w:spacing w:after="0" w:line="240" w:lineRule="auto"/>
        <w:rPr>
          <w:rFonts w:eastAsia="Calibri" w:cs="Times New Roman"/>
          <w:szCs w:val="24"/>
        </w:rPr>
      </w:pPr>
      <w:r w:rsidRPr="007C7598">
        <w:rPr>
          <w:rFonts w:eastAsia="Calibri" w:cs="Times New Roman"/>
          <w:noProof/>
          <w:szCs w:val="24"/>
          <w:lang w:eastAsia="lv-LV"/>
        </w:rPr>
        <w:lastRenderedPageBreak/>
        <w:drawing>
          <wp:inline distT="0" distB="0" distL="0" distR="0" wp14:anchorId="537CECB6" wp14:editId="1B04E3A9">
            <wp:extent cx="5704449" cy="3383280"/>
            <wp:effectExtent l="0" t="0" r="10795" b="7620"/>
            <wp:docPr id="1" name="Chart 1">
              <a:extLst xmlns:a="http://schemas.openxmlformats.org/drawingml/2006/main">
                <a:ext uri="{FF2B5EF4-FFF2-40B4-BE49-F238E27FC236}">
                  <a16:creationId xmlns:a16="http://schemas.microsoft.com/office/drawing/2014/main" id="{FDC9513A-E2AE-48AB-B4A6-F931CC249D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67827AB6" w:rsidRPr="7842FC33">
        <w:rPr>
          <w:rFonts w:eastAsia="Times New Roman" w:cs="Times New Roman"/>
          <w:i/>
          <w:iCs/>
          <w:szCs w:val="24"/>
        </w:rPr>
        <w:t xml:space="preserve"> </w:t>
      </w:r>
    </w:p>
    <w:p w14:paraId="0B44D785" w14:textId="07DED56F" w:rsidR="67827AB6" w:rsidRDefault="67827AB6" w:rsidP="00B37E5C">
      <w:pPr>
        <w:spacing w:after="0" w:line="240" w:lineRule="auto"/>
        <w:rPr>
          <w:rFonts w:eastAsia="Times New Roman" w:cs="Times New Roman"/>
          <w:i/>
          <w:iCs/>
          <w:szCs w:val="24"/>
        </w:rPr>
      </w:pPr>
      <w:r w:rsidRPr="7842FC33">
        <w:rPr>
          <w:rFonts w:eastAsia="Times New Roman" w:cs="Times New Roman"/>
          <w:i/>
          <w:iCs/>
          <w:szCs w:val="24"/>
        </w:rPr>
        <w:t>Reģistrētās elektroniskās ierīces un iekārtas, kuras nav aprīkotas ar fiskālās atmiņas moduli (nevar nodrošināt tiešsaistes režīmu) (avots: VID)</w:t>
      </w:r>
    </w:p>
    <w:p w14:paraId="366EACA5" w14:textId="77777777" w:rsidR="007C7598" w:rsidRPr="007C7598" w:rsidRDefault="007C7598" w:rsidP="007C7598">
      <w:pPr>
        <w:spacing w:after="0" w:line="240" w:lineRule="auto"/>
        <w:ind w:firstLine="720"/>
        <w:rPr>
          <w:rFonts w:eastAsia="Calibri" w:cs="Times New Roman"/>
          <w:szCs w:val="24"/>
        </w:rPr>
      </w:pPr>
    </w:p>
    <w:p w14:paraId="64BB70CA" w14:textId="0FC76F97" w:rsidR="007C7598" w:rsidRPr="007C7598" w:rsidRDefault="007C7598" w:rsidP="00F65DFC">
      <w:pPr>
        <w:spacing w:after="0" w:line="276" w:lineRule="auto"/>
        <w:ind w:firstLine="720"/>
        <w:rPr>
          <w:rFonts w:eastAsia="Times New Roman" w:cs="Times New Roman"/>
        </w:rPr>
      </w:pPr>
      <w:r w:rsidRPr="76E9E50D">
        <w:rPr>
          <w:rFonts w:eastAsia="Calibri" w:cs="Times New Roman"/>
        </w:rPr>
        <w:t>Vērtējot e-čeku tiešsaistes sistēmas ieviešanas iespējas, secināms, ka arī šobrīd ir tās pašas problēmas un izaicinājumi – augstās izmaksas un tehnoloģiskā sarežģītība. Tādējādi ieviest jaunas tehniski un finansiāli sarežģītas iniciatīvas elektronisko ierīču un iekārtu jomā, kas radītu nodokļu maksātājiem jaunu ievērojamu finansiālo un administratīvo slogu, šobrīd nebūtu lietderīgi. Turklāt jau šobrīd kases aparātu tehniskās prasības nodrošina pietiekami augstu datu drošības līmeni no datu saglabāšanas, nemainīguma un izsekojamības viedokļa.</w:t>
      </w:r>
      <w:r w:rsidR="435FA249" w:rsidRPr="76E9E50D">
        <w:rPr>
          <w:rFonts w:eastAsia="Calibri" w:cs="Times New Roman"/>
        </w:rPr>
        <w:t xml:space="preserve"> </w:t>
      </w:r>
      <w:r w:rsidR="435FA249" w:rsidRPr="76E9E50D">
        <w:rPr>
          <w:rFonts w:eastAsia="Times New Roman" w:cs="Times New Roman"/>
        </w:rPr>
        <w:t>Tā kā tikai 30</w:t>
      </w:r>
      <w:r w:rsidR="00CB7ADE">
        <w:rPr>
          <w:rFonts w:eastAsia="Times New Roman" w:cs="Times New Roman"/>
        </w:rPr>
        <w:t> </w:t>
      </w:r>
      <w:r w:rsidR="435FA249" w:rsidRPr="76E9E50D">
        <w:rPr>
          <w:rFonts w:eastAsia="Times New Roman" w:cs="Times New Roman"/>
        </w:rPr>
        <w:t>% no nodokļu maksātāju datiem būtu ikdienā nepieciešami nodokļu uzraudzības pasākumu veikšanai, nav racionāli uzkrāt datus, kas nav nepieciešami un netiek aktīvi izmantoti nodokļu administrēšanas mērķiem.</w:t>
      </w:r>
    </w:p>
    <w:p w14:paraId="400E14BF" w14:textId="6BF6DC2F" w:rsidR="007C7598" w:rsidRDefault="435FA249" w:rsidP="00433AA5">
      <w:pPr>
        <w:spacing w:after="0" w:line="276" w:lineRule="auto"/>
        <w:ind w:firstLine="720"/>
      </w:pPr>
      <w:r w:rsidRPr="7CAD8631">
        <w:rPr>
          <w:rFonts w:eastAsia="Calibri" w:cs="Times New Roman"/>
        </w:rPr>
        <w:t xml:space="preserve">Tāpat, </w:t>
      </w:r>
      <w:r w:rsidR="2E79A8EA" w:rsidRPr="7CAD8631">
        <w:rPr>
          <w:rFonts w:eastAsia="Calibri" w:cs="Times New Roman"/>
        </w:rPr>
        <w:t>a</w:t>
      </w:r>
      <w:r w:rsidR="007C7598" w:rsidRPr="7CAD8631">
        <w:rPr>
          <w:rFonts w:eastAsia="Calibri" w:cs="Times New Roman"/>
        </w:rPr>
        <w:t xml:space="preserve">ttīstot </w:t>
      </w:r>
      <w:proofErr w:type="spellStart"/>
      <w:r w:rsidR="007C7598" w:rsidRPr="7CAD8631">
        <w:rPr>
          <w:rFonts w:eastAsia="Calibri" w:cs="Times New Roman"/>
        </w:rPr>
        <w:t>digitalizācijas</w:t>
      </w:r>
      <w:proofErr w:type="spellEnd"/>
      <w:r w:rsidR="007C7598" w:rsidRPr="7CAD8631">
        <w:rPr>
          <w:rFonts w:eastAsia="Calibri" w:cs="Times New Roman"/>
        </w:rPr>
        <w:t xml:space="preserve"> procesus, daudzi pakalpojumu sniedzēji un preču piegādātāji piedāvā aktuālu iespēju – kases čeku nosūtīt klientam elektroniska dokumenta veidā. Popularizējot elektronisko kases čeku izmantošanu, samazināsies izdrukāto papīra čeku apjoms, mazināsies arī negatīvā ietekme uz vidi, kas rodas kases čekos izmantotā </w:t>
      </w:r>
      <w:proofErr w:type="spellStart"/>
      <w:r w:rsidR="007C7598" w:rsidRPr="7CAD8631">
        <w:rPr>
          <w:rFonts w:eastAsia="Calibri" w:cs="Times New Roman"/>
        </w:rPr>
        <w:t>termopapīra</w:t>
      </w:r>
      <w:proofErr w:type="spellEnd"/>
      <w:r w:rsidR="007C7598" w:rsidRPr="7CAD8631">
        <w:rPr>
          <w:rFonts w:eastAsia="Calibri" w:cs="Times New Roman"/>
        </w:rPr>
        <w:t xml:space="preserve"> ražošanas procesā. Elektroniskus kases čekus klientiem jau šobrīd var izsniegt jebkurš uzņēmums, kuram ir attiecīgs tehnisks nodrošinājums. Elektronisko kases čeku izsniegšanu klientam ir iespējams realizēt divos veidos, atkarībā no izvēlētā risinājuma – nosūtīt uz klienta norādīto elektroniskās saziņas līdzekli vai arī klients sev izsniegtos elektroniskos kases čekus var iegūt tirgotāja mājas lapā klientam izveidotā speciālā kases čeku kontā. Elektroniskā kases čeka saņemšanas veidu un klienta identifikācijas nosacījumus ietver tirgotāja un klienta noslēgtā līguma nosacījumos.</w:t>
      </w:r>
      <w:r w:rsidR="6D3F6FD5" w:rsidRPr="7CAD8631">
        <w:rPr>
          <w:rFonts w:eastAsia="Calibri" w:cs="Times New Roman"/>
        </w:rPr>
        <w:t xml:space="preserve"> Elektroniskajā ierīcē vai iekārtā reģistrētajiem kases čekiem ir jāatbilst kases čeka struktūrai, ko nosaka Ministru kabineta </w:t>
      </w:r>
      <w:r w:rsidR="0028608F">
        <w:rPr>
          <w:rFonts w:eastAsia="Calibri" w:cs="Times New Roman"/>
        </w:rPr>
        <w:t xml:space="preserve">2014. gada 11. februāra </w:t>
      </w:r>
      <w:r w:rsidR="6D3F6FD5" w:rsidRPr="7CAD8631">
        <w:rPr>
          <w:rFonts w:eastAsia="Calibri" w:cs="Times New Roman"/>
        </w:rPr>
        <w:t>noteikumi Nr.</w:t>
      </w:r>
      <w:r w:rsidR="003E6BAA">
        <w:rPr>
          <w:rFonts w:eastAsia="Calibri" w:cs="Times New Roman"/>
        </w:rPr>
        <w:t> </w:t>
      </w:r>
      <w:r w:rsidR="6D3F6FD5" w:rsidRPr="7CAD8631">
        <w:rPr>
          <w:rFonts w:eastAsia="Calibri" w:cs="Times New Roman"/>
        </w:rPr>
        <w:t xml:space="preserve">95, saskaņā ar kuriem tie jāuzglabā XML vai CSV formātā. Savukārt pircējiem </w:t>
      </w:r>
      <w:r w:rsidR="6D3F6FD5" w:rsidRPr="7CAD8631">
        <w:rPr>
          <w:rFonts w:eastAsia="Calibri" w:cs="Times New Roman"/>
        </w:rPr>
        <w:lastRenderedPageBreak/>
        <w:t xml:space="preserve">izsniedzamos dokumentus ģenerē no elektroniskajā ierīcē vai iekārtā reģistrētajiem čekiem, tos nosūtot pircējam teksta, PDF vai citā viegli lasāmā formātā. Šobrīd esošais regulējums un tā radītais ietvars ir pietiekams, lai uzņēmēji varētu uzsākt sniegt elektronisko čeku operatoru pakalpojumus. E-čeku aprites platforma varētu uzkrāt personas (fiziskās vai juridiskās) čekus, kas saņemti no dažādiem tirgotājiem, kuri piedāvā šādu iespēju, automatizēti tos nodot uz uzņēmumu grāmatvedības u.c. resursu vadības sistēmām. Privātpersonām varētu būt aktuāla e-čeku uzkrāšana </w:t>
      </w:r>
      <w:r w:rsidR="00A530C8" w:rsidRPr="00A530C8">
        <w:rPr>
          <w:rFonts w:eastAsia="Calibri" w:cs="Times New Roman"/>
        </w:rPr>
        <w:t xml:space="preserve">oficiālajā elektroniskajā adresē – portāla Latvija.lv lietotāja kontā vai citur, </w:t>
      </w:r>
      <w:r w:rsidR="6D3F6FD5" w:rsidRPr="7CAD8631">
        <w:rPr>
          <w:rFonts w:eastAsia="Calibri" w:cs="Times New Roman"/>
        </w:rPr>
        <w:t>pārskata iespējas tiešsaistē</w:t>
      </w:r>
      <w:r w:rsidR="00A530C8">
        <w:rPr>
          <w:rFonts w:eastAsia="Calibri" w:cs="Times New Roman"/>
        </w:rPr>
        <w:t>,</w:t>
      </w:r>
      <w:r w:rsidR="6D3F6FD5" w:rsidRPr="7CAD8631">
        <w:rPr>
          <w:rFonts w:eastAsia="Calibri" w:cs="Times New Roman"/>
        </w:rPr>
        <w:t xml:space="preserve"> kā arī iesniegšanas iespēja elektroniskā formā nodokļu at</w:t>
      </w:r>
      <w:r w:rsidR="00A530C8">
        <w:rPr>
          <w:rFonts w:eastAsia="Calibri" w:cs="Times New Roman"/>
        </w:rPr>
        <w:t>vieglojumu saņemšanai.</w:t>
      </w:r>
    </w:p>
    <w:p w14:paraId="2EE439E5" w14:textId="56757197" w:rsidR="003765A7" w:rsidRDefault="003765A7" w:rsidP="005E188E">
      <w:pPr>
        <w:spacing w:line="276" w:lineRule="auto"/>
      </w:pPr>
    </w:p>
    <w:p w14:paraId="72939F72" w14:textId="77777777" w:rsidR="005E188E" w:rsidRDefault="005E188E" w:rsidP="005E188E">
      <w:pPr>
        <w:spacing w:line="276" w:lineRule="auto"/>
      </w:pPr>
    </w:p>
    <w:p w14:paraId="1B5305BE" w14:textId="77777777" w:rsidR="003765A7" w:rsidRDefault="003765A7" w:rsidP="003765A7">
      <w:pPr>
        <w:pStyle w:val="Heading2"/>
      </w:pPr>
      <w:bookmarkStart w:id="8" w:name="_Toc72136651"/>
      <w:r>
        <w:t>PVN rēķini</w:t>
      </w:r>
      <w:bookmarkEnd w:id="8"/>
      <w:r>
        <w:t xml:space="preserve"> </w:t>
      </w:r>
    </w:p>
    <w:p w14:paraId="5B100CA2" w14:textId="77777777" w:rsidR="003765A7" w:rsidRDefault="003765A7" w:rsidP="003765A7"/>
    <w:p w14:paraId="11C18F0D" w14:textId="34FC6927" w:rsidR="003765A7" w:rsidRDefault="003765A7" w:rsidP="003765A7">
      <w:pPr>
        <w:spacing w:line="276" w:lineRule="auto"/>
        <w:ind w:firstLine="576"/>
      </w:pPr>
      <w:r>
        <w:t>PVN rēķina noformēšanu nosaka Pievienotās vērtības nodokļa likums. Rēķinu noformēšanas formu un sagatavošanas veidu patstāvīgi izvēlas pats nodokļu maksātājs.</w:t>
      </w:r>
    </w:p>
    <w:p w14:paraId="4999A44A" w14:textId="799F611B" w:rsidR="003765A7" w:rsidRPr="0017602B" w:rsidRDefault="003765A7" w:rsidP="003765A7">
      <w:pPr>
        <w:spacing w:line="276" w:lineRule="auto"/>
        <w:ind w:firstLine="576"/>
      </w:pPr>
      <w:r w:rsidRPr="0017602B">
        <w:rPr>
          <w:lang w:val="x-none"/>
        </w:rPr>
        <w:t xml:space="preserve">Latvijai kā Eiropas Savienības dalībvalstij </w:t>
      </w:r>
      <w:r w:rsidRPr="0017602B">
        <w:t xml:space="preserve">(turpmāk – dalībvalsts) </w:t>
      </w:r>
      <w:r w:rsidRPr="0017602B">
        <w:rPr>
          <w:lang w:val="x-none"/>
        </w:rPr>
        <w:t xml:space="preserve">normatīvie akti </w:t>
      </w:r>
      <w:r w:rsidRPr="0017602B">
        <w:t xml:space="preserve">PVN jomā </w:t>
      </w:r>
      <w:r w:rsidRPr="0017602B">
        <w:rPr>
          <w:lang w:val="x-none"/>
        </w:rPr>
        <w:t xml:space="preserve">ir jāsaskaņo ar Eiropas Savienības noteiktajām prasībām. </w:t>
      </w:r>
      <w:r w:rsidRPr="0017602B">
        <w:t>PVN piemērošanu nosaka Padomes 2006.</w:t>
      </w:r>
      <w:r>
        <w:t> </w:t>
      </w:r>
      <w:r w:rsidRPr="0017602B">
        <w:t>gada 28.</w:t>
      </w:r>
      <w:r>
        <w:t> </w:t>
      </w:r>
      <w:r w:rsidRPr="0017602B">
        <w:t xml:space="preserve">novembra Direktīvas 2006/112/EK par kopējo pievienotās vērtības nodokļa sistēmu (turpmāk – PVN direktīva), kuras regulējums pārņemts Latvijas </w:t>
      </w:r>
      <w:r>
        <w:t>normatīvajos aktos. PVN</w:t>
      </w:r>
      <w:r w:rsidRPr="0017602B">
        <w:t xml:space="preserve"> rēķinu izrakstīšanas kārtību arī nosaka PVN direktīvas regulējums, kas pārņemts Pievienotās vērtības nodokļa likumā. </w:t>
      </w:r>
    </w:p>
    <w:p w14:paraId="26407810" w14:textId="77777777" w:rsidR="003765A7" w:rsidRPr="0017602B" w:rsidRDefault="003765A7" w:rsidP="003765A7">
      <w:pPr>
        <w:spacing w:line="276" w:lineRule="auto"/>
        <w:ind w:firstLine="576"/>
      </w:pPr>
      <w:r>
        <w:t>Latvijā PVN</w:t>
      </w:r>
      <w:r w:rsidRPr="0017602B">
        <w:t xml:space="preserve"> rēķinu ir jāizraksta reģistrētam PVN maksātājam par:</w:t>
      </w:r>
    </w:p>
    <w:p w14:paraId="124AB4BD" w14:textId="77777777" w:rsidR="003765A7" w:rsidRPr="0017602B" w:rsidRDefault="003765A7" w:rsidP="003765A7">
      <w:pPr>
        <w:numPr>
          <w:ilvl w:val="0"/>
          <w:numId w:val="27"/>
        </w:numPr>
        <w:spacing w:line="276" w:lineRule="auto"/>
      </w:pPr>
      <w:r w:rsidRPr="0017602B">
        <w:t>jebkurām veiktām preču piegādēm un sniegtajiem pakalpojumiem;</w:t>
      </w:r>
    </w:p>
    <w:p w14:paraId="57046F9B" w14:textId="77777777" w:rsidR="003765A7" w:rsidRPr="0017602B" w:rsidRDefault="003765A7" w:rsidP="003765A7">
      <w:pPr>
        <w:numPr>
          <w:ilvl w:val="0"/>
          <w:numId w:val="27"/>
        </w:numPr>
        <w:spacing w:line="276" w:lineRule="auto"/>
      </w:pPr>
      <w:r w:rsidRPr="0017602B">
        <w:t xml:space="preserve">avansa maksājumu, ko tas saņēmis pirms veiktās preču piegādes vai pakalpojumu sniegšanas; </w:t>
      </w:r>
    </w:p>
    <w:p w14:paraId="603A68F2" w14:textId="77777777" w:rsidR="003765A7" w:rsidRPr="0017602B" w:rsidRDefault="003765A7" w:rsidP="003765A7">
      <w:pPr>
        <w:spacing w:line="276" w:lineRule="auto"/>
      </w:pPr>
      <w:r w:rsidRPr="0017602B">
        <w:tab/>
        <w:t>Izņēmums no iepriekš minētā, ir ar PVN neapliekamie darījumi, par kuriem reģistrētam PVN maksāt</w:t>
      </w:r>
      <w:r>
        <w:t>ājam nav pienākuma izrakstīt PVN</w:t>
      </w:r>
      <w:r w:rsidRPr="0017602B">
        <w:t xml:space="preserve"> rēķinu.</w:t>
      </w:r>
      <w:r w:rsidRPr="0017602B">
        <w:rPr>
          <w:vertAlign w:val="superscript"/>
        </w:rPr>
        <w:footnoteReference w:id="15"/>
      </w:r>
    </w:p>
    <w:p w14:paraId="3BD8EB60" w14:textId="77777777" w:rsidR="003765A7" w:rsidRPr="0017602B" w:rsidRDefault="003765A7" w:rsidP="003765A7">
      <w:pPr>
        <w:spacing w:line="276" w:lineRule="auto"/>
        <w:ind w:firstLine="720"/>
      </w:pPr>
      <w:r w:rsidRPr="0017602B">
        <w:t>Par preču piegādēm vai sniegtajiem pakalpojumiem personām, kas neveic saimniecisko darbību (tai skaitā fiziskām personām) vai ner</w:t>
      </w:r>
      <w:r>
        <w:t>eģistrētiem PVN maksātājiem, PVN</w:t>
      </w:r>
      <w:r w:rsidRPr="0017602B">
        <w:t xml:space="preserve"> rēķins izrakstāms tikai pēc šo personu pieprasījuma.</w:t>
      </w:r>
    </w:p>
    <w:p w14:paraId="0BCA8517" w14:textId="77777777" w:rsidR="003765A7" w:rsidRPr="0017602B" w:rsidRDefault="003765A7" w:rsidP="003765A7">
      <w:pPr>
        <w:spacing w:line="276" w:lineRule="auto"/>
        <w:ind w:firstLine="720"/>
      </w:pPr>
      <w:r>
        <w:t>PVN</w:t>
      </w:r>
      <w:r w:rsidRPr="0017602B">
        <w:t xml:space="preserve"> rēķina saturs ir noteikts Pievienotās vērtības nodokļa likuma 125.</w:t>
      </w:r>
      <w:r>
        <w:t> </w:t>
      </w:r>
      <w:r w:rsidRPr="0017602B">
        <w:t>pantā un 126.</w:t>
      </w:r>
      <w:r>
        <w:t> </w:t>
      </w:r>
      <w:r w:rsidRPr="0017602B">
        <w:t>pantā.</w:t>
      </w:r>
    </w:p>
    <w:p w14:paraId="73607435" w14:textId="3A43042D" w:rsidR="003765A7" w:rsidRPr="0017602B" w:rsidRDefault="003765A7" w:rsidP="003765A7">
      <w:pPr>
        <w:spacing w:line="276" w:lineRule="auto"/>
        <w:ind w:firstLine="720"/>
      </w:pPr>
      <w:r w:rsidRPr="0017602B">
        <w:t>Pievienotās vērtības nodokļa likuma 125.</w:t>
      </w:r>
      <w:r>
        <w:t xml:space="preserve"> </w:t>
      </w:r>
      <w:r w:rsidRPr="0017602B">
        <w:t>pantā ir noteikts, ka p</w:t>
      </w:r>
      <w:r>
        <w:t>ar PVN</w:t>
      </w:r>
      <w:r w:rsidRPr="0017602B">
        <w:t xml:space="preserve"> rēķinu uzskata dokumentu papīra vai elektroniskā form</w:t>
      </w:r>
      <w:r w:rsidR="00C17929">
        <w:t>ā</w:t>
      </w:r>
      <w:r w:rsidRPr="0017602B">
        <w:t>, kurā ir šajā pantā uzskaitīti rekvizīti un informācija. Bez pamata rekvizītiem, kas raksturo darījuma puses, piegādātās prece</w:t>
      </w:r>
      <w:r>
        <w:t>s vai sniegtos pakalpojumus, PVN</w:t>
      </w:r>
      <w:r w:rsidRPr="0017602B">
        <w:t xml:space="preserve"> rēķinā ir jānorāda arī atsauces uz PVN direktīvas vai Pievienotās vērtības nodokļa likuma normām, ja darījumam ir piemērojama PVN 0 </w:t>
      </w:r>
      <w:r w:rsidRPr="0017602B">
        <w:lastRenderedPageBreak/>
        <w:t>procentu likme vai PVN atbrīvojums, kā arī noteiktās atsauces, ja darījumam tiek piemērots īpašs PVN piemērošanas režīms.</w:t>
      </w:r>
    </w:p>
    <w:p w14:paraId="5656FF93" w14:textId="77777777" w:rsidR="003765A7" w:rsidRPr="0017602B" w:rsidRDefault="003765A7" w:rsidP="003765A7">
      <w:pPr>
        <w:spacing w:line="276" w:lineRule="auto"/>
        <w:ind w:firstLine="720"/>
      </w:pPr>
      <w:r w:rsidRPr="0017602B">
        <w:t>Savukārt Pievienotās vērtības nodokļa likuma 126.</w:t>
      </w:r>
      <w:r>
        <w:t> </w:t>
      </w:r>
      <w:r w:rsidRPr="0017602B">
        <w:t>pantā ir atr</w:t>
      </w:r>
      <w:r>
        <w:t>unāts, ka vienkāršotais PVN rēķins ir PVN</w:t>
      </w:r>
      <w:r w:rsidRPr="0017602B">
        <w:t xml:space="preserve"> rēķins, kurā ir norādīti šajā pantā uzskaitītie rekvizīti u</w:t>
      </w:r>
      <w:r>
        <w:t>n informācija. Vienkāršotais PVN</w:t>
      </w:r>
      <w:r w:rsidRPr="0017602B">
        <w:t xml:space="preserve"> rēķins satur mazāk rekvizītu un tajā uzrādāmas informācijas. Piemēram, tajā nav uzrādāmas atsauces uz PVN direktīvas vai Pievienotās vērtības nodokļa likuma normām, ja darījumam ir piemērojama PVN 0 procentu likme vai PVN atbrīvojums, kā arī noteiktās atsauces, ja darījumam tiek piemērots īpašs PVN piemērošanas režīms.</w:t>
      </w:r>
    </w:p>
    <w:p w14:paraId="6297A103" w14:textId="77777777" w:rsidR="003765A7" w:rsidRPr="0017602B" w:rsidRDefault="003765A7" w:rsidP="003765A7">
      <w:pPr>
        <w:spacing w:line="276" w:lineRule="auto"/>
      </w:pPr>
      <w:r w:rsidRPr="0017602B">
        <w:t xml:space="preserve"> </w:t>
      </w:r>
      <w:r>
        <w:tab/>
        <w:t>Vienkāršoto PVN</w:t>
      </w:r>
      <w:r w:rsidRPr="0017602B">
        <w:t xml:space="preserve"> rēķinu ir tiesības izrakstīt:</w:t>
      </w:r>
    </w:p>
    <w:p w14:paraId="6E08DE88" w14:textId="77777777" w:rsidR="003765A7" w:rsidRPr="0017602B" w:rsidRDefault="003765A7" w:rsidP="003765A7">
      <w:pPr>
        <w:numPr>
          <w:ilvl w:val="0"/>
          <w:numId w:val="26"/>
        </w:numPr>
        <w:spacing w:line="276" w:lineRule="auto"/>
      </w:pPr>
      <w:r w:rsidRPr="0017602B">
        <w:t xml:space="preserve">par darījumu iekšzemē, kura vērtība ir mazāka par 150 </w:t>
      </w:r>
      <w:proofErr w:type="spellStart"/>
      <w:r w:rsidRPr="0017602B">
        <w:rPr>
          <w:i/>
        </w:rPr>
        <w:t>euro</w:t>
      </w:r>
      <w:proofErr w:type="spellEnd"/>
      <w:r w:rsidRPr="0017602B">
        <w:t>;</w:t>
      </w:r>
    </w:p>
    <w:p w14:paraId="654DFD91" w14:textId="77777777" w:rsidR="003765A7" w:rsidRPr="0017602B" w:rsidRDefault="003765A7" w:rsidP="003765A7">
      <w:pPr>
        <w:numPr>
          <w:ilvl w:val="0"/>
          <w:numId w:val="26"/>
        </w:numPr>
        <w:spacing w:line="276" w:lineRule="auto"/>
      </w:pPr>
      <w:r w:rsidRPr="0017602B">
        <w:t>g</w:t>
      </w:r>
      <w:r>
        <w:t>adījumā, kad groza sākotnējo PVN</w:t>
      </w:r>
      <w:r w:rsidRPr="0017602B">
        <w:t xml:space="preserve"> rēķinu.</w:t>
      </w:r>
    </w:p>
    <w:p w14:paraId="7C058EBF" w14:textId="77777777" w:rsidR="003765A7" w:rsidRPr="0017602B" w:rsidRDefault="003765A7" w:rsidP="003765A7">
      <w:pPr>
        <w:spacing w:line="276" w:lineRule="auto"/>
        <w:ind w:firstLine="720"/>
      </w:pPr>
      <w:r w:rsidRPr="0017602B">
        <w:t>Saskaņā ar Padomes 2010.</w:t>
      </w:r>
      <w:r>
        <w:t> </w:t>
      </w:r>
      <w:r w:rsidRPr="0017602B">
        <w:t>gada 13.</w:t>
      </w:r>
      <w:r>
        <w:t> </w:t>
      </w:r>
      <w:r w:rsidRPr="0017602B">
        <w:t>jūlija Direktīvas 2010/45/ES, ar ko Direktīvu 2006/112/EK par kopējo pievienotās vērtības nodokļa sistēmu groza attiecībā uz rēķinu piesūtīšanas noteikumiem, 10.</w:t>
      </w:r>
      <w:r>
        <w:t xml:space="preserve"> apsvērumu </w:t>
      </w:r>
      <w:r w:rsidRPr="0017602B">
        <w:t xml:space="preserve">rēķiniem ir jāatbilst faktiskajām piegādēm, un tādējādi būtu jānodrošina to autentiskums, integritāte un salasāmība. Uzņēmējdarbības kontroli var izmantot, lai radītu uzticamu revīzijas izsekojamību, </w:t>
      </w:r>
      <w:r>
        <w:t xml:space="preserve">saistot savā starpā </w:t>
      </w:r>
      <w:r w:rsidRPr="0017602B">
        <w:t>rēķinus un piegādes,</w:t>
      </w:r>
      <w:r>
        <w:t xml:space="preserve"> tādējādi nodrošinot ikviena </w:t>
      </w:r>
      <w:r w:rsidRPr="0017602B">
        <w:t>rēķina (gan uz papīra, gan elektroniska) atbilstību šīm prasībām.</w:t>
      </w:r>
    </w:p>
    <w:p w14:paraId="7C4224E0" w14:textId="44A8F723" w:rsidR="003765A7" w:rsidRPr="0017602B" w:rsidRDefault="003765A7" w:rsidP="003765A7">
      <w:pPr>
        <w:spacing w:line="276" w:lineRule="auto"/>
        <w:ind w:firstLine="720"/>
      </w:pPr>
      <w:r w:rsidRPr="0017602B">
        <w:t>Tādējādi atbilstoši PVN direktīvas un Pievienotās vērtības nodokļa likuma regulējumam galvenā prasība gan papīra,</w:t>
      </w:r>
      <w:r>
        <w:t xml:space="preserve"> gan </w:t>
      </w:r>
      <w:r w:rsidR="00C17929">
        <w:t xml:space="preserve">elektroniskas formas </w:t>
      </w:r>
      <w:r>
        <w:t>rēķiniem ir tāda, ka PVN</w:t>
      </w:r>
      <w:r w:rsidRPr="0017602B">
        <w:t xml:space="preserve"> rēķina autentiskumu, satura integritāti un </w:t>
      </w:r>
      <w:r>
        <w:t>salasāmību ir jānodrošina no PVN</w:t>
      </w:r>
      <w:r w:rsidRPr="0017602B">
        <w:t xml:space="preserve"> rēķina izsniegšanas brīža līdz glabāšanas termiņa beigām. Veidu, kādā tiek nodrošināts </w:t>
      </w:r>
      <w:r>
        <w:t>PVN</w:t>
      </w:r>
      <w:r w:rsidRPr="0017602B">
        <w:t xml:space="preserve"> rēķina izcelsmes autentiskums (</w:t>
      </w:r>
      <w:r>
        <w:t>PVN</w:t>
      </w:r>
      <w:r w:rsidRPr="0017602B">
        <w:t xml:space="preserve"> rēķina izsniedzēja identitātes apliecinājums), nemainīgs saturs un salasāmība, nosaka pats PVN maksātājs, garantējot darījumu izsek</w:t>
      </w:r>
      <w:r>
        <w:t>ojamību, saistot savā starpā PVN</w:t>
      </w:r>
      <w:r w:rsidRPr="0017602B">
        <w:t xml:space="preserve"> rēķinu un veikto darījumu. </w:t>
      </w:r>
      <w:r w:rsidRPr="0017602B">
        <w:rPr>
          <w:vertAlign w:val="superscript"/>
        </w:rPr>
        <w:footnoteReference w:id="16"/>
      </w:r>
    </w:p>
    <w:p w14:paraId="108DB05F" w14:textId="5714DA23" w:rsidR="003765A7" w:rsidRPr="0017602B" w:rsidRDefault="003765A7" w:rsidP="003765A7">
      <w:pPr>
        <w:spacing w:line="276" w:lineRule="auto"/>
        <w:ind w:firstLine="720"/>
      </w:pPr>
      <w:r w:rsidRPr="0017602B">
        <w:t>Saskaņā ar Eiropas Komisijas</w:t>
      </w:r>
      <w:r>
        <w:t xml:space="preserve"> izdotajiem paskaidrojumiem “Nodokļa</w:t>
      </w:r>
      <w:r w:rsidRPr="0017602B">
        <w:t xml:space="preserve"> rēķinu piesūtīšanas noteikumi”, lai</w:t>
      </w:r>
      <w:r>
        <w:t xml:space="preserve"> PVN</w:t>
      </w:r>
      <w:r w:rsidRPr="0017602B">
        <w:t xml:space="preserve"> rēķinu varētu uzskatīt par </w:t>
      </w:r>
      <w:r w:rsidR="00335937">
        <w:t>e-</w:t>
      </w:r>
      <w:r w:rsidRPr="0017602B">
        <w:t>rēķinu saskaņā ar PVN direktīvu, tam jābūt izsniegtam un arī saņemtam jebkādā elektroniskā formātā. Formātu izvēlas PVN maksātāji. Pie šādiem veidiem pieder rēķini strukturētu ziņojumu veidā (piemēram, XML) vai citi elektroniskā formāta veidi (piemēram, e-pasts ar PDF pielikumu vai elektroniskā un nevis papīra formātā saņemts fakss).</w:t>
      </w:r>
      <w:r w:rsidRPr="0017602B">
        <w:rPr>
          <w:vertAlign w:val="superscript"/>
        </w:rPr>
        <w:footnoteReference w:id="17"/>
      </w:r>
    </w:p>
    <w:p w14:paraId="26B3DDE4" w14:textId="77777777" w:rsidR="003765A7" w:rsidRDefault="003765A7" w:rsidP="003765A7">
      <w:pPr>
        <w:spacing w:line="276" w:lineRule="auto"/>
        <w:ind w:firstLine="720"/>
      </w:pPr>
      <w:r w:rsidRPr="0017602B">
        <w:t>Atbilstoš</w:t>
      </w:r>
      <w:r>
        <w:t xml:space="preserve">i </w:t>
      </w:r>
      <w:r w:rsidRPr="0017602B">
        <w:t>Pievienotās vērtības nodokļa</w:t>
      </w:r>
      <w:r>
        <w:t xml:space="preserve"> likuma regulējumam par PVN</w:t>
      </w:r>
      <w:r w:rsidRPr="0017602B">
        <w:t xml:space="preserve"> rēķinu </w:t>
      </w:r>
      <w:r>
        <w:t>elektroniskajā formā uzskata PVN</w:t>
      </w:r>
      <w:r w:rsidRPr="0017602B">
        <w:t xml:space="preserve"> rēķinu, kas izsniegts un saņemts jebkādā elektroniskā veidā.</w:t>
      </w:r>
      <w:r w:rsidRPr="0017602B">
        <w:rPr>
          <w:vertAlign w:val="superscript"/>
        </w:rPr>
        <w:footnoteReference w:id="18"/>
      </w:r>
      <w:r w:rsidRPr="0017602B">
        <w:t xml:space="preserve"> </w:t>
      </w:r>
    </w:p>
    <w:p w14:paraId="5D544234" w14:textId="77777777" w:rsidR="003765A7" w:rsidRPr="0017602B" w:rsidRDefault="003765A7" w:rsidP="003765A7">
      <w:pPr>
        <w:spacing w:line="276" w:lineRule="auto"/>
        <w:ind w:firstLine="720"/>
      </w:pPr>
      <w:r w:rsidRPr="00C134F5">
        <w:t xml:space="preserve">Tādējādi, reģistrēts nodokļa maksātājs var izvēlēties </w:t>
      </w:r>
      <w:r>
        <w:t>PVN</w:t>
      </w:r>
      <w:r w:rsidRPr="00C134F5">
        <w:t xml:space="preserve"> rēķina formātu, piemēram, </w:t>
      </w:r>
      <w:r>
        <w:t>PVN</w:t>
      </w:r>
      <w:r w:rsidRPr="00C134F5">
        <w:t xml:space="preserve"> rēķinu var strukturēt ziņojuma veidā (XML formātā) vai PDF, JPG, DOC, XLS, MSG u.c. formātā, kas nosūtīts uz e-adresi vai klienta norādīto e-pasta </w:t>
      </w:r>
      <w:r w:rsidRPr="00C134F5">
        <w:lastRenderedPageBreak/>
        <w:t xml:space="preserve">adresi. Par elektroniskiem </w:t>
      </w:r>
      <w:r>
        <w:t>PVN</w:t>
      </w:r>
      <w:r w:rsidRPr="00C134F5">
        <w:t xml:space="preserve"> rēķiniem Latvijā uzskatāms arī papīra formāta </w:t>
      </w:r>
      <w:r>
        <w:t>PVN</w:t>
      </w:r>
      <w:r w:rsidRPr="00C134F5">
        <w:t xml:space="preserve"> rēķins, kas ieskenēts un nosūtīts vai saņemts izmantojot e-pastu un faksa sūtījums.</w:t>
      </w:r>
    </w:p>
    <w:p w14:paraId="047C9E95" w14:textId="77777777" w:rsidR="003765A7" w:rsidRPr="0017602B" w:rsidRDefault="003765A7" w:rsidP="003765A7">
      <w:pPr>
        <w:spacing w:line="276" w:lineRule="auto"/>
        <w:ind w:firstLine="720"/>
      </w:pPr>
      <w:r>
        <w:t>Pie tam PVN</w:t>
      </w:r>
      <w:r w:rsidRPr="0017602B">
        <w:t xml:space="preserve"> rēķina elektr</w:t>
      </w:r>
      <w:r>
        <w:t>oniskās formas autentiskumu (PVN</w:t>
      </w:r>
      <w:r w:rsidRPr="0017602B">
        <w:t xml:space="preserve"> rēķina izsniedzēja identitātes apliecinājumu) un nemainī</w:t>
      </w:r>
      <w:r>
        <w:t>gu saturu var nodrošināt, ja PVN</w:t>
      </w:r>
      <w:r w:rsidRPr="0017602B">
        <w:t xml:space="preserve"> rēķinam ir drošs elektroniskais paraksts Elektronisko dokumentu likuma </w:t>
      </w:r>
      <w:r>
        <w:t>izpratnē vai ja PVN</w:t>
      </w:r>
      <w:r w:rsidRPr="0017602B">
        <w:t xml:space="preserve"> rēķins ir nosūtīts, izmantojot elektronisko datu apmaiņu vai citu veidu, ko izvēlējies pats PVN maksātājs un kas garantē iepriekš minētās prasības.</w:t>
      </w:r>
      <w:r w:rsidRPr="0017602B">
        <w:rPr>
          <w:vertAlign w:val="superscript"/>
        </w:rPr>
        <w:footnoteReference w:id="19"/>
      </w:r>
    </w:p>
    <w:p w14:paraId="3BDC7DDD" w14:textId="7C5C72A9" w:rsidR="003765A7" w:rsidRPr="0017602B" w:rsidRDefault="003765A7" w:rsidP="003765A7">
      <w:pPr>
        <w:spacing w:line="276" w:lineRule="auto"/>
        <w:ind w:firstLine="720"/>
      </w:pPr>
      <w:r>
        <w:t>Reģistrēts PVN maksātājs PVN</w:t>
      </w:r>
      <w:r w:rsidRPr="0017602B">
        <w:t xml:space="preserve"> rēķinu elektroniskā formā ir tiesīgs izrakstīt (noformēt) un izsniegt tikai tad, ja šā </w:t>
      </w:r>
      <w:r>
        <w:t>PVN</w:t>
      </w:r>
      <w:r w:rsidRPr="0017602B">
        <w:t xml:space="preserve"> rēķina saņēmējs atzīst šādu </w:t>
      </w:r>
      <w:r>
        <w:t>PVN</w:t>
      </w:r>
      <w:r w:rsidRPr="0017602B">
        <w:t xml:space="preserve"> rēķina formu. Saskaņā ar Eiropas Komisijas izdotajiem paskaidrojumiem “</w:t>
      </w:r>
      <w:r>
        <w:t>N</w:t>
      </w:r>
      <w:r w:rsidRPr="00885081">
        <w:t>odokļa</w:t>
      </w:r>
      <w:r w:rsidRPr="0017602B">
        <w:t xml:space="preserve"> rēķinu piesūtīšanas noteikumi” šī prasība galvenokārt ir pamatota ar tehniskajām prasībām, kas vajadzīgas </w:t>
      </w:r>
      <w:r w:rsidR="00335937">
        <w:t>e-</w:t>
      </w:r>
      <w:r w:rsidRPr="0017602B">
        <w:t xml:space="preserve">rēķina saņemšanai, vai ar pircēja vai pakalpojumu saņēmēja spēju nodrošināt tādu rēķina izcelsmes autentiskumu, satura integritāti un salasāmību, kāda būtu jānodrošina, lai saņemtu </w:t>
      </w:r>
      <w:r w:rsidR="00335937">
        <w:t>e-</w:t>
      </w:r>
      <w:r w:rsidRPr="0017602B">
        <w:t xml:space="preserve">rēķinus, un kāda nepastāv attiecībā uz papīra rēķiniem. Ievērojot to, ka rēķini uz papīra un </w:t>
      </w:r>
      <w:r w:rsidR="00335937">
        <w:t>e-</w:t>
      </w:r>
      <w:r w:rsidRPr="0017602B">
        <w:t xml:space="preserve">rēķini būtu jāuzskata par vienlīdzīgiem, pircēja vai pakalpojumu saņēmēja akceptu </w:t>
      </w:r>
      <w:r w:rsidR="00335937">
        <w:t>e-</w:t>
      </w:r>
      <w:r w:rsidRPr="0017602B">
        <w:t xml:space="preserve">rēķinam var noteikt tāpat kā papīra rēķinam, ko uzskata par pircēja vai pakalpojumu saņēmēja akceptētu. Tas var būt oficiāls vai neoficiāls rakstisks apstiprinājums, vai piekrišana klusējot, kas izpaužas, piemēram, kā saņemtā rēķina apstrāde vai apmaksa. Jebkurā gadījumā lēmums par </w:t>
      </w:r>
      <w:r w:rsidR="00335937">
        <w:t>e-</w:t>
      </w:r>
      <w:r w:rsidRPr="0017602B">
        <w:t>rēķinu izmantošanu ir atkarīgs tikai no darījuma pušu vienošanās.</w:t>
      </w:r>
    </w:p>
    <w:p w14:paraId="14D568EB" w14:textId="77777777" w:rsidR="003765A7" w:rsidRPr="0017602B" w:rsidRDefault="003765A7" w:rsidP="003765A7">
      <w:pPr>
        <w:spacing w:line="276" w:lineRule="auto"/>
        <w:ind w:firstLine="720"/>
      </w:pPr>
      <w:r w:rsidRPr="0017602B">
        <w:t xml:space="preserve">Tā kā PVN direktīvā ir noteikts, ka </w:t>
      </w:r>
      <w:r>
        <w:t>PVN</w:t>
      </w:r>
      <w:r w:rsidRPr="0017602B">
        <w:t xml:space="preserve"> rēķini var būt gan papīra, gan elektroniskā formā, kā arī e-rēķina izmantošana notiek tikai ar saņēmēja piekrišanu, lai ieviestu obligātu e-rēķinu izmantošanu, dalībvalstij ir nepieciešams lūgt Eiropas Komisijai atkāpi no PVN direktīvas regulējuma. </w:t>
      </w:r>
    </w:p>
    <w:p w14:paraId="5A26CCD8" w14:textId="77777777" w:rsidR="003765A7" w:rsidRPr="0017602B" w:rsidRDefault="003765A7" w:rsidP="003765A7">
      <w:pPr>
        <w:spacing w:line="276" w:lineRule="auto"/>
        <w:ind w:firstLine="720"/>
      </w:pPr>
      <w:r w:rsidRPr="0017602B">
        <w:t>Atbilstoši PVN direktīvas 395.</w:t>
      </w:r>
      <w:r>
        <w:t> </w:t>
      </w:r>
      <w:r w:rsidRPr="0017602B">
        <w:t>pantam Eiropas Savienības Padome pēc Eiropas Komisijas priekšlikuma ar vienprātīgu lēmumu var atļaut jebkurai dalībvalstij ieviest īpašus pasākumus, lai atkāptos no PVN direktīvas noteikumiem ar nolūku vienkāršot PVN iekasēšanas procedūru vai lai nepieļautu noteiktu veidu nodokļu nemaksāšanu vai izvairīšanos no nodokļu maksāšanas. Lēmuma pieņemšanai dalībvalstij ir jāsniedz visa vajadzīgā informācija, lai Eiropas Komisija varētu izvērtēt dalībvalsts iesniegtā pieprasījuma pamatotību. Šāda atkāpe attiecībā uz e-rēķinu obligāto izmantošanu ir piešķirta Itālijai saskaņā ar Padomes Īstenoša</w:t>
      </w:r>
      <w:r>
        <w:t>nas lēmums (ES) 2018/593 (2018. </w:t>
      </w:r>
      <w:r w:rsidRPr="0017602B">
        <w:t>gada 16. aprīlis), ar ko Itālijas Republikai atļauj ieviest īpašu pasākumu, atkāpjoties no 218.</w:t>
      </w:r>
      <w:r>
        <w:t> </w:t>
      </w:r>
      <w:r w:rsidRPr="0017602B">
        <w:t>un 232.</w:t>
      </w:r>
      <w:r>
        <w:t> </w:t>
      </w:r>
      <w:r w:rsidRPr="0017602B">
        <w:t xml:space="preserve">panta Direktīvā 2006/112/EK par kopējo pievienotās vērtības nodokļa sistēmu, un tās mērķis ir apkarot krāpšanu un izvairīšanos no nodokļu maksāšanas, veicināt </w:t>
      </w:r>
      <w:proofErr w:type="spellStart"/>
      <w:r w:rsidRPr="0017602B">
        <w:t>digitalizācijas</w:t>
      </w:r>
      <w:proofErr w:type="spellEnd"/>
      <w:r w:rsidRPr="0017602B">
        <w:t xml:space="preserve"> centienus un vienkāršot nodokļu iekasēšanu.</w:t>
      </w:r>
    </w:p>
    <w:p w14:paraId="1D8D73A1" w14:textId="590B27DD" w:rsidR="003765A7" w:rsidRDefault="003765A7" w:rsidP="003765A7">
      <w:pPr>
        <w:spacing w:line="276" w:lineRule="auto"/>
        <w:ind w:firstLine="720"/>
      </w:pPr>
      <w:r w:rsidRPr="0017602B">
        <w:t>Līdz ar to, pieņem</w:t>
      </w:r>
      <w:r w:rsidR="00C17929">
        <w:t>ot</w:t>
      </w:r>
      <w:r w:rsidRPr="0017602B">
        <w:t xml:space="preserve"> lēmum</w:t>
      </w:r>
      <w:r w:rsidR="00C17929">
        <w:t>u</w:t>
      </w:r>
      <w:r w:rsidRPr="0017602B">
        <w:t xml:space="preserve"> ieviest obligāto e-rēķinu izmantošanu, Latvijai</w:t>
      </w:r>
      <w:r w:rsidR="00781CA0">
        <w:t xml:space="preserve"> būtu</w:t>
      </w:r>
      <w:r w:rsidRPr="0017602B">
        <w:t xml:space="preserve"> nepieciešams lūgt </w:t>
      </w:r>
      <w:r w:rsidR="00C17929">
        <w:t xml:space="preserve">Eiropas </w:t>
      </w:r>
      <w:r w:rsidR="00781CA0">
        <w:t>K</w:t>
      </w:r>
      <w:r w:rsidR="00C17929">
        <w:t xml:space="preserve">omisijai </w:t>
      </w:r>
      <w:r w:rsidRPr="0017602B">
        <w:t>atkāpi no PVN direktīvas vispārējā regulējuma</w:t>
      </w:r>
      <w:r w:rsidR="00781CA0" w:rsidRPr="00781CA0">
        <w:t>, lai arī PVN rēķini būtu izrakstāmi tikai elektroniskajā formā.</w:t>
      </w:r>
      <w:r w:rsidR="00781CA0">
        <w:t xml:space="preserve"> </w:t>
      </w:r>
      <w:r w:rsidR="00781CA0" w:rsidRPr="00781CA0">
        <w:t>Gadījumā, ja Eiropas Komisija atsaka atkāpes piešķiršanu, obligātā izmantošana būtu attiecināma tikai uz e-rēķiniem, kas vienlaicīgi var būt izmantojami arī kā PVN rēķin</w:t>
      </w:r>
      <w:r w:rsidR="00781CA0">
        <w:t>i</w:t>
      </w:r>
      <w:r w:rsidRPr="0017602B">
        <w:t>.</w:t>
      </w:r>
    </w:p>
    <w:p w14:paraId="48044B3E" w14:textId="77777777" w:rsidR="003765A7" w:rsidRDefault="003765A7" w:rsidP="003765A7">
      <w:pPr>
        <w:pStyle w:val="Heading2"/>
      </w:pPr>
      <w:bookmarkStart w:id="9" w:name="_Toc72136652"/>
      <w:r>
        <w:lastRenderedPageBreak/>
        <w:t>Kases čeki u.c. darījumu apliecinoši dokumenti</w:t>
      </w:r>
      <w:bookmarkEnd w:id="9"/>
    </w:p>
    <w:p w14:paraId="67C762E9" w14:textId="77777777" w:rsidR="003765A7" w:rsidRDefault="003765A7" w:rsidP="005E188E">
      <w:pPr>
        <w:rPr>
          <w:rFonts w:eastAsia="Times New Roman" w:cs="Times New Roman"/>
          <w:szCs w:val="24"/>
        </w:rPr>
      </w:pPr>
    </w:p>
    <w:p w14:paraId="672A793B" w14:textId="15D023F6" w:rsidR="003765A7" w:rsidRPr="00F119D8" w:rsidRDefault="003765A7" w:rsidP="003765A7">
      <w:pPr>
        <w:spacing w:line="276" w:lineRule="auto"/>
        <w:ind w:firstLine="720"/>
        <w:rPr>
          <w:rFonts w:eastAsia="Times New Roman" w:cs="Times New Roman"/>
          <w:szCs w:val="24"/>
        </w:rPr>
      </w:pPr>
      <w:r w:rsidRPr="00F119D8">
        <w:rPr>
          <w:rFonts w:eastAsia="Times New Roman" w:cs="Times New Roman"/>
          <w:szCs w:val="24"/>
        </w:rPr>
        <w:t>Ministru kabineta 2014.</w:t>
      </w:r>
      <w:r>
        <w:rPr>
          <w:rFonts w:eastAsia="Times New Roman" w:cs="Times New Roman"/>
          <w:szCs w:val="24"/>
        </w:rPr>
        <w:t> </w:t>
      </w:r>
      <w:r w:rsidRPr="00F119D8">
        <w:rPr>
          <w:rFonts w:eastAsia="Times New Roman" w:cs="Times New Roman"/>
          <w:szCs w:val="24"/>
        </w:rPr>
        <w:t>gada 11.</w:t>
      </w:r>
      <w:r>
        <w:rPr>
          <w:rFonts w:eastAsia="Times New Roman" w:cs="Times New Roman"/>
          <w:szCs w:val="24"/>
        </w:rPr>
        <w:t> </w:t>
      </w:r>
      <w:r w:rsidRPr="00F119D8">
        <w:rPr>
          <w:rFonts w:eastAsia="Times New Roman" w:cs="Times New Roman"/>
          <w:szCs w:val="24"/>
        </w:rPr>
        <w:t>februāra noteikumi Nr.</w:t>
      </w:r>
      <w:r>
        <w:rPr>
          <w:rFonts w:eastAsia="Times New Roman" w:cs="Times New Roman"/>
          <w:szCs w:val="24"/>
        </w:rPr>
        <w:t> </w:t>
      </w:r>
      <w:r w:rsidRPr="00F119D8">
        <w:rPr>
          <w:rFonts w:eastAsia="Times New Roman" w:cs="Times New Roman"/>
          <w:szCs w:val="24"/>
        </w:rPr>
        <w:t>96 nosaka darījumu apliecinošo dokumentu veidus. Nodokļu maksātāji par darījumiem saņemto samaksu apliecina ar darījumu apliecinošu dokumentu – kases čeku vai minētajos noteikumos noteiktos gadījumos, kad preču tirgotājs vai pakalpojumu sniedzējs drīkst darījumu reģistrācijai nelietot elektronisko ierīci vai iekārtu, ar VID reģistrētu kvīti (turpmāk - reģistrētā kvīts), elektroniski sagatavotu kvīti ar VID elektroniskās deklarēšanas sistēmā ģenerētu numuru (turpmāk – elektroniski sagatavotā reģistrētā kvīts), numurētu un VID reģistrētu biļeti (turpmāk – reģistrētā biļete) vai citu Ministru kabineta 2014.</w:t>
      </w:r>
      <w:r>
        <w:rPr>
          <w:rFonts w:eastAsia="Times New Roman" w:cs="Times New Roman"/>
          <w:szCs w:val="24"/>
        </w:rPr>
        <w:t> </w:t>
      </w:r>
      <w:r w:rsidRPr="00F119D8">
        <w:rPr>
          <w:rFonts w:eastAsia="Times New Roman" w:cs="Times New Roman"/>
          <w:szCs w:val="24"/>
        </w:rPr>
        <w:t>gada 11.</w:t>
      </w:r>
      <w:r>
        <w:rPr>
          <w:rFonts w:eastAsia="Times New Roman" w:cs="Times New Roman"/>
          <w:szCs w:val="24"/>
        </w:rPr>
        <w:t> </w:t>
      </w:r>
      <w:r w:rsidRPr="00F119D8">
        <w:rPr>
          <w:rFonts w:eastAsia="Times New Roman" w:cs="Times New Roman"/>
          <w:szCs w:val="24"/>
        </w:rPr>
        <w:t>februāra noteikumos Nr.</w:t>
      </w:r>
      <w:r>
        <w:rPr>
          <w:rFonts w:eastAsia="Times New Roman" w:cs="Times New Roman"/>
          <w:szCs w:val="24"/>
        </w:rPr>
        <w:t> </w:t>
      </w:r>
      <w:r w:rsidRPr="00F119D8">
        <w:rPr>
          <w:rFonts w:eastAsia="Times New Roman" w:cs="Times New Roman"/>
          <w:szCs w:val="24"/>
        </w:rPr>
        <w:t>96 noteiktu dokumentu.</w:t>
      </w:r>
    </w:p>
    <w:p w14:paraId="6379BE8C" w14:textId="1FB26B49" w:rsidR="003765A7" w:rsidRPr="00F119D8" w:rsidRDefault="003765A7" w:rsidP="003765A7">
      <w:pPr>
        <w:spacing w:line="276" w:lineRule="auto"/>
        <w:ind w:firstLine="720"/>
        <w:rPr>
          <w:rFonts w:eastAsia="Times New Roman" w:cs="Times New Roman"/>
          <w:szCs w:val="24"/>
        </w:rPr>
      </w:pPr>
      <w:r w:rsidRPr="00F119D8">
        <w:rPr>
          <w:rFonts w:eastAsia="Times New Roman" w:cs="Times New Roman"/>
          <w:szCs w:val="24"/>
        </w:rPr>
        <w:t>Kases čeka rekvizīti ir noteikti Ministru kabineta 2014.</w:t>
      </w:r>
      <w:r>
        <w:rPr>
          <w:rFonts w:eastAsia="Times New Roman" w:cs="Times New Roman"/>
          <w:szCs w:val="24"/>
        </w:rPr>
        <w:t> </w:t>
      </w:r>
      <w:r w:rsidRPr="00F119D8">
        <w:rPr>
          <w:rFonts w:eastAsia="Times New Roman" w:cs="Times New Roman"/>
          <w:szCs w:val="24"/>
        </w:rPr>
        <w:t>gada 11.</w:t>
      </w:r>
      <w:r>
        <w:rPr>
          <w:rFonts w:eastAsia="Times New Roman" w:cs="Times New Roman"/>
          <w:szCs w:val="24"/>
        </w:rPr>
        <w:t> </w:t>
      </w:r>
      <w:r w:rsidRPr="00F119D8">
        <w:rPr>
          <w:rFonts w:eastAsia="Times New Roman" w:cs="Times New Roman"/>
          <w:szCs w:val="24"/>
        </w:rPr>
        <w:t>februāra noteikumos Nr.</w:t>
      </w:r>
      <w:r>
        <w:rPr>
          <w:rFonts w:eastAsia="Times New Roman" w:cs="Times New Roman"/>
          <w:szCs w:val="24"/>
        </w:rPr>
        <w:t> </w:t>
      </w:r>
      <w:r w:rsidRPr="00F119D8">
        <w:rPr>
          <w:rFonts w:eastAsia="Times New Roman" w:cs="Times New Roman"/>
          <w:szCs w:val="24"/>
        </w:rPr>
        <w:t>95</w:t>
      </w:r>
      <w:r>
        <w:rPr>
          <w:rStyle w:val="FootnoteReference"/>
          <w:rFonts w:eastAsia="Times New Roman" w:cs="Times New Roman"/>
          <w:color w:val="414142"/>
          <w:szCs w:val="24"/>
        </w:rPr>
        <w:footnoteReference w:id="20"/>
      </w:r>
      <w:r>
        <w:rPr>
          <w:rFonts w:eastAsia="Times New Roman" w:cs="Times New Roman"/>
          <w:color w:val="414142"/>
          <w:szCs w:val="24"/>
        </w:rPr>
        <w:t xml:space="preserve">. </w:t>
      </w:r>
      <w:r w:rsidRPr="00F119D8">
        <w:rPr>
          <w:rFonts w:eastAsia="Times New Roman" w:cs="Times New Roman"/>
          <w:szCs w:val="24"/>
        </w:rPr>
        <w:t>Ministru kabineta 2014.</w:t>
      </w:r>
      <w:r>
        <w:rPr>
          <w:rFonts w:eastAsia="Times New Roman" w:cs="Times New Roman"/>
          <w:szCs w:val="24"/>
        </w:rPr>
        <w:t> </w:t>
      </w:r>
      <w:r w:rsidRPr="00F119D8">
        <w:rPr>
          <w:rFonts w:eastAsia="Times New Roman" w:cs="Times New Roman"/>
          <w:szCs w:val="24"/>
        </w:rPr>
        <w:t>gada 11.</w:t>
      </w:r>
      <w:r>
        <w:rPr>
          <w:rFonts w:eastAsia="Times New Roman" w:cs="Times New Roman"/>
          <w:szCs w:val="24"/>
        </w:rPr>
        <w:t> </w:t>
      </w:r>
      <w:r w:rsidRPr="00F119D8">
        <w:rPr>
          <w:rFonts w:eastAsia="Times New Roman" w:cs="Times New Roman"/>
          <w:szCs w:val="24"/>
        </w:rPr>
        <w:t>februāra noteikumi Nr.</w:t>
      </w:r>
      <w:r>
        <w:rPr>
          <w:rFonts w:eastAsia="Times New Roman" w:cs="Times New Roman"/>
          <w:szCs w:val="24"/>
        </w:rPr>
        <w:t> </w:t>
      </w:r>
      <w:r w:rsidRPr="00F119D8">
        <w:rPr>
          <w:rFonts w:eastAsia="Times New Roman" w:cs="Times New Roman"/>
          <w:szCs w:val="24"/>
        </w:rPr>
        <w:t>96 nosaka reģistrētajā kvītī, elektroniski sagatavotajā reģistrētajā kvītī un reģistrētajā biļetē obligāti norādāmos rekvizītus. Reģistrēto kvīti un reģistrēto biļeti izsniedz papīra formā. Reģistrēto kvīti paraksta preču pārdevējs vai pakalpojuma sniedzējs</w:t>
      </w:r>
      <w:r>
        <w:rPr>
          <w:rStyle w:val="FootnoteReference"/>
          <w:rFonts w:eastAsia="Times New Roman" w:cs="Times New Roman"/>
          <w:szCs w:val="24"/>
        </w:rPr>
        <w:footnoteReference w:id="21"/>
      </w:r>
      <w:r w:rsidRPr="00F119D8">
        <w:rPr>
          <w:rFonts w:eastAsia="Times New Roman" w:cs="Times New Roman"/>
          <w:szCs w:val="24"/>
        </w:rPr>
        <w:t xml:space="preserve">, reģistrēto biļeti nav jāparaksta. </w:t>
      </w:r>
    </w:p>
    <w:p w14:paraId="508FF333" w14:textId="77777777" w:rsidR="003765A7" w:rsidRPr="00F119D8" w:rsidRDefault="003765A7" w:rsidP="003765A7">
      <w:pPr>
        <w:spacing w:line="276" w:lineRule="auto"/>
        <w:ind w:firstLine="720"/>
        <w:rPr>
          <w:rFonts w:eastAsia="Times New Roman" w:cs="Times New Roman"/>
        </w:rPr>
      </w:pPr>
      <w:r w:rsidRPr="00F119D8">
        <w:rPr>
          <w:rFonts w:eastAsia="Times New Roman" w:cs="Times New Roman"/>
        </w:rPr>
        <w:t xml:space="preserve">Elektroniski sagatavoto reģistrēto kvīti </w:t>
      </w:r>
      <w:proofErr w:type="spellStart"/>
      <w:r w:rsidRPr="00F119D8">
        <w:rPr>
          <w:rFonts w:eastAsia="Times New Roman" w:cs="Times New Roman"/>
        </w:rPr>
        <w:t>nosūta</w:t>
      </w:r>
      <w:proofErr w:type="spellEnd"/>
      <w:r w:rsidRPr="00F119D8">
        <w:rPr>
          <w:rFonts w:eastAsia="Times New Roman" w:cs="Times New Roman"/>
        </w:rPr>
        <w:t xml:space="preserve"> klientam uz </w:t>
      </w:r>
      <w:r w:rsidRPr="76E9E50D">
        <w:rPr>
          <w:rFonts w:eastAsia="Times New Roman" w:cs="Times New Roman"/>
        </w:rPr>
        <w:t xml:space="preserve">e-adresi vai </w:t>
      </w:r>
      <w:r w:rsidRPr="00F119D8">
        <w:rPr>
          <w:rFonts w:eastAsia="Times New Roman" w:cs="Times New Roman"/>
        </w:rPr>
        <w:t>tā norādīto elektroniskās saziņas līdzekli vai arī izsniedz izdrukātu kvīts kopiju papīra formā. Elektroniski sagatavotajā reģistrētajā kvītī paraksta rekvizītu norāda atbilstoši Ministru kabineta 2014.</w:t>
      </w:r>
      <w:r>
        <w:rPr>
          <w:rFonts w:eastAsia="Times New Roman" w:cs="Times New Roman"/>
        </w:rPr>
        <w:t> </w:t>
      </w:r>
      <w:r w:rsidRPr="00F119D8">
        <w:rPr>
          <w:rFonts w:eastAsia="Times New Roman" w:cs="Times New Roman"/>
        </w:rPr>
        <w:t>gada 11.</w:t>
      </w:r>
      <w:r>
        <w:rPr>
          <w:rFonts w:eastAsia="Times New Roman" w:cs="Times New Roman"/>
        </w:rPr>
        <w:t> </w:t>
      </w:r>
      <w:r w:rsidRPr="00F119D8">
        <w:rPr>
          <w:rFonts w:eastAsia="Times New Roman" w:cs="Times New Roman"/>
        </w:rPr>
        <w:t>februāra noteikumu Nr.</w:t>
      </w:r>
      <w:r>
        <w:rPr>
          <w:rFonts w:eastAsia="Times New Roman" w:cs="Times New Roman"/>
        </w:rPr>
        <w:t> </w:t>
      </w:r>
      <w:r w:rsidRPr="00F119D8">
        <w:rPr>
          <w:rFonts w:eastAsia="Times New Roman" w:cs="Times New Roman"/>
        </w:rPr>
        <w:t>95 31.</w:t>
      </w:r>
      <w:r w:rsidRPr="00F119D8">
        <w:rPr>
          <w:rFonts w:eastAsia="Times New Roman" w:cs="Times New Roman"/>
          <w:vertAlign w:val="superscript"/>
        </w:rPr>
        <w:t>1</w:t>
      </w:r>
      <w:r w:rsidRPr="00F119D8">
        <w:rPr>
          <w:rFonts w:eastAsia="Times New Roman" w:cs="Times New Roman"/>
        </w:rPr>
        <w:t xml:space="preserve"> punkta nosacījumiem, tas ir, katrai elektroniski sagatavotajai reģistrētai kvītij atbilstoši “</w:t>
      </w:r>
      <w:proofErr w:type="spellStart"/>
      <w:r w:rsidRPr="00F119D8">
        <w:rPr>
          <w:rFonts w:eastAsia="Times New Roman" w:cs="Times New Roman"/>
        </w:rPr>
        <w:t>Secure</w:t>
      </w:r>
      <w:proofErr w:type="spellEnd"/>
      <w:r w:rsidRPr="00F119D8">
        <w:rPr>
          <w:rFonts w:eastAsia="Times New Roman" w:cs="Times New Roman"/>
        </w:rPr>
        <w:t xml:space="preserve"> </w:t>
      </w:r>
      <w:proofErr w:type="spellStart"/>
      <w:r w:rsidRPr="00F119D8">
        <w:rPr>
          <w:rFonts w:eastAsia="Times New Roman" w:cs="Times New Roman"/>
        </w:rPr>
        <w:t>Hash</w:t>
      </w:r>
      <w:proofErr w:type="spellEnd"/>
      <w:r w:rsidRPr="00F119D8">
        <w:rPr>
          <w:rFonts w:eastAsia="Times New Roman" w:cs="Times New Roman"/>
        </w:rPr>
        <w:t xml:space="preserve"> Standard (SHS) (FIPS PUB 180-4)” standartam jāaprēķina </w:t>
      </w:r>
      <w:proofErr w:type="spellStart"/>
      <w:r w:rsidRPr="00F119D8">
        <w:rPr>
          <w:rFonts w:eastAsia="Times New Roman" w:cs="Times New Roman"/>
        </w:rPr>
        <w:t>Hash</w:t>
      </w:r>
      <w:proofErr w:type="spellEnd"/>
      <w:r w:rsidRPr="00F119D8">
        <w:rPr>
          <w:rFonts w:eastAsia="Times New Roman" w:cs="Times New Roman"/>
        </w:rPr>
        <w:t xml:space="preserve"> SHA-1 vai </w:t>
      </w:r>
      <w:proofErr w:type="spellStart"/>
      <w:r w:rsidRPr="00F119D8">
        <w:rPr>
          <w:rFonts w:eastAsia="Times New Roman" w:cs="Times New Roman"/>
        </w:rPr>
        <w:t>Hash</w:t>
      </w:r>
      <w:proofErr w:type="spellEnd"/>
      <w:r w:rsidRPr="00F119D8">
        <w:rPr>
          <w:rFonts w:eastAsia="Times New Roman" w:cs="Times New Roman"/>
        </w:rPr>
        <w:t xml:space="preserve"> SHA-256 kontrolsumma. Katras reģistrētās elektroniskās kvīts </w:t>
      </w:r>
      <w:proofErr w:type="spellStart"/>
      <w:r w:rsidRPr="00F119D8">
        <w:rPr>
          <w:rFonts w:eastAsia="Times New Roman" w:cs="Times New Roman"/>
        </w:rPr>
        <w:t>Hash</w:t>
      </w:r>
      <w:proofErr w:type="spellEnd"/>
      <w:r w:rsidRPr="00F119D8">
        <w:rPr>
          <w:rFonts w:eastAsia="Times New Roman" w:cs="Times New Roman"/>
        </w:rPr>
        <w:t xml:space="preserve"> SHA-1 vai </w:t>
      </w:r>
      <w:proofErr w:type="spellStart"/>
      <w:r w:rsidRPr="00F119D8">
        <w:rPr>
          <w:rFonts w:eastAsia="Times New Roman" w:cs="Times New Roman"/>
        </w:rPr>
        <w:t>Hash</w:t>
      </w:r>
      <w:proofErr w:type="spellEnd"/>
      <w:r w:rsidRPr="00F119D8">
        <w:rPr>
          <w:rFonts w:eastAsia="Times New Roman" w:cs="Times New Roman"/>
        </w:rPr>
        <w:t xml:space="preserve"> SHA-256 aprēķinu veic no visiem Ministru kabineta 2014.</w:t>
      </w:r>
      <w:r>
        <w:rPr>
          <w:rFonts w:eastAsia="Times New Roman" w:cs="Times New Roman"/>
        </w:rPr>
        <w:t> </w:t>
      </w:r>
      <w:r w:rsidRPr="00F119D8">
        <w:rPr>
          <w:rFonts w:eastAsia="Times New Roman" w:cs="Times New Roman"/>
        </w:rPr>
        <w:t>gada 11.</w:t>
      </w:r>
      <w:r>
        <w:rPr>
          <w:rFonts w:eastAsia="Times New Roman" w:cs="Times New Roman"/>
        </w:rPr>
        <w:t> </w:t>
      </w:r>
      <w:r w:rsidRPr="00F119D8">
        <w:rPr>
          <w:rFonts w:eastAsia="Times New Roman" w:cs="Times New Roman"/>
        </w:rPr>
        <w:t>februāra noteikumu Nr.</w:t>
      </w:r>
      <w:r>
        <w:rPr>
          <w:rFonts w:eastAsia="Times New Roman" w:cs="Times New Roman"/>
        </w:rPr>
        <w:t> </w:t>
      </w:r>
      <w:r w:rsidRPr="00F119D8">
        <w:rPr>
          <w:rFonts w:eastAsia="Times New Roman" w:cs="Times New Roman"/>
        </w:rPr>
        <w:t>95 1.</w:t>
      </w:r>
      <w:r>
        <w:rPr>
          <w:rFonts w:eastAsia="Times New Roman" w:cs="Times New Roman"/>
        </w:rPr>
        <w:t> </w:t>
      </w:r>
      <w:r w:rsidRPr="00F119D8">
        <w:rPr>
          <w:rFonts w:eastAsia="Times New Roman" w:cs="Times New Roman"/>
        </w:rPr>
        <w:t>pielikumā definētajiem laukiem (vārdu “</w:t>
      </w:r>
      <w:proofErr w:type="spellStart"/>
      <w:r w:rsidRPr="00F119D8">
        <w:rPr>
          <w:rFonts w:eastAsia="Times New Roman" w:cs="Times New Roman"/>
        </w:rPr>
        <w:t>Ceks</w:t>
      </w:r>
      <w:proofErr w:type="spellEnd"/>
      <w:r w:rsidRPr="00F119D8">
        <w:rPr>
          <w:rFonts w:eastAsia="Times New Roman" w:cs="Times New Roman"/>
        </w:rPr>
        <w:t>” aizstājot ar vārdu “</w:t>
      </w:r>
      <w:proofErr w:type="spellStart"/>
      <w:r w:rsidRPr="00F119D8">
        <w:rPr>
          <w:rFonts w:eastAsia="Times New Roman" w:cs="Times New Roman"/>
        </w:rPr>
        <w:t>Kvits</w:t>
      </w:r>
      <w:proofErr w:type="spellEnd"/>
      <w:r w:rsidRPr="00F119D8">
        <w:rPr>
          <w:rFonts w:eastAsia="Times New Roman" w:cs="Times New Roman"/>
        </w:rPr>
        <w:t>”) numuru augošā secībā, kuri atbilst Ministru kabineta noteikumu Nr.</w:t>
      </w:r>
      <w:r>
        <w:rPr>
          <w:rFonts w:eastAsia="Times New Roman" w:cs="Times New Roman"/>
        </w:rPr>
        <w:t> </w:t>
      </w:r>
      <w:r w:rsidRPr="00F119D8">
        <w:rPr>
          <w:rFonts w:eastAsia="Times New Roman" w:cs="Times New Roman"/>
        </w:rPr>
        <w:t xml:space="preserve">96 noteiktajiem reģistrētās kvīts rekvizītiem. Tādējādi elektroniski sagatavotās reģistrētās kvītis satur </w:t>
      </w:r>
      <w:proofErr w:type="spellStart"/>
      <w:r w:rsidRPr="00F119D8">
        <w:rPr>
          <w:rFonts w:eastAsia="Times New Roman" w:cs="Times New Roman"/>
        </w:rPr>
        <w:t>blokķēdes</w:t>
      </w:r>
      <w:proofErr w:type="spellEnd"/>
      <w:r w:rsidRPr="00F119D8">
        <w:rPr>
          <w:rFonts w:eastAsia="Times New Roman" w:cs="Times New Roman"/>
        </w:rPr>
        <w:t xml:space="preserve"> risinājumu.</w:t>
      </w:r>
    </w:p>
    <w:p w14:paraId="3D71CC69" w14:textId="77777777" w:rsidR="003765A7" w:rsidRPr="00F119D8" w:rsidRDefault="003765A7" w:rsidP="003765A7">
      <w:pPr>
        <w:spacing w:line="276" w:lineRule="auto"/>
        <w:ind w:firstLine="720"/>
        <w:rPr>
          <w:rStyle w:val="Hyperlink"/>
          <w:rFonts w:eastAsia="Times New Roman" w:cs="Times New Roman"/>
          <w:szCs w:val="24"/>
          <w:vertAlign w:val="superscript"/>
        </w:rPr>
      </w:pPr>
      <w:r w:rsidRPr="00F119D8">
        <w:rPr>
          <w:rFonts w:eastAsia="Times New Roman" w:cs="Times New Roman"/>
          <w:szCs w:val="24"/>
        </w:rPr>
        <w:t xml:space="preserve">Kases čeku vai citu dokumentu var izmantot arī kā </w:t>
      </w:r>
      <w:r>
        <w:rPr>
          <w:rFonts w:eastAsia="Times New Roman" w:cs="Times New Roman"/>
          <w:szCs w:val="24"/>
        </w:rPr>
        <w:t>PVN</w:t>
      </w:r>
      <w:r w:rsidRPr="00F119D8">
        <w:rPr>
          <w:rFonts w:eastAsia="Times New Roman" w:cs="Times New Roman"/>
          <w:szCs w:val="24"/>
        </w:rPr>
        <w:t xml:space="preserve"> rēķinu vai vienkāršoto </w:t>
      </w:r>
      <w:r>
        <w:rPr>
          <w:rFonts w:eastAsia="Times New Roman" w:cs="Times New Roman"/>
          <w:szCs w:val="24"/>
        </w:rPr>
        <w:t>PVN</w:t>
      </w:r>
      <w:r w:rsidRPr="00F119D8">
        <w:rPr>
          <w:rFonts w:eastAsia="Times New Roman" w:cs="Times New Roman"/>
          <w:szCs w:val="24"/>
        </w:rPr>
        <w:t xml:space="preserve"> rēķinu, ja tajā ir norādīti visi </w:t>
      </w:r>
      <w:r>
        <w:rPr>
          <w:rFonts w:eastAsia="Times New Roman" w:cs="Times New Roman"/>
          <w:szCs w:val="24"/>
        </w:rPr>
        <w:t>PVN</w:t>
      </w:r>
      <w:r w:rsidRPr="00F119D8">
        <w:rPr>
          <w:rFonts w:eastAsia="Times New Roman" w:cs="Times New Roman"/>
          <w:szCs w:val="24"/>
        </w:rPr>
        <w:t xml:space="preserve"> rēķina vai vienkāršotā </w:t>
      </w:r>
      <w:r>
        <w:rPr>
          <w:rFonts w:eastAsia="Times New Roman" w:cs="Times New Roman"/>
          <w:szCs w:val="24"/>
        </w:rPr>
        <w:t>PVN</w:t>
      </w:r>
      <w:r w:rsidRPr="00F119D8">
        <w:rPr>
          <w:rFonts w:eastAsia="Times New Roman" w:cs="Times New Roman"/>
          <w:szCs w:val="24"/>
        </w:rPr>
        <w:t xml:space="preserve"> rēķina obligātie rekvizīti. Kases čeku vai citu dokumentu, kurā nav norādīti visi </w:t>
      </w:r>
      <w:r>
        <w:rPr>
          <w:rFonts w:eastAsia="Times New Roman" w:cs="Times New Roman"/>
          <w:szCs w:val="24"/>
        </w:rPr>
        <w:t>PVN</w:t>
      </w:r>
      <w:r w:rsidRPr="00F119D8">
        <w:rPr>
          <w:rFonts w:eastAsia="Times New Roman" w:cs="Times New Roman"/>
          <w:szCs w:val="24"/>
        </w:rPr>
        <w:t xml:space="preserve"> rēķina vai vienkāršotā </w:t>
      </w:r>
      <w:r>
        <w:rPr>
          <w:rFonts w:eastAsia="Times New Roman" w:cs="Times New Roman"/>
          <w:szCs w:val="24"/>
        </w:rPr>
        <w:t>PVN</w:t>
      </w:r>
      <w:r w:rsidRPr="00F119D8">
        <w:rPr>
          <w:rFonts w:eastAsia="Times New Roman" w:cs="Times New Roman"/>
          <w:szCs w:val="24"/>
        </w:rPr>
        <w:t xml:space="preserve"> rēķina rekvizīti, var izmantot par </w:t>
      </w:r>
      <w:r>
        <w:rPr>
          <w:rFonts w:eastAsia="Times New Roman" w:cs="Times New Roman"/>
          <w:szCs w:val="24"/>
        </w:rPr>
        <w:t>PVN</w:t>
      </w:r>
      <w:r w:rsidRPr="00F119D8">
        <w:rPr>
          <w:rFonts w:eastAsia="Times New Roman" w:cs="Times New Roman"/>
          <w:szCs w:val="24"/>
        </w:rPr>
        <w:t xml:space="preserve"> rēķinu vai vienkāršoto </w:t>
      </w:r>
      <w:r>
        <w:rPr>
          <w:rFonts w:eastAsia="Times New Roman" w:cs="Times New Roman"/>
          <w:szCs w:val="24"/>
        </w:rPr>
        <w:t>PVN</w:t>
      </w:r>
      <w:r w:rsidRPr="00F119D8">
        <w:rPr>
          <w:rFonts w:eastAsia="Times New Roman" w:cs="Times New Roman"/>
          <w:szCs w:val="24"/>
        </w:rPr>
        <w:t xml:space="preserve"> rēķinu, ja tam pievieno attaisnojuma dokumentu, kurā ir norādīti </w:t>
      </w:r>
      <w:r>
        <w:rPr>
          <w:rFonts w:eastAsia="Times New Roman" w:cs="Times New Roman"/>
          <w:szCs w:val="24"/>
        </w:rPr>
        <w:t>PVN</w:t>
      </w:r>
      <w:r w:rsidRPr="00F119D8">
        <w:rPr>
          <w:rFonts w:eastAsia="Times New Roman" w:cs="Times New Roman"/>
          <w:szCs w:val="24"/>
        </w:rPr>
        <w:t xml:space="preserve"> rēķina vai vienkāršotā </w:t>
      </w:r>
      <w:r>
        <w:rPr>
          <w:rFonts w:eastAsia="Times New Roman" w:cs="Times New Roman"/>
          <w:szCs w:val="24"/>
        </w:rPr>
        <w:t>PVN</w:t>
      </w:r>
      <w:r w:rsidRPr="00F119D8">
        <w:rPr>
          <w:rFonts w:eastAsia="Times New Roman" w:cs="Times New Roman"/>
          <w:szCs w:val="24"/>
        </w:rPr>
        <w:t xml:space="preserve"> rēķina rekvizīti, kā arī kases čeka vai cita dokumenta datums un numurs.</w:t>
      </w:r>
      <w:r>
        <w:rPr>
          <w:rStyle w:val="FootnoteReference"/>
          <w:rFonts w:eastAsia="Times New Roman" w:cs="Times New Roman"/>
          <w:szCs w:val="24"/>
        </w:rPr>
        <w:footnoteReference w:id="22"/>
      </w:r>
      <w:r w:rsidRPr="00F119D8">
        <w:rPr>
          <w:rFonts w:eastAsia="Times New Roman" w:cs="Times New Roman"/>
          <w:szCs w:val="24"/>
        </w:rPr>
        <w:t xml:space="preserve"> Par vienkāršoto </w:t>
      </w:r>
      <w:r>
        <w:rPr>
          <w:rFonts w:eastAsia="Times New Roman" w:cs="Times New Roman"/>
          <w:szCs w:val="24"/>
        </w:rPr>
        <w:t>PVN</w:t>
      </w:r>
      <w:r w:rsidRPr="00F119D8">
        <w:rPr>
          <w:rFonts w:eastAsia="Times New Roman" w:cs="Times New Roman"/>
          <w:szCs w:val="24"/>
        </w:rPr>
        <w:t xml:space="preserve"> rēķinu var izmantot arī kases čeku vai citu dokumentu, </w:t>
      </w:r>
      <w:r w:rsidRPr="00F119D8">
        <w:rPr>
          <w:rFonts w:eastAsia="Times New Roman" w:cs="Times New Roman"/>
          <w:szCs w:val="24"/>
        </w:rPr>
        <w:lastRenderedPageBreak/>
        <w:t xml:space="preserve">kurā nav ietverti visi vienkāršotā </w:t>
      </w:r>
      <w:r>
        <w:rPr>
          <w:rFonts w:eastAsia="Times New Roman" w:cs="Times New Roman"/>
          <w:szCs w:val="24"/>
        </w:rPr>
        <w:t>PVN</w:t>
      </w:r>
      <w:r w:rsidRPr="00F119D8">
        <w:rPr>
          <w:rFonts w:eastAsia="Times New Roman" w:cs="Times New Roman"/>
          <w:szCs w:val="24"/>
        </w:rPr>
        <w:t xml:space="preserve"> rēķina rekvizīti, ja tas izsniegts par darījumu, kura vērtība bez </w:t>
      </w:r>
      <w:r>
        <w:rPr>
          <w:rFonts w:eastAsia="Times New Roman" w:cs="Times New Roman"/>
          <w:szCs w:val="24"/>
        </w:rPr>
        <w:t>PVN</w:t>
      </w:r>
      <w:r w:rsidRPr="00F119D8">
        <w:rPr>
          <w:rFonts w:eastAsia="Times New Roman" w:cs="Times New Roman"/>
          <w:szCs w:val="24"/>
        </w:rPr>
        <w:t xml:space="preserve"> ir mazāka par 30 </w:t>
      </w:r>
      <w:proofErr w:type="spellStart"/>
      <w:r w:rsidRPr="00883574">
        <w:rPr>
          <w:rFonts w:eastAsia="Times New Roman" w:cs="Times New Roman"/>
          <w:i/>
          <w:szCs w:val="24"/>
        </w:rPr>
        <w:t>euro</w:t>
      </w:r>
      <w:proofErr w:type="spellEnd"/>
      <w:r w:rsidRPr="00F119D8">
        <w:rPr>
          <w:rFonts w:eastAsia="Times New Roman" w:cs="Times New Roman"/>
          <w:szCs w:val="24"/>
        </w:rPr>
        <w:t>.</w:t>
      </w:r>
      <w:r>
        <w:rPr>
          <w:rStyle w:val="FootnoteReference"/>
          <w:rFonts w:eastAsia="Times New Roman" w:cs="Times New Roman"/>
          <w:szCs w:val="24"/>
        </w:rPr>
        <w:footnoteReference w:id="23"/>
      </w:r>
      <w:hyperlink r:id="rId11" w:anchor="_ftn4" w:history="1"/>
    </w:p>
    <w:p w14:paraId="51BBACAA" w14:textId="77777777" w:rsidR="003765A7" w:rsidRPr="00F119D8" w:rsidRDefault="003765A7" w:rsidP="003765A7">
      <w:pPr>
        <w:spacing w:line="276" w:lineRule="auto"/>
        <w:ind w:firstLine="720"/>
        <w:rPr>
          <w:rFonts w:eastAsia="Times New Roman" w:cs="Times New Roman"/>
          <w:szCs w:val="24"/>
        </w:rPr>
      </w:pPr>
      <w:r w:rsidRPr="00F119D8">
        <w:rPr>
          <w:rFonts w:eastAsia="Times New Roman" w:cs="Times New Roman"/>
          <w:szCs w:val="24"/>
        </w:rPr>
        <w:t>Kases čeku vai citu darījumu apliecinošo dokumentu var izmantot par naudas izdevumus apliecinošu dokumentu, ja:</w:t>
      </w:r>
    </w:p>
    <w:p w14:paraId="27DBCB67" w14:textId="77777777" w:rsidR="003765A7" w:rsidRDefault="003765A7" w:rsidP="003765A7">
      <w:pPr>
        <w:pStyle w:val="ListParagraph"/>
        <w:numPr>
          <w:ilvl w:val="0"/>
          <w:numId w:val="31"/>
        </w:numPr>
        <w:spacing w:line="276" w:lineRule="auto"/>
        <w:rPr>
          <w:rFonts w:asciiTheme="minorHAnsi" w:eastAsiaTheme="minorEastAsia" w:hAnsiTheme="minorHAnsi"/>
          <w:szCs w:val="24"/>
        </w:rPr>
      </w:pPr>
      <w:r w:rsidRPr="00F119D8">
        <w:rPr>
          <w:rFonts w:eastAsia="Times New Roman" w:cs="Times New Roman"/>
          <w:szCs w:val="24"/>
        </w:rPr>
        <w:t>kases čeks satur visus attaisnojuma dokumentam nepieciešamos rekvizītus, izņemot rekvizītu – autora paraksts;</w:t>
      </w:r>
    </w:p>
    <w:p w14:paraId="3616F97F" w14:textId="77777777" w:rsidR="003765A7" w:rsidRDefault="003765A7" w:rsidP="003765A7">
      <w:pPr>
        <w:pStyle w:val="ListParagraph"/>
        <w:numPr>
          <w:ilvl w:val="0"/>
          <w:numId w:val="31"/>
        </w:numPr>
        <w:spacing w:line="276" w:lineRule="auto"/>
        <w:rPr>
          <w:rFonts w:asciiTheme="minorHAnsi" w:eastAsiaTheme="minorEastAsia" w:hAnsiTheme="minorHAnsi"/>
          <w:szCs w:val="24"/>
        </w:rPr>
      </w:pPr>
      <w:r w:rsidRPr="00F119D8">
        <w:rPr>
          <w:rFonts w:eastAsia="Times New Roman" w:cs="Times New Roman"/>
          <w:szCs w:val="24"/>
        </w:rPr>
        <w:t>ja kases čekā nav visi attaisnojuma dokumentam nepieciešamie rekvizīti un informācija, bet ir:</w:t>
      </w:r>
    </w:p>
    <w:p w14:paraId="2A6E5721" w14:textId="77777777" w:rsidR="003765A7" w:rsidRDefault="003765A7" w:rsidP="003765A7">
      <w:pPr>
        <w:pStyle w:val="ListParagraph"/>
        <w:numPr>
          <w:ilvl w:val="1"/>
          <w:numId w:val="30"/>
        </w:numPr>
        <w:spacing w:line="276" w:lineRule="auto"/>
        <w:rPr>
          <w:rFonts w:asciiTheme="minorHAnsi" w:eastAsiaTheme="minorEastAsia" w:hAnsiTheme="minorHAnsi"/>
          <w:szCs w:val="24"/>
        </w:rPr>
      </w:pPr>
      <w:r w:rsidRPr="00F119D8">
        <w:rPr>
          <w:rFonts w:eastAsia="Times New Roman" w:cs="Times New Roman"/>
          <w:szCs w:val="24"/>
        </w:rPr>
        <w:t>kases čeka izsniedzēja noformēts attaisnojuma dokuments, kurā papildus attaisnojuma dokumentā norādāmajiem rekvizītiem ir norādīts kases čeka datumus un numurs;</w:t>
      </w:r>
    </w:p>
    <w:p w14:paraId="6611463B" w14:textId="77777777" w:rsidR="003765A7" w:rsidRDefault="003765A7" w:rsidP="003765A7">
      <w:pPr>
        <w:pStyle w:val="ListParagraph"/>
        <w:numPr>
          <w:ilvl w:val="1"/>
          <w:numId w:val="30"/>
        </w:numPr>
        <w:spacing w:line="276" w:lineRule="auto"/>
        <w:rPr>
          <w:rStyle w:val="Hyperlink"/>
          <w:rFonts w:asciiTheme="minorHAnsi" w:eastAsiaTheme="minorEastAsia" w:hAnsiTheme="minorHAnsi"/>
          <w:szCs w:val="24"/>
        </w:rPr>
      </w:pPr>
      <w:r w:rsidRPr="00F119D8">
        <w:rPr>
          <w:rFonts w:eastAsia="Times New Roman" w:cs="Times New Roman"/>
          <w:szCs w:val="24"/>
        </w:rPr>
        <w:t>papildu ieraksti ar kases čekā neietvertajiem attaisnojuma dokumentam nepieciešamajiem rekvizītiem, kas apstiprināti ar kases čeka izsniedzēja parakstu, paraksta atšifrējumu, ja kases čekā tas nav norādīts, un spiedogu, kurā norādīts kases čeka izsniedzēja uzņēmuma nosaukums, nodokļu maksātāja reģistrācijas numurs un juridiskā adrese.</w:t>
      </w:r>
      <w:r>
        <w:rPr>
          <w:rStyle w:val="FootnoteReference"/>
          <w:rFonts w:eastAsia="Times New Roman" w:cs="Times New Roman"/>
          <w:szCs w:val="24"/>
        </w:rPr>
        <w:footnoteReference w:id="24"/>
      </w:r>
      <w:hyperlink r:id="rId12" w:anchor="_ftn5" w:history="1"/>
    </w:p>
    <w:p w14:paraId="3FC03CF2" w14:textId="77777777" w:rsidR="003765A7" w:rsidRPr="00F119D8" w:rsidRDefault="003765A7" w:rsidP="003765A7">
      <w:pPr>
        <w:spacing w:line="276" w:lineRule="auto"/>
        <w:ind w:firstLine="720"/>
        <w:rPr>
          <w:rFonts w:eastAsia="Times New Roman" w:cs="Times New Roman"/>
          <w:szCs w:val="24"/>
        </w:rPr>
      </w:pPr>
      <w:r w:rsidRPr="00F119D8">
        <w:rPr>
          <w:rFonts w:eastAsia="Times New Roman" w:cs="Times New Roman"/>
          <w:szCs w:val="24"/>
        </w:rPr>
        <w:t>Par naudas izdevumus apliecinošu dokumentu var izmantot arī:</w:t>
      </w:r>
    </w:p>
    <w:p w14:paraId="4CEEDEE3" w14:textId="77777777" w:rsidR="003765A7" w:rsidRDefault="003765A7" w:rsidP="003765A7">
      <w:pPr>
        <w:pStyle w:val="ListParagraph"/>
        <w:numPr>
          <w:ilvl w:val="0"/>
          <w:numId w:val="31"/>
        </w:numPr>
        <w:spacing w:line="276" w:lineRule="auto"/>
        <w:rPr>
          <w:rFonts w:asciiTheme="minorHAnsi" w:eastAsiaTheme="minorEastAsia" w:hAnsiTheme="minorHAnsi"/>
          <w:szCs w:val="24"/>
        </w:rPr>
      </w:pPr>
      <w:r w:rsidRPr="00F119D8">
        <w:rPr>
          <w:rFonts w:eastAsia="Times New Roman" w:cs="Times New Roman"/>
          <w:szCs w:val="24"/>
        </w:rPr>
        <w:t xml:space="preserve">kases čeku, kas uzskatāms par </w:t>
      </w:r>
      <w:r>
        <w:rPr>
          <w:rFonts w:eastAsia="Times New Roman" w:cs="Times New Roman"/>
          <w:szCs w:val="24"/>
        </w:rPr>
        <w:t>PVN</w:t>
      </w:r>
      <w:r w:rsidRPr="00F119D8">
        <w:rPr>
          <w:rFonts w:eastAsia="Times New Roman" w:cs="Times New Roman"/>
          <w:szCs w:val="24"/>
        </w:rPr>
        <w:t xml:space="preserve"> rēķinu;</w:t>
      </w:r>
    </w:p>
    <w:p w14:paraId="02E9958B" w14:textId="6ACF7AF0" w:rsidR="003765A7" w:rsidRDefault="003765A7" w:rsidP="003765A7">
      <w:pPr>
        <w:pStyle w:val="ListParagraph"/>
        <w:numPr>
          <w:ilvl w:val="0"/>
          <w:numId w:val="31"/>
        </w:numPr>
        <w:spacing w:line="276" w:lineRule="auto"/>
        <w:rPr>
          <w:rFonts w:asciiTheme="minorHAnsi" w:eastAsiaTheme="minorEastAsia" w:hAnsiTheme="minorHAnsi"/>
          <w:szCs w:val="24"/>
        </w:rPr>
      </w:pPr>
      <w:r w:rsidRPr="00F119D8">
        <w:rPr>
          <w:rFonts w:eastAsia="Times New Roman" w:cs="Times New Roman"/>
          <w:szCs w:val="24"/>
        </w:rPr>
        <w:t xml:space="preserve">kases čeku, kas izsniegts (saņemts) no kases sistēmas, specializētas ierīces vai iekārtas bez kasiera operatora līdzdalības un kurā nav ietverts preču vai pakalpojumu saņēmēja nosaukums, juridiskā adrese un reģistrācijas numurs, ja kases čeks izsniegts par darījumu, kura vērtība bez PVN ir mazāka par </w:t>
      </w:r>
      <w:r w:rsidR="0028608F">
        <w:rPr>
          <w:rFonts w:eastAsia="Times New Roman" w:cs="Times New Roman"/>
          <w:szCs w:val="24"/>
        </w:rPr>
        <w:t>30</w:t>
      </w:r>
      <w:r w:rsidR="0028608F" w:rsidRPr="00F119D8">
        <w:rPr>
          <w:rFonts w:eastAsia="Times New Roman" w:cs="Times New Roman"/>
          <w:szCs w:val="24"/>
        </w:rPr>
        <w:t xml:space="preserve"> </w:t>
      </w:r>
      <w:proofErr w:type="spellStart"/>
      <w:r w:rsidRPr="00883574">
        <w:rPr>
          <w:rFonts w:eastAsia="Times New Roman" w:cs="Times New Roman"/>
          <w:i/>
          <w:szCs w:val="24"/>
        </w:rPr>
        <w:t>euro</w:t>
      </w:r>
      <w:proofErr w:type="spellEnd"/>
      <w:r w:rsidRPr="00F119D8">
        <w:rPr>
          <w:rFonts w:eastAsia="Times New Roman" w:cs="Times New Roman"/>
          <w:szCs w:val="24"/>
        </w:rPr>
        <w:t>;</w:t>
      </w:r>
    </w:p>
    <w:p w14:paraId="561A9843" w14:textId="77777777" w:rsidR="003765A7" w:rsidRDefault="003765A7" w:rsidP="003765A7">
      <w:pPr>
        <w:pStyle w:val="ListParagraph"/>
        <w:numPr>
          <w:ilvl w:val="0"/>
          <w:numId w:val="31"/>
        </w:numPr>
        <w:spacing w:line="276" w:lineRule="auto"/>
        <w:rPr>
          <w:rStyle w:val="Hyperlink"/>
          <w:rFonts w:asciiTheme="minorHAnsi" w:eastAsiaTheme="minorEastAsia" w:hAnsiTheme="minorHAnsi"/>
          <w:szCs w:val="24"/>
        </w:rPr>
      </w:pPr>
      <w:r w:rsidRPr="00F119D8">
        <w:rPr>
          <w:rFonts w:eastAsia="Times New Roman" w:cs="Times New Roman"/>
          <w:szCs w:val="24"/>
        </w:rPr>
        <w:t>biļeti, kas sagatavota saskaņā ar normatīvajiem aktiem par pasažieru pārvadāšanu.</w:t>
      </w:r>
      <w:r>
        <w:rPr>
          <w:rStyle w:val="FootnoteReference"/>
          <w:rFonts w:eastAsia="Times New Roman" w:cs="Times New Roman"/>
          <w:szCs w:val="24"/>
        </w:rPr>
        <w:footnoteReference w:id="25"/>
      </w:r>
      <w:r>
        <w:rPr>
          <w:rStyle w:val="Hyperlink"/>
          <w:rFonts w:asciiTheme="minorHAnsi" w:eastAsiaTheme="minorEastAsia" w:hAnsiTheme="minorHAnsi"/>
          <w:szCs w:val="24"/>
        </w:rPr>
        <w:t xml:space="preserve"> </w:t>
      </w:r>
    </w:p>
    <w:p w14:paraId="555026F8" w14:textId="77777777" w:rsidR="003765A7" w:rsidRPr="00F119D8" w:rsidRDefault="003765A7" w:rsidP="003765A7">
      <w:pPr>
        <w:spacing w:line="276" w:lineRule="auto"/>
        <w:ind w:firstLine="720"/>
        <w:rPr>
          <w:rStyle w:val="Hyperlink"/>
          <w:rFonts w:eastAsia="Times New Roman" w:cs="Times New Roman"/>
          <w:vertAlign w:val="superscript"/>
        </w:rPr>
      </w:pPr>
      <w:r w:rsidRPr="00F119D8">
        <w:rPr>
          <w:rFonts w:eastAsia="Times New Roman" w:cs="Times New Roman"/>
        </w:rPr>
        <w:t>Atbrīvojumus no elektronisko ierīču un iekārtu lietošanas drīkst piemērot un kases čeka vietā klientiem reģistrēto kvīti drīkst izsniegt galvenokārt mazie uzņēmēji, mājražotāji, tirgotāji tirgos un ielu tirdzniecības vietās, fiziskas personas, kas gūst ienākumu no īpašuma.</w:t>
      </w:r>
      <w:r>
        <w:rPr>
          <w:rStyle w:val="FootnoteReference"/>
          <w:rFonts w:eastAsia="Times New Roman" w:cs="Times New Roman"/>
        </w:rPr>
        <w:footnoteReference w:id="26"/>
      </w:r>
      <w:r w:rsidRPr="00F119D8">
        <w:rPr>
          <w:rFonts w:eastAsia="Times New Roman" w:cs="Times New Roman"/>
        </w:rPr>
        <w:t xml:space="preserve"> Reģistrētās kvītis izsniedz papīra formā. Lai reģistrētās kvītis iesaistītu elektroniskajā apritē, tās būtu jāsagatavo un </w:t>
      </w:r>
      <w:proofErr w:type="spellStart"/>
      <w:r w:rsidRPr="00F119D8">
        <w:rPr>
          <w:rFonts w:eastAsia="Times New Roman" w:cs="Times New Roman"/>
        </w:rPr>
        <w:t>jānosūta</w:t>
      </w:r>
      <w:proofErr w:type="spellEnd"/>
      <w:r w:rsidRPr="00F119D8">
        <w:rPr>
          <w:rFonts w:eastAsia="Times New Roman" w:cs="Times New Roman"/>
        </w:rPr>
        <w:t xml:space="preserve"> kā elektronisks dokuments. Šim nolūkam </w:t>
      </w:r>
      <w:proofErr w:type="spellStart"/>
      <w:r w:rsidRPr="00F119D8">
        <w:rPr>
          <w:rFonts w:eastAsia="Times New Roman" w:cs="Times New Roman"/>
        </w:rPr>
        <w:t>kvīšu</w:t>
      </w:r>
      <w:proofErr w:type="spellEnd"/>
      <w:r w:rsidRPr="00F119D8">
        <w:rPr>
          <w:rFonts w:eastAsia="Times New Roman" w:cs="Times New Roman"/>
        </w:rPr>
        <w:t xml:space="preserve"> izsniedzējiem būtu nepieciešama </w:t>
      </w:r>
      <w:proofErr w:type="spellStart"/>
      <w:r w:rsidRPr="00F119D8">
        <w:rPr>
          <w:rFonts w:eastAsia="Times New Roman" w:cs="Times New Roman"/>
        </w:rPr>
        <w:t>viedierīce</w:t>
      </w:r>
      <w:proofErr w:type="spellEnd"/>
      <w:r w:rsidRPr="00F119D8">
        <w:rPr>
          <w:rFonts w:eastAsia="Times New Roman" w:cs="Times New Roman"/>
        </w:rPr>
        <w:t xml:space="preserve"> vai dators, kas nodrošina iespēju klientiem saņemt izdrukātu kvīti, ja klients to vēlas. Tādējādi reģistrētās kvītis nav lietderīgi iekļaut elektronisko dokumentu aprites sistēmā, jo tiktu zaudēts mērķis atbrīvojumiem no elektronisko ierīču un iekārtu lietošanas – samazināt administratīvo slogu mazajiem nodokļu maksātājiem. Tāpat nepamatota būtu prasība obligāti sagatavot un nosūtīt elektroniskā formā reģistrētās biļetes,</w:t>
      </w:r>
      <w:r w:rsidRPr="76E9E50D">
        <w:rPr>
          <w:rFonts w:eastAsia="Times New Roman" w:cs="Times New Roman"/>
        </w:rPr>
        <w:t xml:space="preserve"> </w:t>
      </w:r>
      <w:r w:rsidRPr="00F119D8">
        <w:rPr>
          <w:rFonts w:eastAsia="Times New Roman" w:cs="Times New Roman"/>
        </w:rPr>
        <w:t>jo tās izsniedz arī salīdzinoši mazi nodokļu maksātāji, ārpus struktūrvienībām, atpūtas vietās brīvā dabā, brīvdabas atrakciju un atpūtas parkos.</w:t>
      </w:r>
      <w:r>
        <w:rPr>
          <w:rStyle w:val="FootnoteReference"/>
          <w:rFonts w:eastAsia="Times New Roman" w:cs="Times New Roman"/>
        </w:rPr>
        <w:footnoteReference w:id="27"/>
      </w:r>
      <w:r w:rsidRPr="00F119D8">
        <w:rPr>
          <w:rStyle w:val="Hyperlink"/>
          <w:rFonts w:eastAsia="Times New Roman" w:cs="Times New Roman"/>
          <w:vertAlign w:val="superscript"/>
        </w:rPr>
        <w:t xml:space="preserve"> </w:t>
      </w:r>
    </w:p>
    <w:p w14:paraId="7EF3E6C2" w14:textId="77777777" w:rsidR="003765A7" w:rsidRPr="00F119D8" w:rsidRDefault="003765A7" w:rsidP="003765A7">
      <w:pPr>
        <w:spacing w:line="276" w:lineRule="auto"/>
        <w:ind w:firstLine="720"/>
        <w:rPr>
          <w:rFonts w:eastAsia="Times New Roman" w:cs="Times New Roman"/>
          <w:szCs w:val="24"/>
        </w:rPr>
      </w:pPr>
      <w:r w:rsidRPr="00F119D8">
        <w:rPr>
          <w:rFonts w:eastAsia="Times New Roman" w:cs="Times New Roman"/>
          <w:szCs w:val="24"/>
        </w:rPr>
        <w:lastRenderedPageBreak/>
        <w:t xml:space="preserve">Elektroniski sagatavotās reģistrētās kvītis var izsniegt veselības aprūpes pakalpojumu sniedzēji, kā arī pasta komersanti, saņemot samaksu par sūtījumu </w:t>
      </w:r>
      <w:proofErr w:type="spellStart"/>
      <w:r w:rsidRPr="00F119D8">
        <w:rPr>
          <w:rFonts w:eastAsia="Times New Roman" w:cs="Times New Roman"/>
          <w:szCs w:val="24"/>
        </w:rPr>
        <w:t>pakomātos</w:t>
      </w:r>
      <w:proofErr w:type="spellEnd"/>
      <w:r w:rsidRPr="00F119D8">
        <w:rPr>
          <w:rFonts w:eastAsia="Times New Roman" w:cs="Times New Roman"/>
          <w:szCs w:val="24"/>
        </w:rPr>
        <w:t>.</w:t>
      </w:r>
      <w:r>
        <w:rPr>
          <w:rStyle w:val="FootnoteReference"/>
          <w:rFonts w:eastAsia="Times New Roman" w:cs="Times New Roman"/>
          <w:szCs w:val="24"/>
        </w:rPr>
        <w:footnoteReference w:id="28"/>
      </w:r>
      <w:r w:rsidRPr="00F119D8">
        <w:rPr>
          <w:rFonts w:eastAsia="Times New Roman" w:cs="Times New Roman"/>
          <w:szCs w:val="24"/>
        </w:rPr>
        <w:t xml:space="preserve"> Daļa no pakalpojumu sniedzējiem elektroniski sagatavoto reģistrēto </w:t>
      </w:r>
      <w:proofErr w:type="spellStart"/>
      <w:r w:rsidRPr="00F119D8">
        <w:rPr>
          <w:rFonts w:eastAsia="Times New Roman" w:cs="Times New Roman"/>
          <w:szCs w:val="24"/>
        </w:rPr>
        <w:t>kvīšu</w:t>
      </w:r>
      <w:proofErr w:type="spellEnd"/>
      <w:r w:rsidRPr="00F119D8">
        <w:rPr>
          <w:rFonts w:eastAsia="Times New Roman" w:cs="Times New Roman"/>
          <w:szCs w:val="24"/>
        </w:rPr>
        <w:t xml:space="preserve"> risinājumu ir jau ieviesuši, ieguldot finansējumu datortehnikas nodrošināšanā un speciālas programmatūras izstrādē, tādējādi jaunas, obligāti ieviešamas iniciatīvas šim dokumentu veidam nebūtu atbalstāmas. Administratīvā sloga palielinājums, piemēram, ģimenes ārstiem ietekmētu </w:t>
      </w:r>
      <w:r>
        <w:rPr>
          <w:rFonts w:eastAsia="Times New Roman" w:cs="Times New Roman"/>
          <w:szCs w:val="24"/>
        </w:rPr>
        <w:t>VM</w:t>
      </w:r>
      <w:r w:rsidRPr="00F119D8">
        <w:rPr>
          <w:rFonts w:eastAsia="Times New Roman" w:cs="Times New Roman"/>
          <w:szCs w:val="24"/>
        </w:rPr>
        <w:t xml:space="preserve"> budžetu. Turklāt, </w:t>
      </w:r>
      <w:proofErr w:type="spellStart"/>
      <w:r w:rsidRPr="00F119D8">
        <w:rPr>
          <w:rFonts w:eastAsia="Times New Roman" w:cs="Times New Roman"/>
          <w:szCs w:val="24"/>
        </w:rPr>
        <w:t>blokķēžu</w:t>
      </w:r>
      <w:proofErr w:type="spellEnd"/>
      <w:r w:rsidRPr="00F119D8">
        <w:rPr>
          <w:rFonts w:eastAsia="Times New Roman" w:cs="Times New Roman"/>
          <w:szCs w:val="24"/>
        </w:rPr>
        <w:t xml:space="preserve"> tehnoloģija jau šobrīd nodrošina pietiekošu elektroniski sagatavoto reģistrēto </w:t>
      </w:r>
      <w:proofErr w:type="spellStart"/>
      <w:r w:rsidRPr="00F119D8">
        <w:rPr>
          <w:rFonts w:eastAsia="Times New Roman" w:cs="Times New Roman"/>
          <w:szCs w:val="24"/>
        </w:rPr>
        <w:t>kvīšu</w:t>
      </w:r>
      <w:proofErr w:type="spellEnd"/>
      <w:r w:rsidRPr="00F119D8">
        <w:rPr>
          <w:rFonts w:eastAsia="Times New Roman" w:cs="Times New Roman"/>
          <w:szCs w:val="24"/>
        </w:rPr>
        <w:t xml:space="preserve"> drošības līmeni. </w:t>
      </w:r>
    </w:p>
    <w:p w14:paraId="4D3834E9" w14:textId="0A36E985" w:rsidR="003765A7" w:rsidRPr="00433AA5" w:rsidRDefault="003765A7" w:rsidP="00433AA5">
      <w:pPr>
        <w:spacing w:line="276" w:lineRule="auto"/>
        <w:ind w:firstLine="720"/>
        <w:rPr>
          <w:rFonts w:eastAsia="Times New Roman" w:cs="Times New Roman"/>
          <w:szCs w:val="24"/>
        </w:rPr>
      </w:pPr>
      <w:r w:rsidRPr="00F119D8">
        <w:rPr>
          <w:rFonts w:eastAsia="Times New Roman" w:cs="Times New Roman"/>
          <w:szCs w:val="24"/>
        </w:rPr>
        <w:t xml:space="preserve">Dokumentu elektroniskās aprites sistēmā </w:t>
      </w:r>
      <w:r w:rsidR="00C17929">
        <w:rPr>
          <w:rFonts w:eastAsia="Times New Roman" w:cs="Times New Roman"/>
          <w:szCs w:val="24"/>
        </w:rPr>
        <w:t xml:space="preserve">sākotnēji </w:t>
      </w:r>
      <w:r w:rsidRPr="00F119D8">
        <w:rPr>
          <w:rFonts w:eastAsia="Times New Roman" w:cs="Times New Roman"/>
          <w:szCs w:val="24"/>
        </w:rPr>
        <w:t xml:space="preserve">nav iesaistāmi arī kases čeki, kas kopā ar tiem pievienotajiem attaisnojuma dokumentiem tiek izmantoti kā </w:t>
      </w:r>
      <w:r>
        <w:rPr>
          <w:rFonts w:eastAsia="Times New Roman" w:cs="Times New Roman"/>
          <w:szCs w:val="24"/>
        </w:rPr>
        <w:t>PVN</w:t>
      </w:r>
      <w:r w:rsidRPr="00F119D8">
        <w:rPr>
          <w:rFonts w:eastAsia="Times New Roman" w:cs="Times New Roman"/>
          <w:szCs w:val="24"/>
        </w:rPr>
        <w:t xml:space="preserve"> rēķini, vienkāršotie </w:t>
      </w:r>
      <w:r>
        <w:rPr>
          <w:rFonts w:eastAsia="Times New Roman" w:cs="Times New Roman"/>
          <w:szCs w:val="24"/>
        </w:rPr>
        <w:t>PVN</w:t>
      </w:r>
      <w:r w:rsidRPr="00F119D8">
        <w:rPr>
          <w:rFonts w:eastAsia="Times New Roman" w:cs="Times New Roman"/>
          <w:szCs w:val="24"/>
        </w:rPr>
        <w:t xml:space="preserve"> rēķini vai naudas izdevumus apliecinoši dokumenti.</w:t>
      </w:r>
    </w:p>
    <w:p w14:paraId="01BDD27F" w14:textId="555363AB" w:rsidR="003765A7" w:rsidRDefault="003765A7" w:rsidP="00500E92">
      <w:pPr>
        <w:spacing w:line="276" w:lineRule="auto"/>
      </w:pPr>
    </w:p>
    <w:p w14:paraId="7B23796C" w14:textId="77777777" w:rsidR="00500E92" w:rsidRDefault="00500E92" w:rsidP="00500E92">
      <w:pPr>
        <w:spacing w:line="276" w:lineRule="auto"/>
      </w:pPr>
    </w:p>
    <w:p w14:paraId="4286AF64" w14:textId="5D300A39" w:rsidR="009A52F3" w:rsidRDefault="00660340" w:rsidP="00B131FA">
      <w:pPr>
        <w:pStyle w:val="Heading1"/>
      </w:pPr>
      <w:bookmarkStart w:id="10" w:name="_Toc72136653"/>
      <w:r>
        <w:t xml:space="preserve">Attaisnojuma dokumentu </w:t>
      </w:r>
      <w:r w:rsidR="008428EA">
        <w:t xml:space="preserve">(rēķinu) </w:t>
      </w:r>
      <w:r>
        <w:t>elektroniskās aprites ieviešana</w:t>
      </w:r>
      <w:r w:rsidR="649161D2">
        <w:t>s ieguvumi</w:t>
      </w:r>
      <w:r w:rsidR="000F0765">
        <w:t xml:space="preserve"> nodokļu administrēšanas vajadzībām</w:t>
      </w:r>
      <w:bookmarkEnd w:id="10"/>
    </w:p>
    <w:p w14:paraId="03943740" w14:textId="77777777" w:rsidR="006E3D1E" w:rsidRDefault="006E3D1E" w:rsidP="00500E92">
      <w:pPr>
        <w:spacing w:line="276" w:lineRule="auto"/>
        <w:rPr>
          <w:rFonts w:eastAsia="Times New Roman" w:cs="Times New Roman"/>
          <w:szCs w:val="24"/>
        </w:rPr>
      </w:pPr>
    </w:p>
    <w:p w14:paraId="3DC2CA0E" w14:textId="1BF52834" w:rsidR="00660340" w:rsidRDefault="7C222338" w:rsidP="00C243E0">
      <w:pPr>
        <w:spacing w:line="276" w:lineRule="auto"/>
        <w:ind w:firstLine="720"/>
        <w:rPr>
          <w:rFonts w:eastAsia="Times New Roman" w:cs="Times New Roman"/>
          <w:szCs w:val="24"/>
        </w:rPr>
      </w:pPr>
      <w:r w:rsidRPr="7842FC33">
        <w:rPr>
          <w:rFonts w:eastAsia="Times New Roman" w:cs="Times New Roman"/>
          <w:szCs w:val="24"/>
        </w:rPr>
        <w:t xml:space="preserve">Citu valstu pieredze e-rēķinu ieviešanā un </w:t>
      </w:r>
      <w:r w:rsidR="00C17929">
        <w:rPr>
          <w:rFonts w:eastAsia="Times New Roman" w:cs="Times New Roman"/>
          <w:szCs w:val="24"/>
        </w:rPr>
        <w:t>apritē</w:t>
      </w:r>
      <w:r w:rsidR="00C17929" w:rsidRPr="7842FC33">
        <w:rPr>
          <w:rFonts w:eastAsia="Times New Roman" w:cs="Times New Roman"/>
          <w:szCs w:val="24"/>
        </w:rPr>
        <w:t xml:space="preserve"> </w:t>
      </w:r>
      <w:r w:rsidRPr="7842FC33">
        <w:rPr>
          <w:rFonts w:eastAsia="Times New Roman" w:cs="Times New Roman"/>
          <w:szCs w:val="24"/>
        </w:rPr>
        <w:t xml:space="preserve">liecina par aktualitāti un jauniem izaicinājumiem pārejai uz elektronisko dokumentu ieviešanu. Atkarībā no katrā valstī definētajiem mērķiem, atšķiras arī tie uzdevumi, kādi ir realizēti ar </w:t>
      </w:r>
      <w:r w:rsidR="00EE2F9D">
        <w:rPr>
          <w:rFonts w:eastAsia="Times New Roman" w:cs="Times New Roman"/>
          <w:szCs w:val="24"/>
        </w:rPr>
        <w:t xml:space="preserve">e-rēķinu vai </w:t>
      </w:r>
      <w:r w:rsidRPr="7842FC33">
        <w:rPr>
          <w:rFonts w:eastAsia="Times New Roman" w:cs="Times New Roman"/>
          <w:szCs w:val="24"/>
        </w:rPr>
        <w:t xml:space="preserve">e-pavadzīmju risinājuma nodrošināšanu, bet, galvenokārt, tie ir bijuši saistīti ar akcīzes preču kustības precīzāku un operatīvu kontroli. </w:t>
      </w:r>
    </w:p>
    <w:p w14:paraId="6277A855" w14:textId="44A51BC9" w:rsidR="00CA303F" w:rsidRDefault="7C222338" w:rsidP="00C243E0">
      <w:pPr>
        <w:spacing w:line="276" w:lineRule="auto"/>
        <w:ind w:firstLine="720"/>
        <w:rPr>
          <w:rFonts w:eastAsia="Times New Roman" w:cs="Times New Roman"/>
          <w:szCs w:val="24"/>
        </w:rPr>
      </w:pPr>
      <w:r w:rsidRPr="7842FC33">
        <w:rPr>
          <w:rFonts w:eastAsia="Times New Roman" w:cs="Times New Roman"/>
          <w:szCs w:val="24"/>
        </w:rPr>
        <w:t xml:space="preserve">Vairākās Eiropas valstīs notiek pāreja no rēķiniem drukātā formātā uz </w:t>
      </w:r>
      <w:r w:rsidR="00335937">
        <w:rPr>
          <w:rFonts w:eastAsia="Times New Roman" w:cs="Times New Roman"/>
          <w:szCs w:val="24"/>
        </w:rPr>
        <w:t>e-</w:t>
      </w:r>
      <w:r w:rsidRPr="7842FC33">
        <w:rPr>
          <w:rFonts w:eastAsia="Times New Roman" w:cs="Times New Roman"/>
          <w:szCs w:val="24"/>
        </w:rPr>
        <w:t xml:space="preserve">rēķiniem t.sk. arī starp piegādātājiem un pircējiem, kuri atrodas dažādās Eiropas valstīs. Tiek realizēti vairāki projekti/pasākumi, kas vērsti uz likumdošanas ierobežojumu samazināšanu un uz </w:t>
      </w:r>
      <w:r w:rsidR="00335937">
        <w:rPr>
          <w:rFonts w:eastAsia="Times New Roman" w:cs="Times New Roman"/>
          <w:szCs w:val="24"/>
        </w:rPr>
        <w:t>e-</w:t>
      </w:r>
      <w:r w:rsidRPr="7842FC33">
        <w:rPr>
          <w:rFonts w:eastAsia="Times New Roman" w:cs="Times New Roman"/>
          <w:szCs w:val="24"/>
        </w:rPr>
        <w:t>rēķin</w:t>
      </w:r>
      <w:r w:rsidR="00823263">
        <w:rPr>
          <w:rFonts w:eastAsia="Times New Roman" w:cs="Times New Roman"/>
          <w:szCs w:val="24"/>
        </w:rPr>
        <w:t>u</w:t>
      </w:r>
      <w:r w:rsidRPr="7842FC33">
        <w:rPr>
          <w:rFonts w:eastAsia="Times New Roman" w:cs="Times New Roman"/>
          <w:szCs w:val="24"/>
        </w:rPr>
        <w:t xml:space="preserve"> aprites veicināšanu starp Eiropas Savienības valstīm. Eiropas valstīs prioritāte ir izveidot tiesisko regulējumu un vienotus tehniskos standartus, kas būtu piemērot</w:t>
      </w:r>
      <w:r w:rsidR="00823263">
        <w:rPr>
          <w:rFonts w:eastAsia="Times New Roman" w:cs="Times New Roman"/>
          <w:szCs w:val="24"/>
        </w:rPr>
        <w:t>i</w:t>
      </w:r>
      <w:r w:rsidRPr="7842FC33">
        <w:rPr>
          <w:rFonts w:eastAsia="Times New Roman" w:cs="Times New Roman"/>
          <w:szCs w:val="24"/>
        </w:rPr>
        <w:t xml:space="preserve"> praktiski visās Eiropas Savienības valstīs. Eiropā darbojas simtiem elektronisko dokumentu aprites pakalpojumu sniedzēji, kuri turklāt apmainās ar elektroniskiem dokumentiem savā starpā. Vairumā valstu </w:t>
      </w:r>
      <w:r w:rsidR="00335937">
        <w:rPr>
          <w:rFonts w:eastAsia="Times New Roman" w:cs="Times New Roman"/>
          <w:szCs w:val="24"/>
        </w:rPr>
        <w:t>e-</w:t>
      </w:r>
      <w:r w:rsidRPr="7842FC33">
        <w:rPr>
          <w:rFonts w:eastAsia="Times New Roman" w:cs="Times New Roman"/>
          <w:szCs w:val="24"/>
        </w:rPr>
        <w:t xml:space="preserve">rēķinu aprite notiek, respektējot brīvprātības principu t.i. </w:t>
      </w:r>
      <w:r w:rsidR="00335937">
        <w:rPr>
          <w:rFonts w:eastAsia="Times New Roman" w:cs="Times New Roman"/>
          <w:szCs w:val="24"/>
        </w:rPr>
        <w:t>e-</w:t>
      </w:r>
      <w:r w:rsidRPr="7842FC33">
        <w:rPr>
          <w:rFonts w:eastAsia="Times New Roman" w:cs="Times New Roman"/>
          <w:szCs w:val="24"/>
        </w:rPr>
        <w:t>rēķina ieviešana netiek uzlikta par pienākumu. Prasība iesniegt elektronisko attaisnojuma dokumentu datus nodokļus administrējošai iestādei līdz šim nav bijusi tipiska Eiropas valstīs.</w:t>
      </w:r>
    </w:p>
    <w:p w14:paraId="0D27CEC1" w14:textId="2C1493E9" w:rsidR="00EF3835" w:rsidRDefault="00EF3835" w:rsidP="00EF3835">
      <w:pPr>
        <w:spacing w:line="276" w:lineRule="auto"/>
        <w:ind w:firstLine="720"/>
        <w:rPr>
          <w:rFonts w:eastAsia="Times New Roman" w:cs="Times New Roman"/>
          <w:szCs w:val="24"/>
        </w:rPr>
      </w:pPr>
      <w:r w:rsidRPr="00EF3835">
        <w:rPr>
          <w:rFonts w:eastAsia="Times New Roman" w:cs="Times New Roman"/>
          <w:szCs w:val="24"/>
        </w:rPr>
        <w:t xml:space="preserve">Itālija ar vēstuli, kas Eiropas Komisijā reģistrēta 2017. gada 27. septembrī, lūdza atļauju atkāpties no PVN direktīvas 218. un 232. panta, lai varētu ieviest obligātu elektronisko rēķinu sagatavošanu. Pamatojoties uz PVN direktīvas 395. pantu, Itālija iesniedza lūgumu piešķirt tai atkāpi, lai saņemtu atļauju piemērot obligātu elektronisko rēķinu sagatavošanu un rēķinu pārsūtīšanu, izmantojot sistēmu, ko pārvalda Itālijas ieņēmumu aģentūra, visiem nodokļa maksātājiem, kuri veic uzņēmējdarbību Itālijas teritorijā, izņemot tos maksātājus, uz kuriem attiecas mazo uzņēmumu atbrīvojums no </w:t>
      </w:r>
      <w:r w:rsidRPr="00EF3835">
        <w:rPr>
          <w:rFonts w:eastAsia="Times New Roman" w:cs="Times New Roman"/>
          <w:szCs w:val="24"/>
        </w:rPr>
        <w:lastRenderedPageBreak/>
        <w:t>nodokļa. Itālija apgalvo, ka pienākums sagatavot elektroniskos rēķinus, ļauj nodokļu administrācijai iegūt reāllaika informāciju par tirgotāju izsniegtajiem un saņemtajiem rēķiniem. Rezultātā nodokļu iestādes var savlaicīgi un automātiski pārbaudīt, vai deklarētais PVN atbilst samaksātajam PVN. Tādēļ Itālija uzskata, ka vispārēja elektronisko rēķinu sagatavošanas pienākuma ieviešana sniedz priekšrocības, apkarojot krāpšanu nodokļu jomā un izvairīšanos no nodokļu maksāšanas, kā arī vienkāršo nodokļu iekasēšanu.</w:t>
      </w:r>
      <w:r w:rsidRPr="00EF3835">
        <w:rPr>
          <w:rFonts w:eastAsia="Times New Roman" w:cs="Times New Roman"/>
          <w:szCs w:val="24"/>
          <w:vertAlign w:val="superscript"/>
        </w:rPr>
        <w:footnoteReference w:id="29"/>
      </w:r>
    </w:p>
    <w:p w14:paraId="5A54A0F8" w14:textId="381A428B" w:rsidR="00660340" w:rsidRDefault="7C222338" w:rsidP="00C243E0">
      <w:pPr>
        <w:spacing w:line="276" w:lineRule="auto"/>
        <w:ind w:firstLine="720"/>
        <w:rPr>
          <w:rFonts w:eastAsia="Times New Roman" w:cs="Times New Roman"/>
          <w:szCs w:val="24"/>
        </w:rPr>
      </w:pPr>
      <w:r w:rsidRPr="7842FC33">
        <w:rPr>
          <w:rFonts w:eastAsia="Times New Roman" w:cs="Times New Roman"/>
          <w:szCs w:val="24"/>
        </w:rPr>
        <w:t>Lietuvā no 2017.</w:t>
      </w:r>
      <w:r w:rsidR="00CB7ADE">
        <w:rPr>
          <w:rFonts w:eastAsia="Times New Roman" w:cs="Times New Roman"/>
          <w:szCs w:val="24"/>
        </w:rPr>
        <w:t> </w:t>
      </w:r>
      <w:r w:rsidRPr="7842FC33">
        <w:rPr>
          <w:rFonts w:eastAsia="Times New Roman" w:cs="Times New Roman"/>
          <w:szCs w:val="24"/>
        </w:rPr>
        <w:t>gada ieviesta elektroniskā nodokļu administrēšanas sistēma, kas sastāv no vispārīgā daļas (</w:t>
      </w:r>
      <w:proofErr w:type="spellStart"/>
      <w:r w:rsidRPr="7842FC33">
        <w:rPr>
          <w:rFonts w:eastAsia="Times New Roman" w:cs="Times New Roman"/>
          <w:szCs w:val="24"/>
        </w:rPr>
        <w:t>i.MAS</w:t>
      </w:r>
      <w:proofErr w:type="spellEnd"/>
      <w:r w:rsidRPr="7842FC33">
        <w:rPr>
          <w:rFonts w:eastAsia="Times New Roman" w:cs="Times New Roman"/>
          <w:szCs w:val="24"/>
        </w:rPr>
        <w:t xml:space="preserve">) ar sistēmas iestatījumu administrēšanas iespējām, kontaktinformāciju un ziņojumiem, un divām apakšsistēmām </w:t>
      </w:r>
      <w:proofErr w:type="spellStart"/>
      <w:r w:rsidRPr="7842FC33">
        <w:rPr>
          <w:rFonts w:eastAsia="Times New Roman" w:cs="Times New Roman"/>
          <w:szCs w:val="24"/>
        </w:rPr>
        <w:t>i.VAZ</w:t>
      </w:r>
      <w:proofErr w:type="spellEnd"/>
      <w:r w:rsidRPr="7842FC33">
        <w:rPr>
          <w:rFonts w:eastAsia="Times New Roman" w:cs="Times New Roman"/>
          <w:szCs w:val="24"/>
        </w:rPr>
        <w:t xml:space="preserve"> un </w:t>
      </w:r>
      <w:proofErr w:type="spellStart"/>
      <w:r w:rsidRPr="7842FC33">
        <w:rPr>
          <w:rFonts w:eastAsia="Times New Roman" w:cs="Times New Roman"/>
          <w:szCs w:val="24"/>
        </w:rPr>
        <w:t>i.SAF</w:t>
      </w:r>
      <w:proofErr w:type="spellEnd"/>
      <w:r w:rsidRPr="7842FC33">
        <w:rPr>
          <w:rFonts w:eastAsia="Times New Roman" w:cs="Times New Roman"/>
          <w:szCs w:val="24"/>
        </w:rPr>
        <w:t xml:space="preserve">. Sistēma </w:t>
      </w:r>
      <w:proofErr w:type="spellStart"/>
      <w:r w:rsidRPr="7842FC33">
        <w:rPr>
          <w:rFonts w:eastAsia="Times New Roman" w:cs="Times New Roman"/>
          <w:szCs w:val="24"/>
        </w:rPr>
        <w:t>i.SAF</w:t>
      </w:r>
      <w:proofErr w:type="spellEnd"/>
      <w:r w:rsidRPr="7842FC33">
        <w:rPr>
          <w:rFonts w:eastAsia="Times New Roman" w:cs="Times New Roman"/>
          <w:szCs w:val="24"/>
        </w:rPr>
        <w:t xml:space="preserve"> paredzēta</w:t>
      </w:r>
      <w:r w:rsidR="001D7AF9">
        <w:rPr>
          <w:rFonts w:eastAsia="Times New Roman" w:cs="Times New Roman"/>
          <w:szCs w:val="24"/>
        </w:rPr>
        <w:t xml:space="preserve"> </w:t>
      </w:r>
      <w:r w:rsidR="00335937">
        <w:rPr>
          <w:rFonts w:eastAsia="Times New Roman" w:cs="Times New Roman"/>
          <w:szCs w:val="24"/>
        </w:rPr>
        <w:t>e-</w:t>
      </w:r>
      <w:r w:rsidR="001D7AF9">
        <w:rPr>
          <w:rFonts w:eastAsia="Times New Roman" w:cs="Times New Roman"/>
          <w:szCs w:val="24"/>
        </w:rPr>
        <w:t xml:space="preserve">rēķinu apritei. </w:t>
      </w:r>
      <w:r w:rsidRPr="7842FC33">
        <w:rPr>
          <w:rFonts w:eastAsia="Times New Roman" w:cs="Times New Roman"/>
          <w:szCs w:val="24"/>
        </w:rPr>
        <w:t xml:space="preserve">Sistēmas </w:t>
      </w:r>
      <w:proofErr w:type="spellStart"/>
      <w:r w:rsidRPr="7842FC33">
        <w:rPr>
          <w:rFonts w:eastAsia="Times New Roman" w:cs="Times New Roman"/>
          <w:szCs w:val="24"/>
        </w:rPr>
        <w:t>i.SAF</w:t>
      </w:r>
      <w:proofErr w:type="spellEnd"/>
      <w:r w:rsidRPr="7842FC33">
        <w:rPr>
          <w:rFonts w:eastAsia="Times New Roman" w:cs="Times New Roman"/>
          <w:szCs w:val="24"/>
        </w:rPr>
        <w:t xml:space="preserve"> ieviešanas mērķis Lietuvā bija samazināt nodokļu maksātāju administratīvo slogu, uzlabot nodokļu administrēšanas efektivitāti un samazināt neuzskaitīto ienākumu apjomu, radot apstākļus nodokļu maksātājiem iesniegt rēķinus elektroniski, standartizētā formātā, izmantojot e-pakalpojumus. Rēķinu izmantojot </w:t>
      </w:r>
      <w:proofErr w:type="spellStart"/>
      <w:r w:rsidRPr="7842FC33">
        <w:rPr>
          <w:rFonts w:eastAsia="Times New Roman" w:cs="Times New Roman"/>
          <w:szCs w:val="24"/>
        </w:rPr>
        <w:t>i.SAF</w:t>
      </w:r>
      <w:proofErr w:type="spellEnd"/>
      <w:r w:rsidRPr="7842FC33">
        <w:rPr>
          <w:rFonts w:eastAsia="Times New Roman" w:cs="Times New Roman"/>
          <w:szCs w:val="24"/>
        </w:rPr>
        <w:t xml:space="preserve"> sistēmu var iesniegt trīs veidos: pievienojot </w:t>
      </w:r>
      <w:r w:rsidR="00E13415">
        <w:rPr>
          <w:rFonts w:eastAsia="Times New Roman" w:cs="Times New Roman"/>
          <w:szCs w:val="24"/>
        </w:rPr>
        <w:t>XML</w:t>
      </w:r>
      <w:r w:rsidRPr="7842FC33">
        <w:rPr>
          <w:rFonts w:eastAsia="Times New Roman" w:cs="Times New Roman"/>
          <w:szCs w:val="24"/>
        </w:rPr>
        <w:t xml:space="preserve"> failu, izmantojot tiešsaistes pakalpojumu vai ievadot manuāli </w:t>
      </w:r>
      <w:proofErr w:type="spellStart"/>
      <w:r w:rsidRPr="7842FC33">
        <w:rPr>
          <w:rFonts w:eastAsia="Times New Roman" w:cs="Times New Roman"/>
          <w:szCs w:val="24"/>
        </w:rPr>
        <w:t>i.SAF</w:t>
      </w:r>
      <w:proofErr w:type="spellEnd"/>
      <w:r w:rsidRPr="7842FC33">
        <w:rPr>
          <w:rFonts w:eastAsia="Times New Roman" w:cs="Times New Roman"/>
          <w:szCs w:val="24"/>
        </w:rPr>
        <w:t xml:space="preserve"> portālā. Publisko iepirkumu sistēmā ievietotie e-rēķini automātiski tiek importēti </w:t>
      </w:r>
      <w:proofErr w:type="spellStart"/>
      <w:r w:rsidRPr="7842FC33">
        <w:rPr>
          <w:rFonts w:eastAsia="Times New Roman" w:cs="Times New Roman"/>
          <w:szCs w:val="24"/>
        </w:rPr>
        <w:t>i.SAF</w:t>
      </w:r>
      <w:proofErr w:type="spellEnd"/>
      <w:r w:rsidRPr="7842FC33">
        <w:rPr>
          <w:rFonts w:eastAsia="Times New Roman" w:cs="Times New Roman"/>
          <w:szCs w:val="24"/>
        </w:rPr>
        <w:t xml:space="preserve"> sistēmā. </w:t>
      </w:r>
      <w:proofErr w:type="spellStart"/>
      <w:r w:rsidRPr="7842FC33">
        <w:rPr>
          <w:rFonts w:eastAsia="Times New Roman" w:cs="Times New Roman"/>
          <w:szCs w:val="24"/>
        </w:rPr>
        <w:t>i.SAF</w:t>
      </w:r>
      <w:proofErr w:type="spellEnd"/>
      <w:r w:rsidRPr="7842FC33">
        <w:rPr>
          <w:rFonts w:eastAsia="Times New Roman" w:cs="Times New Roman"/>
          <w:szCs w:val="24"/>
        </w:rPr>
        <w:t xml:space="preserve"> sistēmā e-rēķini izmantojami arī PVN deklarāciju aizpildīšana</w:t>
      </w:r>
      <w:r w:rsidR="00885081">
        <w:rPr>
          <w:rFonts w:eastAsia="Times New Roman" w:cs="Times New Roman"/>
          <w:szCs w:val="24"/>
        </w:rPr>
        <w:t xml:space="preserve">i, kā arī ir iespējams veikt </w:t>
      </w:r>
      <w:r w:rsidR="006E1FF3">
        <w:rPr>
          <w:rFonts w:eastAsia="Times New Roman" w:cs="Times New Roman"/>
          <w:szCs w:val="24"/>
        </w:rPr>
        <w:t>PVN</w:t>
      </w:r>
      <w:r w:rsidR="006E1FF3" w:rsidRPr="7842FC33">
        <w:rPr>
          <w:rFonts w:eastAsia="Times New Roman" w:cs="Times New Roman"/>
          <w:szCs w:val="24"/>
        </w:rPr>
        <w:t xml:space="preserve"> </w:t>
      </w:r>
      <w:r w:rsidRPr="7842FC33">
        <w:rPr>
          <w:rFonts w:eastAsia="Times New Roman" w:cs="Times New Roman"/>
          <w:szCs w:val="24"/>
        </w:rPr>
        <w:t xml:space="preserve">rēķinu savstarpējo pārbaudi. Iesniegto datu salīdzināšana tiek veikta automātiski, par neatbilstībām attiecīgi ar ziņojumu sistēmā informējot komersantus. Komersantu iesniegto datu salīdzināšana iespējama starp darījumu partneriem, </w:t>
      </w:r>
      <w:r w:rsidR="001054FC">
        <w:rPr>
          <w:rFonts w:eastAsia="Times New Roman" w:cs="Times New Roman"/>
          <w:szCs w:val="24"/>
        </w:rPr>
        <w:t>kuri ir Lietuvas PVN maksātāji.</w:t>
      </w:r>
    </w:p>
    <w:p w14:paraId="69DB08EC" w14:textId="450CA79B" w:rsidR="000F746B" w:rsidRDefault="000F746B" w:rsidP="00C243E0">
      <w:pPr>
        <w:spacing w:line="276" w:lineRule="auto"/>
        <w:ind w:firstLine="720"/>
        <w:rPr>
          <w:rFonts w:eastAsia="Times New Roman" w:cs="Times New Roman"/>
          <w:szCs w:val="24"/>
        </w:rPr>
      </w:pPr>
      <w:r w:rsidRPr="000F746B">
        <w:rPr>
          <w:rFonts w:eastAsia="Times New Roman" w:cs="Times New Roman"/>
          <w:szCs w:val="24"/>
        </w:rPr>
        <w:t>Visā Eiropas Savienībā kopš 2010.</w:t>
      </w:r>
      <w:r>
        <w:rPr>
          <w:rFonts w:eastAsia="Times New Roman" w:cs="Times New Roman"/>
          <w:szCs w:val="24"/>
        </w:rPr>
        <w:t> </w:t>
      </w:r>
      <w:r w:rsidRPr="000F746B">
        <w:rPr>
          <w:rFonts w:eastAsia="Times New Roman" w:cs="Times New Roman"/>
          <w:szCs w:val="24"/>
        </w:rPr>
        <w:t>gada efektīvi darbojas EMCS, kas nodrošina harmonizēto akcīzes preču (alkoholisko dzērienu, tabakas izstrādājumu un naftas produktu), kas tiek pārvietoti atliktā akcīzes nodokļa režīmā, pavaddokumentu (e-AD) reģistrēšanu sistēmā, nodrošinot efektīvu nodokļu pilnvērtīgas samaksas kontroles mehānismu katrā dalībvalstī. Ņemot vērā, ka vislielākais nelegālā tirgus apjoms Eiropas Savienībā vērojams tabakas izstrādājumiem, kopš 2019.</w:t>
      </w:r>
      <w:r>
        <w:rPr>
          <w:rFonts w:eastAsia="Times New Roman" w:cs="Times New Roman"/>
          <w:szCs w:val="24"/>
        </w:rPr>
        <w:t> </w:t>
      </w:r>
      <w:r w:rsidRPr="000F746B">
        <w:rPr>
          <w:rFonts w:eastAsia="Times New Roman" w:cs="Times New Roman"/>
          <w:szCs w:val="24"/>
        </w:rPr>
        <w:t>gada maija visā ES ieviesta vienota tabakas izstrādājumu izsekojamības sistēma “</w:t>
      </w:r>
      <w:proofErr w:type="spellStart"/>
      <w:r w:rsidRPr="000F746B">
        <w:rPr>
          <w:rFonts w:eastAsia="Times New Roman" w:cs="Times New Roman"/>
          <w:szCs w:val="24"/>
        </w:rPr>
        <w:t>Track&amp;Trace</w:t>
      </w:r>
      <w:proofErr w:type="spellEnd"/>
      <w:r w:rsidRPr="000F746B">
        <w:rPr>
          <w:rFonts w:eastAsia="Times New Roman" w:cs="Times New Roman"/>
          <w:szCs w:val="24"/>
        </w:rPr>
        <w:t xml:space="preserve">”, kas nodokļu administrācijām dod papildu iespējas preču izsekojamībai un nodokļu samaksas kontrolei </w:t>
      </w:r>
      <w:r w:rsidR="00AF7886">
        <w:rPr>
          <w:rFonts w:eastAsia="Times New Roman" w:cs="Times New Roman"/>
          <w:szCs w:val="24"/>
        </w:rPr>
        <w:t>–</w:t>
      </w:r>
      <w:r w:rsidRPr="000F746B">
        <w:rPr>
          <w:rFonts w:eastAsia="Times New Roman" w:cs="Times New Roman"/>
          <w:szCs w:val="24"/>
        </w:rPr>
        <w:t xml:space="preserve"> īpaši kodi, kas tiek drukāti uz katras iepakojuma vienības, ļauj izsekot no produktu ražotāja līdz mazumtirgotājam, tādējādi izslēdzot, piemēram, fiktīvu darījumu deklarēšanas iespējas.</w:t>
      </w:r>
    </w:p>
    <w:p w14:paraId="2D285092" w14:textId="52CDE536" w:rsidR="00660340" w:rsidRDefault="7C222338" w:rsidP="00C243E0">
      <w:pPr>
        <w:spacing w:line="276" w:lineRule="auto"/>
        <w:ind w:firstLine="720"/>
        <w:rPr>
          <w:rFonts w:eastAsia="Times New Roman" w:cs="Times New Roman"/>
          <w:szCs w:val="24"/>
        </w:rPr>
      </w:pPr>
      <w:r w:rsidRPr="7842FC33">
        <w:rPr>
          <w:rFonts w:eastAsia="Times New Roman" w:cs="Times New Roman"/>
          <w:szCs w:val="24"/>
        </w:rPr>
        <w:t xml:space="preserve">Elektroniskie darījumu attaisnojuma dokumenti pakāpeniski tiek ieviesti arī transporta loģistikas sfērā (CMR – </w:t>
      </w:r>
      <w:r w:rsidR="00736888" w:rsidRPr="00736888">
        <w:rPr>
          <w:rFonts w:eastAsia="Times New Roman" w:cs="Times New Roman"/>
          <w:szCs w:val="24"/>
        </w:rPr>
        <w:t>kravas pavadzīmes pārvadājumos ar autotransportu konvencijas par kravu starptautisko autopārvadājumu līgumu ietvaros</w:t>
      </w:r>
      <w:r w:rsidRPr="7842FC33">
        <w:rPr>
          <w:rFonts w:eastAsia="Times New Roman" w:cs="Times New Roman"/>
          <w:szCs w:val="24"/>
        </w:rPr>
        <w:t>, SKLOIS – kravu dokumentācija informatīvās sistēma ietvaros preču kustības harmonizācijai jūras transportā utt.). Arī mazumtirdzniecības sfērā veiktās kases aparātu un sistēmu reformas nodrošina vienlīdzīgākus konkurences apstākļus biznesa vidē un uzlabo nodokļu kontroles procesa efektivitāti mazumtirdzniecības segmentā. Tas nozīmē, ka</w:t>
      </w:r>
      <w:r w:rsidR="0080173A">
        <w:rPr>
          <w:rFonts w:eastAsia="Times New Roman" w:cs="Times New Roman"/>
          <w:szCs w:val="24"/>
        </w:rPr>
        <w:t>,</w:t>
      </w:r>
      <w:r w:rsidRPr="7842FC33">
        <w:rPr>
          <w:rFonts w:eastAsia="Times New Roman" w:cs="Times New Roman"/>
          <w:szCs w:val="24"/>
        </w:rPr>
        <w:t xml:space="preserve"> plānojot jaunos tehnoloģiskos platformas risinājumus, būtu jāparedz iespēja tajā iekļaut arī š</w:t>
      </w:r>
      <w:r w:rsidR="00EE2F9D">
        <w:rPr>
          <w:rFonts w:eastAsia="Times New Roman" w:cs="Times New Roman"/>
          <w:szCs w:val="24"/>
        </w:rPr>
        <w:t>os augstāk minētos un arī citus</w:t>
      </w:r>
      <w:r w:rsidRPr="7842FC33">
        <w:rPr>
          <w:rFonts w:eastAsia="Times New Roman" w:cs="Times New Roman"/>
          <w:szCs w:val="24"/>
        </w:rPr>
        <w:t xml:space="preserve"> risinājumus, kuriem būs kopīga elektroniskās vides </w:t>
      </w:r>
      <w:r w:rsidRPr="7842FC33">
        <w:rPr>
          <w:rFonts w:eastAsia="Times New Roman" w:cs="Times New Roman"/>
          <w:szCs w:val="24"/>
        </w:rPr>
        <w:lastRenderedPageBreak/>
        <w:t>lietotāju autentifikācija, verifikācija, nosūtīšana, notifikācija utt., saglabājot specifiskās un atšķirīgās tendences pašu dokumentu sagatavošanas sadaļā.</w:t>
      </w:r>
    </w:p>
    <w:p w14:paraId="457D7922" w14:textId="35954F8F" w:rsidR="00660340" w:rsidRDefault="7C222338" w:rsidP="00C243E0">
      <w:pPr>
        <w:spacing w:line="276" w:lineRule="auto"/>
        <w:ind w:firstLine="720"/>
        <w:rPr>
          <w:rFonts w:eastAsia="Times New Roman" w:cs="Times New Roman"/>
          <w:szCs w:val="24"/>
        </w:rPr>
      </w:pPr>
      <w:r w:rsidRPr="7842FC33">
        <w:rPr>
          <w:rFonts w:eastAsia="Times New Roman" w:cs="Times New Roman"/>
          <w:szCs w:val="24"/>
        </w:rPr>
        <w:t>Elektroniska datu apmaiņas platforma ieviestu izmaiņas dokumentu aprites vidē un nodrošinātu valsts institūciju efektīvāku darbu, veicot sa</w:t>
      </w:r>
      <w:r w:rsidR="00DB2F6C">
        <w:rPr>
          <w:rFonts w:eastAsia="Times New Roman" w:cs="Times New Roman"/>
          <w:szCs w:val="24"/>
        </w:rPr>
        <w:t>vus tiešos pienākumus. Savukārt</w:t>
      </w:r>
      <w:r w:rsidRPr="7842FC33">
        <w:rPr>
          <w:rFonts w:eastAsia="Times New Roman" w:cs="Times New Roman"/>
          <w:szCs w:val="24"/>
        </w:rPr>
        <w:t xml:space="preserve"> </w:t>
      </w:r>
      <w:r w:rsidR="001C44F6" w:rsidRPr="7842FC33">
        <w:rPr>
          <w:rFonts w:eastAsia="Times New Roman" w:cs="Times New Roman"/>
          <w:szCs w:val="24"/>
        </w:rPr>
        <w:t xml:space="preserve">valsts institūcijām </w:t>
      </w:r>
      <w:r w:rsidRPr="7842FC33">
        <w:rPr>
          <w:rFonts w:eastAsia="Times New Roman" w:cs="Times New Roman"/>
          <w:szCs w:val="24"/>
        </w:rPr>
        <w:t xml:space="preserve">tas ļautu nodrošināt daudzus jaunus pakalpojumus, kas vērsti pakalpojumu kvalitātes uzlabošanai, piemēram, veicot </w:t>
      </w:r>
      <w:proofErr w:type="spellStart"/>
      <w:r w:rsidRPr="7842FC33">
        <w:rPr>
          <w:rFonts w:eastAsia="Times New Roman" w:cs="Times New Roman"/>
          <w:szCs w:val="24"/>
        </w:rPr>
        <w:t>proaktīvu</w:t>
      </w:r>
      <w:proofErr w:type="spellEnd"/>
      <w:r w:rsidRPr="7842FC33">
        <w:rPr>
          <w:rFonts w:eastAsia="Times New Roman" w:cs="Times New Roman"/>
          <w:szCs w:val="24"/>
        </w:rPr>
        <w:t xml:space="preserve"> datu aizpildīšanu nodokļu atskaitēs, darījuma attaisnojuma dokumentu nepieprasīšanu, ja strukturētie dati jau ir nonākuši VID rīcībā. </w:t>
      </w:r>
    </w:p>
    <w:p w14:paraId="5F8AB1F1" w14:textId="406E2990" w:rsidR="000B3920" w:rsidRPr="000B3920" w:rsidRDefault="7C222338" w:rsidP="00C243E0">
      <w:pPr>
        <w:spacing w:line="276" w:lineRule="auto"/>
        <w:ind w:firstLine="720"/>
      </w:pPr>
      <w:r w:rsidRPr="7842FC33">
        <w:rPr>
          <w:rFonts w:eastAsia="Times New Roman" w:cs="Times New Roman"/>
          <w:szCs w:val="24"/>
        </w:rPr>
        <w:t xml:space="preserve">Vadoties no to valstu pieredzes, kurās ieviesta pilnīga vai daļēja attaisnojuma dokumentu (e-rēķinu, e-pavadzīmju) aprite, jāsecina, </w:t>
      </w:r>
      <w:r w:rsidR="00B37E5C" w:rsidRPr="7842FC33">
        <w:rPr>
          <w:rFonts w:eastAsia="Times New Roman" w:cs="Times New Roman"/>
          <w:szCs w:val="24"/>
        </w:rPr>
        <w:t>ka</w:t>
      </w:r>
      <w:r w:rsidR="00B37E5C">
        <w:t xml:space="preserve"> ieguvums</w:t>
      </w:r>
      <w:r w:rsidR="000B3920">
        <w:t xml:space="preserve"> šādu </w:t>
      </w:r>
      <w:r w:rsidR="38852CC8" w:rsidRPr="7842FC33">
        <w:rPr>
          <w:rFonts w:eastAsia="Times New Roman" w:cs="Times New Roman"/>
          <w:szCs w:val="24"/>
        </w:rPr>
        <w:t xml:space="preserve">attaisnojuma dokumentu elektroniskas aprites </w:t>
      </w:r>
      <w:r w:rsidR="000B3920">
        <w:t>sistēmu ieviešanai būtu dokumentu sistematizācija pēc vienota parauga, tādējādi samazinoties kļūdu riskam, noformējot dokumentus, kā arī iespēja salāgot grāmatvedības sistēmas ar e-rēķinu sistēmu un VID, tādējādi nodrošinot ātrāku informācijas apriti, jo dokumenti atradīsies vienkopus un nodokļu maksātājiem samazināsies izmaksas saistībā ar papīra dokumentiem un to apriti. E-rēķinu un e-pavadzīmju izmantošana varēs kļūt par efektīvu instru</w:t>
      </w:r>
      <w:r w:rsidR="00DB2F6C">
        <w:t>mentu ēnu ekonomikas mazināšanā</w:t>
      </w:r>
      <w:r w:rsidR="000B3920">
        <w:t xml:space="preserve"> – palielinātos VID darba efektivitāte, kā arī nodokļu maksātājiem būtu mazāk iespēju veikt darījumus, nenoformējot attaisnojuma dokumentus, noformēt tos ar atpakaļejošu datumu vai noformēt dokumentu par faktiski nenotikušiem darījumiem. Tas mazinātu iespēju izvairīties no nodokļu nomaksas, tādējādi samazinātos nodokļu saistību neizpildes risks.</w:t>
      </w:r>
    </w:p>
    <w:p w14:paraId="66D94C55" w14:textId="7028027A" w:rsidR="000B3920" w:rsidRPr="000B3920" w:rsidRDefault="000B3920" w:rsidP="00C243E0">
      <w:pPr>
        <w:spacing w:line="276" w:lineRule="auto"/>
        <w:ind w:firstLine="720"/>
      </w:pPr>
      <w:r>
        <w:t>Elektronisk</w:t>
      </w:r>
      <w:r w:rsidR="5A296C8F">
        <w:t>o dokumentu</w:t>
      </w:r>
      <w:r>
        <w:t xml:space="preserve"> aprites priekšrocības </w:t>
      </w:r>
      <w:r w:rsidR="5358FDB6">
        <w:t>varētu tikt</w:t>
      </w:r>
      <w:r w:rsidR="3916A17B">
        <w:t xml:space="preserve"> </w:t>
      </w:r>
      <w:r>
        <w:t>izmantotas analīzei un nodokļu maksātāju segmentācijai, lai veiktu kvalitatīvākus un pamatotākus kontroles pasākumus, izvērtējot deklarācijās uzrādīto darījumu pamatotību. Kā arī tiktu veicināta labprātīgas nodokļu nomaksas izpildes pieaugums, jo VID rīcībā būs papildus informācija, kuru atsevišķi nevajadzēs pieprasīt nodokļu maksātajiem.</w:t>
      </w:r>
    </w:p>
    <w:p w14:paraId="1F6DC620" w14:textId="5206574D" w:rsidR="7842FC33" w:rsidRPr="00DB2F6C" w:rsidRDefault="242941D0" w:rsidP="00C243E0">
      <w:pPr>
        <w:spacing w:line="276" w:lineRule="auto"/>
        <w:ind w:firstLine="720"/>
        <w:rPr>
          <w:rFonts w:eastAsia="Times New Roman" w:cs="Times New Roman"/>
          <w:szCs w:val="24"/>
        </w:rPr>
      </w:pPr>
      <w:r w:rsidRPr="7842FC33">
        <w:rPr>
          <w:rFonts w:eastAsia="Times New Roman" w:cs="Times New Roman"/>
          <w:szCs w:val="24"/>
        </w:rPr>
        <w:t>Elektroniskā formā esošie strukturētie dati nodrošinātu riska analīzi un riska kritēriju izveidi, pamatojoties no e-rēķinos un e-pavadzīmēs iegūto informāciju attiecībā uz:</w:t>
      </w:r>
    </w:p>
    <w:p w14:paraId="21ACEBCD" w14:textId="77777777" w:rsidR="000B3920" w:rsidRPr="000B3920" w:rsidRDefault="000B3920" w:rsidP="00C243E0">
      <w:pPr>
        <w:numPr>
          <w:ilvl w:val="0"/>
          <w:numId w:val="21"/>
        </w:numPr>
        <w:spacing w:line="276" w:lineRule="auto"/>
      </w:pPr>
      <w:r w:rsidRPr="000B3920">
        <w:t>nodokļu maksātāju (īpaši par nodokļu maksātājiem, kuri nav PVN maksātāji) darījumiem un to apjomiem;</w:t>
      </w:r>
    </w:p>
    <w:p w14:paraId="01DEE70D" w14:textId="5D002B35" w:rsidR="000B3920" w:rsidRPr="000B3920" w:rsidRDefault="000B3920" w:rsidP="00C243E0">
      <w:pPr>
        <w:numPr>
          <w:ilvl w:val="0"/>
          <w:numId w:val="21"/>
        </w:numPr>
        <w:spacing w:line="276" w:lineRule="auto"/>
      </w:pPr>
      <w:r w:rsidRPr="000B3920">
        <w:t>nodokļu maksātājam neraksturīgo preču p</w:t>
      </w:r>
      <w:r w:rsidR="00BD71B8">
        <w:t>ārdošanu/pakalpojumu sniegšanu;</w:t>
      </w:r>
    </w:p>
    <w:p w14:paraId="5F528D73" w14:textId="77777777" w:rsidR="000B3920" w:rsidRPr="000B3920" w:rsidRDefault="000B3920" w:rsidP="00C243E0">
      <w:pPr>
        <w:numPr>
          <w:ilvl w:val="0"/>
          <w:numId w:val="21"/>
        </w:numPr>
        <w:spacing w:line="276" w:lineRule="auto"/>
      </w:pPr>
      <w:r w:rsidRPr="000B3920">
        <w:t>darījumiem ar riskantajiem darījumu partneriem;</w:t>
      </w:r>
    </w:p>
    <w:p w14:paraId="7D0969AA" w14:textId="77777777" w:rsidR="000B3920" w:rsidRPr="000B3920" w:rsidRDefault="000B3920" w:rsidP="00C243E0">
      <w:pPr>
        <w:numPr>
          <w:ilvl w:val="0"/>
          <w:numId w:val="21"/>
        </w:numPr>
        <w:spacing w:line="276" w:lineRule="auto"/>
      </w:pPr>
      <w:r w:rsidRPr="000B3920">
        <w:t>neatbilstībām starp PVN deklarācijās un uzņēmumu gada pārskatos deklarēto un e-rēķinos uzrādīto apgrozījumu;</w:t>
      </w:r>
    </w:p>
    <w:p w14:paraId="6D279D62" w14:textId="77777777" w:rsidR="000B3920" w:rsidRPr="000B3920" w:rsidRDefault="000B3920" w:rsidP="00C243E0">
      <w:pPr>
        <w:numPr>
          <w:ilvl w:val="0"/>
          <w:numId w:val="21"/>
        </w:numPr>
        <w:spacing w:line="276" w:lineRule="auto"/>
      </w:pPr>
      <w:r w:rsidRPr="000B3920">
        <w:t>neatbilstībām starp nodokļu maksātāja un darījumu partneru deklarēto darījumu veidu un apjomu".</w:t>
      </w:r>
    </w:p>
    <w:p w14:paraId="23CDB7E8" w14:textId="3F5140EE" w:rsidR="000B3920" w:rsidRPr="000B3920" w:rsidRDefault="3E4BB5E1" w:rsidP="00C243E0">
      <w:pPr>
        <w:spacing w:line="276" w:lineRule="auto"/>
        <w:ind w:firstLine="720"/>
      </w:pPr>
      <w:r>
        <w:t xml:space="preserve">Tāpat tiktu </w:t>
      </w:r>
      <w:r w:rsidR="2CC90C0D">
        <w:t>n</w:t>
      </w:r>
      <w:r w:rsidR="000B3920">
        <w:t>odrošināt</w:t>
      </w:r>
      <w:r w:rsidR="50FFC7BE">
        <w:t>a</w:t>
      </w:r>
      <w:r w:rsidR="000B3920">
        <w:t xml:space="preserve"> savlaicīg</w:t>
      </w:r>
      <w:r w:rsidR="7CDC6BDE">
        <w:t>a</w:t>
      </w:r>
      <w:r w:rsidR="000B3920">
        <w:t xml:space="preserve"> saimnieciskās darbības ierobežojošo pasākumu </w:t>
      </w:r>
      <w:r w:rsidR="00BD71B8">
        <w:t>īstenošana</w:t>
      </w:r>
      <w:r w:rsidR="000B3920">
        <w:t>, audita veikšan</w:t>
      </w:r>
      <w:r w:rsidR="16D442DD">
        <w:t>a</w:t>
      </w:r>
      <w:r w:rsidR="000B3920">
        <w:t xml:space="preserve">, lai gūtu pārliecību par nodokļu un nodevu, kā arī citu valsts noteikto maksājumu aprēķināšanas un maksāšanas pareizību un atbilstību </w:t>
      </w:r>
      <w:r w:rsidR="000B3920">
        <w:lastRenderedPageBreak/>
        <w:t>normatīvajos aktos noteiktajām prasībām un auditējamā nodokļu maksātāja uzvedību aktuālajā periodā.</w:t>
      </w:r>
    </w:p>
    <w:p w14:paraId="26150A23" w14:textId="1C2AE3D9" w:rsidR="000B3920" w:rsidRDefault="303ACA1F" w:rsidP="00C243E0">
      <w:pPr>
        <w:spacing w:line="276" w:lineRule="auto"/>
        <w:ind w:firstLine="720"/>
      </w:pPr>
      <w:r w:rsidRPr="7842FC33">
        <w:rPr>
          <w:rFonts w:eastAsia="Times New Roman" w:cs="Times New Roman"/>
          <w:szCs w:val="24"/>
        </w:rPr>
        <w:t>Akcīzes preču aprites jomā tiktu radīta i</w:t>
      </w:r>
      <w:r w:rsidR="000B3920">
        <w:t xml:space="preserve">espēja </w:t>
      </w:r>
      <w:r w:rsidR="00872008" w:rsidRPr="00872008">
        <w:t xml:space="preserve">tūlītēji tiešsaistes režīmā VID </w:t>
      </w:r>
      <w:r w:rsidR="000B3920">
        <w:t>iegūt apliecinājumu</w:t>
      </w:r>
      <w:r w:rsidR="00872008">
        <w:t xml:space="preserve"> </w:t>
      </w:r>
      <w:r w:rsidR="00872008" w:rsidRPr="00872008">
        <w:t>(tādējādi būtiski mazinot finansi</w:t>
      </w:r>
      <w:r w:rsidR="00872008">
        <w:t xml:space="preserve">ālo slogu nodokļu maksātājiem), </w:t>
      </w:r>
      <w:r w:rsidR="000B3920">
        <w:t>ka neharmonizētās preces, attiecībā uz kurām apstiprinātam noliktavas turētājam atļauts piemērot atlikto nodokļa maksāšanu un uz kurām neattiecas Komisijas regulā Nr. 684/2009</w:t>
      </w:r>
      <w:r w:rsidR="0C1B7EA6">
        <w:t xml:space="preserve"> </w:t>
      </w:r>
      <w:r w:rsidR="0C1B7EA6" w:rsidRPr="7842FC33">
        <w:rPr>
          <w:rFonts w:eastAsia="Times New Roman" w:cs="Times New Roman"/>
          <w:szCs w:val="24"/>
        </w:rPr>
        <w:t>ar ko īsteno Padomes Direktīvu 2008/118/EK attiecībā uz datorizētām procedūrām akcīzes preču pārvietošanai atliktās nodokļa maksāšanas režīmā</w:t>
      </w:r>
      <w:r w:rsidR="000B3920">
        <w:t xml:space="preserve"> noteiktais dokuments un datorizētās sistēmas izmantošanas nosacījumi, tiek pārvietotas atbilstoši likumā "Par akcīzes nodokli" noteiktajam un korekti tiek aprēķināts akcīzes nodoklis. </w:t>
      </w:r>
      <w:r w:rsidR="00872008" w:rsidRPr="00872008">
        <w:t xml:space="preserve">Tiešsaistes režīmā saņemti </w:t>
      </w:r>
      <w:r w:rsidR="00872008">
        <w:t>pavaddokumenti vai</w:t>
      </w:r>
      <w:r w:rsidR="000B3920">
        <w:t xml:space="preserve"> to uzskaitījums kalpo</w:t>
      </w:r>
      <w:r w:rsidR="1382A8B6">
        <w:t>tu</w:t>
      </w:r>
      <w:r w:rsidR="000B3920">
        <w:t xml:space="preserve"> par pamatu, lai tiktu piemērots atliktais akcīzes nodokļa maksāšanas re</w:t>
      </w:r>
      <w:r w:rsidR="00872008">
        <w:t xml:space="preserve">žīms, </w:t>
      </w:r>
      <w:r w:rsidR="00872008" w:rsidRPr="00872008">
        <w:t>mazinot administratīvo slogu maksātājiem tos īpaši sagatavot pievienošanai nodokļu deklarācijām.</w:t>
      </w:r>
    </w:p>
    <w:p w14:paraId="3473C603" w14:textId="0E5ECA41" w:rsidR="00872008" w:rsidRPr="000B3920" w:rsidRDefault="00872008" w:rsidP="00C243E0">
      <w:pPr>
        <w:spacing w:line="276" w:lineRule="auto"/>
        <w:ind w:firstLine="720"/>
      </w:pPr>
      <w:r w:rsidRPr="00872008">
        <w:t xml:space="preserve">Ņemot vērā augstos akcīzes nodokļa </w:t>
      </w:r>
      <w:proofErr w:type="spellStart"/>
      <w:r w:rsidRPr="00872008">
        <w:t>nenomaksas</w:t>
      </w:r>
      <w:proofErr w:type="spellEnd"/>
      <w:r w:rsidRPr="00872008">
        <w:t xml:space="preserve"> un nelegālas preču aprites riskus, īpaši naftas produktiem, akcīzes jomā īpaši svarīgi būtu preču plūsmas izsekojamības nodrošināšana, līdzīgi kā tas jau realizēts visā ES attiecībā uz tabakas izstrādājumiem, ieviešot “</w:t>
      </w:r>
      <w:proofErr w:type="spellStart"/>
      <w:r w:rsidRPr="00872008">
        <w:t>Track&amp;Trace</w:t>
      </w:r>
      <w:proofErr w:type="spellEnd"/>
      <w:r w:rsidRPr="00872008">
        <w:t xml:space="preserve">” sistēmu </w:t>
      </w:r>
      <w:r w:rsidR="0007532B">
        <w:t xml:space="preserve">– </w:t>
      </w:r>
      <w:r w:rsidRPr="00872008">
        <w:t>elektronisko preču pavadd</w:t>
      </w:r>
      <w:r>
        <w:t>o</w:t>
      </w:r>
      <w:r w:rsidRPr="00872008">
        <w:t xml:space="preserve">kumentu pieejamība tiešsaistes režīmā, sasaistot preču ražošanu/sajaukšanu ar pārvietojumiem un uzskaiti noliktavās, izmantojot </w:t>
      </w:r>
      <w:r w:rsidR="009D0699">
        <w:t>izsekojamības</w:t>
      </w:r>
      <w:r w:rsidRPr="00872008">
        <w:t xml:space="preserve"> principu, tai skaitā </w:t>
      </w:r>
      <w:r w:rsidR="009D0699">
        <w:t xml:space="preserve">nākotnē, iespējams, </w:t>
      </w:r>
      <w:r w:rsidRPr="00872008">
        <w:t>radot iespēju izsekot pārvadājumus un paredzot iespēju izmantot pārvadātāju GPS sistēmas integrāciju.</w:t>
      </w:r>
    </w:p>
    <w:p w14:paraId="40DDF194" w14:textId="560A7A28" w:rsidR="000B3920" w:rsidRDefault="73F85203" w:rsidP="00C243E0">
      <w:pPr>
        <w:spacing w:line="276" w:lineRule="auto"/>
        <w:ind w:firstLine="720"/>
        <w:rPr>
          <w:rFonts w:eastAsia="Times New Roman" w:cs="Times New Roman"/>
        </w:rPr>
      </w:pPr>
      <w:r w:rsidRPr="76E9E50D">
        <w:rPr>
          <w:rFonts w:eastAsia="Times New Roman" w:cs="Times New Roman"/>
        </w:rPr>
        <w:t xml:space="preserve">Elektroniskā vidē esošā informācija ir būtiska, lai apkarotu noziedzīgus nodarījumus nodokļu un muitas jomā, t.sk. preču izvešanas ārpus Eiropas Savienības teritorijas fakta apstiprināšanai </w:t>
      </w:r>
      <w:proofErr w:type="spellStart"/>
      <w:r w:rsidRPr="76E9E50D">
        <w:rPr>
          <w:rFonts w:eastAsia="Times New Roman" w:cs="Times New Roman"/>
        </w:rPr>
        <w:t>robežšķēr</w:t>
      </w:r>
      <w:r w:rsidR="00ED1291">
        <w:rPr>
          <w:rFonts w:eastAsia="Times New Roman" w:cs="Times New Roman"/>
        </w:rPr>
        <w:t>s</w:t>
      </w:r>
      <w:r w:rsidR="00BD71B8">
        <w:rPr>
          <w:rFonts w:eastAsia="Times New Roman" w:cs="Times New Roman"/>
        </w:rPr>
        <w:t>ošanas</w:t>
      </w:r>
      <w:proofErr w:type="spellEnd"/>
      <w:r w:rsidR="00BD71B8">
        <w:rPr>
          <w:rFonts w:eastAsia="Times New Roman" w:cs="Times New Roman"/>
        </w:rPr>
        <w:t xml:space="preserve"> vietā. T</w:t>
      </w:r>
      <w:r w:rsidRPr="76E9E50D">
        <w:rPr>
          <w:rFonts w:eastAsia="Times New Roman" w:cs="Times New Roman"/>
        </w:rPr>
        <w:t xml:space="preserve">iktu nodrošināta ticama informācija, lai veiktu analīzi un novērtēšanu </w:t>
      </w:r>
      <w:proofErr w:type="spellStart"/>
      <w:r w:rsidRPr="76E9E50D">
        <w:rPr>
          <w:rFonts w:eastAsia="Times New Roman" w:cs="Times New Roman"/>
        </w:rPr>
        <w:t>kriminālizlūkošanas</w:t>
      </w:r>
      <w:proofErr w:type="spellEnd"/>
      <w:r w:rsidRPr="76E9E50D">
        <w:rPr>
          <w:rFonts w:eastAsia="Times New Roman" w:cs="Times New Roman"/>
        </w:rPr>
        <w:t xml:space="preserve"> un operatīvās darbības īstenošanas vajadzībām.</w:t>
      </w:r>
    </w:p>
    <w:p w14:paraId="6D9F5774" w14:textId="4C05DBC4" w:rsidR="73F85203" w:rsidRDefault="73F85203" w:rsidP="00C243E0">
      <w:pPr>
        <w:spacing w:line="276" w:lineRule="auto"/>
        <w:ind w:firstLine="720"/>
        <w:rPr>
          <w:rFonts w:eastAsia="Times New Roman" w:cs="Times New Roman"/>
          <w:szCs w:val="24"/>
        </w:rPr>
      </w:pPr>
      <w:r w:rsidRPr="7842FC33">
        <w:rPr>
          <w:rFonts w:eastAsia="Times New Roman" w:cs="Times New Roman"/>
          <w:szCs w:val="24"/>
        </w:rPr>
        <w:t>Vērtējot VID funkcijas un uzdevumus nodokļu administrēšanas jomā, muitas jomā un noziedzības apkarošanas jomā nodokļu un muitas sfērās, var noteikt šādus galvenos ieguvumus darījumu attaisnojuma dokumentu elektroniskas aprites sistēmas ieviešanā:</w:t>
      </w:r>
    </w:p>
    <w:p w14:paraId="252548A7" w14:textId="77777777" w:rsidR="000B3920" w:rsidRPr="000B3920" w:rsidRDefault="000B3920" w:rsidP="00C243E0">
      <w:pPr>
        <w:numPr>
          <w:ilvl w:val="0"/>
          <w:numId w:val="20"/>
        </w:numPr>
        <w:spacing w:line="276" w:lineRule="auto"/>
      </w:pPr>
      <w:r w:rsidRPr="000B3920">
        <w:t>nodokļu maksātāju izmaksu samazinājums sakarā ar vienotu un saprotamu sistēmu;</w:t>
      </w:r>
    </w:p>
    <w:p w14:paraId="22610836" w14:textId="77777777" w:rsidR="000B3920" w:rsidRPr="000B3920" w:rsidRDefault="000B3920" w:rsidP="00C243E0">
      <w:pPr>
        <w:numPr>
          <w:ilvl w:val="0"/>
          <w:numId w:val="20"/>
        </w:numPr>
        <w:spacing w:line="276" w:lineRule="auto"/>
      </w:pPr>
      <w:r w:rsidRPr="000B3920">
        <w:t>droša, ērta attaisnojuma dokumentu uzglabāšana un arhīva uzturēšana;</w:t>
      </w:r>
    </w:p>
    <w:p w14:paraId="7F84CC6A" w14:textId="2AE88D61" w:rsidR="000B3920" w:rsidRPr="000B3920" w:rsidRDefault="000B3920" w:rsidP="00C243E0">
      <w:pPr>
        <w:numPr>
          <w:ilvl w:val="0"/>
          <w:numId w:val="20"/>
        </w:numPr>
        <w:spacing w:line="276" w:lineRule="auto"/>
      </w:pPr>
      <w:r>
        <w:t>informācijas ielasīšanās PVN</w:t>
      </w:r>
      <w:r w:rsidR="00FD43D5">
        <w:t xml:space="preserve"> </w:t>
      </w:r>
      <w:r w:rsidR="3CB93991">
        <w:t xml:space="preserve">un akcīzes nodokļa </w:t>
      </w:r>
      <w:r>
        <w:t>deklarācijās</w:t>
      </w:r>
      <w:r w:rsidR="49731BBB">
        <w:t>, kā arī akcīzes preču aprites pārskatos</w:t>
      </w:r>
      <w:r>
        <w:t>;</w:t>
      </w:r>
    </w:p>
    <w:p w14:paraId="24A305AE" w14:textId="77777777" w:rsidR="000B3920" w:rsidRPr="000B3920" w:rsidRDefault="000B3920" w:rsidP="00C243E0">
      <w:pPr>
        <w:numPr>
          <w:ilvl w:val="0"/>
          <w:numId w:val="20"/>
        </w:numPr>
        <w:spacing w:line="276" w:lineRule="auto"/>
      </w:pPr>
      <w:r w:rsidRPr="000B3920">
        <w:t>operatīva un ērta sadarbība ar nodokļu administrāciju, kas netieši var ietekmēt komersantu izmaksas, pildot nodokļu normatīvajos aktos paredzētus pienākumus (samazinātos VID pieprasījumi pēc papildu informācijas, kad tiek veikti kontroles pasākumi, jo daļa informācijas būtu jau VID rīcībā);</w:t>
      </w:r>
    </w:p>
    <w:p w14:paraId="1D1DB1C4" w14:textId="77777777" w:rsidR="000B3920" w:rsidRPr="000B3920" w:rsidRDefault="000B3920" w:rsidP="00C243E0">
      <w:pPr>
        <w:numPr>
          <w:ilvl w:val="0"/>
          <w:numId w:val="20"/>
        </w:numPr>
        <w:spacing w:line="276" w:lineRule="auto"/>
      </w:pPr>
      <w:r w:rsidRPr="000B3920">
        <w:t>administratīvā sloga samazināšanās, jo nodokļu maksātājam nebūs VID jāiesniedz darījumus apliecinošu dokumentu kopijas;</w:t>
      </w:r>
    </w:p>
    <w:p w14:paraId="17395F9B" w14:textId="77777777" w:rsidR="000B3920" w:rsidRPr="000B3920" w:rsidRDefault="000B3920" w:rsidP="00C243E0">
      <w:pPr>
        <w:numPr>
          <w:ilvl w:val="0"/>
          <w:numId w:val="20"/>
        </w:numPr>
        <w:spacing w:line="276" w:lineRule="auto"/>
      </w:pPr>
      <w:r w:rsidRPr="000B3920">
        <w:lastRenderedPageBreak/>
        <w:t>plašāka datu bāze analīzei, lai varētu kvalitatīvāk segmentēt nodokļu maksātājus;</w:t>
      </w:r>
    </w:p>
    <w:p w14:paraId="0F158804" w14:textId="252A3DE7" w:rsidR="000B3920" w:rsidRPr="000B3920" w:rsidRDefault="000B3920" w:rsidP="00C243E0">
      <w:pPr>
        <w:numPr>
          <w:ilvl w:val="0"/>
          <w:numId w:val="20"/>
        </w:numPr>
        <w:spacing w:line="276" w:lineRule="auto"/>
      </w:pPr>
      <w:r w:rsidRPr="000B3920">
        <w:t>samazinās informācijas iegūšanas laiks, tādējādi samazinās nodokļu nomaksas veicināšanas pasākuma veikšanas ilg</w:t>
      </w:r>
      <w:r w:rsidR="00CB7ADE">
        <w:t>umu, kā arī samazinot to skaitu;</w:t>
      </w:r>
    </w:p>
    <w:p w14:paraId="480FB89A" w14:textId="7EAB6722" w:rsidR="000B3920" w:rsidRPr="000B3920" w:rsidRDefault="1E4522B9" w:rsidP="00C243E0">
      <w:pPr>
        <w:numPr>
          <w:ilvl w:val="0"/>
          <w:numId w:val="20"/>
        </w:numPr>
        <w:spacing w:line="276" w:lineRule="auto"/>
      </w:pPr>
      <w:r>
        <w:t>i</w:t>
      </w:r>
      <w:r w:rsidR="000B3920">
        <w:t>espēja ātrāk veikt preventīvos pasākumus un laicīgi identificēt iespējamos pārkāpumus;</w:t>
      </w:r>
    </w:p>
    <w:p w14:paraId="1E29B9CC" w14:textId="6FB7D970" w:rsidR="000B3920" w:rsidRPr="000B3920" w:rsidRDefault="000B3920" w:rsidP="00C243E0">
      <w:pPr>
        <w:numPr>
          <w:ilvl w:val="0"/>
          <w:numId w:val="20"/>
        </w:numPr>
        <w:spacing w:line="276" w:lineRule="auto"/>
      </w:pPr>
      <w:r>
        <w:t xml:space="preserve">samazinātos nodokļu krāpšanās iespējas un </w:t>
      </w:r>
      <w:r w:rsidR="1B90A7F1">
        <w:t xml:space="preserve">tiktu </w:t>
      </w:r>
      <w:r>
        <w:t>veicināt</w:t>
      </w:r>
      <w:r w:rsidR="1DBD7EFF">
        <w:t>a</w:t>
      </w:r>
      <w:r>
        <w:t xml:space="preserve"> uzņēmējdarbības vides sakārtošan</w:t>
      </w:r>
      <w:r w:rsidR="3F17F820">
        <w:t>a</w:t>
      </w:r>
      <w:r>
        <w:t>;</w:t>
      </w:r>
    </w:p>
    <w:p w14:paraId="41C99662" w14:textId="294D3532" w:rsidR="000B3920" w:rsidRPr="000B3920" w:rsidRDefault="000B3920" w:rsidP="00C243E0">
      <w:pPr>
        <w:numPr>
          <w:ilvl w:val="0"/>
          <w:numId w:val="20"/>
        </w:numPr>
        <w:spacing w:line="276" w:lineRule="auto"/>
      </w:pPr>
      <w:r>
        <w:t xml:space="preserve">rēķinu transformācijas uz konkrētā nodokļu maksātāja grāmatvedības reģistriem, tādējādi sniedzot iespēju automatizēt procesus grāmatvedībā, palīdzot nodokļu maksātājiem izveidot </w:t>
      </w:r>
      <w:proofErr w:type="spellStart"/>
      <w:r>
        <w:t>kredītkontroli</w:t>
      </w:r>
      <w:proofErr w:type="spellEnd"/>
      <w:r>
        <w:t>, apkopot informāciju par darījumu partneru maksājumu kultūru, kā arī atvieglotu maksājumu veikšanu, sistematizējot un nodrošinot kontroli par saņemtajiem rēķiniem</w:t>
      </w:r>
      <w:r w:rsidR="00F119D8">
        <w:t>;</w:t>
      </w:r>
    </w:p>
    <w:p w14:paraId="6D9B0E2F" w14:textId="7F2639A0" w:rsidR="000B3920" w:rsidRPr="000B3920" w:rsidRDefault="000B3920" w:rsidP="00C243E0">
      <w:pPr>
        <w:numPr>
          <w:ilvl w:val="0"/>
          <w:numId w:val="20"/>
        </w:numPr>
        <w:spacing w:line="276" w:lineRule="auto"/>
      </w:pPr>
      <w:r w:rsidRPr="000B3920">
        <w:t xml:space="preserve">efektīvāka </w:t>
      </w:r>
      <w:r w:rsidR="00567EF7">
        <w:t>PVN</w:t>
      </w:r>
      <w:r w:rsidR="00751254">
        <w:t xml:space="preserve"> administrēšan</w:t>
      </w:r>
      <w:r w:rsidR="00895A25">
        <w:t>a</w:t>
      </w:r>
      <w:r w:rsidR="00751254">
        <w:t>, t.sk.</w:t>
      </w:r>
      <w:r w:rsidR="00567EF7">
        <w:t xml:space="preserve"> – </w:t>
      </w:r>
      <w:r w:rsidR="00751254">
        <w:t>“n</w:t>
      </w:r>
      <w:r w:rsidRPr="000B3920">
        <w:t xml:space="preserve">egatīvu”/”pozitīvu” starpību novēršana </w:t>
      </w:r>
      <w:r w:rsidR="00895A25">
        <w:t>PVN</w:t>
      </w:r>
      <w:r w:rsidRPr="000B3920">
        <w:t xml:space="preserve"> deklarācijā;</w:t>
      </w:r>
    </w:p>
    <w:p w14:paraId="707C0015" w14:textId="577D90DA" w:rsidR="000B3920" w:rsidRPr="000B3920" w:rsidRDefault="00567EF7" w:rsidP="00C243E0">
      <w:pPr>
        <w:numPr>
          <w:ilvl w:val="0"/>
          <w:numId w:val="20"/>
        </w:numPr>
        <w:spacing w:line="276" w:lineRule="auto"/>
      </w:pPr>
      <w:r>
        <w:t>PVN</w:t>
      </w:r>
      <w:r w:rsidR="000B3920">
        <w:t xml:space="preserve"> neatbilstošās likmes piemērošanas varbūtības un </w:t>
      </w:r>
      <w:r w:rsidR="032301E5">
        <w:t xml:space="preserve">apgrieztās jeb reversās </w:t>
      </w:r>
      <w:r>
        <w:t>PVN</w:t>
      </w:r>
      <w:r w:rsidR="032301E5">
        <w:t xml:space="preserve"> maksāšanas kārtības</w:t>
      </w:r>
      <w:r w:rsidR="000B3920">
        <w:t xml:space="preserve"> piemērošanas neatbilstību mazināšana;</w:t>
      </w:r>
    </w:p>
    <w:p w14:paraId="601C0BC1" w14:textId="439CCF6F" w:rsidR="000B3920" w:rsidRPr="000B3920" w:rsidRDefault="000B3920" w:rsidP="00C243E0">
      <w:pPr>
        <w:numPr>
          <w:ilvl w:val="0"/>
          <w:numId w:val="20"/>
        </w:numPr>
        <w:spacing w:line="276" w:lineRule="auto"/>
      </w:pPr>
      <w:r w:rsidRPr="000B3920">
        <w:t xml:space="preserve">operatīva </w:t>
      </w:r>
      <w:r w:rsidR="00567EF7">
        <w:t>PVN</w:t>
      </w:r>
      <w:r w:rsidRPr="000B3920">
        <w:t xml:space="preserve"> </w:t>
      </w:r>
      <w:proofErr w:type="spellStart"/>
      <w:r w:rsidRPr="000B3920">
        <w:t>krāpniecības</w:t>
      </w:r>
      <w:proofErr w:type="spellEnd"/>
      <w:r w:rsidRPr="000B3920">
        <w:t xml:space="preserve"> shēmu identifikācija;</w:t>
      </w:r>
    </w:p>
    <w:p w14:paraId="2EFBDB22" w14:textId="797BDA38" w:rsidR="000B3920" w:rsidRPr="000B3920" w:rsidRDefault="000B3920" w:rsidP="00C243E0">
      <w:pPr>
        <w:numPr>
          <w:ilvl w:val="0"/>
          <w:numId w:val="20"/>
        </w:numPr>
        <w:spacing w:line="276" w:lineRule="auto"/>
      </w:pPr>
      <w:r>
        <w:t xml:space="preserve">izmantojot e-rēķinu sistēmu datu ticamības novērtēšanas procesā būtu iespēja izvērtēt jebkuru </w:t>
      </w:r>
      <w:r w:rsidR="00567EF7">
        <w:t>PVN</w:t>
      </w:r>
      <w:r>
        <w:t xml:space="preserve"> deklarācijā norādīto darījumu, tādējādi novēršot nepamatotu priekšnodokļa atskaitīšanu un PVN pārmaksas atmaksu. Šobrīd </w:t>
      </w:r>
      <w:r w:rsidR="003D1CC4">
        <w:t>PVN</w:t>
      </w:r>
      <w:r>
        <w:t xml:space="preserve"> maksātājam tiek pieprasīta informācija tikai par atsevišķiem PVN deklarācijā deklarētiem darījumiem;</w:t>
      </w:r>
    </w:p>
    <w:p w14:paraId="0F127009" w14:textId="3A40235E" w:rsidR="000B3920" w:rsidRPr="000B3920" w:rsidRDefault="00231DD5" w:rsidP="00C243E0">
      <w:pPr>
        <w:numPr>
          <w:ilvl w:val="0"/>
          <w:numId w:val="20"/>
        </w:numPr>
        <w:spacing w:line="276" w:lineRule="auto"/>
      </w:pPr>
      <w:r>
        <w:t>nodokļu maksātāju rēķinu</w:t>
      </w:r>
      <w:r w:rsidR="000B3920" w:rsidRPr="000B3920">
        <w:t xml:space="preserve"> pieejamība e-rēķinu sistēmā novērstu nodokļu </w:t>
      </w:r>
      <w:proofErr w:type="spellStart"/>
      <w:r w:rsidR="000B3920" w:rsidRPr="000B3920">
        <w:t>nenomaksas</w:t>
      </w:r>
      <w:proofErr w:type="spellEnd"/>
      <w:r w:rsidR="000B3920" w:rsidRPr="000B3920">
        <w:t xml:space="preserve"> riskus, jo VID būtu iespēja pārliecināties, vai ir deklarēti visi realizācijas darījumi;</w:t>
      </w:r>
    </w:p>
    <w:p w14:paraId="5160C416" w14:textId="08C79C3F" w:rsidR="000B3920" w:rsidRPr="000B3920" w:rsidRDefault="000B3920" w:rsidP="00C243E0">
      <w:pPr>
        <w:numPr>
          <w:ilvl w:val="0"/>
          <w:numId w:val="20"/>
        </w:numPr>
        <w:spacing w:line="276" w:lineRule="auto"/>
      </w:pPr>
      <w:r w:rsidRPr="000B3920">
        <w:t>strīdu lietas izskatīšana (nodrošināt administratīvā procesa uzsākšanu, identificēt un kvalificēt nozi</w:t>
      </w:r>
      <w:r w:rsidR="00CB7ADE">
        <w:t>edzīgus nodarījumus).</w:t>
      </w:r>
    </w:p>
    <w:p w14:paraId="15E26192" w14:textId="6B104879" w:rsidR="008D1B24" w:rsidRDefault="53CEF6BE" w:rsidP="00C243E0">
      <w:pPr>
        <w:spacing w:line="276" w:lineRule="auto"/>
        <w:rPr>
          <w:rFonts w:eastAsia="Times New Roman" w:cs="Times New Roman"/>
          <w:szCs w:val="24"/>
        </w:rPr>
      </w:pPr>
      <w:r w:rsidRPr="7842FC33">
        <w:rPr>
          <w:rFonts w:eastAsia="Times New Roman" w:cs="Times New Roman"/>
          <w:szCs w:val="24"/>
        </w:rPr>
        <w:t xml:space="preserve"> </w:t>
      </w:r>
      <w:r w:rsidR="00CB7ADE">
        <w:rPr>
          <w:rFonts w:eastAsia="Times New Roman" w:cs="Times New Roman"/>
          <w:szCs w:val="24"/>
        </w:rPr>
        <w:tab/>
      </w:r>
      <w:r w:rsidRPr="7842FC33">
        <w:rPr>
          <w:rFonts w:eastAsia="Times New Roman" w:cs="Times New Roman"/>
          <w:szCs w:val="24"/>
        </w:rPr>
        <w:t>VID ir veicis aprēķinus par iespējamo fiskālo efektu pirmajā un nākamajos gados pēc e-rēķinu aprites ieviešanas. Elektroniskā vidē esošo datu izmantošana nodokļu administrēšanā sniegs šādas iespējas:</w:t>
      </w:r>
    </w:p>
    <w:p w14:paraId="4929D734" w14:textId="0DF933EE" w:rsidR="000B3920" w:rsidRPr="000B3920" w:rsidRDefault="77C763F1" w:rsidP="00C243E0">
      <w:pPr>
        <w:numPr>
          <w:ilvl w:val="0"/>
          <w:numId w:val="22"/>
        </w:numPr>
        <w:spacing w:line="276" w:lineRule="auto"/>
      </w:pPr>
      <w:r>
        <w:t xml:space="preserve">sniegs iespējas </w:t>
      </w:r>
      <w:r w:rsidR="000B3920">
        <w:t>nodokļu administrācijai ātrāk identificēt nodokļu maksātājus, kuru darījumiem piemīt mākslīgi radītu darījumu raksturs ar mērķi izkrāpt naudas līdzekļus no valsts budžeta PVN pārmaksu veidā (vai samazināt budžetā maksājamo PVN summu) un kuri norāda fiktīvu priekšnodokli savās PVN deklarācijās. Saskaņā ar nodokļu audita rezultātiem par 2019.</w:t>
      </w:r>
      <w:r w:rsidR="00CB7ADE">
        <w:t> </w:t>
      </w:r>
      <w:r w:rsidR="000B3920">
        <w:t xml:space="preserve">gadu PVN deklarācijās norādītais priekšnodoklis samazināts par 19 704 tūkst. </w:t>
      </w:r>
      <w:proofErr w:type="spellStart"/>
      <w:r w:rsidR="00883574" w:rsidRPr="00883574">
        <w:rPr>
          <w:i/>
        </w:rPr>
        <w:t>euro</w:t>
      </w:r>
      <w:proofErr w:type="spellEnd"/>
      <w:r w:rsidR="000B3920">
        <w:t>, jo VID ieskatā vērtējams kā fiktīvs. Ar e-rēķinu ieviešanu š</w:t>
      </w:r>
      <w:r w:rsidR="355A9D30">
        <w:t>ādas darbības</w:t>
      </w:r>
      <w:r w:rsidR="000B3920">
        <w:t xml:space="preserve"> varētu mazināt par 10</w:t>
      </w:r>
      <w:r w:rsidR="00CB7ADE">
        <w:t> </w:t>
      </w:r>
      <w:r w:rsidR="001D7AF9">
        <w:t xml:space="preserve">%. </w:t>
      </w:r>
      <w:r w:rsidR="000B3920">
        <w:t xml:space="preserve">Fiskālo efektu pirmajā gadā pēc e-rēķinu ieviešanas, tas varētu veidot ap - 1 970,4 tūkst. </w:t>
      </w:r>
      <w:proofErr w:type="spellStart"/>
      <w:r w:rsidR="00883574" w:rsidRPr="00883574">
        <w:rPr>
          <w:i/>
        </w:rPr>
        <w:t>euro</w:t>
      </w:r>
      <w:proofErr w:type="spellEnd"/>
      <w:r w:rsidR="000B3920">
        <w:t>;</w:t>
      </w:r>
    </w:p>
    <w:p w14:paraId="6531B1CB" w14:textId="76457B99" w:rsidR="000B3920" w:rsidRPr="000B3920" w:rsidRDefault="000B3920" w:rsidP="00C243E0">
      <w:pPr>
        <w:numPr>
          <w:ilvl w:val="0"/>
          <w:numId w:val="22"/>
        </w:numPr>
        <w:spacing w:line="276" w:lineRule="auto"/>
      </w:pPr>
      <w:r w:rsidRPr="000B3920">
        <w:lastRenderedPageBreak/>
        <w:t>ierobežos ieņēmumu neuzrādīšanas iespēju PVN deklarācijās. 2019.</w:t>
      </w:r>
      <w:r w:rsidR="00CB7ADE">
        <w:t> </w:t>
      </w:r>
      <w:r w:rsidRPr="000B3920">
        <w:t xml:space="preserve">gadā veiktajos nodokļu auditos par ieņēmumu neuzrādīšanu PVN deklarācijās papildus aprēķināti 807 tūkst. </w:t>
      </w:r>
      <w:proofErr w:type="spellStart"/>
      <w:r w:rsidR="00883574" w:rsidRPr="00883574">
        <w:rPr>
          <w:i/>
        </w:rPr>
        <w:t>euro</w:t>
      </w:r>
      <w:proofErr w:type="spellEnd"/>
      <w:r w:rsidRPr="000B3920">
        <w:t xml:space="preserve">. Fiskālo efektu pirmajā gadā pēc e-rēķinu ieviešanas, tas varētu attiecīgi veidot iepriekš aprēķinātos 807 tūkst. </w:t>
      </w:r>
      <w:proofErr w:type="spellStart"/>
      <w:r w:rsidR="00883574" w:rsidRPr="00883574">
        <w:rPr>
          <w:i/>
        </w:rPr>
        <w:t>euro</w:t>
      </w:r>
      <w:proofErr w:type="spellEnd"/>
      <w:r w:rsidRPr="000B3920">
        <w:t>, jo nodokļu maksātājam nebūtu iespējas neuzrādīt ieņēmumus, kas migrētu no e-rēķiniem uz PVN deklarāciju;</w:t>
      </w:r>
    </w:p>
    <w:p w14:paraId="3E7E92A9" w14:textId="7AF66420" w:rsidR="000B3920" w:rsidRPr="000B3920" w:rsidRDefault="000B3920" w:rsidP="00C243E0">
      <w:pPr>
        <w:numPr>
          <w:ilvl w:val="0"/>
          <w:numId w:val="22"/>
        </w:numPr>
        <w:spacing w:line="276" w:lineRule="auto"/>
      </w:pPr>
      <w:r w:rsidRPr="000B3920">
        <w:t>mazinās PVN zaudējumus, nodokļu maksātajiem nereģistrējoties PVN maksātāju reģistrā - 2019.</w:t>
      </w:r>
      <w:r w:rsidR="00CB7ADE">
        <w:t> </w:t>
      </w:r>
      <w:r w:rsidRPr="000B3920">
        <w:t xml:space="preserve">gadā veiktajos nodokļu auditos par nereģistrēšanos PVN maksātāju reģistrā papildus aprēķināti 626,5 tūkst. </w:t>
      </w:r>
      <w:proofErr w:type="spellStart"/>
      <w:r w:rsidR="00883574" w:rsidRPr="00883574">
        <w:rPr>
          <w:i/>
        </w:rPr>
        <w:t>euro</w:t>
      </w:r>
      <w:proofErr w:type="spellEnd"/>
      <w:r w:rsidRPr="000B3920">
        <w:t xml:space="preserve"> – aplēšot fiskālo efektu otrajā un nākamajos gados pēc e- rēķinu ieviešanas, tas varētu attiecīgi veidot iepriekš aprēķinātos 626,5 tūkst. </w:t>
      </w:r>
      <w:proofErr w:type="spellStart"/>
      <w:r w:rsidR="00883574" w:rsidRPr="00883574">
        <w:rPr>
          <w:i/>
        </w:rPr>
        <w:t>euro</w:t>
      </w:r>
      <w:proofErr w:type="spellEnd"/>
      <w:r w:rsidRPr="000B3920">
        <w:t>, jo informācija par darījumiem, kas ir apliekami ar PVN, tiktu zināma no darījumu partneru e-rēķiniem.</w:t>
      </w:r>
    </w:p>
    <w:p w14:paraId="18CD360A" w14:textId="77777777" w:rsidR="000B3920" w:rsidRPr="000B3920" w:rsidRDefault="000B3920" w:rsidP="00C243E0">
      <w:pPr>
        <w:spacing w:line="276" w:lineRule="auto"/>
      </w:pPr>
    </w:p>
    <w:p w14:paraId="5D1F9FF2" w14:textId="17FEAA68" w:rsidR="000B3920" w:rsidRDefault="3987FFBB" w:rsidP="00C243E0">
      <w:pPr>
        <w:spacing w:line="276" w:lineRule="auto"/>
        <w:ind w:firstLine="720"/>
        <w:rPr>
          <w:rFonts w:eastAsia="Times New Roman" w:cs="Times New Roman"/>
          <w:szCs w:val="24"/>
        </w:rPr>
      </w:pPr>
      <w:r w:rsidRPr="7842FC33">
        <w:rPr>
          <w:rFonts w:eastAsia="Times New Roman" w:cs="Times New Roman"/>
          <w:szCs w:val="24"/>
        </w:rPr>
        <w:t xml:space="preserve">Līdz ar to kopumā pēc </w:t>
      </w:r>
      <w:r w:rsidR="00335937">
        <w:rPr>
          <w:rFonts w:eastAsia="Times New Roman" w:cs="Times New Roman"/>
          <w:szCs w:val="24"/>
        </w:rPr>
        <w:t>e-</w:t>
      </w:r>
      <w:r w:rsidRPr="7842FC33">
        <w:rPr>
          <w:rFonts w:eastAsia="Times New Roman" w:cs="Times New Roman"/>
          <w:szCs w:val="24"/>
        </w:rPr>
        <w:t xml:space="preserve">rēķinu aprites ieviešanas pirmajā gadā tiktu iegūts pozitīvs fiskālais efekts papildus nodokļu ieņēmumu veidā 2 777,4 tūkst. </w:t>
      </w:r>
      <w:proofErr w:type="spellStart"/>
      <w:r w:rsidR="00883574" w:rsidRPr="00883574">
        <w:rPr>
          <w:rFonts w:eastAsia="Times New Roman" w:cs="Times New Roman"/>
          <w:i/>
          <w:szCs w:val="24"/>
        </w:rPr>
        <w:t>euro</w:t>
      </w:r>
      <w:proofErr w:type="spellEnd"/>
      <w:r w:rsidRPr="7842FC33">
        <w:rPr>
          <w:rFonts w:eastAsia="Times New Roman" w:cs="Times New Roman"/>
          <w:szCs w:val="24"/>
        </w:rPr>
        <w:t xml:space="preserve">, otrajā gadā 626,5 tūkst. </w:t>
      </w:r>
      <w:proofErr w:type="spellStart"/>
      <w:r w:rsidR="00883574" w:rsidRPr="00883574">
        <w:rPr>
          <w:rFonts w:eastAsia="Times New Roman" w:cs="Times New Roman"/>
          <w:i/>
          <w:szCs w:val="24"/>
        </w:rPr>
        <w:t>euro</w:t>
      </w:r>
      <w:proofErr w:type="spellEnd"/>
      <w:r w:rsidRPr="7842FC33">
        <w:rPr>
          <w:rFonts w:eastAsia="Times New Roman" w:cs="Times New Roman"/>
          <w:szCs w:val="24"/>
        </w:rPr>
        <w:t xml:space="preserve">, kā arī trešajā gadā - 626,5 tūkst. </w:t>
      </w:r>
      <w:proofErr w:type="spellStart"/>
      <w:r w:rsidR="00883574" w:rsidRPr="00883574">
        <w:rPr>
          <w:rFonts w:eastAsia="Times New Roman" w:cs="Times New Roman"/>
          <w:i/>
          <w:szCs w:val="24"/>
        </w:rPr>
        <w:t>euro</w:t>
      </w:r>
      <w:proofErr w:type="spellEnd"/>
      <w:r w:rsidRPr="7842FC33">
        <w:rPr>
          <w:rFonts w:eastAsia="Times New Roman" w:cs="Times New Roman"/>
          <w:szCs w:val="24"/>
        </w:rPr>
        <w:t>.</w:t>
      </w:r>
    </w:p>
    <w:p w14:paraId="3909F190" w14:textId="5A6D6A12" w:rsidR="00484DBF" w:rsidRDefault="00484DBF" w:rsidP="00C243E0">
      <w:pPr>
        <w:spacing w:line="276" w:lineRule="auto"/>
        <w:ind w:firstLine="720"/>
        <w:rPr>
          <w:rFonts w:eastAsia="Times New Roman" w:cs="Times New Roman"/>
          <w:szCs w:val="24"/>
        </w:rPr>
      </w:pPr>
      <w:r w:rsidRPr="00484DBF">
        <w:rPr>
          <w:rFonts w:eastAsia="Times New Roman" w:cs="Times New Roman"/>
          <w:szCs w:val="24"/>
        </w:rPr>
        <w:t>Savukārt ieviešot elektronisko pavaddokumentu tiešsaistes pieejamību un izveidojot preču aprites izsekojamības sistēmu visos akcīzes preču aprites posmos,</w:t>
      </w:r>
      <w:r w:rsidR="00611DE2">
        <w:rPr>
          <w:rFonts w:eastAsia="Times New Roman" w:cs="Times New Roman"/>
          <w:szCs w:val="24"/>
        </w:rPr>
        <w:t xml:space="preserve"> </w:t>
      </w:r>
      <w:r w:rsidRPr="00484DBF">
        <w:rPr>
          <w:rFonts w:eastAsia="Times New Roman" w:cs="Times New Roman"/>
          <w:szCs w:val="24"/>
        </w:rPr>
        <w:t xml:space="preserve">varētu iegūt papildus pozitīvu efektu līdz pat </w:t>
      </w:r>
      <w:r w:rsidR="00611DE2">
        <w:rPr>
          <w:rFonts w:eastAsia="Times New Roman" w:cs="Times New Roman"/>
          <w:szCs w:val="24"/>
        </w:rPr>
        <w:t>1</w:t>
      </w:r>
      <w:r w:rsidRPr="00484DBF">
        <w:rPr>
          <w:rFonts w:eastAsia="Times New Roman" w:cs="Times New Roman"/>
          <w:szCs w:val="24"/>
        </w:rPr>
        <w:t xml:space="preserve"> milj. </w:t>
      </w:r>
      <w:proofErr w:type="spellStart"/>
      <w:r w:rsidR="00883574" w:rsidRPr="00883574">
        <w:rPr>
          <w:rFonts w:eastAsia="Times New Roman" w:cs="Times New Roman"/>
          <w:i/>
          <w:szCs w:val="24"/>
        </w:rPr>
        <w:t>euro</w:t>
      </w:r>
      <w:proofErr w:type="spellEnd"/>
      <w:r w:rsidRPr="00484DBF">
        <w:rPr>
          <w:rFonts w:eastAsia="Times New Roman" w:cs="Times New Roman"/>
          <w:szCs w:val="24"/>
        </w:rPr>
        <w:t xml:space="preserve"> gadā akcīzes nodokļa veidā.</w:t>
      </w:r>
    </w:p>
    <w:p w14:paraId="382E054B" w14:textId="7C290382" w:rsidR="00626846" w:rsidRDefault="657D53E2" w:rsidP="00C243E0">
      <w:pPr>
        <w:spacing w:line="276" w:lineRule="auto"/>
        <w:ind w:firstLine="720"/>
        <w:rPr>
          <w:rFonts w:eastAsia="Times New Roman" w:cs="Times New Roman"/>
          <w:szCs w:val="24"/>
        </w:rPr>
      </w:pPr>
      <w:r w:rsidRPr="7842FC33">
        <w:rPr>
          <w:rFonts w:eastAsia="Times New Roman" w:cs="Times New Roman"/>
          <w:szCs w:val="24"/>
        </w:rPr>
        <w:t>Vērtējot elektronisku attaisnojuma dokumentu aprites ieviešanu jānorāda, ka potenciāliem ieguvumiem e-rēķinu apritē jābūt daudz plašākiem kā tikai nodokļu administrēšanas jomā.</w:t>
      </w:r>
    </w:p>
    <w:p w14:paraId="42B729E4" w14:textId="62B22926" w:rsidR="6AFF63CC" w:rsidRPr="00F119D8" w:rsidRDefault="00C17929" w:rsidP="00C243E0">
      <w:pPr>
        <w:spacing w:line="276" w:lineRule="auto"/>
        <w:ind w:firstLine="720"/>
        <w:rPr>
          <w:rFonts w:eastAsia="Times New Roman" w:cs="Times New Roman"/>
          <w:szCs w:val="24"/>
        </w:rPr>
      </w:pPr>
      <w:r>
        <w:rPr>
          <w:rFonts w:eastAsia="Times New Roman" w:cs="Times New Roman"/>
          <w:szCs w:val="24"/>
        </w:rPr>
        <w:t>Tā piemēram,</w:t>
      </w:r>
      <w:r w:rsidR="00AC0704">
        <w:rPr>
          <w:rFonts w:eastAsia="Times New Roman" w:cs="Times New Roman"/>
          <w:szCs w:val="24"/>
        </w:rPr>
        <w:t xml:space="preserve"> </w:t>
      </w:r>
      <w:r w:rsidR="00E20BE8">
        <w:rPr>
          <w:rFonts w:eastAsia="Times New Roman" w:cs="Times New Roman"/>
          <w:szCs w:val="24"/>
        </w:rPr>
        <w:t>LM</w:t>
      </w:r>
      <w:r w:rsidR="5F9AEFA0" w:rsidRPr="7842FC33">
        <w:rPr>
          <w:rFonts w:eastAsia="Times New Roman" w:cs="Times New Roman"/>
          <w:szCs w:val="24"/>
        </w:rPr>
        <w:t xml:space="preserve"> kompetenču jomā </w:t>
      </w:r>
      <w:r w:rsidR="00626846">
        <w:t>attaisnojuma dokumentu</w:t>
      </w:r>
      <w:r w:rsidR="0080173A">
        <w:t xml:space="preserve"> – rēķinu</w:t>
      </w:r>
      <w:r w:rsidR="00626846">
        <w:t xml:space="preserve"> elektroniskā aprite sniegtu plašākas iespējas, operativitāti, kontroli </w:t>
      </w:r>
      <w:r w:rsidR="009B0B9A">
        <w:t xml:space="preserve">un pats galvenais efektivitāti. </w:t>
      </w:r>
      <w:r w:rsidR="6AFF63CC" w:rsidRPr="00F119D8">
        <w:rPr>
          <w:rFonts w:eastAsia="Times New Roman" w:cs="Times New Roman"/>
          <w:szCs w:val="24"/>
        </w:rPr>
        <w:t xml:space="preserve">Viens no </w:t>
      </w:r>
      <w:r w:rsidR="00E20BE8">
        <w:rPr>
          <w:rFonts w:eastAsia="Times New Roman" w:cs="Times New Roman"/>
          <w:szCs w:val="24"/>
        </w:rPr>
        <w:t>LM</w:t>
      </w:r>
      <w:r w:rsidR="6AFF63CC" w:rsidRPr="00F119D8">
        <w:rPr>
          <w:rFonts w:eastAsia="Times New Roman" w:cs="Times New Roman"/>
          <w:szCs w:val="24"/>
        </w:rPr>
        <w:t xml:space="preserve"> pienākumiem ir veikt auditus vadības, pamatdarbības un atbalsta sistēmu institūcijās, ar kurām </w:t>
      </w:r>
      <w:r w:rsidR="00E20BE8">
        <w:rPr>
          <w:rFonts w:eastAsia="Times New Roman" w:cs="Times New Roman"/>
          <w:szCs w:val="24"/>
        </w:rPr>
        <w:t>LM</w:t>
      </w:r>
      <w:r w:rsidR="6AFF63CC" w:rsidRPr="00F119D8">
        <w:rPr>
          <w:rFonts w:eastAsia="Times New Roman" w:cs="Times New Roman"/>
          <w:szCs w:val="24"/>
        </w:rPr>
        <w:t xml:space="preserve"> ir noslēgusi līgumus par atsevišķu valsts pārvaldes uzdevumu deleģēšanu vai kuras sniedz labklājības nozares pamatdarbības pakalpojumus, kurus apmaksā no valsts budžeta līdzekļiem. Tāpat </w:t>
      </w:r>
      <w:r w:rsidR="00E20BE8">
        <w:rPr>
          <w:rFonts w:eastAsia="Times New Roman" w:cs="Times New Roman"/>
          <w:szCs w:val="24"/>
        </w:rPr>
        <w:t>LM</w:t>
      </w:r>
      <w:r w:rsidR="6AFF63CC" w:rsidRPr="00F119D8">
        <w:rPr>
          <w:rFonts w:eastAsia="Times New Roman" w:cs="Times New Roman"/>
          <w:szCs w:val="24"/>
        </w:rPr>
        <w:t xml:space="preserve"> uzdevums ir veikt finanšu līgumsaistību izpildes pārbaudes institūcijās, ar kurām ir noslēgti līgumi par atsevišķu valsts pārvaldes uzdevumu deleģēšanu vai kuras sniedz labklājības nozares pamatdarbības pakalpojumus, kurus apmaksā no valsts budžeta līdzekļiem. Lai pilnvērtīgi nodrošinātu minētās pārbaudes un veiktu detalizētu piešķirto finanšu līdzekļu izlietojuma </w:t>
      </w:r>
      <w:proofErr w:type="spellStart"/>
      <w:r w:rsidR="6AFF63CC" w:rsidRPr="00F119D8">
        <w:rPr>
          <w:rFonts w:eastAsia="Times New Roman" w:cs="Times New Roman"/>
          <w:szCs w:val="24"/>
        </w:rPr>
        <w:t>izvērtējumu</w:t>
      </w:r>
      <w:proofErr w:type="spellEnd"/>
      <w:r w:rsidR="6AFF63CC" w:rsidRPr="00F119D8">
        <w:rPr>
          <w:rFonts w:eastAsia="Times New Roman" w:cs="Times New Roman"/>
          <w:szCs w:val="24"/>
        </w:rPr>
        <w:t>, ir nepieciešama informācija par institūciju veiktajiem norēķiniem, t.sk., arī par institūciju izrakstītajiem rēķiniem, saņemtajiem rēķiniem un to apmaksu.</w:t>
      </w:r>
    </w:p>
    <w:p w14:paraId="56BC3CCE" w14:textId="4D7F2346" w:rsidR="6AFF63CC" w:rsidRPr="00F119D8" w:rsidRDefault="6AFF63CC" w:rsidP="00C243E0">
      <w:pPr>
        <w:spacing w:line="276" w:lineRule="auto"/>
        <w:ind w:firstLine="720"/>
        <w:rPr>
          <w:rFonts w:eastAsia="Times New Roman" w:cs="Times New Roman"/>
          <w:szCs w:val="24"/>
        </w:rPr>
      </w:pPr>
      <w:r w:rsidRPr="00F119D8">
        <w:rPr>
          <w:rFonts w:eastAsia="Times New Roman" w:cs="Times New Roman"/>
          <w:szCs w:val="24"/>
        </w:rPr>
        <w:t>Savukārt saskaņā ar Iekšējā audita likuma 13.</w:t>
      </w:r>
      <w:r w:rsidR="00CB7ADE">
        <w:rPr>
          <w:rFonts w:eastAsia="Times New Roman" w:cs="Times New Roman"/>
          <w:szCs w:val="24"/>
        </w:rPr>
        <w:t> </w:t>
      </w:r>
      <w:r w:rsidRPr="00F119D8">
        <w:rPr>
          <w:rFonts w:eastAsia="Times New Roman" w:cs="Times New Roman"/>
          <w:szCs w:val="24"/>
        </w:rPr>
        <w:t xml:space="preserve">pantu iekšējam auditoram ir tiesības iepazīties ar attiecīgās ministrijas vai iestādes rīcībā esošajiem dokumentiem, finanšu līdzekļiem, telpām un citām materiālajām vērtībām, kā arī saņemt no darbiniekiem dokumentu kopijas un paskaidrojumus ar iekšējo auditu saistītajos jautājumos. Ja rēķini turpmāk ir pieejami tikai e-vidē, tad šie dokumenti arī, atbilstoši </w:t>
      </w:r>
      <w:r w:rsidRPr="00F119D8">
        <w:rPr>
          <w:rFonts w:eastAsia="Times New Roman" w:cs="Times New Roman"/>
          <w:szCs w:val="24"/>
        </w:rPr>
        <w:lastRenderedPageBreak/>
        <w:t>Iekšējā audita likuma 13.</w:t>
      </w:r>
      <w:r w:rsidR="00CB7ADE">
        <w:rPr>
          <w:rFonts w:eastAsia="Times New Roman" w:cs="Times New Roman"/>
          <w:szCs w:val="24"/>
        </w:rPr>
        <w:t> </w:t>
      </w:r>
      <w:r w:rsidRPr="00F119D8">
        <w:rPr>
          <w:rFonts w:eastAsia="Times New Roman" w:cs="Times New Roman"/>
          <w:szCs w:val="24"/>
        </w:rPr>
        <w:t>pantam, ir iekļaujami pārbaudāmo dokumentu apjomā, jo ir nepieciešami, lai gūtu pārliecību par piešķirtā finansējuma atbilstošu izlietojumu.</w:t>
      </w:r>
    </w:p>
    <w:p w14:paraId="5BD6E343" w14:textId="7A89B70E" w:rsidR="00660340" w:rsidRDefault="6AFF63CC" w:rsidP="009B0B9A">
      <w:pPr>
        <w:spacing w:line="276" w:lineRule="auto"/>
        <w:ind w:firstLine="720"/>
        <w:rPr>
          <w:rFonts w:eastAsia="Times New Roman" w:cs="Times New Roman"/>
        </w:rPr>
      </w:pPr>
      <w:r w:rsidRPr="00F119D8">
        <w:rPr>
          <w:rFonts w:eastAsia="Times New Roman" w:cs="Times New Roman"/>
        </w:rPr>
        <w:t xml:space="preserve">Līdz ar to piekļuve e-rēķinu sistēmai skatīšanās režīmā atvieglotu auditējamo un kontrolējamo dokumentu ieguves procesu un ļautu efektīvāk veikt </w:t>
      </w:r>
      <w:r w:rsidR="00E20BE8">
        <w:rPr>
          <w:rFonts w:eastAsia="Times New Roman" w:cs="Times New Roman"/>
        </w:rPr>
        <w:t>LM</w:t>
      </w:r>
      <w:r w:rsidRPr="00F119D8">
        <w:rPr>
          <w:rFonts w:eastAsia="Times New Roman" w:cs="Times New Roman"/>
        </w:rPr>
        <w:t xml:space="preserve"> noteiktās funkcijas.</w:t>
      </w:r>
      <w:r w:rsidR="4171735A" w:rsidRPr="4D1F2A4D">
        <w:rPr>
          <w:rFonts w:eastAsia="Times New Roman" w:cs="Times New Roman"/>
        </w:rPr>
        <w:t xml:space="preserve"> N</w:t>
      </w:r>
      <w:r w:rsidR="2E67A8A3" w:rsidRPr="4D1F2A4D">
        <w:rPr>
          <w:rFonts w:eastAsia="Times New Roman" w:cs="Times New Roman"/>
        </w:rPr>
        <w:t xml:space="preserve">o finanšu uzraudzības viedokļa šai piekļuvei būtu vēlams papildus filtrs ar iespēju atlasīt konkrētu līgumu darījumu </w:t>
      </w:r>
      <w:r w:rsidR="39565493" w:rsidRPr="4D1F2A4D">
        <w:rPr>
          <w:rFonts w:eastAsia="Times New Roman" w:cs="Times New Roman"/>
        </w:rPr>
        <w:t>dokumentus noteiktam līguma periodam.</w:t>
      </w:r>
    </w:p>
    <w:p w14:paraId="10408C6D" w14:textId="797A727E" w:rsidR="0050543D" w:rsidRDefault="0050543D" w:rsidP="0050543D">
      <w:pPr>
        <w:spacing w:line="276" w:lineRule="auto"/>
        <w:rPr>
          <w:rFonts w:eastAsia="Times New Roman" w:cs="Times New Roman"/>
        </w:rPr>
      </w:pPr>
    </w:p>
    <w:p w14:paraId="698737BF" w14:textId="77777777" w:rsidR="0050543D" w:rsidRPr="009B0B9A" w:rsidRDefault="0050543D" w:rsidP="0050543D">
      <w:pPr>
        <w:spacing w:line="276" w:lineRule="auto"/>
        <w:rPr>
          <w:rFonts w:ascii="Calibri" w:eastAsia="Calibri" w:hAnsi="Calibri" w:cs="Calibri"/>
          <w:szCs w:val="24"/>
        </w:rPr>
      </w:pPr>
    </w:p>
    <w:p w14:paraId="1C295F60" w14:textId="62651813" w:rsidR="00660340" w:rsidRDefault="00025A10" w:rsidP="00025A10">
      <w:pPr>
        <w:pStyle w:val="Heading1"/>
        <w:jc w:val="left"/>
      </w:pPr>
      <w:bookmarkStart w:id="11" w:name="_Toc72136654"/>
      <w:r>
        <w:t>E-pavadzīmju aprites ieviešana,</w:t>
      </w:r>
      <w:r w:rsidRPr="00025A10">
        <w:t xml:space="preserve"> st</w:t>
      </w:r>
      <w:r w:rsidRPr="7842FC33">
        <w:t>arptautisko autotransporta pavadzīmju (e-CMR) ieviešana, DIGINNO projekts</w:t>
      </w:r>
      <w:bookmarkEnd w:id="11"/>
    </w:p>
    <w:p w14:paraId="5FC920D2" w14:textId="77777777" w:rsidR="00602E35" w:rsidRPr="005F7428" w:rsidRDefault="00602E35" w:rsidP="00602E35">
      <w:pPr>
        <w:spacing w:after="0" w:line="240" w:lineRule="auto"/>
        <w:ind w:firstLine="720"/>
        <w:rPr>
          <w:rFonts w:cs="Times New Roman"/>
          <w:szCs w:val="24"/>
        </w:rPr>
      </w:pPr>
    </w:p>
    <w:p w14:paraId="41FCF2A7" w14:textId="20A0981F" w:rsidR="00602E35" w:rsidRPr="00353391" w:rsidRDefault="00602E35" w:rsidP="00C243E0">
      <w:pPr>
        <w:spacing w:after="0" w:line="276" w:lineRule="auto"/>
        <w:ind w:firstLine="720"/>
        <w:rPr>
          <w:rFonts w:cs="Times New Roman"/>
        </w:rPr>
      </w:pPr>
      <w:r w:rsidRPr="319C21C7">
        <w:rPr>
          <w:rFonts w:cs="Times New Roman"/>
        </w:rPr>
        <w:t xml:space="preserve">Noteikumi par preču pārvadāšanu starptautiskā mērogā ir iekļauti Apvienoto Nāciju Organizācijas Konvencijā par </w:t>
      </w:r>
      <w:r w:rsidR="6C723F70" w:rsidRPr="319C21C7">
        <w:rPr>
          <w:rFonts w:eastAsia="Times New Roman" w:cs="Times New Roman"/>
        </w:rPr>
        <w:t>kravu starptautisko pārvadājumu līgumu</w:t>
      </w:r>
      <w:r w:rsidRPr="319C21C7">
        <w:rPr>
          <w:rFonts w:cs="Times New Roman"/>
        </w:rPr>
        <w:t>, kas pazīst</w:t>
      </w:r>
      <w:r w:rsidR="00D0533F">
        <w:rPr>
          <w:rFonts w:cs="Times New Roman"/>
        </w:rPr>
        <w:t>ama kā CMR. Šo konvenciju 1956. </w:t>
      </w:r>
      <w:r w:rsidRPr="319C21C7">
        <w:rPr>
          <w:rFonts w:cs="Times New Roman"/>
        </w:rPr>
        <w:t xml:space="preserve">gadā izstrādāja ar mērķi nodrošināt vienotu tiesisko regulējumu nacionālajiem un starptautiskajiem autopārvadājumiem. Konvenciju ir ratificējušas lielākā daļa Eiropas valstu, kā arī vairākas valstis ārpus Eiropas. Preču </w:t>
      </w:r>
      <w:r w:rsidR="5A46E088" w:rsidRPr="319C21C7">
        <w:rPr>
          <w:rFonts w:cs="Times New Roman"/>
        </w:rPr>
        <w:t>nosūtītāji</w:t>
      </w:r>
      <w:r w:rsidRPr="319C21C7">
        <w:rPr>
          <w:rFonts w:cs="Times New Roman"/>
        </w:rPr>
        <w:t xml:space="preserve">, pārvadātāji, un tie, kas saņem sūtījumu, izmanto CMR pavadzīmi, kurā sniegta informācija par nosūtītajām precēm, kā arī par pārvadātāju un saņēmēju. CMR dokuments satur ne tikai pareizu informāciju par kravu, bet arī ir vienošanās starp trim pārvadājumā iesaistītajām pusēm </w:t>
      </w:r>
      <w:r w:rsidR="0082313C">
        <w:rPr>
          <w:rFonts w:cs="Times New Roman"/>
        </w:rPr>
        <w:t>–</w:t>
      </w:r>
      <w:r w:rsidRPr="319C21C7">
        <w:rPr>
          <w:rFonts w:cs="Times New Roman"/>
        </w:rPr>
        <w:t xml:space="preserve"> sūtītāju, pārvadātāju un saņēmēju. CMR regulē – atbildību, zaudējumus un atlīdzību, un tas automātiski attiecas uz pārvadājumu līgumiem par starptautiskiem autopārvadājumiem, ja saņemšanas un/vai piegādes vieta atrodas iesaistītajā valstī. </w:t>
      </w:r>
    </w:p>
    <w:p w14:paraId="1FF5CCC2" w14:textId="77777777" w:rsidR="00602E35" w:rsidRPr="00353391" w:rsidRDefault="00602E35" w:rsidP="00C243E0">
      <w:pPr>
        <w:spacing w:after="0" w:line="276" w:lineRule="auto"/>
        <w:ind w:firstLine="720"/>
        <w:rPr>
          <w:rFonts w:cs="Times New Roman"/>
          <w:szCs w:val="24"/>
        </w:rPr>
      </w:pPr>
      <w:r w:rsidRPr="00353391">
        <w:rPr>
          <w:rFonts w:cs="Times New Roman"/>
          <w:szCs w:val="24"/>
        </w:rPr>
        <w:t xml:space="preserve">Vēl nesen CMR pavadzīme bija pieejama tikai papīra formātā, bet, lai nodrošinātu vienmērīgu saziņu un sadarbību loģistikas ķēdē un uzlabotu piegādes ķēdes efektivitāti visām pārvadājumā iesaistītajām pusēm, liela daļa valstu iestājas par pāreju uz elektronisku formātu. </w:t>
      </w:r>
    </w:p>
    <w:p w14:paraId="33BCEB05" w14:textId="5EE4CA52" w:rsidR="00602E35" w:rsidRPr="00353391" w:rsidRDefault="00D0533F" w:rsidP="00C243E0">
      <w:pPr>
        <w:spacing w:after="0" w:line="276" w:lineRule="auto"/>
        <w:ind w:firstLine="720"/>
        <w:rPr>
          <w:rFonts w:cs="Times New Roman"/>
          <w:szCs w:val="24"/>
        </w:rPr>
      </w:pPr>
      <w:r>
        <w:rPr>
          <w:rFonts w:cs="Times New Roman"/>
          <w:szCs w:val="24"/>
        </w:rPr>
        <w:t>2008. </w:t>
      </w:r>
      <w:r w:rsidR="00602E35" w:rsidRPr="00353391">
        <w:rPr>
          <w:rFonts w:cs="Times New Roman"/>
          <w:szCs w:val="24"/>
        </w:rPr>
        <w:t>gada 20.</w:t>
      </w:r>
      <w:r>
        <w:rPr>
          <w:rFonts w:cs="Times New Roman"/>
          <w:szCs w:val="24"/>
        </w:rPr>
        <w:t> </w:t>
      </w:r>
      <w:r w:rsidR="00602E35" w:rsidRPr="00353391">
        <w:rPr>
          <w:rFonts w:cs="Times New Roman"/>
          <w:szCs w:val="24"/>
        </w:rPr>
        <w:t>februārī ir pieņemts CMR konvencijas papildu protokols par elektr</w:t>
      </w:r>
      <w:r>
        <w:rPr>
          <w:rFonts w:cs="Times New Roman"/>
          <w:szCs w:val="24"/>
        </w:rPr>
        <w:t>onisko pavadzīmi, un kopš 2011. gada 5. </w:t>
      </w:r>
      <w:r w:rsidR="00602E35" w:rsidRPr="00353391">
        <w:rPr>
          <w:rFonts w:cs="Times New Roman"/>
          <w:szCs w:val="24"/>
        </w:rPr>
        <w:t xml:space="preserve">jūnija protokols ļauj aizstāt papīra pavadzīmi ar elektronisko pavadzīmi. Šis protokols nosaka elektroniskās pavadzīmes definīciju. Šobrīd tam ir pievienojušās jau 45 valstis. Latvija </w:t>
      </w:r>
      <w:r>
        <w:rPr>
          <w:rFonts w:cs="Times New Roman"/>
          <w:szCs w:val="24"/>
        </w:rPr>
        <w:t>pievienojusies protokolam 2009. </w:t>
      </w:r>
      <w:r w:rsidR="00602E35" w:rsidRPr="00353391">
        <w:rPr>
          <w:rFonts w:cs="Times New Roman"/>
          <w:szCs w:val="24"/>
        </w:rPr>
        <w:t xml:space="preserve">gadā. </w:t>
      </w:r>
    </w:p>
    <w:p w14:paraId="7190EFA9" w14:textId="53720343" w:rsidR="00602E35" w:rsidRPr="00353391" w:rsidRDefault="00602E35" w:rsidP="00C243E0">
      <w:pPr>
        <w:spacing w:after="0" w:line="276" w:lineRule="auto"/>
        <w:ind w:firstLine="720"/>
        <w:rPr>
          <w:rFonts w:cs="Times New Roman"/>
        </w:rPr>
      </w:pPr>
      <w:r w:rsidRPr="319C21C7">
        <w:rPr>
          <w:rFonts w:cs="Times New Roman"/>
        </w:rPr>
        <w:t>Latvija ir Baltijas jūras vienotā DIGINNO</w:t>
      </w:r>
      <w:r w:rsidR="35EEFDF0" w:rsidRPr="319C21C7">
        <w:rPr>
          <w:rFonts w:cs="Times New Roman"/>
        </w:rPr>
        <w:t xml:space="preserve"> (Digitālo Inovāciju tīkls) </w:t>
      </w:r>
      <w:r w:rsidRPr="319C21C7">
        <w:rPr>
          <w:rFonts w:cs="Times New Roman"/>
        </w:rPr>
        <w:t xml:space="preserve">projekta dalībvalsts, kura ietvaros ar </w:t>
      </w:r>
      <w:r w:rsidR="15CCDF45" w:rsidRPr="319C21C7">
        <w:rPr>
          <w:rFonts w:cs="Times New Roman"/>
        </w:rPr>
        <w:t xml:space="preserve">Eiropas Kopienas iniciatīvas </w:t>
      </w:r>
      <w:r w:rsidRPr="319C21C7">
        <w:rPr>
          <w:rFonts w:cs="Times New Roman"/>
        </w:rPr>
        <w:t xml:space="preserve">INTERREG finansējumu tika veikta </w:t>
      </w:r>
      <w:proofErr w:type="spellStart"/>
      <w:r w:rsidRPr="319C21C7">
        <w:rPr>
          <w:rFonts w:cs="Times New Roman"/>
        </w:rPr>
        <w:t>priekšizpēte</w:t>
      </w:r>
      <w:proofErr w:type="spellEnd"/>
      <w:r w:rsidRPr="319C21C7">
        <w:rPr>
          <w:rFonts w:cs="Times New Roman"/>
        </w:rPr>
        <w:t xml:space="preserve"> un sagatavots lietderības ziņojums. DIGINNO projekta mērķis ir veicināt digitālo ekonomiku un ātrāku digitālā vienotā tirgus izveidi Baltijas jūras reģionā, palīdzēt politikas veidotājiem un nozaru asociācijām efektīvāk ieviest digitālos risinājumus publiskajā sektorā. </w:t>
      </w:r>
      <w:proofErr w:type="spellStart"/>
      <w:r w:rsidRPr="319C21C7">
        <w:rPr>
          <w:rFonts w:cs="Times New Roman"/>
        </w:rPr>
        <w:t>Priekšizpēte</w:t>
      </w:r>
      <w:proofErr w:type="spellEnd"/>
      <w:r w:rsidRPr="319C21C7">
        <w:rPr>
          <w:rFonts w:cs="Times New Roman"/>
        </w:rPr>
        <w:t xml:space="preserve"> tika veikta, lai novērtētu elektroniskās kravu pavadzīmes ieviešanu Baltijas un Ziemeļvalstu reģionā, galvenokārt ņemot vērā pārrobežu aspektus DIGINNO projekta partnervalstīs – Igaunijā, Dānijā, Latvijā, </w:t>
      </w:r>
      <w:r w:rsidRPr="319C21C7">
        <w:rPr>
          <w:rFonts w:cs="Times New Roman"/>
        </w:rPr>
        <w:lastRenderedPageBreak/>
        <w:t>Lietuvā, Norvēģijā un Polijā. Šī projekta īstenošanas periods sākās 2017.</w:t>
      </w:r>
      <w:r w:rsidR="00D0533F">
        <w:rPr>
          <w:rFonts w:cs="Times New Roman"/>
        </w:rPr>
        <w:t> </w:t>
      </w:r>
      <w:r w:rsidRPr="319C21C7">
        <w:rPr>
          <w:rFonts w:cs="Times New Roman"/>
        </w:rPr>
        <w:t>gada 1.</w:t>
      </w:r>
      <w:r w:rsidR="00D0533F">
        <w:rPr>
          <w:rFonts w:cs="Times New Roman"/>
        </w:rPr>
        <w:t> </w:t>
      </w:r>
      <w:r w:rsidRPr="319C21C7">
        <w:rPr>
          <w:rFonts w:cs="Times New Roman"/>
        </w:rPr>
        <w:t>oktobr</w:t>
      </w:r>
      <w:r w:rsidR="6C2B2A8C" w:rsidRPr="319C21C7">
        <w:rPr>
          <w:rFonts w:cs="Times New Roman"/>
        </w:rPr>
        <w:t>ī</w:t>
      </w:r>
      <w:r w:rsidR="00D0533F">
        <w:rPr>
          <w:rFonts w:cs="Times New Roman"/>
        </w:rPr>
        <w:t xml:space="preserve"> un turpinās līdz 2020. </w:t>
      </w:r>
      <w:r w:rsidRPr="319C21C7">
        <w:rPr>
          <w:rFonts w:cs="Times New Roman"/>
        </w:rPr>
        <w:t>gada 31.</w:t>
      </w:r>
      <w:r w:rsidR="00D0533F">
        <w:rPr>
          <w:rFonts w:cs="Times New Roman"/>
        </w:rPr>
        <w:t> </w:t>
      </w:r>
      <w:r w:rsidRPr="319C21C7">
        <w:rPr>
          <w:rFonts w:cs="Times New Roman"/>
        </w:rPr>
        <w:t xml:space="preserve">decembrim. </w:t>
      </w:r>
    </w:p>
    <w:p w14:paraId="60472638" w14:textId="77777777" w:rsidR="00602E35" w:rsidRPr="00353391" w:rsidRDefault="00602E35" w:rsidP="00C243E0">
      <w:pPr>
        <w:spacing w:after="0" w:line="276" w:lineRule="auto"/>
        <w:ind w:firstLine="720"/>
        <w:rPr>
          <w:rFonts w:cs="Times New Roman"/>
        </w:rPr>
      </w:pPr>
      <w:r w:rsidRPr="319C21C7">
        <w:rPr>
          <w:rFonts w:cs="Times New Roman"/>
        </w:rPr>
        <w:t xml:space="preserve">Transporta (t.sk. tranzīta) pakalpojumu nozare ir viena no būtiskākajām Latvijas tautsaimniecības nozarēm. Kravu pārvadājumus var iedalīt divās grupās – iekšzemes kravu pārvadājumi, kas tiek veikti Latvijas teritorijas robežās, un starptautiskie kravu pārvadājumi, kas tiek veikti eksporta, importa vai tranzīta nolūkos. </w:t>
      </w:r>
    </w:p>
    <w:p w14:paraId="4A1AC81B" w14:textId="361E54B5" w:rsidR="2D5DA0AB" w:rsidRDefault="2D5DA0AB" w:rsidP="00C243E0">
      <w:pPr>
        <w:spacing w:after="0" w:line="276" w:lineRule="auto"/>
        <w:ind w:firstLine="720"/>
        <w:rPr>
          <w:rFonts w:eastAsia="Calibri" w:cs="Times New Roman"/>
          <w:szCs w:val="24"/>
        </w:rPr>
      </w:pPr>
      <w:r w:rsidRPr="319C21C7">
        <w:rPr>
          <w:rFonts w:eastAsia="Calibri" w:cs="Times New Roman"/>
          <w:szCs w:val="24"/>
        </w:rPr>
        <w:t xml:space="preserve">Ņemot vērā, ka loģistikas </w:t>
      </w:r>
      <w:proofErr w:type="spellStart"/>
      <w:r w:rsidRPr="319C21C7">
        <w:rPr>
          <w:rFonts w:eastAsia="Calibri" w:cs="Times New Roman"/>
          <w:szCs w:val="24"/>
        </w:rPr>
        <w:t>digitalizācijai</w:t>
      </w:r>
      <w:proofErr w:type="spellEnd"/>
      <w:r w:rsidRPr="319C21C7">
        <w:rPr>
          <w:rFonts w:eastAsia="Calibri" w:cs="Times New Roman"/>
          <w:szCs w:val="24"/>
        </w:rPr>
        <w:t xml:space="preserve"> ir liels potenciāls, īpaši autotransporta jomā un lēnā </w:t>
      </w:r>
      <w:proofErr w:type="spellStart"/>
      <w:r w:rsidRPr="319C21C7">
        <w:rPr>
          <w:rFonts w:eastAsia="Calibri" w:cs="Times New Roman"/>
          <w:szCs w:val="24"/>
        </w:rPr>
        <w:t>digitalizācija</w:t>
      </w:r>
      <w:r w:rsidR="5FB98B36" w:rsidRPr="319C21C7">
        <w:rPr>
          <w:rFonts w:eastAsia="Calibri" w:cs="Times New Roman"/>
          <w:szCs w:val="24"/>
        </w:rPr>
        <w:t>s</w:t>
      </w:r>
      <w:proofErr w:type="spellEnd"/>
      <w:r w:rsidR="5FB98B36" w:rsidRPr="319C21C7">
        <w:rPr>
          <w:rFonts w:eastAsia="Calibri" w:cs="Times New Roman"/>
          <w:szCs w:val="24"/>
        </w:rPr>
        <w:t xml:space="preserve"> ieviešana rada ievērojamus administratīvo un finanšu resursu zaudējumus, kā arī nedod iespēju kravu pārvadātājiem strādāt efektīvi un apgrūtina valsts iestāžu </w:t>
      </w:r>
      <w:r w:rsidR="751118C3" w:rsidRPr="319C21C7">
        <w:rPr>
          <w:rFonts w:eastAsia="Calibri" w:cs="Times New Roman"/>
          <w:szCs w:val="24"/>
        </w:rPr>
        <w:t xml:space="preserve">noteikumu izpildi, </w:t>
      </w:r>
      <w:r w:rsidR="00BB466C">
        <w:rPr>
          <w:rFonts w:eastAsia="Calibri" w:cs="Times New Roman"/>
          <w:szCs w:val="24"/>
        </w:rPr>
        <w:t>SM</w:t>
      </w:r>
      <w:r w:rsidR="66FDB2EE" w:rsidRPr="319C21C7">
        <w:rPr>
          <w:rFonts w:eastAsia="Calibri" w:cs="Times New Roman"/>
          <w:szCs w:val="24"/>
        </w:rPr>
        <w:t xml:space="preserve"> ir izstrādājusi konceptuālo ziņojumu par elek</w:t>
      </w:r>
      <w:r w:rsidR="00BC6F57">
        <w:rPr>
          <w:rFonts w:eastAsia="Calibri" w:cs="Times New Roman"/>
          <w:szCs w:val="24"/>
        </w:rPr>
        <w:t>troniskā kravas starptautiskā a</w:t>
      </w:r>
      <w:r w:rsidR="66FDB2EE" w:rsidRPr="319C21C7">
        <w:rPr>
          <w:rFonts w:eastAsia="Calibri" w:cs="Times New Roman"/>
          <w:szCs w:val="24"/>
        </w:rPr>
        <w:t xml:space="preserve">utopārvadājumu līguma </w:t>
      </w:r>
      <w:r w:rsidR="4CB6BBEB" w:rsidRPr="319C21C7">
        <w:rPr>
          <w:rFonts w:eastAsia="Calibri" w:cs="Times New Roman"/>
          <w:szCs w:val="24"/>
        </w:rPr>
        <w:t>(e-CMR pavadzīmes) ieviešanas nepieciešamību Latvijā, ar mērķi pamatot e-CMR pavadzīmes nepieciešamību, kā arī informēt Min</w:t>
      </w:r>
      <w:r w:rsidR="46D457A9" w:rsidRPr="319C21C7">
        <w:rPr>
          <w:rFonts w:eastAsia="Calibri" w:cs="Times New Roman"/>
          <w:szCs w:val="24"/>
        </w:rPr>
        <w:t xml:space="preserve">istru kabinetu par galvenajām e-CMR pavadzīmes priekšrocībām. Konceptuālais ziņojums tika publicēts </w:t>
      </w:r>
      <w:r w:rsidR="00BB466C">
        <w:rPr>
          <w:rFonts w:eastAsia="Calibri" w:cs="Times New Roman"/>
          <w:szCs w:val="24"/>
        </w:rPr>
        <w:t>SM</w:t>
      </w:r>
      <w:r w:rsidR="00D0533F">
        <w:rPr>
          <w:rFonts w:eastAsia="Calibri" w:cs="Times New Roman"/>
          <w:szCs w:val="24"/>
        </w:rPr>
        <w:t xml:space="preserve"> mājaslapā 2021. gada 25. </w:t>
      </w:r>
      <w:r w:rsidR="46D457A9" w:rsidRPr="319C21C7">
        <w:rPr>
          <w:rFonts w:eastAsia="Calibri" w:cs="Times New Roman"/>
          <w:szCs w:val="24"/>
        </w:rPr>
        <w:t xml:space="preserve">janvārī sabiedrības līdzdalībai. </w:t>
      </w:r>
    </w:p>
    <w:p w14:paraId="1FF62B59" w14:textId="67FD194C" w:rsidR="00602E35" w:rsidRPr="00353391" w:rsidRDefault="00602E35" w:rsidP="00C243E0">
      <w:pPr>
        <w:spacing w:after="0" w:line="276" w:lineRule="auto"/>
        <w:ind w:firstLine="720"/>
        <w:rPr>
          <w:rFonts w:cs="Times New Roman"/>
        </w:rPr>
      </w:pPr>
      <w:r w:rsidRPr="319C21C7">
        <w:rPr>
          <w:rFonts w:cs="Times New Roman"/>
        </w:rPr>
        <w:t xml:space="preserve">Lai nodrošinātu vienmērīgu saziņu un sadarbību loģistikas ķēdē un uzlabotu piegādes ķēdes efektivitāti un kvalitāti visām pārvadājumā iesaistītajām pusēm, ir nepieciešams ieviest elektronisko kravu pavadzīmi jeb e-CMR </w:t>
      </w:r>
      <w:r w:rsidR="795243A5" w:rsidRPr="319C21C7">
        <w:rPr>
          <w:rFonts w:cs="Times New Roman"/>
        </w:rPr>
        <w:t xml:space="preserve">pavadzīmi </w:t>
      </w:r>
      <w:r w:rsidRPr="319C21C7">
        <w:rPr>
          <w:rFonts w:cs="Times New Roman"/>
        </w:rPr>
        <w:t>arī Latvijā. e-CMR risinājums saglabātu visas priekšrocības, ko sniedz papīra formāta CMR pavadzīme, taču tas padarītu sistēmu modernāku, noņemot dokumentācijas un apstrādes izmaksas.</w:t>
      </w:r>
      <w:r w:rsidR="1CBD3708" w:rsidRPr="319C21C7">
        <w:rPr>
          <w:rFonts w:cs="Times New Roman"/>
        </w:rPr>
        <w:t xml:space="preserve"> Svarīgi arī piebilst, ka ieviešanu nedrīkst nokavēt un tā ir jāveic sinhroni visās dalībvalstīs kopā, lai priekšrocības un ieguvumi no e-CMR pavadzīmes būtu jūtami. </w:t>
      </w:r>
    </w:p>
    <w:p w14:paraId="24922E0D" w14:textId="272174BA" w:rsidR="00602E35" w:rsidRPr="00353391" w:rsidRDefault="00602E35" w:rsidP="00C243E0">
      <w:pPr>
        <w:spacing w:after="0" w:line="276" w:lineRule="auto"/>
        <w:ind w:firstLine="720"/>
        <w:rPr>
          <w:rFonts w:cs="Times New Roman"/>
        </w:rPr>
      </w:pPr>
      <w:r w:rsidRPr="319C21C7">
        <w:rPr>
          <w:rFonts w:cs="Times New Roman"/>
        </w:rPr>
        <w:t xml:space="preserve"> Sakarā ar digitālo raksturu e-CMR var viegli integrēt arī ar citiem pakalpojumiem, kurus izmanto transporta uzņēmumi. Pārejot uz elektronisko formātu, visas preču pārvadājumā iesaistītās puses gūst labumu no paaugstinātas loģistikas efektivitātes, kā rezultātā palielinās ekonomiskā konkurētspēja.</w:t>
      </w:r>
    </w:p>
    <w:p w14:paraId="16FD7E4B" w14:textId="77777777" w:rsidR="00602E35" w:rsidRPr="00353391" w:rsidRDefault="00602E35" w:rsidP="00C243E0">
      <w:pPr>
        <w:spacing w:after="0" w:line="276" w:lineRule="auto"/>
        <w:ind w:firstLine="720"/>
        <w:rPr>
          <w:rFonts w:cs="Times New Roman"/>
          <w:szCs w:val="24"/>
          <w:u w:val="single"/>
        </w:rPr>
      </w:pPr>
      <w:r w:rsidRPr="00353391">
        <w:rPr>
          <w:rFonts w:cs="Times New Roman"/>
          <w:szCs w:val="24"/>
          <w:u w:val="single"/>
        </w:rPr>
        <w:t>Elektroniskas kravas pavadzīmes ieviešana Latvijā:</w:t>
      </w:r>
    </w:p>
    <w:p w14:paraId="15E2C75C" w14:textId="77777777" w:rsidR="00602E35" w:rsidRPr="00353391" w:rsidRDefault="00602E35" w:rsidP="00C243E0">
      <w:pPr>
        <w:numPr>
          <w:ilvl w:val="0"/>
          <w:numId w:val="9"/>
        </w:numPr>
        <w:spacing w:after="0" w:line="276" w:lineRule="auto"/>
        <w:rPr>
          <w:rFonts w:cs="Times New Roman"/>
          <w:szCs w:val="24"/>
        </w:rPr>
      </w:pPr>
      <w:r w:rsidRPr="00353391">
        <w:rPr>
          <w:rFonts w:cs="Times New Roman"/>
          <w:szCs w:val="24"/>
        </w:rPr>
        <w:t>ievērojami samazinās administratīvās izmaksas kravu pārvadātājiem, aizstājot papīra lietošanu, kas ir labvēlīgi videi;</w:t>
      </w:r>
    </w:p>
    <w:p w14:paraId="3806CC2B" w14:textId="77777777" w:rsidR="00602E35" w:rsidRPr="00353391" w:rsidRDefault="00602E35" w:rsidP="00C243E0">
      <w:pPr>
        <w:numPr>
          <w:ilvl w:val="0"/>
          <w:numId w:val="9"/>
        </w:numPr>
        <w:spacing w:after="0" w:line="276" w:lineRule="auto"/>
        <w:rPr>
          <w:rFonts w:cs="Times New Roman"/>
          <w:szCs w:val="24"/>
        </w:rPr>
      </w:pPr>
      <w:r w:rsidRPr="00353391">
        <w:rPr>
          <w:rFonts w:cs="Times New Roman"/>
          <w:szCs w:val="24"/>
        </w:rPr>
        <w:t>ļaus labāk un ātrāk organizēt pārvadājumus, paātrinot informācijas pārraidi un norēķinus un ietaupīs laiku;</w:t>
      </w:r>
    </w:p>
    <w:p w14:paraId="77D36CDA" w14:textId="77777777" w:rsidR="00602E35" w:rsidRPr="00353391" w:rsidRDefault="00602E35" w:rsidP="00C243E0">
      <w:pPr>
        <w:numPr>
          <w:ilvl w:val="0"/>
          <w:numId w:val="9"/>
        </w:numPr>
        <w:spacing w:after="0" w:line="276" w:lineRule="auto"/>
        <w:rPr>
          <w:rFonts w:cs="Times New Roman"/>
          <w:szCs w:val="24"/>
        </w:rPr>
      </w:pPr>
      <w:r w:rsidRPr="00353391">
        <w:rPr>
          <w:rFonts w:cs="Times New Roman"/>
          <w:szCs w:val="24"/>
        </w:rPr>
        <w:t xml:space="preserve">pārskatāmības ziņā e-CMR dos pieeju reāllaika informācijai, precīzākiem datiem un nodrošinās automātisku datu pārraidi uzņēmumam, kas dos sūtītājiem, pārvadātājiem un saņēmējiem lielāku loģistikas procesa kontroli. </w:t>
      </w:r>
    </w:p>
    <w:p w14:paraId="0503E23B" w14:textId="77777777" w:rsidR="00602E35" w:rsidRPr="00353391" w:rsidRDefault="00602E35" w:rsidP="00C243E0">
      <w:pPr>
        <w:spacing w:after="0" w:line="276" w:lineRule="auto"/>
        <w:ind w:firstLine="720"/>
        <w:rPr>
          <w:rFonts w:cs="Times New Roman"/>
          <w:szCs w:val="24"/>
        </w:rPr>
      </w:pPr>
    </w:p>
    <w:p w14:paraId="010AAECE" w14:textId="3BB6F497" w:rsidR="00602E35" w:rsidRPr="00353391" w:rsidRDefault="1BB42696" w:rsidP="00C243E0">
      <w:pPr>
        <w:spacing w:after="0" w:line="276" w:lineRule="auto"/>
        <w:ind w:firstLine="720"/>
        <w:rPr>
          <w:rFonts w:cs="Times New Roman"/>
        </w:rPr>
      </w:pPr>
      <w:r w:rsidRPr="319C21C7">
        <w:rPr>
          <w:rFonts w:cs="Times New Roman"/>
        </w:rPr>
        <w:t xml:space="preserve">Lai nākotnē samazinātu papīra dokumentu daudzumu loģistikas nozarē, </w:t>
      </w:r>
      <w:r w:rsidR="7B06992E" w:rsidRPr="319C21C7">
        <w:rPr>
          <w:rFonts w:cs="Times New Roman"/>
        </w:rPr>
        <w:t>p</w:t>
      </w:r>
      <w:r w:rsidR="00602E35" w:rsidRPr="319C21C7">
        <w:rPr>
          <w:rFonts w:cs="Times New Roman"/>
        </w:rPr>
        <w:t xml:space="preserve">rojekta DIGINNO – </w:t>
      </w:r>
      <w:proofErr w:type="spellStart"/>
      <w:r w:rsidR="00602E35" w:rsidRPr="319C21C7">
        <w:rPr>
          <w:rFonts w:cs="Times New Roman"/>
        </w:rPr>
        <w:t>Proto</w:t>
      </w:r>
      <w:proofErr w:type="spellEnd"/>
      <w:r w:rsidR="00602E35" w:rsidRPr="319C21C7">
        <w:rPr>
          <w:rFonts w:cs="Times New Roman"/>
        </w:rPr>
        <w:t xml:space="preserve"> ietvaros tika uzsākta digitālo kravas pavadzīmju testēšana. Šis projekts tika uzsākts, lai izstrādātu vienu pārrobežu e-pakalpojumu prototipu. e-CMR </w:t>
      </w:r>
      <w:r w:rsidR="08A80813" w:rsidRPr="319C21C7">
        <w:rPr>
          <w:rFonts w:cs="Times New Roman"/>
        </w:rPr>
        <w:t xml:space="preserve">pavadzīmes </w:t>
      </w:r>
      <w:r w:rsidR="00602E35" w:rsidRPr="319C21C7">
        <w:rPr>
          <w:rFonts w:cs="Times New Roman"/>
        </w:rPr>
        <w:t>pilotprojekta mērķis ir nodrošināt starpvalstu informācijas apmaiņu ar elektronisko autotransporta dokumentāciju</w:t>
      </w:r>
      <w:r w:rsidR="00602E35" w:rsidRPr="319C21C7">
        <w:rPr>
          <w:rFonts w:cs="Times New Roman"/>
          <w:b/>
          <w:bCs/>
        </w:rPr>
        <w:t xml:space="preserve">, </w:t>
      </w:r>
      <w:r w:rsidR="00602E35" w:rsidRPr="319C21C7">
        <w:rPr>
          <w:rFonts w:cs="Times New Roman"/>
        </w:rPr>
        <w:t xml:space="preserve">izveidojot un notestējot indeksēšanas shēmu starp partnervalstīm – Igauniju, Latviju, Lietuvu un Poliju. Pilotprojekta </w:t>
      </w:r>
      <w:r w:rsidR="00602E35" w:rsidRPr="319C21C7">
        <w:rPr>
          <w:rFonts w:cs="Times New Roman"/>
        </w:rPr>
        <w:lastRenderedPageBreak/>
        <w:t>ierobežoto līdzekļu un laika dēļ netika radīts gatavs gala produkts lietotājiem, bet tika risināta vienota pārrobežu informācijas apmaiņas problēma.</w:t>
      </w:r>
    </w:p>
    <w:p w14:paraId="11E0BF40" w14:textId="21C7A1A9" w:rsidR="00602E35" w:rsidRPr="00353391" w:rsidRDefault="00A767B9" w:rsidP="00C243E0">
      <w:pPr>
        <w:spacing w:after="0" w:line="276" w:lineRule="auto"/>
        <w:ind w:firstLine="720"/>
        <w:rPr>
          <w:rFonts w:cs="Times New Roman"/>
          <w:szCs w:val="24"/>
        </w:rPr>
      </w:pPr>
      <w:r>
        <w:rPr>
          <w:rFonts w:cs="Times New Roman"/>
          <w:szCs w:val="24"/>
        </w:rPr>
        <w:t xml:space="preserve">Testēšana tika veikta maršrutā Igaunija </w:t>
      </w:r>
      <w:r w:rsidRPr="00353391">
        <w:rPr>
          <w:rFonts w:cs="Times New Roman"/>
          <w:szCs w:val="24"/>
        </w:rPr>
        <w:t>–</w:t>
      </w:r>
      <w:r w:rsidR="00602E35" w:rsidRPr="00353391">
        <w:rPr>
          <w:rFonts w:cs="Times New Roman"/>
          <w:szCs w:val="24"/>
        </w:rPr>
        <w:t xml:space="preserve"> Latvija – Lietuva – Polija, kurā šo valstu muitas un nodokļu, kā arī policijas un robežsardzes pārvaldes izmantoja starptautiskās elektroniskās kravas pārvadājumu pavadzīmes e-CMR un reāllaika informāciju par krav</w:t>
      </w:r>
      <w:r w:rsidR="00D0533F">
        <w:rPr>
          <w:rFonts w:cs="Times New Roman"/>
          <w:szCs w:val="24"/>
        </w:rPr>
        <w:t>u. Testēšana tika uzsākta 2020. gada 27. </w:t>
      </w:r>
      <w:r w:rsidR="00602E35" w:rsidRPr="00353391">
        <w:rPr>
          <w:rFonts w:cs="Times New Roman"/>
          <w:szCs w:val="24"/>
        </w:rPr>
        <w:t>augustā.</w:t>
      </w:r>
    </w:p>
    <w:p w14:paraId="7615A662" w14:textId="77777777" w:rsidR="00602E35" w:rsidRPr="00353391" w:rsidRDefault="00602E35" w:rsidP="00C243E0">
      <w:pPr>
        <w:spacing w:after="0" w:line="276" w:lineRule="auto"/>
        <w:ind w:firstLine="720"/>
        <w:rPr>
          <w:rFonts w:cs="Times New Roman"/>
          <w:szCs w:val="24"/>
        </w:rPr>
      </w:pPr>
      <w:r w:rsidRPr="00353391">
        <w:rPr>
          <w:rFonts w:cs="Times New Roman"/>
          <w:szCs w:val="24"/>
        </w:rPr>
        <w:t>Testēšanas rezultāti:</w:t>
      </w:r>
    </w:p>
    <w:p w14:paraId="379CE26B" w14:textId="77777777" w:rsidR="00602E35" w:rsidRPr="00353391" w:rsidRDefault="00602E35" w:rsidP="00C243E0">
      <w:pPr>
        <w:numPr>
          <w:ilvl w:val="0"/>
          <w:numId w:val="10"/>
        </w:numPr>
        <w:spacing w:after="0" w:line="276" w:lineRule="auto"/>
        <w:rPr>
          <w:rFonts w:cs="Times New Roman"/>
          <w:szCs w:val="24"/>
        </w:rPr>
      </w:pPr>
      <w:r w:rsidRPr="00353391">
        <w:rPr>
          <w:rFonts w:cs="Times New Roman"/>
          <w:szCs w:val="24"/>
        </w:rPr>
        <w:t>Visa funkcionalitāte un datu apmaiņa veiksmīgi darbojās valsts un pārrobežu līmenī.</w:t>
      </w:r>
    </w:p>
    <w:p w14:paraId="18A6F8D1" w14:textId="77777777" w:rsidR="00602E35" w:rsidRPr="00353391" w:rsidRDefault="00602E35" w:rsidP="00C243E0">
      <w:pPr>
        <w:numPr>
          <w:ilvl w:val="0"/>
          <w:numId w:val="10"/>
        </w:numPr>
        <w:spacing w:after="0" w:line="276" w:lineRule="auto"/>
        <w:rPr>
          <w:rFonts w:cs="Times New Roman"/>
          <w:szCs w:val="24"/>
        </w:rPr>
      </w:pPr>
      <w:r w:rsidRPr="00353391">
        <w:rPr>
          <w:rFonts w:cs="Times New Roman"/>
          <w:szCs w:val="24"/>
        </w:rPr>
        <w:t>Kravas automašīnu uzņēmumi sadarbībā ar EDI pakalpojumu sniedzējiem, izmantojot e-CMR indeksa reģistru, kopīgoja divus dokumentu formātus:</w:t>
      </w:r>
    </w:p>
    <w:p w14:paraId="58A42A83" w14:textId="7A38BE44" w:rsidR="00602E35" w:rsidRPr="00353391" w:rsidRDefault="00602E35" w:rsidP="00C243E0">
      <w:pPr>
        <w:numPr>
          <w:ilvl w:val="0"/>
          <w:numId w:val="11"/>
        </w:numPr>
        <w:spacing w:after="0" w:line="276" w:lineRule="auto"/>
        <w:rPr>
          <w:rFonts w:cs="Times New Roman"/>
          <w:szCs w:val="24"/>
        </w:rPr>
      </w:pPr>
      <w:r w:rsidRPr="00353391">
        <w:rPr>
          <w:rFonts w:cs="Times New Roman"/>
          <w:szCs w:val="24"/>
        </w:rPr>
        <w:t>UN/CEFACT strukturēts CMR dokuments XML formātā.</w:t>
      </w:r>
    </w:p>
    <w:p w14:paraId="2CFFD376" w14:textId="77777777" w:rsidR="00602E35" w:rsidRPr="00353391" w:rsidRDefault="00602E35" w:rsidP="00C243E0">
      <w:pPr>
        <w:numPr>
          <w:ilvl w:val="0"/>
          <w:numId w:val="11"/>
        </w:numPr>
        <w:spacing w:after="0" w:line="276" w:lineRule="auto"/>
        <w:rPr>
          <w:rFonts w:cs="Times New Roman"/>
          <w:szCs w:val="24"/>
        </w:rPr>
      </w:pPr>
      <w:r w:rsidRPr="00353391">
        <w:rPr>
          <w:rFonts w:cs="Times New Roman"/>
          <w:szCs w:val="24"/>
        </w:rPr>
        <w:t>CMR dokuments PDF formātā.</w:t>
      </w:r>
    </w:p>
    <w:p w14:paraId="1677FA71" w14:textId="129FFB22" w:rsidR="00602E35" w:rsidRPr="00353391" w:rsidRDefault="00602E35" w:rsidP="00C243E0">
      <w:pPr>
        <w:spacing w:after="0" w:line="276" w:lineRule="auto"/>
        <w:ind w:firstLine="720"/>
        <w:rPr>
          <w:rFonts w:cs="Times New Roman"/>
          <w:szCs w:val="24"/>
        </w:rPr>
      </w:pPr>
      <w:r w:rsidRPr="319C21C7">
        <w:rPr>
          <w:rFonts w:cs="Times New Roman"/>
        </w:rPr>
        <w:t xml:space="preserve">Vizuālajā kontrolē pietiek ar PDF failiem, taču tuvākajā nākotnē kontroles iestādes gaida, kad visi CMR dokumentā esošie dati būs </w:t>
      </w:r>
      <w:r w:rsidR="00025A10" w:rsidRPr="319C21C7">
        <w:rPr>
          <w:rFonts w:cs="Times New Roman"/>
        </w:rPr>
        <w:t>mašīnlasāmi. Izstrādātais</w:t>
      </w:r>
      <w:r w:rsidRPr="00353391">
        <w:rPr>
          <w:rFonts w:cs="Times New Roman"/>
          <w:szCs w:val="24"/>
        </w:rPr>
        <w:t xml:space="preserve"> risinājums atbalsta šādu funkcionalitāti: </w:t>
      </w:r>
    </w:p>
    <w:p w14:paraId="13CF6DDC" w14:textId="77777777" w:rsidR="00602E35" w:rsidRPr="00353391" w:rsidRDefault="00602E35" w:rsidP="00C243E0">
      <w:pPr>
        <w:pStyle w:val="ListParagraph"/>
        <w:numPr>
          <w:ilvl w:val="0"/>
          <w:numId w:val="1"/>
        </w:numPr>
        <w:spacing w:after="0" w:line="276" w:lineRule="auto"/>
        <w:rPr>
          <w:rFonts w:asciiTheme="minorHAnsi" w:eastAsiaTheme="minorEastAsia" w:hAnsiTheme="minorHAnsi"/>
          <w:szCs w:val="24"/>
        </w:rPr>
      </w:pPr>
      <w:r w:rsidRPr="319C21C7">
        <w:rPr>
          <w:rFonts w:cs="Times New Roman"/>
        </w:rPr>
        <w:t>e-CMR indeksa (-u) pievienošana vai atjaunināšana;</w:t>
      </w:r>
    </w:p>
    <w:p w14:paraId="17B65C3A" w14:textId="77777777" w:rsidR="00602E35" w:rsidRPr="00353391" w:rsidRDefault="00602E35" w:rsidP="00C243E0">
      <w:pPr>
        <w:pStyle w:val="ListParagraph"/>
        <w:numPr>
          <w:ilvl w:val="0"/>
          <w:numId w:val="1"/>
        </w:numPr>
        <w:spacing w:after="0" w:line="276" w:lineRule="auto"/>
        <w:rPr>
          <w:rFonts w:asciiTheme="minorHAnsi" w:eastAsiaTheme="minorEastAsia" w:hAnsiTheme="minorHAnsi"/>
          <w:szCs w:val="24"/>
        </w:rPr>
      </w:pPr>
      <w:r w:rsidRPr="319C21C7">
        <w:rPr>
          <w:rFonts w:cs="Times New Roman"/>
        </w:rPr>
        <w:t>meklēt pēc transportlīdzekļa reģistrācijas numura vai e-CMR indeksa ID;</w:t>
      </w:r>
    </w:p>
    <w:p w14:paraId="49FCE59A" w14:textId="74D60100" w:rsidR="00602E35" w:rsidRPr="00353391" w:rsidRDefault="00602E35" w:rsidP="00C243E0">
      <w:pPr>
        <w:pStyle w:val="ListParagraph"/>
        <w:numPr>
          <w:ilvl w:val="0"/>
          <w:numId w:val="1"/>
        </w:numPr>
        <w:spacing w:after="0" w:line="276" w:lineRule="auto"/>
        <w:rPr>
          <w:rFonts w:asciiTheme="minorHAnsi" w:eastAsiaTheme="minorEastAsia" w:hAnsiTheme="minorHAnsi"/>
          <w:szCs w:val="24"/>
        </w:rPr>
      </w:pPr>
      <w:r w:rsidRPr="319C21C7">
        <w:rPr>
          <w:rFonts w:cs="Times New Roman"/>
        </w:rPr>
        <w:t>iespēja redzēt, kurš un kad (datums/laiks) ir pievienojis vai atjauninājis indeksu</w:t>
      </w:r>
      <w:r w:rsidR="00B30B3D">
        <w:rPr>
          <w:rFonts w:cs="Times New Roman"/>
        </w:rPr>
        <w:t>;</w:t>
      </w:r>
    </w:p>
    <w:p w14:paraId="06011832" w14:textId="77777777" w:rsidR="00602E35" w:rsidRPr="00353391" w:rsidRDefault="00602E35" w:rsidP="00C243E0">
      <w:pPr>
        <w:pStyle w:val="ListParagraph"/>
        <w:numPr>
          <w:ilvl w:val="0"/>
          <w:numId w:val="1"/>
        </w:numPr>
        <w:spacing w:after="0" w:line="276" w:lineRule="auto"/>
        <w:rPr>
          <w:rFonts w:asciiTheme="minorHAnsi" w:eastAsiaTheme="minorEastAsia" w:hAnsiTheme="minorHAnsi"/>
          <w:szCs w:val="24"/>
        </w:rPr>
      </w:pPr>
      <w:r w:rsidRPr="319C21C7">
        <w:rPr>
          <w:rFonts w:cs="Times New Roman"/>
        </w:rPr>
        <w:t>iespēja sekot, kurš ir skatījis e-CMR indeksu (sertifikātus);</w:t>
      </w:r>
    </w:p>
    <w:p w14:paraId="7309E212" w14:textId="77777777" w:rsidR="00602E35" w:rsidRPr="00353391" w:rsidRDefault="00602E35" w:rsidP="00C243E0">
      <w:pPr>
        <w:pStyle w:val="ListParagraph"/>
        <w:numPr>
          <w:ilvl w:val="0"/>
          <w:numId w:val="1"/>
        </w:numPr>
        <w:spacing w:after="0" w:line="276" w:lineRule="auto"/>
        <w:rPr>
          <w:rFonts w:asciiTheme="minorHAnsi" w:eastAsiaTheme="minorEastAsia" w:hAnsiTheme="minorHAnsi"/>
          <w:szCs w:val="24"/>
        </w:rPr>
      </w:pPr>
      <w:r w:rsidRPr="319C21C7">
        <w:rPr>
          <w:rFonts w:cs="Times New Roman"/>
        </w:rPr>
        <w:t>lietotāju tiesības, kas balstītas uz divām grupām: “valdība” un “bizness”;</w:t>
      </w:r>
    </w:p>
    <w:p w14:paraId="5D32B74F" w14:textId="77777777" w:rsidR="00602E35" w:rsidRPr="00353391" w:rsidRDefault="00602E35" w:rsidP="00C243E0">
      <w:pPr>
        <w:pStyle w:val="ListParagraph"/>
        <w:numPr>
          <w:ilvl w:val="0"/>
          <w:numId w:val="1"/>
        </w:numPr>
        <w:spacing w:after="0" w:line="276" w:lineRule="auto"/>
        <w:rPr>
          <w:rFonts w:asciiTheme="minorHAnsi" w:eastAsiaTheme="minorEastAsia" w:hAnsiTheme="minorHAnsi"/>
          <w:szCs w:val="24"/>
        </w:rPr>
      </w:pPr>
      <w:r w:rsidRPr="319C21C7">
        <w:rPr>
          <w:rFonts w:cs="Times New Roman"/>
        </w:rPr>
        <w:t xml:space="preserve">izveidotā sistēma ļauj ļoti viegli pievienot papildu grupas vai noņemt tās no reģistra, ja nepieciešams. </w:t>
      </w:r>
    </w:p>
    <w:p w14:paraId="7DAF4BC1" w14:textId="77777777" w:rsidR="00602E35" w:rsidRPr="00025A10" w:rsidRDefault="00602E35" w:rsidP="00C243E0">
      <w:pPr>
        <w:spacing w:after="0" w:line="276" w:lineRule="auto"/>
        <w:ind w:firstLine="720"/>
        <w:rPr>
          <w:rFonts w:eastAsia="Times New Roman" w:cs="Times New Roman"/>
        </w:rPr>
      </w:pPr>
    </w:p>
    <w:p w14:paraId="48FA2732" w14:textId="77777777" w:rsidR="00602E35" w:rsidRPr="00025A10" w:rsidRDefault="00602E35" w:rsidP="00C243E0">
      <w:pPr>
        <w:spacing w:after="0" w:line="276" w:lineRule="auto"/>
        <w:ind w:firstLine="720"/>
        <w:rPr>
          <w:rFonts w:eastAsia="Times New Roman" w:cs="Times New Roman"/>
        </w:rPr>
      </w:pPr>
      <w:r w:rsidRPr="00025A10">
        <w:rPr>
          <w:rFonts w:eastAsia="Times New Roman" w:cs="Times New Roman"/>
        </w:rPr>
        <w:t xml:space="preserve">Šī projekta īstenošana ir nozīmīgs solis ceļā uz Eiropas Savienības vienotu digitālo tirgu un dod ieguldījumu esošās problēmas risināšanā saistībā ar </w:t>
      </w:r>
      <w:proofErr w:type="spellStart"/>
      <w:r w:rsidRPr="00025A10">
        <w:rPr>
          <w:rFonts w:eastAsia="Times New Roman" w:cs="Times New Roman"/>
        </w:rPr>
        <w:t>digitalizācijas</w:t>
      </w:r>
      <w:proofErr w:type="spellEnd"/>
      <w:r w:rsidRPr="00025A10">
        <w:rPr>
          <w:rFonts w:eastAsia="Times New Roman" w:cs="Times New Roman"/>
        </w:rPr>
        <w:t xml:space="preserve"> trūkumu kravu pārvadājumos transporta nozarē. </w:t>
      </w:r>
    </w:p>
    <w:p w14:paraId="52543C0F" w14:textId="1A702F07" w:rsidR="00602E35" w:rsidRPr="00211728" w:rsidRDefault="00602E35" w:rsidP="00C243E0">
      <w:pPr>
        <w:spacing w:after="0" w:line="276" w:lineRule="auto"/>
        <w:ind w:firstLine="720"/>
        <w:rPr>
          <w:rFonts w:eastAsia="Calibri" w:cs="Arial"/>
          <w:szCs w:val="24"/>
        </w:rPr>
      </w:pPr>
      <w:r w:rsidRPr="00025A10">
        <w:rPr>
          <w:rFonts w:eastAsia="Times New Roman" w:cs="Times New Roman"/>
        </w:rPr>
        <w:t>Šis projekts veicinās Eiropas Savienības regulējuma par elektronisko kravu pārvadājumu apmaiņu īstenošanu, jo kravas pārvadājumu pavadzīmju jeb CMR</w:t>
      </w:r>
      <w:r w:rsidR="7A061E9E" w:rsidRPr="319C21C7">
        <w:rPr>
          <w:rFonts w:eastAsia="Times New Roman" w:cs="Times New Roman"/>
        </w:rPr>
        <w:t xml:space="preserve"> pavadzīmes</w:t>
      </w:r>
      <w:r w:rsidRPr="00025A10">
        <w:rPr>
          <w:rFonts w:eastAsia="Times New Roman" w:cs="Times New Roman"/>
        </w:rPr>
        <w:t xml:space="preserve"> </w:t>
      </w:r>
      <w:proofErr w:type="spellStart"/>
      <w:r w:rsidRPr="00025A10">
        <w:rPr>
          <w:rFonts w:eastAsia="Times New Roman" w:cs="Times New Roman"/>
        </w:rPr>
        <w:t>digitalizēšana</w:t>
      </w:r>
      <w:proofErr w:type="spellEnd"/>
      <w:r w:rsidRPr="00025A10">
        <w:rPr>
          <w:rFonts w:eastAsia="Times New Roman" w:cs="Times New Roman"/>
        </w:rPr>
        <w:t xml:space="preserve"> ir izdevīga gan pārvadātājiem un kravu nosūtītājiem, gan kontrolējošām iestādēm. Samazinot drukāto pavadzīmju apjomu un birokrātiju, visas iesaistītās puses nepieciešamās procedūras varēs veikt attālināti, kas būs ātrāk un ērtāk, ļaus ietaupīt laiku un paātrinās norēķinus par kravām. </w:t>
      </w:r>
      <w:r w:rsidRPr="319C21C7">
        <w:rPr>
          <w:rFonts w:cs="Times New Roman"/>
        </w:rPr>
        <w:t xml:space="preserve">Balstoties uz DIGINNO – </w:t>
      </w:r>
      <w:proofErr w:type="spellStart"/>
      <w:r w:rsidRPr="319C21C7">
        <w:rPr>
          <w:rFonts w:cs="Times New Roman"/>
        </w:rPr>
        <w:t>Proto</w:t>
      </w:r>
      <w:proofErr w:type="spellEnd"/>
      <w:r w:rsidRPr="319C21C7">
        <w:rPr>
          <w:rFonts w:cs="Times New Roman"/>
        </w:rPr>
        <w:t xml:space="preserve"> pilotprojekta testēšanas rezultātiem, atzīstams, ka datu apmaiņa veiksmīgi darbojas valsts un pārrobežu līmenī, kā arī </w:t>
      </w:r>
      <w:r w:rsidR="6C76EAEB" w:rsidRPr="319C21C7">
        <w:rPr>
          <w:rFonts w:cs="Times New Roman"/>
        </w:rPr>
        <w:t>institūcijas</w:t>
      </w:r>
      <w:r w:rsidRPr="319C21C7">
        <w:rPr>
          <w:rFonts w:cs="Times New Roman"/>
        </w:rPr>
        <w:t>, kuras interesējas par e-CMR</w:t>
      </w:r>
      <w:r w:rsidR="1BA6A6D2" w:rsidRPr="319C21C7">
        <w:rPr>
          <w:rFonts w:cs="Times New Roman"/>
        </w:rPr>
        <w:t xml:space="preserve"> pavadzīmi</w:t>
      </w:r>
      <w:r w:rsidRPr="319C21C7">
        <w:rPr>
          <w:rFonts w:cs="Times New Roman"/>
        </w:rPr>
        <w:t>, indeksu reģistrā var pārbaudīt reālu kravas automašīnu e-CMR dokumentus. Šis indeksu reģistrs dod iespēju pārvadātājiem īsākā laika periodā sasniegt vēlamo rezultātu, kā arī samazina administratīvās izmaksas, aizstājot papīra dokumentu ar elektronisku</w:t>
      </w:r>
      <w:r w:rsidR="7C8F81D7" w:rsidRPr="319C21C7">
        <w:rPr>
          <w:rFonts w:cs="Times New Roman"/>
        </w:rPr>
        <w:t xml:space="preserve"> </w:t>
      </w:r>
      <w:r w:rsidR="00211728" w:rsidRPr="319C21C7">
        <w:rPr>
          <w:rFonts w:cs="Times New Roman"/>
        </w:rPr>
        <w:t>dokumentu. Pāriešana</w:t>
      </w:r>
      <w:r w:rsidRPr="319C21C7">
        <w:rPr>
          <w:rFonts w:cs="Times New Roman"/>
        </w:rPr>
        <w:t xml:space="preserve"> no CMR pavadzīmes uz e-CMR </w:t>
      </w:r>
      <w:r w:rsidR="775A6D7D" w:rsidRPr="319C21C7">
        <w:rPr>
          <w:rFonts w:cs="Times New Roman"/>
        </w:rPr>
        <w:t xml:space="preserve">pavadzīmi </w:t>
      </w:r>
      <w:r w:rsidRPr="319C21C7">
        <w:rPr>
          <w:rFonts w:cs="Times New Roman"/>
        </w:rPr>
        <w:t xml:space="preserve">– reģionāli tā būs iespēja gan uzņēmumiem, gan iestādēm iegūt efektivitāti, izmantojot </w:t>
      </w:r>
      <w:proofErr w:type="spellStart"/>
      <w:r w:rsidRPr="319C21C7">
        <w:rPr>
          <w:rFonts w:cs="Times New Roman"/>
        </w:rPr>
        <w:t>digitalizāciju</w:t>
      </w:r>
      <w:proofErr w:type="spellEnd"/>
      <w:r w:rsidRPr="319C21C7">
        <w:rPr>
          <w:rFonts w:cs="Times New Roman"/>
        </w:rPr>
        <w:t xml:space="preserve">. </w:t>
      </w:r>
      <w:r w:rsidRPr="00211728">
        <w:rPr>
          <w:rFonts w:cs="Times New Roman"/>
        </w:rPr>
        <w:t>Uzņēmumi varēs efektīvāk pārvaldīt savu informāciju un piegādes ķēdi</w:t>
      </w:r>
      <w:r w:rsidRPr="319C21C7">
        <w:rPr>
          <w:rFonts w:cs="Times New Roman"/>
        </w:rPr>
        <w:t xml:space="preserve">, </w:t>
      </w:r>
      <w:r w:rsidRPr="00211728">
        <w:rPr>
          <w:rFonts w:cs="Times New Roman"/>
        </w:rPr>
        <w:t xml:space="preserve">kas uzlabos datu kvalitāti kravas pārvadājumu procesā, samazinās atkārtotu kļūdu risku, kā arī būs iespēja apmainīties ar resursiem un integrēt darbības vienā informācijas </w:t>
      </w:r>
      <w:r w:rsidRPr="00211728">
        <w:rPr>
          <w:rFonts w:cs="Times New Roman"/>
        </w:rPr>
        <w:lastRenderedPageBreak/>
        <w:t xml:space="preserve">sistēmu tīklā. </w:t>
      </w:r>
      <w:r w:rsidR="3BD73275" w:rsidRPr="319C21C7">
        <w:rPr>
          <w:rFonts w:eastAsia="Calibri" w:cs="Arial"/>
          <w:szCs w:val="24"/>
        </w:rPr>
        <w:t xml:space="preserve">Ņemot vērā, ka Latvijas pārvadātāju izmantotais CMR pavadzīmju skaits ir apmēram divi miljoni CMR pavadzīmju gadā un uz vienu pavadzīmi ietaupījums ir 4.50 </w:t>
      </w:r>
      <w:proofErr w:type="spellStart"/>
      <w:r w:rsidR="3BD73275" w:rsidRPr="00883574">
        <w:rPr>
          <w:rFonts w:eastAsia="Calibri" w:cs="Arial"/>
          <w:i/>
          <w:szCs w:val="24"/>
        </w:rPr>
        <w:t>euro</w:t>
      </w:r>
      <w:proofErr w:type="spellEnd"/>
      <w:r w:rsidR="3BD73275" w:rsidRPr="319C21C7">
        <w:rPr>
          <w:rFonts w:eastAsia="Calibri" w:cs="Arial"/>
          <w:szCs w:val="24"/>
        </w:rPr>
        <w:t>, pēc aptuvenām aplēsēm Latvijas pārvadātāji gadā ietaupītu līdz deviņiem miljoni</w:t>
      </w:r>
      <w:r w:rsidR="005E7BE9" w:rsidRPr="319C21C7">
        <w:rPr>
          <w:rFonts w:eastAsia="Calibri" w:cs="Arial"/>
          <w:szCs w:val="24"/>
        </w:rPr>
        <w:t xml:space="preserve">em </w:t>
      </w:r>
      <w:proofErr w:type="spellStart"/>
      <w:r w:rsidR="005E7BE9" w:rsidRPr="00883574">
        <w:rPr>
          <w:rFonts w:eastAsia="Calibri" w:cs="Arial"/>
          <w:i/>
          <w:szCs w:val="24"/>
        </w:rPr>
        <w:t>euro</w:t>
      </w:r>
      <w:proofErr w:type="spellEnd"/>
      <w:r w:rsidR="005E7BE9" w:rsidRPr="319C21C7">
        <w:rPr>
          <w:rFonts w:eastAsia="Calibri" w:cs="Arial"/>
          <w:szCs w:val="24"/>
        </w:rPr>
        <w:t>. Ja viss transporta process Eiropas Savienība tiktu padarīts digitāls un pilnīgi bez papīra, tas ļautu ietaupīt 2 – 8 miljardus papīra lapu gadā jeb 180 000 – 900</w:t>
      </w:r>
      <w:r w:rsidR="00CA15CB">
        <w:rPr>
          <w:rFonts w:eastAsia="Calibri" w:cs="Arial"/>
          <w:szCs w:val="24"/>
        </w:rPr>
        <w:t> </w:t>
      </w:r>
      <w:r w:rsidR="005E7BE9" w:rsidRPr="319C21C7">
        <w:rPr>
          <w:rFonts w:eastAsia="Calibri" w:cs="Arial"/>
          <w:szCs w:val="24"/>
        </w:rPr>
        <w:t xml:space="preserve">000 koku. </w:t>
      </w:r>
    </w:p>
    <w:p w14:paraId="2B12CAAA" w14:textId="77777777" w:rsidR="00602E35" w:rsidRPr="00353391" w:rsidRDefault="00602E35" w:rsidP="00C243E0">
      <w:pPr>
        <w:spacing w:after="0" w:line="276" w:lineRule="auto"/>
        <w:ind w:firstLine="720"/>
        <w:rPr>
          <w:rFonts w:cs="Times New Roman"/>
          <w:szCs w:val="24"/>
        </w:rPr>
      </w:pPr>
      <w:r w:rsidRPr="00353391">
        <w:rPr>
          <w:rFonts w:cs="Times New Roman"/>
          <w:szCs w:val="24"/>
        </w:rPr>
        <w:t>Mūsdienīgu tehnoloģiju ieviešana ļauj kravas piegādes procesu pilnībā automatizēt, sākot ar automašīnas atpazīšanu, beidzot ar kravas datu apstrādi.</w:t>
      </w:r>
    </w:p>
    <w:p w14:paraId="0AF59349" w14:textId="77777777" w:rsidR="00602E35" w:rsidRPr="00353391" w:rsidRDefault="00602E35" w:rsidP="00C243E0">
      <w:pPr>
        <w:spacing w:after="0" w:line="276" w:lineRule="auto"/>
        <w:ind w:firstLine="720"/>
        <w:rPr>
          <w:rFonts w:cs="Times New Roman"/>
        </w:rPr>
      </w:pPr>
      <w:r w:rsidRPr="7842FC33">
        <w:rPr>
          <w:rFonts w:cs="Times New Roman"/>
        </w:rPr>
        <w:t>Publiskajam sektoram un iestādēm, tas samazinās laiku, kas nepieciešams kravas automašīnu apturēšanai un to dokumentu pārbaudei. Tas arī samazina pārkāpumu skaitu, kas saistīti ar izvairīšanos no nodokļu maksāšanas un transporta drošību. Mērķis ir kontrolējošajām institūcijām droši un uzticami pārbaudīt ārvalstu pārvadātāju dokumentu pieejamību.</w:t>
      </w:r>
    </w:p>
    <w:p w14:paraId="0A1FFB7D" w14:textId="77777777" w:rsidR="00602E35" w:rsidRPr="00353391" w:rsidRDefault="00602E35" w:rsidP="00C243E0">
      <w:pPr>
        <w:spacing w:after="0" w:line="276" w:lineRule="auto"/>
        <w:ind w:firstLine="720"/>
        <w:rPr>
          <w:rFonts w:cs="Times New Roman"/>
        </w:rPr>
      </w:pPr>
      <w:r w:rsidRPr="7842FC33">
        <w:rPr>
          <w:rFonts w:cs="Times New Roman"/>
        </w:rPr>
        <w:t xml:space="preserve">Tāpat, lai mazinātu riskus Covid-19 tālākai izplatībai Latvijas iedzīvotāju vidū, atbilstoši epidemioloģiskajai situācijai, kā papildus priekšrocība pie e-CMR minama – </w:t>
      </w:r>
      <w:r w:rsidRPr="001534CF">
        <w:rPr>
          <w:rFonts w:cs="Times New Roman"/>
        </w:rPr>
        <w:t>izvairīšanās no cilvēku savstarpējiem kontaktiem</w:t>
      </w:r>
      <w:r w:rsidRPr="7842FC33">
        <w:rPr>
          <w:rFonts w:cs="Times New Roman"/>
        </w:rPr>
        <w:t xml:space="preserve"> </w:t>
      </w:r>
      <w:r w:rsidRPr="001534CF">
        <w:rPr>
          <w:rFonts w:cs="Times New Roman"/>
        </w:rPr>
        <w:t>un</w:t>
      </w:r>
      <w:r w:rsidRPr="7842FC33">
        <w:rPr>
          <w:rFonts w:cs="Times New Roman"/>
        </w:rPr>
        <w:t xml:space="preserve"> nepamatotas dīkstāves, piemēram, uz robežām, padarot visu kravas un transporta dokumentāciju attālināti novērojamu un kontrolējamu gan kravu apstrādātājiem, gan kontroles struktūrām.</w:t>
      </w:r>
    </w:p>
    <w:p w14:paraId="0842775E" w14:textId="74F4D801" w:rsidR="664CB944" w:rsidRDefault="664CB944" w:rsidP="00C243E0">
      <w:pPr>
        <w:spacing w:line="276" w:lineRule="auto"/>
        <w:ind w:firstLine="720"/>
        <w:rPr>
          <w:rFonts w:eastAsia="Times New Roman" w:cs="Times New Roman"/>
          <w:szCs w:val="24"/>
        </w:rPr>
      </w:pPr>
      <w:r w:rsidRPr="7842FC33">
        <w:rPr>
          <w:rFonts w:eastAsia="Times New Roman" w:cs="Times New Roman"/>
          <w:szCs w:val="24"/>
        </w:rPr>
        <w:t xml:space="preserve">Vērtējot e-pavadzīmju izmantošanu nodokļu administrēšanas nolūkiem, arī </w:t>
      </w:r>
      <w:r w:rsidR="00901ADF">
        <w:rPr>
          <w:rFonts w:eastAsia="Times New Roman" w:cs="Times New Roman"/>
          <w:szCs w:val="24"/>
        </w:rPr>
        <w:t>VID</w:t>
      </w:r>
      <w:r w:rsidRPr="7842FC33">
        <w:rPr>
          <w:rFonts w:eastAsia="Times New Roman" w:cs="Times New Roman"/>
          <w:szCs w:val="24"/>
        </w:rPr>
        <w:t xml:space="preserve"> speciālisti, veicot e-CMR prototipa testēšanu un izvērtējot tā funkcionalitāti un biznesa procesus, kurus tas atbalsta, secināja, ka e-CMR aprites sistēmas funkcionalitāte spēj nodrošināt arī strukturētu elektronisku preču pavadzīmju (e-pavadzīmju) apritei nepieciešamos procesus. </w:t>
      </w:r>
    </w:p>
    <w:p w14:paraId="3BE70648" w14:textId="5EC58B85" w:rsidR="664CB944" w:rsidRDefault="664CB944" w:rsidP="00C243E0">
      <w:pPr>
        <w:spacing w:line="276" w:lineRule="auto"/>
        <w:ind w:firstLine="720"/>
        <w:rPr>
          <w:rFonts w:eastAsia="Times New Roman" w:cs="Times New Roman"/>
          <w:szCs w:val="24"/>
        </w:rPr>
      </w:pPr>
      <w:r w:rsidRPr="7842FC33">
        <w:rPr>
          <w:rFonts w:eastAsia="Times New Roman" w:cs="Times New Roman"/>
          <w:szCs w:val="24"/>
        </w:rPr>
        <w:t>Tāpēc, ņemot vērā minēto un finanšu, tehnisko un cilvēku resursu lietderīgu izmantošanas pieeju, e-pavadzīmju aprites funkcionalitāte būtu ieviešama e-CMR sistēmā pēc e-CMR do</w:t>
      </w:r>
      <w:r w:rsidR="0085312A">
        <w:rPr>
          <w:rFonts w:eastAsia="Times New Roman" w:cs="Times New Roman"/>
          <w:szCs w:val="24"/>
        </w:rPr>
        <w:t>kumentu aprites aprobācijas. E-p</w:t>
      </w:r>
      <w:r w:rsidRPr="7842FC33">
        <w:rPr>
          <w:rFonts w:eastAsia="Times New Roman" w:cs="Times New Roman"/>
          <w:szCs w:val="24"/>
        </w:rPr>
        <w:t xml:space="preserve">avadzīmju ieviešanai e-CMR sistēmā nepieciešams izveidot jaunu strukturētu dokumenta tipu, kas </w:t>
      </w:r>
      <w:r w:rsidR="005562CF">
        <w:rPr>
          <w:rFonts w:eastAsia="Times New Roman" w:cs="Times New Roman"/>
          <w:szCs w:val="24"/>
        </w:rPr>
        <w:t xml:space="preserve">kā minimums </w:t>
      </w:r>
      <w:r w:rsidRPr="7842FC33">
        <w:rPr>
          <w:rFonts w:eastAsia="Times New Roman" w:cs="Times New Roman"/>
          <w:szCs w:val="24"/>
        </w:rPr>
        <w:t>satur Ministru kabineta 2003.</w:t>
      </w:r>
      <w:r w:rsidR="00D0533F">
        <w:rPr>
          <w:rFonts w:eastAsia="Times New Roman" w:cs="Times New Roman"/>
          <w:szCs w:val="24"/>
        </w:rPr>
        <w:t> </w:t>
      </w:r>
      <w:r w:rsidRPr="7842FC33">
        <w:rPr>
          <w:rFonts w:eastAsia="Times New Roman" w:cs="Times New Roman"/>
          <w:szCs w:val="24"/>
        </w:rPr>
        <w:t>gada 21.</w:t>
      </w:r>
      <w:r w:rsidR="00D0533F">
        <w:rPr>
          <w:rFonts w:eastAsia="Times New Roman" w:cs="Times New Roman"/>
          <w:szCs w:val="24"/>
        </w:rPr>
        <w:t> </w:t>
      </w:r>
      <w:r w:rsidRPr="7842FC33">
        <w:rPr>
          <w:rFonts w:eastAsia="Times New Roman" w:cs="Times New Roman"/>
          <w:szCs w:val="24"/>
        </w:rPr>
        <w:t>oktobra noteikumu Nr.</w:t>
      </w:r>
      <w:r w:rsidR="00D0533F">
        <w:rPr>
          <w:rFonts w:eastAsia="Times New Roman" w:cs="Times New Roman"/>
          <w:szCs w:val="24"/>
        </w:rPr>
        <w:t> </w:t>
      </w:r>
      <w:r w:rsidRPr="7842FC33">
        <w:rPr>
          <w:rFonts w:eastAsia="Times New Roman" w:cs="Times New Roman"/>
          <w:szCs w:val="24"/>
        </w:rPr>
        <w:t>585 “Noteikumi par grāmatvedības kārtošanu un organizāciju” 35</w:t>
      </w:r>
      <w:r w:rsidRPr="7842FC33">
        <w:rPr>
          <w:rFonts w:eastAsia="Times New Roman" w:cs="Times New Roman"/>
          <w:szCs w:val="24"/>
          <w:vertAlign w:val="superscript"/>
        </w:rPr>
        <w:t>11</w:t>
      </w:r>
      <w:r w:rsidRPr="7842FC33">
        <w:rPr>
          <w:rFonts w:eastAsia="Times New Roman" w:cs="Times New Roman"/>
          <w:szCs w:val="24"/>
        </w:rPr>
        <w:t>.</w:t>
      </w:r>
      <w:r w:rsidR="00D0533F">
        <w:rPr>
          <w:rFonts w:eastAsia="Times New Roman" w:cs="Times New Roman"/>
          <w:szCs w:val="24"/>
        </w:rPr>
        <w:t> </w:t>
      </w:r>
      <w:r w:rsidRPr="7842FC33">
        <w:rPr>
          <w:rFonts w:eastAsia="Times New Roman" w:cs="Times New Roman"/>
          <w:szCs w:val="24"/>
        </w:rPr>
        <w:t>pantā minēto informāciju:</w:t>
      </w:r>
    </w:p>
    <w:p w14:paraId="69395186" w14:textId="7656D0B5" w:rsidR="664CB944" w:rsidRDefault="664CB944" w:rsidP="00C243E0">
      <w:pPr>
        <w:spacing w:line="276" w:lineRule="auto"/>
        <w:rPr>
          <w:rFonts w:eastAsia="Times New Roman" w:cs="Times New Roman"/>
          <w:szCs w:val="24"/>
        </w:rPr>
      </w:pPr>
      <w:r w:rsidRPr="7842FC33">
        <w:rPr>
          <w:rFonts w:eastAsia="Times New Roman" w:cs="Times New Roman"/>
          <w:szCs w:val="24"/>
        </w:rPr>
        <w:t>“35.</w:t>
      </w:r>
      <w:r w:rsidRPr="7842FC33">
        <w:rPr>
          <w:rFonts w:eastAsia="Times New Roman" w:cs="Times New Roman"/>
          <w:szCs w:val="24"/>
          <w:vertAlign w:val="superscript"/>
        </w:rPr>
        <w:t>11</w:t>
      </w:r>
      <w:r w:rsidRPr="7842FC33">
        <w:rPr>
          <w:rFonts w:eastAsia="Times New Roman" w:cs="Times New Roman"/>
          <w:szCs w:val="24"/>
        </w:rPr>
        <w:t xml:space="preserve"> Lai noteiktu preču izcelsmi un piederību preču saņemšanas un izsniegšanas vietās, izmanto preču piegādes dokumentu. Preču piegādes dokuments ir dokuments, kurš apliecina preču piegādes un saņemšanas faktu un kurā ir ietverti vismaz šādi dokumenta rekvizīti un informācija:</w:t>
      </w:r>
    </w:p>
    <w:p w14:paraId="074150B8" w14:textId="661FEEA0" w:rsidR="664CB944" w:rsidRDefault="664CB944" w:rsidP="00C243E0">
      <w:pPr>
        <w:spacing w:line="276" w:lineRule="auto"/>
        <w:rPr>
          <w:rFonts w:eastAsia="Times New Roman" w:cs="Times New Roman"/>
          <w:szCs w:val="24"/>
        </w:rPr>
      </w:pPr>
      <w:r w:rsidRPr="7842FC33">
        <w:rPr>
          <w:rFonts w:eastAsia="Times New Roman" w:cs="Times New Roman"/>
          <w:szCs w:val="24"/>
        </w:rPr>
        <w:t>35.</w:t>
      </w:r>
      <w:r w:rsidRPr="7842FC33">
        <w:rPr>
          <w:rFonts w:eastAsia="Times New Roman" w:cs="Times New Roman"/>
          <w:szCs w:val="24"/>
          <w:vertAlign w:val="superscript"/>
        </w:rPr>
        <w:t>11</w:t>
      </w:r>
      <w:r w:rsidRPr="7842FC33">
        <w:rPr>
          <w:rFonts w:eastAsia="Times New Roman" w:cs="Times New Roman"/>
          <w:szCs w:val="24"/>
        </w:rPr>
        <w:t xml:space="preserve"> 1. preču nosūtītāja (izsniedzēja) nosaukums (firma), reģistrācijas numurs (Uzņēmumu reģistrā vai </w:t>
      </w:r>
      <w:r w:rsidR="00901ADF">
        <w:rPr>
          <w:rFonts w:eastAsia="Times New Roman" w:cs="Times New Roman"/>
          <w:szCs w:val="24"/>
        </w:rPr>
        <w:t>VID</w:t>
      </w:r>
      <w:r w:rsidRPr="7842FC33">
        <w:rPr>
          <w:rFonts w:eastAsia="Times New Roman" w:cs="Times New Roman"/>
          <w:szCs w:val="24"/>
        </w:rPr>
        <w:t>), bet, ja preču nosūtītājs (izsniedzējs) ir fiziska persona, – vārds, uzvārds un personas kods (ja personai tāds ir piešķirts);</w:t>
      </w:r>
    </w:p>
    <w:p w14:paraId="12A638AD" w14:textId="0DABDF52" w:rsidR="664CB944" w:rsidRDefault="664CB944" w:rsidP="00C243E0">
      <w:pPr>
        <w:spacing w:line="276" w:lineRule="auto"/>
        <w:rPr>
          <w:rFonts w:eastAsia="Times New Roman" w:cs="Times New Roman"/>
          <w:szCs w:val="24"/>
        </w:rPr>
      </w:pPr>
      <w:r w:rsidRPr="7842FC33">
        <w:rPr>
          <w:rFonts w:eastAsia="Times New Roman" w:cs="Times New Roman"/>
          <w:szCs w:val="24"/>
        </w:rPr>
        <w:t>35.</w:t>
      </w:r>
      <w:r w:rsidRPr="7842FC33">
        <w:rPr>
          <w:rFonts w:eastAsia="Times New Roman" w:cs="Times New Roman"/>
          <w:szCs w:val="24"/>
          <w:vertAlign w:val="superscript"/>
        </w:rPr>
        <w:t>11</w:t>
      </w:r>
      <w:r w:rsidRPr="7842FC33">
        <w:rPr>
          <w:rFonts w:eastAsia="Times New Roman" w:cs="Times New Roman"/>
          <w:szCs w:val="24"/>
        </w:rPr>
        <w:t xml:space="preserve"> 2. preču izsniegšanas vietas adrese;</w:t>
      </w:r>
    </w:p>
    <w:p w14:paraId="7A8EABBB" w14:textId="371D66E5" w:rsidR="664CB944" w:rsidRDefault="664CB944" w:rsidP="00C243E0">
      <w:pPr>
        <w:spacing w:line="276" w:lineRule="auto"/>
        <w:rPr>
          <w:rFonts w:eastAsia="Times New Roman" w:cs="Times New Roman"/>
          <w:szCs w:val="24"/>
        </w:rPr>
      </w:pPr>
      <w:r w:rsidRPr="7842FC33">
        <w:rPr>
          <w:rFonts w:eastAsia="Times New Roman" w:cs="Times New Roman"/>
          <w:szCs w:val="24"/>
        </w:rPr>
        <w:t>35.</w:t>
      </w:r>
      <w:r w:rsidRPr="7842FC33">
        <w:rPr>
          <w:rFonts w:eastAsia="Times New Roman" w:cs="Times New Roman"/>
          <w:szCs w:val="24"/>
          <w:vertAlign w:val="superscript"/>
        </w:rPr>
        <w:t>11</w:t>
      </w:r>
      <w:r w:rsidRPr="7842FC33">
        <w:rPr>
          <w:rFonts w:eastAsia="Times New Roman" w:cs="Times New Roman"/>
          <w:szCs w:val="24"/>
        </w:rPr>
        <w:t xml:space="preserve"> 3. dokumenta veida nosaukums;</w:t>
      </w:r>
    </w:p>
    <w:p w14:paraId="674BE2CB" w14:textId="1E2CA3B1" w:rsidR="664CB944" w:rsidRDefault="664CB944" w:rsidP="00C243E0">
      <w:pPr>
        <w:spacing w:line="276" w:lineRule="auto"/>
        <w:rPr>
          <w:rFonts w:eastAsia="Times New Roman" w:cs="Times New Roman"/>
          <w:szCs w:val="24"/>
        </w:rPr>
      </w:pPr>
      <w:r w:rsidRPr="7842FC33">
        <w:rPr>
          <w:rFonts w:eastAsia="Times New Roman" w:cs="Times New Roman"/>
          <w:szCs w:val="24"/>
        </w:rPr>
        <w:t>35.</w:t>
      </w:r>
      <w:r w:rsidRPr="7842FC33">
        <w:rPr>
          <w:rFonts w:eastAsia="Times New Roman" w:cs="Times New Roman"/>
          <w:szCs w:val="24"/>
          <w:vertAlign w:val="superscript"/>
        </w:rPr>
        <w:t>11</w:t>
      </w:r>
      <w:r w:rsidRPr="7842FC33">
        <w:rPr>
          <w:rFonts w:eastAsia="Times New Roman" w:cs="Times New Roman"/>
          <w:szCs w:val="24"/>
        </w:rPr>
        <w:t xml:space="preserve"> 4. dokumenta reģistrācijas datums;</w:t>
      </w:r>
    </w:p>
    <w:p w14:paraId="59FAE5A5" w14:textId="09AD0131" w:rsidR="664CB944" w:rsidRDefault="664CB944" w:rsidP="00C243E0">
      <w:pPr>
        <w:spacing w:line="276" w:lineRule="auto"/>
        <w:rPr>
          <w:rFonts w:eastAsia="Times New Roman" w:cs="Times New Roman"/>
          <w:szCs w:val="24"/>
        </w:rPr>
      </w:pPr>
      <w:r w:rsidRPr="7842FC33">
        <w:rPr>
          <w:rFonts w:eastAsia="Times New Roman" w:cs="Times New Roman"/>
          <w:szCs w:val="24"/>
        </w:rPr>
        <w:t>35.</w:t>
      </w:r>
      <w:r w:rsidRPr="7842FC33">
        <w:rPr>
          <w:rFonts w:eastAsia="Times New Roman" w:cs="Times New Roman"/>
          <w:szCs w:val="24"/>
          <w:vertAlign w:val="superscript"/>
        </w:rPr>
        <w:t>11</w:t>
      </w:r>
      <w:r w:rsidRPr="7842FC33">
        <w:rPr>
          <w:rFonts w:eastAsia="Times New Roman" w:cs="Times New Roman"/>
          <w:szCs w:val="24"/>
        </w:rPr>
        <w:t xml:space="preserve"> 5. dokumenta reģistrācijas numurs;</w:t>
      </w:r>
    </w:p>
    <w:p w14:paraId="2AF0C1B0" w14:textId="3518235D" w:rsidR="664CB944" w:rsidRDefault="664CB944" w:rsidP="00C243E0">
      <w:pPr>
        <w:spacing w:line="276" w:lineRule="auto"/>
        <w:rPr>
          <w:rFonts w:eastAsia="Times New Roman" w:cs="Times New Roman"/>
          <w:szCs w:val="24"/>
        </w:rPr>
      </w:pPr>
      <w:r w:rsidRPr="7842FC33">
        <w:rPr>
          <w:rFonts w:eastAsia="Times New Roman" w:cs="Times New Roman"/>
          <w:szCs w:val="24"/>
        </w:rPr>
        <w:t>35.</w:t>
      </w:r>
      <w:r w:rsidRPr="7842FC33">
        <w:rPr>
          <w:rFonts w:eastAsia="Times New Roman" w:cs="Times New Roman"/>
          <w:szCs w:val="24"/>
          <w:vertAlign w:val="superscript"/>
        </w:rPr>
        <w:t>11</w:t>
      </w:r>
      <w:r w:rsidRPr="7842FC33">
        <w:rPr>
          <w:rFonts w:eastAsia="Times New Roman" w:cs="Times New Roman"/>
          <w:szCs w:val="24"/>
        </w:rPr>
        <w:t xml:space="preserve"> 6. preču saņēmēja nosaukums (firma), reģistrācijas numurs (Uzņēmumu reģistrā vai </w:t>
      </w:r>
      <w:r w:rsidR="00901ADF">
        <w:rPr>
          <w:rFonts w:eastAsia="Times New Roman" w:cs="Times New Roman"/>
          <w:szCs w:val="24"/>
        </w:rPr>
        <w:t>VID</w:t>
      </w:r>
      <w:r w:rsidRPr="7842FC33">
        <w:rPr>
          <w:rFonts w:eastAsia="Times New Roman" w:cs="Times New Roman"/>
          <w:szCs w:val="24"/>
        </w:rPr>
        <w:t>), bet, ja preču saņēmējs ir fiziska persona, – vārds, uzvārds un personas kods (ja personai tāds ir piešķirts), preču saņemšanas vietas adrese;</w:t>
      </w:r>
    </w:p>
    <w:p w14:paraId="16134B35" w14:textId="7D80472B" w:rsidR="664CB944" w:rsidRDefault="664CB944" w:rsidP="00C243E0">
      <w:pPr>
        <w:spacing w:line="276" w:lineRule="auto"/>
        <w:rPr>
          <w:rFonts w:eastAsia="Times New Roman" w:cs="Times New Roman"/>
          <w:szCs w:val="24"/>
        </w:rPr>
      </w:pPr>
      <w:r w:rsidRPr="7842FC33">
        <w:rPr>
          <w:rFonts w:eastAsia="Times New Roman" w:cs="Times New Roman"/>
          <w:szCs w:val="24"/>
        </w:rPr>
        <w:lastRenderedPageBreak/>
        <w:t>35.</w:t>
      </w:r>
      <w:r w:rsidRPr="7842FC33">
        <w:rPr>
          <w:rFonts w:eastAsia="Times New Roman" w:cs="Times New Roman"/>
          <w:szCs w:val="24"/>
          <w:vertAlign w:val="superscript"/>
        </w:rPr>
        <w:t>11</w:t>
      </w:r>
      <w:r w:rsidRPr="7842FC33">
        <w:rPr>
          <w:rFonts w:eastAsia="Times New Roman" w:cs="Times New Roman"/>
          <w:szCs w:val="24"/>
        </w:rPr>
        <w:t xml:space="preserve"> 7. preču nosaukums, mērvienība un daudzums;</w:t>
      </w:r>
    </w:p>
    <w:p w14:paraId="2DEA997C" w14:textId="7EBA4396" w:rsidR="664CB944" w:rsidRDefault="664CB944" w:rsidP="00C243E0">
      <w:pPr>
        <w:spacing w:line="276" w:lineRule="auto"/>
        <w:rPr>
          <w:rFonts w:eastAsia="Times New Roman" w:cs="Times New Roman"/>
          <w:szCs w:val="24"/>
        </w:rPr>
      </w:pPr>
      <w:r w:rsidRPr="7842FC33">
        <w:rPr>
          <w:rFonts w:eastAsia="Times New Roman" w:cs="Times New Roman"/>
          <w:szCs w:val="24"/>
        </w:rPr>
        <w:t>35.</w:t>
      </w:r>
      <w:r w:rsidRPr="7842FC33">
        <w:rPr>
          <w:rFonts w:eastAsia="Times New Roman" w:cs="Times New Roman"/>
          <w:szCs w:val="24"/>
          <w:vertAlign w:val="superscript"/>
        </w:rPr>
        <w:t>11</w:t>
      </w:r>
      <w:r w:rsidRPr="7842FC33">
        <w:rPr>
          <w:rFonts w:eastAsia="Times New Roman" w:cs="Times New Roman"/>
          <w:szCs w:val="24"/>
        </w:rPr>
        <w:t xml:space="preserve"> 8. attiecīgā saimnieciskā darījuma vai darbības apraksts (piemēram, preču piegāde (pārdošana) citam uzņēmumam, pārvietošana starp uzņēmuma struktūrvienībām);</w:t>
      </w:r>
    </w:p>
    <w:p w14:paraId="29E00957" w14:textId="6D8DD229" w:rsidR="664CB944" w:rsidRDefault="664CB944" w:rsidP="00C243E0">
      <w:pPr>
        <w:spacing w:line="276" w:lineRule="auto"/>
        <w:rPr>
          <w:rFonts w:eastAsia="Times New Roman" w:cs="Times New Roman"/>
          <w:szCs w:val="24"/>
        </w:rPr>
      </w:pPr>
      <w:r w:rsidRPr="7842FC33">
        <w:rPr>
          <w:rFonts w:eastAsia="Times New Roman" w:cs="Times New Roman"/>
          <w:szCs w:val="24"/>
        </w:rPr>
        <w:t>35.</w:t>
      </w:r>
      <w:r w:rsidRPr="7842FC33">
        <w:rPr>
          <w:rFonts w:eastAsia="Times New Roman" w:cs="Times New Roman"/>
          <w:szCs w:val="24"/>
          <w:vertAlign w:val="superscript"/>
        </w:rPr>
        <w:t>11</w:t>
      </w:r>
      <w:r w:rsidRPr="7842FC33">
        <w:rPr>
          <w:rFonts w:eastAsia="Times New Roman" w:cs="Times New Roman"/>
          <w:szCs w:val="24"/>
        </w:rPr>
        <w:t xml:space="preserve"> 9. atsauce uz citu dokumentu (ja tāds ir), kurā atrodama informācija, kas nepieciešama saimnieciskā darījuma novērtēšanai naudas izteiksmē (piemēram, attiecīgs līgums);”.</w:t>
      </w:r>
    </w:p>
    <w:p w14:paraId="51663651" w14:textId="4E7A7402" w:rsidR="664CB944" w:rsidRDefault="664CB944" w:rsidP="00C243E0">
      <w:pPr>
        <w:spacing w:line="276" w:lineRule="auto"/>
        <w:rPr>
          <w:rFonts w:eastAsia="Times New Roman" w:cs="Times New Roman"/>
          <w:szCs w:val="24"/>
        </w:rPr>
      </w:pPr>
      <w:r w:rsidRPr="7842FC33">
        <w:rPr>
          <w:rFonts w:eastAsia="Times New Roman" w:cs="Times New Roman"/>
          <w:szCs w:val="24"/>
        </w:rPr>
        <w:t xml:space="preserve"> </w:t>
      </w:r>
    </w:p>
    <w:p w14:paraId="4978E36E" w14:textId="6760E648" w:rsidR="664CB944" w:rsidRDefault="664CB944" w:rsidP="00C243E0">
      <w:pPr>
        <w:spacing w:line="276" w:lineRule="auto"/>
        <w:ind w:firstLine="720"/>
      </w:pPr>
      <w:r w:rsidRPr="3820CB57">
        <w:rPr>
          <w:rFonts w:eastAsia="Times New Roman" w:cs="Times New Roman"/>
        </w:rPr>
        <w:t xml:space="preserve">Būtiski atzīmēt, ka strukturētā elektroniskajā preču pavadzīmē netiks iekļauti dati par preču vienības cenu un kopsummu, kā arī e-rēķinu PEPPOL BIS </w:t>
      </w:r>
      <w:proofErr w:type="spellStart"/>
      <w:r w:rsidRPr="3820CB57">
        <w:rPr>
          <w:rFonts w:eastAsia="Times New Roman" w:cs="Times New Roman"/>
        </w:rPr>
        <w:t>Billing</w:t>
      </w:r>
      <w:proofErr w:type="spellEnd"/>
      <w:r w:rsidRPr="3820CB57">
        <w:rPr>
          <w:rFonts w:eastAsia="Times New Roman" w:cs="Times New Roman"/>
        </w:rPr>
        <w:t xml:space="preserve"> 3.0 struktūra neparedz pavadzīmju un CMR informācijas iekļaušanu e-rēķinā. Ņemot vērā minēto, turpmāk ieviešot rēķinu un pavadzīmju elektronizāciju abi dokumentu veidi jāskata atsevišķi kā divi dažādi dokumenti</w:t>
      </w:r>
      <w:r w:rsidR="78A1C1D7" w:rsidRPr="3820CB57">
        <w:rPr>
          <w:rFonts w:eastAsia="Times New Roman" w:cs="Times New Roman"/>
        </w:rPr>
        <w:t>, vienlaikus jābūt iespējai šos dokumentus sasaistīt</w:t>
      </w:r>
      <w:r w:rsidRPr="3820CB57">
        <w:rPr>
          <w:rFonts w:eastAsia="Times New Roman" w:cs="Times New Roman"/>
        </w:rPr>
        <w:t>. Darījumu izsekojamībai un vēlākai visu dokumentu analīzei e-rēķinā jāiekļauj atsauce ar e-CMR vai e-pavadzīmes unikālo identifikatoru.</w:t>
      </w:r>
      <w:r w:rsidR="001D7AF9">
        <w:rPr>
          <w:rFonts w:eastAsia="Times New Roman" w:cs="Times New Roman"/>
        </w:rPr>
        <w:t xml:space="preserve"> </w:t>
      </w:r>
      <w:r w:rsidRPr="3820CB57">
        <w:rPr>
          <w:rFonts w:eastAsia="Times New Roman" w:cs="Times New Roman"/>
        </w:rPr>
        <w:t xml:space="preserve">Atsauce ievietojama tikai e-rēķinā, jo </w:t>
      </w:r>
      <w:r w:rsidR="4A1CA5B5" w:rsidRPr="3820CB57">
        <w:rPr>
          <w:rFonts w:eastAsia="Times New Roman" w:cs="Times New Roman"/>
        </w:rPr>
        <w:t>Pievienotās vērtības nodokļa likums</w:t>
      </w:r>
      <w:r w:rsidRPr="3820CB57">
        <w:rPr>
          <w:rFonts w:eastAsia="Times New Roman" w:cs="Times New Roman"/>
        </w:rPr>
        <w:t xml:space="preserve"> nosaka, ka nodokļu maksātājs </w:t>
      </w:r>
      <w:r w:rsidR="02471743" w:rsidRPr="3820CB57">
        <w:rPr>
          <w:rFonts w:eastAsia="Times New Roman" w:cs="Times New Roman"/>
        </w:rPr>
        <w:t xml:space="preserve">iekšzemes darījumos </w:t>
      </w:r>
      <w:r w:rsidR="00D25F9A">
        <w:rPr>
          <w:rFonts w:eastAsia="Times New Roman" w:cs="Times New Roman"/>
        </w:rPr>
        <w:t>PVN</w:t>
      </w:r>
      <w:r w:rsidR="00D25F9A" w:rsidRPr="3820CB57">
        <w:rPr>
          <w:rFonts w:eastAsia="Times New Roman" w:cs="Times New Roman"/>
        </w:rPr>
        <w:t xml:space="preserve"> </w:t>
      </w:r>
      <w:r w:rsidRPr="3820CB57">
        <w:rPr>
          <w:rFonts w:eastAsia="Times New Roman" w:cs="Times New Roman"/>
        </w:rPr>
        <w:t>rēķinu izraksta ne vēlāk kā piecpadsmitajā dienā no darījuma brīža, savukārt preču piegādes dokumentu sagatavo pirms preču piegādes.</w:t>
      </w:r>
    </w:p>
    <w:p w14:paraId="47ADC1A5" w14:textId="7D07F32B" w:rsidR="00F67D89" w:rsidRDefault="00EE6C79" w:rsidP="00EE6C79">
      <w:pPr>
        <w:spacing w:line="276" w:lineRule="auto"/>
        <w:ind w:firstLine="432"/>
      </w:pPr>
      <w:r w:rsidRPr="00EE6C79">
        <w:t>VID savu funkciju veikšanai un esošo procesu uzlabošanai plāno izmantot visus e-CMR iekļautos datus. Datu analīzes veikšanai VID e-CMR datus nepieciešams saņemt datu kopas veidā, lai tos būtu iespējams analizēt kopskatā ar citiem nodokļu maksātāju iesniegtajiem dokumentiem (t.sk. e-rēķiniem).</w:t>
      </w:r>
    </w:p>
    <w:p w14:paraId="1BC8FF7B" w14:textId="77777777" w:rsidR="00EE6C79" w:rsidRDefault="00EE6C79" w:rsidP="00C243E0">
      <w:pPr>
        <w:spacing w:line="276" w:lineRule="auto"/>
      </w:pPr>
    </w:p>
    <w:p w14:paraId="5B976CF2" w14:textId="77777777" w:rsidR="00C243E0" w:rsidRDefault="00C243E0" w:rsidP="00C243E0">
      <w:pPr>
        <w:spacing w:line="276" w:lineRule="auto"/>
      </w:pPr>
    </w:p>
    <w:p w14:paraId="4487539C" w14:textId="12F12415" w:rsidR="00B131FA" w:rsidRPr="001534CF" w:rsidRDefault="00093685" w:rsidP="001534CF">
      <w:pPr>
        <w:pStyle w:val="Heading1"/>
      </w:pPr>
      <w:bookmarkStart w:id="12" w:name="_Toc72136655"/>
      <w:r>
        <w:t>E-rēķinu ieviešana un i</w:t>
      </w:r>
      <w:r w:rsidR="00BC1583">
        <w:t>espējamie</w:t>
      </w:r>
      <w:r w:rsidR="00B131FA" w:rsidRPr="001534CF">
        <w:t xml:space="preserve"> tehnoloģiskie risinājumi</w:t>
      </w:r>
      <w:bookmarkEnd w:id="12"/>
    </w:p>
    <w:p w14:paraId="31E72E49" w14:textId="77777777" w:rsidR="00B0741D" w:rsidRDefault="00B0741D" w:rsidP="00E51BE0"/>
    <w:p w14:paraId="169F5F57" w14:textId="202D6BBF" w:rsidR="00660ABE" w:rsidRPr="00660ABE" w:rsidRDefault="00660ABE" w:rsidP="00F65DFC">
      <w:pPr>
        <w:spacing w:line="276" w:lineRule="auto"/>
        <w:ind w:firstLine="720"/>
      </w:pPr>
      <w:r>
        <w:t xml:space="preserve">Šeit un turpmāk tiek apskatīti </w:t>
      </w:r>
      <w:r w:rsidR="002D080C" w:rsidRPr="002D080C">
        <w:t xml:space="preserve">iespējamie varianti </w:t>
      </w:r>
      <w:r w:rsidR="002D080C">
        <w:t xml:space="preserve">mašīnlasāmu </w:t>
      </w:r>
      <w:r w:rsidR="2E9225F4" w:rsidRPr="7842FC33">
        <w:rPr>
          <w:rFonts w:eastAsia="Times New Roman" w:cs="Times New Roman"/>
          <w:szCs w:val="24"/>
        </w:rPr>
        <w:t>darījumu</w:t>
      </w:r>
      <w:r w:rsidR="0080173A">
        <w:t xml:space="preserve"> </w:t>
      </w:r>
      <w:r w:rsidR="00FB565A">
        <w:t>e-</w:t>
      </w:r>
      <w:r w:rsidR="0080173A">
        <w:t xml:space="preserve">rēķinu </w:t>
      </w:r>
      <w:r>
        <w:t>aprite</w:t>
      </w:r>
      <w:r w:rsidR="002D080C">
        <w:t>i</w:t>
      </w:r>
      <w:r>
        <w:t>, neiekļaujot gadījumus, kad</w:t>
      </w:r>
      <w:r w:rsidR="0080173A">
        <w:t xml:space="preserve"> </w:t>
      </w:r>
      <w:r w:rsidR="00FB565A">
        <w:t>e-</w:t>
      </w:r>
      <w:r w:rsidR="0080173A">
        <w:t xml:space="preserve">rēķini </w:t>
      </w:r>
      <w:r>
        <w:t>tiek sūtīt</w:t>
      </w:r>
      <w:r w:rsidR="0080173A">
        <w:t>i</w:t>
      </w:r>
      <w:r>
        <w:t xml:space="preserve"> teksta dokumentu, tabulu vai PDF formātā. </w:t>
      </w:r>
    </w:p>
    <w:p w14:paraId="15B8D4E7" w14:textId="3EC3696D" w:rsidR="00116DD0" w:rsidRPr="00660ABE" w:rsidRDefault="00116DD0" w:rsidP="00F65DFC">
      <w:pPr>
        <w:spacing w:line="276" w:lineRule="auto"/>
        <w:ind w:firstLine="720"/>
      </w:pPr>
      <w:r>
        <w:t xml:space="preserve">Elektronisko ārējo </w:t>
      </w:r>
      <w:r w:rsidR="00FB565A">
        <w:t>e-</w:t>
      </w:r>
      <w:r w:rsidR="0080173A">
        <w:t xml:space="preserve">rēķinu </w:t>
      </w:r>
      <w:r>
        <w:t>apriti var veikt:</w:t>
      </w:r>
    </w:p>
    <w:p w14:paraId="6ECC6547" w14:textId="5296BD00" w:rsidR="00116DD0" w:rsidRPr="00660ABE" w:rsidRDefault="00116DD0" w:rsidP="00C243E0">
      <w:pPr>
        <w:numPr>
          <w:ilvl w:val="0"/>
          <w:numId w:val="16"/>
        </w:numPr>
        <w:spacing w:line="276" w:lineRule="auto"/>
        <w:rPr>
          <w:rFonts w:asciiTheme="minorHAnsi" w:eastAsiaTheme="minorEastAsia" w:hAnsiTheme="minorHAnsi"/>
          <w:szCs w:val="24"/>
        </w:rPr>
      </w:pPr>
      <w:r>
        <w:t xml:space="preserve">Tieši nosūtot </w:t>
      </w:r>
      <w:r w:rsidR="00FB565A">
        <w:rPr>
          <w:rFonts w:eastAsia="Times New Roman" w:cs="Times New Roman"/>
          <w:szCs w:val="24"/>
        </w:rPr>
        <w:t>e-</w:t>
      </w:r>
      <w:r w:rsidR="0080173A">
        <w:t>rēķinu</w:t>
      </w:r>
      <w:r>
        <w:t xml:space="preserve"> no nosūtītāja saņēmējam, izmantojot kādu esošo informācijas kanālu, piemēram e-pastu un datņu koplietošanas vietni.</w:t>
      </w:r>
    </w:p>
    <w:p w14:paraId="6C29B389" w14:textId="77777777" w:rsidR="00FC3F5E" w:rsidRDefault="00FC3F5E" w:rsidP="00B32713">
      <w:pPr>
        <w:jc w:val="right"/>
        <w:rPr>
          <w:i/>
          <w:iCs/>
        </w:rPr>
      </w:pPr>
    </w:p>
    <w:p w14:paraId="17BB00EA" w14:textId="2CA90B78" w:rsidR="00116DD0" w:rsidRDefault="00B32713" w:rsidP="00B32713">
      <w:pPr>
        <w:jc w:val="right"/>
      </w:pPr>
      <w:r>
        <w:rPr>
          <w:i/>
          <w:iCs/>
        </w:rPr>
        <w:t>2</w:t>
      </w:r>
      <w:r w:rsidRPr="00B32713">
        <w:rPr>
          <w:i/>
          <w:iCs/>
        </w:rPr>
        <w:t>.</w:t>
      </w:r>
      <w:r w:rsidR="00D13DC3">
        <w:rPr>
          <w:i/>
          <w:iCs/>
        </w:rPr>
        <w:t> </w:t>
      </w:r>
      <w:r w:rsidRPr="00B32713">
        <w:rPr>
          <w:i/>
          <w:iCs/>
        </w:rPr>
        <w:t>attēls</w:t>
      </w:r>
    </w:p>
    <w:p w14:paraId="5AD881FE" w14:textId="056AAB9A" w:rsidR="00131176" w:rsidRDefault="00131176" w:rsidP="00131176">
      <w:pPr>
        <w:jc w:val="center"/>
      </w:pPr>
      <w:r>
        <w:rPr>
          <w:noProof/>
          <w:lang w:eastAsia="lv-LV"/>
        </w:rPr>
        <w:drawing>
          <wp:inline distT="0" distB="0" distL="0" distR="0" wp14:anchorId="6845DDBA" wp14:editId="5A168181">
            <wp:extent cx="2247900" cy="1495279"/>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99447" cy="1529567"/>
                    </a:xfrm>
                    <a:prstGeom prst="rect">
                      <a:avLst/>
                    </a:prstGeom>
                    <a:noFill/>
                    <a:ln>
                      <a:noFill/>
                    </a:ln>
                  </pic:spPr>
                </pic:pic>
              </a:graphicData>
            </a:graphic>
          </wp:inline>
        </w:drawing>
      </w:r>
    </w:p>
    <w:p w14:paraId="18209C8A" w14:textId="058C4AD2" w:rsidR="00116DD0" w:rsidRDefault="035D5825" w:rsidP="00C243E0">
      <w:pPr>
        <w:spacing w:line="276" w:lineRule="auto"/>
      </w:pPr>
      <w:r w:rsidRPr="7842FC33">
        <w:rPr>
          <w:rFonts w:eastAsia="Times New Roman" w:cs="Times New Roman"/>
        </w:rPr>
        <w:lastRenderedPageBreak/>
        <w:t>Šāda veida priekšrocības ir, ka šo veidu jau var izmantot šobrīd un tā tiek izmantota.</w:t>
      </w:r>
    </w:p>
    <w:p w14:paraId="2186B233" w14:textId="7E4932D3" w:rsidR="7842FC33" w:rsidRDefault="7842FC33" w:rsidP="00C243E0">
      <w:pPr>
        <w:pStyle w:val="ListParagraph"/>
        <w:spacing w:line="276" w:lineRule="auto"/>
      </w:pPr>
    </w:p>
    <w:p w14:paraId="26FD895C" w14:textId="77777777" w:rsidR="00116DD0" w:rsidRPr="00660ABE" w:rsidRDefault="00116DD0" w:rsidP="00C243E0">
      <w:pPr>
        <w:spacing w:line="276" w:lineRule="auto"/>
      </w:pPr>
      <w:r>
        <w:t>Trūkumi:</w:t>
      </w:r>
    </w:p>
    <w:p w14:paraId="20BFCB70" w14:textId="6C43AC42" w:rsidR="00116DD0" w:rsidRPr="00660ABE" w:rsidRDefault="00116DD0" w:rsidP="00C243E0">
      <w:pPr>
        <w:numPr>
          <w:ilvl w:val="0"/>
          <w:numId w:val="17"/>
        </w:numPr>
        <w:spacing w:line="276" w:lineRule="auto"/>
      </w:pPr>
      <w:r>
        <w:t>Dokumentu saturs un nosūtīšanas vai piegādes fakts nav notarizēts, līdz ar to rodas domstarpības par dokumenta saturu un</w:t>
      </w:r>
      <w:r w:rsidR="00D0533F">
        <w:t xml:space="preserve"> nosūt</w:t>
      </w:r>
      <w:r w:rsidR="006A60BD">
        <w:t>īšanas vai piegādes faktu</w:t>
      </w:r>
      <w:r w:rsidR="002D080C">
        <w:t xml:space="preserve">. </w:t>
      </w:r>
      <w:r w:rsidR="002D080C" w:rsidRPr="002D080C">
        <w:t>Vārds “</w:t>
      </w:r>
      <w:proofErr w:type="spellStart"/>
      <w:r w:rsidR="002D080C" w:rsidRPr="002D080C">
        <w:t>notarizācija</w:t>
      </w:r>
      <w:proofErr w:type="spellEnd"/>
      <w:r w:rsidR="002D080C" w:rsidRPr="002D080C">
        <w:t>”</w:t>
      </w:r>
      <w:r w:rsidR="002D080C" w:rsidRPr="002D080C">
        <w:rPr>
          <w:vertAlign w:val="superscript"/>
        </w:rPr>
        <w:footnoteReference w:id="30"/>
      </w:r>
      <w:r w:rsidR="002D080C" w:rsidRPr="002D080C">
        <w:t xml:space="preserve"> šajā dokumentā tiek lietots plašā izpratnē un apzīmē situāciju ar starpnieka esamību, kas apliecina kādu faktu, pretstatā šaurai notariāta izpratnei, kas aprakstīta Notariāta likumā. Šī dokumenta ietvaros ar </w:t>
      </w:r>
      <w:proofErr w:type="spellStart"/>
      <w:r w:rsidR="002D080C" w:rsidRPr="002D080C">
        <w:t>natorizāciju</w:t>
      </w:r>
      <w:proofErr w:type="spellEnd"/>
      <w:r w:rsidR="002D080C" w:rsidRPr="002D080C">
        <w:t xml:space="preserve"> tiek saprasta automatizētā sistēmas funkcija, kas apliecina dokumenta saturu, dokumenta nosūtīšanas un piegādes faktu (garantētā piegāde) līdzīgi kā banka aplie</w:t>
      </w:r>
      <w:r w:rsidR="002D080C">
        <w:t>cina (notarizē) maksājuma faktu;</w:t>
      </w:r>
    </w:p>
    <w:p w14:paraId="78EC4D38" w14:textId="670E1F5C" w:rsidR="00116DD0" w:rsidRPr="00660ABE" w:rsidRDefault="00116DD0" w:rsidP="00C243E0">
      <w:pPr>
        <w:numPr>
          <w:ilvl w:val="0"/>
          <w:numId w:val="17"/>
        </w:numPr>
        <w:spacing w:line="276" w:lineRule="auto"/>
      </w:pPr>
      <w:r>
        <w:t>Dokuments nav pieejams vienlaicīgai izmaiņu veikšanai visām darījumā iesaistītām pusēm: ražotājam, kravas īpašniekam, pārvadātājam, tirgotājam, kontrolējošām iestādēm, maksājumu iestādei u.c. Piemēram, preces saņēmējs nevar pārliecināties vai pārvadātājs ir saņēmis preci piegādei, maksājumu iestāde nevar pielikt rē</w:t>
      </w:r>
      <w:r w:rsidR="006A60BD">
        <w:t>ķinam atzīmi par samaksas faktu;</w:t>
      </w:r>
    </w:p>
    <w:p w14:paraId="1C5B4CC4" w14:textId="604C1589" w:rsidR="00116DD0" w:rsidRPr="00660ABE" w:rsidRDefault="00116DD0" w:rsidP="00C243E0">
      <w:pPr>
        <w:numPr>
          <w:ilvl w:val="0"/>
          <w:numId w:val="17"/>
        </w:numPr>
        <w:spacing w:line="276" w:lineRule="auto"/>
      </w:pPr>
      <w:r>
        <w:t>Zemāka drošība, piemēram, e</w:t>
      </w:r>
      <w:r w:rsidR="006A60BD">
        <w:t>-pasti ar rēķiniem tiek viltoti</w:t>
      </w:r>
      <w:r w:rsidR="002D080C">
        <w:t>.</w:t>
      </w:r>
      <w:r w:rsidR="002D080C" w:rsidRPr="002D080C">
        <w:t xml:space="preserve"> Lai viltotu identitāti e-adresē vai citā </w:t>
      </w:r>
      <w:proofErr w:type="spellStart"/>
      <w:r w:rsidR="002D080C" w:rsidRPr="002D080C">
        <w:t>aptites</w:t>
      </w:r>
      <w:proofErr w:type="spellEnd"/>
      <w:r w:rsidR="002D080C" w:rsidRPr="002D080C">
        <w:t xml:space="preserve"> vietnē, </w:t>
      </w:r>
      <w:r w:rsidR="00C17929">
        <w:t>būs nepieciešams</w:t>
      </w:r>
      <w:r w:rsidR="002D080C" w:rsidRPr="002D080C">
        <w:t xml:space="preserve"> </w:t>
      </w:r>
      <w:r w:rsidR="00C17929">
        <w:t>“</w:t>
      </w:r>
      <w:r w:rsidR="002D080C" w:rsidRPr="002D080C">
        <w:t>uzlauzt</w:t>
      </w:r>
      <w:r w:rsidR="00C17929">
        <w:t>”</w:t>
      </w:r>
      <w:r w:rsidR="002D080C" w:rsidRPr="002D080C">
        <w:t xml:space="preserve"> attiecīgā sūtīt</w:t>
      </w:r>
      <w:r w:rsidR="002D080C">
        <w:t>āja kontu vai operatora sistēmu;</w:t>
      </w:r>
    </w:p>
    <w:p w14:paraId="759CB292" w14:textId="7B49E422" w:rsidR="00116DD0" w:rsidRPr="00660ABE" w:rsidRDefault="00116DD0" w:rsidP="00C243E0">
      <w:pPr>
        <w:numPr>
          <w:ilvl w:val="0"/>
          <w:numId w:val="17"/>
        </w:numPr>
        <w:spacing w:line="276" w:lineRule="auto"/>
      </w:pPr>
      <w:r>
        <w:t>VID un cit</w:t>
      </w:r>
      <w:r w:rsidR="00C17929">
        <w:t>ie</w:t>
      </w:r>
      <w:r>
        <w:t xml:space="preserve">m kontrolējošiem dienestiem pavadzīmju kontrole prasa manuālo darbu. </w:t>
      </w:r>
    </w:p>
    <w:p w14:paraId="177B9429" w14:textId="77777777" w:rsidR="00116DD0" w:rsidRPr="00660ABE" w:rsidRDefault="00116DD0" w:rsidP="00C243E0">
      <w:pPr>
        <w:spacing w:line="276" w:lineRule="auto"/>
      </w:pPr>
    </w:p>
    <w:p w14:paraId="7AEFABF4" w14:textId="2FB79CD6" w:rsidR="00116DD0" w:rsidRPr="00660ABE" w:rsidRDefault="00116DD0" w:rsidP="00C243E0">
      <w:pPr>
        <w:numPr>
          <w:ilvl w:val="0"/>
          <w:numId w:val="16"/>
        </w:numPr>
        <w:spacing w:line="276" w:lineRule="auto"/>
      </w:pPr>
      <w:r>
        <w:t>Centralizētā aprites vietne</w:t>
      </w:r>
      <w:r w:rsidR="002D080C">
        <w:t>.</w:t>
      </w:r>
    </w:p>
    <w:p w14:paraId="0C4047E3" w14:textId="32CE6926" w:rsidR="00116DD0" w:rsidRDefault="2AE0449A" w:rsidP="00F65DFC">
      <w:pPr>
        <w:spacing w:line="276" w:lineRule="auto"/>
        <w:ind w:firstLine="720"/>
        <w:rPr>
          <w:rFonts w:eastAsia="Times New Roman" w:cs="Times New Roman"/>
          <w:szCs w:val="24"/>
        </w:rPr>
      </w:pPr>
      <w:r w:rsidRPr="7842FC33">
        <w:rPr>
          <w:rFonts w:eastAsia="Times New Roman" w:cs="Times New Roman"/>
          <w:szCs w:val="24"/>
        </w:rPr>
        <w:t>Šī metode jau tiek izmantota komersants ar valsts pārvaldi (B2G) un valsts pārvalde ar komersantu (G2B) segmentos ar e-adreses starpniecību</w:t>
      </w:r>
      <w:r w:rsidR="006A60BD">
        <w:rPr>
          <w:rFonts w:eastAsia="Times New Roman" w:cs="Times New Roman"/>
          <w:szCs w:val="24"/>
        </w:rPr>
        <w:t>,</w:t>
      </w:r>
      <w:r w:rsidRPr="7842FC33">
        <w:rPr>
          <w:rFonts w:eastAsia="Times New Roman" w:cs="Times New Roman"/>
          <w:szCs w:val="24"/>
        </w:rPr>
        <w:t xml:space="preserve"> un to varētu paplašināt ar komersants ar komersantu (B2B) un komersants ar klientu (B2C) funkcionalitāti, kā arī nodrošināt visas sarakstes kopiju uzglabāšanu. Līdzīgi būtu, ja izveidotu kādu citu vienotu valsts </w:t>
      </w:r>
      <w:proofErr w:type="spellStart"/>
      <w:r w:rsidRPr="7842FC33">
        <w:rPr>
          <w:rFonts w:eastAsia="Times New Roman" w:cs="Times New Roman"/>
          <w:szCs w:val="24"/>
        </w:rPr>
        <w:t>maiņvietu</w:t>
      </w:r>
      <w:proofErr w:type="spellEnd"/>
      <w:r w:rsidRPr="7842FC33">
        <w:rPr>
          <w:rFonts w:eastAsia="Times New Roman" w:cs="Times New Roman"/>
          <w:szCs w:val="24"/>
        </w:rPr>
        <w:t xml:space="preserve"> ar obligātu lietojumu arī privātam sektoram. Tas nodrošinātu pilnu izsekojamību un dokumentu kopiju uzglabāšanu.</w:t>
      </w:r>
    </w:p>
    <w:p w14:paraId="74E0C376" w14:textId="094D02AC" w:rsidR="00B32713" w:rsidRDefault="00B32713" w:rsidP="00B32713">
      <w:pPr>
        <w:jc w:val="right"/>
      </w:pPr>
      <w:r>
        <w:rPr>
          <w:i/>
          <w:iCs/>
        </w:rPr>
        <w:t>3</w:t>
      </w:r>
      <w:r w:rsidRPr="00B32713">
        <w:rPr>
          <w:i/>
          <w:iCs/>
        </w:rPr>
        <w:t>.</w:t>
      </w:r>
      <w:r w:rsidR="00D13DC3">
        <w:rPr>
          <w:i/>
          <w:iCs/>
        </w:rPr>
        <w:t> </w:t>
      </w:r>
      <w:r w:rsidRPr="00B32713">
        <w:rPr>
          <w:i/>
          <w:iCs/>
        </w:rPr>
        <w:t>attēls</w:t>
      </w:r>
    </w:p>
    <w:p w14:paraId="01391C32" w14:textId="1A07534F" w:rsidR="00116DD0" w:rsidRPr="00660ABE" w:rsidRDefault="00131176" w:rsidP="00131176">
      <w:pPr>
        <w:jc w:val="center"/>
      </w:pPr>
      <w:r>
        <w:rPr>
          <w:noProof/>
          <w:lang w:eastAsia="lv-LV"/>
        </w:rPr>
        <w:drawing>
          <wp:inline distT="0" distB="0" distL="0" distR="0" wp14:anchorId="2613CFE6" wp14:editId="1BCA72BB">
            <wp:extent cx="3073400" cy="1961479"/>
            <wp:effectExtent l="0" t="0" r="0" b="127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3382" cy="1980614"/>
                    </a:xfrm>
                    <a:prstGeom prst="rect">
                      <a:avLst/>
                    </a:prstGeom>
                    <a:noFill/>
                    <a:ln>
                      <a:noFill/>
                    </a:ln>
                  </pic:spPr>
                </pic:pic>
              </a:graphicData>
            </a:graphic>
          </wp:inline>
        </w:drawing>
      </w:r>
    </w:p>
    <w:p w14:paraId="0AA63B5F" w14:textId="65E117E8" w:rsidR="00116DD0" w:rsidRDefault="006A60BD" w:rsidP="00C243E0">
      <w:pPr>
        <w:spacing w:line="276" w:lineRule="auto"/>
        <w:ind w:firstLine="720"/>
      </w:pPr>
      <w:r>
        <w:lastRenderedPageBreak/>
        <w:t>Šāda veida priekšrocības –</w:t>
      </w:r>
      <w:r w:rsidR="00A830CF">
        <w:t xml:space="preserve"> ir</w:t>
      </w:r>
      <w:r w:rsidR="3146DAFE" w:rsidRPr="7842FC33">
        <w:t xml:space="preserve"> vienota vietne, visa informācija ir ticama, pieejama bez maksas.</w:t>
      </w:r>
    </w:p>
    <w:p w14:paraId="0DA3CAA2" w14:textId="3A709E15" w:rsidR="00116DD0" w:rsidRDefault="00116DD0" w:rsidP="00C243E0">
      <w:pPr>
        <w:spacing w:line="276" w:lineRule="auto"/>
      </w:pPr>
    </w:p>
    <w:p w14:paraId="5FA16B29" w14:textId="77777777" w:rsidR="00116DD0" w:rsidRPr="00660ABE" w:rsidRDefault="00116DD0" w:rsidP="00C243E0">
      <w:pPr>
        <w:spacing w:line="276" w:lineRule="auto"/>
        <w:ind w:firstLine="360"/>
      </w:pPr>
      <w:r>
        <w:t xml:space="preserve">Šai pieejai ir vairāki trūkumi. </w:t>
      </w:r>
    </w:p>
    <w:p w14:paraId="4E98FA95" w14:textId="44634771" w:rsidR="00116DD0" w:rsidRPr="00660ABE" w:rsidRDefault="00116DD0" w:rsidP="00C243E0">
      <w:pPr>
        <w:numPr>
          <w:ilvl w:val="0"/>
          <w:numId w:val="18"/>
        </w:numPr>
        <w:spacing w:line="276" w:lineRule="auto"/>
      </w:pPr>
      <w:r>
        <w:t>Jau šobrīd tirgū sekmīgi darbojas vairāki uzņ</w:t>
      </w:r>
      <w:r w:rsidR="00A018F8">
        <w:t xml:space="preserve">ēmumi, kas </w:t>
      </w:r>
      <w:r>
        <w:t xml:space="preserve">nodrošina finanšu dokumentu apriti. Centralizācija valsts pusē </w:t>
      </w:r>
      <w:r w:rsidR="009F3143">
        <w:t xml:space="preserve">negatīvi ietekmētu </w:t>
      </w:r>
      <w:r>
        <w:t>šo biznesu un mazinātu pakalpojuma kvalitāti, jo zustu konkurence</w:t>
      </w:r>
      <w:r w:rsidR="0036393B">
        <w:t>, kā</w:t>
      </w:r>
      <w:r>
        <w:t xml:space="preserve"> </w:t>
      </w:r>
      <w:r w:rsidR="0036393B">
        <w:t xml:space="preserve">arī </w:t>
      </w:r>
      <w:r>
        <w:t>objektīvi pastāv atšķirības starp daž</w:t>
      </w:r>
      <w:r w:rsidR="00A830CF">
        <w:t>ādu nozaru vajadzībām;</w:t>
      </w:r>
    </w:p>
    <w:p w14:paraId="5DD1F52D" w14:textId="10FFA3DB" w:rsidR="00116DD0" w:rsidRPr="00660ABE" w:rsidRDefault="005A338B" w:rsidP="00C243E0">
      <w:pPr>
        <w:numPr>
          <w:ilvl w:val="0"/>
          <w:numId w:val="18"/>
        </w:numPr>
        <w:spacing w:line="276" w:lineRule="auto"/>
      </w:pPr>
      <w:r>
        <w:t>Ce</w:t>
      </w:r>
      <w:r w:rsidR="00116DD0">
        <w:t>ntralizēt</w:t>
      </w:r>
      <w:r>
        <w:t>am</w:t>
      </w:r>
      <w:r w:rsidR="00116DD0">
        <w:t xml:space="preserve"> risinājum</w:t>
      </w:r>
      <w:r>
        <w:t>am</w:t>
      </w:r>
      <w:r w:rsidR="00116DD0">
        <w:t xml:space="preserve"> ir </w:t>
      </w:r>
      <w:r>
        <w:t xml:space="preserve">augstāki ievainojamības riski </w:t>
      </w:r>
      <w:r w:rsidR="00116DD0">
        <w:t>pret darbības traucējumiem un hakeru uzbr</w:t>
      </w:r>
      <w:r w:rsidR="00A830CF">
        <w:t>ukumiem nekā vairāki</w:t>
      </w:r>
      <w:r>
        <w:t>em atsevišķiem</w:t>
      </w:r>
      <w:r w:rsidR="00A830CF">
        <w:t xml:space="preserve"> risinājumi</w:t>
      </w:r>
      <w:r>
        <w:t>em</w:t>
      </w:r>
      <w:r w:rsidR="00A830CF">
        <w:t>;</w:t>
      </w:r>
    </w:p>
    <w:p w14:paraId="5AB7B163" w14:textId="1C3CD1CB" w:rsidR="00116DD0" w:rsidRPr="00660ABE" w:rsidRDefault="00116DD0" w:rsidP="00C243E0">
      <w:pPr>
        <w:numPr>
          <w:ilvl w:val="0"/>
          <w:numId w:val="18"/>
        </w:numPr>
        <w:spacing w:line="276" w:lineRule="auto"/>
      </w:pPr>
      <w:r>
        <w:t xml:space="preserve">Apgrūtināta starptautiska </w:t>
      </w:r>
      <w:r w:rsidR="00FB565A">
        <w:t>e-rēķinu</w:t>
      </w:r>
      <w:r>
        <w:t xml:space="preserve"> aprite, jo nepieciešama au</w:t>
      </w:r>
      <w:r w:rsidR="00A830CF">
        <w:t xml:space="preserve">tentifikācija Latvijas </w:t>
      </w:r>
      <w:r w:rsidR="00A44E27">
        <w:t xml:space="preserve">valsts </w:t>
      </w:r>
      <w:r w:rsidR="00A830CF">
        <w:t>sistēmās;</w:t>
      </w:r>
    </w:p>
    <w:p w14:paraId="541D0E56" w14:textId="7AF7D7D4" w:rsidR="00116DD0" w:rsidRPr="00660ABE" w:rsidRDefault="00116DD0" w:rsidP="00C243E0">
      <w:pPr>
        <w:numPr>
          <w:ilvl w:val="0"/>
          <w:numId w:val="18"/>
        </w:numPr>
        <w:spacing w:line="276" w:lineRule="auto"/>
      </w:pPr>
      <w:r>
        <w:t xml:space="preserve">Valsts pusē nepieciešami lieli </w:t>
      </w:r>
      <w:r w:rsidR="00000D97">
        <w:t xml:space="preserve">finanšu </w:t>
      </w:r>
      <w:r>
        <w:t>ieguldījumi, lai izveidotu šādu vietni.</w:t>
      </w:r>
    </w:p>
    <w:p w14:paraId="79BBDE3E" w14:textId="77777777" w:rsidR="00116DD0" w:rsidRPr="00660ABE" w:rsidRDefault="00116DD0" w:rsidP="00C243E0">
      <w:pPr>
        <w:spacing w:line="276" w:lineRule="auto"/>
      </w:pPr>
    </w:p>
    <w:p w14:paraId="4940B70D" w14:textId="73128077" w:rsidR="363D74D2" w:rsidRDefault="363D74D2" w:rsidP="00C243E0">
      <w:pPr>
        <w:spacing w:line="276" w:lineRule="auto"/>
        <w:ind w:firstLine="720"/>
        <w:rPr>
          <w:rFonts w:eastAsia="Times New Roman" w:cs="Times New Roman"/>
          <w:szCs w:val="24"/>
        </w:rPr>
      </w:pPr>
      <w:r w:rsidRPr="7842FC33">
        <w:rPr>
          <w:rFonts w:eastAsia="Times New Roman" w:cs="Times New Roman"/>
          <w:szCs w:val="24"/>
        </w:rPr>
        <w:t>Šāds risinājums šobrīd ir realizēts Baltkrievijā, Kazahstānā, Krievijā, Turcijā, vairākās Dienvidamerikas valstīs. Tas paredz vienas (centrālās) platformas izveidi, caur kuru notiek visu elektroniskās vides darījumu dokumentu sagatavošana un aprite. Šāda risinājuma gadījumā tiek veiktas valsts investīcijas, lai kontrolētu visu dokumentu plūsmu, vienlaicīgi iesaistoties pašā komerciālajā procesā – bez šīs platformas darbības abas darījuma puses – pircējs un pārdevējs darījumu nevar veikt. Tas nozīmē, ka šāda sistēma kļūst arī par valsts centrālo un vienīgo elektronisko darījumu vietu, vienlaicīgi radot augstas prasības augstas pieejamības nodrošināšanu 24/7 režīmā, kā arī ļoti drošu apstrādāto darījumu dokumentu uzglabāšanu. Situācijās, ja šāda platforma nedarbojas, valstī apstājas arī saimnieciskie darījumi. Šāds risinājums arī nozīmē to, ka tas neparedz privātā biznesa darbības sfēru ar papildpakalpojumu nodrošināšanu (piem., liela apjoma rēķinu sagatavošana un piegāde utt.). Kā būtisks pluss šādam risinājumam ir efektīva informācijas pārvaldība un mazāki riski ar dokumentu loģistiku, jo radītie dokumenti glabājas centralizētajā platformā.</w:t>
      </w:r>
      <w:r w:rsidR="003E19F6">
        <w:rPr>
          <w:rFonts w:eastAsia="Times New Roman" w:cs="Times New Roman"/>
          <w:szCs w:val="24"/>
        </w:rPr>
        <w:t xml:space="preserve"> </w:t>
      </w:r>
      <w:r w:rsidR="003E19F6" w:rsidRPr="003E19F6">
        <w:rPr>
          <w:rFonts w:eastAsia="Times New Roman" w:cs="Times New Roman"/>
          <w:szCs w:val="24"/>
        </w:rPr>
        <w:t xml:space="preserve">Aprites funkciju šobrīd spēj </w:t>
      </w:r>
      <w:proofErr w:type="spellStart"/>
      <w:r w:rsidR="003E19F6" w:rsidRPr="003E19F6">
        <w:rPr>
          <w:rFonts w:eastAsia="Times New Roman" w:cs="Times New Roman"/>
          <w:szCs w:val="24"/>
        </w:rPr>
        <w:t>nosrošināt</w:t>
      </w:r>
      <w:proofErr w:type="spellEnd"/>
      <w:r w:rsidR="003E19F6" w:rsidRPr="003E19F6">
        <w:rPr>
          <w:rFonts w:eastAsia="Times New Roman" w:cs="Times New Roman"/>
          <w:szCs w:val="24"/>
        </w:rPr>
        <w:t xml:space="preserve"> </w:t>
      </w:r>
      <w:r w:rsidR="003E19F6" w:rsidRPr="003E19F6">
        <w:rPr>
          <w:rFonts w:eastAsia="Times New Roman" w:cs="Times New Roman"/>
          <w:szCs w:val="24"/>
        </w:rPr>
        <w:br/>
        <w:t xml:space="preserve">e-adrese, bet e-adresē </w:t>
      </w:r>
      <w:proofErr w:type="spellStart"/>
      <w:r w:rsidR="003E19F6" w:rsidRPr="003E19F6">
        <w:rPr>
          <w:rFonts w:eastAsia="Times New Roman" w:cs="Times New Roman"/>
          <w:szCs w:val="24"/>
        </w:rPr>
        <w:t>neviec</w:t>
      </w:r>
      <w:proofErr w:type="spellEnd"/>
      <w:r w:rsidR="003E19F6" w:rsidRPr="003E19F6">
        <w:rPr>
          <w:rFonts w:eastAsia="Times New Roman" w:cs="Times New Roman"/>
          <w:szCs w:val="24"/>
        </w:rPr>
        <w:t xml:space="preserve"> uzkrāšanas funkciju, ja dokumenti tiek apritināti caur API. E-adreses arhitektūra veidota tā, ka arī apmainotie</w:t>
      </w:r>
      <w:r w:rsidR="003E19F6">
        <w:rPr>
          <w:rFonts w:eastAsia="Times New Roman" w:cs="Times New Roman"/>
          <w:szCs w:val="24"/>
        </w:rPr>
        <w:t xml:space="preserve">s ar dokumentiem caur </w:t>
      </w:r>
      <w:proofErr w:type="spellStart"/>
      <w:r w:rsidR="003E19F6">
        <w:rPr>
          <w:rFonts w:eastAsia="Times New Roman" w:cs="Times New Roman"/>
          <w:szCs w:val="24"/>
        </w:rPr>
        <w:t>web</w:t>
      </w:r>
      <w:proofErr w:type="spellEnd"/>
      <w:r w:rsidR="003E19F6">
        <w:rPr>
          <w:rFonts w:eastAsia="Times New Roman" w:cs="Times New Roman"/>
          <w:szCs w:val="24"/>
        </w:rPr>
        <w:t>-formu</w:t>
      </w:r>
      <w:r w:rsidR="003E19F6" w:rsidRPr="003E19F6">
        <w:rPr>
          <w:rFonts w:eastAsia="Times New Roman" w:cs="Times New Roman"/>
          <w:szCs w:val="24"/>
        </w:rPr>
        <w:t>, tie ir pieejami tikai sūtītājam un saņēmējam.</w:t>
      </w:r>
    </w:p>
    <w:p w14:paraId="4DAF2027" w14:textId="51F9188F" w:rsidR="7842FC33" w:rsidRDefault="7842FC33" w:rsidP="00C243E0">
      <w:pPr>
        <w:spacing w:line="276" w:lineRule="auto"/>
      </w:pPr>
    </w:p>
    <w:p w14:paraId="3749EB08" w14:textId="226A4352" w:rsidR="00116DD0" w:rsidRDefault="00116DD0" w:rsidP="00C243E0">
      <w:pPr>
        <w:numPr>
          <w:ilvl w:val="0"/>
          <w:numId w:val="16"/>
        </w:numPr>
        <w:spacing w:line="276" w:lineRule="auto"/>
      </w:pPr>
      <w:r>
        <w:t xml:space="preserve">Decentralizēts risinājums ar vairākiem </w:t>
      </w:r>
      <w:r w:rsidR="00FB565A">
        <w:t>e-</w:t>
      </w:r>
      <w:r w:rsidR="0080173A">
        <w:t>rēķinu</w:t>
      </w:r>
      <w:r w:rsidR="38E57155">
        <w:t xml:space="preserve"> </w:t>
      </w:r>
      <w:r>
        <w:t xml:space="preserve">aprites pakalpojumu sniedzējiem. </w:t>
      </w:r>
    </w:p>
    <w:p w14:paraId="61A56A11" w14:textId="41F2986D" w:rsidR="00FD6DA9" w:rsidRDefault="00FD6DA9" w:rsidP="00FD6DA9">
      <w:pPr>
        <w:spacing w:line="276" w:lineRule="auto"/>
      </w:pPr>
    </w:p>
    <w:p w14:paraId="12CE6B09" w14:textId="2BB48334" w:rsidR="00FD6DA9" w:rsidRDefault="00FD6DA9" w:rsidP="00FD6DA9">
      <w:pPr>
        <w:spacing w:line="276" w:lineRule="auto"/>
      </w:pPr>
    </w:p>
    <w:p w14:paraId="471A2999" w14:textId="17F16145" w:rsidR="00FD6DA9" w:rsidRDefault="00FD6DA9" w:rsidP="00FD6DA9">
      <w:pPr>
        <w:spacing w:line="276" w:lineRule="auto"/>
      </w:pPr>
    </w:p>
    <w:p w14:paraId="222D643E" w14:textId="7E495DDA" w:rsidR="00FD6DA9" w:rsidRDefault="00FD6DA9" w:rsidP="00FD6DA9">
      <w:pPr>
        <w:spacing w:line="276" w:lineRule="auto"/>
      </w:pPr>
    </w:p>
    <w:p w14:paraId="5FA26FFA" w14:textId="648C07BC" w:rsidR="00FD6DA9" w:rsidRDefault="00FD6DA9" w:rsidP="00FD6DA9">
      <w:pPr>
        <w:spacing w:line="276" w:lineRule="auto"/>
      </w:pPr>
    </w:p>
    <w:p w14:paraId="6B119D7F" w14:textId="77777777" w:rsidR="00FD6DA9" w:rsidRPr="00660ABE" w:rsidRDefault="00FD6DA9" w:rsidP="00FD6DA9">
      <w:pPr>
        <w:spacing w:line="276" w:lineRule="auto"/>
      </w:pPr>
    </w:p>
    <w:p w14:paraId="5F59FA8D" w14:textId="2735B89B" w:rsidR="00116DD0" w:rsidRDefault="00B32713" w:rsidP="00B32713">
      <w:pPr>
        <w:jc w:val="right"/>
      </w:pPr>
      <w:r>
        <w:rPr>
          <w:i/>
          <w:iCs/>
        </w:rPr>
        <w:lastRenderedPageBreak/>
        <w:t>4</w:t>
      </w:r>
      <w:r w:rsidRPr="00B32713">
        <w:rPr>
          <w:i/>
          <w:iCs/>
        </w:rPr>
        <w:t>.</w:t>
      </w:r>
      <w:r w:rsidR="00D13DC3">
        <w:rPr>
          <w:i/>
          <w:iCs/>
        </w:rPr>
        <w:t> </w:t>
      </w:r>
      <w:r w:rsidRPr="00B32713">
        <w:rPr>
          <w:i/>
          <w:iCs/>
        </w:rPr>
        <w:t>attēls</w:t>
      </w:r>
    </w:p>
    <w:p w14:paraId="1A5F3A7F" w14:textId="68811D8B" w:rsidR="00131176" w:rsidRDefault="00131176" w:rsidP="00131176">
      <w:pPr>
        <w:jc w:val="center"/>
      </w:pPr>
      <w:r>
        <w:rPr>
          <w:noProof/>
          <w:lang w:eastAsia="lv-LV"/>
        </w:rPr>
        <w:drawing>
          <wp:inline distT="0" distB="0" distL="0" distR="0" wp14:anchorId="3C5750D0" wp14:editId="44E98FF7">
            <wp:extent cx="3073400" cy="2066571"/>
            <wp:effectExtent l="0" t="0" r="6350" b="762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73400" cy="2066571"/>
                    </a:xfrm>
                    <a:prstGeom prst="rect">
                      <a:avLst/>
                    </a:prstGeom>
                    <a:noFill/>
                    <a:ln>
                      <a:noFill/>
                    </a:ln>
                  </pic:spPr>
                </pic:pic>
              </a:graphicData>
            </a:graphic>
          </wp:inline>
        </w:drawing>
      </w:r>
    </w:p>
    <w:p w14:paraId="54FF3253" w14:textId="77777777" w:rsidR="00131176" w:rsidRPr="00660ABE" w:rsidRDefault="00131176" w:rsidP="00116DD0"/>
    <w:p w14:paraId="19EDEF75" w14:textId="77777777" w:rsidR="00116DD0" w:rsidRDefault="00116DD0" w:rsidP="00C243E0">
      <w:pPr>
        <w:spacing w:line="276" w:lineRule="auto"/>
      </w:pPr>
      <w:r>
        <w:t xml:space="preserve">Priekšrocības: Jau šobrīd tirgū darbojas vairāki uzņēmumi, kas nodrošina dokumentu apriti. </w:t>
      </w:r>
    </w:p>
    <w:p w14:paraId="5808151F" w14:textId="77777777" w:rsidR="00116DD0" w:rsidRPr="00660ABE" w:rsidRDefault="00116DD0" w:rsidP="00C243E0">
      <w:pPr>
        <w:spacing w:line="276" w:lineRule="auto"/>
      </w:pPr>
      <w:r>
        <w:t>Trūkumi:</w:t>
      </w:r>
    </w:p>
    <w:p w14:paraId="55B5C282" w14:textId="3F526E6D" w:rsidR="00116DD0" w:rsidRPr="00660ABE" w:rsidRDefault="00116DD0" w:rsidP="00C243E0">
      <w:pPr>
        <w:numPr>
          <w:ilvl w:val="0"/>
          <w:numId w:val="19"/>
        </w:numPr>
        <w:spacing w:line="276" w:lineRule="auto"/>
      </w:pPr>
      <w:r>
        <w:t>Ja kādu iemeslu dēļ neplānoti darbu pārtrauc kāds pakalpojumu sniedzējs, tad pazūd arī dokumenti. It sevišķi tas aktuāli mazajiem uzņēmējiem, kuriem nav savu grāmatvedības sistēmu, kur fi</w:t>
      </w:r>
      <w:r w:rsidR="00A8676D">
        <w:t>nanšu dokumenti tiek uzglabāti;</w:t>
      </w:r>
    </w:p>
    <w:p w14:paraId="38F3EA44" w14:textId="13F24104" w:rsidR="00116DD0" w:rsidRDefault="00116DD0" w:rsidP="00C243E0">
      <w:pPr>
        <w:numPr>
          <w:ilvl w:val="0"/>
          <w:numId w:val="19"/>
        </w:numPr>
        <w:spacing w:line="276" w:lineRule="auto"/>
      </w:pPr>
      <w:r>
        <w:t>Ja dokumentu apritē ir iesaistīti vairāki pakalpojumu sniedzēji, tad var rasties domstarpības par piegādes fakt</w:t>
      </w:r>
      <w:r w:rsidR="00A8676D">
        <w:t>u dokumenta pazušanas gadījumā;</w:t>
      </w:r>
    </w:p>
    <w:p w14:paraId="055C4F22" w14:textId="3746E403" w:rsidR="00116DD0" w:rsidRDefault="00116DD0" w:rsidP="00C243E0">
      <w:pPr>
        <w:numPr>
          <w:ilvl w:val="0"/>
          <w:numId w:val="19"/>
        </w:numPr>
        <w:spacing w:line="276" w:lineRule="auto"/>
      </w:pPr>
      <w:r>
        <w:t xml:space="preserve">Papildus izmaksas uzņēmējiem par </w:t>
      </w:r>
      <w:r w:rsidR="00FB565A">
        <w:t>e-rēķinu</w:t>
      </w:r>
      <w:r w:rsidR="4B95025F">
        <w:t xml:space="preserve"> </w:t>
      </w:r>
      <w:r>
        <w:t xml:space="preserve">apstrādi. </w:t>
      </w:r>
    </w:p>
    <w:p w14:paraId="415482E0" w14:textId="2671E807" w:rsidR="00116DD0" w:rsidRDefault="003E19F6" w:rsidP="003E19F6">
      <w:pPr>
        <w:spacing w:line="276" w:lineRule="auto"/>
        <w:ind w:firstLine="720"/>
      </w:pPr>
      <w:r w:rsidRPr="7842FC33">
        <w:rPr>
          <w:rFonts w:eastAsia="Times New Roman" w:cs="Times New Roman"/>
          <w:szCs w:val="24"/>
        </w:rPr>
        <w:t xml:space="preserve">Šāds risinājums raksturīgs praktiski visām Eiropas valstīm, jo gandrīz visās jau darbojas privātā biznesa elektronisko dokumentu aprites pakalpojumu sniedzēji, kuri lielākajiem klientiem jau nodrošina darījumu dokumentu apstrādi vai sagatavošanu dažādos formātos, atkarībā no valstī pieņemtajiem elektroniskās darījumu vides un formātu regulējumiem un nacionālajiem standartiem. Galvenokārt šie pakalpojumi, vai arī nodokļu kontroles institūciju risinājumi ir saistīti ar </w:t>
      </w:r>
      <w:r>
        <w:rPr>
          <w:rFonts w:eastAsia="Times New Roman" w:cs="Times New Roman"/>
          <w:szCs w:val="24"/>
        </w:rPr>
        <w:t>e-</w:t>
      </w:r>
      <w:r w:rsidRPr="7842FC33">
        <w:rPr>
          <w:rFonts w:eastAsia="Times New Roman" w:cs="Times New Roman"/>
          <w:szCs w:val="24"/>
        </w:rPr>
        <w:t>rēķinu vidi, taču dažās valstīs, piemēram, Portugāle, Igaunija, ir ieviestas tikai elektronisko pavadzīmju sagatavošanas un apstrādes vides.</w:t>
      </w:r>
    </w:p>
    <w:p w14:paraId="6A7B2ADD" w14:textId="77777777" w:rsidR="003E19F6" w:rsidRPr="00660ABE" w:rsidRDefault="003E19F6" w:rsidP="00C243E0">
      <w:pPr>
        <w:spacing w:line="276" w:lineRule="auto"/>
        <w:ind w:left="720"/>
      </w:pPr>
    </w:p>
    <w:p w14:paraId="622D95B4" w14:textId="0B6F5644" w:rsidR="00116DD0" w:rsidRPr="00660ABE" w:rsidRDefault="00116DD0" w:rsidP="00C243E0">
      <w:pPr>
        <w:spacing w:line="276" w:lineRule="auto"/>
      </w:pPr>
      <w:r>
        <w:t>3A. E-adrese varēs darboties kā viens no risinājumiem, gadījumos, kur viens no dalībniekiem ir valsts pārvaldes iestāde vai kā pilnvērtīgs tirgus dalībniek</w:t>
      </w:r>
      <w:r w:rsidR="584CC5AF">
        <w:t>s</w:t>
      </w:r>
      <w:r>
        <w:t xml:space="preserve">. </w:t>
      </w:r>
      <w:r w:rsidR="00B5172C">
        <w:t>M</w:t>
      </w:r>
      <w:r>
        <w:t>azajiem uzņēmumiem un privātpersonām e-adrese nodrošina funkcionalitāti bez maksas.</w:t>
      </w:r>
    </w:p>
    <w:p w14:paraId="3DA8D488" w14:textId="77777777" w:rsidR="00116DD0" w:rsidRPr="00660ABE" w:rsidRDefault="00116DD0" w:rsidP="00C243E0">
      <w:pPr>
        <w:spacing w:line="276" w:lineRule="auto"/>
      </w:pPr>
    </w:p>
    <w:p w14:paraId="54BF6CF1" w14:textId="156EE23C" w:rsidR="00B32713" w:rsidRPr="00E51BE0" w:rsidRDefault="00F65DFC" w:rsidP="00E51BE0">
      <w:pPr>
        <w:spacing w:line="276" w:lineRule="auto"/>
      </w:pPr>
      <w:r>
        <w:t xml:space="preserve">4. </w:t>
      </w:r>
      <w:r w:rsidR="00116DD0">
        <w:t>Lai novērstu trešajā</w:t>
      </w:r>
      <w:r w:rsidR="00A8676D">
        <w:t xml:space="preserve"> variantā konstatētos trūkumus,</w:t>
      </w:r>
      <w:r w:rsidR="69FEC13C">
        <w:t xml:space="preserve"> </w:t>
      </w:r>
      <w:r w:rsidR="00116DD0">
        <w:t xml:space="preserve">ieviest visu dokumentu kopiju saglabāšanu un piegādes fakta apliecināšanu, saglabājot log </w:t>
      </w:r>
      <w:r w:rsidR="00A8676D">
        <w:t>datnes kādā</w:t>
      </w:r>
      <w:r w:rsidR="00116DD0">
        <w:t xml:space="preserve"> valsts sistēmā. </w:t>
      </w:r>
    </w:p>
    <w:p w14:paraId="70F0646B" w14:textId="77777777" w:rsidR="00FD6DA9" w:rsidRDefault="00FD6DA9" w:rsidP="00B32713">
      <w:pPr>
        <w:jc w:val="right"/>
        <w:rPr>
          <w:i/>
          <w:iCs/>
        </w:rPr>
      </w:pPr>
    </w:p>
    <w:p w14:paraId="169A6AA5" w14:textId="77777777" w:rsidR="00FD6DA9" w:rsidRDefault="00FD6DA9" w:rsidP="00B32713">
      <w:pPr>
        <w:jc w:val="right"/>
        <w:rPr>
          <w:i/>
          <w:iCs/>
        </w:rPr>
      </w:pPr>
    </w:p>
    <w:p w14:paraId="0CC278BF" w14:textId="77777777" w:rsidR="00FD6DA9" w:rsidRDefault="00FD6DA9" w:rsidP="00B32713">
      <w:pPr>
        <w:jc w:val="right"/>
        <w:rPr>
          <w:i/>
          <w:iCs/>
        </w:rPr>
      </w:pPr>
    </w:p>
    <w:p w14:paraId="5913DEE5" w14:textId="77777777" w:rsidR="00FD6DA9" w:rsidRDefault="00FD6DA9" w:rsidP="00B32713">
      <w:pPr>
        <w:jc w:val="right"/>
        <w:rPr>
          <w:i/>
          <w:iCs/>
        </w:rPr>
      </w:pPr>
    </w:p>
    <w:p w14:paraId="609B44CF" w14:textId="77777777" w:rsidR="00FD6DA9" w:rsidRDefault="00FD6DA9" w:rsidP="00B32713">
      <w:pPr>
        <w:jc w:val="right"/>
        <w:rPr>
          <w:i/>
          <w:iCs/>
        </w:rPr>
      </w:pPr>
    </w:p>
    <w:p w14:paraId="5F909FC7" w14:textId="761D643C" w:rsidR="00116DD0" w:rsidRDefault="00B32713" w:rsidP="00B32713">
      <w:pPr>
        <w:jc w:val="right"/>
      </w:pPr>
      <w:r>
        <w:rPr>
          <w:i/>
          <w:iCs/>
        </w:rPr>
        <w:lastRenderedPageBreak/>
        <w:t>5</w:t>
      </w:r>
      <w:r w:rsidRPr="00B32713">
        <w:rPr>
          <w:i/>
          <w:iCs/>
        </w:rPr>
        <w:t>.</w:t>
      </w:r>
      <w:r w:rsidR="00D13DC3">
        <w:rPr>
          <w:i/>
          <w:iCs/>
        </w:rPr>
        <w:t> </w:t>
      </w:r>
      <w:r w:rsidRPr="00B32713">
        <w:rPr>
          <w:i/>
          <w:iCs/>
        </w:rPr>
        <w:t>attēls</w:t>
      </w:r>
    </w:p>
    <w:p w14:paraId="6BF535C5" w14:textId="7FDB56E6" w:rsidR="00E31465" w:rsidRDefault="00E31465" w:rsidP="00E31465">
      <w:pPr>
        <w:jc w:val="center"/>
      </w:pPr>
      <w:r>
        <w:rPr>
          <w:noProof/>
          <w:lang w:eastAsia="lv-LV"/>
        </w:rPr>
        <w:drawing>
          <wp:inline distT="0" distB="0" distL="0" distR="0" wp14:anchorId="1CA1A6B3" wp14:editId="58DEAC54">
            <wp:extent cx="3308350" cy="3284419"/>
            <wp:effectExtent l="0" t="0" r="635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40026" cy="3315866"/>
                    </a:xfrm>
                    <a:prstGeom prst="rect">
                      <a:avLst/>
                    </a:prstGeom>
                    <a:noFill/>
                    <a:ln>
                      <a:noFill/>
                    </a:ln>
                  </pic:spPr>
                </pic:pic>
              </a:graphicData>
            </a:graphic>
          </wp:inline>
        </w:drawing>
      </w:r>
    </w:p>
    <w:p w14:paraId="693F862C" w14:textId="77777777" w:rsidR="00E31465" w:rsidRPr="00660ABE" w:rsidRDefault="00E31465" w:rsidP="00116DD0"/>
    <w:p w14:paraId="4A4E7C05" w14:textId="77777777" w:rsidR="00116DD0" w:rsidRPr="00660ABE" w:rsidRDefault="00116DD0" w:rsidP="00C243E0">
      <w:pPr>
        <w:spacing w:line="276" w:lineRule="auto"/>
      </w:pPr>
      <w:r>
        <w:t>Priekšrocības: Labākais no iespējamajiem variantiem.</w:t>
      </w:r>
    </w:p>
    <w:p w14:paraId="78D3DA23" w14:textId="6AD522A9" w:rsidR="00116DD0" w:rsidRPr="00660ABE" w:rsidRDefault="00116DD0" w:rsidP="00C243E0">
      <w:pPr>
        <w:spacing w:line="276" w:lineRule="auto"/>
      </w:pPr>
      <w:r>
        <w:t>Trūkums:</w:t>
      </w:r>
      <w:r w:rsidR="002B0E27">
        <w:t xml:space="preserve"> </w:t>
      </w:r>
      <w:r>
        <w:t xml:space="preserve">Papildus izmaksas valsts pusē. </w:t>
      </w:r>
    </w:p>
    <w:p w14:paraId="6B4E21BB" w14:textId="142ABF88" w:rsidR="7842FC33" w:rsidRDefault="7842FC33" w:rsidP="7842FC33"/>
    <w:p w14:paraId="1166C378" w14:textId="173B701D" w:rsidR="00116DD0" w:rsidRDefault="00116DD0" w:rsidP="00C243E0">
      <w:pPr>
        <w:spacing w:line="276" w:lineRule="auto"/>
      </w:pPr>
      <w:r>
        <w:t xml:space="preserve">4A. Lai mazinātu izmaksas valsts pusē kopiju glabāšanai, var saglabāt nevis visu dokumentu kopijas, bet tikai daļu datu. Kā minimums ir jāsaglabā transakcijas fakts, sūtītāja un saņēmēja dati, dokumenta identifikators un dokumenta </w:t>
      </w:r>
      <w:proofErr w:type="spellStart"/>
      <w:r w:rsidR="003E19F6" w:rsidRPr="003E19F6">
        <w:t>Hash</w:t>
      </w:r>
      <w:proofErr w:type="spellEnd"/>
      <w:r w:rsidR="003E19F6" w:rsidRPr="003E19F6">
        <w:t xml:space="preserve"> SHA kontrolsumma (aprakstu skat. 1.4.</w:t>
      </w:r>
      <w:r w:rsidR="00D3683C">
        <w:t> </w:t>
      </w:r>
      <w:r w:rsidR="003E19F6" w:rsidRPr="003E19F6">
        <w:t>sadaļā)</w:t>
      </w:r>
      <w:r>
        <w:t xml:space="preserve"> vērtība. Papildus var tikt saglabāta informācija par:</w:t>
      </w:r>
    </w:p>
    <w:p w14:paraId="30C65ABF" w14:textId="77777777" w:rsidR="009A7CE9" w:rsidRPr="00AB202F" w:rsidRDefault="009A7CE9" w:rsidP="00C243E0">
      <w:pPr>
        <w:numPr>
          <w:ilvl w:val="0"/>
          <w:numId w:val="29"/>
        </w:numPr>
        <w:spacing w:after="0" w:line="276" w:lineRule="auto"/>
        <w:jc w:val="left"/>
        <w:textAlignment w:val="center"/>
      </w:pPr>
      <w:r w:rsidRPr="00AB202F">
        <w:t>Datums;</w:t>
      </w:r>
    </w:p>
    <w:p w14:paraId="44942408" w14:textId="77777777" w:rsidR="009A7CE9" w:rsidRPr="00AB202F" w:rsidRDefault="009A7CE9" w:rsidP="00C243E0">
      <w:pPr>
        <w:numPr>
          <w:ilvl w:val="0"/>
          <w:numId w:val="29"/>
        </w:numPr>
        <w:spacing w:after="0" w:line="276" w:lineRule="auto"/>
        <w:jc w:val="left"/>
        <w:textAlignment w:val="center"/>
      </w:pPr>
      <w:r w:rsidRPr="00AB202F">
        <w:t>Laiks;</w:t>
      </w:r>
    </w:p>
    <w:p w14:paraId="02372E29" w14:textId="77777777" w:rsidR="009A7CE9" w:rsidRPr="00AB202F" w:rsidRDefault="009A7CE9" w:rsidP="00C243E0">
      <w:pPr>
        <w:numPr>
          <w:ilvl w:val="0"/>
          <w:numId w:val="29"/>
        </w:numPr>
        <w:spacing w:after="0" w:line="276" w:lineRule="auto"/>
        <w:jc w:val="left"/>
        <w:textAlignment w:val="center"/>
      </w:pPr>
      <w:r w:rsidRPr="00AB202F">
        <w:t>Rēķina Nr.;</w:t>
      </w:r>
    </w:p>
    <w:p w14:paraId="19F299E9" w14:textId="77777777" w:rsidR="009A7CE9" w:rsidRPr="00AB202F" w:rsidRDefault="009A7CE9" w:rsidP="00C243E0">
      <w:pPr>
        <w:numPr>
          <w:ilvl w:val="0"/>
          <w:numId w:val="29"/>
        </w:numPr>
        <w:spacing w:after="0" w:line="276" w:lineRule="auto"/>
        <w:jc w:val="left"/>
        <w:textAlignment w:val="center"/>
      </w:pPr>
      <w:r w:rsidRPr="00AB202F">
        <w:t>Izsniedzējs (NMR kods);</w:t>
      </w:r>
    </w:p>
    <w:p w14:paraId="0B075046" w14:textId="77777777" w:rsidR="009A7CE9" w:rsidRPr="00AB202F" w:rsidRDefault="009A7CE9" w:rsidP="00C243E0">
      <w:pPr>
        <w:numPr>
          <w:ilvl w:val="0"/>
          <w:numId w:val="29"/>
        </w:numPr>
        <w:spacing w:after="0" w:line="276" w:lineRule="auto"/>
        <w:jc w:val="left"/>
        <w:textAlignment w:val="center"/>
      </w:pPr>
      <w:r w:rsidRPr="00AB202F">
        <w:t>Saņēmējs (NMR kods);</w:t>
      </w:r>
    </w:p>
    <w:p w14:paraId="329F42A1" w14:textId="77777777" w:rsidR="009A7CE9" w:rsidRPr="00AB202F" w:rsidRDefault="009A7CE9" w:rsidP="00C243E0">
      <w:pPr>
        <w:numPr>
          <w:ilvl w:val="0"/>
          <w:numId w:val="29"/>
        </w:numPr>
        <w:spacing w:after="0" w:line="276" w:lineRule="auto"/>
        <w:jc w:val="left"/>
        <w:textAlignment w:val="center"/>
      </w:pPr>
      <w:r w:rsidRPr="00AB202F">
        <w:t>Prece/pakalpojums;</w:t>
      </w:r>
    </w:p>
    <w:p w14:paraId="22CBF2FB" w14:textId="77777777" w:rsidR="009A7CE9" w:rsidRPr="00AB202F" w:rsidRDefault="009A7CE9" w:rsidP="00C243E0">
      <w:pPr>
        <w:numPr>
          <w:ilvl w:val="0"/>
          <w:numId w:val="29"/>
        </w:numPr>
        <w:spacing w:after="0" w:line="276" w:lineRule="auto"/>
        <w:jc w:val="left"/>
        <w:textAlignment w:val="center"/>
      </w:pPr>
      <w:r w:rsidRPr="00AB202F">
        <w:t>Darījuma summa;</w:t>
      </w:r>
    </w:p>
    <w:p w14:paraId="05354E85" w14:textId="77777777" w:rsidR="009A7CE9" w:rsidRPr="00AB202F" w:rsidRDefault="009A7CE9" w:rsidP="00C243E0">
      <w:pPr>
        <w:numPr>
          <w:ilvl w:val="0"/>
          <w:numId w:val="29"/>
        </w:numPr>
        <w:spacing w:after="0" w:line="276" w:lineRule="auto"/>
        <w:jc w:val="left"/>
        <w:textAlignment w:val="center"/>
      </w:pPr>
      <w:r w:rsidRPr="00AB202F">
        <w:t>Valūta;</w:t>
      </w:r>
    </w:p>
    <w:p w14:paraId="6911F4CB" w14:textId="77777777" w:rsidR="009A7CE9" w:rsidRPr="00AB202F" w:rsidRDefault="009A7CE9" w:rsidP="00C243E0">
      <w:pPr>
        <w:numPr>
          <w:ilvl w:val="0"/>
          <w:numId w:val="29"/>
        </w:numPr>
        <w:spacing w:after="0" w:line="276" w:lineRule="auto"/>
        <w:jc w:val="left"/>
        <w:textAlignment w:val="center"/>
      </w:pPr>
      <w:r w:rsidRPr="00AB202F">
        <w:t>PVN likme;</w:t>
      </w:r>
    </w:p>
    <w:p w14:paraId="70E8FD97" w14:textId="77777777" w:rsidR="009A7CE9" w:rsidRPr="00AB202F" w:rsidRDefault="009A7CE9" w:rsidP="00C243E0">
      <w:pPr>
        <w:numPr>
          <w:ilvl w:val="0"/>
          <w:numId w:val="29"/>
        </w:numPr>
        <w:spacing w:after="0" w:line="276" w:lineRule="auto"/>
        <w:jc w:val="left"/>
        <w:textAlignment w:val="center"/>
      </w:pPr>
      <w:r w:rsidRPr="00AB202F">
        <w:t>PVN summa;</w:t>
      </w:r>
    </w:p>
    <w:p w14:paraId="35556EA3" w14:textId="77777777" w:rsidR="009A7CE9" w:rsidRPr="00AB202F" w:rsidRDefault="009A7CE9" w:rsidP="00C243E0">
      <w:pPr>
        <w:numPr>
          <w:ilvl w:val="0"/>
          <w:numId w:val="29"/>
        </w:numPr>
        <w:spacing w:after="0" w:line="276" w:lineRule="auto"/>
        <w:jc w:val="left"/>
        <w:textAlignment w:val="center"/>
      </w:pPr>
      <w:r w:rsidRPr="00AB202F">
        <w:t>Īpašie režīmi;</w:t>
      </w:r>
    </w:p>
    <w:p w14:paraId="29822288" w14:textId="77777777" w:rsidR="009A7CE9" w:rsidRPr="00AB202F" w:rsidRDefault="009A7CE9" w:rsidP="00C243E0">
      <w:pPr>
        <w:numPr>
          <w:ilvl w:val="0"/>
          <w:numId w:val="29"/>
        </w:numPr>
        <w:spacing w:after="0" w:line="276" w:lineRule="auto"/>
        <w:jc w:val="left"/>
        <w:textAlignment w:val="center"/>
      </w:pPr>
      <w:r w:rsidRPr="00AB202F">
        <w:t>Rēķina veids;</w:t>
      </w:r>
    </w:p>
    <w:p w14:paraId="0073818B" w14:textId="77777777" w:rsidR="009A7CE9" w:rsidRPr="00AB202F" w:rsidRDefault="009A7CE9" w:rsidP="00C243E0">
      <w:pPr>
        <w:numPr>
          <w:ilvl w:val="0"/>
          <w:numId w:val="29"/>
        </w:numPr>
        <w:spacing w:after="0" w:line="276" w:lineRule="auto"/>
        <w:jc w:val="left"/>
        <w:textAlignment w:val="center"/>
      </w:pPr>
      <w:r>
        <w:t>Izsniedzēja bankas konta Nr.;</w:t>
      </w:r>
    </w:p>
    <w:p w14:paraId="6A3D6592" w14:textId="36874D47" w:rsidR="009A7CE9" w:rsidRDefault="009A7CE9" w:rsidP="00C243E0">
      <w:pPr>
        <w:numPr>
          <w:ilvl w:val="0"/>
          <w:numId w:val="29"/>
        </w:numPr>
        <w:spacing w:after="0" w:line="276" w:lineRule="auto"/>
        <w:jc w:val="left"/>
        <w:textAlignment w:val="center"/>
      </w:pPr>
      <w:proofErr w:type="spellStart"/>
      <w:r w:rsidRPr="00AB202F">
        <w:t>Hash</w:t>
      </w:r>
      <w:proofErr w:type="spellEnd"/>
      <w:r w:rsidRPr="00AB202F">
        <w:t xml:space="preserve"> kontrolsummu;</w:t>
      </w:r>
    </w:p>
    <w:p w14:paraId="46617634" w14:textId="1B459D30" w:rsidR="00303AB4" w:rsidRDefault="00303AB4" w:rsidP="00303AB4">
      <w:pPr>
        <w:numPr>
          <w:ilvl w:val="0"/>
          <w:numId w:val="29"/>
        </w:numPr>
        <w:spacing w:after="0" w:line="276" w:lineRule="auto"/>
        <w:jc w:val="left"/>
        <w:textAlignment w:val="center"/>
      </w:pPr>
      <w:r>
        <w:t>Atsauce uz citiem dokumentiem (CMR, pavadzīme, u.c.);</w:t>
      </w:r>
    </w:p>
    <w:p w14:paraId="7FAC72F5" w14:textId="71BAD4D4" w:rsidR="00303AB4" w:rsidRPr="00AB202F" w:rsidRDefault="00303AB4" w:rsidP="00303AB4">
      <w:pPr>
        <w:numPr>
          <w:ilvl w:val="0"/>
          <w:numId w:val="29"/>
        </w:numPr>
        <w:spacing w:after="0" w:line="276" w:lineRule="auto"/>
        <w:jc w:val="left"/>
        <w:textAlignment w:val="center"/>
      </w:pPr>
      <w:r>
        <w:t>E-rēķina operatora ID.</w:t>
      </w:r>
    </w:p>
    <w:p w14:paraId="5BF7519E" w14:textId="77777777" w:rsidR="00116DD0" w:rsidRPr="00660ABE" w:rsidRDefault="00116DD0" w:rsidP="00C243E0">
      <w:pPr>
        <w:spacing w:line="276" w:lineRule="auto"/>
      </w:pPr>
    </w:p>
    <w:p w14:paraId="3A030D1D" w14:textId="0A26D03B" w:rsidR="00116DD0" w:rsidRPr="00660ABE" w:rsidRDefault="00F65DFC" w:rsidP="00F65DFC">
      <w:pPr>
        <w:spacing w:line="276" w:lineRule="auto"/>
      </w:pPr>
      <w:r>
        <w:lastRenderedPageBreak/>
        <w:t xml:space="preserve">5. </w:t>
      </w:r>
      <w:r w:rsidR="00116DD0">
        <w:t xml:space="preserve">Kā viens no variantiem izskatāmā iespēja visiem pakalpojumu sniedzējiem izveidot savā starpā </w:t>
      </w:r>
      <w:proofErr w:type="spellStart"/>
      <w:r w:rsidR="00116DD0">
        <w:t>blokķēdes</w:t>
      </w:r>
      <w:proofErr w:type="spellEnd"/>
      <w:r w:rsidR="00116DD0">
        <w:t xml:space="preserve"> risinājumu, kur tiek saglabātas transakcijas, sūtītāja un saņēmēja dati, dokumentu identifikatori un dokumentu </w:t>
      </w:r>
      <w:proofErr w:type="spellStart"/>
      <w:r w:rsidR="00116DD0">
        <w:t>hash</w:t>
      </w:r>
      <w:proofErr w:type="spellEnd"/>
      <w:r w:rsidR="00116DD0">
        <w:t xml:space="preserve"> vērtības. Šādā veidā tiks nodrošināta kolektīva </w:t>
      </w:r>
      <w:proofErr w:type="spellStart"/>
      <w:r w:rsidR="00116DD0">
        <w:t>notarizācija</w:t>
      </w:r>
      <w:proofErr w:type="spellEnd"/>
      <w:r w:rsidR="00116DD0">
        <w:t xml:space="preserve"> bez vienota centrālā mezgla vai kopiju vietas.</w:t>
      </w:r>
    </w:p>
    <w:p w14:paraId="1A1FA5BE" w14:textId="310B9DCB" w:rsidR="00302722" w:rsidRDefault="00B32713" w:rsidP="00B32713">
      <w:pPr>
        <w:jc w:val="right"/>
      </w:pPr>
      <w:r>
        <w:rPr>
          <w:i/>
          <w:iCs/>
        </w:rPr>
        <w:t>6</w:t>
      </w:r>
      <w:r w:rsidRPr="00B32713">
        <w:rPr>
          <w:i/>
          <w:iCs/>
        </w:rPr>
        <w:t>.</w:t>
      </w:r>
      <w:r w:rsidR="00D13DC3">
        <w:rPr>
          <w:i/>
          <w:iCs/>
        </w:rPr>
        <w:t> </w:t>
      </w:r>
      <w:r w:rsidRPr="00B32713">
        <w:rPr>
          <w:i/>
          <w:iCs/>
        </w:rPr>
        <w:t>attēls</w:t>
      </w:r>
    </w:p>
    <w:p w14:paraId="523281AE" w14:textId="4854F9CA" w:rsidR="00302722" w:rsidRDefault="00302722" w:rsidP="00302722">
      <w:pPr>
        <w:jc w:val="center"/>
      </w:pPr>
      <w:r>
        <w:rPr>
          <w:noProof/>
          <w:lang w:eastAsia="lv-LV"/>
        </w:rPr>
        <w:drawing>
          <wp:inline distT="0" distB="0" distL="0" distR="0" wp14:anchorId="7EFF8FB9" wp14:editId="6BDE18D9">
            <wp:extent cx="3498850" cy="2380869"/>
            <wp:effectExtent l="0" t="0" r="6350" b="63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44139" cy="2411687"/>
                    </a:xfrm>
                    <a:prstGeom prst="rect">
                      <a:avLst/>
                    </a:prstGeom>
                    <a:noFill/>
                    <a:ln>
                      <a:noFill/>
                    </a:ln>
                  </pic:spPr>
                </pic:pic>
              </a:graphicData>
            </a:graphic>
          </wp:inline>
        </w:drawing>
      </w:r>
    </w:p>
    <w:p w14:paraId="0E8DF627" w14:textId="3023237F" w:rsidR="00116DD0" w:rsidRDefault="00116DD0" w:rsidP="00C243E0">
      <w:pPr>
        <w:spacing w:line="276" w:lineRule="auto"/>
      </w:pPr>
      <w:r>
        <w:t xml:space="preserve">Priekšrocības: </w:t>
      </w:r>
    </w:p>
    <w:p w14:paraId="46AD9D6E" w14:textId="21993B8B" w:rsidR="00116DD0" w:rsidRDefault="00116DD0" w:rsidP="00C243E0">
      <w:pPr>
        <w:spacing w:line="276" w:lineRule="auto"/>
      </w:pPr>
      <w:proofErr w:type="spellStart"/>
      <w:r>
        <w:t>Notarizācijas</w:t>
      </w:r>
      <w:proofErr w:type="spellEnd"/>
      <w:r>
        <w:t xml:space="preserve"> bez valsts pārvaldes iesaistes.</w:t>
      </w:r>
    </w:p>
    <w:p w14:paraId="0D7D5810" w14:textId="77777777" w:rsidR="00116DD0" w:rsidRPr="00660ABE" w:rsidRDefault="00116DD0" w:rsidP="00C243E0">
      <w:pPr>
        <w:spacing w:line="276" w:lineRule="auto"/>
      </w:pPr>
    </w:p>
    <w:p w14:paraId="1CA812CA" w14:textId="77777777" w:rsidR="00116DD0" w:rsidRPr="00660ABE" w:rsidRDefault="00116DD0" w:rsidP="00C243E0">
      <w:pPr>
        <w:spacing w:line="276" w:lineRule="auto"/>
      </w:pPr>
      <w:r>
        <w:t>Trūkumi:</w:t>
      </w:r>
    </w:p>
    <w:p w14:paraId="716ED653" w14:textId="183D7F81" w:rsidR="002A23AC" w:rsidRDefault="00116DD0" w:rsidP="00C243E0">
      <w:pPr>
        <w:spacing w:line="276" w:lineRule="auto"/>
      </w:pPr>
      <w:r>
        <w:t xml:space="preserve">1) Joprojām pastāvēs problēma, ja negaidīti darbu pārtrauks </w:t>
      </w:r>
      <w:r w:rsidR="002B0E27">
        <w:t>kāds no pakalpojumu sniedzējiem;</w:t>
      </w:r>
    </w:p>
    <w:p w14:paraId="604407C9" w14:textId="6D35222E" w:rsidR="00116DD0" w:rsidRPr="00660ABE" w:rsidRDefault="002A23AC" w:rsidP="00C243E0">
      <w:pPr>
        <w:spacing w:line="276" w:lineRule="auto"/>
      </w:pPr>
      <w:r>
        <w:t xml:space="preserve">2) </w:t>
      </w:r>
      <w:r w:rsidR="00116DD0">
        <w:t>Jau esošajiem risinājumiem būs nepiecieša</w:t>
      </w:r>
      <w:r w:rsidR="002B0E27">
        <w:t xml:space="preserve">ms izveidot </w:t>
      </w:r>
      <w:proofErr w:type="spellStart"/>
      <w:r w:rsidR="002B0E27">
        <w:t>notarizācijas</w:t>
      </w:r>
      <w:proofErr w:type="spellEnd"/>
      <w:r w:rsidR="002B0E27">
        <w:t xml:space="preserve"> slāni.</w:t>
      </w:r>
    </w:p>
    <w:p w14:paraId="6B95AA7F" w14:textId="557A325A" w:rsidR="0006376E" w:rsidRDefault="0006376E" w:rsidP="00C243E0">
      <w:pPr>
        <w:spacing w:line="276" w:lineRule="auto"/>
        <w:rPr>
          <w:b/>
        </w:rPr>
      </w:pPr>
    </w:p>
    <w:p w14:paraId="536D1220" w14:textId="4CABA293" w:rsidR="0006376E" w:rsidRPr="0006376E" w:rsidRDefault="0006376E" w:rsidP="00C243E0">
      <w:pPr>
        <w:spacing w:line="276" w:lineRule="auto"/>
        <w:ind w:firstLine="720"/>
      </w:pPr>
      <w:r>
        <w:t>Realizējot e-rēķinu tehnisko risinājumu</w:t>
      </w:r>
      <w:r w:rsidR="00694253">
        <w:t>,</w:t>
      </w:r>
      <w:r>
        <w:t xml:space="preserve"> nepieciešams ņemt vērā esošo e-rēķinu klasifikāciju pēc to pielietojuma. Kopumā pastāv trīs e-rēķinu veidi: </w:t>
      </w:r>
      <w:bookmarkStart w:id="13" w:name="_Hlk58234086"/>
      <w:r>
        <w:t>B2G (</w:t>
      </w:r>
      <w:proofErr w:type="spellStart"/>
      <w:r w:rsidRPr="7842FC33">
        <w:rPr>
          <w:i/>
          <w:iCs/>
        </w:rPr>
        <w:t>Business</w:t>
      </w:r>
      <w:proofErr w:type="spellEnd"/>
      <w:r w:rsidRPr="7842FC33">
        <w:rPr>
          <w:i/>
          <w:iCs/>
        </w:rPr>
        <w:t xml:space="preserve"> to </w:t>
      </w:r>
      <w:proofErr w:type="spellStart"/>
      <w:r w:rsidRPr="7842FC33">
        <w:rPr>
          <w:i/>
          <w:iCs/>
        </w:rPr>
        <w:t>Government</w:t>
      </w:r>
      <w:proofErr w:type="spellEnd"/>
      <w:r>
        <w:t>)</w:t>
      </w:r>
      <w:bookmarkEnd w:id="13"/>
      <w:r>
        <w:t>, B2B (</w:t>
      </w:r>
      <w:proofErr w:type="spellStart"/>
      <w:r w:rsidRPr="7842FC33">
        <w:rPr>
          <w:i/>
          <w:iCs/>
        </w:rPr>
        <w:t>Business</w:t>
      </w:r>
      <w:proofErr w:type="spellEnd"/>
      <w:r w:rsidRPr="7842FC33">
        <w:rPr>
          <w:i/>
          <w:iCs/>
        </w:rPr>
        <w:t xml:space="preserve"> to </w:t>
      </w:r>
      <w:proofErr w:type="spellStart"/>
      <w:r w:rsidRPr="7842FC33">
        <w:rPr>
          <w:i/>
          <w:iCs/>
        </w:rPr>
        <w:t>Business</w:t>
      </w:r>
      <w:proofErr w:type="spellEnd"/>
      <w:r>
        <w:t>) un B2C (</w:t>
      </w:r>
      <w:proofErr w:type="spellStart"/>
      <w:r w:rsidRPr="7842FC33">
        <w:rPr>
          <w:i/>
          <w:iCs/>
        </w:rPr>
        <w:t>Business</w:t>
      </w:r>
      <w:proofErr w:type="spellEnd"/>
      <w:r w:rsidRPr="7842FC33">
        <w:rPr>
          <w:i/>
          <w:iCs/>
        </w:rPr>
        <w:t xml:space="preserve"> to </w:t>
      </w:r>
      <w:proofErr w:type="spellStart"/>
      <w:r w:rsidRPr="7842FC33">
        <w:rPr>
          <w:i/>
          <w:iCs/>
        </w:rPr>
        <w:t>Consumer</w:t>
      </w:r>
      <w:proofErr w:type="spellEnd"/>
      <w:r>
        <w:t>). Pašlaik M</w:t>
      </w:r>
      <w:r w:rsidR="03D2FB16">
        <w:t>inistru kabineta</w:t>
      </w:r>
      <w:r w:rsidR="00563AF4">
        <w:t xml:space="preserve"> </w:t>
      </w:r>
      <w:r w:rsidR="00563AF4" w:rsidRPr="00563AF4">
        <w:t>2019.</w:t>
      </w:r>
      <w:r w:rsidR="00563AF4">
        <w:t> gada 9. aprīļa</w:t>
      </w:r>
      <w:r w:rsidR="03D2FB16">
        <w:t xml:space="preserve"> </w:t>
      </w:r>
      <w:r>
        <w:t>noteikumi Nr.</w:t>
      </w:r>
      <w:r w:rsidR="00D0533F">
        <w:t> </w:t>
      </w:r>
      <w:r>
        <w:t xml:space="preserve">154 </w:t>
      </w:r>
      <w:r w:rsidRPr="002B0E27">
        <w:t>“</w:t>
      </w:r>
      <w:r w:rsidRPr="002B0E27">
        <w:rPr>
          <w:iCs/>
        </w:rPr>
        <w:t>Piemērojamais elektroniskā rēķina standarts un tā pamatelementu izmantošanas specifikācija un aprites kārtība</w:t>
      </w:r>
      <w:r w:rsidRPr="002B0E27">
        <w:t>”</w:t>
      </w:r>
      <w:r>
        <w:t xml:space="preserve"> nosaka e-rēķinu aprites kārtību publiskajos iepirkumos un uz e-adreses bāzes izstrādātais risinājums nodrošina B2G rēķinu apriti. </w:t>
      </w:r>
    </w:p>
    <w:p w14:paraId="1A5D4ABE" w14:textId="05DF3EA3" w:rsidR="0006376E" w:rsidRDefault="0006376E" w:rsidP="00C243E0">
      <w:pPr>
        <w:spacing w:line="276" w:lineRule="auto"/>
        <w:ind w:firstLine="720"/>
      </w:pPr>
      <w:r>
        <w:t xml:space="preserve">B2B un B2C rēķinu aprites ieviešanā (tāpat kā B2G) būtu izmantojams </w:t>
      </w:r>
      <w:bookmarkStart w:id="14" w:name="_Hlk58313280"/>
      <w:r>
        <w:t xml:space="preserve">PEPPOL BIS </w:t>
      </w:r>
      <w:proofErr w:type="spellStart"/>
      <w:r>
        <w:t>Billing</w:t>
      </w:r>
      <w:proofErr w:type="spellEnd"/>
      <w:r>
        <w:t xml:space="preserve"> 3.0 elektronisko rēķinu standarts</w:t>
      </w:r>
      <w:bookmarkEnd w:id="14"/>
      <w:r>
        <w:t>, saskaņā ar kuru tiek sagatavoti visi elektroniskie rēķini. Apmaiņai ar e-</w:t>
      </w:r>
      <w:r w:rsidR="701353F9">
        <w:t>r</w:t>
      </w:r>
      <w:r>
        <w:t>ēķinu informāciju būtu izmantojams “četru stūru” modelis, kurā rēķinu ziņojumu sūtītājus un saņēmējus atbalsta divi pakalpojumu sniedzēji, viens sūtītājam un otrs saņēmējam.</w:t>
      </w:r>
      <w:r w:rsidR="00553C7D" w:rsidRPr="00553C7D">
        <w:t xml:space="preserve"> Pakalpojumu sniedzējiem obligāti jānodrošina PEPPOL tīkla piekļuves punkta pakalpojumus. </w:t>
      </w:r>
      <w:r>
        <w:t xml:space="preserve">Kā alternatīvs e-rēķinu aprites ieviešanas modelis tika izskatīts “trīs stūru” modelis, kas paredz vienu centralizētu, valsts nodrošinātu e-rēķinu apmaiņas vietu. Augsto ieviešanas un uzturēšanas izmaksu dēļ šis modelis tālākajā izpētē un plānošanā netika pielietots, tā vietā tika izmantots “četru stūru” modelis. Galvenie “četru stūru” modeļa ieguvumi ir </w:t>
      </w:r>
      <w:r>
        <w:lastRenderedPageBreak/>
        <w:t xml:space="preserve">gan sūtītāja, gan saņēmēja brīvība izvēlēties sev vēlamo pakalpojumu sniedzēju, pakalpojumu sniedzēju pusē jau esoša </w:t>
      </w:r>
      <w:r w:rsidR="00E44761" w:rsidRPr="00E44761">
        <w:t>Informāc</w:t>
      </w:r>
      <w:r w:rsidR="00E44761">
        <w:t>ijas un komunikāciju tehnoloģiju</w:t>
      </w:r>
      <w:r>
        <w:t xml:space="preserve"> infrastruktūra un risinājumi e-rēķinu apmaiņai, salīdzinoši nelieli resursu ieguldījumi valsts pusē un pakalpojumu sniedzēju spēja ātri pielāgoties likumdošanas, </w:t>
      </w:r>
      <w:r w:rsidR="00B32713">
        <w:t>tirgus un tehnoloģiju izmaiņām.</w:t>
      </w:r>
    </w:p>
    <w:p w14:paraId="50AE85BB" w14:textId="24E05EAC" w:rsidR="00B32713" w:rsidRPr="0006376E" w:rsidRDefault="00B32713" w:rsidP="00B32713">
      <w:pPr>
        <w:spacing w:line="276" w:lineRule="auto"/>
        <w:ind w:firstLine="720"/>
        <w:jc w:val="right"/>
      </w:pPr>
      <w:r>
        <w:rPr>
          <w:i/>
          <w:iCs/>
        </w:rPr>
        <w:t>7</w:t>
      </w:r>
      <w:r w:rsidRPr="00B32713">
        <w:rPr>
          <w:i/>
          <w:iCs/>
        </w:rPr>
        <w:t>.</w:t>
      </w:r>
      <w:r w:rsidR="00D13DC3">
        <w:rPr>
          <w:i/>
          <w:iCs/>
        </w:rPr>
        <w:t> </w:t>
      </w:r>
      <w:r w:rsidRPr="00B32713">
        <w:rPr>
          <w:i/>
          <w:iCs/>
        </w:rPr>
        <w:t>attēls</w:t>
      </w:r>
    </w:p>
    <w:p w14:paraId="0AAB2ABC" w14:textId="5060C8FE" w:rsidR="0006376E" w:rsidRPr="0006376E" w:rsidRDefault="754B37B8" w:rsidP="00C72CFF">
      <w:pPr>
        <w:jc w:val="center"/>
      </w:pPr>
      <w:r>
        <w:rPr>
          <w:noProof/>
          <w:lang w:eastAsia="lv-LV"/>
        </w:rPr>
        <w:drawing>
          <wp:inline distT="0" distB="0" distL="0" distR="0" wp14:anchorId="4C1745D4" wp14:editId="20C92610">
            <wp:extent cx="2917311" cy="22415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2954628" cy="2270223"/>
                    </a:xfrm>
                    <a:prstGeom prst="rect">
                      <a:avLst/>
                    </a:prstGeom>
                  </pic:spPr>
                </pic:pic>
              </a:graphicData>
            </a:graphic>
          </wp:inline>
        </w:drawing>
      </w:r>
    </w:p>
    <w:p w14:paraId="3A52E4EC" w14:textId="39F0CE9B" w:rsidR="002C48D4" w:rsidRDefault="0006376E" w:rsidP="00F416CD">
      <w:pPr>
        <w:spacing w:line="276" w:lineRule="auto"/>
        <w:ind w:firstLine="720"/>
      </w:pPr>
      <w:r w:rsidRPr="00F416CD">
        <w:t xml:space="preserve">Ņemot vērā, ka B2B e-rēķinos iekļautie dati ir nepieciešami valsts pārvaldes iestādēm savu funkciju veikšanai un procesu uzlabošanai, nepieciešams ieviest pakalpojumu sniedzēju </w:t>
      </w:r>
      <w:r w:rsidR="0028396E">
        <w:t>reģistrācijas</w:t>
      </w:r>
      <w:r w:rsidR="0028396E" w:rsidRPr="00F416CD">
        <w:t xml:space="preserve"> </w:t>
      </w:r>
      <w:r w:rsidRPr="00F416CD">
        <w:t xml:space="preserve">mehānismu un normatīvajos aktos noteikt, ka e-rēķinu aprites pakalpojumu sniedzējiem jābūt </w:t>
      </w:r>
      <w:r w:rsidR="0028396E">
        <w:t>reģistrētiem</w:t>
      </w:r>
      <w:r w:rsidR="0028396E" w:rsidRPr="00F416CD">
        <w:t xml:space="preserve"> </w:t>
      </w:r>
      <w:r w:rsidRPr="00F416CD">
        <w:t xml:space="preserve">sniegt pakalpojumus Latvijas nodokļu maksātājiem. </w:t>
      </w:r>
      <w:r w:rsidR="0028396E">
        <w:t>Reģistrācijas</w:t>
      </w:r>
      <w:r w:rsidR="0028396E" w:rsidRPr="00F416CD">
        <w:t xml:space="preserve"> </w:t>
      </w:r>
      <w:r w:rsidRPr="00F416CD">
        <w:t>mehānisms nodrošinātu pakalpojumu sniedzēju atbildību par sniegtajiem pakalpojumiem, to kvalitāti un datu tālāku nodošanu valsts iestādēm.</w:t>
      </w:r>
      <w:r w:rsidR="006A06DB">
        <w:t xml:space="preserve"> </w:t>
      </w:r>
      <w:r w:rsidR="005402C4" w:rsidRPr="005402C4">
        <w:t>Pakalpojumu sniedzēju reģistrāciju veiks</w:t>
      </w:r>
      <w:r w:rsidR="00356B4F">
        <w:t xml:space="preserve"> </w:t>
      </w:r>
      <w:r w:rsidR="00356B4F" w:rsidRPr="00356B4F">
        <w:t>kāda no valsts pārvaldes iestādēm (turpmāk – Reģistrējošā iestāde).</w:t>
      </w:r>
      <w:r w:rsidR="005402C4" w:rsidRPr="005402C4">
        <w:t xml:space="preserve"> </w:t>
      </w:r>
      <w:r w:rsidR="006A06DB">
        <w:t>Normatīvajos aktos</w:t>
      </w:r>
      <w:r w:rsidR="004E4763">
        <w:t>,</w:t>
      </w:r>
      <w:r w:rsidR="006A06DB">
        <w:t xml:space="preserve"> </w:t>
      </w:r>
      <w:r w:rsidR="004E4763">
        <w:t xml:space="preserve">pakalpojumu sniedzējiem </w:t>
      </w:r>
      <w:r w:rsidR="006A06DB">
        <w:t xml:space="preserve">nepieciešams noteikt </w:t>
      </w:r>
      <w:r w:rsidR="005402C4">
        <w:t xml:space="preserve">zemāk minētās </w:t>
      </w:r>
      <w:r w:rsidR="006A06DB">
        <w:t xml:space="preserve">prasības </w:t>
      </w:r>
      <w:r w:rsidR="005402C4">
        <w:t xml:space="preserve">reģistrācijas </w:t>
      </w:r>
      <w:r w:rsidR="006A06DB">
        <w:t>saņemšanai</w:t>
      </w:r>
      <w:r w:rsidR="005402C4">
        <w:t xml:space="preserve">. </w:t>
      </w:r>
      <w:r w:rsidR="005402C4" w:rsidRPr="005402C4">
        <w:t>Reģistrācijas process, pēc reģistrācijas pieteikuma saņemšanas, veicams secīgi divos posmos</w:t>
      </w:r>
      <w:r w:rsidR="005402C4">
        <w:t>:</w:t>
      </w:r>
    </w:p>
    <w:p w14:paraId="1ECCE452" w14:textId="3B227789" w:rsidR="005402C4" w:rsidRPr="005402C4" w:rsidRDefault="005402C4" w:rsidP="005402C4">
      <w:pPr>
        <w:pStyle w:val="ListParagraph"/>
        <w:numPr>
          <w:ilvl w:val="0"/>
          <w:numId w:val="37"/>
        </w:numPr>
        <w:spacing w:line="276" w:lineRule="auto"/>
      </w:pPr>
      <w:r>
        <w:t xml:space="preserve"> </w:t>
      </w:r>
      <w:r w:rsidRPr="005402C4">
        <w:t>Posms.</w:t>
      </w:r>
      <w:r w:rsidR="00356B4F" w:rsidRPr="00356B4F">
        <w:t xml:space="preserve"> Reģistrējošā iestāde</w:t>
      </w:r>
      <w:r>
        <w:t xml:space="preserve"> </w:t>
      </w:r>
      <w:r w:rsidRPr="005402C4">
        <w:t>pārbauda vai pakalpojuma sniedzējs atbilst šādām prasībām:</w:t>
      </w:r>
    </w:p>
    <w:p w14:paraId="355FD7C9" w14:textId="77777777" w:rsidR="005402C4" w:rsidRDefault="005402C4" w:rsidP="005402C4">
      <w:pPr>
        <w:pStyle w:val="ListParagraph"/>
        <w:ind w:left="1440"/>
      </w:pPr>
      <w:r>
        <w:t xml:space="preserve">a. </w:t>
      </w:r>
      <w:r w:rsidRPr="005402C4">
        <w:t>Pakalpojumu sniedzējam ir reģistrēta komercdarbība Latvijas Republikā vai citā Eiropas Savienības dalībvalstī.</w:t>
      </w:r>
    </w:p>
    <w:p w14:paraId="38E60420" w14:textId="77777777" w:rsidR="005402C4" w:rsidRDefault="005402C4" w:rsidP="005402C4">
      <w:pPr>
        <w:pStyle w:val="ListParagraph"/>
        <w:ind w:left="1440"/>
      </w:pPr>
      <w:r>
        <w:t>b. Pakalpojuma sniedzējs ir sertificēts PEPPOL piekļuves punkts (</w:t>
      </w:r>
      <w:hyperlink r:id="rId19" w:history="1">
        <w:r w:rsidRPr="00B910E8">
          <w:rPr>
            <w:rStyle w:val="Hyperlink"/>
          </w:rPr>
          <w:t>https://peppol.eu/who-is-who/peppol-certified-aps/</w:t>
        </w:r>
      </w:hyperlink>
      <w:r>
        <w:t>)</w:t>
      </w:r>
    </w:p>
    <w:p w14:paraId="1238664F" w14:textId="41606A79" w:rsidR="005402C4" w:rsidRDefault="005402C4" w:rsidP="003C27D5">
      <w:pPr>
        <w:pStyle w:val="ListParagraph"/>
        <w:ind w:left="1440"/>
      </w:pPr>
      <w:r>
        <w:t xml:space="preserve">c. </w:t>
      </w:r>
      <w:r w:rsidRPr="005402C4">
        <w:t>Pakalpojumu sniedzējs e-rēķinu datu apstrādi un glabāšanu veic Eiropas Savienības teritorijā.</w:t>
      </w:r>
    </w:p>
    <w:p w14:paraId="40EB1F6B" w14:textId="337EB0D5" w:rsidR="007C4204" w:rsidRPr="007C4204" w:rsidRDefault="007C4204" w:rsidP="003C27D5">
      <w:pPr>
        <w:pStyle w:val="ListParagraph"/>
        <w:numPr>
          <w:ilvl w:val="0"/>
          <w:numId w:val="37"/>
        </w:numPr>
        <w:spacing w:line="276" w:lineRule="auto"/>
      </w:pPr>
      <w:r>
        <w:t xml:space="preserve"> Posms. </w:t>
      </w:r>
      <w:r w:rsidR="009D268E">
        <w:t xml:space="preserve">Pakalpojumu sniedzējs veic savu </w:t>
      </w:r>
      <w:r w:rsidR="00DC27F2">
        <w:t xml:space="preserve">informācijas </w:t>
      </w:r>
      <w:r w:rsidR="009D268E">
        <w:t xml:space="preserve">sistēmu integrāciju ar VRAA VISS, lai nodrošinātu datu sniegšanu </w:t>
      </w:r>
      <w:r w:rsidR="00DC27F2">
        <w:t>valsts pārvaldes iestādēm</w:t>
      </w:r>
      <w:r w:rsidR="009D268E">
        <w:t>.</w:t>
      </w:r>
    </w:p>
    <w:p w14:paraId="1A19D199" w14:textId="45164ABE" w:rsidR="007C4204" w:rsidRDefault="00356B4F" w:rsidP="007C4204">
      <w:pPr>
        <w:spacing w:line="276" w:lineRule="auto"/>
        <w:ind w:firstLine="720"/>
      </w:pPr>
      <w:r w:rsidRPr="00356B4F">
        <w:t xml:space="preserve">Reģistrējošā iestāde </w:t>
      </w:r>
      <w:r w:rsidR="007C4204" w:rsidRPr="007C4204">
        <w:t>informāciju par reģistrētajiem pakalpojumu sniedzējiem, saraksta veidā, publicēs savā tīmekļa vietnē.</w:t>
      </w:r>
    </w:p>
    <w:p w14:paraId="63932A2A" w14:textId="14666F28" w:rsidR="0006376E" w:rsidRDefault="0006376E" w:rsidP="00C243E0">
      <w:pPr>
        <w:spacing w:line="276" w:lineRule="auto"/>
        <w:ind w:firstLine="720"/>
      </w:pPr>
      <w:r>
        <w:t xml:space="preserve">Esošais B2G e-rēķinu aprites risinājums neizslēdz tālāku pakalpojumu sniedzēju iesaisti B2B un B2C e-rēķinu apritē un piedāvā papildus iespējas kā nogādāt </w:t>
      </w:r>
      <w:r>
        <w:lastRenderedPageBreak/>
        <w:t>e-rēķinus valsts pārvaldes iestādēm un saņemt e-rēķinus no tām</w:t>
      </w:r>
      <w:r w:rsidR="00B953D0">
        <w:t>.</w:t>
      </w:r>
      <w:r>
        <w:t xml:space="preserve"> </w:t>
      </w:r>
      <w:r w:rsidR="0075596A">
        <w:t xml:space="preserve">Esošais B2G risinājums būtu paplašināms, lai nodrošinātu iespēju mazajiem </w:t>
      </w:r>
      <w:r w:rsidR="00C61BE4">
        <w:t>un vidējiem komersantiem</w:t>
      </w:r>
      <w:r w:rsidR="00EE7906">
        <w:t>,</w:t>
      </w:r>
      <w:r w:rsidR="0075596A">
        <w:t xml:space="preserve"> </w:t>
      </w:r>
      <w:r w:rsidR="00EE7906">
        <w:t xml:space="preserve">bez maksas, Latvija.lv esošajā </w:t>
      </w:r>
      <w:proofErr w:type="spellStart"/>
      <w:r w:rsidR="00EE7906">
        <w:t>saskarnē</w:t>
      </w:r>
      <w:proofErr w:type="spellEnd"/>
      <w:r w:rsidR="00EE7906">
        <w:t xml:space="preserve"> </w:t>
      </w:r>
      <w:r w:rsidR="00C61BE4">
        <w:t xml:space="preserve">manuāli </w:t>
      </w:r>
      <w:r w:rsidR="00EE7906">
        <w:t>sagatavot un nosūtīt B2B e-rēķinus</w:t>
      </w:r>
      <w:r w:rsidR="00C61BE4">
        <w:t xml:space="preserve">, kā arī saņemt e-rēķinus e-adresē. </w:t>
      </w:r>
      <w:r w:rsidR="006F425F" w:rsidRPr="006F425F">
        <w:t xml:space="preserve">Papildus tiks nodrošināta iespēja e-adresē ielādēt e-rēķinus izmantojot </w:t>
      </w:r>
      <w:r w:rsidR="00945EEA">
        <w:rPr>
          <w:i/>
          <w:iCs/>
        </w:rPr>
        <w:t>”</w:t>
      </w:r>
      <w:proofErr w:type="spellStart"/>
      <w:r w:rsidR="00945EEA">
        <w:rPr>
          <w:i/>
          <w:iCs/>
        </w:rPr>
        <w:t>A</w:t>
      </w:r>
      <w:r w:rsidR="00D92322" w:rsidRPr="00D92322">
        <w:rPr>
          <w:i/>
          <w:iCs/>
        </w:rPr>
        <w:t>pplication</w:t>
      </w:r>
      <w:proofErr w:type="spellEnd"/>
      <w:r w:rsidR="00D92322" w:rsidRPr="00D92322">
        <w:rPr>
          <w:i/>
          <w:iCs/>
        </w:rPr>
        <w:t xml:space="preserve"> </w:t>
      </w:r>
      <w:proofErr w:type="spellStart"/>
      <w:r w:rsidR="00D92322" w:rsidRPr="00D92322">
        <w:rPr>
          <w:i/>
          <w:iCs/>
        </w:rPr>
        <w:t>Programming</w:t>
      </w:r>
      <w:proofErr w:type="spellEnd"/>
      <w:r w:rsidR="00D92322" w:rsidRPr="00D92322">
        <w:rPr>
          <w:i/>
          <w:iCs/>
        </w:rPr>
        <w:t xml:space="preserve"> Interface</w:t>
      </w:r>
      <w:r w:rsidR="00D92322">
        <w:rPr>
          <w:i/>
          <w:iCs/>
        </w:rPr>
        <w:t>”</w:t>
      </w:r>
      <w:r w:rsidR="00D92322" w:rsidRPr="00D92322">
        <w:t xml:space="preserve"> </w:t>
      </w:r>
      <w:r w:rsidR="00D92322">
        <w:t xml:space="preserve">(turpmāk – API) </w:t>
      </w:r>
      <w:proofErr w:type="spellStart"/>
      <w:r w:rsidR="006F425F" w:rsidRPr="006F425F">
        <w:t>saskarni</w:t>
      </w:r>
      <w:proofErr w:type="spellEnd"/>
      <w:r w:rsidR="006F425F" w:rsidRPr="006F425F">
        <w:t xml:space="preserve">. </w:t>
      </w:r>
      <w:r w:rsidR="00C61BE4">
        <w:t>Šāda pieeja neradītu finansiālo slogu uzņēmējiem, kuru izrakstāmo rēķinu skaits ir neliels.</w:t>
      </w:r>
    </w:p>
    <w:p w14:paraId="524153F1" w14:textId="5674E2DD" w:rsidR="00C14A43" w:rsidRDefault="00C14A43" w:rsidP="00C243E0">
      <w:pPr>
        <w:spacing w:line="276" w:lineRule="auto"/>
        <w:ind w:firstLine="720"/>
      </w:pPr>
      <w:bookmarkStart w:id="15" w:name="_Hlk63423093"/>
      <w:r>
        <w:t xml:space="preserve">Zemāk esošā shēma attēlo e-rēķinu apmaiņas procesu, kurā e-rēķina sagatavotājs un </w:t>
      </w:r>
      <w:r w:rsidR="00C07B41">
        <w:t>saņēmējs</w:t>
      </w:r>
      <w:r>
        <w:t xml:space="preserve"> izmanto pakalpojuma sniedzēju starpniecību.</w:t>
      </w:r>
      <w:bookmarkEnd w:id="15"/>
    </w:p>
    <w:p w14:paraId="1FC56C1F" w14:textId="17B4EB60" w:rsidR="0006376E" w:rsidRPr="0006376E" w:rsidRDefault="00B32713" w:rsidP="00B32713">
      <w:pPr>
        <w:jc w:val="right"/>
      </w:pPr>
      <w:r>
        <w:rPr>
          <w:i/>
          <w:iCs/>
        </w:rPr>
        <w:t>8</w:t>
      </w:r>
      <w:r w:rsidRPr="00B32713">
        <w:rPr>
          <w:i/>
          <w:iCs/>
        </w:rPr>
        <w:t>.</w:t>
      </w:r>
      <w:r w:rsidR="00D13DC3">
        <w:rPr>
          <w:i/>
          <w:iCs/>
        </w:rPr>
        <w:t> </w:t>
      </w:r>
      <w:r w:rsidRPr="00B32713">
        <w:rPr>
          <w:i/>
          <w:iCs/>
        </w:rPr>
        <w:t>attēls</w:t>
      </w:r>
    </w:p>
    <w:p w14:paraId="73D19316" w14:textId="171B5635" w:rsidR="0006376E" w:rsidRPr="0006376E" w:rsidRDefault="00C329E2" w:rsidP="00C329E2">
      <w:pPr>
        <w:jc w:val="center"/>
      </w:pPr>
      <w:r>
        <w:rPr>
          <w:noProof/>
          <w:lang w:eastAsia="lv-LV"/>
        </w:rPr>
        <w:drawing>
          <wp:inline distT="0" distB="0" distL="0" distR="0" wp14:anchorId="0EC6E342" wp14:editId="02B18508">
            <wp:extent cx="4254500" cy="3184511"/>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84432" cy="3206915"/>
                    </a:xfrm>
                    <a:prstGeom prst="rect">
                      <a:avLst/>
                    </a:prstGeom>
                    <a:noFill/>
                  </pic:spPr>
                </pic:pic>
              </a:graphicData>
            </a:graphic>
          </wp:inline>
        </w:drawing>
      </w:r>
    </w:p>
    <w:p w14:paraId="3027C4AD" w14:textId="77777777" w:rsidR="0006376E" w:rsidRPr="0006376E" w:rsidRDefault="0006376E" w:rsidP="00C329E2">
      <w:pPr>
        <w:jc w:val="center"/>
      </w:pPr>
    </w:p>
    <w:p w14:paraId="00B0E6D6" w14:textId="77777777" w:rsidR="0006376E" w:rsidRPr="0006376E" w:rsidRDefault="0006376E" w:rsidP="00C243E0">
      <w:pPr>
        <w:numPr>
          <w:ilvl w:val="0"/>
          <w:numId w:val="23"/>
        </w:numPr>
        <w:spacing w:line="276" w:lineRule="auto"/>
      </w:pPr>
      <w:r w:rsidRPr="0006376E">
        <w:t xml:space="preserve">Sagatavotājs savā grāmatvedības sistēmā vai pakalpojuma sniedzēja sistēmas grafiskajā </w:t>
      </w:r>
      <w:proofErr w:type="spellStart"/>
      <w:r w:rsidRPr="0006376E">
        <w:t>saskarnē</w:t>
      </w:r>
      <w:proofErr w:type="spellEnd"/>
      <w:r w:rsidRPr="0006376E">
        <w:t xml:space="preserve"> izveido e-rēķinu.</w:t>
      </w:r>
    </w:p>
    <w:p w14:paraId="1D9445E2" w14:textId="13D32772" w:rsidR="0006376E" w:rsidRPr="0006376E" w:rsidRDefault="003F060D" w:rsidP="00C243E0">
      <w:pPr>
        <w:numPr>
          <w:ilvl w:val="0"/>
          <w:numId w:val="23"/>
        </w:numPr>
        <w:spacing w:line="276" w:lineRule="auto"/>
      </w:pPr>
      <w:r>
        <w:t>E-r</w:t>
      </w:r>
      <w:r w:rsidR="0006376E" w:rsidRPr="0006376E">
        <w:t xml:space="preserve">ēķins tiek nosūtīts saņēmēja pakalpojuma sniedzēja piekļuves punktam atbilstoši PEPPOL BIS </w:t>
      </w:r>
      <w:proofErr w:type="spellStart"/>
      <w:r w:rsidR="0006376E" w:rsidRPr="0006376E">
        <w:t>Billing</w:t>
      </w:r>
      <w:proofErr w:type="spellEnd"/>
      <w:r w:rsidR="0006376E" w:rsidRPr="0006376E">
        <w:t xml:space="preserve"> 3.0 elektronisko rēķinu standartam.</w:t>
      </w:r>
      <w:r w:rsidR="007C4204" w:rsidRPr="007C4204">
        <w:t xml:space="preserve"> Darījums tiek uzskatīts par notikušu tikai pēc e-rēķina nosūtīšanas brīža.</w:t>
      </w:r>
      <w:r w:rsidR="0006376E" w:rsidRPr="0006376E">
        <w:t xml:space="preserve"> </w:t>
      </w:r>
    </w:p>
    <w:p w14:paraId="5C49B409" w14:textId="69A2EB4E" w:rsidR="0006376E" w:rsidRPr="0006376E" w:rsidRDefault="0006376E" w:rsidP="00C243E0">
      <w:pPr>
        <w:numPr>
          <w:ilvl w:val="0"/>
          <w:numId w:val="23"/>
        </w:numPr>
        <w:spacing w:line="276" w:lineRule="auto"/>
      </w:pPr>
      <w:r>
        <w:t xml:space="preserve">Pakalpojuma sniedzējs </w:t>
      </w:r>
      <w:proofErr w:type="spellStart"/>
      <w:r>
        <w:t>nosūta</w:t>
      </w:r>
      <w:proofErr w:type="spellEnd"/>
      <w:r>
        <w:t xml:space="preserve"> e-rēķinu saņēmēja grāmatvedības sistēmai vai nodrošina piekļuvi e-rēķinam savā sistēmā. Papildus, ja saņēmējs ir izteicis šādu vēlmi, informācija par rēķinu, </w:t>
      </w:r>
      <w:r w:rsidR="00D871C8">
        <w:t xml:space="preserve">var tikt </w:t>
      </w:r>
      <w:r>
        <w:t>nosūtīta saņēmēja intern</w:t>
      </w:r>
      <w:r w:rsidR="00FD1115">
        <w:t xml:space="preserve">etbankai </w:t>
      </w:r>
      <w:r w:rsidR="001D6622">
        <w:t xml:space="preserve">– </w:t>
      </w:r>
      <w:r w:rsidR="00FD1115">
        <w:t xml:space="preserve">apmaksas veikšanai. </w:t>
      </w:r>
      <w:r w:rsidR="00D871C8" w:rsidRPr="00D871C8">
        <w:t xml:space="preserve">Pakalpojumu sniedzēju informāciju sistēmu integrācija ar banku sistēmām ir ļoti vēlama, taču nav obligāta prasība. Pakalpojumu sniedzēji var paši izvērtēt un izvēlēties risinājumus, kuri atvieglos e-rēķinu </w:t>
      </w:r>
      <w:proofErr w:type="spellStart"/>
      <w:r w:rsidR="00D871C8" w:rsidRPr="00D871C8">
        <w:t>seņēmējiem</w:t>
      </w:r>
      <w:proofErr w:type="spellEnd"/>
      <w:r w:rsidR="00D871C8" w:rsidRPr="00D871C8">
        <w:t xml:space="preserve"> rēķinu apmaksas procesu.</w:t>
      </w:r>
    </w:p>
    <w:p w14:paraId="128CA6CF" w14:textId="005EC779" w:rsidR="0006376E" w:rsidRPr="00036D3E" w:rsidRDefault="0006376E" w:rsidP="00C243E0">
      <w:pPr>
        <w:numPr>
          <w:ilvl w:val="0"/>
          <w:numId w:val="23"/>
        </w:numPr>
        <w:spacing w:line="276" w:lineRule="auto"/>
        <w:rPr>
          <w:rFonts w:asciiTheme="minorHAnsi" w:eastAsiaTheme="minorEastAsia" w:hAnsiTheme="minorHAnsi"/>
        </w:rPr>
      </w:pPr>
      <w:r>
        <w:t>Valsts iestādes</w:t>
      </w:r>
      <w:r w:rsidR="00FD1115">
        <w:t xml:space="preserve"> (t.sk. VID)</w:t>
      </w:r>
      <w:r>
        <w:t xml:space="preserve">, izmantojot </w:t>
      </w:r>
      <w:r w:rsidR="7DF096D3" w:rsidRPr="75214133">
        <w:rPr>
          <w:rFonts w:eastAsia="Times New Roman" w:cs="Times New Roman"/>
        </w:rPr>
        <w:t>Valsts reģionālās attīstības aģentūras (</w:t>
      </w:r>
      <w:r>
        <w:t>VRAA</w:t>
      </w:r>
      <w:r w:rsidR="4579993F">
        <w:t>)</w:t>
      </w:r>
      <w:r>
        <w:t xml:space="preserve"> </w:t>
      </w:r>
      <w:r w:rsidR="0F1AC1D6" w:rsidRPr="75214133">
        <w:rPr>
          <w:rFonts w:eastAsia="Times New Roman" w:cs="Times New Roman"/>
        </w:rPr>
        <w:t xml:space="preserve">Valsts informācijas sistēmas </w:t>
      </w:r>
      <w:proofErr w:type="spellStart"/>
      <w:r w:rsidR="0F1AC1D6" w:rsidRPr="75214133">
        <w:rPr>
          <w:rFonts w:eastAsia="Times New Roman" w:cs="Times New Roman"/>
        </w:rPr>
        <w:t>savietotāju</w:t>
      </w:r>
      <w:proofErr w:type="spellEnd"/>
      <w:r w:rsidR="0F1AC1D6" w:rsidRPr="75214133">
        <w:rPr>
          <w:rFonts w:eastAsia="Times New Roman" w:cs="Times New Roman"/>
        </w:rPr>
        <w:t xml:space="preserve"> </w:t>
      </w:r>
      <w:r w:rsidR="0F1AC1D6">
        <w:t>(</w:t>
      </w:r>
      <w:r>
        <w:t>VISS</w:t>
      </w:r>
      <w:r w:rsidR="370A822D">
        <w:t>)</w:t>
      </w:r>
      <w:r>
        <w:t xml:space="preserve">, </w:t>
      </w:r>
      <w:r w:rsidR="007C4204" w:rsidRPr="007C4204">
        <w:t xml:space="preserve">nepieciešamības gadījumā var </w:t>
      </w:r>
      <w:r w:rsidR="0099561D" w:rsidRPr="0099561D">
        <w:t>pieprasīt konkrēta e-rēķina pilnu</w:t>
      </w:r>
      <w:r>
        <w:t xml:space="preserve"> informāciju no saņēmēja un nosūtītāja pakalpojuma sniedzēja</w:t>
      </w:r>
      <w:r w:rsidR="0099561D">
        <w:t xml:space="preserve">. </w:t>
      </w:r>
      <w:r w:rsidR="0099561D" w:rsidRPr="0099561D">
        <w:t>Datus var pieprasīt</w:t>
      </w:r>
      <w:r w:rsidR="0099561D" w:rsidRPr="0099561D" w:rsidDel="0099561D">
        <w:t xml:space="preserve"> </w:t>
      </w:r>
      <w:r>
        <w:t xml:space="preserve">gan par saņemtajiem, gan </w:t>
      </w:r>
      <w:r>
        <w:lastRenderedPageBreak/>
        <w:t>par nosūtītajiem e-rēķiniem</w:t>
      </w:r>
      <w:r w:rsidR="00FD1115">
        <w:t xml:space="preserve"> </w:t>
      </w:r>
      <w:r w:rsidR="00FD1115" w:rsidRPr="00FD1115">
        <w:t>(dati no e-rēķina saņēmēja operatora nepieciešami gadījumos, kad e-rēķina izrakstītājs ir ārzemju komersants)</w:t>
      </w:r>
      <w:r>
        <w:t>.</w:t>
      </w:r>
    </w:p>
    <w:p w14:paraId="051AA100" w14:textId="2699DC58" w:rsidR="00433AA5" w:rsidRDefault="00A411A0" w:rsidP="00433AA5">
      <w:pPr>
        <w:numPr>
          <w:ilvl w:val="0"/>
          <w:numId w:val="23"/>
        </w:numPr>
        <w:spacing w:line="276" w:lineRule="auto"/>
      </w:pPr>
      <w:r w:rsidRPr="00036D3E">
        <w:t>Pakalpojumu sniedzēji tiklīdz tiek nosūtīts vai saņemts e-rēķins caur VRAA VISS</w:t>
      </w:r>
      <w:r w:rsidR="002D0E6C">
        <w:t xml:space="preserve">, </w:t>
      </w:r>
      <w:proofErr w:type="spellStart"/>
      <w:r w:rsidR="002D0E6C">
        <w:t>nosūta</w:t>
      </w:r>
      <w:proofErr w:type="spellEnd"/>
      <w:r w:rsidR="002D0E6C">
        <w:t xml:space="preserve"> VID analīzes datubāzei </w:t>
      </w:r>
      <w:r w:rsidR="00956A5A">
        <w:t>daļu (iepriekš definētu) no e-rēķinā iekļautās informācijas</w:t>
      </w:r>
      <w:r w:rsidR="00982CD5">
        <w:t>, kas minēta 4A. punktā.</w:t>
      </w:r>
    </w:p>
    <w:p w14:paraId="38E813CA" w14:textId="6157A1CB" w:rsidR="0006376E" w:rsidRDefault="00FD1115" w:rsidP="00433AA5">
      <w:pPr>
        <w:numPr>
          <w:ilvl w:val="0"/>
          <w:numId w:val="23"/>
        </w:numPr>
        <w:spacing w:line="276" w:lineRule="auto"/>
      </w:pPr>
      <w:r w:rsidRPr="00FD1115">
        <w:t xml:space="preserve">VID, izmantojot VRAA </w:t>
      </w:r>
      <w:r w:rsidR="0099561D">
        <w:t>VISS</w:t>
      </w:r>
      <w:r w:rsidRPr="00FD1115">
        <w:t>, nodrošina regulāru VID analīzes datubāzē esošās datu kopas nodošanu (izlādi) citām valsts pārvaldes iestādēm – datu analīzes veikšanas vajadzībām.</w:t>
      </w:r>
    </w:p>
    <w:p w14:paraId="7A979186" w14:textId="77777777" w:rsidR="00FD1115" w:rsidRPr="0006376E" w:rsidRDefault="00FD1115" w:rsidP="00C243E0">
      <w:pPr>
        <w:spacing w:line="276" w:lineRule="auto"/>
      </w:pPr>
    </w:p>
    <w:p w14:paraId="3A4BF5E3" w14:textId="5BA8D573" w:rsidR="0006376E" w:rsidRPr="0006376E" w:rsidRDefault="00D871C8" w:rsidP="00C243E0">
      <w:pPr>
        <w:spacing w:line="276" w:lineRule="auto"/>
        <w:ind w:firstLine="720"/>
      </w:pPr>
      <w:r w:rsidRPr="00D871C8">
        <w:t xml:space="preserve">Pakalpojumu sniedzējiem obligāti jānodrošina portāls (savu informācijas sistēmu grafiska </w:t>
      </w:r>
      <w:proofErr w:type="spellStart"/>
      <w:r w:rsidRPr="00D871C8">
        <w:t>saskarne</w:t>
      </w:r>
      <w:proofErr w:type="spellEnd"/>
      <w:r w:rsidRPr="00D871C8">
        <w:t xml:space="preserve">), kurā lietotājiem būtu iespējams manuāli sagatavot un nosūtīt e-rēķinu. </w:t>
      </w:r>
      <w:r w:rsidR="0006376E">
        <w:t xml:space="preserve">Jāatzīmē, ka piedāvātā risinājuma modelis stingri nenosaka pakalpojumu sniedzējiem apmainīties ar strukturētiem </w:t>
      </w:r>
      <w:r w:rsidR="00B7545F">
        <w:t>e-</w:t>
      </w:r>
      <w:r w:rsidR="0006376E">
        <w:t xml:space="preserve">rēķiniem izmantojot PEPPOL tīklu un pieļauj iespēju Latvijā </w:t>
      </w:r>
      <w:r w:rsidR="0099561D">
        <w:t xml:space="preserve">reģistrētiem </w:t>
      </w:r>
      <w:r w:rsidR="0006376E">
        <w:t xml:space="preserve">pakalpojumu sniedzējiem veikt savu informācijas sistēmu savstarpēju integrāciju, lai nodrošinātu e-rēķinu apmaiņu Latvijas komersantiem. Tādējādi tiktu sniegta iespēja samazināt viena nosūtāmā e-rēķina izmaksas un e-rēķinu nosūtīšana, izmantojot PEPPOL tīkla piekļuves punktu, tiktu izmantota tikai e-rēķinu nosūtīšanai un saņemšanai no citu valstu komersantiem. </w:t>
      </w:r>
    </w:p>
    <w:p w14:paraId="0A387DA1" w14:textId="65AA2CDD" w:rsidR="00195F21" w:rsidRDefault="00195F21" w:rsidP="00C243E0">
      <w:pPr>
        <w:spacing w:line="276" w:lineRule="auto"/>
        <w:ind w:firstLine="720"/>
      </w:pPr>
      <w:r w:rsidRPr="00195F21">
        <w:t xml:space="preserve">Zemāk esošā shēma attēlo e-rēķinu apmaiņas procesu, kurā e-rēķina sagatavotājs </w:t>
      </w:r>
      <w:r w:rsidR="008300BE">
        <w:t>izmanto Latvija.lv eso</w:t>
      </w:r>
      <w:r w:rsidR="00C07B41">
        <w:t xml:space="preserve">šo e-rēķinu </w:t>
      </w:r>
      <w:proofErr w:type="spellStart"/>
      <w:r w:rsidR="00C07B41">
        <w:t>saskarni</w:t>
      </w:r>
      <w:proofErr w:type="spellEnd"/>
      <w:r w:rsidR="002344E5">
        <w:t>, tiešu integrāciju ar e-adresi</w:t>
      </w:r>
      <w:r w:rsidR="00B27FBD">
        <w:t xml:space="preserve"> </w:t>
      </w:r>
      <w:r w:rsidR="00567F86">
        <w:t xml:space="preserve">vai </w:t>
      </w:r>
      <w:r w:rsidR="00567F86" w:rsidRPr="00567F86">
        <w:t>pakalpojuma sniedzēju starpniecību</w:t>
      </w:r>
      <w:r w:rsidR="002344E5">
        <w:t>,</w:t>
      </w:r>
      <w:r w:rsidR="0045645D">
        <w:t xml:space="preserve"> </w:t>
      </w:r>
      <w:r w:rsidR="002344E5">
        <w:t xml:space="preserve">bet </w:t>
      </w:r>
      <w:r w:rsidR="00B27FBD">
        <w:t>saņēmējs</w:t>
      </w:r>
      <w:r w:rsidRPr="00195F21">
        <w:t xml:space="preserve"> izmanto</w:t>
      </w:r>
      <w:r w:rsidR="00567F86">
        <w:t xml:space="preserve"> e-adreses risinājumu</w:t>
      </w:r>
      <w:r w:rsidRPr="00195F21">
        <w:t>.</w:t>
      </w:r>
    </w:p>
    <w:p w14:paraId="1944432D" w14:textId="10E9AAD1" w:rsidR="00B32713" w:rsidRDefault="00B32713" w:rsidP="00B32713">
      <w:pPr>
        <w:jc w:val="right"/>
      </w:pPr>
      <w:r>
        <w:rPr>
          <w:i/>
          <w:iCs/>
        </w:rPr>
        <w:t>9</w:t>
      </w:r>
      <w:r w:rsidRPr="00B32713">
        <w:rPr>
          <w:i/>
          <w:iCs/>
        </w:rPr>
        <w:t>.</w:t>
      </w:r>
      <w:r w:rsidR="00D13DC3">
        <w:rPr>
          <w:i/>
          <w:iCs/>
        </w:rPr>
        <w:t> </w:t>
      </w:r>
      <w:r w:rsidRPr="00B32713">
        <w:rPr>
          <w:i/>
          <w:iCs/>
        </w:rPr>
        <w:t>attēls</w:t>
      </w:r>
    </w:p>
    <w:p w14:paraId="3F715ED0" w14:textId="158ADB64" w:rsidR="0099561D" w:rsidRDefault="00F619FC" w:rsidP="00870A42">
      <w:pPr>
        <w:jc w:val="center"/>
      </w:pPr>
      <w:r>
        <w:rPr>
          <w:noProof/>
          <w:lang w:eastAsia="lv-LV"/>
        </w:rPr>
        <w:drawing>
          <wp:inline distT="0" distB="0" distL="0" distR="0" wp14:anchorId="33C8D927" wp14:editId="2BD60748">
            <wp:extent cx="4216400" cy="412204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64876" cy="4169437"/>
                    </a:xfrm>
                    <a:prstGeom prst="rect">
                      <a:avLst/>
                    </a:prstGeom>
                    <a:noFill/>
                  </pic:spPr>
                </pic:pic>
              </a:graphicData>
            </a:graphic>
          </wp:inline>
        </w:drawing>
      </w:r>
    </w:p>
    <w:p w14:paraId="3428D1AD" w14:textId="6F8212DF" w:rsidR="0099561D" w:rsidRPr="0099561D" w:rsidRDefault="0099561D" w:rsidP="00D3683C">
      <w:pPr>
        <w:spacing w:line="276" w:lineRule="auto"/>
        <w:ind w:firstLine="720"/>
      </w:pPr>
      <w:r w:rsidRPr="0099561D">
        <w:lastRenderedPageBreak/>
        <w:t xml:space="preserve">Lai nodrošinātu, ka VID saņem e-rēķinu kopijas, kas tiek sūtīti izmantojot e-adreses IS, var tikt piemērots risinājums, kurā VID tiks automātiski pievienots kā adresāts visiem izsūtītajiem e-rēķiniem izmantojot e-adreses IS. Tas nodrošinās to, ka tiek saglabāta esošā e-adreses IS drošība un datu aprites integritāte, kā arī tas neprasīs izmaiņas esošajās e-adreses IS integrācijās iestādēm un komersantiem. Rezultātā tiks nodrošināts, ka VID izmantojot savu esošo vai veidojot speciāli šim mērķim jaunu e-adreses IS </w:t>
      </w:r>
      <w:proofErr w:type="spellStart"/>
      <w:r w:rsidRPr="0099561D">
        <w:t>pieslēgumu</w:t>
      </w:r>
      <w:proofErr w:type="spellEnd"/>
      <w:r w:rsidRPr="0099561D">
        <w:t xml:space="preserve"> varēs saņemt visus e-adreses IS apritē nonākušos e-rēķinus un uzglabāt VID pārziņā esošā risinājumā.</w:t>
      </w:r>
    </w:p>
    <w:p w14:paraId="1D00B6D6" w14:textId="3C87EE36" w:rsidR="0099561D" w:rsidRPr="0099561D" w:rsidRDefault="0099561D" w:rsidP="00D3683C">
      <w:pPr>
        <w:spacing w:line="276" w:lineRule="auto"/>
        <w:ind w:firstLine="720"/>
      </w:pPr>
      <w:r w:rsidRPr="0099561D">
        <w:t xml:space="preserve">VID </w:t>
      </w:r>
      <w:r w:rsidR="00DC113A" w:rsidRPr="00DC113A">
        <w:t>tiks izveidota jauna datubāze, kurā</w:t>
      </w:r>
      <w:r w:rsidRPr="0099561D">
        <w:t xml:space="preserve"> tiks uzglabāta no e-adreses saņemto e-rēķinu pilna informācija un nodrošināta iespēja citām valsts pārvaldes iestādēm caur VRAA VISS pieprasīt informāciju par konkrētu e-rēķinu. Datu analīzes vajadzībām VID veiks no e-adreses saņemto e-rēķinu datu transformāciju uz VID analīzes datubāzi, kurā e-rēķinu dati tiks analizēti kopā ar e-rēķinu pakalpojumu sniedzēju sniegtajiem datiem.</w:t>
      </w:r>
    </w:p>
    <w:p w14:paraId="3F72F32E" w14:textId="77777777" w:rsidR="0099561D" w:rsidRPr="0099561D" w:rsidRDefault="0099561D" w:rsidP="0099561D">
      <w:pPr>
        <w:ind w:firstLine="720"/>
      </w:pPr>
      <w:r w:rsidRPr="0099561D">
        <w:t>Zemāk esošā shēma attēlo e-rēķinu aprites risinājuma arhitektūru.</w:t>
      </w:r>
    </w:p>
    <w:p w14:paraId="09B9D341" w14:textId="2C7C35C6" w:rsidR="00AC39D5" w:rsidRDefault="00AC39D5" w:rsidP="00AC39D5">
      <w:pPr>
        <w:jc w:val="right"/>
        <w:rPr>
          <w:noProof/>
          <w:lang w:eastAsia="lv-LV"/>
        </w:rPr>
      </w:pPr>
      <w:r>
        <w:rPr>
          <w:i/>
          <w:iCs/>
          <w:noProof/>
          <w:lang w:eastAsia="lv-LV"/>
        </w:rPr>
        <w:t>10</w:t>
      </w:r>
      <w:r w:rsidRPr="00AC39D5">
        <w:rPr>
          <w:i/>
          <w:iCs/>
          <w:noProof/>
          <w:lang w:eastAsia="lv-LV"/>
        </w:rPr>
        <w:t>.</w:t>
      </w:r>
      <w:r w:rsidR="00D13DC3">
        <w:rPr>
          <w:i/>
          <w:iCs/>
          <w:noProof/>
          <w:lang w:eastAsia="lv-LV"/>
        </w:rPr>
        <w:t> </w:t>
      </w:r>
      <w:r w:rsidRPr="00AC39D5">
        <w:rPr>
          <w:i/>
          <w:iCs/>
          <w:noProof/>
          <w:lang w:eastAsia="lv-LV"/>
        </w:rPr>
        <w:t>attēls</w:t>
      </w:r>
    </w:p>
    <w:p w14:paraId="3988DB2F" w14:textId="2D435CCF" w:rsidR="00195F21" w:rsidRDefault="000063B5" w:rsidP="000063B5">
      <w:pPr>
        <w:jc w:val="center"/>
      </w:pPr>
      <w:r>
        <w:rPr>
          <w:noProof/>
          <w:lang w:eastAsia="lv-LV"/>
        </w:rPr>
        <w:drawing>
          <wp:inline distT="0" distB="0" distL="0" distR="0" wp14:anchorId="0C4C31DE" wp14:editId="4871880A">
            <wp:extent cx="4953000" cy="334216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66933" cy="3351568"/>
                    </a:xfrm>
                    <a:prstGeom prst="rect">
                      <a:avLst/>
                    </a:prstGeom>
                    <a:noFill/>
                  </pic:spPr>
                </pic:pic>
              </a:graphicData>
            </a:graphic>
          </wp:inline>
        </w:drawing>
      </w:r>
      <w:r w:rsidR="00FF6379" w:rsidRPr="00FF6379">
        <w:rPr>
          <w:noProof/>
          <w:lang w:eastAsia="lv-LV"/>
        </w:rPr>
        <w:br/>
      </w:r>
    </w:p>
    <w:p w14:paraId="21549646" w14:textId="7848D43A" w:rsidR="000063B5" w:rsidRDefault="000063B5" w:rsidP="000063B5">
      <w:pPr>
        <w:spacing w:line="276" w:lineRule="auto"/>
        <w:ind w:firstLine="720"/>
      </w:pPr>
      <w:r w:rsidRPr="000063B5">
        <w:t xml:space="preserve">VID </w:t>
      </w:r>
      <w:proofErr w:type="spellStart"/>
      <w:r w:rsidRPr="000063B5">
        <w:t>Elektronsikās</w:t>
      </w:r>
      <w:proofErr w:type="spellEnd"/>
      <w:r w:rsidRPr="000063B5">
        <w:t xml:space="preserve"> deklarēšanas sistēmā tiks realizēta iespēja, nodokļu maksātājiem aizpildot deklarācijas, kurās nepieciešams sniegt izrakstīto vai saņemto rēķinu informāciju, pielasīt VID rīcībā esošos e-rēķinu datus. Tādējādi tiks būtiski samazināts deklarāciju aizpildīšanai un iesniegšanai nepieciešamais laiks.</w:t>
      </w:r>
    </w:p>
    <w:p w14:paraId="1EBA8C92" w14:textId="1789ECF8" w:rsidR="00332611" w:rsidRDefault="00FE16EA" w:rsidP="00C243E0">
      <w:pPr>
        <w:spacing w:line="276" w:lineRule="auto"/>
        <w:ind w:firstLine="720"/>
      </w:pPr>
      <w:r w:rsidRPr="00FE16EA">
        <w:t>Pamatojoties uz šobrīd pieejamajiem datiem, tiek prognozēts, ka Latvijā viena gada laikā B2B un B2G segmentā kopumā tiek noformēti ~20 milj. rēķinu.</w:t>
      </w:r>
    </w:p>
    <w:p w14:paraId="15AE5877" w14:textId="4ADA3CF9" w:rsidR="0006376E" w:rsidRPr="0006376E" w:rsidRDefault="00332611" w:rsidP="00C243E0">
      <w:pPr>
        <w:spacing w:line="276" w:lineRule="auto"/>
        <w:ind w:firstLine="720"/>
      </w:pPr>
      <w:r w:rsidRPr="00332611">
        <w:t>Ja uzņēmums izmanto e-rēķinu aprites pakalpojuma pakalpojumus, tad</w:t>
      </w:r>
      <w:r>
        <w:t xml:space="preserve"> pakalpojumu</w:t>
      </w:r>
      <w:r w:rsidR="0006376E" w:rsidRPr="0006376E">
        <w:t xml:space="preserve"> sniedzēji e-rēķinu datu </w:t>
      </w:r>
      <w:r w:rsidR="00EB700C" w:rsidRPr="00EB700C">
        <w:t xml:space="preserve">uzglabāšanu </w:t>
      </w:r>
      <w:r w:rsidR="00EB700C">
        <w:t xml:space="preserve">var </w:t>
      </w:r>
      <w:r w:rsidR="00EB700C" w:rsidRPr="00EB700C">
        <w:t>piedāvāt kā papildus pakalpojumu</w:t>
      </w:r>
      <w:r w:rsidR="00EB700C">
        <w:t xml:space="preserve"> </w:t>
      </w:r>
      <w:r w:rsidR="0006376E" w:rsidRPr="0006376E">
        <w:t xml:space="preserve">atbilstoši šobrīd normatīvajos aktos noteiktajiem termiņiem. Plānojot </w:t>
      </w:r>
      <w:r w:rsidR="0006376E" w:rsidRPr="0006376E">
        <w:lastRenderedPageBreak/>
        <w:t>risinājuma izstrādi nepieciešams ņemt vērā šādus normatīvajos aktos noteiktos dokumentu glabāšanas termiņus:</w:t>
      </w:r>
    </w:p>
    <w:p w14:paraId="261525F5" w14:textId="4699540A" w:rsidR="004266E0" w:rsidRDefault="0006376E" w:rsidP="00FC3F5E">
      <w:pPr>
        <w:pStyle w:val="ListParagraph"/>
        <w:numPr>
          <w:ilvl w:val="0"/>
          <w:numId w:val="39"/>
        </w:numPr>
        <w:spacing w:line="276" w:lineRule="auto"/>
      </w:pPr>
      <w:r w:rsidRPr="0006376E">
        <w:t xml:space="preserve">Uzņēmumiem </w:t>
      </w:r>
      <w:r w:rsidR="0080173A">
        <w:t xml:space="preserve">attaisnojuma </w:t>
      </w:r>
      <w:r w:rsidRPr="0006376E">
        <w:t>dokumentu glabāšanas laiku nosak</w:t>
      </w:r>
      <w:r w:rsidR="002B0E27">
        <w:t>a likuma “Par grāmatvedību” 10. </w:t>
      </w:r>
      <w:r w:rsidRPr="0006376E">
        <w:t>pants (</w:t>
      </w:r>
      <w:r w:rsidR="00814453">
        <w:t>pieci</w:t>
      </w:r>
      <w:r w:rsidRPr="0006376E">
        <w:t xml:space="preserve"> gadi). Šajā likumā noteiktie dokumentu glabāšanas termiņi ir noteikti, lai nodrošinātu saimnieciskā darījuma izsekojamību.</w:t>
      </w:r>
    </w:p>
    <w:p w14:paraId="37524A1C" w14:textId="77777777" w:rsidR="004266E0" w:rsidRDefault="00314EFF" w:rsidP="004266E0">
      <w:pPr>
        <w:pStyle w:val="ListParagraph"/>
        <w:numPr>
          <w:ilvl w:val="0"/>
          <w:numId w:val="39"/>
        </w:numPr>
        <w:spacing w:line="276" w:lineRule="auto"/>
      </w:pPr>
      <w:r w:rsidRPr="00314EFF">
        <w:t>Tāpat nodokļu maksātājiem nodokļu aprēķinu pareizības pierādīšanai ir noteikts pienākums uzglabāt attaisnojuma dokumentus</w:t>
      </w:r>
      <w:r>
        <w:t xml:space="preserve"> ne mazā</w:t>
      </w:r>
      <w:r w:rsidRPr="00314EFF">
        <w:t xml:space="preserve">k </w:t>
      </w:r>
      <w:r>
        <w:t xml:space="preserve">kā </w:t>
      </w:r>
      <w:r w:rsidRPr="00314EFF">
        <w:t>piecus gadus (</w:t>
      </w:r>
      <w:r w:rsidR="006039C9">
        <w:t xml:space="preserve">likuma “Par nodokļiem un nodevām </w:t>
      </w:r>
      <w:r w:rsidRPr="00314EFF">
        <w:t>15.</w:t>
      </w:r>
      <w:r>
        <w:t> </w:t>
      </w:r>
      <w:r w:rsidRPr="00314EFF">
        <w:t>panta pirmās daļas 4.</w:t>
      </w:r>
      <w:r>
        <w:t> </w:t>
      </w:r>
      <w:r w:rsidRPr="00314EFF">
        <w:t>punkts).</w:t>
      </w:r>
    </w:p>
    <w:p w14:paraId="01C0793B" w14:textId="77777777" w:rsidR="004266E0" w:rsidRDefault="0006376E" w:rsidP="00FC3F5E">
      <w:pPr>
        <w:pStyle w:val="ListParagraph"/>
        <w:numPr>
          <w:ilvl w:val="0"/>
          <w:numId w:val="39"/>
        </w:numPr>
        <w:spacing w:line="276" w:lineRule="auto"/>
      </w:pPr>
      <w:r>
        <w:t>Likuma “Par nodokļiem un nodevām” 16.</w:t>
      </w:r>
      <w:r w:rsidR="002B0E27">
        <w:t> </w:t>
      </w:r>
      <w:r>
        <w:t>panta pirmās daļas 6.</w:t>
      </w:r>
      <w:r w:rsidR="002B0E27">
        <w:t> </w:t>
      </w:r>
      <w:r>
        <w:t>punktā ir noteiktas nodokļu maksātājiem tiesības labot deklarācijas trīs gadus</w:t>
      </w:r>
      <w:r w:rsidR="000F7052" w:rsidRPr="000F7052">
        <w:t xml:space="preserve"> vai, ja deklarācijas labojums vai precizējums izriet no transfertcenas korekcijas – piecus gadus</w:t>
      </w:r>
      <w:r w:rsidR="004266E0">
        <w:t>.</w:t>
      </w:r>
    </w:p>
    <w:p w14:paraId="7D22314B" w14:textId="552A03D9" w:rsidR="2B64D0ED" w:rsidRDefault="2B64D0ED" w:rsidP="00FC3F5E">
      <w:pPr>
        <w:pStyle w:val="ListParagraph"/>
        <w:numPr>
          <w:ilvl w:val="0"/>
          <w:numId w:val="39"/>
        </w:numPr>
        <w:spacing w:line="276" w:lineRule="auto"/>
      </w:pPr>
      <w:r w:rsidRPr="004266E0">
        <w:rPr>
          <w:rFonts w:eastAsia="Calibri" w:cs="Arial"/>
          <w:szCs w:val="24"/>
        </w:rPr>
        <w:t>Pievienotās vērtības nodokļa likuma 133.</w:t>
      </w:r>
      <w:r w:rsidR="002B0E27" w:rsidRPr="004266E0">
        <w:rPr>
          <w:rFonts w:eastAsia="Calibri" w:cs="Arial"/>
          <w:szCs w:val="24"/>
        </w:rPr>
        <w:t> </w:t>
      </w:r>
      <w:r w:rsidRPr="004266E0">
        <w:rPr>
          <w:rFonts w:eastAsia="Calibri" w:cs="Arial"/>
          <w:szCs w:val="24"/>
        </w:rPr>
        <w:t xml:space="preserve">panta ceturtajā daļā ir noteikts, ka </w:t>
      </w:r>
      <w:r w:rsidR="00345340" w:rsidRPr="004266E0">
        <w:rPr>
          <w:rFonts w:eastAsia="Calibri" w:cs="Arial"/>
          <w:szCs w:val="24"/>
        </w:rPr>
        <w:t xml:space="preserve">PVN </w:t>
      </w:r>
      <w:r w:rsidR="7C351506" w:rsidRPr="004266E0">
        <w:rPr>
          <w:rFonts w:eastAsia="Calibri" w:cs="Arial"/>
          <w:szCs w:val="24"/>
        </w:rPr>
        <w:t xml:space="preserve">rēķina glabāšanas laiks ir </w:t>
      </w:r>
      <w:r w:rsidR="00814453">
        <w:rPr>
          <w:rFonts w:eastAsia="Calibri" w:cs="Arial"/>
          <w:szCs w:val="24"/>
        </w:rPr>
        <w:t>pieci</w:t>
      </w:r>
      <w:r w:rsidR="7C351506" w:rsidRPr="004266E0">
        <w:rPr>
          <w:rFonts w:eastAsia="Calibri" w:cs="Arial"/>
          <w:szCs w:val="24"/>
        </w:rPr>
        <w:t xml:space="preserve"> gadi no izrakstīšanas dienas. </w:t>
      </w:r>
      <w:r w:rsidR="2617CA91" w:rsidRPr="004266E0">
        <w:rPr>
          <w:rFonts w:eastAsia="Calibri" w:cs="Arial"/>
          <w:szCs w:val="24"/>
        </w:rPr>
        <w:t xml:space="preserve">Atsevišķos darījumos </w:t>
      </w:r>
      <w:r w:rsidR="00345340" w:rsidRPr="004266E0">
        <w:rPr>
          <w:rFonts w:eastAsia="Calibri" w:cs="Arial"/>
          <w:szCs w:val="24"/>
        </w:rPr>
        <w:t xml:space="preserve">PVN </w:t>
      </w:r>
      <w:r w:rsidR="2617CA91" w:rsidRPr="004266E0">
        <w:rPr>
          <w:rFonts w:eastAsia="Calibri" w:cs="Arial"/>
          <w:szCs w:val="24"/>
        </w:rPr>
        <w:t>rēķins ir glabājams 10 gadus.</w:t>
      </w:r>
    </w:p>
    <w:p w14:paraId="36F89A2C" w14:textId="77777777" w:rsidR="0006376E" w:rsidRPr="0006376E" w:rsidRDefault="0006376E" w:rsidP="00C243E0">
      <w:pPr>
        <w:spacing w:line="276" w:lineRule="auto"/>
      </w:pPr>
    </w:p>
    <w:p w14:paraId="64DF648E" w14:textId="600C926D" w:rsidR="7842FC33" w:rsidRDefault="011CC579" w:rsidP="00C243E0">
      <w:pPr>
        <w:spacing w:line="276" w:lineRule="auto"/>
      </w:pPr>
      <w:r w:rsidRPr="7842FC33">
        <w:rPr>
          <w:rFonts w:eastAsia="Times New Roman" w:cs="Times New Roman"/>
          <w:szCs w:val="24"/>
        </w:rPr>
        <w:t xml:space="preserve"> </w:t>
      </w:r>
      <w:r w:rsidR="00D0533F">
        <w:rPr>
          <w:rFonts w:eastAsia="Times New Roman" w:cs="Times New Roman"/>
          <w:szCs w:val="24"/>
        </w:rPr>
        <w:tab/>
      </w:r>
      <w:r w:rsidR="003400EF">
        <w:rPr>
          <w:rFonts w:eastAsia="Times New Roman" w:cs="Times New Roman"/>
          <w:szCs w:val="24"/>
        </w:rPr>
        <w:t>E</w:t>
      </w:r>
      <w:r w:rsidR="00B7545F">
        <w:rPr>
          <w:rFonts w:eastAsia="Times New Roman" w:cs="Times New Roman"/>
          <w:szCs w:val="24"/>
        </w:rPr>
        <w:t>-</w:t>
      </w:r>
      <w:r w:rsidR="003400EF">
        <w:rPr>
          <w:rFonts w:eastAsia="Times New Roman" w:cs="Times New Roman"/>
          <w:szCs w:val="24"/>
        </w:rPr>
        <w:t>r</w:t>
      </w:r>
      <w:r w:rsidRPr="7842FC33">
        <w:rPr>
          <w:rFonts w:eastAsia="Times New Roman" w:cs="Times New Roman"/>
          <w:szCs w:val="24"/>
        </w:rPr>
        <w:t>ēķinu aprites piedāvātajam risinājumam ir identificēti šādi būtiskākie ieviešanas riski:</w:t>
      </w:r>
    </w:p>
    <w:p w14:paraId="6A3F05D8" w14:textId="28D75418" w:rsidR="0006376E" w:rsidRPr="0006376E" w:rsidRDefault="0006376E" w:rsidP="00F921D8">
      <w:pPr>
        <w:numPr>
          <w:ilvl w:val="0"/>
          <w:numId w:val="25"/>
        </w:numPr>
        <w:spacing w:line="276" w:lineRule="auto"/>
      </w:pPr>
      <w:r w:rsidRPr="0006376E">
        <w:t xml:space="preserve">Izmaksas par e-rēķina ziņojumu nosūtīšana sedz nosūtītājs. Pašlaik viena PEPPOL e-rēķina nosūtīšanas izmaksas sastāda 0,10 – 0,15 </w:t>
      </w:r>
      <w:proofErr w:type="spellStart"/>
      <w:r w:rsidR="00883574" w:rsidRPr="00883574">
        <w:rPr>
          <w:i/>
        </w:rPr>
        <w:t>euro</w:t>
      </w:r>
      <w:proofErr w:type="spellEnd"/>
      <w:r w:rsidRPr="0006376E">
        <w:t xml:space="preserve">. Taču viena papīra formāta rēķina aptuvenās sagatavošana un nosūtīšana izmaksas sastāda 0,40 – 1,00 </w:t>
      </w:r>
      <w:proofErr w:type="spellStart"/>
      <w:r w:rsidR="00883574" w:rsidRPr="00883574">
        <w:rPr>
          <w:i/>
        </w:rPr>
        <w:t>euro</w:t>
      </w:r>
      <w:proofErr w:type="spellEnd"/>
      <w:r w:rsidRPr="0006376E">
        <w:t>. Daļa komersantu rēķinu sagatavošanu veic elektroniski izmantojot PDF failus, MS Word u.c. formātus, tādēļ šādu rēķinu aizvietošana ar strukturētu PEPPOL rēķinu var tik uzskatīta par finansiālu slogu šādiem komersantiem.</w:t>
      </w:r>
      <w:r w:rsidR="00DF1207">
        <w:t xml:space="preserve"> </w:t>
      </w:r>
      <w:r w:rsidR="006B0A5A">
        <w:t xml:space="preserve">Riska mazināšanai </w:t>
      </w:r>
      <w:r w:rsidR="00C26BF1">
        <w:t>–</w:t>
      </w:r>
      <w:r w:rsidR="00B417BB">
        <w:t xml:space="preserve"> </w:t>
      </w:r>
      <w:r w:rsidR="006B0A5A">
        <w:t xml:space="preserve">tiem komersantiem, kuriem izrakstāmo rēķinu skaits ir neliels </w:t>
      </w:r>
      <w:r w:rsidR="00812C6D">
        <w:t>būs pieejama</w:t>
      </w:r>
      <w:r w:rsidR="006B0A5A">
        <w:t xml:space="preserve"> Latvija.lv esoš</w:t>
      </w:r>
      <w:r w:rsidR="00812C6D">
        <w:t>ā</w:t>
      </w:r>
      <w:r w:rsidR="006B0A5A">
        <w:t xml:space="preserve"> </w:t>
      </w:r>
      <w:proofErr w:type="spellStart"/>
      <w:r w:rsidR="00B417BB">
        <w:t>saskarne</w:t>
      </w:r>
      <w:proofErr w:type="spellEnd"/>
      <w:r w:rsidR="00060B37">
        <w:t xml:space="preserve"> (forma)</w:t>
      </w:r>
      <w:r w:rsidR="006B0A5A">
        <w:t xml:space="preserve">, kas ļauj </w:t>
      </w:r>
      <w:r w:rsidR="004F1440">
        <w:t>bez maksas</w:t>
      </w:r>
      <w:r w:rsidR="001B06FC">
        <w:t>,</w:t>
      </w:r>
      <w:r w:rsidR="004F1440">
        <w:t xml:space="preserve"> </w:t>
      </w:r>
      <w:r w:rsidR="006B0A5A">
        <w:t>manuāli</w:t>
      </w:r>
      <w:r w:rsidR="001B06FC">
        <w:t>,</w:t>
      </w:r>
      <w:r w:rsidR="006B0A5A">
        <w:t xml:space="preserve"> sagatavot </w:t>
      </w:r>
      <w:r w:rsidR="00B5010F" w:rsidRPr="00B5010F">
        <w:t xml:space="preserve">vai augšupielādēt </w:t>
      </w:r>
      <w:proofErr w:type="spellStart"/>
      <w:r w:rsidR="00B5010F" w:rsidRPr="00B5010F">
        <w:t>xml</w:t>
      </w:r>
      <w:proofErr w:type="spellEnd"/>
      <w:r w:rsidR="00B5010F" w:rsidRPr="00B5010F">
        <w:t xml:space="preserve"> failu </w:t>
      </w:r>
      <w:r w:rsidR="006B0A5A">
        <w:t xml:space="preserve">un </w:t>
      </w:r>
      <w:r w:rsidR="001B06FC">
        <w:t>nosūtīt</w:t>
      </w:r>
      <w:r w:rsidR="006B0A5A">
        <w:t xml:space="preserve"> </w:t>
      </w:r>
      <w:r w:rsidR="001B06FC">
        <w:t>e-</w:t>
      </w:r>
      <w:r w:rsidR="006B0A5A">
        <w:t>rēķinus</w:t>
      </w:r>
      <w:r w:rsidR="00F921D8">
        <w:t xml:space="preserve"> </w:t>
      </w:r>
      <w:r w:rsidR="00F921D8" w:rsidRPr="00F921D8">
        <w:t>izmantojot e-adresi</w:t>
      </w:r>
      <w:r w:rsidR="00F921D8">
        <w:t xml:space="preserve"> </w:t>
      </w:r>
      <w:r w:rsidR="00F921D8" w:rsidRPr="00F921D8">
        <w:t>(nosacījums būtu, ka komersantam jābūt aktivizētai e-adresei)</w:t>
      </w:r>
      <w:r w:rsidR="006B0A5A">
        <w:t xml:space="preserve">. </w:t>
      </w:r>
    </w:p>
    <w:p w14:paraId="0ED01680" w14:textId="1476094C" w:rsidR="0006376E" w:rsidRPr="0006376E" w:rsidRDefault="0006376E" w:rsidP="00C243E0">
      <w:pPr>
        <w:numPr>
          <w:ilvl w:val="0"/>
          <w:numId w:val="25"/>
        </w:numPr>
        <w:spacing w:line="276" w:lineRule="auto"/>
      </w:pPr>
      <w:r w:rsidRPr="0006376E">
        <w:t>Sākotnēji pakalpojumu sniedzēju skaits var būt neliels. Pašlaik Latvijā ir tikai viens komersants, kurš sniedz PEPPOL piekļuves punkta pakalpojumus, taču paplašinoties lietotāju lokam, tirgū ienāks jauni pakalpojumu sniedzēji. Konkurence pakalpojumu sniegšanā labvēlīgi ietekmēs pakalpojumu kvalitāti un veicinās p</w:t>
      </w:r>
      <w:r w:rsidR="00775D11">
        <w:t>akalpojumu cenas samazināšanos.</w:t>
      </w:r>
    </w:p>
    <w:p w14:paraId="5FFBD69C" w14:textId="77777777" w:rsidR="0006376E" w:rsidRPr="006933B8" w:rsidRDefault="0006376E" w:rsidP="00C243E0">
      <w:pPr>
        <w:spacing w:line="276" w:lineRule="auto"/>
        <w:rPr>
          <w:sz w:val="12"/>
          <w:szCs w:val="12"/>
        </w:rPr>
      </w:pPr>
    </w:p>
    <w:p w14:paraId="046EFB64" w14:textId="78B75E68" w:rsidR="00D3683C" w:rsidRDefault="00D3683C" w:rsidP="00D3683C">
      <w:pPr>
        <w:spacing w:line="276" w:lineRule="auto"/>
        <w:ind w:firstLine="720"/>
      </w:pPr>
      <w:r w:rsidRPr="00D3683C">
        <w:t xml:space="preserve">Vērtējot komersantu izmaksas pēc e-rēķinu lietošanas uzsākšanas, jāsecina, ka esošās izmaksās rēķinu apstrādē uzņēmuma vajadzībām varētu samazināties divas reizes. Uzņēmuma </w:t>
      </w:r>
      <w:proofErr w:type="spellStart"/>
      <w:r w:rsidRPr="00D3683C">
        <w:t>Unified</w:t>
      </w:r>
      <w:proofErr w:type="spellEnd"/>
      <w:r w:rsidRPr="00D3683C">
        <w:t xml:space="preserve"> Post (bij. </w:t>
      </w:r>
      <w:proofErr w:type="spellStart"/>
      <w:r w:rsidRPr="00D3683C">
        <w:t>Fitek</w:t>
      </w:r>
      <w:proofErr w:type="spellEnd"/>
      <w:r w:rsidRPr="00D3683C">
        <w:t xml:space="preserve">) rēķinu operatora publicētās e-rēķinu apstrādes izmaksas liecina par to, ka papīra rēķina </w:t>
      </w:r>
      <w:proofErr w:type="spellStart"/>
      <w:r w:rsidRPr="00D3683C">
        <w:t>digitalizācija</w:t>
      </w:r>
      <w:proofErr w:type="spellEnd"/>
      <w:r w:rsidRPr="00D3683C">
        <w:t xml:space="preserve"> ir vairāk nekā divreiz</w:t>
      </w:r>
      <w:r w:rsidR="00FC3F5E">
        <w:t xml:space="preserve"> </w:t>
      </w:r>
      <w:r w:rsidR="006933B8">
        <w:lastRenderedPageBreak/>
        <w:t>d</w:t>
      </w:r>
      <w:r w:rsidRPr="00D3683C">
        <w:t xml:space="preserve">ārgāka par </w:t>
      </w:r>
      <w:proofErr w:type="spellStart"/>
      <w:r w:rsidRPr="00D3683C">
        <w:t>nedigitalizēto</w:t>
      </w:r>
      <w:proofErr w:type="spellEnd"/>
      <w:r w:rsidRPr="00D3683C">
        <w:t xml:space="preserve"> rēķinu. Aptuvenās viena papīra rēķina izmaksas uzņēmumam ir </w:t>
      </w:r>
      <w:r>
        <w:t>0,40</w:t>
      </w:r>
      <w:r w:rsidRPr="00D3683C">
        <w:t xml:space="preserve"> </w:t>
      </w:r>
      <w:proofErr w:type="spellStart"/>
      <w:r w:rsidRPr="00D3683C">
        <w:rPr>
          <w:i/>
        </w:rPr>
        <w:t>euro</w:t>
      </w:r>
      <w:proofErr w:type="spellEnd"/>
      <w:r w:rsidRPr="00D3683C">
        <w:t>, jo rēķins ir jāievada grāmatvedības sistēmā, jāarhivē utt.</w:t>
      </w:r>
      <w:r w:rsidRPr="00D3683C">
        <w:rPr>
          <w:vertAlign w:val="superscript"/>
        </w:rPr>
        <w:footnoteReference w:id="31"/>
      </w:r>
    </w:p>
    <w:p w14:paraId="28A15BFC" w14:textId="65157D26" w:rsidR="00103D8D" w:rsidRDefault="0006376E" w:rsidP="00F65DFC">
      <w:pPr>
        <w:spacing w:line="276" w:lineRule="auto"/>
        <w:ind w:firstLine="720"/>
      </w:pPr>
      <w:r w:rsidRPr="0006376E">
        <w:t xml:space="preserve">Šveices uzņēmums </w:t>
      </w:r>
      <w:proofErr w:type="spellStart"/>
      <w:r w:rsidRPr="0006376E">
        <w:t>Billentis</w:t>
      </w:r>
      <w:proofErr w:type="spellEnd"/>
      <w:r w:rsidRPr="0006376E">
        <w:t xml:space="preserve"> savā pārskatā “E-rēķinu ceļojums 2019.-2025.”</w:t>
      </w:r>
      <w:r w:rsidRPr="0006376E">
        <w:rPr>
          <w:vertAlign w:val="superscript"/>
        </w:rPr>
        <w:footnoteReference w:id="32"/>
      </w:r>
      <w:r w:rsidRPr="0006376E">
        <w:t xml:space="preserve"> uzskata, ka būtisku progresu ēnu ekonomikas apkarošanā nevar sasniegt, ja </w:t>
      </w:r>
      <w:r w:rsidR="00B7545F">
        <w:t>e-</w:t>
      </w:r>
      <w:r w:rsidRPr="0006376E">
        <w:t>rēķinu lietošana ir tikai brīvprātīga. Tādēļ B2G un B2B e-rēķinu lietošana būtu nosakāma kā obligāta, savukārt B2C e-rēķinu izmantošana, ņemot vērā patērētāju dažādās datora lietošanas prasmes, kā brīvprātīga.</w:t>
      </w:r>
      <w:r w:rsidR="00EB4061" w:rsidRPr="00EB4061">
        <w:t xml:space="preserve"> Pakalpojumu sniedzējiem nav nepieciešams ziņot valsts pārvaldes iestādēm par viņu informācijas sistēmās izveidotajiem un esošajiem B2C e-rēķiniem. Pēc veiksmīgas B2B un B2G e-rēķinu aprites aprobācijas, piedāvāto risinājumu </w:t>
      </w:r>
      <w:proofErr w:type="spellStart"/>
      <w:r w:rsidR="00EB4061" w:rsidRPr="00EB4061">
        <w:t>nātkonē</w:t>
      </w:r>
      <w:proofErr w:type="spellEnd"/>
      <w:r w:rsidR="00EB4061" w:rsidRPr="00EB4061">
        <w:t xml:space="preserve"> būs iespējams paplašināt - nepieciešamības gadījumā nosakot arī B2C e-rēķinu apriti par obligātu.</w:t>
      </w:r>
    </w:p>
    <w:p w14:paraId="4199D88B" w14:textId="0A188655" w:rsidR="00225A01" w:rsidRDefault="00225A01" w:rsidP="00F65DFC">
      <w:pPr>
        <w:spacing w:line="276" w:lineRule="auto"/>
        <w:ind w:firstLine="720"/>
      </w:pPr>
      <w:r w:rsidRPr="00225A01">
        <w:t>E-rēķinu ieviešanai – jāturpina attīstīt jau esošais risinājums, kas paredzēts komersants ar valsts pārvaldi (B2G) un jāievēro PEPPOL BIS standarts, kas šobrīd valstij nosaka pienākumu pieņemt elektroniskos rēķinus, taču perspektīvā tam būtu jābūt obligātam pasākumam arī komersantam ar komersantu (B2B), taču būtu jāparedz pakāpenisks pārejas periods. E-rēķinu apritei būtu jānotiek izmantojot operatorus, kas nodrošina PEPPOL standartus. Šobrīd šādu operatoru skaits varētu būt neliels, taču tiem ir jau gatava infrastruktūra e-rēķinu apmaiņai, līdz ar to samazinātos ieguldāmie resursi valsts pusē.</w:t>
      </w:r>
    </w:p>
    <w:p w14:paraId="73D5CABA" w14:textId="0422C821" w:rsidR="00923FA4" w:rsidRDefault="0006376E" w:rsidP="00923FA4">
      <w:pPr>
        <w:spacing w:line="276" w:lineRule="auto"/>
        <w:ind w:firstLine="720"/>
      </w:pPr>
      <w:r w:rsidRPr="0006376E">
        <w:t>Taču ņem</w:t>
      </w:r>
      <w:r w:rsidR="7A1ED7D7">
        <w:t>ot</w:t>
      </w:r>
      <w:r w:rsidRPr="0006376E">
        <w:t xml:space="preserve"> vērā, ka daļa komersantu varētu uzskatīt e-rēķinu obligātu izmantošanu kā papildus finansiālu slogu, e-rēķinu ieviešanai normatīvajos aktos būtu vēlams paredzēt pārejas periodu, kurā prasība to lietošanai būtu tikai rekomendējoša. Šāda pakāpeniska ieviešana ļaus izvairīties no komersantu finansiālas ietekmes COVID-19 pandēmijas radītās krīzes apstākļos kā arī dos laiku Latvijas tirgū ienākt jauniem PEPPOL piekļuves punkta pakalpojumu sniedzējiem. Vēlams pārejas periodam atvēlēt ne</w:t>
      </w:r>
      <w:r w:rsidR="20AF2F5F" w:rsidRPr="0006376E">
        <w:t xml:space="preserve"> </w:t>
      </w:r>
      <w:r w:rsidRPr="0006376E">
        <w:t xml:space="preserve">mazāk par 24 mēnešiem, bet prasībai obligātai B2G un B2B e-rēķinu lietošanai stāties spēkā ne vēlāk kā sākot ar </w:t>
      </w:r>
      <w:r w:rsidR="00000D97" w:rsidRPr="0006376E">
        <w:t>202</w:t>
      </w:r>
      <w:r w:rsidR="00000D97">
        <w:t>5</w:t>
      </w:r>
      <w:r w:rsidRPr="0006376E">
        <w:t>.</w:t>
      </w:r>
      <w:r w:rsidR="00270E69">
        <w:t> </w:t>
      </w:r>
      <w:r w:rsidRPr="0006376E">
        <w:t>gadu.</w:t>
      </w:r>
      <w:r w:rsidR="00923FA4">
        <w:t xml:space="preserve"> Papildus nosakot e-rēķinu izmantošanas obligātumu jāņem vērā</w:t>
      </w:r>
      <w:r w:rsidR="00945DAF">
        <w:t xml:space="preserve"> arī to</w:t>
      </w:r>
      <w:r w:rsidR="00923FA4">
        <w:t>, ka e-adreses izmantošana juridiskām personām noteikta kā obligāta sākot ar 2023.</w:t>
      </w:r>
      <w:r w:rsidR="00387E05">
        <w:t> </w:t>
      </w:r>
      <w:r w:rsidR="00923FA4">
        <w:t>gada 1.</w:t>
      </w:r>
      <w:r w:rsidR="00387E05">
        <w:t> </w:t>
      </w:r>
      <w:r w:rsidR="00923FA4">
        <w:t xml:space="preserve">janvāri, tādēļ </w:t>
      </w:r>
      <w:r w:rsidR="00923FA4" w:rsidRPr="00923FA4">
        <w:t xml:space="preserve">prasībai obligātai e-rēķinu lietošanai </w:t>
      </w:r>
      <w:r w:rsidR="00923FA4">
        <w:t>jāstājas spēkā pēc minētā datuma.</w:t>
      </w:r>
    </w:p>
    <w:p w14:paraId="200342B3" w14:textId="2FFF135A" w:rsidR="00521134" w:rsidRDefault="47DD42C5" w:rsidP="00C243E0">
      <w:pPr>
        <w:spacing w:line="276" w:lineRule="auto"/>
        <w:ind w:firstLine="720"/>
        <w:rPr>
          <w:rFonts w:eastAsia="Times New Roman" w:cs="Times New Roman"/>
          <w:szCs w:val="24"/>
        </w:rPr>
      </w:pPr>
      <w:r w:rsidRPr="7842FC33">
        <w:rPr>
          <w:rFonts w:eastAsia="Times New Roman" w:cs="Times New Roman"/>
          <w:szCs w:val="24"/>
        </w:rPr>
        <w:t xml:space="preserve">Lai e-rēķinu ieviešanā nepieciešamie līdzekļi tiktu izlietoti racionāli, atbilstoši mērķim un netiktu radītas dārgas un sarežģītas sistēmas liela apjoma datu uzkrāšanai centralizētā veidā, kuri nav nepieciešami ikdienas darba vajadzībām ne nodokļu administrēšanas nolūkiem ne citām valsts pārvaldes funkcijām, atbalstāma ir decentralizēta e-rēķinu aprites sistēmas ieviešana, ko nodrošinātu </w:t>
      </w:r>
      <w:r w:rsidR="00FE16EA" w:rsidRPr="00FE16EA">
        <w:rPr>
          <w:rFonts w:eastAsia="Times New Roman" w:cs="Times New Roman"/>
          <w:szCs w:val="24"/>
        </w:rPr>
        <w:t>reģistrēti pakalpojumu sniedzēji</w:t>
      </w:r>
      <w:r w:rsidR="00103D8D">
        <w:rPr>
          <w:rFonts w:eastAsia="Times New Roman" w:cs="Times New Roman"/>
          <w:szCs w:val="24"/>
        </w:rPr>
        <w:t>, vienlaicīgi nododot</w:t>
      </w:r>
      <w:r w:rsidRPr="7842FC33">
        <w:rPr>
          <w:rFonts w:eastAsia="Times New Roman" w:cs="Times New Roman"/>
          <w:szCs w:val="24"/>
        </w:rPr>
        <w:t xml:space="preserve"> </w:t>
      </w:r>
      <w:r w:rsidR="00FE16EA">
        <w:rPr>
          <w:rFonts w:eastAsia="Times New Roman" w:cs="Times New Roman"/>
          <w:szCs w:val="24"/>
        </w:rPr>
        <w:t xml:space="preserve">analīzes datus </w:t>
      </w:r>
      <w:r w:rsidR="00A64337">
        <w:rPr>
          <w:rFonts w:eastAsia="Times New Roman" w:cs="Times New Roman"/>
          <w:szCs w:val="24"/>
        </w:rPr>
        <w:t xml:space="preserve">un e-rēķinus </w:t>
      </w:r>
      <w:r w:rsidR="00103D8D">
        <w:rPr>
          <w:rFonts w:eastAsia="Times New Roman" w:cs="Times New Roman"/>
          <w:szCs w:val="24"/>
        </w:rPr>
        <w:t>nodokļu administrēšanai VID.</w:t>
      </w:r>
    </w:p>
    <w:p w14:paraId="5CDC8EF7" w14:textId="59DDEFD3" w:rsidR="001D3E60" w:rsidRDefault="001D3E60" w:rsidP="00C243E0">
      <w:pPr>
        <w:spacing w:line="276" w:lineRule="auto"/>
        <w:ind w:firstLine="720"/>
        <w:rPr>
          <w:rFonts w:eastAsia="Times New Roman" w:cs="Times New Roman"/>
        </w:rPr>
      </w:pPr>
      <w:r>
        <w:rPr>
          <w:rFonts w:eastAsia="Times New Roman" w:cs="Times New Roman"/>
        </w:rPr>
        <w:t>E</w:t>
      </w:r>
      <w:r w:rsidRPr="001D3E60">
        <w:rPr>
          <w:rFonts w:eastAsia="Times New Roman" w:cs="Times New Roman"/>
        </w:rPr>
        <w:t>-rēķinu attīstība</w:t>
      </w:r>
      <w:r>
        <w:rPr>
          <w:rFonts w:eastAsia="Times New Roman" w:cs="Times New Roman"/>
        </w:rPr>
        <w:t>i</w:t>
      </w:r>
      <w:r w:rsidRPr="001D3E60">
        <w:rPr>
          <w:rFonts w:eastAsia="Times New Roman" w:cs="Times New Roman"/>
        </w:rPr>
        <w:t xml:space="preserve"> ir svarīgi </w:t>
      </w:r>
      <w:r>
        <w:rPr>
          <w:rFonts w:eastAsia="Times New Roman" w:cs="Times New Roman"/>
        </w:rPr>
        <w:t>normatīvajos aktos noteikt</w:t>
      </w:r>
      <w:r w:rsidRPr="001D3E60">
        <w:rPr>
          <w:rFonts w:eastAsia="Times New Roman" w:cs="Times New Roman"/>
        </w:rPr>
        <w:t xml:space="preserve">, ka </w:t>
      </w:r>
      <w:r>
        <w:rPr>
          <w:rFonts w:eastAsia="Times New Roman" w:cs="Times New Roman"/>
        </w:rPr>
        <w:t xml:space="preserve">neatkarīgi no tā, kādu izdevumu attaisnojošo dokumentu apriti komersanti izmanto saskaņā ar noslēgtiem </w:t>
      </w:r>
      <w:r>
        <w:rPr>
          <w:rFonts w:eastAsia="Times New Roman" w:cs="Times New Roman"/>
        </w:rPr>
        <w:lastRenderedPageBreak/>
        <w:t xml:space="preserve">līgumiem </w:t>
      </w:r>
      <w:r w:rsidRPr="001D3E60">
        <w:rPr>
          <w:rFonts w:eastAsia="Times New Roman" w:cs="Times New Roman"/>
        </w:rPr>
        <w:t>(piemēram, PDF e-pastā vai papīra formātā)</w:t>
      </w:r>
      <w:r>
        <w:rPr>
          <w:rFonts w:eastAsia="Times New Roman" w:cs="Times New Roman"/>
        </w:rPr>
        <w:t>, pēc obligātas elektronisko rēķinu ieviešanas abām pusēm ir saistoši elektroniskā sistēmā noformēti e-rēķini.</w:t>
      </w:r>
    </w:p>
    <w:p w14:paraId="7795132B" w14:textId="42086662" w:rsidR="00DD6752" w:rsidRDefault="00DD6752">
      <w:pPr>
        <w:spacing w:after="160"/>
        <w:jc w:val="left"/>
      </w:pPr>
    </w:p>
    <w:p w14:paraId="3B2870E9" w14:textId="4D884612" w:rsidR="00B131FA" w:rsidRDefault="00B131FA" w:rsidP="001671F1">
      <w:pPr>
        <w:pStyle w:val="Heading1"/>
      </w:pPr>
      <w:bookmarkStart w:id="16" w:name="_Toc72136656"/>
      <w:r>
        <w:t>Secinājumi un priekšlikumi</w:t>
      </w:r>
      <w:bookmarkEnd w:id="16"/>
    </w:p>
    <w:p w14:paraId="7168DA8D" w14:textId="77777777" w:rsidR="001671F1" w:rsidRDefault="001671F1"/>
    <w:p w14:paraId="3A474670" w14:textId="2219D39F" w:rsidR="001671F1" w:rsidRPr="00B131FA" w:rsidRDefault="7DE98E17" w:rsidP="00F85D98">
      <w:pPr>
        <w:spacing w:line="276" w:lineRule="auto"/>
        <w:ind w:firstLine="720"/>
        <w:rPr>
          <w:rFonts w:eastAsia="Times New Roman" w:cs="Times New Roman"/>
          <w:color w:val="333333"/>
          <w:szCs w:val="24"/>
        </w:rPr>
      </w:pPr>
      <w:r w:rsidRPr="7842FC33">
        <w:rPr>
          <w:rFonts w:eastAsia="Times New Roman" w:cs="Times New Roman"/>
          <w:color w:val="333333"/>
          <w:szCs w:val="24"/>
        </w:rPr>
        <w:t>Pētījumā "Vadītāja digitālais portrets 2020" uzsvērts, ka attālinātās strādāšanas laikmetā aizvien lielāku nozīmi iegūst elektr</w:t>
      </w:r>
      <w:r w:rsidR="001202C1">
        <w:rPr>
          <w:rFonts w:eastAsia="Times New Roman" w:cs="Times New Roman"/>
          <w:color w:val="333333"/>
          <w:szCs w:val="24"/>
        </w:rPr>
        <w:t xml:space="preserve">oniskie risinājumi. Saskaņā ar </w:t>
      </w:r>
      <w:r w:rsidR="00B104D2">
        <w:rPr>
          <w:rFonts w:eastAsia="Times New Roman" w:cs="Times New Roman"/>
          <w:color w:val="333333"/>
          <w:szCs w:val="24"/>
        </w:rPr>
        <w:t xml:space="preserve">šo </w:t>
      </w:r>
      <w:r w:rsidR="007B6688">
        <w:rPr>
          <w:rFonts w:eastAsia="Times New Roman" w:cs="Times New Roman"/>
          <w:color w:val="333333"/>
          <w:szCs w:val="24"/>
        </w:rPr>
        <w:t>pētījumu š</w:t>
      </w:r>
      <w:r w:rsidRPr="7842FC33">
        <w:rPr>
          <w:rFonts w:eastAsia="Times New Roman" w:cs="Times New Roman"/>
          <w:color w:val="333333"/>
          <w:szCs w:val="24"/>
        </w:rPr>
        <w:t>obrīd jau 38,5</w:t>
      </w:r>
      <w:r w:rsidR="00D43923">
        <w:rPr>
          <w:rFonts w:eastAsia="Times New Roman" w:cs="Times New Roman"/>
          <w:color w:val="333333"/>
          <w:szCs w:val="24"/>
        </w:rPr>
        <w:t> </w:t>
      </w:r>
      <w:r w:rsidRPr="7842FC33">
        <w:rPr>
          <w:rFonts w:eastAsia="Times New Roman" w:cs="Times New Roman"/>
          <w:color w:val="333333"/>
          <w:szCs w:val="24"/>
        </w:rPr>
        <w:t>% uzņēmumu izmanto automātisku rēķinu sagatavošanu un piegādi, tādējādi atvieglojot darbu grāmatvežiem un parūpējoties par ātrāku naudas apriti. Noskaidrots, ka gandrīz četri no katriem desmit uzņēmumiem jau spēj sagatavot rēķinus automātiski, taču interese par šādu iespēju ir krietni lielāka. 70</w:t>
      </w:r>
      <w:r w:rsidR="00CC0A90">
        <w:rPr>
          <w:rFonts w:eastAsia="Times New Roman" w:cs="Times New Roman"/>
          <w:color w:val="333333"/>
          <w:szCs w:val="24"/>
        </w:rPr>
        <w:t> </w:t>
      </w:r>
      <w:r w:rsidRPr="7842FC33">
        <w:rPr>
          <w:rFonts w:eastAsia="Times New Roman" w:cs="Times New Roman"/>
          <w:color w:val="333333"/>
          <w:szCs w:val="24"/>
        </w:rPr>
        <w:t xml:space="preserve">% biznesa vadītāju atzīst, ka vēlētos rēķinus un pavadzīmes pārvaldīt tikai elektroniskā formā. Vēl </w:t>
      </w:r>
      <w:r w:rsidR="24196D74" w:rsidRPr="7842FC33">
        <w:rPr>
          <w:rFonts w:eastAsia="Times New Roman" w:cs="Times New Roman"/>
          <w:color w:val="333333"/>
          <w:szCs w:val="24"/>
        </w:rPr>
        <w:t>202</w:t>
      </w:r>
      <w:r w:rsidR="0A34C7F1" w:rsidRPr="7842FC33">
        <w:rPr>
          <w:rFonts w:eastAsia="Times New Roman" w:cs="Times New Roman"/>
          <w:color w:val="333333"/>
          <w:szCs w:val="24"/>
        </w:rPr>
        <w:t>0</w:t>
      </w:r>
      <w:r w:rsidR="24196D74" w:rsidRPr="7842FC33">
        <w:rPr>
          <w:rFonts w:eastAsia="Times New Roman" w:cs="Times New Roman"/>
          <w:color w:val="333333"/>
          <w:szCs w:val="24"/>
        </w:rPr>
        <w:t>.</w:t>
      </w:r>
      <w:r w:rsidR="00CC0A90">
        <w:rPr>
          <w:rFonts w:eastAsia="Times New Roman" w:cs="Times New Roman"/>
          <w:color w:val="333333"/>
          <w:szCs w:val="24"/>
        </w:rPr>
        <w:t> </w:t>
      </w:r>
      <w:r w:rsidR="24196D74" w:rsidRPr="7842FC33">
        <w:rPr>
          <w:rFonts w:eastAsia="Times New Roman" w:cs="Times New Roman"/>
          <w:color w:val="333333"/>
          <w:szCs w:val="24"/>
        </w:rPr>
        <w:t xml:space="preserve">gada </w:t>
      </w:r>
      <w:r w:rsidRPr="7842FC33">
        <w:rPr>
          <w:rFonts w:eastAsia="Times New Roman" w:cs="Times New Roman"/>
          <w:color w:val="333333"/>
          <w:szCs w:val="24"/>
        </w:rPr>
        <w:t>pavasarī interesi par automātisku rēķinu izrakstīšanu izrādīja 34,3</w:t>
      </w:r>
      <w:r w:rsidR="00CC0A90">
        <w:rPr>
          <w:rFonts w:eastAsia="Times New Roman" w:cs="Times New Roman"/>
          <w:color w:val="333333"/>
          <w:szCs w:val="24"/>
        </w:rPr>
        <w:t> </w:t>
      </w:r>
      <w:r w:rsidRPr="7842FC33">
        <w:rPr>
          <w:rFonts w:eastAsia="Times New Roman" w:cs="Times New Roman"/>
          <w:color w:val="333333"/>
          <w:szCs w:val="24"/>
        </w:rPr>
        <w:t>% respondentu jeb divas reizes mazāk</w:t>
      </w:r>
      <w:r w:rsidR="007B6688">
        <w:rPr>
          <w:rStyle w:val="FootnoteReference"/>
          <w:rFonts w:eastAsia="Times New Roman" w:cs="Times New Roman"/>
          <w:color w:val="333333"/>
          <w:szCs w:val="24"/>
        </w:rPr>
        <w:footnoteReference w:id="33"/>
      </w:r>
      <w:r w:rsidRPr="7842FC33">
        <w:rPr>
          <w:rFonts w:eastAsia="Times New Roman" w:cs="Times New Roman"/>
          <w:color w:val="333333"/>
          <w:szCs w:val="24"/>
        </w:rPr>
        <w:t>.</w:t>
      </w:r>
    </w:p>
    <w:p w14:paraId="6094BAD3" w14:textId="6FEE19DD" w:rsidR="001671F1" w:rsidRPr="00B131FA" w:rsidRDefault="7DE98E17" w:rsidP="00F85D98">
      <w:pPr>
        <w:spacing w:line="276" w:lineRule="auto"/>
        <w:ind w:firstLine="720"/>
        <w:rPr>
          <w:rFonts w:eastAsia="Times New Roman" w:cs="Times New Roman"/>
          <w:szCs w:val="24"/>
        </w:rPr>
      </w:pPr>
      <w:r w:rsidRPr="7842FC33">
        <w:rPr>
          <w:rFonts w:eastAsia="Times New Roman" w:cs="Times New Roman"/>
          <w:szCs w:val="24"/>
        </w:rPr>
        <w:t xml:space="preserve">Lai noskaidrotu komersantu un nevalstisko organizāciju viedokli un gatavību uzsākt </w:t>
      </w:r>
      <w:r w:rsidR="00B7545F">
        <w:rPr>
          <w:rFonts w:eastAsia="Times New Roman" w:cs="Times New Roman"/>
          <w:szCs w:val="24"/>
        </w:rPr>
        <w:t>e-</w:t>
      </w:r>
      <w:r w:rsidRPr="7842FC33">
        <w:rPr>
          <w:rFonts w:eastAsia="Times New Roman" w:cs="Times New Roman"/>
          <w:szCs w:val="24"/>
        </w:rPr>
        <w:t>rēķinu izmantošanu, tika nosūtīts aicinājums virknei nozaru asociācijām un nevalstiskajām organizācijām kā tautsaimniecības nozaru ekspertiem, sniegt viedokli uz šādiem jautājumiem:</w:t>
      </w:r>
    </w:p>
    <w:p w14:paraId="0D8EF7FD" w14:textId="0D1ED5F3" w:rsidR="001671F1" w:rsidRPr="00B131FA" w:rsidRDefault="7DE98E17" w:rsidP="00F85D98">
      <w:pPr>
        <w:pStyle w:val="ListParagraph"/>
        <w:numPr>
          <w:ilvl w:val="0"/>
          <w:numId w:val="5"/>
        </w:numPr>
        <w:spacing w:line="276" w:lineRule="auto"/>
        <w:rPr>
          <w:rFonts w:asciiTheme="minorHAnsi" w:eastAsiaTheme="minorEastAsia" w:hAnsiTheme="minorHAnsi"/>
          <w:color w:val="000000" w:themeColor="text1"/>
          <w:szCs w:val="24"/>
        </w:rPr>
      </w:pPr>
      <w:r w:rsidRPr="7842FC33">
        <w:rPr>
          <w:rFonts w:eastAsia="Times New Roman" w:cs="Times New Roman"/>
          <w:color w:val="000000" w:themeColor="text1"/>
          <w:szCs w:val="24"/>
        </w:rPr>
        <w:t xml:space="preserve">Vai </w:t>
      </w:r>
      <w:r w:rsidR="00B7545F">
        <w:rPr>
          <w:rFonts w:eastAsia="Times New Roman" w:cs="Times New Roman"/>
          <w:color w:val="000000" w:themeColor="text1"/>
          <w:szCs w:val="24"/>
        </w:rPr>
        <w:t>e-</w:t>
      </w:r>
      <w:r w:rsidRPr="7842FC33">
        <w:rPr>
          <w:rFonts w:eastAsia="Times New Roman" w:cs="Times New Roman"/>
          <w:color w:val="000000" w:themeColor="text1"/>
          <w:szCs w:val="24"/>
        </w:rPr>
        <w:t xml:space="preserve">rēķinu aprite komersantiem vairāk būtu piemērota kā centralizēta datu apmaiņas valsts informācijas sistēma, kurā datu apmaiņa un uzglabāšana notiek vienā vienotā sistēmā, vai decentralizēta, uzticot </w:t>
      </w:r>
      <w:r w:rsidR="00B7545F">
        <w:rPr>
          <w:rFonts w:eastAsia="Times New Roman" w:cs="Times New Roman"/>
          <w:color w:val="000000" w:themeColor="text1"/>
          <w:szCs w:val="24"/>
        </w:rPr>
        <w:t>e-</w:t>
      </w:r>
      <w:r w:rsidRPr="7842FC33">
        <w:rPr>
          <w:rFonts w:eastAsia="Times New Roman" w:cs="Times New Roman"/>
          <w:color w:val="000000" w:themeColor="text1"/>
          <w:szCs w:val="24"/>
        </w:rPr>
        <w:t>rēķinu apriti autorizētiem komersantiem/operatoriem?</w:t>
      </w:r>
    </w:p>
    <w:p w14:paraId="182FA77E" w14:textId="2FBFA111" w:rsidR="001671F1" w:rsidRPr="00B131FA" w:rsidRDefault="7DE98E17" w:rsidP="00F85D98">
      <w:pPr>
        <w:pStyle w:val="ListParagraph"/>
        <w:numPr>
          <w:ilvl w:val="0"/>
          <w:numId w:val="5"/>
        </w:numPr>
        <w:spacing w:line="276" w:lineRule="auto"/>
        <w:rPr>
          <w:rFonts w:asciiTheme="minorHAnsi" w:eastAsiaTheme="minorEastAsia" w:hAnsiTheme="minorHAnsi"/>
          <w:color w:val="000000" w:themeColor="text1"/>
          <w:szCs w:val="24"/>
        </w:rPr>
      </w:pPr>
      <w:r w:rsidRPr="7842FC33">
        <w:rPr>
          <w:rFonts w:eastAsia="Times New Roman" w:cs="Times New Roman"/>
          <w:color w:val="000000" w:themeColor="text1"/>
          <w:szCs w:val="24"/>
        </w:rPr>
        <w:t xml:space="preserve">Vai atbilstoši komersantu viedoklim </w:t>
      </w:r>
      <w:r w:rsidR="00B7545F">
        <w:rPr>
          <w:rFonts w:eastAsia="Times New Roman" w:cs="Times New Roman"/>
          <w:color w:val="000000" w:themeColor="text1"/>
          <w:szCs w:val="24"/>
        </w:rPr>
        <w:t>e-</w:t>
      </w:r>
      <w:r w:rsidRPr="7842FC33">
        <w:rPr>
          <w:rFonts w:eastAsia="Times New Roman" w:cs="Times New Roman"/>
          <w:color w:val="000000" w:themeColor="text1"/>
          <w:szCs w:val="24"/>
        </w:rPr>
        <w:t>rēķinu aprite normatīvajos aktos būtu nosakāma kā obligāts pienākums vai komersantu tiesības izvēlēties šādu iespēju?</w:t>
      </w:r>
    </w:p>
    <w:p w14:paraId="5BCCED49" w14:textId="77777777" w:rsidR="002A3977" w:rsidRPr="002A3977" w:rsidRDefault="7DE98E17" w:rsidP="006F1478">
      <w:pPr>
        <w:pStyle w:val="ListParagraph"/>
        <w:numPr>
          <w:ilvl w:val="0"/>
          <w:numId w:val="5"/>
        </w:numPr>
        <w:spacing w:line="276" w:lineRule="auto"/>
        <w:rPr>
          <w:rFonts w:asciiTheme="minorHAnsi" w:eastAsiaTheme="minorEastAsia" w:hAnsiTheme="minorHAnsi"/>
          <w:color w:val="000000" w:themeColor="text1"/>
          <w:szCs w:val="24"/>
        </w:rPr>
      </w:pPr>
      <w:r w:rsidRPr="7842FC33">
        <w:rPr>
          <w:rFonts w:eastAsia="Times New Roman" w:cs="Times New Roman"/>
          <w:color w:val="000000" w:themeColor="text1"/>
          <w:szCs w:val="24"/>
        </w:rPr>
        <w:t xml:space="preserve">Kādus ieguvumus komersanti vēlētos sagaidīt no </w:t>
      </w:r>
      <w:r w:rsidR="00B7545F">
        <w:rPr>
          <w:rFonts w:eastAsia="Times New Roman" w:cs="Times New Roman"/>
          <w:color w:val="000000" w:themeColor="text1"/>
          <w:szCs w:val="24"/>
        </w:rPr>
        <w:t>e-</w:t>
      </w:r>
      <w:r w:rsidRPr="7842FC33">
        <w:rPr>
          <w:rFonts w:eastAsia="Times New Roman" w:cs="Times New Roman"/>
          <w:color w:val="000000" w:themeColor="text1"/>
          <w:szCs w:val="24"/>
        </w:rPr>
        <w:t>rēķinu aprites ieviešanas gan saskarsmē ar nodokļu administrāciju, gan citām nozares darbībai nozīmīgām valsts pārvaldes iestādēm (piem., deklar</w:t>
      </w:r>
      <w:r w:rsidR="006F1478">
        <w:rPr>
          <w:rFonts w:eastAsia="Times New Roman" w:cs="Times New Roman"/>
          <w:color w:val="000000" w:themeColor="text1"/>
          <w:szCs w:val="24"/>
        </w:rPr>
        <w:t xml:space="preserve">āciju vai atskaišu iesniegšana, </w:t>
      </w:r>
      <w:r w:rsidRPr="7842FC33">
        <w:rPr>
          <w:rFonts w:eastAsia="Times New Roman" w:cs="Times New Roman"/>
          <w:color w:val="000000" w:themeColor="text1"/>
          <w:szCs w:val="24"/>
        </w:rPr>
        <w:t>komercdarbības uzraudzība u.c.)?</w:t>
      </w:r>
    </w:p>
    <w:p w14:paraId="3871FFD8" w14:textId="78886508" w:rsidR="00D0533F" w:rsidRPr="00D0533F" w:rsidRDefault="00D0533F" w:rsidP="002A3977">
      <w:pPr>
        <w:pStyle w:val="ListParagraph"/>
        <w:spacing w:line="276" w:lineRule="auto"/>
        <w:rPr>
          <w:rFonts w:asciiTheme="minorHAnsi" w:eastAsiaTheme="minorEastAsia" w:hAnsiTheme="minorHAnsi"/>
          <w:color w:val="000000" w:themeColor="text1"/>
          <w:szCs w:val="24"/>
        </w:rPr>
      </w:pPr>
    </w:p>
    <w:p w14:paraId="7C82E664" w14:textId="5F49F6E9" w:rsidR="00843BB2" w:rsidRDefault="7DE98E17" w:rsidP="00F65DFC">
      <w:pPr>
        <w:spacing w:line="276" w:lineRule="auto"/>
        <w:ind w:firstLine="720"/>
      </w:pPr>
      <w:r w:rsidRPr="00D34AA0">
        <w:rPr>
          <w:rFonts w:eastAsia="Times New Roman" w:cs="Times New Roman"/>
          <w:color w:val="333333"/>
          <w:szCs w:val="24"/>
        </w:rPr>
        <w:t xml:space="preserve">Kopumā tika saņemti ap 30 dažādi viedokļi no biedrībām un asociācijām. Uz jautājumu, vai </w:t>
      </w:r>
      <w:r w:rsidR="00B7545F">
        <w:rPr>
          <w:rFonts w:eastAsia="Times New Roman" w:cs="Times New Roman"/>
          <w:color w:val="333333"/>
          <w:szCs w:val="24"/>
        </w:rPr>
        <w:t>e-</w:t>
      </w:r>
      <w:r w:rsidRPr="00D34AA0">
        <w:rPr>
          <w:rFonts w:eastAsia="Times New Roman" w:cs="Times New Roman"/>
          <w:color w:val="333333"/>
          <w:szCs w:val="24"/>
        </w:rPr>
        <w:t xml:space="preserve">rēķinu aprite būtu jāveido kā centralizēta datu apmaiņas valsts informācijas sistēma, vai kā decentralizēta, uzticot šo </w:t>
      </w:r>
      <w:r w:rsidR="00B7545F">
        <w:rPr>
          <w:rFonts w:eastAsia="Times New Roman" w:cs="Times New Roman"/>
          <w:color w:val="333333"/>
          <w:szCs w:val="24"/>
        </w:rPr>
        <w:t>e-</w:t>
      </w:r>
      <w:r w:rsidRPr="00D34AA0">
        <w:rPr>
          <w:rFonts w:eastAsia="Times New Roman" w:cs="Times New Roman"/>
          <w:color w:val="333333"/>
          <w:szCs w:val="24"/>
        </w:rPr>
        <w:t>rēķinu apriti autorizētiem komersantiem, atbildes saņemtas līdzīgās proporcijās – 28</w:t>
      </w:r>
      <w:r w:rsidR="00CC0A90">
        <w:rPr>
          <w:rFonts w:eastAsia="Times New Roman" w:cs="Times New Roman"/>
          <w:color w:val="333333"/>
          <w:szCs w:val="24"/>
        </w:rPr>
        <w:t> </w:t>
      </w:r>
      <w:r w:rsidRPr="00D34AA0">
        <w:rPr>
          <w:rFonts w:eastAsia="Times New Roman" w:cs="Times New Roman"/>
          <w:color w:val="333333"/>
          <w:szCs w:val="24"/>
        </w:rPr>
        <w:t>% uzskata, ka centralizēti, 32</w:t>
      </w:r>
      <w:r w:rsidR="00CC0A90">
        <w:rPr>
          <w:rFonts w:eastAsia="Times New Roman" w:cs="Times New Roman"/>
          <w:color w:val="333333"/>
          <w:szCs w:val="24"/>
        </w:rPr>
        <w:t> </w:t>
      </w:r>
      <w:r w:rsidRPr="00D34AA0">
        <w:rPr>
          <w:rFonts w:eastAsia="Times New Roman" w:cs="Times New Roman"/>
          <w:color w:val="333333"/>
          <w:szCs w:val="24"/>
        </w:rPr>
        <w:t xml:space="preserve">%, ka decentralizēti. Arī uz otro jautājumu, vai </w:t>
      </w:r>
      <w:r w:rsidR="00B7545F">
        <w:rPr>
          <w:rFonts w:eastAsia="Times New Roman" w:cs="Times New Roman"/>
          <w:color w:val="333333"/>
          <w:szCs w:val="24"/>
        </w:rPr>
        <w:t>e-</w:t>
      </w:r>
      <w:r w:rsidRPr="00D34AA0">
        <w:rPr>
          <w:rFonts w:eastAsia="Times New Roman" w:cs="Times New Roman"/>
          <w:color w:val="333333"/>
          <w:szCs w:val="24"/>
        </w:rPr>
        <w:t>rēķinu lietojums būtu jānosaka kā pienākums, vai tiesības izvēlēties, atbildes sadalās līdzīgi, tomēr 42</w:t>
      </w:r>
      <w:r w:rsidR="00CC0A90">
        <w:rPr>
          <w:rFonts w:eastAsia="Times New Roman" w:cs="Times New Roman"/>
          <w:color w:val="333333"/>
          <w:szCs w:val="24"/>
        </w:rPr>
        <w:t> </w:t>
      </w:r>
      <w:r w:rsidRPr="00D34AA0">
        <w:rPr>
          <w:rFonts w:eastAsia="Times New Roman" w:cs="Times New Roman"/>
          <w:color w:val="333333"/>
          <w:szCs w:val="24"/>
        </w:rPr>
        <w:t>% domā, ka būtu jāievieš obligāts e-rēķinu lietojums, lai sasniegtu izvirzītos mērķus. 37</w:t>
      </w:r>
      <w:r w:rsidR="00CC0A90">
        <w:rPr>
          <w:rFonts w:eastAsia="Times New Roman" w:cs="Times New Roman"/>
          <w:color w:val="333333"/>
          <w:szCs w:val="24"/>
        </w:rPr>
        <w:t> </w:t>
      </w:r>
      <w:r w:rsidRPr="00D34AA0">
        <w:rPr>
          <w:rFonts w:eastAsia="Times New Roman" w:cs="Times New Roman"/>
          <w:color w:val="333333"/>
          <w:szCs w:val="24"/>
        </w:rPr>
        <w:t>% uzskata, ka nepieciešamas tiesības izvēlēties, lietot vai nē šo sistēmu. 21</w:t>
      </w:r>
      <w:r w:rsidR="00CC0A90">
        <w:rPr>
          <w:rFonts w:eastAsia="Times New Roman" w:cs="Times New Roman"/>
          <w:color w:val="333333"/>
          <w:szCs w:val="24"/>
        </w:rPr>
        <w:t> </w:t>
      </w:r>
      <w:r w:rsidRPr="00D34AA0">
        <w:rPr>
          <w:rFonts w:eastAsia="Times New Roman" w:cs="Times New Roman"/>
          <w:color w:val="333333"/>
          <w:szCs w:val="24"/>
        </w:rPr>
        <w:t xml:space="preserve">% atbildēs sniegts viedoklis, ka būtu jābūt pakāpeniskai pārejai uz obligātumu sistēmas ieviešanā. Uz </w:t>
      </w:r>
      <w:r w:rsidRPr="00D34AA0">
        <w:rPr>
          <w:rFonts w:eastAsia="Times New Roman" w:cs="Times New Roman"/>
          <w:color w:val="333333"/>
          <w:szCs w:val="24"/>
        </w:rPr>
        <w:lastRenderedPageBreak/>
        <w:t xml:space="preserve">jautājumu, kādus ieguvumus komersanti redz, ieviešot </w:t>
      </w:r>
      <w:r w:rsidR="00B7545F">
        <w:rPr>
          <w:rFonts w:eastAsia="Times New Roman" w:cs="Times New Roman"/>
          <w:color w:val="333333"/>
          <w:szCs w:val="24"/>
        </w:rPr>
        <w:t>e-</w:t>
      </w:r>
      <w:r w:rsidRPr="00D34AA0">
        <w:rPr>
          <w:rFonts w:eastAsia="Times New Roman" w:cs="Times New Roman"/>
          <w:color w:val="333333"/>
          <w:szCs w:val="24"/>
        </w:rPr>
        <w:t xml:space="preserve">rēķinu apriti, minēta administratīvo resursu samazināšanās, datu integrācija starp atskaitēm un rēķiniem, automātiska deklarāciju aizpildīšanas iespēja, datu izmantošana atskaitēm u.c. Tomēr, jāatzīst, ka uzņēmēju domas dalās – uzņēmēji ar lielāku kapacitāti un iespējām vairāk atbalsta obligātu </w:t>
      </w:r>
      <w:r w:rsidR="00B7545F">
        <w:rPr>
          <w:rFonts w:eastAsia="Times New Roman" w:cs="Times New Roman"/>
          <w:color w:val="333333"/>
          <w:szCs w:val="24"/>
        </w:rPr>
        <w:t>e-</w:t>
      </w:r>
      <w:r w:rsidRPr="00D34AA0">
        <w:rPr>
          <w:rFonts w:eastAsia="Times New Roman" w:cs="Times New Roman"/>
          <w:color w:val="333333"/>
          <w:szCs w:val="24"/>
        </w:rPr>
        <w:t>rēķinu ieviešanu, savukārt mazākie uzņēmumi norāda, ka varētu saskarties ar iespējamām grūtībām un investīcijām, kas būs jāiegulda, līdz ar to ir rezervētāki un domā, ka būs nepieciešams pārejas laiks, vai arī nepieciešams diferencēt uzņēmumus pēc lieluma (piemēram</w:t>
      </w:r>
      <w:r w:rsidR="00CC0A90">
        <w:rPr>
          <w:rFonts w:eastAsia="Times New Roman" w:cs="Times New Roman"/>
          <w:color w:val="333333"/>
          <w:szCs w:val="24"/>
        </w:rPr>
        <w:t xml:space="preserve">, pēc apgrozījuma). </w:t>
      </w:r>
      <w:r w:rsidRPr="00D34AA0">
        <w:rPr>
          <w:rFonts w:eastAsia="Times New Roman" w:cs="Times New Roman"/>
          <w:color w:val="333333"/>
          <w:szCs w:val="24"/>
        </w:rPr>
        <w:t>Sniegt</w:t>
      </w:r>
      <w:r w:rsidR="00000D97">
        <w:rPr>
          <w:rFonts w:eastAsia="Times New Roman" w:cs="Times New Roman"/>
          <w:color w:val="333333"/>
          <w:szCs w:val="24"/>
        </w:rPr>
        <w:t>ie</w:t>
      </w:r>
      <w:r w:rsidRPr="00D34AA0">
        <w:rPr>
          <w:rFonts w:eastAsia="Times New Roman" w:cs="Times New Roman"/>
          <w:color w:val="333333"/>
          <w:szCs w:val="24"/>
        </w:rPr>
        <w:t xml:space="preserve"> viedokļi un atbildes kā arī minētie pētījuma "Vadītāja digitālais portrets 2020" dati liecina par to, ka jāturpina virzība e-rēķinu ieviešanā realizējot e-rēķinu</w:t>
      </w:r>
      <w:r w:rsidR="00CC0A90">
        <w:rPr>
          <w:rFonts w:eastAsia="Times New Roman" w:cs="Times New Roman"/>
          <w:color w:val="333333"/>
          <w:szCs w:val="24"/>
        </w:rPr>
        <w:t> </w:t>
      </w:r>
      <w:r w:rsidRPr="00D34AA0">
        <w:rPr>
          <w:rFonts w:eastAsia="Times New Roman" w:cs="Times New Roman"/>
          <w:color w:val="333333"/>
          <w:szCs w:val="24"/>
        </w:rPr>
        <w:t>projektu.</w:t>
      </w:r>
    </w:p>
    <w:p w14:paraId="288E35AE" w14:textId="34420919" w:rsidR="00C66BD4" w:rsidRDefault="7DE98E17" w:rsidP="00EE0671">
      <w:pPr>
        <w:pStyle w:val="NoSpacing"/>
        <w:spacing w:line="276" w:lineRule="auto"/>
        <w:ind w:firstLine="720"/>
      </w:pPr>
      <w:r w:rsidRPr="00843BB2">
        <w:t>Savukārt, lai mazinātu izskanējušās šaubas par e-rēķinu lietošanas piemērotību dažādām uzņēmumu kategorijām, izstrādājot risinājumus ir jāpievērš uzmanība jautājumam par mazo uzņēmumu iespējām lietot e-rēķinus. Šajā sakarā kā risinājums pieminama arī e-adrese, kas ir virziens, ko varētu attīstī</w:t>
      </w:r>
      <w:r w:rsidR="00843BB2">
        <w:t xml:space="preserve">t, realizējot e-rēķinu projektu </w:t>
      </w:r>
      <w:r w:rsidRPr="00843BB2">
        <w:t>un domājot gan par maza</w:t>
      </w:r>
      <w:r w:rsidR="00F85D98">
        <w:t>jiem, gan lielajiem uzņēmējiem.</w:t>
      </w:r>
    </w:p>
    <w:p w14:paraId="2A4BA7BA" w14:textId="2AF65F23" w:rsidR="00C66BD4" w:rsidRDefault="00C66BD4" w:rsidP="001D79D6">
      <w:pPr>
        <w:spacing w:line="276" w:lineRule="auto"/>
        <w:ind w:firstLine="720"/>
      </w:pPr>
      <w:r>
        <w:t>Provizoriskas</w:t>
      </w:r>
      <w:r w:rsidR="001D79D6">
        <w:t xml:space="preserve">, </w:t>
      </w:r>
      <w:r>
        <w:t>aprakstītā e-rēķinu risinājuma</w:t>
      </w:r>
      <w:r w:rsidR="001D79D6">
        <w:t>,</w:t>
      </w:r>
      <w:r>
        <w:t xml:space="preserve"> ieviešanas kopējās izmaksas sastāda </w:t>
      </w:r>
      <w:r w:rsidR="001158BE">
        <w:t>2</w:t>
      </w:r>
      <w:r w:rsidR="005416BC">
        <w:t> </w:t>
      </w:r>
      <w:r w:rsidR="001158BE">
        <w:t>923</w:t>
      </w:r>
      <w:r w:rsidR="001A7B69">
        <w:t> </w:t>
      </w:r>
      <w:r w:rsidR="001158BE">
        <w:t>680</w:t>
      </w:r>
      <w:r w:rsidR="00E62E31">
        <w:t xml:space="preserve"> </w:t>
      </w:r>
      <w:proofErr w:type="spellStart"/>
      <w:r w:rsidRPr="00387E05">
        <w:rPr>
          <w:i/>
        </w:rPr>
        <w:t>euro</w:t>
      </w:r>
      <w:proofErr w:type="spellEnd"/>
      <w:r>
        <w:t xml:space="preserve"> (ar PVN) un pēc ieviešanas ik gadu tā uzturēšanai papildus nepieciešami </w:t>
      </w:r>
      <w:r w:rsidR="00164729">
        <w:t>432 243</w:t>
      </w:r>
      <w:r>
        <w:t xml:space="preserve"> </w:t>
      </w:r>
      <w:proofErr w:type="spellStart"/>
      <w:r w:rsidRPr="00387E05">
        <w:rPr>
          <w:i/>
        </w:rPr>
        <w:t>euro</w:t>
      </w:r>
      <w:proofErr w:type="spellEnd"/>
      <w:r>
        <w:t xml:space="preserve"> (ar PVN). </w:t>
      </w:r>
      <w:r w:rsidR="001D79D6">
        <w:t>Vēršam uzmanību, ka risinājuma ieviešanas izmaksas var mainīties detalizētu prasību specificēšanas posmā. Sīkāks izmaksu</w:t>
      </w:r>
      <w:r>
        <w:t xml:space="preserve"> sadalījums sniegts </w:t>
      </w:r>
      <w:r w:rsidR="001D79D6">
        <w:t>zemāk esošajā tabulā.</w:t>
      </w:r>
    </w:p>
    <w:p w14:paraId="401415A7" w14:textId="6FABBA08" w:rsidR="001D79D6" w:rsidRPr="005416BC" w:rsidRDefault="005416BC" w:rsidP="005416BC">
      <w:pPr>
        <w:spacing w:line="276" w:lineRule="auto"/>
        <w:ind w:firstLine="720"/>
        <w:jc w:val="right"/>
        <w:rPr>
          <w:i/>
        </w:rPr>
      </w:pPr>
      <w:r w:rsidRPr="005416BC">
        <w:rPr>
          <w:i/>
        </w:rPr>
        <w:t>1.</w:t>
      </w:r>
      <w:r w:rsidR="00262FC0">
        <w:rPr>
          <w:i/>
        </w:rPr>
        <w:t> </w:t>
      </w:r>
      <w:r w:rsidRPr="005416BC">
        <w:rPr>
          <w:i/>
        </w:rPr>
        <w:t>tabula</w:t>
      </w:r>
    </w:p>
    <w:tbl>
      <w:tblPr>
        <w:tblStyle w:val="TableGrid"/>
        <w:tblW w:w="0" w:type="auto"/>
        <w:tblLook w:val="04A0" w:firstRow="1" w:lastRow="0" w:firstColumn="1" w:lastColumn="0" w:noHBand="0" w:noVBand="1"/>
      </w:tblPr>
      <w:tblGrid>
        <w:gridCol w:w="2213"/>
        <w:gridCol w:w="1384"/>
        <w:gridCol w:w="1384"/>
        <w:gridCol w:w="1384"/>
        <w:gridCol w:w="1931"/>
      </w:tblGrid>
      <w:tr w:rsidR="00B330B5" w14:paraId="63647DD9" w14:textId="77777777" w:rsidTr="00B330B5">
        <w:tc>
          <w:tcPr>
            <w:tcW w:w="2213" w:type="dxa"/>
            <w:vAlign w:val="center"/>
          </w:tcPr>
          <w:p w14:paraId="48D9E54A" w14:textId="3EBC50B4" w:rsidR="00B330B5" w:rsidRPr="00B56DFD" w:rsidRDefault="00B330B5" w:rsidP="00B56DFD">
            <w:pPr>
              <w:spacing w:line="276" w:lineRule="auto"/>
              <w:jc w:val="center"/>
              <w:rPr>
                <w:b/>
              </w:rPr>
            </w:pPr>
            <w:r w:rsidRPr="00B56DFD">
              <w:rPr>
                <w:b/>
              </w:rPr>
              <w:t xml:space="preserve">Valsts </w:t>
            </w:r>
            <w:r>
              <w:rPr>
                <w:b/>
              </w:rPr>
              <w:t xml:space="preserve">pārvaldes </w:t>
            </w:r>
            <w:r w:rsidRPr="00B56DFD">
              <w:rPr>
                <w:b/>
              </w:rPr>
              <w:t>iestāde</w:t>
            </w:r>
          </w:p>
        </w:tc>
        <w:tc>
          <w:tcPr>
            <w:tcW w:w="4152" w:type="dxa"/>
            <w:gridSpan w:val="3"/>
            <w:vAlign w:val="center"/>
          </w:tcPr>
          <w:p w14:paraId="1A80D792" w14:textId="33940054" w:rsidR="00B330B5" w:rsidRPr="00B56DFD" w:rsidRDefault="00B330B5" w:rsidP="00B330B5">
            <w:pPr>
              <w:spacing w:line="276" w:lineRule="auto"/>
              <w:jc w:val="center"/>
              <w:rPr>
                <w:b/>
              </w:rPr>
            </w:pPr>
            <w:r w:rsidRPr="00B56DFD">
              <w:rPr>
                <w:b/>
              </w:rPr>
              <w:t>Ieviešanas izmaksas</w:t>
            </w:r>
          </w:p>
        </w:tc>
        <w:tc>
          <w:tcPr>
            <w:tcW w:w="1931" w:type="dxa"/>
            <w:vAlign w:val="center"/>
          </w:tcPr>
          <w:p w14:paraId="6DAEBBB8" w14:textId="12E5B34A" w:rsidR="00B330B5" w:rsidRPr="00B56DFD" w:rsidRDefault="00B330B5" w:rsidP="00F00260">
            <w:pPr>
              <w:spacing w:line="276" w:lineRule="auto"/>
              <w:jc w:val="center"/>
              <w:rPr>
                <w:b/>
              </w:rPr>
            </w:pPr>
            <w:r w:rsidRPr="00B56DFD">
              <w:rPr>
                <w:b/>
              </w:rPr>
              <w:t>Uzturēšanas izmaksas</w:t>
            </w:r>
            <w:r>
              <w:rPr>
                <w:b/>
              </w:rPr>
              <w:t xml:space="preserve"> gadā </w:t>
            </w:r>
            <w:r w:rsidR="00F00260">
              <w:rPr>
                <w:b/>
              </w:rPr>
              <w:t>pēc ieviešanas</w:t>
            </w:r>
          </w:p>
        </w:tc>
      </w:tr>
      <w:tr w:rsidR="00B330B5" w14:paraId="691F1CBD" w14:textId="77777777" w:rsidTr="00E62E31">
        <w:tc>
          <w:tcPr>
            <w:tcW w:w="2213" w:type="dxa"/>
            <w:vAlign w:val="center"/>
          </w:tcPr>
          <w:p w14:paraId="0B37A0BF" w14:textId="77777777" w:rsidR="00B330B5" w:rsidRPr="00515CB1" w:rsidRDefault="00B330B5" w:rsidP="00B56DFD">
            <w:pPr>
              <w:spacing w:line="276" w:lineRule="auto"/>
              <w:jc w:val="center"/>
            </w:pPr>
          </w:p>
        </w:tc>
        <w:tc>
          <w:tcPr>
            <w:tcW w:w="1384" w:type="dxa"/>
            <w:vAlign w:val="center"/>
          </w:tcPr>
          <w:p w14:paraId="701E7196" w14:textId="7B9315FB" w:rsidR="00B330B5" w:rsidRPr="00515CB1" w:rsidRDefault="00515CB1" w:rsidP="00B330B5">
            <w:pPr>
              <w:spacing w:line="276" w:lineRule="auto"/>
              <w:jc w:val="center"/>
            </w:pPr>
            <w:r w:rsidRPr="00515CB1">
              <w:t>2022. gads</w:t>
            </w:r>
          </w:p>
        </w:tc>
        <w:tc>
          <w:tcPr>
            <w:tcW w:w="1384" w:type="dxa"/>
          </w:tcPr>
          <w:p w14:paraId="5AF87C27" w14:textId="203C80A5" w:rsidR="00B330B5" w:rsidRPr="00515CB1" w:rsidRDefault="00515CB1" w:rsidP="00B330B5">
            <w:pPr>
              <w:spacing w:line="276" w:lineRule="auto"/>
              <w:jc w:val="center"/>
            </w:pPr>
            <w:r w:rsidRPr="00515CB1">
              <w:t>2023. gads</w:t>
            </w:r>
          </w:p>
        </w:tc>
        <w:tc>
          <w:tcPr>
            <w:tcW w:w="1384" w:type="dxa"/>
          </w:tcPr>
          <w:p w14:paraId="09BFDD55" w14:textId="0491A7FA" w:rsidR="00B330B5" w:rsidRPr="00515CB1" w:rsidRDefault="00515CB1" w:rsidP="00B330B5">
            <w:pPr>
              <w:spacing w:line="276" w:lineRule="auto"/>
              <w:jc w:val="center"/>
            </w:pPr>
            <w:r w:rsidRPr="00515CB1">
              <w:t>2024. gads</w:t>
            </w:r>
          </w:p>
        </w:tc>
        <w:tc>
          <w:tcPr>
            <w:tcW w:w="1931" w:type="dxa"/>
            <w:vAlign w:val="center"/>
          </w:tcPr>
          <w:p w14:paraId="209AAE58" w14:textId="77777777" w:rsidR="00B330B5" w:rsidRPr="00515CB1" w:rsidRDefault="00B330B5" w:rsidP="00B330B5">
            <w:pPr>
              <w:spacing w:line="276" w:lineRule="auto"/>
              <w:jc w:val="center"/>
            </w:pPr>
          </w:p>
        </w:tc>
      </w:tr>
      <w:tr w:rsidR="00B330B5" w14:paraId="68B9463D" w14:textId="77777777" w:rsidTr="00E62E31">
        <w:tc>
          <w:tcPr>
            <w:tcW w:w="2213" w:type="dxa"/>
          </w:tcPr>
          <w:p w14:paraId="3D397649" w14:textId="12E75075" w:rsidR="00B330B5" w:rsidRPr="00A5309D" w:rsidRDefault="00B330B5" w:rsidP="001D79D6">
            <w:pPr>
              <w:spacing w:line="276" w:lineRule="auto"/>
            </w:pPr>
            <w:r>
              <w:t>Valsts ieņēmumu dienests</w:t>
            </w:r>
          </w:p>
        </w:tc>
        <w:tc>
          <w:tcPr>
            <w:tcW w:w="1384" w:type="dxa"/>
          </w:tcPr>
          <w:p w14:paraId="607B9B3F" w14:textId="57C54435" w:rsidR="00B330B5" w:rsidRDefault="00E62E31" w:rsidP="009E1A4C">
            <w:pPr>
              <w:spacing w:line="276" w:lineRule="auto"/>
              <w:jc w:val="center"/>
            </w:pPr>
            <w:r>
              <w:t>82 875</w:t>
            </w:r>
          </w:p>
        </w:tc>
        <w:tc>
          <w:tcPr>
            <w:tcW w:w="1384" w:type="dxa"/>
          </w:tcPr>
          <w:p w14:paraId="19146359" w14:textId="26FDED29" w:rsidR="00B330B5" w:rsidRDefault="007805FE" w:rsidP="009E1A4C">
            <w:pPr>
              <w:spacing w:line="276" w:lineRule="auto"/>
              <w:jc w:val="center"/>
            </w:pPr>
            <w:r>
              <w:t>717 887</w:t>
            </w:r>
          </w:p>
        </w:tc>
        <w:tc>
          <w:tcPr>
            <w:tcW w:w="1384" w:type="dxa"/>
          </w:tcPr>
          <w:p w14:paraId="7007C710" w14:textId="59248BD1" w:rsidR="00B330B5" w:rsidRDefault="007805FE" w:rsidP="009E1A4C">
            <w:pPr>
              <w:spacing w:line="276" w:lineRule="auto"/>
              <w:jc w:val="center"/>
            </w:pPr>
            <w:r>
              <w:t>2 066 138</w:t>
            </w:r>
          </w:p>
        </w:tc>
        <w:tc>
          <w:tcPr>
            <w:tcW w:w="1931" w:type="dxa"/>
          </w:tcPr>
          <w:p w14:paraId="00FF99BB" w14:textId="19C008CB" w:rsidR="00B330B5" w:rsidRDefault="007805FE" w:rsidP="009E1A4C">
            <w:pPr>
              <w:spacing w:line="276" w:lineRule="auto"/>
              <w:jc w:val="center"/>
            </w:pPr>
            <w:r>
              <w:t>432 243</w:t>
            </w:r>
          </w:p>
        </w:tc>
      </w:tr>
      <w:tr w:rsidR="00B330B5" w14:paraId="3F36C77B" w14:textId="77777777" w:rsidTr="00E62E31">
        <w:tc>
          <w:tcPr>
            <w:tcW w:w="2213" w:type="dxa"/>
          </w:tcPr>
          <w:p w14:paraId="7B2B29B2" w14:textId="36AD55E8" w:rsidR="00B330B5" w:rsidRDefault="00B330B5" w:rsidP="00ED5480">
            <w:pPr>
              <w:spacing w:line="276" w:lineRule="auto"/>
              <w:jc w:val="left"/>
            </w:pPr>
            <w:r w:rsidRPr="00ED5480">
              <w:t>Valsts reģionālās attīstības aģentūra</w:t>
            </w:r>
          </w:p>
        </w:tc>
        <w:tc>
          <w:tcPr>
            <w:tcW w:w="1384" w:type="dxa"/>
          </w:tcPr>
          <w:p w14:paraId="41EB832E" w14:textId="59F146BB" w:rsidR="00B330B5" w:rsidRDefault="00B330B5" w:rsidP="00FD029B">
            <w:pPr>
              <w:spacing w:line="276" w:lineRule="auto"/>
              <w:jc w:val="center"/>
            </w:pPr>
            <w:r>
              <w:t>35 000</w:t>
            </w:r>
          </w:p>
        </w:tc>
        <w:tc>
          <w:tcPr>
            <w:tcW w:w="1384" w:type="dxa"/>
          </w:tcPr>
          <w:p w14:paraId="6AF343AC" w14:textId="4A332977" w:rsidR="00B330B5" w:rsidRDefault="00B330B5" w:rsidP="001D79D6">
            <w:pPr>
              <w:spacing w:line="276" w:lineRule="auto"/>
            </w:pPr>
          </w:p>
        </w:tc>
        <w:tc>
          <w:tcPr>
            <w:tcW w:w="1384" w:type="dxa"/>
          </w:tcPr>
          <w:p w14:paraId="622F41E5" w14:textId="78B1706E" w:rsidR="00B330B5" w:rsidRDefault="00B330B5" w:rsidP="001D79D6">
            <w:pPr>
              <w:spacing w:line="276" w:lineRule="auto"/>
            </w:pPr>
          </w:p>
        </w:tc>
        <w:tc>
          <w:tcPr>
            <w:tcW w:w="1931" w:type="dxa"/>
          </w:tcPr>
          <w:p w14:paraId="03145CBF" w14:textId="5A6DA36D" w:rsidR="00B330B5" w:rsidRPr="00B03676" w:rsidRDefault="00B03676" w:rsidP="00B03676">
            <w:pPr>
              <w:spacing w:line="276" w:lineRule="auto"/>
              <w:jc w:val="center"/>
              <w:rPr>
                <w:i/>
              </w:rPr>
            </w:pPr>
            <w:r>
              <w:rPr>
                <w:i/>
              </w:rPr>
              <w:t>n</w:t>
            </w:r>
            <w:r w:rsidRPr="00B03676">
              <w:rPr>
                <w:i/>
              </w:rPr>
              <w:t>av vērtēts</w:t>
            </w:r>
          </w:p>
        </w:tc>
      </w:tr>
      <w:tr w:rsidR="00B330B5" w14:paraId="36BCD7F1" w14:textId="77777777" w:rsidTr="00E62E31">
        <w:tc>
          <w:tcPr>
            <w:tcW w:w="2213" w:type="dxa"/>
          </w:tcPr>
          <w:p w14:paraId="45114A21" w14:textId="0304A59B" w:rsidR="00B330B5" w:rsidRPr="00ED5480" w:rsidRDefault="00B330B5" w:rsidP="00ED5480">
            <w:pPr>
              <w:spacing w:line="276" w:lineRule="auto"/>
              <w:jc w:val="left"/>
            </w:pPr>
            <w:r>
              <w:t>Zemkopības ministrija</w:t>
            </w:r>
          </w:p>
        </w:tc>
        <w:tc>
          <w:tcPr>
            <w:tcW w:w="1384" w:type="dxa"/>
          </w:tcPr>
          <w:p w14:paraId="4355B4F2" w14:textId="76E06D01" w:rsidR="00B330B5" w:rsidRDefault="00AA4F43" w:rsidP="00AA4F43">
            <w:pPr>
              <w:spacing w:line="276" w:lineRule="auto"/>
              <w:jc w:val="center"/>
            </w:pPr>
            <w:r>
              <w:t>21 780</w:t>
            </w:r>
          </w:p>
        </w:tc>
        <w:tc>
          <w:tcPr>
            <w:tcW w:w="1384" w:type="dxa"/>
          </w:tcPr>
          <w:p w14:paraId="1CCBACB0" w14:textId="230F37A9" w:rsidR="00B330B5" w:rsidRDefault="00B330B5" w:rsidP="00277FCC">
            <w:pPr>
              <w:spacing w:line="276" w:lineRule="auto"/>
              <w:jc w:val="center"/>
            </w:pPr>
          </w:p>
        </w:tc>
        <w:tc>
          <w:tcPr>
            <w:tcW w:w="1384" w:type="dxa"/>
          </w:tcPr>
          <w:p w14:paraId="63F8AB34" w14:textId="27CA9DAA" w:rsidR="00B330B5" w:rsidRDefault="00B330B5" w:rsidP="00277FCC">
            <w:pPr>
              <w:spacing w:line="276" w:lineRule="auto"/>
              <w:jc w:val="center"/>
            </w:pPr>
          </w:p>
        </w:tc>
        <w:tc>
          <w:tcPr>
            <w:tcW w:w="1931" w:type="dxa"/>
          </w:tcPr>
          <w:p w14:paraId="4A0B8367" w14:textId="7C74BBFB" w:rsidR="00B330B5" w:rsidRDefault="00B03676" w:rsidP="00277FCC">
            <w:pPr>
              <w:spacing w:line="276" w:lineRule="auto"/>
              <w:jc w:val="center"/>
            </w:pPr>
            <w:r>
              <w:rPr>
                <w:i/>
              </w:rPr>
              <w:t>n</w:t>
            </w:r>
            <w:r w:rsidRPr="00B03676">
              <w:rPr>
                <w:i/>
              </w:rPr>
              <w:t>av vērtēts</w:t>
            </w:r>
          </w:p>
        </w:tc>
      </w:tr>
    </w:tbl>
    <w:p w14:paraId="2B203189" w14:textId="22615A57" w:rsidR="008D4DD7" w:rsidRDefault="008D4DD7" w:rsidP="00105576">
      <w:pPr>
        <w:pStyle w:val="NoSpacing"/>
        <w:spacing w:line="276" w:lineRule="auto"/>
        <w:jc w:val="right"/>
      </w:pPr>
    </w:p>
    <w:p w14:paraId="0BD38A6F" w14:textId="255579E8" w:rsidR="00012E67" w:rsidRDefault="00012E67" w:rsidP="00012E67">
      <w:pPr>
        <w:ind w:firstLine="720"/>
      </w:pPr>
      <w:r w:rsidRPr="00012E67">
        <w:t xml:space="preserve">Atveseļošanas un noturības mehānisma ietvaros plānots nodrošināt VID nepieciešamo finansējumu </w:t>
      </w:r>
      <w:r w:rsidR="00C716E4">
        <w:t>pilnā</w:t>
      </w:r>
      <w:r w:rsidRPr="00012E67">
        <w:t xml:space="preserve"> apmērā, savukārt jautājums par citām ministrijām nepieciešamo finansējumu skatāms Ministru kabinetā likumprojekta “Par valsts budžetu 2022.</w:t>
      </w:r>
      <w:r w:rsidR="009B09A2">
        <w:t> </w:t>
      </w:r>
      <w:r w:rsidRPr="00012E67">
        <w:t>gadam”</w:t>
      </w:r>
      <w:r w:rsidR="009B09A2">
        <w:t xml:space="preserve"> </w:t>
      </w:r>
      <w:r w:rsidRPr="00012E67">
        <w:t>un likumprojekta “Par vidēja termiņa budžeta ievaru 2022., 2023. un 2024.</w:t>
      </w:r>
      <w:r w:rsidR="009B09A2">
        <w:t xml:space="preserve"> gadam” </w:t>
      </w:r>
      <w:r w:rsidRPr="00012E67">
        <w:t xml:space="preserve">sagatavošanas procesā kopā ar visu ministriju un citu centrālo valsts iestāžu </w:t>
      </w:r>
      <w:proofErr w:type="spellStart"/>
      <w:r w:rsidRPr="00012E67">
        <w:t>priotiāro</w:t>
      </w:r>
      <w:proofErr w:type="spellEnd"/>
      <w:r w:rsidRPr="00012E67">
        <w:t xml:space="preserve"> pasākumu pieteikumiem.</w:t>
      </w:r>
      <w:r w:rsidR="00163815">
        <w:t xml:space="preserve"> </w:t>
      </w:r>
      <w:r w:rsidR="00163815" w:rsidRPr="00163815">
        <w:t>Gadījumā, ja valsts budžeta sagatavošanas procesā papildu finansējums nav piešķirts, ministrijas var vērtēt iespējas to nodrošināt esošā budžeta līdzekļu ietvaros.</w:t>
      </w:r>
    </w:p>
    <w:p w14:paraId="663B03AD" w14:textId="080BD714" w:rsidR="00012E67" w:rsidRDefault="00012E67" w:rsidP="00012E67">
      <w:pPr>
        <w:ind w:firstLine="720"/>
      </w:pPr>
    </w:p>
    <w:p w14:paraId="4946BCF5" w14:textId="6EA96ADC" w:rsidR="006E1098" w:rsidRDefault="006E1098" w:rsidP="00012E67">
      <w:pPr>
        <w:ind w:firstLine="720"/>
      </w:pPr>
    </w:p>
    <w:p w14:paraId="74755D33" w14:textId="77777777" w:rsidR="006E1098" w:rsidRDefault="006E1098" w:rsidP="00012E67">
      <w:pPr>
        <w:ind w:firstLine="720"/>
      </w:pPr>
    </w:p>
    <w:p w14:paraId="0A527085" w14:textId="77777777" w:rsidR="00484049" w:rsidRDefault="00484049" w:rsidP="00484049">
      <w:pPr>
        <w:pStyle w:val="NoSpacing"/>
        <w:spacing w:line="276" w:lineRule="auto"/>
        <w:jc w:val="left"/>
      </w:pPr>
    </w:p>
    <w:p w14:paraId="6E2D7AD2" w14:textId="3616233B" w:rsidR="00484049" w:rsidRDefault="00F52892" w:rsidP="00484049">
      <w:pPr>
        <w:pStyle w:val="NoSpacing"/>
        <w:spacing w:line="276" w:lineRule="auto"/>
        <w:jc w:val="left"/>
      </w:pPr>
      <w:r w:rsidRPr="00F52892">
        <w:t>VID nepieciešamā finansējuma aprēķins</w:t>
      </w:r>
    </w:p>
    <w:p w14:paraId="27ABF3D0" w14:textId="2B516F74" w:rsidR="00105576" w:rsidRDefault="00105576" w:rsidP="00105576">
      <w:pPr>
        <w:pStyle w:val="NoSpacing"/>
        <w:spacing w:line="276" w:lineRule="auto"/>
        <w:jc w:val="right"/>
      </w:pPr>
      <w:r>
        <w:rPr>
          <w:i/>
        </w:rPr>
        <w:t>2</w:t>
      </w:r>
      <w:r w:rsidRPr="00105576">
        <w:rPr>
          <w:i/>
        </w:rPr>
        <w:t>.</w:t>
      </w:r>
      <w:r w:rsidR="00262FC0">
        <w:rPr>
          <w:i/>
        </w:rPr>
        <w:t> </w:t>
      </w:r>
      <w:r w:rsidRPr="00105576">
        <w:rPr>
          <w:i/>
        </w:rPr>
        <w:t>tabula</w:t>
      </w:r>
    </w:p>
    <w:tbl>
      <w:tblPr>
        <w:tblW w:w="8614" w:type="dxa"/>
        <w:tblLook w:val="04A0" w:firstRow="1" w:lastRow="0" w:firstColumn="1" w:lastColumn="0" w:noHBand="0" w:noVBand="1"/>
      </w:tblPr>
      <w:tblGrid>
        <w:gridCol w:w="2326"/>
        <w:gridCol w:w="994"/>
        <w:gridCol w:w="1239"/>
        <w:gridCol w:w="594"/>
        <w:gridCol w:w="981"/>
        <w:gridCol w:w="516"/>
        <w:gridCol w:w="1028"/>
        <w:gridCol w:w="1039"/>
      </w:tblGrid>
      <w:tr w:rsidR="00C716E4" w:rsidRPr="00C716E4" w14:paraId="76F22A0A" w14:textId="77777777" w:rsidTr="00DD1A31">
        <w:trPr>
          <w:trHeight w:val="444"/>
        </w:trPr>
        <w:tc>
          <w:tcPr>
            <w:tcW w:w="2326" w:type="dxa"/>
            <w:vMerge w:val="restart"/>
            <w:tcBorders>
              <w:top w:val="single" w:sz="8" w:space="0" w:color="auto"/>
              <w:left w:val="single" w:sz="8" w:space="0" w:color="auto"/>
              <w:bottom w:val="single" w:sz="8" w:space="0" w:color="000000"/>
              <w:right w:val="single" w:sz="8" w:space="0" w:color="auto"/>
            </w:tcBorders>
            <w:shd w:val="clear" w:color="auto" w:fill="D9D9D9"/>
            <w:noWrap/>
            <w:vAlign w:val="center"/>
            <w:hideMark/>
          </w:tcPr>
          <w:p w14:paraId="58CE78AA" w14:textId="77777777" w:rsidR="00C716E4" w:rsidRPr="00DD1A31" w:rsidRDefault="00C716E4" w:rsidP="00DD1A31">
            <w:pPr>
              <w:rPr>
                <w:rFonts w:cs="Times New Roman"/>
                <w:b/>
                <w:i/>
                <w:sz w:val="20"/>
                <w:szCs w:val="20"/>
                <w:lang w:eastAsia="lv-LV"/>
              </w:rPr>
            </w:pPr>
            <w:r w:rsidRPr="00DD1A31">
              <w:rPr>
                <w:rFonts w:cs="Times New Roman"/>
                <w:b/>
                <w:i/>
                <w:sz w:val="20"/>
                <w:szCs w:val="20"/>
                <w:lang w:eastAsia="lv-LV"/>
              </w:rPr>
              <w:t>Izdevumu pozīcija</w:t>
            </w:r>
          </w:p>
        </w:tc>
        <w:tc>
          <w:tcPr>
            <w:tcW w:w="961" w:type="dxa"/>
            <w:vMerge w:val="restart"/>
            <w:tcBorders>
              <w:top w:val="single" w:sz="8" w:space="0" w:color="auto"/>
              <w:left w:val="nil"/>
              <w:bottom w:val="single" w:sz="8" w:space="0" w:color="auto"/>
              <w:right w:val="single" w:sz="8" w:space="0" w:color="auto"/>
            </w:tcBorders>
            <w:shd w:val="clear" w:color="auto" w:fill="D9D9D9" w:themeFill="background1" w:themeFillShade="D9"/>
            <w:hideMark/>
          </w:tcPr>
          <w:p w14:paraId="03F7FF4F" w14:textId="77777777" w:rsidR="00C716E4" w:rsidRPr="00DD1A31" w:rsidRDefault="00C716E4" w:rsidP="00DD1A31">
            <w:pPr>
              <w:rPr>
                <w:rFonts w:cs="Times New Roman"/>
                <w:b/>
                <w:sz w:val="20"/>
                <w:szCs w:val="20"/>
                <w:lang w:eastAsia="lv-LV"/>
              </w:rPr>
            </w:pPr>
            <w:r w:rsidRPr="00DD1A31">
              <w:rPr>
                <w:rFonts w:eastAsia="Calibri" w:cs="Times New Roman"/>
                <w:b/>
                <w:sz w:val="20"/>
                <w:szCs w:val="20"/>
              </w:rPr>
              <w:t>Vienas c/d izmaksas</w:t>
            </w:r>
          </w:p>
        </w:tc>
        <w:tc>
          <w:tcPr>
            <w:tcW w:w="1239"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5C0A1C3D" w14:textId="77777777" w:rsidR="00C716E4" w:rsidRPr="00DD1A31" w:rsidRDefault="00C716E4" w:rsidP="00DD1A31">
            <w:pPr>
              <w:rPr>
                <w:rFonts w:cs="Times New Roman"/>
                <w:b/>
                <w:i/>
                <w:sz w:val="20"/>
                <w:szCs w:val="20"/>
                <w:lang w:eastAsia="lv-LV"/>
              </w:rPr>
            </w:pPr>
            <w:r w:rsidRPr="00DD1A31">
              <w:rPr>
                <w:rFonts w:cs="Times New Roman"/>
                <w:b/>
                <w:i/>
                <w:sz w:val="20"/>
                <w:szCs w:val="20"/>
                <w:lang w:eastAsia="lv-LV"/>
              </w:rPr>
              <w:t>2022.gadā</w:t>
            </w:r>
          </w:p>
        </w:tc>
        <w:tc>
          <w:tcPr>
            <w:tcW w:w="1575" w:type="dxa"/>
            <w:gridSpan w:val="2"/>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14:paraId="0AEA4640" w14:textId="77777777" w:rsidR="00C716E4" w:rsidRPr="00DD1A31" w:rsidRDefault="00C716E4" w:rsidP="00DD1A31">
            <w:pPr>
              <w:rPr>
                <w:rFonts w:cs="Times New Roman"/>
                <w:b/>
                <w:i/>
                <w:sz w:val="20"/>
                <w:szCs w:val="20"/>
                <w:lang w:eastAsia="lv-LV"/>
              </w:rPr>
            </w:pPr>
            <w:r w:rsidRPr="00DD1A31">
              <w:rPr>
                <w:rFonts w:cs="Times New Roman"/>
                <w:b/>
                <w:i/>
                <w:sz w:val="20"/>
                <w:szCs w:val="20"/>
                <w:lang w:eastAsia="lv-LV"/>
              </w:rPr>
              <w:t>2023.gadā</w:t>
            </w:r>
          </w:p>
        </w:tc>
        <w:tc>
          <w:tcPr>
            <w:tcW w:w="1544" w:type="dxa"/>
            <w:gridSpan w:val="2"/>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14:paraId="5895C2EA" w14:textId="77777777" w:rsidR="00C716E4" w:rsidRPr="00DD1A31" w:rsidRDefault="00C716E4" w:rsidP="00DD1A31">
            <w:pPr>
              <w:rPr>
                <w:rFonts w:cs="Times New Roman"/>
                <w:b/>
                <w:i/>
                <w:sz w:val="20"/>
                <w:szCs w:val="20"/>
                <w:lang w:eastAsia="lv-LV"/>
              </w:rPr>
            </w:pPr>
            <w:r w:rsidRPr="00DD1A31">
              <w:rPr>
                <w:rFonts w:cs="Times New Roman"/>
                <w:b/>
                <w:i/>
                <w:sz w:val="20"/>
                <w:szCs w:val="20"/>
                <w:lang w:eastAsia="lv-LV"/>
              </w:rPr>
              <w:t>2024.gadā</w:t>
            </w:r>
          </w:p>
        </w:tc>
        <w:tc>
          <w:tcPr>
            <w:tcW w:w="969"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46377A8" w14:textId="678873C8" w:rsidR="00C716E4" w:rsidRPr="00DD1A31" w:rsidRDefault="00C716E4" w:rsidP="00DD1A31">
            <w:pPr>
              <w:rPr>
                <w:rFonts w:cs="Times New Roman"/>
                <w:b/>
                <w:sz w:val="20"/>
                <w:szCs w:val="20"/>
                <w:lang w:eastAsia="lv-LV"/>
              </w:rPr>
            </w:pPr>
            <w:r w:rsidRPr="00DD1A31">
              <w:rPr>
                <w:rFonts w:cs="Times New Roman"/>
                <w:b/>
                <w:sz w:val="20"/>
                <w:szCs w:val="20"/>
                <w:lang w:eastAsia="lv-LV"/>
              </w:rPr>
              <w:t>Turpmāk ik gadu (</w:t>
            </w:r>
            <w:proofErr w:type="spellStart"/>
            <w:r w:rsidRPr="00DD1A31">
              <w:rPr>
                <w:rFonts w:cs="Times New Roman"/>
                <w:b/>
                <w:i/>
                <w:sz w:val="20"/>
                <w:szCs w:val="20"/>
                <w:lang w:eastAsia="lv-LV"/>
              </w:rPr>
              <w:t>euro</w:t>
            </w:r>
            <w:proofErr w:type="spellEnd"/>
            <w:r w:rsidRPr="00DD1A31">
              <w:rPr>
                <w:rFonts w:cs="Times New Roman"/>
                <w:b/>
                <w:sz w:val="20"/>
                <w:szCs w:val="20"/>
                <w:lang w:eastAsia="lv-LV"/>
              </w:rPr>
              <w:t>)</w:t>
            </w:r>
          </w:p>
        </w:tc>
      </w:tr>
      <w:tr w:rsidR="00F776FA" w:rsidRPr="00C716E4" w14:paraId="7151E761" w14:textId="77777777" w:rsidTr="00DD1A31">
        <w:trPr>
          <w:trHeight w:val="242"/>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343C2CF" w14:textId="77777777" w:rsidR="00C716E4" w:rsidRPr="00DD1A31" w:rsidRDefault="00C716E4" w:rsidP="00DD1A31">
            <w:pPr>
              <w:rPr>
                <w:rFonts w:cs="Times New Roman"/>
                <w:sz w:val="20"/>
                <w:szCs w:val="20"/>
                <w:lang w:eastAsia="lv-LV"/>
              </w:rPr>
            </w:pPr>
          </w:p>
        </w:tc>
        <w:tc>
          <w:tcPr>
            <w:tcW w:w="0" w:type="auto"/>
            <w:vMerge/>
            <w:tcBorders>
              <w:top w:val="single" w:sz="8" w:space="0" w:color="auto"/>
              <w:left w:val="nil"/>
              <w:bottom w:val="single" w:sz="8" w:space="0" w:color="auto"/>
              <w:right w:val="single" w:sz="8" w:space="0" w:color="auto"/>
            </w:tcBorders>
            <w:vAlign w:val="center"/>
            <w:hideMark/>
          </w:tcPr>
          <w:p w14:paraId="19955EBC" w14:textId="77777777" w:rsidR="00C716E4" w:rsidRPr="00DD1A31" w:rsidRDefault="00C716E4" w:rsidP="00DD1A31">
            <w:pPr>
              <w:rPr>
                <w:rFonts w:cs="Times New Roman"/>
                <w:sz w:val="20"/>
                <w:szCs w:val="20"/>
                <w:lang w:eastAsia="lv-LV"/>
              </w:rPr>
            </w:pPr>
          </w:p>
        </w:tc>
        <w:tc>
          <w:tcPr>
            <w:tcW w:w="1239"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12601C7B" w14:textId="324EB472" w:rsidR="00C716E4" w:rsidRPr="00DD1A31" w:rsidRDefault="00C716E4" w:rsidP="00DD1A31">
            <w:pPr>
              <w:rPr>
                <w:rFonts w:cs="Times New Roman"/>
                <w:b/>
                <w:sz w:val="20"/>
                <w:szCs w:val="20"/>
                <w:lang w:eastAsia="lv-LV"/>
              </w:rPr>
            </w:pPr>
            <w:r w:rsidRPr="00DD1A31">
              <w:rPr>
                <w:rFonts w:cs="Times New Roman"/>
                <w:b/>
                <w:sz w:val="20"/>
                <w:szCs w:val="20"/>
                <w:lang w:eastAsia="lv-LV"/>
              </w:rPr>
              <w:t>(</w:t>
            </w:r>
            <w:proofErr w:type="spellStart"/>
            <w:r w:rsidRPr="00DD1A31">
              <w:rPr>
                <w:rFonts w:cs="Times New Roman"/>
                <w:b/>
                <w:i/>
                <w:sz w:val="20"/>
                <w:szCs w:val="20"/>
                <w:lang w:eastAsia="lv-LV"/>
              </w:rPr>
              <w:t>euro</w:t>
            </w:r>
            <w:proofErr w:type="spellEnd"/>
            <w:r w:rsidRPr="00DD1A31">
              <w:rPr>
                <w:rFonts w:cs="Times New Roman"/>
                <w:b/>
                <w:sz w:val="20"/>
                <w:szCs w:val="20"/>
                <w:lang w:eastAsia="lv-LV"/>
              </w:rPr>
              <w:t>)</w:t>
            </w:r>
          </w:p>
        </w:tc>
        <w:tc>
          <w:tcPr>
            <w:tcW w:w="594" w:type="dxa"/>
            <w:tcBorders>
              <w:top w:val="nil"/>
              <w:left w:val="nil"/>
              <w:bottom w:val="single" w:sz="8" w:space="0" w:color="auto"/>
              <w:right w:val="single" w:sz="8" w:space="0" w:color="auto"/>
            </w:tcBorders>
            <w:shd w:val="clear" w:color="auto" w:fill="D9D9D9"/>
            <w:noWrap/>
            <w:vAlign w:val="center"/>
            <w:hideMark/>
          </w:tcPr>
          <w:p w14:paraId="0C31476B" w14:textId="77777777" w:rsidR="00C716E4" w:rsidRPr="00DD1A31" w:rsidRDefault="00C716E4" w:rsidP="00DD1A31">
            <w:pPr>
              <w:rPr>
                <w:rFonts w:cs="Times New Roman"/>
                <w:b/>
                <w:sz w:val="20"/>
                <w:szCs w:val="20"/>
                <w:lang w:eastAsia="lv-LV"/>
              </w:rPr>
            </w:pPr>
            <w:r w:rsidRPr="00DD1A31">
              <w:rPr>
                <w:rFonts w:cs="Times New Roman"/>
                <w:b/>
                <w:sz w:val="20"/>
                <w:szCs w:val="20"/>
                <w:lang w:eastAsia="lv-LV"/>
              </w:rPr>
              <w:t>c/d</w:t>
            </w:r>
          </w:p>
        </w:tc>
        <w:tc>
          <w:tcPr>
            <w:tcW w:w="981" w:type="dxa"/>
            <w:tcBorders>
              <w:top w:val="nil"/>
              <w:left w:val="nil"/>
              <w:bottom w:val="single" w:sz="8" w:space="0" w:color="auto"/>
              <w:right w:val="single" w:sz="8" w:space="0" w:color="auto"/>
            </w:tcBorders>
            <w:shd w:val="clear" w:color="auto" w:fill="D9D9D9"/>
            <w:noWrap/>
            <w:vAlign w:val="center"/>
            <w:hideMark/>
          </w:tcPr>
          <w:p w14:paraId="598D9834" w14:textId="25F7DA79" w:rsidR="00C716E4" w:rsidRPr="00DD1A31" w:rsidRDefault="00C716E4" w:rsidP="00DD1A31">
            <w:pPr>
              <w:rPr>
                <w:rFonts w:cs="Times New Roman"/>
                <w:b/>
                <w:sz w:val="20"/>
                <w:szCs w:val="20"/>
                <w:lang w:eastAsia="lv-LV"/>
              </w:rPr>
            </w:pPr>
            <w:r w:rsidRPr="00DD1A31">
              <w:rPr>
                <w:rFonts w:cs="Times New Roman"/>
                <w:b/>
                <w:sz w:val="20"/>
                <w:szCs w:val="20"/>
                <w:lang w:eastAsia="lv-LV"/>
              </w:rPr>
              <w:t>(</w:t>
            </w:r>
            <w:proofErr w:type="spellStart"/>
            <w:r w:rsidRPr="00DD1A31">
              <w:rPr>
                <w:rFonts w:cs="Times New Roman"/>
                <w:b/>
                <w:i/>
                <w:sz w:val="20"/>
                <w:szCs w:val="20"/>
                <w:lang w:eastAsia="lv-LV"/>
              </w:rPr>
              <w:t>euro</w:t>
            </w:r>
            <w:proofErr w:type="spellEnd"/>
            <w:r w:rsidRPr="00DD1A31">
              <w:rPr>
                <w:rFonts w:cs="Times New Roman"/>
                <w:b/>
                <w:sz w:val="20"/>
                <w:szCs w:val="20"/>
                <w:lang w:eastAsia="lv-LV"/>
              </w:rPr>
              <w:t>) ar PVN</w:t>
            </w:r>
          </w:p>
        </w:tc>
        <w:tc>
          <w:tcPr>
            <w:tcW w:w="516" w:type="dxa"/>
            <w:tcBorders>
              <w:top w:val="nil"/>
              <w:left w:val="nil"/>
              <w:bottom w:val="single" w:sz="8" w:space="0" w:color="auto"/>
              <w:right w:val="single" w:sz="8" w:space="0" w:color="auto"/>
            </w:tcBorders>
            <w:shd w:val="clear" w:color="auto" w:fill="D9D9D9"/>
            <w:noWrap/>
            <w:vAlign w:val="center"/>
            <w:hideMark/>
          </w:tcPr>
          <w:p w14:paraId="2814F5E8" w14:textId="77777777" w:rsidR="00C716E4" w:rsidRPr="00DD1A31" w:rsidRDefault="00C716E4" w:rsidP="00DD1A31">
            <w:pPr>
              <w:rPr>
                <w:rFonts w:cs="Times New Roman"/>
                <w:b/>
                <w:sz w:val="20"/>
                <w:szCs w:val="20"/>
                <w:lang w:eastAsia="lv-LV"/>
              </w:rPr>
            </w:pPr>
            <w:r w:rsidRPr="00DD1A31">
              <w:rPr>
                <w:rFonts w:cs="Times New Roman"/>
                <w:b/>
                <w:sz w:val="20"/>
                <w:szCs w:val="20"/>
                <w:lang w:eastAsia="lv-LV"/>
              </w:rPr>
              <w:t>c/d</w:t>
            </w:r>
          </w:p>
        </w:tc>
        <w:tc>
          <w:tcPr>
            <w:tcW w:w="1028" w:type="dxa"/>
            <w:tcBorders>
              <w:top w:val="nil"/>
              <w:left w:val="nil"/>
              <w:bottom w:val="single" w:sz="8" w:space="0" w:color="auto"/>
              <w:right w:val="single" w:sz="8" w:space="0" w:color="auto"/>
            </w:tcBorders>
            <w:shd w:val="clear" w:color="auto" w:fill="D9D9D9"/>
            <w:noWrap/>
            <w:vAlign w:val="center"/>
            <w:hideMark/>
          </w:tcPr>
          <w:p w14:paraId="472A9827" w14:textId="220252C0" w:rsidR="00C716E4" w:rsidRPr="00DD1A31" w:rsidRDefault="00C716E4" w:rsidP="00DD1A31">
            <w:pPr>
              <w:rPr>
                <w:rFonts w:cs="Times New Roman"/>
                <w:b/>
                <w:sz w:val="20"/>
                <w:szCs w:val="20"/>
                <w:lang w:eastAsia="lv-LV"/>
              </w:rPr>
            </w:pPr>
            <w:r w:rsidRPr="00DD1A31">
              <w:rPr>
                <w:rFonts w:cs="Times New Roman"/>
                <w:b/>
                <w:sz w:val="20"/>
                <w:szCs w:val="20"/>
                <w:lang w:eastAsia="lv-LV"/>
              </w:rPr>
              <w:t>(</w:t>
            </w:r>
            <w:proofErr w:type="spellStart"/>
            <w:r w:rsidRPr="00DD1A31">
              <w:rPr>
                <w:rFonts w:cs="Times New Roman"/>
                <w:b/>
                <w:i/>
                <w:sz w:val="20"/>
                <w:szCs w:val="20"/>
                <w:lang w:eastAsia="lv-LV"/>
              </w:rPr>
              <w:t>euro</w:t>
            </w:r>
            <w:proofErr w:type="spellEnd"/>
            <w:r w:rsidRPr="00DD1A31">
              <w:rPr>
                <w:rFonts w:cs="Times New Roman"/>
                <w:b/>
                <w:sz w:val="20"/>
                <w:szCs w:val="20"/>
                <w:lang w:eastAsia="lv-LV"/>
              </w:rPr>
              <w:t>) ar PVN</w:t>
            </w:r>
          </w:p>
        </w:tc>
        <w:tc>
          <w:tcPr>
            <w:tcW w:w="969" w:type="dxa"/>
            <w:vMerge/>
            <w:tcBorders>
              <w:top w:val="single" w:sz="8" w:space="0" w:color="auto"/>
              <w:left w:val="single" w:sz="8" w:space="0" w:color="auto"/>
              <w:bottom w:val="single" w:sz="8" w:space="0" w:color="000000"/>
              <w:right w:val="single" w:sz="8" w:space="0" w:color="auto"/>
            </w:tcBorders>
            <w:vAlign w:val="center"/>
            <w:hideMark/>
          </w:tcPr>
          <w:p w14:paraId="481BE5F6" w14:textId="77777777" w:rsidR="00C716E4" w:rsidRPr="00DD1A31" w:rsidRDefault="00C716E4" w:rsidP="00DD1A31">
            <w:pPr>
              <w:rPr>
                <w:rFonts w:cs="Times New Roman"/>
                <w:sz w:val="20"/>
                <w:szCs w:val="20"/>
                <w:lang w:eastAsia="lv-LV"/>
              </w:rPr>
            </w:pPr>
          </w:p>
        </w:tc>
      </w:tr>
      <w:tr w:rsidR="00F776FA" w:rsidRPr="00C716E4" w14:paraId="4FB5D267" w14:textId="77777777" w:rsidTr="00F776FA">
        <w:trPr>
          <w:trHeight w:val="277"/>
        </w:trPr>
        <w:tc>
          <w:tcPr>
            <w:tcW w:w="2326" w:type="dxa"/>
            <w:tcBorders>
              <w:top w:val="nil"/>
              <w:left w:val="single" w:sz="8" w:space="0" w:color="auto"/>
              <w:bottom w:val="nil"/>
              <w:right w:val="single" w:sz="8" w:space="0" w:color="auto"/>
            </w:tcBorders>
            <w:noWrap/>
            <w:vAlign w:val="center"/>
            <w:hideMark/>
          </w:tcPr>
          <w:p w14:paraId="6E266C59" w14:textId="77777777" w:rsidR="00C716E4" w:rsidRPr="005B475D" w:rsidRDefault="00C716E4" w:rsidP="00DD1A31">
            <w:pPr>
              <w:jc w:val="left"/>
              <w:rPr>
                <w:rFonts w:cs="Times New Roman"/>
                <w:b/>
                <w:sz w:val="20"/>
                <w:szCs w:val="20"/>
                <w:lang w:eastAsia="lv-LV"/>
              </w:rPr>
            </w:pPr>
            <w:r w:rsidRPr="005B475D">
              <w:rPr>
                <w:rFonts w:cs="Times New Roman"/>
                <w:b/>
                <w:sz w:val="20"/>
                <w:szCs w:val="20"/>
                <w:lang w:eastAsia="lv-LV"/>
              </w:rPr>
              <w:t>VID informācijas sistēmu izmaiņas</w:t>
            </w:r>
          </w:p>
        </w:tc>
        <w:tc>
          <w:tcPr>
            <w:tcW w:w="961" w:type="dxa"/>
            <w:tcBorders>
              <w:top w:val="nil"/>
              <w:left w:val="nil"/>
              <w:bottom w:val="nil"/>
              <w:right w:val="single" w:sz="8" w:space="0" w:color="auto"/>
            </w:tcBorders>
          </w:tcPr>
          <w:p w14:paraId="531772C4" w14:textId="77777777" w:rsidR="00C716E4" w:rsidRPr="005B475D" w:rsidRDefault="00C716E4" w:rsidP="00DD1A31">
            <w:pPr>
              <w:rPr>
                <w:rFonts w:cs="Times New Roman"/>
                <w:b/>
                <w:sz w:val="20"/>
                <w:szCs w:val="20"/>
                <w:lang w:eastAsia="lv-LV"/>
              </w:rPr>
            </w:pPr>
          </w:p>
        </w:tc>
        <w:tc>
          <w:tcPr>
            <w:tcW w:w="1239" w:type="dxa"/>
            <w:tcBorders>
              <w:top w:val="nil"/>
              <w:left w:val="single" w:sz="8" w:space="0" w:color="auto"/>
              <w:bottom w:val="nil"/>
              <w:right w:val="single" w:sz="8" w:space="0" w:color="auto"/>
            </w:tcBorders>
            <w:noWrap/>
            <w:vAlign w:val="center"/>
            <w:hideMark/>
          </w:tcPr>
          <w:p w14:paraId="459A9A5A" w14:textId="77777777" w:rsidR="00C716E4" w:rsidRPr="005B475D" w:rsidRDefault="00C716E4" w:rsidP="00DD1A31">
            <w:pPr>
              <w:rPr>
                <w:rFonts w:cs="Times New Roman"/>
                <w:b/>
                <w:sz w:val="20"/>
                <w:szCs w:val="20"/>
                <w:lang w:eastAsia="lv-LV"/>
              </w:rPr>
            </w:pPr>
            <w:r w:rsidRPr="005B475D">
              <w:rPr>
                <w:rFonts w:cs="Times New Roman"/>
                <w:b/>
                <w:sz w:val="20"/>
                <w:szCs w:val="20"/>
                <w:lang w:eastAsia="lv-LV"/>
              </w:rPr>
              <w:t>0</w:t>
            </w:r>
          </w:p>
        </w:tc>
        <w:tc>
          <w:tcPr>
            <w:tcW w:w="594" w:type="dxa"/>
            <w:tcBorders>
              <w:top w:val="nil"/>
              <w:left w:val="nil"/>
              <w:bottom w:val="nil"/>
              <w:right w:val="single" w:sz="8" w:space="0" w:color="auto"/>
            </w:tcBorders>
            <w:noWrap/>
            <w:vAlign w:val="center"/>
            <w:hideMark/>
          </w:tcPr>
          <w:p w14:paraId="57203DAB" w14:textId="77777777" w:rsidR="00C716E4" w:rsidRPr="005B475D" w:rsidRDefault="00C716E4" w:rsidP="00DD1A31">
            <w:pPr>
              <w:rPr>
                <w:rFonts w:cs="Times New Roman"/>
                <w:b/>
                <w:sz w:val="20"/>
                <w:szCs w:val="20"/>
                <w:lang w:eastAsia="lv-LV"/>
              </w:rPr>
            </w:pPr>
            <w:r w:rsidRPr="005B475D">
              <w:rPr>
                <w:rFonts w:cs="Times New Roman"/>
                <w:b/>
                <w:sz w:val="20"/>
                <w:szCs w:val="20"/>
                <w:lang w:eastAsia="lv-LV"/>
              </w:rPr>
              <w:t> </w:t>
            </w:r>
          </w:p>
        </w:tc>
        <w:tc>
          <w:tcPr>
            <w:tcW w:w="981" w:type="dxa"/>
            <w:tcBorders>
              <w:top w:val="nil"/>
              <w:left w:val="nil"/>
              <w:bottom w:val="nil"/>
              <w:right w:val="single" w:sz="8" w:space="0" w:color="auto"/>
            </w:tcBorders>
            <w:noWrap/>
            <w:vAlign w:val="center"/>
            <w:hideMark/>
          </w:tcPr>
          <w:p w14:paraId="0AEAB432" w14:textId="06E5C801" w:rsidR="00C716E4" w:rsidRPr="005B475D" w:rsidRDefault="00916D47" w:rsidP="00DD1A31">
            <w:pPr>
              <w:rPr>
                <w:rFonts w:cs="Times New Roman"/>
                <w:b/>
                <w:sz w:val="20"/>
                <w:szCs w:val="20"/>
                <w:lang w:eastAsia="lv-LV"/>
              </w:rPr>
            </w:pPr>
            <w:r>
              <w:rPr>
                <w:rFonts w:cs="Times New Roman"/>
                <w:b/>
                <w:sz w:val="20"/>
                <w:szCs w:val="20"/>
                <w:lang w:eastAsia="lv-LV"/>
              </w:rPr>
              <w:t>633 923</w:t>
            </w:r>
          </w:p>
        </w:tc>
        <w:tc>
          <w:tcPr>
            <w:tcW w:w="516" w:type="dxa"/>
            <w:tcBorders>
              <w:top w:val="nil"/>
              <w:left w:val="nil"/>
              <w:bottom w:val="nil"/>
              <w:right w:val="single" w:sz="8" w:space="0" w:color="auto"/>
            </w:tcBorders>
            <w:noWrap/>
            <w:vAlign w:val="center"/>
            <w:hideMark/>
          </w:tcPr>
          <w:p w14:paraId="690FAB4B" w14:textId="77777777" w:rsidR="00C716E4" w:rsidRPr="005B475D" w:rsidRDefault="00C716E4" w:rsidP="00DD1A31">
            <w:pPr>
              <w:rPr>
                <w:rFonts w:cs="Times New Roman"/>
                <w:b/>
                <w:sz w:val="20"/>
                <w:szCs w:val="20"/>
                <w:lang w:eastAsia="lv-LV"/>
              </w:rPr>
            </w:pPr>
            <w:r w:rsidRPr="005B475D">
              <w:rPr>
                <w:rFonts w:cs="Times New Roman"/>
                <w:b/>
                <w:sz w:val="20"/>
                <w:szCs w:val="20"/>
                <w:lang w:eastAsia="lv-LV"/>
              </w:rPr>
              <w:t> </w:t>
            </w:r>
          </w:p>
        </w:tc>
        <w:tc>
          <w:tcPr>
            <w:tcW w:w="1028" w:type="dxa"/>
            <w:tcBorders>
              <w:top w:val="nil"/>
              <w:left w:val="nil"/>
              <w:bottom w:val="nil"/>
              <w:right w:val="single" w:sz="8" w:space="0" w:color="auto"/>
            </w:tcBorders>
            <w:noWrap/>
            <w:vAlign w:val="center"/>
            <w:hideMark/>
          </w:tcPr>
          <w:p w14:paraId="192B40E1" w14:textId="770E7C8A" w:rsidR="00C716E4" w:rsidRPr="005B475D" w:rsidRDefault="00916D47" w:rsidP="00DD1A31">
            <w:pPr>
              <w:rPr>
                <w:rFonts w:cs="Times New Roman"/>
                <w:b/>
                <w:sz w:val="20"/>
                <w:szCs w:val="20"/>
                <w:lang w:eastAsia="lv-LV"/>
              </w:rPr>
            </w:pPr>
            <w:r>
              <w:rPr>
                <w:rFonts w:cs="Times New Roman"/>
                <w:b/>
                <w:sz w:val="20"/>
                <w:szCs w:val="20"/>
                <w:lang w:eastAsia="lv-LV"/>
              </w:rPr>
              <w:t>1 983 263</w:t>
            </w:r>
          </w:p>
        </w:tc>
        <w:tc>
          <w:tcPr>
            <w:tcW w:w="969" w:type="dxa"/>
            <w:tcBorders>
              <w:top w:val="nil"/>
              <w:left w:val="nil"/>
              <w:bottom w:val="nil"/>
              <w:right w:val="single" w:sz="8" w:space="0" w:color="auto"/>
            </w:tcBorders>
            <w:noWrap/>
            <w:vAlign w:val="center"/>
            <w:hideMark/>
          </w:tcPr>
          <w:p w14:paraId="2B64A90B" w14:textId="3906E03A" w:rsidR="00C716E4" w:rsidRPr="005B475D" w:rsidRDefault="00916D47" w:rsidP="00DD1A31">
            <w:pPr>
              <w:rPr>
                <w:rFonts w:cs="Times New Roman"/>
                <w:b/>
                <w:sz w:val="20"/>
                <w:szCs w:val="20"/>
                <w:lang w:eastAsia="lv-LV"/>
              </w:rPr>
            </w:pPr>
            <w:r>
              <w:rPr>
                <w:rFonts w:cs="Times New Roman"/>
                <w:b/>
                <w:sz w:val="20"/>
                <w:szCs w:val="20"/>
                <w:lang w:eastAsia="lv-LV"/>
              </w:rPr>
              <w:t>349 368</w:t>
            </w:r>
          </w:p>
        </w:tc>
      </w:tr>
      <w:tr w:rsidR="00F776FA" w:rsidRPr="00C716E4" w14:paraId="46EA7B96" w14:textId="77777777" w:rsidTr="00F776FA">
        <w:trPr>
          <w:trHeight w:val="277"/>
        </w:trPr>
        <w:tc>
          <w:tcPr>
            <w:tcW w:w="2326" w:type="dxa"/>
            <w:tcBorders>
              <w:top w:val="single" w:sz="8" w:space="0" w:color="auto"/>
              <w:left w:val="single" w:sz="8" w:space="0" w:color="auto"/>
              <w:bottom w:val="single" w:sz="4" w:space="0" w:color="auto"/>
              <w:right w:val="single" w:sz="8" w:space="0" w:color="auto"/>
            </w:tcBorders>
            <w:noWrap/>
            <w:vAlign w:val="center"/>
            <w:hideMark/>
          </w:tcPr>
          <w:p w14:paraId="0D55973B" w14:textId="77777777" w:rsidR="00C716E4" w:rsidRPr="00DD1A31" w:rsidRDefault="00C716E4" w:rsidP="00DD1A31">
            <w:pPr>
              <w:rPr>
                <w:rFonts w:cs="Times New Roman"/>
                <w:i/>
                <w:sz w:val="20"/>
                <w:szCs w:val="20"/>
                <w:lang w:eastAsia="lv-LV"/>
              </w:rPr>
            </w:pPr>
            <w:r w:rsidRPr="00DD1A31">
              <w:rPr>
                <w:rFonts w:cs="Times New Roman"/>
                <w:i/>
                <w:sz w:val="20"/>
                <w:szCs w:val="20"/>
                <w:lang w:eastAsia="lv-LV"/>
              </w:rPr>
              <w:t>VID informācijas sistēmu izmaiņas</w:t>
            </w:r>
          </w:p>
        </w:tc>
        <w:tc>
          <w:tcPr>
            <w:tcW w:w="961" w:type="dxa"/>
            <w:tcBorders>
              <w:top w:val="single" w:sz="8" w:space="0" w:color="auto"/>
              <w:left w:val="nil"/>
              <w:bottom w:val="single" w:sz="4" w:space="0" w:color="auto"/>
              <w:right w:val="single" w:sz="8" w:space="0" w:color="auto"/>
            </w:tcBorders>
          </w:tcPr>
          <w:p w14:paraId="279775CC" w14:textId="77777777" w:rsidR="00C716E4" w:rsidRPr="00DD1A31" w:rsidRDefault="00C716E4" w:rsidP="00DD1A31">
            <w:pPr>
              <w:rPr>
                <w:rFonts w:cs="Times New Roman"/>
                <w:sz w:val="20"/>
                <w:szCs w:val="20"/>
                <w:lang w:eastAsia="lv-LV"/>
              </w:rPr>
            </w:pPr>
          </w:p>
        </w:tc>
        <w:tc>
          <w:tcPr>
            <w:tcW w:w="1239" w:type="dxa"/>
            <w:tcBorders>
              <w:top w:val="single" w:sz="8" w:space="0" w:color="auto"/>
              <w:left w:val="single" w:sz="8" w:space="0" w:color="auto"/>
              <w:bottom w:val="single" w:sz="4" w:space="0" w:color="auto"/>
              <w:right w:val="single" w:sz="8" w:space="0" w:color="auto"/>
            </w:tcBorders>
            <w:noWrap/>
            <w:vAlign w:val="center"/>
            <w:hideMark/>
          </w:tcPr>
          <w:p w14:paraId="788ED1E5"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 </w:t>
            </w:r>
          </w:p>
        </w:tc>
        <w:tc>
          <w:tcPr>
            <w:tcW w:w="594" w:type="dxa"/>
            <w:tcBorders>
              <w:top w:val="single" w:sz="8" w:space="0" w:color="auto"/>
              <w:left w:val="nil"/>
              <w:bottom w:val="single" w:sz="4" w:space="0" w:color="auto"/>
              <w:right w:val="single" w:sz="8" w:space="0" w:color="auto"/>
            </w:tcBorders>
            <w:noWrap/>
            <w:vAlign w:val="center"/>
            <w:hideMark/>
          </w:tcPr>
          <w:p w14:paraId="1A1746A3"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 </w:t>
            </w:r>
          </w:p>
        </w:tc>
        <w:tc>
          <w:tcPr>
            <w:tcW w:w="981" w:type="dxa"/>
            <w:tcBorders>
              <w:top w:val="single" w:sz="8" w:space="0" w:color="auto"/>
              <w:left w:val="nil"/>
              <w:bottom w:val="single" w:sz="4" w:space="0" w:color="auto"/>
              <w:right w:val="single" w:sz="8" w:space="0" w:color="auto"/>
            </w:tcBorders>
            <w:noWrap/>
            <w:vAlign w:val="center"/>
            <w:hideMark/>
          </w:tcPr>
          <w:p w14:paraId="09FDAC37" w14:textId="09EBFAA4" w:rsidR="00C716E4" w:rsidRPr="00DD1A31" w:rsidRDefault="00916D47" w:rsidP="00DD1A31">
            <w:pPr>
              <w:rPr>
                <w:rFonts w:cs="Times New Roman"/>
                <w:sz w:val="20"/>
                <w:szCs w:val="20"/>
                <w:lang w:eastAsia="lv-LV"/>
              </w:rPr>
            </w:pPr>
            <w:r>
              <w:rPr>
                <w:rFonts w:cs="Times New Roman"/>
                <w:sz w:val="20"/>
                <w:szCs w:val="20"/>
                <w:lang w:eastAsia="lv-LV"/>
              </w:rPr>
              <w:t>486 923</w:t>
            </w:r>
          </w:p>
        </w:tc>
        <w:tc>
          <w:tcPr>
            <w:tcW w:w="516" w:type="dxa"/>
            <w:tcBorders>
              <w:top w:val="single" w:sz="8" w:space="0" w:color="auto"/>
              <w:left w:val="nil"/>
              <w:bottom w:val="single" w:sz="4" w:space="0" w:color="auto"/>
              <w:right w:val="single" w:sz="8" w:space="0" w:color="auto"/>
            </w:tcBorders>
            <w:noWrap/>
            <w:vAlign w:val="center"/>
            <w:hideMark/>
          </w:tcPr>
          <w:p w14:paraId="63C47B04"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 </w:t>
            </w:r>
          </w:p>
        </w:tc>
        <w:tc>
          <w:tcPr>
            <w:tcW w:w="1028" w:type="dxa"/>
            <w:tcBorders>
              <w:top w:val="single" w:sz="8" w:space="0" w:color="auto"/>
              <w:left w:val="nil"/>
              <w:bottom w:val="single" w:sz="4" w:space="0" w:color="auto"/>
              <w:right w:val="single" w:sz="8" w:space="0" w:color="auto"/>
            </w:tcBorders>
            <w:noWrap/>
            <w:vAlign w:val="center"/>
            <w:hideMark/>
          </w:tcPr>
          <w:p w14:paraId="03B03BC6" w14:textId="53F6914F" w:rsidR="00C716E4" w:rsidRPr="00DD1A31" w:rsidRDefault="00916D47" w:rsidP="00DD1A31">
            <w:pPr>
              <w:rPr>
                <w:rFonts w:cs="Times New Roman"/>
                <w:sz w:val="20"/>
                <w:szCs w:val="20"/>
                <w:lang w:eastAsia="lv-LV"/>
              </w:rPr>
            </w:pPr>
            <w:r>
              <w:rPr>
                <w:rFonts w:cs="Times New Roman"/>
                <w:sz w:val="20"/>
                <w:szCs w:val="20"/>
                <w:lang w:eastAsia="lv-LV"/>
              </w:rPr>
              <w:t>654 683</w:t>
            </w:r>
          </w:p>
        </w:tc>
        <w:tc>
          <w:tcPr>
            <w:tcW w:w="969" w:type="dxa"/>
            <w:tcBorders>
              <w:top w:val="single" w:sz="8" w:space="0" w:color="auto"/>
              <w:left w:val="nil"/>
              <w:bottom w:val="single" w:sz="4" w:space="0" w:color="auto"/>
              <w:right w:val="single" w:sz="8" w:space="0" w:color="auto"/>
            </w:tcBorders>
            <w:noWrap/>
            <w:vAlign w:val="center"/>
            <w:hideMark/>
          </w:tcPr>
          <w:p w14:paraId="1AF1BCF3" w14:textId="33BB45B5" w:rsidR="00C716E4" w:rsidRPr="00DD1A31" w:rsidRDefault="00916D47" w:rsidP="00DD1A31">
            <w:pPr>
              <w:rPr>
                <w:rFonts w:cs="Times New Roman"/>
                <w:sz w:val="20"/>
                <w:szCs w:val="20"/>
                <w:lang w:eastAsia="lv-LV"/>
              </w:rPr>
            </w:pPr>
            <w:r>
              <w:rPr>
                <w:rFonts w:cs="Times New Roman"/>
                <w:sz w:val="20"/>
                <w:szCs w:val="20"/>
                <w:lang w:eastAsia="lv-LV"/>
              </w:rPr>
              <w:t>57 080</w:t>
            </w:r>
          </w:p>
        </w:tc>
      </w:tr>
      <w:tr w:rsidR="00F776FA" w:rsidRPr="00C716E4" w14:paraId="28C1A910" w14:textId="77777777" w:rsidTr="00F776FA">
        <w:trPr>
          <w:trHeight w:val="277"/>
        </w:trPr>
        <w:tc>
          <w:tcPr>
            <w:tcW w:w="2326" w:type="dxa"/>
            <w:tcBorders>
              <w:top w:val="nil"/>
              <w:left w:val="single" w:sz="8" w:space="0" w:color="auto"/>
              <w:bottom w:val="single" w:sz="4" w:space="0" w:color="auto"/>
              <w:right w:val="single" w:sz="8" w:space="0" w:color="auto"/>
            </w:tcBorders>
            <w:noWrap/>
            <w:vAlign w:val="center"/>
            <w:hideMark/>
          </w:tcPr>
          <w:p w14:paraId="2C940402" w14:textId="77777777" w:rsidR="00C716E4" w:rsidRPr="00DD1A31" w:rsidRDefault="00C716E4" w:rsidP="00DD1A31">
            <w:pPr>
              <w:rPr>
                <w:rFonts w:cs="Times New Roman"/>
                <w:i/>
                <w:sz w:val="20"/>
                <w:szCs w:val="20"/>
                <w:lang w:eastAsia="lv-LV"/>
              </w:rPr>
            </w:pPr>
            <w:r w:rsidRPr="00DD1A31">
              <w:rPr>
                <w:rFonts w:cs="Times New Roman"/>
                <w:i/>
                <w:sz w:val="20"/>
                <w:szCs w:val="20"/>
                <w:lang w:eastAsia="lv-LV"/>
              </w:rPr>
              <w:t xml:space="preserve">VID Informācijas sistēmu </w:t>
            </w:r>
            <w:proofErr w:type="spellStart"/>
            <w:r w:rsidRPr="00DD1A31">
              <w:rPr>
                <w:rFonts w:cs="Times New Roman"/>
                <w:i/>
                <w:sz w:val="20"/>
                <w:szCs w:val="20"/>
                <w:lang w:eastAsia="lv-LV"/>
              </w:rPr>
              <w:t>savietotājs</w:t>
            </w:r>
            <w:proofErr w:type="spellEnd"/>
            <w:r w:rsidRPr="00DD1A31">
              <w:rPr>
                <w:rFonts w:cs="Times New Roman"/>
                <w:i/>
                <w:sz w:val="20"/>
                <w:szCs w:val="20"/>
                <w:lang w:eastAsia="lv-LV"/>
              </w:rPr>
              <w:t xml:space="preserve"> (ISS)</w:t>
            </w:r>
          </w:p>
        </w:tc>
        <w:tc>
          <w:tcPr>
            <w:tcW w:w="961" w:type="dxa"/>
            <w:tcBorders>
              <w:top w:val="nil"/>
              <w:left w:val="nil"/>
              <w:bottom w:val="single" w:sz="4" w:space="0" w:color="auto"/>
              <w:right w:val="single" w:sz="8" w:space="0" w:color="auto"/>
            </w:tcBorders>
            <w:hideMark/>
          </w:tcPr>
          <w:p w14:paraId="456A8463"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441,65</w:t>
            </w:r>
          </w:p>
        </w:tc>
        <w:tc>
          <w:tcPr>
            <w:tcW w:w="1239" w:type="dxa"/>
            <w:tcBorders>
              <w:top w:val="nil"/>
              <w:left w:val="single" w:sz="8" w:space="0" w:color="auto"/>
              <w:bottom w:val="single" w:sz="4" w:space="0" w:color="auto"/>
              <w:right w:val="single" w:sz="8" w:space="0" w:color="auto"/>
            </w:tcBorders>
            <w:noWrap/>
            <w:vAlign w:val="center"/>
            <w:hideMark/>
          </w:tcPr>
          <w:p w14:paraId="2265A4A1"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 </w:t>
            </w:r>
          </w:p>
        </w:tc>
        <w:tc>
          <w:tcPr>
            <w:tcW w:w="594" w:type="dxa"/>
            <w:tcBorders>
              <w:top w:val="nil"/>
              <w:left w:val="nil"/>
              <w:bottom w:val="single" w:sz="4" w:space="0" w:color="auto"/>
              <w:right w:val="single" w:sz="8" w:space="0" w:color="auto"/>
            </w:tcBorders>
            <w:noWrap/>
            <w:vAlign w:val="center"/>
            <w:hideMark/>
          </w:tcPr>
          <w:p w14:paraId="30698616" w14:textId="471E65C2" w:rsidR="00C716E4" w:rsidRPr="00DD1A31" w:rsidRDefault="00916D47" w:rsidP="00DD1A31">
            <w:pPr>
              <w:rPr>
                <w:rFonts w:cs="Times New Roman"/>
                <w:sz w:val="20"/>
                <w:szCs w:val="20"/>
                <w:lang w:eastAsia="lv-LV"/>
              </w:rPr>
            </w:pPr>
            <w:r>
              <w:rPr>
                <w:rFonts w:cs="Times New Roman"/>
                <w:sz w:val="20"/>
                <w:szCs w:val="20"/>
                <w:lang w:eastAsia="lv-LV"/>
              </w:rPr>
              <w:t>436</w:t>
            </w:r>
          </w:p>
        </w:tc>
        <w:tc>
          <w:tcPr>
            <w:tcW w:w="981" w:type="dxa"/>
            <w:tcBorders>
              <w:top w:val="nil"/>
              <w:left w:val="nil"/>
              <w:bottom w:val="single" w:sz="4" w:space="0" w:color="auto"/>
              <w:right w:val="single" w:sz="8" w:space="0" w:color="auto"/>
            </w:tcBorders>
            <w:noWrap/>
            <w:vAlign w:val="center"/>
            <w:hideMark/>
          </w:tcPr>
          <w:p w14:paraId="5B49CC69" w14:textId="554126F9" w:rsidR="00C716E4" w:rsidRPr="00DD1A31" w:rsidRDefault="00916D47" w:rsidP="00DD1A31">
            <w:pPr>
              <w:rPr>
                <w:rFonts w:cs="Times New Roman"/>
                <w:sz w:val="20"/>
                <w:szCs w:val="20"/>
                <w:lang w:eastAsia="lv-LV"/>
              </w:rPr>
            </w:pPr>
            <w:r>
              <w:rPr>
                <w:rFonts w:cs="Times New Roman"/>
                <w:sz w:val="20"/>
                <w:szCs w:val="20"/>
                <w:lang w:eastAsia="lv-LV"/>
              </w:rPr>
              <w:t>192 559</w:t>
            </w:r>
          </w:p>
        </w:tc>
        <w:tc>
          <w:tcPr>
            <w:tcW w:w="516" w:type="dxa"/>
            <w:tcBorders>
              <w:top w:val="nil"/>
              <w:left w:val="nil"/>
              <w:bottom w:val="single" w:sz="4" w:space="0" w:color="auto"/>
              <w:right w:val="single" w:sz="8" w:space="0" w:color="auto"/>
            </w:tcBorders>
            <w:noWrap/>
            <w:vAlign w:val="center"/>
            <w:hideMark/>
          </w:tcPr>
          <w:p w14:paraId="3933D0DB" w14:textId="2384813F" w:rsidR="00C716E4" w:rsidRPr="00DD1A31" w:rsidRDefault="00916D47" w:rsidP="00DD1A31">
            <w:pPr>
              <w:rPr>
                <w:rFonts w:cs="Times New Roman"/>
                <w:sz w:val="20"/>
                <w:szCs w:val="20"/>
                <w:lang w:eastAsia="lv-LV"/>
              </w:rPr>
            </w:pPr>
            <w:r>
              <w:rPr>
                <w:rFonts w:cs="Times New Roman"/>
                <w:sz w:val="20"/>
                <w:szCs w:val="20"/>
                <w:lang w:eastAsia="lv-LV"/>
              </w:rPr>
              <w:t>335</w:t>
            </w:r>
          </w:p>
        </w:tc>
        <w:tc>
          <w:tcPr>
            <w:tcW w:w="1028" w:type="dxa"/>
            <w:tcBorders>
              <w:top w:val="nil"/>
              <w:left w:val="nil"/>
              <w:bottom w:val="single" w:sz="4" w:space="0" w:color="auto"/>
              <w:right w:val="single" w:sz="8" w:space="0" w:color="auto"/>
            </w:tcBorders>
            <w:noWrap/>
            <w:vAlign w:val="center"/>
            <w:hideMark/>
          </w:tcPr>
          <w:p w14:paraId="13E02CF1" w14:textId="4EDE7B61" w:rsidR="00C716E4" w:rsidRPr="00DD1A31" w:rsidRDefault="00916D47" w:rsidP="00DD1A31">
            <w:pPr>
              <w:rPr>
                <w:rFonts w:cs="Times New Roman"/>
                <w:sz w:val="20"/>
                <w:szCs w:val="20"/>
                <w:lang w:eastAsia="lv-LV"/>
              </w:rPr>
            </w:pPr>
            <w:r>
              <w:rPr>
                <w:rFonts w:cs="Times New Roman"/>
                <w:sz w:val="20"/>
                <w:szCs w:val="20"/>
                <w:lang w:eastAsia="lv-LV"/>
              </w:rPr>
              <w:t>147 953</w:t>
            </w:r>
          </w:p>
        </w:tc>
        <w:tc>
          <w:tcPr>
            <w:tcW w:w="969" w:type="dxa"/>
            <w:tcBorders>
              <w:top w:val="nil"/>
              <w:left w:val="nil"/>
              <w:bottom w:val="single" w:sz="4" w:space="0" w:color="auto"/>
              <w:right w:val="single" w:sz="8" w:space="0" w:color="auto"/>
            </w:tcBorders>
            <w:noWrap/>
            <w:vAlign w:val="center"/>
            <w:hideMark/>
          </w:tcPr>
          <w:p w14:paraId="1A28C2B0"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 </w:t>
            </w:r>
          </w:p>
        </w:tc>
      </w:tr>
      <w:tr w:rsidR="00F776FA" w:rsidRPr="00C716E4" w14:paraId="6D770CDC" w14:textId="77777777" w:rsidTr="00F776FA">
        <w:trPr>
          <w:trHeight w:val="277"/>
        </w:trPr>
        <w:tc>
          <w:tcPr>
            <w:tcW w:w="2326" w:type="dxa"/>
            <w:tcBorders>
              <w:top w:val="nil"/>
              <w:left w:val="single" w:sz="8" w:space="0" w:color="auto"/>
              <w:bottom w:val="single" w:sz="4" w:space="0" w:color="auto"/>
              <w:right w:val="single" w:sz="8" w:space="0" w:color="auto"/>
            </w:tcBorders>
            <w:noWrap/>
            <w:vAlign w:val="center"/>
            <w:hideMark/>
          </w:tcPr>
          <w:p w14:paraId="287F9D76" w14:textId="77777777" w:rsidR="00C716E4" w:rsidRPr="00DD1A31" w:rsidRDefault="00C716E4" w:rsidP="00DD1A31">
            <w:pPr>
              <w:rPr>
                <w:rFonts w:cs="Times New Roman"/>
                <w:i/>
                <w:sz w:val="20"/>
                <w:szCs w:val="20"/>
                <w:lang w:eastAsia="lv-LV"/>
              </w:rPr>
            </w:pPr>
            <w:r w:rsidRPr="00DD1A31">
              <w:rPr>
                <w:rFonts w:cs="Times New Roman"/>
                <w:i/>
                <w:sz w:val="20"/>
                <w:szCs w:val="20"/>
                <w:lang w:eastAsia="lv-LV"/>
              </w:rPr>
              <w:t xml:space="preserve">Datu noliktavas sistēma (DNS) </w:t>
            </w:r>
          </w:p>
        </w:tc>
        <w:tc>
          <w:tcPr>
            <w:tcW w:w="961" w:type="dxa"/>
            <w:tcBorders>
              <w:top w:val="nil"/>
              <w:left w:val="nil"/>
              <w:bottom w:val="single" w:sz="4" w:space="0" w:color="auto"/>
              <w:right w:val="single" w:sz="8" w:space="0" w:color="auto"/>
            </w:tcBorders>
            <w:hideMark/>
          </w:tcPr>
          <w:p w14:paraId="42C878C1"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505,78</w:t>
            </w:r>
          </w:p>
        </w:tc>
        <w:tc>
          <w:tcPr>
            <w:tcW w:w="1239" w:type="dxa"/>
            <w:tcBorders>
              <w:top w:val="nil"/>
              <w:left w:val="single" w:sz="8" w:space="0" w:color="auto"/>
              <w:bottom w:val="single" w:sz="4" w:space="0" w:color="auto"/>
              <w:right w:val="single" w:sz="8" w:space="0" w:color="auto"/>
            </w:tcBorders>
            <w:noWrap/>
            <w:vAlign w:val="center"/>
            <w:hideMark/>
          </w:tcPr>
          <w:p w14:paraId="1FCD697E"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 </w:t>
            </w:r>
          </w:p>
        </w:tc>
        <w:tc>
          <w:tcPr>
            <w:tcW w:w="594" w:type="dxa"/>
            <w:tcBorders>
              <w:top w:val="nil"/>
              <w:left w:val="nil"/>
              <w:bottom w:val="single" w:sz="4" w:space="0" w:color="auto"/>
              <w:right w:val="single" w:sz="8" w:space="0" w:color="auto"/>
            </w:tcBorders>
            <w:noWrap/>
            <w:vAlign w:val="center"/>
            <w:hideMark/>
          </w:tcPr>
          <w:p w14:paraId="2654D766" w14:textId="01CD56E7" w:rsidR="00C716E4" w:rsidRPr="00DD1A31" w:rsidRDefault="00916D47" w:rsidP="00DD1A31">
            <w:pPr>
              <w:rPr>
                <w:rFonts w:cs="Times New Roman"/>
                <w:sz w:val="20"/>
                <w:szCs w:val="20"/>
                <w:lang w:eastAsia="lv-LV"/>
              </w:rPr>
            </w:pPr>
            <w:r>
              <w:rPr>
                <w:rFonts w:cs="Times New Roman"/>
                <w:sz w:val="20"/>
                <w:szCs w:val="20"/>
                <w:lang w:eastAsia="lv-LV"/>
              </w:rPr>
              <w:t>582</w:t>
            </w:r>
          </w:p>
        </w:tc>
        <w:tc>
          <w:tcPr>
            <w:tcW w:w="981" w:type="dxa"/>
            <w:tcBorders>
              <w:top w:val="nil"/>
              <w:left w:val="nil"/>
              <w:bottom w:val="single" w:sz="4" w:space="0" w:color="auto"/>
              <w:right w:val="single" w:sz="8" w:space="0" w:color="auto"/>
            </w:tcBorders>
            <w:noWrap/>
            <w:vAlign w:val="center"/>
            <w:hideMark/>
          </w:tcPr>
          <w:p w14:paraId="1FD8289E" w14:textId="099AFC8F" w:rsidR="00C716E4" w:rsidRPr="00DD1A31" w:rsidRDefault="00916D47" w:rsidP="00DD1A31">
            <w:pPr>
              <w:rPr>
                <w:rFonts w:cs="Times New Roman"/>
                <w:sz w:val="20"/>
                <w:szCs w:val="20"/>
                <w:lang w:eastAsia="lv-LV"/>
              </w:rPr>
            </w:pPr>
            <w:r>
              <w:rPr>
                <w:rFonts w:cs="Times New Roman"/>
                <w:sz w:val="20"/>
                <w:szCs w:val="20"/>
                <w:lang w:eastAsia="lv-LV"/>
              </w:rPr>
              <w:t>294 364</w:t>
            </w:r>
          </w:p>
        </w:tc>
        <w:tc>
          <w:tcPr>
            <w:tcW w:w="516" w:type="dxa"/>
            <w:tcBorders>
              <w:top w:val="nil"/>
              <w:left w:val="nil"/>
              <w:bottom w:val="single" w:sz="4" w:space="0" w:color="auto"/>
              <w:right w:val="single" w:sz="8" w:space="0" w:color="auto"/>
            </w:tcBorders>
            <w:noWrap/>
            <w:vAlign w:val="center"/>
            <w:hideMark/>
          </w:tcPr>
          <w:p w14:paraId="429AF098" w14:textId="2C9A9B91" w:rsidR="00C716E4" w:rsidRPr="00DD1A31" w:rsidRDefault="00916D47" w:rsidP="00DD1A31">
            <w:pPr>
              <w:rPr>
                <w:rFonts w:cs="Times New Roman"/>
                <w:sz w:val="20"/>
                <w:szCs w:val="20"/>
                <w:lang w:eastAsia="lv-LV"/>
              </w:rPr>
            </w:pPr>
            <w:r>
              <w:rPr>
                <w:rFonts w:cs="Times New Roman"/>
                <w:sz w:val="20"/>
                <w:szCs w:val="20"/>
                <w:lang w:eastAsia="lv-LV"/>
              </w:rPr>
              <w:t>506</w:t>
            </w:r>
          </w:p>
        </w:tc>
        <w:tc>
          <w:tcPr>
            <w:tcW w:w="1028" w:type="dxa"/>
            <w:tcBorders>
              <w:top w:val="nil"/>
              <w:left w:val="nil"/>
              <w:bottom w:val="single" w:sz="4" w:space="0" w:color="auto"/>
              <w:right w:val="single" w:sz="8" w:space="0" w:color="auto"/>
            </w:tcBorders>
            <w:noWrap/>
            <w:vAlign w:val="center"/>
            <w:hideMark/>
          </w:tcPr>
          <w:p w14:paraId="4D0CBDBA" w14:textId="7C4F591E" w:rsidR="00C716E4" w:rsidRPr="00DD1A31" w:rsidRDefault="00916D47" w:rsidP="00DD1A31">
            <w:pPr>
              <w:rPr>
                <w:rFonts w:cs="Times New Roman"/>
                <w:sz w:val="20"/>
                <w:szCs w:val="20"/>
                <w:lang w:eastAsia="lv-LV"/>
              </w:rPr>
            </w:pPr>
            <w:r>
              <w:rPr>
                <w:rFonts w:cs="Times New Roman"/>
                <w:sz w:val="20"/>
                <w:szCs w:val="20"/>
                <w:lang w:eastAsia="lv-LV"/>
              </w:rPr>
              <w:t>255 925</w:t>
            </w:r>
          </w:p>
        </w:tc>
        <w:tc>
          <w:tcPr>
            <w:tcW w:w="969" w:type="dxa"/>
            <w:tcBorders>
              <w:top w:val="nil"/>
              <w:left w:val="nil"/>
              <w:bottom w:val="single" w:sz="4" w:space="0" w:color="auto"/>
              <w:right w:val="single" w:sz="8" w:space="0" w:color="auto"/>
            </w:tcBorders>
            <w:noWrap/>
            <w:vAlign w:val="center"/>
            <w:hideMark/>
          </w:tcPr>
          <w:p w14:paraId="7CD75F7C"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 </w:t>
            </w:r>
          </w:p>
        </w:tc>
      </w:tr>
      <w:tr w:rsidR="00F776FA" w:rsidRPr="00C716E4" w14:paraId="71FA0D9F" w14:textId="77777777" w:rsidTr="00F776FA">
        <w:trPr>
          <w:trHeight w:val="277"/>
        </w:trPr>
        <w:tc>
          <w:tcPr>
            <w:tcW w:w="2326" w:type="dxa"/>
            <w:tcBorders>
              <w:top w:val="nil"/>
              <w:left w:val="single" w:sz="8" w:space="0" w:color="auto"/>
              <w:bottom w:val="single" w:sz="4" w:space="0" w:color="auto"/>
              <w:right w:val="single" w:sz="8" w:space="0" w:color="auto"/>
            </w:tcBorders>
            <w:noWrap/>
            <w:vAlign w:val="center"/>
            <w:hideMark/>
          </w:tcPr>
          <w:p w14:paraId="0B3534A8" w14:textId="77777777" w:rsidR="00C716E4" w:rsidRPr="00DD1A31" w:rsidRDefault="00C716E4" w:rsidP="00DD1A31">
            <w:pPr>
              <w:rPr>
                <w:rFonts w:cs="Times New Roman"/>
                <w:i/>
                <w:sz w:val="20"/>
                <w:szCs w:val="20"/>
                <w:lang w:eastAsia="lv-LV"/>
              </w:rPr>
            </w:pPr>
            <w:r w:rsidRPr="00DD1A31">
              <w:rPr>
                <w:rFonts w:cs="Times New Roman"/>
                <w:i/>
                <w:sz w:val="20"/>
                <w:szCs w:val="20"/>
                <w:lang w:eastAsia="lv-LV"/>
              </w:rPr>
              <w:t>Elektroniskās deklarēšanas sistēma (EDS)</w:t>
            </w:r>
          </w:p>
        </w:tc>
        <w:tc>
          <w:tcPr>
            <w:tcW w:w="961" w:type="dxa"/>
            <w:tcBorders>
              <w:top w:val="nil"/>
              <w:left w:val="nil"/>
              <w:bottom w:val="single" w:sz="4" w:space="0" w:color="auto"/>
              <w:right w:val="single" w:sz="8" w:space="0" w:color="auto"/>
            </w:tcBorders>
            <w:hideMark/>
          </w:tcPr>
          <w:p w14:paraId="1331D7B1"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490,05</w:t>
            </w:r>
          </w:p>
        </w:tc>
        <w:tc>
          <w:tcPr>
            <w:tcW w:w="1239" w:type="dxa"/>
            <w:tcBorders>
              <w:top w:val="nil"/>
              <w:left w:val="single" w:sz="8" w:space="0" w:color="auto"/>
              <w:bottom w:val="single" w:sz="4" w:space="0" w:color="auto"/>
              <w:right w:val="single" w:sz="8" w:space="0" w:color="auto"/>
            </w:tcBorders>
            <w:noWrap/>
            <w:vAlign w:val="center"/>
            <w:hideMark/>
          </w:tcPr>
          <w:p w14:paraId="7A2C5FCA"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 </w:t>
            </w:r>
          </w:p>
        </w:tc>
        <w:tc>
          <w:tcPr>
            <w:tcW w:w="594" w:type="dxa"/>
            <w:tcBorders>
              <w:top w:val="nil"/>
              <w:left w:val="nil"/>
              <w:bottom w:val="single" w:sz="4" w:space="0" w:color="auto"/>
              <w:right w:val="single" w:sz="8" w:space="0" w:color="auto"/>
            </w:tcBorders>
            <w:noWrap/>
            <w:vAlign w:val="center"/>
            <w:hideMark/>
          </w:tcPr>
          <w:p w14:paraId="1363B4F5"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 </w:t>
            </w:r>
          </w:p>
        </w:tc>
        <w:tc>
          <w:tcPr>
            <w:tcW w:w="981" w:type="dxa"/>
            <w:tcBorders>
              <w:top w:val="nil"/>
              <w:left w:val="nil"/>
              <w:bottom w:val="single" w:sz="4" w:space="0" w:color="auto"/>
              <w:right w:val="single" w:sz="8" w:space="0" w:color="auto"/>
            </w:tcBorders>
            <w:noWrap/>
            <w:vAlign w:val="center"/>
            <w:hideMark/>
          </w:tcPr>
          <w:p w14:paraId="7321D61F"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 </w:t>
            </w:r>
          </w:p>
        </w:tc>
        <w:tc>
          <w:tcPr>
            <w:tcW w:w="516" w:type="dxa"/>
            <w:tcBorders>
              <w:top w:val="nil"/>
              <w:left w:val="nil"/>
              <w:bottom w:val="single" w:sz="4" w:space="0" w:color="auto"/>
              <w:right w:val="single" w:sz="8" w:space="0" w:color="auto"/>
            </w:tcBorders>
            <w:noWrap/>
            <w:vAlign w:val="center"/>
            <w:hideMark/>
          </w:tcPr>
          <w:p w14:paraId="74204929" w14:textId="0DF2A816" w:rsidR="00C716E4" w:rsidRPr="00DD1A31" w:rsidRDefault="00916D47" w:rsidP="00DD1A31">
            <w:pPr>
              <w:rPr>
                <w:rFonts w:cs="Times New Roman"/>
                <w:sz w:val="20"/>
                <w:szCs w:val="20"/>
                <w:lang w:eastAsia="lv-LV"/>
              </w:rPr>
            </w:pPr>
            <w:r>
              <w:rPr>
                <w:rFonts w:cs="Times New Roman"/>
                <w:sz w:val="20"/>
                <w:szCs w:val="20"/>
                <w:lang w:eastAsia="lv-LV"/>
              </w:rPr>
              <w:t>120</w:t>
            </w:r>
          </w:p>
        </w:tc>
        <w:tc>
          <w:tcPr>
            <w:tcW w:w="1028" w:type="dxa"/>
            <w:tcBorders>
              <w:top w:val="nil"/>
              <w:left w:val="nil"/>
              <w:bottom w:val="single" w:sz="4" w:space="0" w:color="auto"/>
              <w:right w:val="single" w:sz="8" w:space="0" w:color="auto"/>
            </w:tcBorders>
            <w:noWrap/>
            <w:vAlign w:val="center"/>
            <w:hideMark/>
          </w:tcPr>
          <w:p w14:paraId="15A3AB4C" w14:textId="7EB69ACD" w:rsidR="00C716E4" w:rsidRPr="00DD1A31" w:rsidRDefault="00916D47" w:rsidP="00DD1A31">
            <w:pPr>
              <w:rPr>
                <w:rFonts w:cs="Times New Roman"/>
                <w:sz w:val="20"/>
                <w:szCs w:val="20"/>
                <w:lang w:eastAsia="lv-LV"/>
              </w:rPr>
            </w:pPr>
            <w:r>
              <w:rPr>
                <w:rFonts w:cs="Times New Roman"/>
                <w:sz w:val="20"/>
                <w:szCs w:val="20"/>
                <w:lang w:eastAsia="lv-LV"/>
              </w:rPr>
              <w:t>58 806</w:t>
            </w:r>
          </w:p>
        </w:tc>
        <w:tc>
          <w:tcPr>
            <w:tcW w:w="969" w:type="dxa"/>
            <w:tcBorders>
              <w:top w:val="nil"/>
              <w:left w:val="nil"/>
              <w:bottom w:val="single" w:sz="4" w:space="0" w:color="auto"/>
              <w:right w:val="single" w:sz="8" w:space="0" w:color="auto"/>
            </w:tcBorders>
            <w:noWrap/>
            <w:vAlign w:val="center"/>
            <w:hideMark/>
          </w:tcPr>
          <w:p w14:paraId="42EF50C2"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 </w:t>
            </w:r>
          </w:p>
        </w:tc>
      </w:tr>
      <w:tr w:rsidR="00F776FA" w:rsidRPr="00C716E4" w14:paraId="0D376F74" w14:textId="77777777" w:rsidTr="00F776FA">
        <w:trPr>
          <w:trHeight w:val="277"/>
        </w:trPr>
        <w:tc>
          <w:tcPr>
            <w:tcW w:w="2326" w:type="dxa"/>
            <w:tcBorders>
              <w:top w:val="nil"/>
              <w:left w:val="single" w:sz="8" w:space="0" w:color="auto"/>
              <w:bottom w:val="single" w:sz="4" w:space="0" w:color="auto"/>
              <w:right w:val="single" w:sz="8" w:space="0" w:color="auto"/>
            </w:tcBorders>
            <w:noWrap/>
            <w:vAlign w:val="center"/>
            <w:hideMark/>
          </w:tcPr>
          <w:p w14:paraId="20E9833A" w14:textId="77777777" w:rsidR="00C716E4" w:rsidRPr="00DD1A31" w:rsidRDefault="00C716E4" w:rsidP="00DD1A31">
            <w:pPr>
              <w:rPr>
                <w:rFonts w:cs="Times New Roman"/>
                <w:i/>
                <w:sz w:val="20"/>
                <w:szCs w:val="20"/>
                <w:lang w:eastAsia="lv-LV"/>
              </w:rPr>
            </w:pPr>
            <w:r w:rsidRPr="00DD1A31">
              <w:rPr>
                <w:rFonts w:cs="Times New Roman"/>
                <w:i/>
                <w:sz w:val="20"/>
                <w:szCs w:val="20"/>
                <w:lang w:eastAsia="lv-LV"/>
              </w:rPr>
              <w:t>Pamatdarbības informācijas sistēmas</w:t>
            </w:r>
          </w:p>
        </w:tc>
        <w:tc>
          <w:tcPr>
            <w:tcW w:w="961" w:type="dxa"/>
            <w:tcBorders>
              <w:top w:val="nil"/>
              <w:left w:val="nil"/>
              <w:bottom w:val="single" w:sz="4" w:space="0" w:color="auto"/>
              <w:right w:val="single" w:sz="8" w:space="0" w:color="auto"/>
            </w:tcBorders>
          </w:tcPr>
          <w:p w14:paraId="395C024A" w14:textId="77777777" w:rsidR="00C716E4" w:rsidRPr="00DD1A31" w:rsidRDefault="00C716E4" w:rsidP="00DD1A31">
            <w:pPr>
              <w:rPr>
                <w:rFonts w:cs="Times New Roman"/>
                <w:sz w:val="20"/>
                <w:szCs w:val="20"/>
                <w:lang w:eastAsia="lv-LV"/>
              </w:rPr>
            </w:pPr>
          </w:p>
        </w:tc>
        <w:tc>
          <w:tcPr>
            <w:tcW w:w="1239" w:type="dxa"/>
            <w:tcBorders>
              <w:top w:val="nil"/>
              <w:left w:val="single" w:sz="8" w:space="0" w:color="auto"/>
              <w:bottom w:val="single" w:sz="4" w:space="0" w:color="auto"/>
              <w:right w:val="single" w:sz="8" w:space="0" w:color="auto"/>
            </w:tcBorders>
            <w:noWrap/>
            <w:vAlign w:val="center"/>
            <w:hideMark/>
          </w:tcPr>
          <w:p w14:paraId="19D0AFE5"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 </w:t>
            </w:r>
          </w:p>
        </w:tc>
        <w:tc>
          <w:tcPr>
            <w:tcW w:w="594" w:type="dxa"/>
            <w:tcBorders>
              <w:top w:val="nil"/>
              <w:left w:val="nil"/>
              <w:bottom w:val="single" w:sz="4" w:space="0" w:color="auto"/>
              <w:right w:val="single" w:sz="8" w:space="0" w:color="auto"/>
            </w:tcBorders>
            <w:noWrap/>
            <w:vAlign w:val="center"/>
            <w:hideMark/>
          </w:tcPr>
          <w:p w14:paraId="75F8A3F4"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 </w:t>
            </w:r>
          </w:p>
        </w:tc>
        <w:tc>
          <w:tcPr>
            <w:tcW w:w="981" w:type="dxa"/>
            <w:tcBorders>
              <w:top w:val="nil"/>
              <w:left w:val="nil"/>
              <w:bottom w:val="single" w:sz="4" w:space="0" w:color="auto"/>
              <w:right w:val="single" w:sz="8" w:space="0" w:color="auto"/>
            </w:tcBorders>
            <w:noWrap/>
            <w:vAlign w:val="center"/>
            <w:hideMark/>
          </w:tcPr>
          <w:p w14:paraId="5EB6B795"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 </w:t>
            </w:r>
          </w:p>
        </w:tc>
        <w:tc>
          <w:tcPr>
            <w:tcW w:w="516" w:type="dxa"/>
            <w:tcBorders>
              <w:top w:val="nil"/>
              <w:left w:val="nil"/>
              <w:bottom w:val="single" w:sz="4" w:space="0" w:color="auto"/>
              <w:right w:val="single" w:sz="8" w:space="0" w:color="auto"/>
            </w:tcBorders>
            <w:noWrap/>
            <w:vAlign w:val="center"/>
            <w:hideMark/>
          </w:tcPr>
          <w:p w14:paraId="22ADB75B" w14:textId="1A3EC555" w:rsidR="00C716E4" w:rsidRPr="00DD1A31" w:rsidRDefault="00916D47" w:rsidP="00DD1A31">
            <w:pPr>
              <w:rPr>
                <w:rFonts w:cs="Times New Roman"/>
                <w:sz w:val="20"/>
                <w:szCs w:val="20"/>
                <w:lang w:eastAsia="lv-LV"/>
              </w:rPr>
            </w:pPr>
            <w:r>
              <w:rPr>
                <w:rFonts w:cs="Times New Roman"/>
                <w:sz w:val="20"/>
                <w:szCs w:val="20"/>
                <w:lang w:eastAsia="lv-LV"/>
              </w:rPr>
              <w:t>384</w:t>
            </w:r>
          </w:p>
        </w:tc>
        <w:tc>
          <w:tcPr>
            <w:tcW w:w="1028" w:type="dxa"/>
            <w:tcBorders>
              <w:top w:val="nil"/>
              <w:left w:val="nil"/>
              <w:bottom w:val="single" w:sz="4" w:space="0" w:color="auto"/>
              <w:right w:val="single" w:sz="8" w:space="0" w:color="auto"/>
            </w:tcBorders>
            <w:noWrap/>
            <w:vAlign w:val="center"/>
            <w:hideMark/>
          </w:tcPr>
          <w:p w14:paraId="7D5FEAEE" w14:textId="03AA8E1B" w:rsidR="00C716E4" w:rsidRPr="00DD1A31" w:rsidRDefault="00916D47" w:rsidP="00DD1A31">
            <w:pPr>
              <w:rPr>
                <w:rFonts w:cs="Times New Roman"/>
                <w:sz w:val="20"/>
                <w:szCs w:val="20"/>
                <w:lang w:eastAsia="lv-LV"/>
              </w:rPr>
            </w:pPr>
            <w:r>
              <w:rPr>
                <w:rFonts w:cs="Times New Roman"/>
                <w:sz w:val="20"/>
                <w:szCs w:val="20"/>
                <w:lang w:eastAsia="lv-LV"/>
              </w:rPr>
              <w:t>192</w:t>
            </w:r>
            <w:r w:rsidR="00C716E4" w:rsidRPr="00DD1A31">
              <w:rPr>
                <w:rFonts w:cs="Times New Roman"/>
                <w:sz w:val="20"/>
                <w:szCs w:val="20"/>
                <w:lang w:eastAsia="lv-LV"/>
              </w:rPr>
              <w:t xml:space="preserve"> 000</w:t>
            </w:r>
          </w:p>
        </w:tc>
        <w:tc>
          <w:tcPr>
            <w:tcW w:w="969" w:type="dxa"/>
            <w:tcBorders>
              <w:top w:val="nil"/>
              <w:left w:val="nil"/>
              <w:bottom w:val="single" w:sz="4" w:space="0" w:color="auto"/>
              <w:right w:val="single" w:sz="8" w:space="0" w:color="auto"/>
            </w:tcBorders>
            <w:noWrap/>
            <w:vAlign w:val="center"/>
            <w:hideMark/>
          </w:tcPr>
          <w:p w14:paraId="63C4BA99"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 </w:t>
            </w:r>
          </w:p>
        </w:tc>
      </w:tr>
      <w:tr w:rsidR="00F776FA" w:rsidRPr="00C716E4" w14:paraId="224DF22F" w14:textId="77777777" w:rsidTr="00F776FA">
        <w:trPr>
          <w:trHeight w:val="277"/>
        </w:trPr>
        <w:tc>
          <w:tcPr>
            <w:tcW w:w="2326" w:type="dxa"/>
            <w:tcBorders>
              <w:top w:val="nil"/>
              <w:left w:val="single" w:sz="8" w:space="0" w:color="auto"/>
              <w:bottom w:val="single" w:sz="4" w:space="0" w:color="auto"/>
              <w:right w:val="single" w:sz="8" w:space="0" w:color="auto"/>
            </w:tcBorders>
            <w:noWrap/>
            <w:vAlign w:val="center"/>
            <w:hideMark/>
          </w:tcPr>
          <w:p w14:paraId="22BB6FE3" w14:textId="77777777" w:rsidR="00C716E4" w:rsidRPr="00DD1A31" w:rsidRDefault="00C716E4" w:rsidP="00DD1A31">
            <w:pPr>
              <w:rPr>
                <w:rFonts w:cs="Times New Roman"/>
                <w:i/>
                <w:sz w:val="20"/>
                <w:szCs w:val="20"/>
                <w:lang w:eastAsia="lv-LV"/>
              </w:rPr>
            </w:pPr>
            <w:r w:rsidRPr="00DD1A31">
              <w:rPr>
                <w:rFonts w:cs="Times New Roman"/>
                <w:i/>
                <w:sz w:val="20"/>
                <w:szCs w:val="20"/>
                <w:lang w:eastAsia="lv-LV"/>
              </w:rPr>
              <w:t>Programmatūras licences</w:t>
            </w:r>
          </w:p>
        </w:tc>
        <w:tc>
          <w:tcPr>
            <w:tcW w:w="961" w:type="dxa"/>
            <w:tcBorders>
              <w:top w:val="nil"/>
              <w:left w:val="nil"/>
              <w:bottom w:val="single" w:sz="4" w:space="0" w:color="auto"/>
              <w:right w:val="single" w:sz="8" w:space="0" w:color="auto"/>
            </w:tcBorders>
          </w:tcPr>
          <w:p w14:paraId="0BC01A87" w14:textId="77777777" w:rsidR="00C716E4" w:rsidRPr="00DD1A31" w:rsidRDefault="00C716E4" w:rsidP="00DD1A31">
            <w:pPr>
              <w:rPr>
                <w:rFonts w:cs="Times New Roman"/>
                <w:sz w:val="20"/>
                <w:szCs w:val="20"/>
                <w:lang w:eastAsia="lv-LV"/>
              </w:rPr>
            </w:pPr>
          </w:p>
        </w:tc>
        <w:tc>
          <w:tcPr>
            <w:tcW w:w="1239" w:type="dxa"/>
            <w:tcBorders>
              <w:top w:val="nil"/>
              <w:left w:val="single" w:sz="8" w:space="0" w:color="auto"/>
              <w:bottom w:val="single" w:sz="4" w:space="0" w:color="auto"/>
              <w:right w:val="single" w:sz="8" w:space="0" w:color="auto"/>
            </w:tcBorders>
            <w:noWrap/>
            <w:vAlign w:val="center"/>
            <w:hideMark/>
          </w:tcPr>
          <w:p w14:paraId="63C67652"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 </w:t>
            </w:r>
          </w:p>
        </w:tc>
        <w:tc>
          <w:tcPr>
            <w:tcW w:w="594" w:type="dxa"/>
            <w:tcBorders>
              <w:top w:val="nil"/>
              <w:left w:val="nil"/>
              <w:bottom w:val="single" w:sz="4" w:space="0" w:color="auto"/>
              <w:right w:val="single" w:sz="8" w:space="0" w:color="auto"/>
            </w:tcBorders>
            <w:noWrap/>
            <w:vAlign w:val="center"/>
            <w:hideMark/>
          </w:tcPr>
          <w:p w14:paraId="4FB61A5B"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 </w:t>
            </w:r>
          </w:p>
        </w:tc>
        <w:tc>
          <w:tcPr>
            <w:tcW w:w="981" w:type="dxa"/>
            <w:tcBorders>
              <w:top w:val="nil"/>
              <w:left w:val="nil"/>
              <w:bottom w:val="single" w:sz="4" w:space="0" w:color="auto"/>
              <w:right w:val="single" w:sz="8" w:space="0" w:color="auto"/>
            </w:tcBorders>
            <w:noWrap/>
            <w:vAlign w:val="center"/>
            <w:hideMark/>
          </w:tcPr>
          <w:p w14:paraId="181DE47C"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 </w:t>
            </w:r>
          </w:p>
        </w:tc>
        <w:tc>
          <w:tcPr>
            <w:tcW w:w="516" w:type="dxa"/>
            <w:tcBorders>
              <w:top w:val="nil"/>
              <w:left w:val="nil"/>
              <w:bottom w:val="single" w:sz="4" w:space="0" w:color="auto"/>
              <w:right w:val="single" w:sz="8" w:space="0" w:color="auto"/>
            </w:tcBorders>
            <w:noWrap/>
            <w:vAlign w:val="center"/>
            <w:hideMark/>
          </w:tcPr>
          <w:p w14:paraId="4DD33134"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 </w:t>
            </w:r>
          </w:p>
        </w:tc>
        <w:tc>
          <w:tcPr>
            <w:tcW w:w="1028" w:type="dxa"/>
            <w:tcBorders>
              <w:top w:val="nil"/>
              <w:left w:val="nil"/>
              <w:bottom w:val="single" w:sz="4" w:space="0" w:color="auto"/>
              <w:right w:val="single" w:sz="8" w:space="0" w:color="auto"/>
            </w:tcBorders>
            <w:noWrap/>
            <w:vAlign w:val="center"/>
            <w:hideMark/>
          </w:tcPr>
          <w:p w14:paraId="3A136EA9"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1 328 580</w:t>
            </w:r>
          </w:p>
        </w:tc>
        <w:tc>
          <w:tcPr>
            <w:tcW w:w="969" w:type="dxa"/>
            <w:tcBorders>
              <w:top w:val="nil"/>
              <w:left w:val="nil"/>
              <w:bottom w:val="single" w:sz="4" w:space="0" w:color="auto"/>
              <w:right w:val="single" w:sz="8" w:space="0" w:color="auto"/>
            </w:tcBorders>
            <w:noWrap/>
            <w:vAlign w:val="center"/>
            <w:hideMark/>
          </w:tcPr>
          <w:p w14:paraId="168909E9"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292 288</w:t>
            </w:r>
          </w:p>
        </w:tc>
      </w:tr>
      <w:tr w:rsidR="00F776FA" w:rsidRPr="00C716E4" w14:paraId="55292E5E" w14:textId="77777777" w:rsidTr="00F776FA">
        <w:trPr>
          <w:trHeight w:val="286"/>
        </w:trPr>
        <w:tc>
          <w:tcPr>
            <w:tcW w:w="2326" w:type="dxa"/>
            <w:tcBorders>
              <w:top w:val="nil"/>
              <w:left w:val="single" w:sz="8" w:space="0" w:color="auto"/>
              <w:bottom w:val="single" w:sz="8" w:space="0" w:color="auto"/>
              <w:right w:val="single" w:sz="8" w:space="0" w:color="auto"/>
            </w:tcBorders>
            <w:noWrap/>
            <w:vAlign w:val="center"/>
            <w:hideMark/>
          </w:tcPr>
          <w:p w14:paraId="2350B3F1" w14:textId="77777777" w:rsidR="00C716E4" w:rsidRPr="00DD1A31" w:rsidRDefault="00C716E4" w:rsidP="00DD1A31">
            <w:pPr>
              <w:rPr>
                <w:rFonts w:cs="Times New Roman"/>
                <w:i/>
                <w:sz w:val="20"/>
                <w:szCs w:val="20"/>
                <w:lang w:eastAsia="lv-LV"/>
              </w:rPr>
            </w:pPr>
            <w:r w:rsidRPr="00DD1A31">
              <w:rPr>
                <w:rFonts w:cs="Times New Roman"/>
                <w:i/>
                <w:sz w:val="20"/>
                <w:szCs w:val="20"/>
                <w:lang w:eastAsia="lv-LV"/>
              </w:rPr>
              <w:t>Serveru infrastruktūra</w:t>
            </w:r>
          </w:p>
        </w:tc>
        <w:tc>
          <w:tcPr>
            <w:tcW w:w="961" w:type="dxa"/>
            <w:tcBorders>
              <w:top w:val="nil"/>
              <w:left w:val="nil"/>
              <w:bottom w:val="single" w:sz="8" w:space="0" w:color="auto"/>
              <w:right w:val="single" w:sz="8" w:space="0" w:color="auto"/>
            </w:tcBorders>
          </w:tcPr>
          <w:p w14:paraId="6A13E73C" w14:textId="77777777" w:rsidR="00C716E4" w:rsidRPr="00DD1A31" w:rsidRDefault="00C716E4" w:rsidP="00DD1A31">
            <w:pPr>
              <w:rPr>
                <w:rFonts w:cs="Times New Roman"/>
                <w:sz w:val="20"/>
                <w:szCs w:val="20"/>
                <w:lang w:eastAsia="lv-LV"/>
              </w:rPr>
            </w:pPr>
          </w:p>
        </w:tc>
        <w:tc>
          <w:tcPr>
            <w:tcW w:w="1239" w:type="dxa"/>
            <w:tcBorders>
              <w:top w:val="nil"/>
              <w:left w:val="single" w:sz="8" w:space="0" w:color="auto"/>
              <w:bottom w:val="single" w:sz="8" w:space="0" w:color="auto"/>
              <w:right w:val="single" w:sz="8" w:space="0" w:color="auto"/>
            </w:tcBorders>
            <w:noWrap/>
            <w:vAlign w:val="center"/>
            <w:hideMark/>
          </w:tcPr>
          <w:p w14:paraId="189ADBF7"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 </w:t>
            </w:r>
          </w:p>
        </w:tc>
        <w:tc>
          <w:tcPr>
            <w:tcW w:w="594" w:type="dxa"/>
            <w:tcBorders>
              <w:top w:val="nil"/>
              <w:left w:val="nil"/>
              <w:bottom w:val="single" w:sz="8" w:space="0" w:color="auto"/>
              <w:right w:val="single" w:sz="8" w:space="0" w:color="auto"/>
            </w:tcBorders>
            <w:noWrap/>
            <w:vAlign w:val="center"/>
            <w:hideMark/>
          </w:tcPr>
          <w:p w14:paraId="07F54D2E"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 </w:t>
            </w:r>
          </w:p>
        </w:tc>
        <w:tc>
          <w:tcPr>
            <w:tcW w:w="981" w:type="dxa"/>
            <w:tcBorders>
              <w:top w:val="nil"/>
              <w:left w:val="nil"/>
              <w:bottom w:val="single" w:sz="8" w:space="0" w:color="auto"/>
              <w:right w:val="single" w:sz="8" w:space="0" w:color="auto"/>
            </w:tcBorders>
            <w:noWrap/>
            <w:vAlign w:val="center"/>
            <w:hideMark/>
          </w:tcPr>
          <w:p w14:paraId="689E84E5"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147 000</w:t>
            </w:r>
          </w:p>
        </w:tc>
        <w:tc>
          <w:tcPr>
            <w:tcW w:w="516" w:type="dxa"/>
            <w:tcBorders>
              <w:top w:val="nil"/>
              <w:left w:val="nil"/>
              <w:bottom w:val="single" w:sz="8" w:space="0" w:color="auto"/>
              <w:right w:val="single" w:sz="8" w:space="0" w:color="auto"/>
            </w:tcBorders>
            <w:noWrap/>
            <w:vAlign w:val="center"/>
            <w:hideMark/>
          </w:tcPr>
          <w:p w14:paraId="245D4552"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 </w:t>
            </w:r>
          </w:p>
        </w:tc>
        <w:tc>
          <w:tcPr>
            <w:tcW w:w="1028" w:type="dxa"/>
            <w:tcBorders>
              <w:top w:val="nil"/>
              <w:left w:val="nil"/>
              <w:bottom w:val="single" w:sz="8" w:space="0" w:color="auto"/>
              <w:right w:val="single" w:sz="8" w:space="0" w:color="auto"/>
            </w:tcBorders>
            <w:noWrap/>
            <w:vAlign w:val="center"/>
            <w:hideMark/>
          </w:tcPr>
          <w:p w14:paraId="2939257F"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 </w:t>
            </w:r>
          </w:p>
        </w:tc>
        <w:tc>
          <w:tcPr>
            <w:tcW w:w="969" w:type="dxa"/>
            <w:tcBorders>
              <w:top w:val="nil"/>
              <w:left w:val="nil"/>
              <w:bottom w:val="single" w:sz="8" w:space="0" w:color="auto"/>
              <w:right w:val="single" w:sz="8" w:space="0" w:color="auto"/>
            </w:tcBorders>
            <w:noWrap/>
            <w:vAlign w:val="center"/>
            <w:hideMark/>
          </w:tcPr>
          <w:p w14:paraId="1060304A" w14:textId="77777777" w:rsidR="00C716E4" w:rsidRPr="00DD1A31" w:rsidRDefault="00C716E4" w:rsidP="00DD1A31">
            <w:pPr>
              <w:rPr>
                <w:rFonts w:cs="Times New Roman"/>
                <w:sz w:val="20"/>
                <w:szCs w:val="20"/>
                <w:lang w:eastAsia="lv-LV"/>
              </w:rPr>
            </w:pPr>
            <w:r w:rsidRPr="00DD1A31">
              <w:rPr>
                <w:rFonts w:cs="Times New Roman"/>
                <w:sz w:val="20"/>
                <w:szCs w:val="20"/>
                <w:lang w:eastAsia="lv-LV"/>
              </w:rPr>
              <w:t> </w:t>
            </w:r>
          </w:p>
        </w:tc>
      </w:tr>
      <w:tr w:rsidR="00F776FA" w:rsidRPr="00C716E4" w14:paraId="177AA789" w14:textId="77777777" w:rsidTr="00F776FA">
        <w:trPr>
          <w:trHeight w:val="277"/>
        </w:trPr>
        <w:tc>
          <w:tcPr>
            <w:tcW w:w="2326" w:type="dxa"/>
            <w:tcBorders>
              <w:top w:val="nil"/>
              <w:left w:val="single" w:sz="8" w:space="0" w:color="auto"/>
              <w:bottom w:val="single" w:sz="8" w:space="0" w:color="auto"/>
              <w:right w:val="single" w:sz="8" w:space="0" w:color="auto"/>
            </w:tcBorders>
            <w:noWrap/>
            <w:vAlign w:val="center"/>
            <w:hideMark/>
          </w:tcPr>
          <w:p w14:paraId="27E4C1CA" w14:textId="77777777" w:rsidR="00C716E4" w:rsidRPr="00DD1A31" w:rsidRDefault="00C716E4" w:rsidP="00DD1A31">
            <w:pPr>
              <w:rPr>
                <w:rFonts w:cs="Times New Roman"/>
                <w:b/>
                <w:sz w:val="20"/>
                <w:szCs w:val="20"/>
                <w:lang w:eastAsia="lv-LV"/>
              </w:rPr>
            </w:pPr>
            <w:r w:rsidRPr="00DD1A31">
              <w:rPr>
                <w:rFonts w:cs="Times New Roman"/>
                <w:b/>
                <w:sz w:val="20"/>
                <w:szCs w:val="20"/>
                <w:lang w:eastAsia="lv-LV"/>
              </w:rPr>
              <w:t>Atlīdzības izdevumi</w:t>
            </w:r>
          </w:p>
        </w:tc>
        <w:tc>
          <w:tcPr>
            <w:tcW w:w="961" w:type="dxa"/>
            <w:tcBorders>
              <w:top w:val="nil"/>
              <w:left w:val="nil"/>
              <w:bottom w:val="single" w:sz="8" w:space="0" w:color="auto"/>
              <w:right w:val="single" w:sz="8" w:space="0" w:color="auto"/>
            </w:tcBorders>
          </w:tcPr>
          <w:p w14:paraId="0DEB1C9B" w14:textId="77777777" w:rsidR="00C716E4" w:rsidRPr="00DD1A31" w:rsidRDefault="00C716E4" w:rsidP="00DD1A31">
            <w:pPr>
              <w:rPr>
                <w:rFonts w:cs="Times New Roman"/>
                <w:sz w:val="20"/>
                <w:szCs w:val="20"/>
                <w:lang w:eastAsia="lv-LV"/>
              </w:rPr>
            </w:pPr>
          </w:p>
        </w:tc>
        <w:tc>
          <w:tcPr>
            <w:tcW w:w="1239" w:type="dxa"/>
            <w:tcBorders>
              <w:top w:val="nil"/>
              <w:left w:val="single" w:sz="8" w:space="0" w:color="auto"/>
              <w:bottom w:val="single" w:sz="8" w:space="0" w:color="auto"/>
              <w:right w:val="single" w:sz="8" w:space="0" w:color="auto"/>
            </w:tcBorders>
            <w:noWrap/>
            <w:vAlign w:val="center"/>
            <w:hideMark/>
          </w:tcPr>
          <w:p w14:paraId="0FB51EF5" w14:textId="77777777" w:rsidR="00C716E4" w:rsidRPr="005B475D" w:rsidRDefault="00C716E4" w:rsidP="00DD1A31">
            <w:pPr>
              <w:rPr>
                <w:rFonts w:cs="Times New Roman"/>
                <w:b/>
                <w:sz w:val="20"/>
                <w:szCs w:val="20"/>
                <w:lang w:eastAsia="lv-LV"/>
              </w:rPr>
            </w:pPr>
            <w:r w:rsidRPr="005B475D">
              <w:rPr>
                <w:rFonts w:cs="Times New Roman"/>
                <w:b/>
                <w:sz w:val="20"/>
                <w:szCs w:val="20"/>
                <w:lang w:eastAsia="lv-LV"/>
              </w:rPr>
              <w:t>82 875</w:t>
            </w:r>
          </w:p>
        </w:tc>
        <w:tc>
          <w:tcPr>
            <w:tcW w:w="594" w:type="dxa"/>
            <w:tcBorders>
              <w:top w:val="nil"/>
              <w:left w:val="nil"/>
              <w:bottom w:val="single" w:sz="8" w:space="0" w:color="auto"/>
              <w:right w:val="single" w:sz="8" w:space="0" w:color="auto"/>
            </w:tcBorders>
            <w:noWrap/>
            <w:vAlign w:val="center"/>
            <w:hideMark/>
          </w:tcPr>
          <w:p w14:paraId="32715CC5" w14:textId="77777777" w:rsidR="00C716E4" w:rsidRPr="005B475D" w:rsidRDefault="00C716E4" w:rsidP="00DD1A31">
            <w:pPr>
              <w:rPr>
                <w:rFonts w:cs="Times New Roman"/>
                <w:b/>
                <w:sz w:val="20"/>
                <w:szCs w:val="20"/>
                <w:lang w:eastAsia="lv-LV"/>
              </w:rPr>
            </w:pPr>
            <w:r w:rsidRPr="005B475D">
              <w:rPr>
                <w:rFonts w:cs="Times New Roman"/>
                <w:b/>
                <w:sz w:val="20"/>
                <w:szCs w:val="20"/>
                <w:lang w:eastAsia="lv-LV"/>
              </w:rPr>
              <w:t> </w:t>
            </w:r>
          </w:p>
        </w:tc>
        <w:tc>
          <w:tcPr>
            <w:tcW w:w="981" w:type="dxa"/>
            <w:tcBorders>
              <w:top w:val="nil"/>
              <w:left w:val="nil"/>
              <w:bottom w:val="single" w:sz="8" w:space="0" w:color="auto"/>
              <w:right w:val="single" w:sz="8" w:space="0" w:color="auto"/>
            </w:tcBorders>
            <w:noWrap/>
            <w:vAlign w:val="center"/>
            <w:hideMark/>
          </w:tcPr>
          <w:p w14:paraId="4200BB25" w14:textId="77777777" w:rsidR="00C716E4" w:rsidRPr="005B475D" w:rsidRDefault="00C716E4" w:rsidP="00DD1A31">
            <w:pPr>
              <w:rPr>
                <w:rFonts w:cs="Times New Roman"/>
                <w:b/>
                <w:sz w:val="20"/>
                <w:szCs w:val="20"/>
                <w:lang w:eastAsia="lv-LV"/>
              </w:rPr>
            </w:pPr>
            <w:r w:rsidRPr="005B475D">
              <w:rPr>
                <w:rFonts w:cs="Times New Roman"/>
                <w:b/>
                <w:sz w:val="20"/>
                <w:szCs w:val="20"/>
                <w:lang w:eastAsia="lv-LV"/>
              </w:rPr>
              <w:t>82 875</w:t>
            </w:r>
          </w:p>
        </w:tc>
        <w:tc>
          <w:tcPr>
            <w:tcW w:w="516" w:type="dxa"/>
            <w:tcBorders>
              <w:top w:val="nil"/>
              <w:left w:val="nil"/>
              <w:bottom w:val="single" w:sz="8" w:space="0" w:color="auto"/>
              <w:right w:val="single" w:sz="8" w:space="0" w:color="auto"/>
            </w:tcBorders>
            <w:noWrap/>
            <w:vAlign w:val="center"/>
            <w:hideMark/>
          </w:tcPr>
          <w:p w14:paraId="31186285" w14:textId="77777777" w:rsidR="00C716E4" w:rsidRPr="005B475D" w:rsidRDefault="00C716E4" w:rsidP="00DD1A31">
            <w:pPr>
              <w:rPr>
                <w:rFonts w:cs="Times New Roman"/>
                <w:b/>
                <w:sz w:val="20"/>
                <w:szCs w:val="20"/>
                <w:lang w:eastAsia="lv-LV"/>
              </w:rPr>
            </w:pPr>
            <w:r w:rsidRPr="005B475D">
              <w:rPr>
                <w:rFonts w:cs="Times New Roman"/>
                <w:b/>
                <w:sz w:val="20"/>
                <w:szCs w:val="20"/>
                <w:lang w:eastAsia="lv-LV"/>
              </w:rPr>
              <w:t> </w:t>
            </w:r>
          </w:p>
        </w:tc>
        <w:tc>
          <w:tcPr>
            <w:tcW w:w="1028" w:type="dxa"/>
            <w:tcBorders>
              <w:top w:val="nil"/>
              <w:left w:val="nil"/>
              <w:bottom w:val="single" w:sz="8" w:space="0" w:color="auto"/>
              <w:right w:val="single" w:sz="8" w:space="0" w:color="auto"/>
            </w:tcBorders>
            <w:noWrap/>
            <w:vAlign w:val="center"/>
            <w:hideMark/>
          </w:tcPr>
          <w:p w14:paraId="0F884742" w14:textId="77777777" w:rsidR="00C716E4" w:rsidRPr="005B475D" w:rsidRDefault="00C716E4" w:rsidP="00DD1A31">
            <w:pPr>
              <w:rPr>
                <w:rFonts w:cs="Times New Roman"/>
                <w:b/>
                <w:sz w:val="20"/>
                <w:szCs w:val="20"/>
                <w:lang w:eastAsia="lv-LV"/>
              </w:rPr>
            </w:pPr>
            <w:r w:rsidRPr="005B475D">
              <w:rPr>
                <w:rFonts w:cs="Times New Roman"/>
                <w:b/>
                <w:sz w:val="20"/>
                <w:szCs w:val="20"/>
                <w:lang w:eastAsia="lv-LV"/>
              </w:rPr>
              <w:t>82 875</w:t>
            </w:r>
          </w:p>
        </w:tc>
        <w:tc>
          <w:tcPr>
            <w:tcW w:w="969" w:type="dxa"/>
            <w:tcBorders>
              <w:top w:val="nil"/>
              <w:left w:val="nil"/>
              <w:bottom w:val="single" w:sz="8" w:space="0" w:color="auto"/>
              <w:right w:val="single" w:sz="8" w:space="0" w:color="auto"/>
            </w:tcBorders>
            <w:noWrap/>
            <w:vAlign w:val="center"/>
            <w:hideMark/>
          </w:tcPr>
          <w:p w14:paraId="7A2278A1" w14:textId="77777777" w:rsidR="00C716E4" w:rsidRPr="005B475D" w:rsidRDefault="00C716E4" w:rsidP="00DD1A31">
            <w:pPr>
              <w:rPr>
                <w:rFonts w:cs="Times New Roman"/>
                <w:b/>
                <w:sz w:val="20"/>
                <w:szCs w:val="20"/>
                <w:lang w:eastAsia="lv-LV"/>
              </w:rPr>
            </w:pPr>
            <w:r w:rsidRPr="005B475D">
              <w:rPr>
                <w:rFonts w:cs="Times New Roman"/>
                <w:b/>
                <w:sz w:val="20"/>
                <w:szCs w:val="20"/>
                <w:lang w:eastAsia="lv-LV"/>
              </w:rPr>
              <w:t>82 875</w:t>
            </w:r>
          </w:p>
        </w:tc>
      </w:tr>
      <w:tr w:rsidR="00F776FA" w:rsidRPr="00C716E4" w14:paraId="33D72AA0" w14:textId="77777777" w:rsidTr="00F776FA">
        <w:trPr>
          <w:trHeight w:val="277"/>
        </w:trPr>
        <w:tc>
          <w:tcPr>
            <w:tcW w:w="2326" w:type="dxa"/>
            <w:tcBorders>
              <w:top w:val="nil"/>
              <w:left w:val="single" w:sz="8" w:space="0" w:color="auto"/>
              <w:bottom w:val="nil"/>
              <w:right w:val="single" w:sz="8" w:space="0" w:color="auto"/>
            </w:tcBorders>
            <w:noWrap/>
            <w:vAlign w:val="center"/>
            <w:hideMark/>
          </w:tcPr>
          <w:p w14:paraId="5779EDBD" w14:textId="77777777" w:rsidR="00C716E4" w:rsidRPr="00DD1A31" w:rsidRDefault="00C716E4" w:rsidP="00DD1A31">
            <w:pPr>
              <w:rPr>
                <w:rFonts w:cs="Times New Roman"/>
                <w:b/>
                <w:sz w:val="20"/>
                <w:szCs w:val="20"/>
                <w:lang w:eastAsia="lv-LV"/>
              </w:rPr>
            </w:pPr>
            <w:r w:rsidRPr="00DD1A31">
              <w:rPr>
                <w:rFonts w:cs="Times New Roman"/>
                <w:b/>
                <w:sz w:val="20"/>
                <w:szCs w:val="20"/>
                <w:lang w:eastAsia="lv-LV"/>
              </w:rPr>
              <w:t>Amata vietu uzturēšanas izdevumi (mācības)</w:t>
            </w:r>
          </w:p>
        </w:tc>
        <w:tc>
          <w:tcPr>
            <w:tcW w:w="961" w:type="dxa"/>
            <w:tcBorders>
              <w:top w:val="nil"/>
              <w:left w:val="nil"/>
              <w:bottom w:val="nil"/>
              <w:right w:val="single" w:sz="8" w:space="0" w:color="auto"/>
            </w:tcBorders>
          </w:tcPr>
          <w:p w14:paraId="7BA2439F" w14:textId="77777777" w:rsidR="00C716E4" w:rsidRPr="00DD1A31" w:rsidRDefault="00C716E4" w:rsidP="00DD1A31">
            <w:pPr>
              <w:rPr>
                <w:rFonts w:cs="Times New Roman"/>
                <w:sz w:val="20"/>
                <w:szCs w:val="20"/>
                <w:lang w:eastAsia="lv-LV"/>
              </w:rPr>
            </w:pPr>
          </w:p>
        </w:tc>
        <w:tc>
          <w:tcPr>
            <w:tcW w:w="1239" w:type="dxa"/>
            <w:tcBorders>
              <w:top w:val="nil"/>
              <w:left w:val="single" w:sz="8" w:space="0" w:color="auto"/>
              <w:bottom w:val="nil"/>
              <w:right w:val="single" w:sz="8" w:space="0" w:color="auto"/>
            </w:tcBorders>
            <w:noWrap/>
            <w:vAlign w:val="center"/>
            <w:hideMark/>
          </w:tcPr>
          <w:p w14:paraId="1B093468" w14:textId="77777777" w:rsidR="00C716E4" w:rsidRPr="005B475D" w:rsidRDefault="00C716E4" w:rsidP="00DD1A31">
            <w:pPr>
              <w:rPr>
                <w:rFonts w:cs="Times New Roman"/>
                <w:b/>
                <w:sz w:val="20"/>
                <w:szCs w:val="20"/>
                <w:lang w:eastAsia="lv-LV"/>
              </w:rPr>
            </w:pPr>
            <w:r w:rsidRPr="005B475D">
              <w:rPr>
                <w:rFonts w:cs="Times New Roman"/>
                <w:b/>
                <w:sz w:val="20"/>
                <w:szCs w:val="20"/>
                <w:lang w:eastAsia="lv-LV"/>
              </w:rPr>
              <w:t> </w:t>
            </w:r>
          </w:p>
        </w:tc>
        <w:tc>
          <w:tcPr>
            <w:tcW w:w="594" w:type="dxa"/>
            <w:tcBorders>
              <w:top w:val="nil"/>
              <w:left w:val="nil"/>
              <w:bottom w:val="nil"/>
              <w:right w:val="single" w:sz="8" w:space="0" w:color="auto"/>
            </w:tcBorders>
            <w:noWrap/>
            <w:vAlign w:val="center"/>
            <w:hideMark/>
          </w:tcPr>
          <w:p w14:paraId="4B2C472F" w14:textId="77777777" w:rsidR="00C716E4" w:rsidRPr="005B475D" w:rsidRDefault="00C716E4" w:rsidP="00DD1A31">
            <w:pPr>
              <w:rPr>
                <w:rFonts w:cs="Times New Roman"/>
                <w:b/>
                <w:sz w:val="20"/>
                <w:szCs w:val="20"/>
                <w:lang w:eastAsia="lv-LV"/>
              </w:rPr>
            </w:pPr>
            <w:r w:rsidRPr="005B475D">
              <w:rPr>
                <w:rFonts w:cs="Times New Roman"/>
                <w:b/>
                <w:sz w:val="20"/>
                <w:szCs w:val="20"/>
                <w:lang w:eastAsia="lv-LV"/>
              </w:rPr>
              <w:t> </w:t>
            </w:r>
          </w:p>
        </w:tc>
        <w:tc>
          <w:tcPr>
            <w:tcW w:w="981" w:type="dxa"/>
            <w:tcBorders>
              <w:top w:val="nil"/>
              <w:left w:val="nil"/>
              <w:bottom w:val="nil"/>
              <w:right w:val="single" w:sz="8" w:space="0" w:color="auto"/>
            </w:tcBorders>
            <w:noWrap/>
            <w:vAlign w:val="center"/>
            <w:hideMark/>
          </w:tcPr>
          <w:p w14:paraId="7CB3A1E6" w14:textId="77777777" w:rsidR="00C716E4" w:rsidRPr="005B475D" w:rsidRDefault="00C716E4" w:rsidP="00DD1A31">
            <w:pPr>
              <w:rPr>
                <w:rFonts w:cs="Times New Roman"/>
                <w:b/>
                <w:sz w:val="20"/>
                <w:szCs w:val="20"/>
                <w:lang w:eastAsia="lv-LV"/>
              </w:rPr>
            </w:pPr>
            <w:r w:rsidRPr="005B475D">
              <w:rPr>
                <w:rFonts w:cs="Times New Roman"/>
                <w:b/>
                <w:sz w:val="20"/>
                <w:szCs w:val="20"/>
                <w:lang w:eastAsia="lv-LV"/>
              </w:rPr>
              <w:t>1 089</w:t>
            </w:r>
          </w:p>
        </w:tc>
        <w:tc>
          <w:tcPr>
            <w:tcW w:w="516" w:type="dxa"/>
            <w:tcBorders>
              <w:top w:val="nil"/>
              <w:left w:val="nil"/>
              <w:bottom w:val="nil"/>
              <w:right w:val="single" w:sz="8" w:space="0" w:color="auto"/>
            </w:tcBorders>
            <w:noWrap/>
            <w:vAlign w:val="center"/>
            <w:hideMark/>
          </w:tcPr>
          <w:p w14:paraId="1256EDDE" w14:textId="77777777" w:rsidR="00C716E4" w:rsidRPr="005B475D" w:rsidRDefault="00C716E4" w:rsidP="00DD1A31">
            <w:pPr>
              <w:rPr>
                <w:rFonts w:cs="Times New Roman"/>
                <w:b/>
                <w:sz w:val="20"/>
                <w:szCs w:val="20"/>
                <w:lang w:eastAsia="lv-LV"/>
              </w:rPr>
            </w:pPr>
            <w:r w:rsidRPr="005B475D">
              <w:rPr>
                <w:rFonts w:cs="Times New Roman"/>
                <w:b/>
                <w:sz w:val="20"/>
                <w:szCs w:val="20"/>
                <w:lang w:eastAsia="lv-LV"/>
              </w:rPr>
              <w:t> </w:t>
            </w:r>
          </w:p>
        </w:tc>
        <w:tc>
          <w:tcPr>
            <w:tcW w:w="1028" w:type="dxa"/>
            <w:tcBorders>
              <w:top w:val="nil"/>
              <w:left w:val="nil"/>
              <w:bottom w:val="nil"/>
              <w:right w:val="single" w:sz="8" w:space="0" w:color="auto"/>
            </w:tcBorders>
            <w:noWrap/>
            <w:vAlign w:val="center"/>
            <w:hideMark/>
          </w:tcPr>
          <w:p w14:paraId="2BF0141F" w14:textId="77777777" w:rsidR="00C716E4" w:rsidRPr="005B475D" w:rsidRDefault="00C716E4" w:rsidP="00DD1A31">
            <w:pPr>
              <w:rPr>
                <w:rFonts w:cs="Times New Roman"/>
                <w:b/>
                <w:sz w:val="20"/>
                <w:szCs w:val="20"/>
                <w:lang w:eastAsia="lv-LV"/>
              </w:rPr>
            </w:pPr>
            <w:r w:rsidRPr="005B475D">
              <w:rPr>
                <w:rFonts w:cs="Times New Roman"/>
                <w:b/>
                <w:sz w:val="20"/>
                <w:szCs w:val="20"/>
                <w:lang w:eastAsia="lv-LV"/>
              </w:rPr>
              <w:t> </w:t>
            </w:r>
          </w:p>
        </w:tc>
        <w:tc>
          <w:tcPr>
            <w:tcW w:w="969" w:type="dxa"/>
            <w:tcBorders>
              <w:top w:val="nil"/>
              <w:left w:val="nil"/>
              <w:bottom w:val="nil"/>
              <w:right w:val="single" w:sz="8" w:space="0" w:color="auto"/>
            </w:tcBorders>
            <w:noWrap/>
            <w:vAlign w:val="center"/>
            <w:hideMark/>
          </w:tcPr>
          <w:p w14:paraId="3440C520" w14:textId="77777777" w:rsidR="00C716E4" w:rsidRPr="005B475D" w:rsidRDefault="00C716E4" w:rsidP="00DD1A31">
            <w:pPr>
              <w:rPr>
                <w:rFonts w:cs="Times New Roman"/>
                <w:b/>
                <w:sz w:val="20"/>
                <w:szCs w:val="20"/>
                <w:lang w:eastAsia="lv-LV"/>
              </w:rPr>
            </w:pPr>
            <w:r w:rsidRPr="005B475D">
              <w:rPr>
                <w:rFonts w:cs="Times New Roman"/>
                <w:b/>
                <w:sz w:val="20"/>
                <w:szCs w:val="20"/>
                <w:lang w:eastAsia="lv-LV"/>
              </w:rPr>
              <w:t> </w:t>
            </w:r>
          </w:p>
        </w:tc>
      </w:tr>
      <w:tr w:rsidR="00C716E4" w:rsidRPr="00C716E4" w14:paraId="5AE03909" w14:textId="77777777" w:rsidTr="00F776FA">
        <w:trPr>
          <w:trHeight w:val="277"/>
        </w:trPr>
        <w:tc>
          <w:tcPr>
            <w:tcW w:w="2326"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608B1956" w14:textId="77777777" w:rsidR="00C716E4" w:rsidRPr="00DD1A31" w:rsidRDefault="00C716E4" w:rsidP="00DD1A31">
            <w:pPr>
              <w:rPr>
                <w:rFonts w:cs="Times New Roman"/>
                <w:b/>
                <w:sz w:val="20"/>
                <w:szCs w:val="20"/>
                <w:lang w:eastAsia="lv-LV"/>
              </w:rPr>
            </w:pPr>
            <w:r w:rsidRPr="00DD1A31">
              <w:rPr>
                <w:rFonts w:cs="Times New Roman"/>
                <w:b/>
                <w:sz w:val="20"/>
                <w:szCs w:val="20"/>
                <w:lang w:eastAsia="lv-LV"/>
              </w:rPr>
              <w:t>KOPĀ</w:t>
            </w:r>
          </w:p>
        </w:tc>
        <w:tc>
          <w:tcPr>
            <w:tcW w:w="961" w:type="dxa"/>
            <w:tcBorders>
              <w:top w:val="single" w:sz="8" w:space="0" w:color="auto"/>
              <w:left w:val="nil"/>
              <w:bottom w:val="single" w:sz="8" w:space="0" w:color="auto"/>
              <w:right w:val="single" w:sz="8" w:space="0" w:color="auto"/>
            </w:tcBorders>
            <w:shd w:val="clear" w:color="auto" w:fill="D9D9D9"/>
          </w:tcPr>
          <w:p w14:paraId="5357D095" w14:textId="77777777" w:rsidR="00C716E4" w:rsidRPr="00DD1A31" w:rsidRDefault="00C716E4" w:rsidP="00DD1A31">
            <w:pPr>
              <w:rPr>
                <w:rFonts w:cs="Times New Roman"/>
                <w:b/>
                <w:sz w:val="20"/>
                <w:szCs w:val="20"/>
                <w:lang w:eastAsia="lv-LV"/>
              </w:rPr>
            </w:pPr>
          </w:p>
        </w:tc>
        <w:tc>
          <w:tcPr>
            <w:tcW w:w="1239"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6AE9C3E3" w14:textId="77777777" w:rsidR="00C716E4" w:rsidRPr="00DD1A31" w:rsidRDefault="00C716E4" w:rsidP="00DD1A31">
            <w:pPr>
              <w:rPr>
                <w:rFonts w:cs="Times New Roman"/>
                <w:b/>
                <w:sz w:val="20"/>
                <w:szCs w:val="20"/>
                <w:lang w:eastAsia="lv-LV"/>
              </w:rPr>
            </w:pPr>
            <w:r w:rsidRPr="00DD1A31">
              <w:rPr>
                <w:rFonts w:cs="Times New Roman"/>
                <w:b/>
                <w:sz w:val="20"/>
                <w:szCs w:val="20"/>
                <w:lang w:eastAsia="lv-LV"/>
              </w:rPr>
              <w:t>82 875</w:t>
            </w:r>
          </w:p>
        </w:tc>
        <w:tc>
          <w:tcPr>
            <w:tcW w:w="594" w:type="dxa"/>
            <w:tcBorders>
              <w:top w:val="single" w:sz="8" w:space="0" w:color="auto"/>
              <w:left w:val="nil"/>
              <w:bottom w:val="single" w:sz="8" w:space="0" w:color="auto"/>
              <w:right w:val="single" w:sz="8" w:space="0" w:color="auto"/>
            </w:tcBorders>
            <w:shd w:val="clear" w:color="auto" w:fill="D9D9D9"/>
            <w:noWrap/>
            <w:vAlign w:val="center"/>
            <w:hideMark/>
          </w:tcPr>
          <w:p w14:paraId="250CBA8D" w14:textId="77777777" w:rsidR="00C716E4" w:rsidRPr="00DD1A31" w:rsidRDefault="00C716E4" w:rsidP="00DD1A31">
            <w:pPr>
              <w:rPr>
                <w:rFonts w:cs="Times New Roman"/>
                <w:b/>
                <w:sz w:val="20"/>
                <w:szCs w:val="20"/>
                <w:lang w:eastAsia="lv-LV"/>
              </w:rPr>
            </w:pPr>
            <w:r w:rsidRPr="00DD1A31">
              <w:rPr>
                <w:rFonts w:cs="Times New Roman"/>
                <w:b/>
                <w:sz w:val="20"/>
                <w:szCs w:val="20"/>
                <w:lang w:eastAsia="lv-LV"/>
              </w:rPr>
              <w:t> </w:t>
            </w:r>
          </w:p>
        </w:tc>
        <w:tc>
          <w:tcPr>
            <w:tcW w:w="981" w:type="dxa"/>
            <w:tcBorders>
              <w:top w:val="single" w:sz="8" w:space="0" w:color="auto"/>
              <w:left w:val="nil"/>
              <w:bottom w:val="single" w:sz="8" w:space="0" w:color="auto"/>
              <w:right w:val="single" w:sz="8" w:space="0" w:color="auto"/>
            </w:tcBorders>
            <w:shd w:val="clear" w:color="auto" w:fill="D9D9D9"/>
            <w:noWrap/>
            <w:vAlign w:val="center"/>
            <w:hideMark/>
          </w:tcPr>
          <w:p w14:paraId="745D7A07" w14:textId="547AE64A" w:rsidR="00C716E4" w:rsidRPr="00DD1A31" w:rsidRDefault="00916D47" w:rsidP="00DD1A31">
            <w:pPr>
              <w:rPr>
                <w:rFonts w:cs="Times New Roman"/>
                <w:b/>
                <w:sz w:val="20"/>
                <w:szCs w:val="20"/>
                <w:lang w:eastAsia="lv-LV"/>
              </w:rPr>
            </w:pPr>
            <w:r>
              <w:rPr>
                <w:rFonts w:cs="Times New Roman"/>
                <w:b/>
                <w:sz w:val="20"/>
                <w:szCs w:val="20"/>
                <w:lang w:eastAsia="lv-LV"/>
              </w:rPr>
              <w:t>717 887</w:t>
            </w:r>
          </w:p>
        </w:tc>
        <w:tc>
          <w:tcPr>
            <w:tcW w:w="516" w:type="dxa"/>
            <w:tcBorders>
              <w:top w:val="single" w:sz="8" w:space="0" w:color="auto"/>
              <w:left w:val="nil"/>
              <w:bottom w:val="single" w:sz="8" w:space="0" w:color="auto"/>
              <w:right w:val="single" w:sz="8" w:space="0" w:color="auto"/>
            </w:tcBorders>
            <w:shd w:val="clear" w:color="auto" w:fill="D9D9D9"/>
            <w:noWrap/>
            <w:vAlign w:val="center"/>
            <w:hideMark/>
          </w:tcPr>
          <w:p w14:paraId="411F5155" w14:textId="77777777" w:rsidR="00C716E4" w:rsidRPr="00DD1A31" w:rsidRDefault="00C716E4" w:rsidP="00DD1A31">
            <w:pPr>
              <w:rPr>
                <w:rFonts w:cs="Times New Roman"/>
                <w:b/>
                <w:sz w:val="20"/>
                <w:szCs w:val="20"/>
                <w:lang w:eastAsia="lv-LV"/>
              </w:rPr>
            </w:pPr>
            <w:r w:rsidRPr="00DD1A31">
              <w:rPr>
                <w:rFonts w:cs="Times New Roman"/>
                <w:b/>
                <w:sz w:val="20"/>
                <w:szCs w:val="20"/>
                <w:lang w:eastAsia="lv-LV"/>
              </w:rPr>
              <w:t> </w:t>
            </w:r>
          </w:p>
        </w:tc>
        <w:tc>
          <w:tcPr>
            <w:tcW w:w="1028" w:type="dxa"/>
            <w:tcBorders>
              <w:top w:val="single" w:sz="8" w:space="0" w:color="auto"/>
              <w:left w:val="nil"/>
              <w:bottom w:val="single" w:sz="8" w:space="0" w:color="auto"/>
              <w:right w:val="single" w:sz="8" w:space="0" w:color="auto"/>
            </w:tcBorders>
            <w:shd w:val="clear" w:color="auto" w:fill="D9D9D9"/>
            <w:noWrap/>
            <w:vAlign w:val="center"/>
            <w:hideMark/>
          </w:tcPr>
          <w:p w14:paraId="69800E35" w14:textId="297F1D93" w:rsidR="00C716E4" w:rsidRPr="00DD1A31" w:rsidRDefault="00916D47" w:rsidP="00DD1A31">
            <w:pPr>
              <w:rPr>
                <w:rFonts w:cs="Times New Roman"/>
                <w:b/>
                <w:sz w:val="20"/>
                <w:szCs w:val="20"/>
                <w:lang w:eastAsia="lv-LV"/>
              </w:rPr>
            </w:pPr>
            <w:r>
              <w:rPr>
                <w:rFonts w:cs="Times New Roman"/>
                <w:b/>
                <w:sz w:val="20"/>
                <w:szCs w:val="20"/>
                <w:lang w:eastAsia="lv-LV"/>
              </w:rPr>
              <w:t>2 066 138</w:t>
            </w:r>
          </w:p>
        </w:tc>
        <w:tc>
          <w:tcPr>
            <w:tcW w:w="969" w:type="dxa"/>
            <w:tcBorders>
              <w:top w:val="single" w:sz="8" w:space="0" w:color="auto"/>
              <w:left w:val="nil"/>
              <w:bottom w:val="single" w:sz="8" w:space="0" w:color="auto"/>
              <w:right w:val="single" w:sz="8" w:space="0" w:color="auto"/>
            </w:tcBorders>
            <w:shd w:val="clear" w:color="auto" w:fill="D9D9D9"/>
            <w:noWrap/>
            <w:vAlign w:val="center"/>
            <w:hideMark/>
          </w:tcPr>
          <w:p w14:paraId="70ADE968" w14:textId="4A19EA99" w:rsidR="00C716E4" w:rsidRPr="00DD1A31" w:rsidRDefault="00916D47" w:rsidP="00DD1A31">
            <w:pPr>
              <w:rPr>
                <w:rFonts w:cs="Times New Roman"/>
                <w:b/>
                <w:sz w:val="20"/>
                <w:szCs w:val="20"/>
                <w:lang w:eastAsia="lv-LV"/>
              </w:rPr>
            </w:pPr>
            <w:r>
              <w:rPr>
                <w:rFonts w:cs="Times New Roman"/>
                <w:b/>
                <w:sz w:val="20"/>
                <w:szCs w:val="20"/>
                <w:lang w:eastAsia="lv-LV"/>
              </w:rPr>
              <w:t>432 243</w:t>
            </w:r>
          </w:p>
        </w:tc>
      </w:tr>
    </w:tbl>
    <w:p w14:paraId="42327CBB" w14:textId="01701871" w:rsidR="00F52892" w:rsidRDefault="00F52892" w:rsidP="00F52892">
      <w:pPr>
        <w:spacing w:line="276" w:lineRule="auto"/>
      </w:pPr>
    </w:p>
    <w:p w14:paraId="53CD7ADE" w14:textId="4F908E23" w:rsidR="00EB4061" w:rsidRDefault="00EB4061" w:rsidP="00105576">
      <w:pPr>
        <w:spacing w:line="276" w:lineRule="auto"/>
        <w:ind w:firstLine="720"/>
      </w:pPr>
      <w:r w:rsidRPr="00EB4061">
        <w:t xml:space="preserve">E-rēķinu ieviešanas risinājums paredz būtiskas izmaiņas rēķinu aprites un apstrādes procesā Latvijā, kuras galvenokārt tiks realizētas </w:t>
      </w:r>
      <w:r w:rsidR="00062CC4">
        <w:t>VID</w:t>
      </w:r>
      <w:r w:rsidRPr="00EB4061">
        <w:t xml:space="preserve"> informācijas sistēmās un IT infrastruktūrā. Projekta veiksmīgai ieviešanai un turpmākai attīstībai ir būtiski nodrošināt atbilstošus cilvēkresursus </w:t>
      </w:r>
      <w:r w:rsidR="00062CC4">
        <w:t>VID</w:t>
      </w:r>
      <w:r w:rsidRPr="00EB4061">
        <w:t xml:space="preserve"> Informātikas pārvadē</w:t>
      </w:r>
      <w:r w:rsidR="00D67C0C">
        <w:t xml:space="preserve">. </w:t>
      </w:r>
      <w:r w:rsidR="00D67C0C" w:rsidRPr="00D67C0C">
        <w:t xml:space="preserve">Ievērojot Valsts kancelejas izstrādāto Valsts pārvaldes reformu plānu attiecībā uz valsts pārvaldē nodarbināto skaita samazināšanas virzienu, projekta veiksmīgai ieviešanai </w:t>
      </w:r>
      <w:r w:rsidR="00062CC4">
        <w:t>VID</w:t>
      </w:r>
      <w:r w:rsidR="00D67C0C" w:rsidRPr="00D67C0C">
        <w:t xml:space="preserve"> ir nepieciešams izveidot divas amata vietas esošo amata vietu skaita ietvaros</w:t>
      </w:r>
      <w:r w:rsidR="00F52892">
        <w:t>.</w:t>
      </w:r>
    </w:p>
    <w:p w14:paraId="13737395" w14:textId="7A88D050" w:rsidR="009E02A4" w:rsidRPr="009E02A4" w:rsidRDefault="009E02A4" w:rsidP="009E02A4">
      <w:pPr>
        <w:spacing w:line="276" w:lineRule="auto"/>
        <w:ind w:firstLine="720"/>
        <w:jc w:val="right"/>
        <w:rPr>
          <w:i/>
        </w:rPr>
      </w:pPr>
      <w:r w:rsidRPr="009E02A4">
        <w:rPr>
          <w:i/>
        </w:rPr>
        <w:t>3. tabula</w:t>
      </w:r>
    </w:p>
    <w:tbl>
      <w:tblPr>
        <w:tblW w:w="8689" w:type="dxa"/>
        <w:tblLook w:val="04A0" w:firstRow="1" w:lastRow="0" w:firstColumn="1" w:lastColumn="0" w:noHBand="0" w:noVBand="1"/>
      </w:tblPr>
      <w:tblGrid>
        <w:gridCol w:w="1390"/>
        <w:gridCol w:w="2746"/>
        <w:gridCol w:w="1517"/>
        <w:gridCol w:w="1519"/>
        <w:gridCol w:w="1517"/>
      </w:tblGrid>
      <w:tr w:rsidR="00E52C84" w:rsidRPr="00E52C84" w14:paraId="4AA467C5" w14:textId="77777777" w:rsidTr="00497997">
        <w:trPr>
          <w:trHeight w:val="908"/>
        </w:trPr>
        <w:tc>
          <w:tcPr>
            <w:tcW w:w="7172"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522E0720" w14:textId="77777777" w:rsidR="00E52C84" w:rsidRPr="005E6462" w:rsidRDefault="00E52C84" w:rsidP="00E52C84">
            <w:pPr>
              <w:spacing w:line="276" w:lineRule="auto"/>
              <w:rPr>
                <w:b/>
                <w:bCs/>
                <w:sz w:val="20"/>
                <w:szCs w:val="20"/>
              </w:rPr>
            </w:pPr>
            <w:r w:rsidRPr="005E6462">
              <w:rPr>
                <w:b/>
                <w:bCs/>
                <w:sz w:val="20"/>
                <w:szCs w:val="20"/>
              </w:rPr>
              <w:t> </w:t>
            </w:r>
          </w:p>
        </w:tc>
        <w:tc>
          <w:tcPr>
            <w:tcW w:w="15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AD4393B" w14:textId="77777777" w:rsidR="00E52C84" w:rsidRPr="005E6462" w:rsidRDefault="00E52C84" w:rsidP="00E52C84">
            <w:pPr>
              <w:spacing w:line="276" w:lineRule="auto"/>
              <w:rPr>
                <w:b/>
                <w:bCs/>
                <w:sz w:val="20"/>
                <w:szCs w:val="20"/>
              </w:rPr>
            </w:pPr>
            <w:r w:rsidRPr="005E6462">
              <w:rPr>
                <w:b/>
                <w:bCs/>
                <w:sz w:val="20"/>
                <w:szCs w:val="20"/>
              </w:rPr>
              <w:t>Amata vietu skaits</w:t>
            </w:r>
          </w:p>
        </w:tc>
      </w:tr>
      <w:tr w:rsidR="00E52C84" w:rsidRPr="00E52C84" w14:paraId="10F22F07" w14:textId="77777777" w:rsidTr="00E52C84">
        <w:trPr>
          <w:trHeight w:val="625"/>
        </w:trPr>
        <w:tc>
          <w:tcPr>
            <w:tcW w:w="717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02DDA84" w14:textId="77777777" w:rsidR="00E52C84" w:rsidRPr="005E6462" w:rsidRDefault="00E52C84" w:rsidP="00E52C84">
            <w:pPr>
              <w:spacing w:line="276" w:lineRule="auto"/>
              <w:rPr>
                <w:sz w:val="20"/>
                <w:szCs w:val="20"/>
              </w:rPr>
            </w:pPr>
            <w:r w:rsidRPr="005E6462">
              <w:rPr>
                <w:sz w:val="20"/>
                <w:szCs w:val="20"/>
              </w:rPr>
              <w:t>Informācijas sistēmu administrators (19.5.saime, IVA līmenis, 12.mēnešalgu grupa, 3.kategorija)</w:t>
            </w:r>
          </w:p>
        </w:tc>
        <w:tc>
          <w:tcPr>
            <w:tcW w:w="1517" w:type="dxa"/>
            <w:tcBorders>
              <w:top w:val="nil"/>
              <w:left w:val="nil"/>
              <w:bottom w:val="single" w:sz="4" w:space="0" w:color="auto"/>
              <w:right w:val="single" w:sz="4" w:space="0" w:color="auto"/>
            </w:tcBorders>
            <w:shd w:val="clear" w:color="auto" w:fill="auto"/>
            <w:vAlign w:val="center"/>
            <w:hideMark/>
          </w:tcPr>
          <w:p w14:paraId="1A24CDA7" w14:textId="77777777" w:rsidR="00E52C84" w:rsidRPr="005E6462" w:rsidRDefault="00E52C84" w:rsidP="00E52C84">
            <w:pPr>
              <w:spacing w:line="276" w:lineRule="auto"/>
              <w:rPr>
                <w:b/>
                <w:bCs/>
                <w:sz w:val="20"/>
                <w:szCs w:val="20"/>
              </w:rPr>
            </w:pPr>
            <w:r w:rsidRPr="005E6462">
              <w:rPr>
                <w:b/>
                <w:bCs/>
                <w:sz w:val="20"/>
                <w:szCs w:val="20"/>
              </w:rPr>
              <w:t>1</w:t>
            </w:r>
          </w:p>
        </w:tc>
      </w:tr>
      <w:tr w:rsidR="00E52C84" w:rsidRPr="00E52C84" w14:paraId="39CBCE70" w14:textId="77777777" w:rsidTr="00E52C84">
        <w:trPr>
          <w:trHeight w:val="134"/>
        </w:trPr>
        <w:tc>
          <w:tcPr>
            <w:tcW w:w="1390" w:type="dxa"/>
            <w:tcBorders>
              <w:top w:val="nil"/>
              <w:left w:val="nil"/>
              <w:bottom w:val="nil"/>
              <w:right w:val="nil"/>
            </w:tcBorders>
            <w:shd w:val="clear" w:color="auto" w:fill="auto"/>
            <w:vAlign w:val="bottom"/>
            <w:hideMark/>
          </w:tcPr>
          <w:p w14:paraId="3602CB3A" w14:textId="77777777" w:rsidR="00E52C84" w:rsidRPr="00E52C84" w:rsidRDefault="00E52C84" w:rsidP="00E52C84">
            <w:pPr>
              <w:spacing w:line="276" w:lineRule="auto"/>
              <w:rPr>
                <w:b/>
                <w:bCs/>
              </w:rPr>
            </w:pPr>
          </w:p>
        </w:tc>
        <w:tc>
          <w:tcPr>
            <w:tcW w:w="2746" w:type="dxa"/>
            <w:tcBorders>
              <w:top w:val="nil"/>
              <w:left w:val="nil"/>
              <w:bottom w:val="nil"/>
              <w:right w:val="nil"/>
            </w:tcBorders>
            <w:shd w:val="clear" w:color="auto" w:fill="auto"/>
            <w:vAlign w:val="bottom"/>
            <w:hideMark/>
          </w:tcPr>
          <w:p w14:paraId="243B45F1" w14:textId="77777777" w:rsidR="00E52C84" w:rsidRPr="00E52C84" w:rsidRDefault="00E52C84" w:rsidP="00E52C84">
            <w:pPr>
              <w:spacing w:line="276" w:lineRule="auto"/>
            </w:pPr>
          </w:p>
        </w:tc>
        <w:tc>
          <w:tcPr>
            <w:tcW w:w="1517" w:type="dxa"/>
            <w:tcBorders>
              <w:top w:val="nil"/>
              <w:left w:val="nil"/>
              <w:bottom w:val="nil"/>
              <w:right w:val="nil"/>
            </w:tcBorders>
            <w:shd w:val="clear" w:color="auto" w:fill="auto"/>
            <w:vAlign w:val="bottom"/>
            <w:hideMark/>
          </w:tcPr>
          <w:p w14:paraId="10F6E82D" w14:textId="77777777" w:rsidR="00E52C84" w:rsidRPr="00E52C84" w:rsidRDefault="00E52C84" w:rsidP="00E52C84">
            <w:pPr>
              <w:spacing w:line="276" w:lineRule="auto"/>
            </w:pPr>
          </w:p>
        </w:tc>
        <w:tc>
          <w:tcPr>
            <w:tcW w:w="1517" w:type="dxa"/>
            <w:tcBorders>
              <w:top w:val="nil"/>
              <w:left w:val="nil"/>
              <w:bottom w:val="nil"/>
              <w:right w:val="nil"/>
            </w:tcBorders>
            <w:shd w:val="clear" w:color="auto" w:fill="auto"/>
            <w:vAlign w:val="bottom"/>
            <w:hideMark/>
          </w:tcPr>
          <w:p w14:paraId="6B35AD9C" w14:textId="77777777" w:rsidR="00E52C84" w:rsidRPr="00E52C84" w:rsidRDefault="00E52C84" w:rsidP="00E52C84">
            <w:pPr>
              <w:spacing w:line="276" w:lineRule="auto"/>
            </w:pPr>
          </w:p>
        </w:tc>
        <w:tc>
          <w:tcPr>
            <w:tcW w:w="1517" w:type="dxa"/>
            <w:tcBorders>
              <w:top w:val="nil"/>
              <w:left w:val="nil"/>
              <w:bottom w:val="nil"/>
              <w:right w:val="nil"/>
            </w:tcBorders>
            <w:shd w:val="clear" w:color="auto" w:fill="auto"/>
            <w:vAlign w:val="bottom"/>
            <w:hideMark/>
          </w:tcPr>
          <w:p w14:paraId="05521A69" w14:textId="77777777" w:rsidR="00E52C84" w:rsidRPr="00E52C84" w:rsidRDefault="00E52C84" w:rsidP="00E52C84">
            <w:pPr>
              <w:spacing w:line="276" w:lineRule="auto"/>
            </w:pPr>
          </w:p>
        </w:tc>
      </w:tr>
      <w:tr w:rsidR="00E52C84" w:rsidRPr="00E52C84" w14:paraId="4EE8193B" w14:textId="77777777" w:rsidTr="00497997">
        <w:trPr>
          <w:trHeight w:val="1444"/>
        </w:trPr>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B838A" w14:textId="77777777" w:rsidR="00E52C84" w:rsidRPr="005E6462" w:rsidRDefault="00E52C84" w:rsidP="00E52C84">
            <w:pPr>
              <w:spacing w:line="276" w:lineRule="auto"/>
              <w:rPr>
                <w:b/>
                <w:bCs/>
                <w:sz w:val="20"/>
                <w:szCs w:val="20"/>
              </w:rPr>
            </w:pPr>
            <w:r w:rsidRPr="005E6462">
              <w:rPr>
                <w:b/>
                <w:bCs/>
                <w:sz w:val="20"/>
                <w:szCs w:val="20"/>
              </w:rPr>
              <w:t>Ekonomiskās klasifikācijas kods</w:t>
            </w:r>
          </w:p>
        </w:tc>
        <w:tc>
          <w:tcPr>
            <w:tcW w:w="2746" w:type="dxa"/>
            <w:tcBorders>
              <w:top w:val="single" w:sz="4" w:space="0" w:color="auto"/>
              <w:left w:val="nil"/>
              <w:bottom w:val="single" w:sz="4" w:space="0" w:color="auto"/>
              <w:right w:val="single" w:sz="4" w:space="0" w:color="auto"/>
            </w:tcBorders>
            <w:shd w:val="clear" w:color="auto" w:fill="auto"/>
            <w:vAlign w:val="center"/>
            <w:hideMark/>
          </w:tcPr>
          <w:p w14:paraId="66B231B4" w14:textId="77777777" w:rsidR="00E52C84" w:rsidRPr="005E6462" w:rsidRDefault="00E52C84" w:rsidP="00E52C84">
            <w:pPr>
              <w:spacing w:line="276" w:lineRule="auto"/>
              <w:rPr>
                <w:b/>
                <w:bCs/>
                <w:sz w:val="20"/>
                <w:szCs w:val="20"/>
              </w:rPr>
            </w:pPr>
            <w:r w:rsidRPr="005E6462">
              <w:rPr>
                <w:b/>
                <w:bCs/>
                <w:sz w:val="20"/>
                <w:szCs w:val="20"/>
              </w:rPr>
              <w:t>Ekonomiskās klasifikācijas nosaukums</w:t>
            </w:r>
          </w:p>
        </w:tc>
        <w:tc>
          <w:tcPr>
            <w:tcW w:w="1517" w:type="dxa"/>
            <w:tcBorders>
              <w:top w:val="single" w:sz="4" w:space="0" w:color="auto"/>
              <w:left w:val="nil"/>
              <w:bottom w:val="single" w:sz="4" w:space="0" w:color="auto"/>
              <w:right w:val="single" w:sz="4" w:space="0" w:color="auto"/>
            </w:tcBorders>
            <w:shd w:val="clear" w:color="auto" w:fill="auto"/>
            <w:vAlign w:val="center"/>
            <w:hideMark/>
          </w:tcPr>
          <w:p w14:paraId="5D29A7CC" w14:textId="77777777" w:rsidR="00E52C84" w:rsidRPr="005E6462" w:rsidRDefault="00E52C84" w:rsidP="00E52C84">
            <w:pPr>
              <w:spacing w:line="276" w:lineRule="auto"/>
              <w:rPr>
                <w:b/>
                <w:bCs/>
                <w:sz w:val="20"/>
                <w:szCs w:val="20"/>
              </w:rPr>
            </w:pPr>
            <w:r w:rsidRPr="005E6462">
              <w:rPr>
                <w:b/>
                <w:bCs/>
                <w:sz w:val="20"/>
                <w:szCs w:val="20"/>
              </w:rPr>
              <w:t>Informācijas sistēmu administrators 1 amata vieta mēnesī, EUR</w:t>
            </w:r>
          </w:p>
        </w:tc>
        <w:tc>
          <w:tcPr>
            <w:tcW w:w="1517" w:type="dxa"/>
            <w:tcBorders>
              <w:top w:val="single" w:sz="4" w:space="0" w:color="auto"/>
              <w:left w:val="nil"/>
              <w:bottom w:val="single" w:sz="4" w:space="0" w:color="auto"/>
              <w:right w:val="single" w:sz="4" w:space="0" w:color="auto"/>
            </w:tcBorders>
            <w:shd w:val="clear" w:color="auto" w:fill="auto"/>
            <w:vAlign w:val="center"/>
            <w:hideMark/>
          </w:tcPr>
          <w:p w14:paraId="22171C0C" w14:textId="77777777" w:rsidR="00E52C84" w:rsidRPr="005E6462" w:rsidRDefault="00E52C84" w:rsidP="00E52C84">
            <w:pPr>
              <w:spacing w:line="276" w:lineRule="auto"/>
              <w:rPr>
                <w:b/>
                <w:bCs/>
                <w:sz w:val="20"/>
                <w:szCs w:val="20"/>
              </w:rPr>
            </w:pPr>
            <w:r w:rsidRPr="005E6462">
              <w:rPr>
                <w:b/>
                <w:bCs/>
                <w:sz w:val="20"/>
                <w:szCs w:val="20"/>
              </w:rPr>
              <w:t>Informācijas sistēmu administrators 1 amata vieta gadā, EUR</w:t>
            </w:r>
          </w:p>
        </w:tc>
        <w:tc>
          <w:tcPr>
            <w:tcW w:w="15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B9BB127" w14:textId="77777777" w:rsidR="00E52C84" w:rsidRPr="005E6462" w:rsidRDefault="00E52C84" w:rsidP="00E52C84">
            <w:pPr>
              <w:spacing w:line="276" w:lineRule="auto"/>
              <w:rPr>
                <w:b/>
                <w:bCs/>
                <w:sz w:val="20"/>
                <w:szCs w:val="20"/>
              </w:rPr>
            </w:pPr>
            <w:r w:rsidRPr="005E6462">
              <w:rPr>
                <w:b/>
                <w:bCs/>
                <w:sz w:val="20"/>
                <w:szCs w:val="20"/>
              </w:rPr>
              <w:t>Informācijas sistēmu administrators visas amata vietas gadā, EUR</w:t>
            </w:r>
          </w:p>
        </w:tc>
      </w:tr>
      <w:tr w:rsidR="00E52C84" w:rsidRPr="00E52C84" w14:paraId="027B8869" w14:textId="77777777" w:rsidTr="00497997">
        <w:trPr>
          <w:trHeight w:val="461"/>
        </w:trPr>
        <w:tc>
          <w:tcPr>
            <w:tcW w:w="139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91CD436" w14:textId="77777777" w:rsidR="00E52C84" w:rsidRPr="005E6462" w:rsidRDefault="00E52C84" w:rsidP="00E52C84">
            <w:pPr>
              <w:spacing w:line="276" w:lineRule="auto"/>
              <w:rPr>
                <w:b/>
                <w:bCs/>
                <w:sz w:val="20"/>
                <w:szCs w:val="20"/>
              </w:rPr>
            </w:pPr>
            <w:r w:rsidRPr="005E6462">
              <w:rPr>
                <w:b/>
                <w:bCs/>
                <w:sz w:val="20"/>
                <w:szCs w:val="20"/>
              </w:rPr>
              <w:lastRenderedPageBreak/>
              <w:t>1000</w:t>
            </w:r>
          </w:p>
        </w:tc>
        <w:tc>
          <w:tcPr>
            <w:tcW w:w="2746" w:type="dxa"/>
            <w:tcBorders>
              <w:top w:val="nil"/>
              <w:left w:val="nil"/>
              <w:bottom w:val="single" w:sz="4" w:space="0" w:color="auto"/>
              <w:right w:val="single" w:sz="4" w:space="0" w:color="auto"/>
            </w:tcBorders>
            <w:shd w:val="clear" w:color="auto" w:fill="BFBFBF" w:themeFill="background1" w:themeFillShade="BF"/>
            <w:vAlign w:val="center"/>
            <w:hideMark/>
          </w:tcPr>
          <w:p w14:paraId="2205E50D" w14:textId="77777777" w:rsidR="00E52C84" w:rsidRPr="005E6462" w:rsidRDefault="00E52C84" w:rsidP="00E52C84">
            <w:pPr>
              <w:spacing w:line="276" w:lineRule="auto"/>
              <w:rPr>
                <w:b/>
                <w:bCs/>
                <w:sz w:val="20"/>
                <w:szCs w:val="20"/>
              </w:rPr>
            </w:pPr>
            <w:r w:rsidRPr="005E6462">
              <w:rPr>
                <w:b/>
                <w:bCs/>
                <w:sz w:val="20"/>
                <w:szCs w:val="20"/>
              </w:rPr>
              <w:t>Atlīdzība kopā</w:t>
            </w:r>
          </w:p>
        </w:tc>
        <w:tc>
          <w:tcPr>
            <w:tcW w:w="1517" w:type="dxa"/>
            <w:tcBorders>
              <w:top w:val="nil"/>
              <w:left w:val="nil"/>
              <w:bottom w:val="single" w:sz="4" w:space="0" w:color="auto"/>
              <w:right w:val="single" w:sz="4" w:space="0" w:color="auto"/>
            </w:tcBorders>
            <w:shd w:val="clear" w:color="auto" w:fill="BFBFBF" w:themeFill="background1" w:themeFillShade="BF"/>
            <w:vAlign w:val="center"/>
            <w:hideMark/>
          </w:tcPr>
          <w:p w14:paraId="5730D77F" w14:textId="77777777" w:rsidR="00E52C84" w:rsidRPr="005E6462" w:rsidRDefault="00E52C84" w:rsidP="00E52C84">
            <w:pPr>
              <w:spacing w:line="276" w:lineRule="auto"/>
              <w:rPr>
                <w:b/>
                <w:bCs/>
                <w:sz w:val="20"/>
                <w:szCs w:val="20"/>
              </w:rPr>
            </w:pPr>
            <w:r w:rsidRPr="005E6462">
              <w:rPr>
                <w:b/>
                <w:bCs/>
                <w:sz w:val="20"/>
                <w:szCs w:val="20"/>
              </w:rPr>
              <w:t>3 507.48</w:t>
            </w:r>
          </w:p>
        </w:tc>
        <w:tc>
          <w:tcPr>
            <w:tcW w:w="1517" w:type="dxa"/>
            <w:tcBorders>
              <w:top w:val="nil"/>
              <w:left w:val="nil"/>
              <w:bottom w:val="single" w:sz="4" w:space="0" w:color="auto"/>
              <w:right w:val="single" w:sz="4" w:space="0" w:color="auto"/>
            </w:tcBorders>
            <w:shd w:val="clear" w:color="auto" w:fill="BFBFBF" w:themeFill="background1" w:themeFillShade="BF"/>
            <w:vAlign w:val="center"/>
            <w:hideMark/>
          </w:tcPr>
          <w:p w14:paraId="07C810B0" w14:textId="77777777" w:rsidR="00E52C84" w:rsidRPr="005E6462" w:rsidRDefault="00E52C84" w:rsidP="00E52C84">
            <w:pPr>
              <w:spacing w:line="276" w:lineRule="auto"/>
              <w:rPr>
                <w:b/>
                <w:bCs/>
                <w:sz w:val="20"/>
                <w:szCs w:val="20"/>
              </w:rPr>
            </w:pPr>
            <w:r w:rsidRPr="005E6462">
              <w:rPr>
                <w:b/>
                <w:bCs/>
                <w:sz w:val="20"/>
                <w:szCs w:val="20"/>
              </w:rPr>
              <w:t>42 090</w:t>
            </w:r>
          </w:p>
        </w:tc>
        <w:tc>
          <w:tcPr>
            <w:tcW w:w="1517" w:type="dxa"/>
            <w:tcBorders>
              <w:top w:val="nil"/>
              <w:left w:val="nil"/>
              <w:bottom w:val="single" w:sz="4" w:space="0" w:color="auto"/>
              <w:right w:val="single" w:sz="4" w:space="0" w:color="auto"/>
            </w:tcBorders>
            <w:shd w:val="clear" w:color="auto" w:fill="BFBFBF" w:themeFill="background1" w:themeFillShade="BF"/>
            <w:vAlign w:val="center"/>
            <w:hideMark/>
          </w:tcPr>
          <w:p w14:paraId="2134D27B" w14:textId="77777777" w:rsidR="00E52C84" w:rsidRPr="005E6462" w:rsidRDefault="00E52C84" w:rsidP="00E52C84">
            <w:pPr>
              <w:spacing w:line="276" w:lineRule="auto"/>
              <w:rPr>
                <w:b/>
                <w:bCs/>
                <w:sz w:val="20"/>
                <w:szCs w:val="20"/>
              </w:rPr>
            </w:pPr>
            <w:r w:rsidRPr="005E6462">
              <w:rPr>
                <w:b/>
                <w:bCs/>
                <w:sz w:val="20"/>
                <w:szCs w:val="20"/>
              </w:rPr>
              <w:t>42 090</w:t>
            </w:r>
          </w:p>
        </w:tc>
      </w:tr>
      <w:tr w:rsidR="00E52C84" w:rsidRPr="00E52C84" w14:paraId="452210BB" w14:textId="77777777" w:rsidTr="00497997">
        <w:trPr>
          <w:trHeight w:val="312"/>
        </w:trPr>
        <w:tc>
          <w:tcPr>
            <w:tcW w:w="139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82CE1CF" w14:textId="77777777" w:rsidR="00E52C84" w:rsidRPr="005E6462" w:rsidRDefault="00E52C84" w:rsidP="00E52C84">
            <w:pPr>
              <w:spacing w:line="276" w:lineRule="auto"/>
              <w:rPr>
                <w:b/>
                <w:bCs/>
                <w:sz w:val="20"/>
                <w:szCs w:val="20"/>
              </w:rPr>
            </w:pPr>
            <w:r w:rsidRPr="005E6462">
              <w:rPr>
                <w:b/>
                <w:bCs/>
                <w:sz w:val="20"/>
                <w:szCs w:val="20"/>
              </w:rPr>
              <w:t>1100</w:t>
            </w:r>
          </w:p>
        </w:tc>
        <w:tc>
          <w:tcPr>
            <w:tcW w:w="2746" w:type="dxa"/>
            <w:tcBorders>
              <w:top w:val="nil"/>
              <w:left w:val="nil"/>
              <w:bottom w:val="single" w:sz="4" w:space="0" w:color="auto"/>
              <w:right w:val="single" w:sz="4" w:space="0" w:color="auto"/>
            </w:tcBorders>
            <w:shd w:val="clear" w:color="auto" w:fill="D9D9D9" w:themeFill="background1" w:themeFillShade="D9"/>
            <w:vAlign w:val="center"/>
            <w:hideMark/>
          </w:tcPr>
          <w:p w14:paraId="4CDFAED9" w14:textId="77777777" w:rsidR="00E52C84" w:rsidRPr="005E6462" w:rsidRDefault="00E52C84" w:rsidP="00E52C84">
            <w:pPr>
              <w:spacing w:line="276" w:lineRule="auto"/>
              <w:rPr>
                <w:b/>
                <w:bCs/>
                <w:sz w:val="20"/>
                <w:szCs w:val="20"/>
              </w:rPr>
            </w:pPr>
            <w:r w:rsidRPr="005E6462">
              <w:rPr>
                <w:b/>
                <w:bCs/>
                <w:sz w:val="20"/>
                <w:szCs w:val="20"/>
              </w:rPr>
              <w:t>Atalgojums kopā</w:t>
            </w:r>
          </w:p>
        </w:tc>
        <w:tc>
          <w:tcPr>
            <w:tcW w:w="1517" w:type="dxa"/>
            <w:tcBorders>
              <w:top w:val="nil"/>
              <w:left w:val="nil"/>
              <w:bottom w:val="single" w:sz="4" w:space="0" w:color="auto"/>
              <w:right w:val="single" w:sz="4" w:space="0" w:color="auto"/>
            </w:tcBorders>
            <w:shd w:val="clear" w:color="auto" w:fill="D9D9D9" w:themeFill="background1" w:themeFillShade="D9"/>
            <w:vAlign w:val="center"/>
            <w:hideMark/>
          </w:tcPr>
          <w:p w14:paraId="3C4393D9" w14:textId="77777777" w:rsidR="00E52C84" w:rsidRPr="005E6462" w:rsidRDefault="00E52C84" w:rsidP="00E52C84">
            <w:pPr>
              <w:spacing w:line="276" w:lineRule="auto"/>
              <w:rPr>
                <w:b/>
                <w:bCs/>
                <w:sz w:val="20"/>
                <w:szCs w:val="20"/>
              </w:rPr>
            </w:pPr>
            <w:r w:rsidRPr="005E6462">
              <w:rPr>
                <w:b/>
                <w:bCs/>
                <w:sz w:val="20"/>
                <w:szCs w:val="20"/>
              </w:rPr>
              <w:t>2 728.00</w:t>
            </w:r>
          </w:p>
        </w:tc>
        <w:tc>
          <w:tcPr>
            <w:tcW w:w="1517" w:type="dxa"/>
            <w:tcBorders>
              <w:top w:val="nil"/>
              <w:left w:val="nil"/>
              <w:bottom w:val="single" w:sz="4" w:space="0" w:color="auto"/>
              <w:right w:val="single" w:sz="4" w:space="0" w:color="auto"/>
            </w:tcBorders>
            <w:shd w:val="clear" w:color="auto" w:fill="D9D9D9" w:themeFill="background1" w:themeFillShade="D9"/>
            <w:vAlign w:val="center"/>
            <w:hideMark/>
          </w:tcPr>
          <w:p w14:paraId="078BBD95" w14:textId="77777777" w:rsidR="00E52C84" w:rsidRPr="005E6462" w:rsidRDefault="00E52C84" w:rsidP="00E52C84">
            <w:pPr>
              <w:spacing w:line="276" w:lineRule="auto"/>
              <w:rPr>
                <w:b/>
                <w:bCs/>
                <w:sz w:val="20"/>
                <w:szCs w:val="20"/>
              </w:rPr>
            </w:pPr>
            <w:r w:rsidRPr="005E6462">
              <w:rPr>
                <w:b/>
                <w:bCs/>
                <w:sz w:val="20"/>
                <w:szCs w:val="20"/>
              </w:rPr>
              <w:t>32 736</w:t>
            </w:r>
          </w:p>
        </w:tc>
        <w:tc>
          <w:tcPr>
            <w:tcW w:w="1517" w:type="dxa"/>
            <w:tcBorders>
              <w:top w:val="nil"/>
              <w:left w:val="nil"/>
              <w:bottom w:val="single" w:sz="4" w:space="0" w:color="auto"/>
              <w:right w:val="single" w:sz="4" w:space="0" w:color="auto"/>
            </w:tcBorders>
            <w:shd w:val="clear" w:color="auto" w:fill="D9D9D9" w:themeFill="background1" w:themeFillShade="D9"/>
            <w:vAlign w:val="center"/>
            <w:hideMark/>
          </w:tcPr>
          <w:p w14:paraId="16F4B720" w14:textId="77777777" w:rsidR="00E52C84" w:rsidRPr="005E6462" w:rsidRDefault="00E52C84" w:rsidP="00E52C84">
            <w:pPr>
              <w:spacing w:line="276" w:lineRule="auto"/>
              <w:rPr>
                <w:b/>
                <w:bCs/>
                <w:sz w:val="20"/>
                <w:szCs w:val="20"/>
              </w:rPr>
            </w:pPr>
            <w:r w:rsidRPr="005E6462">
              <w:rPr>
                <w:b/>
                <w:bCs/>
                <w:sz w:val="20"/>
                <w:szCs w:val="20"/>
              </w:rPr>
              <w:t>32 736</w:t>
            </w:r>
          </w:p>
        </w:tc>
      </w:tr>
      <w:tr w:rsidR="00E52C84" w:rsidRPr="00E52C84" w14:paraId="6159234D" w14:textId="77777777" w:rsidTr="00497997">
        <w:trPr>
          <w:trHeight w:val="342"/>
        </w:trPr>
        <w:tc>
          <w:tcPr>
            <w:tcW w:w="1390" w:type="dxa"/>
            <w:tcBorders>
              <w:top w:val="nil"/>
              <w:left w:val="single" w:sz="4" w:space="0" w:color="auto"/>
              <w:bottom w:val="single" w:sz="4" w:space="0" w:color="auto"/>
              <w:right w:val="single" w:sz="4" w:space="0" w:color="auto"/>
            </w:tcBorders>
            <w:shd w:val="clear" w:color="auto" w:fill="auto"/>
            <w:vAlign w:val="center"/>
            <w:hideMark/>
          </w:tcPr>
          <w:p w14:paraId="46E8A210" w14:textId="77777777" w:rsidR="00E52C84" w:rsidRPr="005E6462" w:rsidRDefault="00E52C84" w:rsidP="00E52C84">
            <w:pPr>
              <w:spacing w:line="276" w:lineRule="auto"/>
              <w:rPr>
                <w:sz w:val="20"/>
                <w:szCs w:val="20"/>
              </w:rPr>
            </w:pPr>
            <w:r w:rsidRPr="005E6462">
              <w:rPr>
                <w:sz w:val="20"/>
                <w:szCs w:val="20"/>
              </w:rPr>
              <w:t>1119</w:t>
            </w:r>
          </w:p>
        </w:tc>
        <w:tc>
          <w:tcPr>
            <w:tcW w:w="2746" w:type="dxa"/>
            <w:tcBorders>
              <w:top w:val="nil"/>
              <w:left w:val="nil"/>
              <w:bottom w:val="single" w:sz="4" w:space="0" w:color="auto"/>
              <w:right w:val="single" w:sz="4" w:space="0" w:color="auto"/>
            </w:tcBorders>
            <w:shd w:val="clear" w:color="auto" w:fill="auto"/>
            <w:vAlign w:val="center"/>
            <w:hideMark/>
          </w:tcPr>
          <w:p w14:paraId="659E0844" w14:textId="77777777" w:rsidR="00E52C84" w:rsidRPr="005E6462" w:rsidRDefault="00E52C84" w:rsidP="00E52C84">
            <w:pPr>
              <w:spacing w:line="276" w:lineRule="auto"/>
              <w:rPr>
                <w:sz w:val="20"/>
                <w:szCs w:val="20"/>
              </w:rPr>
            </w:pPr>
            <w:r w:rsidRPr="005E6462">
              <w:rPr>
                <w:sz w:val="20"/>
                <w:szCs w:val="20"/>
              </w:rPr>
              <w:t>Darbinieku mēnešalgas starpība</w:t>
            </w:r>
          </w:p>
        </w:tc>
        <w:tc>
          <w:tcPr>
            <w:tcW w:w="1517" w:type="dxa"/>
            <w:tcBorders>
              <w:top w:val="nil"/>
              <w:left w:val="nil"/>
              <w:bottom w:val="single" w:sz="4" w:space="0" w:color="auto"/>
              <w:right w:val="single" w:sz="4" w:space="0" w:color="auto"/>
            </w:tcBorders>
            <w:shd w:val="clear" w:color="auto" w:fill="auto"/>
            <w:vAlign w:val="center"/>
            <w:hideMark/>
          </w:tcPr>
          <w:p w14:paraId="7AB00B57" w14:textId="77777777" w:rsidR="00E52C84" w:rsidRPr="005E6462" w:rsidRDefault="00E52C84" w:rsidP="00E52C84">
            <w:pPr>
              <w:spacing w:line="276" w:lineRule="auto"/>
              <w:rPr>
                <w:sz w:val="20"/>
                <w:szCs w:val="20"/>
              </w:rPr>
            </w:pPr>
            <w:r w:rsidRPr="005E6462">
              <w:rPr>
                <w:sz w:val="20"/>
                <w:szCs w:val="20"/>
              </w:rPr>
              <w:t>2 200</w:t>
            </w:r>
          </w:p>
        </w:tc>
        <w:tc>
          <w:tcPr>
            <w:tcW w:w="1517" w:type="dxa"/>
            <w:tcBorders>
              <w:top w:val="nil"/>
              <w:left w:val="nil"/>
              <w:bottom w:val="single" w:sz="4" w:space="0" w:color="auto"/>
              <w:right w:val="single" w:sz="4" w:space="0" w:color="auto"/>
            </w:tcBorders>
            <w:shd w:val="clear" w:color="auto" w:fill="auto"/>
            <w:vAlign w:val="center"/>
            <w:hideMark/>
          </w:tcPr>
          <w:p w14:paraId="4EB0055C" w14:textId="77777777" w:rsidR="00E52C84" w:rsidRPr="005E6462" w:rsidRDefault="00E52C84" w:rsidP="00E52C84">
            <w:pPr>
              <w:spacing w:line="276" w:lineRule="auto"/>
              <w:rPr>
                <w:sz w:val="20"/>
                <w:szCs w:val="20"/>
              </w:rPr>
            </w:pPr>
            <w:r w:rsidRPr="005E6462">
              <w:rPr>
                <w:sz w:val="20"/>
                <w:szCs w:val="20"/>
              </w:rPr>
              <w:t>26 400</w:t>
            </w:r>
          </w:p>
        </w:tc>
        <w:tc>
          <w:tcPr>
            <w:tcW w:w="1517" w:type="dxa"/>
            <w:tcBorders>
              <w:top w:val="nil"/>
              <w:left w:val="nil"/>
              <w:bottom w:val="single" w:sz="4" w:space="0" w:color="auto"/>
              <w:right w:val="single" w:sz="4" w:space="0" w:color="auto"/>
            </w:tcBorders>
            <w:shd w:val="clear" w:color="auto" w:fill="F2F2F2" w:themeFill="background1" w:themeFillShade="F2"/>
            <w:vAlign w:val="center"/>
            <w:hideMark/>
          </w:tcPr>
          <w:p w14:paraId="51CA84E5" w14:textId="77777777" w:rsidR="00E52C84" w:rsidRPr="005E6462" w:rsidRDefault="00E52C84" w:rsidP="00E52C84">
            <w:pPr>
              <w:spacing w:line="276" w:lineRule="auto"/>
              <w:rPr>
                <w:sz w:val="20"/>
                <w:szCs w:val="20"/>
              </w:rPr>
            </w:pPr>
            <w:r w:rsidRPr="005E6462">
              <w:rPr>
                <w:sz w:val="20"/>
                <w:szCs w:val="20"/>
              </w:rPr>
              <w:t>26 400</w:t>
            </w:r>
          </w:p>
        </w:tc>
      </w:tr>
      <w:tr w:rsidR="00E52C84" w:rsidRPr="00E52C84" w14:paraId="6BCAC2B8" w14:textId="77777777" w:rsidTr="00497997">
        <w:trPr>
          <w:trHeight w:val="506"/>
        </w:trPr>
        <w:tc>
          <w:tcPr>
            <w:tcW w:w="1390" w:type="dxa"/>
            <w:tcBorders>
              <w:top w:val="nil"/>
              <w:left w:val="single" w:sz="4" w:space="0" w:color="auto"/>
              <w:bottom w:val="single" w:sz="4" w:space="0" w:color="auto"/>
              <w:right w:val="single" w:sz="4" w:space="0" w:color="auto"/>
            </w:tcBorders>
            <w:shd w:val="clear" w:color="auto" w:fill="auto"/>
            <w:vAlign w:val="center"/>
            <w:hideMark/>
          </w:tcPr>
          <w:p w14:paraId="33AC2035" w14:textId="77777777" w:rsidR="00E52C84" w:rsidRPr="005E6462" w:rsidRDefault="00E52C84" w:rsidP="00E52C84">
            <w:pPr>
              <w:spacing w:line="276" w:lineRule="auto"/>
              <w:rPr>
                <w:sz w:val="20"/>
                <w:szCs w:val="20"/>
              </w:rPr>
            </w:pPr>
            <w:r w:rsidRPr="005E6462">
              <w:rPr>
                <w:sz w:val="20"/>
                <w:szCs w:val="20"/>
              </w:rPr>
              <w:t>1146</w:t>
            </w:r>
          </w:p>
        </w:tc>
        <w:tc>
          <w:tcPr>
            <w:tcW w:w="2746" w:type="dxa"/>
            <w:tcBorders>
              <w:top w:val="nil"/>
              <w:left w:val="nil"/>
              <w:bottom w:val="single" w:sz="4" w:space="0" w:color="auto"/>
              <w:right w:val="single" w:sz="4" w:space="0" w:color="auto"/>
            </w:tcBorders>
            <w:shd w:val="clear" w:color="auto" w:fill="auto"/>
            <w:vAlign w:val="center"/>
            <w:hideMark/>
          </w:tcPr>
          <w:p w14:paraId="6D5C65EC" w14:textId="77777777" w:rsidR="00E52C84" w:rsidRPr="005E6462" w:rsidRDefault="00E52C84" w:rsidP="00E52C84">
            <w:pPr>
              <w:spacing w:line="276" w:lineRule="auto"/>
              <w:rPr>
                <w:sz w:val="20"/>
                <w:szCs w:val="20"/>
              </w:rPr>
            </w:pPr>
            <w:r w:rsidRPr="005E6462">
              <w:rPr>
                <w:sz w:val="20"/>
                <w:szCs w:val="20"/>
              </w:rPr>
              <w:t xml:space="preserve">Piemaksa par </w:t>
            </w:r>
            <w:proofErr w:type="spellStart"/>
            <w:r w:rsidRPr="005E6462">
              <w:rPr>
                <w:sz w:val="20"/>
                <w:szCs w:val="20"/>
              </w:rPr>
              <w:t>sensitīvo</w:t>
            </w:r>
            <w:proofErr w:type="spellEnd"/>
            <w:r w:rsidRPr="005E6462">
              <w:rPr>
                <w:sz w:val="20"/>
                <w:szCs w:val="20"/>
              </w:rPr>
              <w:t xml:space="preserve"> amatu novērtējumu (4% no mēnešalgas starpības)</w:t>
            </w:r>
          </w:p>
        </w:tc>
        <w:tc>
          <w:tcPr>
            <w:tcW w:w="1517" w:type="dxa"/>
            <w:tcBorders>
              <w:top w:val="nil"/>
              <w:left w:val="nil"/>
              <w:bottom w:val="single" w:sz="4" w:space="0" w:color="auto"/>
              <w:right w:val="single" w:sz="4" w:space="0" w:color="auto"/>
            </w:tcBorders>
            <w:shd w:val="clear" w:color="auto" w:fill="auto"/>
            <w:vAlign w:val="center"/>
            <w:hideMark/>
          </w:tcPr>
          <w:p w14:paraId="0CBEF251" w14:textId="77777777" w:rsidR="00E52C84" w:rsidRPr="005E6462" w:rsidRDefault="00E52C84" w:rsidP="00E52C84">
            <w:pPr>
              <w:spacing w:line="276" w:lineRule="auto"/>
              <w:rPr>
                <w:sz w:val="20"/>
                <w:szCs w:val="20"/>
              </w:rPr>
            </w:pPr>
            <w:r w:rsidRPr="005E6462">
              <w:rPr>
                <w:sz w:val="20"/>
                <w:szCs w:val="20"/>
              </w:rPr>
              <w:t>88.00</w:t>
            </w:r>
          </w:p>
        </w:tc>
        <w:tc>
          <w:tcPr>
            <w:tcW w:w="1517" w:type="dxa"/>
            <w:tcBorders>
              <w:top w:val="nil"/>
              <w:left w:val="nil"/>
              <w:bottom w:val="single" w:sz="4" w:space="0" w:color="auto"/>
              <w:right w:val="single" w:sz="4" w:space="0" w:color="auto"/>
            </w:tcBorders>
            <w:shd w:val="clear" w:color="auto" w:fill="auto"/>
            <w:vAlign w:val="center"/>
            <w:hideMark/>
          </w:tcPr>
          <w:p w14:paraId="1462D057" w14:textId="77777777" w:rsidR="00E52C84" w:rsidRPr="005E6462" w:rsidRDefault="00E52C84" w:rsidP="00E52C84">
            <w:pPr>
              <w:spacing w:line="276" w:lineRule="auto"/>
              <w:rPr>
                <w:sz w:val="20"/>
                <w:szCs w:val="20"/>
              </w:rPr>
            </w:pPr>
            <w:r w:rsidRPr="005E6462">
              <w:rPr>
                <w:sz w:val="20"/>
                <w:szCs w:val="20"/>
              </w:rPr>
              <w:t>1 056.00</w:t>
            </w:r>
          </w:p>
        </w:tc>
        <w:tc>
          <w:tcPr>
            <w:tcW w:w="1517" w:type="dxa"/>
            <w:tcBorders>
              <w:top w:val="nil"/>
              <w:left w:val="nil"/>
              <w:bottom w:val="single" w:sz="4" w:space="0" w:color="auto"/>
              <w:right w:val="single" w:sz="4" w:space="0" w:color="auto"/>
            </w:tcBorders>
            <w:shd w:val="clear" w:color="auto" w:fill="F2F2F2" w:themeFill="background1" w:themeFillShade="F2"/>
            <w:vAlign w:val="center"/>
            <w:hideMark/>
          </w:tcPr>
          <w:p w14:paraId="2DDF54F3" w14:textId="77777777" w:rsidR="00E52C84" w:rsidRPr="005E6462" w:rsidRDefault="00E52C84" w:rsidP="00E52C84">
            <w:pPr>
              <w:spacing w:line="276" w:lineRule="auto"/>
              <w:rPr>
                <w:sz w:val="20"/>
                <w:szCs w:val="20"/>
              </w:rPr>
            </w:pPr>
            <w:r w:rsidRPr="005E6462">
              <w:rPr>
                <w:sz w:val="20"/>
                <w:szCs w:val="20"/>
              </w:rPr>
              <w:t>1 056</w:t>
            </w:r>
          </w:p>
        </w:tc>
      </w:tr>
      <w:tr w:rsidR="00E52C84" w:rsidRPr="00E52C84" w14:paraId="443A96CB" w14:textId="77777777" w:rsidTr="00497997">
        <w:trPr>
          <w:trHeight w:val="506"/>
        </w:trPr>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D01E1" w14:textId="77777777" w:rsidR="00E52C84" w:rsidRPr="005E6462" w:rsidRDefault="00E52C84" w:rsidP="00E52C84">
            <w:pPr>
              <w:spacing w:line="276" w:lineRule="auto"/>
              <w:rPr>
                <w:sz w:val="20"/>
                <w:szCs w:val="20"/>
              </w:rPr>
            </w:pPr>
            <w:r w:rsidRPr="005E6462">
              <w:rPr>
                <w:sz w:val="20"/>
                <w:szCs w:val="20"/>
              </w:rPr>
              <w:t>1146</w:t>
            </w:r>
          </w:p>
        </w:tc>
        <w:tc>
          <w:tcPr>
            <w:tcW w:w="2746" w:type="dxa"/>
            <w:tcBorders>
              <w:top w:val="single" w:sz="4" w:space="0" w:color="auto"/>
              <w:left w:val="nil"/>
              <w:bottom w:val="single" w:sz="4" w:space="0" w:color="auto"/>
              <w:right w:val="single" w:sz="4" w:space="0" w:color="auto"/>
            </w:tcBorders>
            <w:shd w:val="clear" w:color="auto" w:fill="auto"/>
            <w:vAlign w:val="center"/>
            <w:hideMark/>
          </w:tcPr>
          <w:p w14:paraId="0E5E0A74" w14:textId="77777777" w:rsidR="00E52C84" w:rsidRPr="005E6462" w:rsidRDefault="00E52C84" w:rsidP="00E52C84">
            <w:pPr>
              <w:spacing w:line="276" w:lineRule="auto"/>
              <w:rPr>
                <w:sz w:val="20"/>
                <w:szCs w:val="20"/>
              </w:rPr>
            </w:pPr>
            <w:r w:rsidRPr="005E6462">
              <w:rPr>
                <w:sz w:val="20"/>
                <w:szCs w:val="20"/>
              </w:rPr>
              <w:t>Piemaksa par personisko darba ieguldījumu un darba kvalitāti (10% no mēnešalgas starpības)</w:t>
            </w:r>
          </w:p>
        </w:tc>
        <w:tc>
          <w:tcPr>
            <w:tcW w:w="1517" w:type="dxa"/>
            <w:tcBorders>
              <w:top w:val="single" w:sz="4" w:space="0" w:color="auto"/>
              <w:left w:val="nil"/>
              <w:bottom w:val="single" w:sz="4" w:space="0" w:color="auto"/>
              <w:right w:val="single" w:sz="4" w:space="0" w:color="auto"/>
            </w:tcBorders>
            <w:shd w:val="clear" w:color="auto" w:fill="auto"/>
            <w:vAlign w:val="center"/>
            <w:hideMark/>
          </w:tcPr>
          <w:p w14:paraId="48C3C554" w14:textId="77777777" w:rsidR="00E52C84" w:rsidRPr="005E6462" w:rsidRDefault="00E52C84" w:rsidP="00E52C84">
            <w:pPr>
              <w:spacing w:line="276" w:lineRule="auto"/>
              <w:rPr>
                <w:sz w:val="20"/>
                <w:szCs w:val="20"/>
              </w:rPr>
            </w:pPr>
            <w:r w:rsidRPr="005E6462">
              <w:rPr>
                <w:sz w:val="20"/>
                <w:szCs w:val="20"/>
              </w:rPr>
              <w:t>220.00</w:t>
            </w:r>
          </w:p>
        </w:tc>
        <w:tc>
          <w:tcPr>
            <w:tcW w:w="1517" w:type="dxa"/>
            <w:tcBorders>
              <w:top w:val="single" w:sz="4" w:space="0" w:color="auto"/>
              <w:left w:val="nil"/>
              <w:bottom w:val="single" w:sz="4" w:space="0" w:color="auto"/>
              <w:right w:val="single" w:sz="4" w:space="0" w:color="auto"/>
            </w:tcBorders>
            <w:shd w:val="clear" w:color="auto" w:fill="auto"/>
            <w:vAlign w:val="center"/>
            <w:hideMark/>
          </w:tcPr>
          <w:p w14:paraId="19760268" w14:textId="77777777" w:rsidR="00E52C84" w:rsidRPr="005E6462" w:rsidRDefault="00E52C84" w:rsidP="00E52C84">
            <w:pPr>
              <w:spacing w:line="276" w:lineRule="auto"/>
              <w:rPr>
                <w:sz w:val="20"/>
                <w:szCs w:val="20"/>
              </w:rPr>
            </w:pPr>
            <w:r w:rsidRPr="005E6462">
              <w:rPr>
                <w:sz w:val="20"/>
                <w:szCs w:val="20"/>
              </w:rPr>
              <w:t>2 640.00</w:t>
            </w:r>
          </w:p>
        </w:tc>
        <w:tc>
          <w:tcPr>
            <w:tcW w:w="15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F470FEB" w14:textId="77777777" w:rsidR="00E52C84" w:rsidRPr="005E6462" w:rsidRDefault="00E52C84" w:rsidP="00E52C84">
            <w:pPr>
              <w:spacing w:line="276" w:lineRule="auto"/>
              <w:rPr>
                <w:sz w:val="20"/>
                <w:szCs w:val="20"/>
              </w:rPr>
            </w:pPr>
            <w:r w:rsidRPr="005E6462">
              <w:rPr>
                <w:sz w:val="20"/>
                <w:szCs w:val="20"/>
              </w:rPr>
              <w:t>2 640</w:t>
            </w:r>
          </w:p>
        </w:tc>
      </w:tr>
      <w:tr w:rsidR="00E52C84" w:rsidRPr="00E52C84" w14:paraId="551DF7F9" w14:textId="77777777" w:rsidTr="00497997">
        <w:trPr>
          <w:trHeight w:val="759"/>
        </w:trPr>
        <w:tc>
          <w:tcPr>
            <w:tcW w:w="1390" w:type="dxa"/>
            <w:tcBorders>
              <w:top w:val="nil"/>
              <w:left w:val="single" w:sz="4" w:space="0" w:color="auto"/>
              <w:bottom w:val="single" w:sz="4" w:space="0" w:color="auto"/>
              <w:right w:val="single" w:sz="4" w:space="0" w:color="auto"/>
            </w:tcBorders>
            <w:shd w:val="clear" w:color="auto" w:fill="auto"/>
            <w:vAlign w:val="center"/>
            <w:hideMark/>
          </w:tcPr>
          <w:p w14:paraId="16B7BD38" w14:textId="77777777" w:rsidR="00E52C84" w:rsidRPr="005E6462" w:rsidRDefault="00E52C84" w:rsidP="00E52C84">
            <w:pPr>
              <w:spacing w:line="276" w:lineRule="auto"/>
              <w:rPr>
                <w:sz w:val="20"/>
                <w:szCs w:val="20"/>
              </w:rPr>
            </w:pPr>
            <w:r w:rsidRPr="005E6462">
              <w:rPr>
                <w:sz w:val="20"/>
                <w:szCs w:val="20"/>
              </w:rPr>
              <w:t>1148</w:t>
            </w:r>
          </w:p>
        </w:tc>
        <w:tc>
          <w:tcPr>
            <w:tcW w:w="2746" w:type="dxa"/>
            <w:tcBorders>
              <w:top w:val="nil"/>
              <w:left w:val="nil"/>
              <w:bottom w:val="single" w:sz="4" w:space="0" w:color="auto"/>
              <w:right w:val="single" w:sz="4" w:space="0" w:color="auto"/>
            </w:tcBorders>
            <w:shd w:val="clear" w:color="auto" w:fill="auto"/>
            <w:vAlign w:val="center"/>
            <w:hideMark/>
          </w:tcPr>
          <w:p w14:paraId="21E2CE29" w14:textId="77777777" w:rsidR="00E52C84" w:rsidRPr="005E6462" w:rsidRDefault="00E52C84" w:rsidP="00E52C84">
            <w:pPr>
              <w:spacing w:line="276" w:lineRule="auto"/>
              <w:rPr>
                <w:sz w:val="20"/>
                <w:szCs w:val="20"/>
              </w:rPr>
            </w:pPr>
            <w:r w:rsidRPr="005E6462">
              <w:rPr>
                <w:sz w:val="20"/>
                <w:szCs w:val="20"/>
              </w:rPr>
              <w:t>Prēmijas un naudas balvas (10% no mēnešalgas)</w:t>
            </w:r>
          </w:p>
        </w:tc>
        <w:tc>
          <w:tcPr>
            <w:tcW w:w="1517" w:type="dxa"/>
            <w:tcBorders>
              <w:top w:val="nil"/>
              <w:left w:val="nil"/>
              <w:bottom w:val="single" w:sz="4" w:space="0" w:color="auto"/>
              <w:right w:val="single" w:sz="4" w:space="0" w:color="auto"/>
            </w:tcBorders>
            <w:shd w:val="clear" w:color="auto" w:fill="auto"/>
            <w:vAlign w:val="center"/>
            <w:hideMark/>
          </w:tcPr>
          <w:p w14:paraId="150BB2F2" w14:textId="77777777" w:rsidR="00E52C84" w:rsidRPr="005E6462" w:rsidRDefault="00E52C84" w:rsidP="00E52C84">
            <w:pPr>
              <w:spacing w:line="276" w:lineRule="auto"/>
              <w:rPr>
                <w:sz w:val="20"/>
                <w:szCs w:val="20"/>
              </w:rPr>
            </w:pPr>
            <w:r w:rsidRPr="005E6462">
              <w:rPr>
                <w:sz w:val="20"/>
                <w:szCs w:val="20"/>
              </w:rPr>
              <w:t>220.00</w:t>
            </w:r>
          </w:p>
        </w:tc>
        <w:tc>
          <w:tcPr>
            <w:tcW w:w="1517" w:type="dxa"/>
            <w:tcBorders>
              <w:top w:val="nil"/>
              <w:left w:val="nil"/>
              <w:bottom w:val="single" w:sz="4" w:space="0" w:color="auto"/>
              <w:right w:val="single" w:sz="4" w:space="0" w:color="auto"/>
            </w:tcBorders>
            <w:shd w:val="clear" w:color="auto" w:fill="auto"/>
            <w:vAlign w:val="center"/>
            <w:hideMark/>
          </w:tcPr>
          <w:p w14:paraId="7CDC9C4B" w14:textId="77777777" w:rsidR="00E52C84" w:rsidRPr="005E6462" w:rsidRDefault="00E52C84" w:rsidP="00E52C84">
            <w:pPr>
              <w:spacing w:line="276" w:lineRule="auto"/>
              <w:rPr>
                <w:sz w:val="20"/>
                <w:szCs w:val="20"/>
              </w:rPr>
            </w:pPr>
            <w:r w:rsidRPr="005E6462">
              <w:rPr>
                <w:sz w:val="20"/>
                <w:szCs w:val="20"/>
              </w:rPr>
              <w:t>2 640.00</w:t>
            </w:r>
          </w:p>
        </w:tc>
        <w:tc>
          <w:tcPr>
            <w:tcW w:w="1517" w:type="dxa"/>
            <w:tcBorders>
              <w:top w:val="nil"/>
              <w:left w:val="nil"/>
              <w:bottom w:val="single" w:sz="4" w:space="0" w:color="auto"/>
              <w:right w:val="single" w:sz="4" w:space="0" w:color="auto"/>
            </w:tcBorders>
            <w:shd w:val="clear" w:color="auto" w:fill="F2F2F2" w:themeFill="background1" w:themeFillShade="F2"/>
            <w:vAlign w:val="center"/>
            <w:hideMark/>
          </w:tcPr>
          <w:p w14:paraId="3664D3CC" w14:textId="77777777" w:rsidR="00E52C84" w:rsidRPr="005E6462" w:rsidRDefault="00E52C84" w:rsidP="00E52C84">
            <w:pPr>
              <w:spacing w:line="276" w:lineRule="auto"/>
              <w:rPr>
                <w:sz w:val="20"/>
                <w:szCs w:val="20"/>
              </w:rPr>
            </w:pPr>
            <w:r w:rsidRPr="005E6462">
              <w:rPr>
                <w:sz w:val="20"/>
                <w:szCs w:val="20"/>
              </w:rPr>
              <w:t>2 640</w:t>
            </w:r>
          </w:p>
        </w:tc>
      </w:tr>
      <w:tr w:rsidR="00E52C84" w:rsidRPr="00E52C84" w14:paraId="55856A93" w14:textId="77777777" w:rsidTr="00497997">
        <w:trPr>
          <w:trHeight w:val="759"/>
        </w:trPr>
        <w:tc>
          <w:tcPr>
            <w:tcW w:w="139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BEF481" w14:textId="77777777" w:rsidR="00E52C84" w:rsidRPr="005E6462" w:rsidRDefault="00E52C84" w:rsidP="00E52C84">
            <w:pPr>
              <w:spacing w:line="276" w:lineRule="auto"/>
              <w:rPr>
                <w:b/>
                <w:bCs/>
                <w:sz w:val="20"/>
                <w:szCs w:val="20"/>
              </w:rPr>
            </w:pPr>
            <w:r w:rsidRPr="005E6462">
              <w:rPr>
                <w:b/>
                <w:bCs/>
                <w:sz w:val="20"/>
                <w:szCs w:val="20"/>
              </w:rPr>
              <w:t>1200</w:t>
            </w:r>
          </w:p>
        </w:tc>
        <w:tc>
          <w:tcPr>
            <w:tcW w:w="2746" w:type="dxa"/>
            <w:tcBorders>
              <w:top w:val="nil"/>
              <w:left w:val="nil"/>
              <w:bottom w:val="single" w:sz="4" w:space="0" w:color="auto"/>
              <w:right w:val="single" w:sz="4" w:space="0" w:color="auto"/>
            </w:tcBorders>
            <w:shd w:val="clear" w:color="auto" w:fill="D9D9D9" w:themeFill="background1" w:themeFillShade="D9"/>
            <w:vAlign w:val="center"/>
            <w:hideMark/>
          </w:tcPr>
          <w:p w14:paraId="2DB6EC08" w14:textId="77777777" w:rsidR="00E52C84" w:rsidRPr="005E6462" w:rsidRDefault="00E52C84" w:rsidP="00E52C84">
            <w:pPr>
              <w:spacing w:line="276" w:lineRule="auto"/>
              <w:rPr>
                <w:b/>
                <w:bCs/>
                <w:sz w:val="20"/>
                <w:szCs w:val="20"/>
              </w:rPr>
            </w:pPr>
            <w:r w:rsidRPr="005E6462">
              <w:rPr>
                <w:b/>
                <w:bCs/>
                <w:sz w:val="20"/>
                <w:szCs w:val="20"/>
              </w:rPr>
              <w:t>Darba devēja valsts sociālās apdrošināšanas obligātās iemaksas, pabalsti un kompensācijas kopā</w:t>
            </w:r>
          </w:p>
        </w:tc>
        <w:tc>
          <w:tcPr>
            <w:tcW w:w="1517" w:type="dxa"/>
            <w:tcBorders>
              <w:top w:val="nil"/>
              <w:left w:val="nil"/>
              <w:bottom w:val="single" w:sz="4" w:space="0" w:color="auto"/>
              <w:right w:val="single" w:sz="4" w:space="0" w:color="auto"/>
            </w:tcBorders>
            <w:shd w:val="clear" w:color="auto" w:fill="D9D9D9" w:themeFill="background1" w:themeFillShade="D9"/>
            <w:vAlign w:val="center"/>
            <w:hideMark/>
          </w:tcPr>
          <w:p w14:paraId="5D89A96C" w14:textId="77777777" w:rsidR="00E52C84" w:rsidRPr="005E6462" w:rsidRDefault="00E52C84" w:rsidP="00E52C84">
            <w:pPr>
              <w:spacing w:line="276" w:lineRule="auto"/>
              <w:rPr>
                <w:b/>
                <w:bCs/>
                <w:sz w:val="20"/>
                <w:szCs w:val="20"/>
              </w:rPr>
            </w:pPr>
            <w:r w:rsidRPr="005E6462">
              <w:rPr>
                <w:b/>
                <w:bCs/>
                <w:sz w:val="20"/>
                <w:szCs w:val="20"/>
              </w:rPr>
              <w:t>779.48</w:t>
            </w:r>
          </w:p>
        </w:tc>
        <w:tc>
          <w:tcPr>
            <w:tcW w:w="1517" w:type="dxa"/>
            <w:tcBorders>
              <w:top w:val="nil"/>
              <w:left w:val="nil"/>
              <w:bottom w:val="single" w:sz="4" w:space="0" w:color="auto"/>
              <w:right w:val="single" w:sz="4" w:space="0" w:color="auto"/>
            </w:tcBorders>
            <w:shd w:val="clear" w:color="auto" w:fill="D9D9D9" w:themeFill="background1" w:themeFillShade="D9"/>
            <w:vAlign w:val="center"/>
            <w:hideMark/>
          </w:tcPr>
          <w:p w14:paraId="05358F1F" w14:textId="77777777" w:rsidR="00E52C84" w:rsidRPr="005E6462" w:rsidRDefault="00E52C84" w:rsidP="00E52C84">
            <w:pPr>
              <w:spacing w:line="276" w:lineRule="auto"/>
              <w:rPr>
                <w:b/>
                <w:bCs/>
                <w:sz w:val="20"/>
                <w:szCs w:val="20"/>
              </w:rPr>
            </w:pPr>
            <w:r w:rsidRPr="005E6462">
              <w:rPr>
                <w:b/>
                <w:bCs/>
                <w:sz w:val="20"/>
                <w:szCs w:val="20"/>
              </w:rPr>
              <w:t>9 354</w:t>
            </w:r>
          </w:p>
        </w:tc>
        <w:tc>
          <w:tcPr>
            <w:tcW w:w="1517" w:type="dxa"/>
            <w:tcBorders>
              <w:top w:val="nil"/>
              <w:left w:val="nil"/>
              <w:bottom w:val="single" w:sz="4" w:space="0" w:color="auto"/>
              <w:right w:val="single" w:sz="4" w:space="0" w:color="auto"/>
            </w:tcBorders>
            <w:shd w:val="clear" w:color="auto" w:fill="D9D9D9" w:themeFill="background1" w:themeFillShade="D9"/>
            <w:vAlign w:val="center"/>
            <w:hideMark/>
          </w:tcPr>
          <w:p w14:paraId="72C0478A" w14:textId="77777777" w:rsidR="00E52C84" w:rsidRPr="005E6462" w:rsidRDefault="00E52C84" w:rsidP="00E52C84">
            <w:pPr>
              <w:spacing w:line="276" w:lineRule="auto"/>
              <w:rPr>
                <w:b/>
                <w:bCs/>
                <w:sz w:val="20"/>
                <w:szCs w:val="20"/>
              </w:rPr>
            </w:pPr>
            <w:r w:rsidRPr="005E6462">
              <w:rPr>
                <w:b/>
                <w:bCs/>
                <w:sz w:val="20"/>
                <w:szCs w:val="20"/>
              </w:rPr>
              <w:t>9 354</w:t>
            </w:r>
          </w:p>
        </w:tc>
      </w:tr>
      <w:tr w:rsidR="00E52C84" w:rsidRPr="00E52C84" w14:paraId="6A8D0982" w14:textId="77777777" w:rsidTr="00497997">
        <w:trPr>
          <w:trHeight w:val="506"/>
        </w:trPr>
        <w:tc>
          <w:tcPr>
            <w:tcW w:w="1390" w:type="dxa"/>
            <w:tcBorders>
              <w:top w:val="nil"/>
              <w:left w:val="single" w:sz="4" w:space="0" w:color="auto"/>
              <w:bottom w:val="single" w:sz="4" w:space="0" w:color="auto"/>
              <w:right w:val="single" w:sz="4" w:space="0" w:color="auto"/>
            </w:tcBorders>
            <w:shd w:val="clear" w:color="auto" w:fill="auto"/>
            <w:vAlign w:val="center"/>
            <w:hideMark/>
          </w:tcPr>
          <w:p w14:paraId="7A56638A" w14:textId="77777777" w:rsidR="00E52C84" w:rsidRPr="005E6462" w:rsidRDefault="00E52C84" w:rsidP="00E52C84">
            <w:pPr>
              <w:spacing w:line="276" w:lineRule="auto"/>
              <w:rPr>
                <w:sz w:val="20"/>
                <w:szCs w:val="20"/>
              </w:rPr>
            </w:pPr>
            <w:r w:rsidRPr="005E6462">
              <w:rPr>
                <w:sz w:val="20"/>
                <w:szCs w:val="20"/>
              </w:rPr>
              <w:t>1210</w:t>
            </w:r>
          </w:p>
        </w:tc>
        <w:tc>
          <w:tcPr>
            <w:tcW w:w="2746" w:type="dxa"/>
            <w:tcBorders>
              <w:top w:val="nil"/>
              <w:left w:val="nil"/>
              <w:bottom w:val="single" w:sz="4" w:space="0" w:color="auto"/>
              <w:right w:val="single" w:sz="4" w:space="0" w:color="auto"/>
            </w:tcBorders>
            <w:shd w:val="clear" w:color="auto" w:fill="auto"/>
            <w:vAlign w:val="center"/>
            <w:hideMark/>
          </w:tcPr>
          <w:p w14:paraId="5F3592AD" w14:textId="77777777" w:rsidR="00E52C84" w:rsidRPr="005E6462" w:rsidRDefault="00E52C84" w:rsidP="00E52C84">
            <w:pPr>
              <w:spacing w:line="276" w:lineRule="auto"/>
              <w:rPr>
                <w:sz w:val="20"/>
                <w:szCs w:val="20"/>
              </w:rPr>
            </w:pPr>
            <w:r w:rsidRPr="005E6462">
              <w:rPr>
                <w:sz w:val="20"/>
                <w:szCs w:val="20"/>
              </w:rPr>
              <w:t>Darba devēja valsts sociālās apdrošināšanas obligātās iemaksas (23,59%)</w:t>
            </w:r>
          </w:p>
        </w:tc>
        <w:tc>
          <w:tcPr>
            <w:tcW w:w="1517" w:type="dxa"/>
            <w:tcBorders>
              <w:top w:val="nil"/>
              <w:left w:val="nil"/>
              <w:bottom w:val="single" w:sz="4" w:space="0" w:color="auto"/>
              <w:right w:val="single" w:sz="4" w:space="0" w:color="auto"/>
            </w:tcBorders>
            <w:shd w:val="clear" w:color="auto" w:fill="auto"/>
            <w:vAlign w:val="center"/>
            <w:hideMark/>
          </w:tcPr>
          <w:p w14:paraId="2548E645" w14:textId="77777777" w:rsidR="00E52C84" w:rsidRPr="005E6462" w:rsidRDefault="00E52C84" w:rsidP="00E52C84">
            <w:pPr>
              <w:spacing w:line="276" w:lineRule="auto"/>
              <w:rPr>
                <w:sz w:val="20"/>
                <w:szCs w:val="20"/>
              </w:rPr>
            </w:pPr>
            <w:r w:rsidRPr="005E6462">
              <w:rPr>
                <w:sz w:val="20"/>
                <w:szCs w:val="20"/>
              </w:rPr>
              <w:t>669.48</w:t>
            </w:r>
          </w:p>
        </w:tc>
        <w:tc>
          <w:tcPr>
            <w:tcW w:w="1517" w:type="dxa"/>
            <w:tcBorders>
              <w:top w:val="nil"/>
              <w:left w:val="nil"/>
              <w:bottom w:val="single" w:sz="4" w:space="0" w:color="auto"/>
              <w:right w:val="single" w:sz="4" w:space="0" w:color="auto"/>
            </w:tcBorders>
            <w:shd w:val="clear" w:color="auto" w:fill="auto"/>
            <w:vAlign w:val="center"/>
            <w:hideMark/>
          </w:tcPr>
          <w:p w14:paraId="78B69C5C" w14:textId="77777777" w:rsidR="00E52C84" w:rsidRPr="005E6462" w:rsidRDefault="00E52C84" w:rsidP="00E52C84">
            <w:pPr>
              <w:spacing w:line="276" w:lineRule="auto"/>
              <w:rPr>
                <w:sz w:val="20"/>
                <w:szCs w:val="20"/>
              </w:rPr>
            </w:pPr>
            <w:r w:rsidRPr="005E6462">
              <w:rPr>
                <w:sz w:val="20"/>
                <w:szCs w:val="20"/>
              </w:rPr>
              <w:t>8 033.81</w:t>
            </w:r>
          </w:p>
        </w:tc>
        <w:tc>
          <w:tcPr>
            <w:tcW w:w="1517" w:type="dxa"/>
            <w:tcBorders>
              <w:top w:val="nil"/>
              <w:left w:val="nil"/>
              <w:bottom w:val="single" w:sz="4" w:space="0" w:color="auto"/>
              <w:right w:val="single" w:sz="4" w:space="0" w:color="auto"/>
            </w:tcBorders>
            <w:shd w:val="clear" w:color="auto" w:fill="F2F2F2" w:themeFill="background1" w:themeFillShade="F2"/>
            <w:vAlign w:val="center"/>
            <w:hideMark/>
          </w:tcPr>
          <w:p w14:paraId="10997793" w14:textId="77777777" w:rsidR="00E52C84" w:rsidRPr="005E6462" w:rsidRDefault="00E52C84" w:rsidP="00E52C84">
            <w:pPr>
              <w:spacing w:line="276" w:lineRule="auto"/>
              <w:rPr>
                <w:sz w:val="20"/>
                <w:szCs w:val="20"/>
              </w:rPr>
            </w:pPr>
            <w:r w:rsidRPr="005E6462">
              <w:rPr>
                <w:sz w:val="20"/>
                <w:szCs w:val="20"/>
              </w:rPr>
              <w:t>8 034</w:t>
            </w:r>
          </w:p>
        </w:tc>
      </w:tr>
      <w:tr w:rsidR="00E52C84" w:rsidRPr="00E52C84" w14:paraId="1C7F83B0" w14:textId="77777777" w:rsidTr="00497997">
        <w:trPr>
          <w:trHeight w:val="506"/>
        </w:trPr>
        <w:tc>
          <w:tcPr>
            <w:tcW w:w="1390" w:type="dxa"/>
            <w:tcBorders>
              <w:top w:val="nil"/>
              <w:left w:val="single" w:sz="4" w:space="0" w:color="auto"/>
              <w:bottom w:val="single" w:sz="4" w:space="0" w:color="auto"/>
              <w:right w:val="single" w:sz="4" w:space="0" w:color="auto"/>
            </w:tcBorders>
            <w:shd w:val="clear" w:color="auto" w:fill="auto"/>
            <w:vAlign w:val="center"/>
            <w:hideMark/>
          </w:tcPr>
          <w:p w14:paraId="3FB2A887" w14:textId="77777777" w:rsidR="00E52C84" w:rsidRPr="005E6462" w:rsidRDefault="00E52C84" w:rsidP="00E52C84">
            <w:pPr>
              <w:spacing w:line="276" w:lineRule="auto"/>
              <w:rPr>
                <w:sz w:val="20"/>
                <w:szCs w:val="20"/>
              </w:rPr>
            </w:pPr>
            <w:r w:rsidRPr="005E6462">
              <w:rPr>
                <w:sz w:val="20"/>
                <w:szCs w:val="20"/>
              </w:rPr>
              <w:t>12211</w:t>
            </w:r>
          </w:p>
        </w:tc>
        <w:tc>
          <w:tcPr>
            <w:tcW w:w="2746" w:type="dxa"/>
            <w:tcBorders>
              <w:top w:val="nil"/>
              <w:left w:val="nil"/>
              <w:bottom w:val="single" w:sz="4" w:space="0" w:color="auto"/>
              <w:right w:val="single" w:sz="4" w:space="0" w:color="auto"/>
            </w:tcBorders>
            <w:shd w:val="clear" w:color="auto" w:fill="auto"/>
            <w:vAlign w:val="center"/>
            <w:hideMark/>
          </w:tcPr>
          <w:p w14:paraId="43F816E3" w14:textId="77777777" w:rsidR="00E52C84" w:rsidRPr="005E6462" w:rsidRDefault="00E52C84" w:rsidP="00E52C84">
            <w:pPr>
              <w:spacing w:line="276" w:lineRule="auto"/>
              <w:rPr>
                <w:sz w:val="20"/>
                <w:szCs w:val="20"/>
              </w:rPr>
            </w:pPr>
            <w:r w:rsidRPr="005E6462">
              <w:rPr>
                <w:sz w:val="20"/>
                <w:szCs w:val="20"/>
              </w:rPr>
              <w:t>Pabalsts, aizejot ikgadējā apmaksātā atvaļinājumā (5% no mēnešalgas)</w:t>
            </w:r>
          </w:p>
        </w:tc>
        <w:tc>
          <w:tcPr>
            <w:tcW w:w="1517" w:type="dxa"/>
            <w:tcBorders>
              <w:top w:val="nil"/>
              <w:left w:val="nil"/>
              <w:bottom w:val="single" w:sz="4" w:space="0" w:color="auto"/>
              <w:right w:val="single" w:sz="4" w:space="0" w:color="auto"/>
            </w:tcBorders>
            <w:shd w:val="clear" w:color="auto" w:fill="auto"/>
            <w:vAlign w:val="center"/>
            <w:hideMark/>
          </w:tcPr>
          <w:p w14:paraId="1F92E61F" w14:textId="77777777" w:rsidR="00E52C84" w:rsidRPr="005E6462" w:rsidRDefault="00E52C84" w:rsidP="00E52C84">
            <w:pPr>
              <w:spacing w:line="276" w:lineRule="auto"/>
              <w:rPr>
                <w:sz w:val="20"/>
                <w:szCs w:val="20"/>
              </w:rPr>
            </w:pPr>
            <w:r w:rsidRPr="005E6462">
              <w:rPr>
                <w:sz w:val="20"/>
                <w:szCs w:val="20"/>
              </w:rPr>
              <w:t>110.00</w:t>
            </w:r>
          </w:p>
        </w:tc>
        <w:tc>
          <w:tcPr>
            <w:tcW w:w="1517" w:type="dxa"/>
            <w:tcBorders>
              <w:top w:val="nil"/>
              <w:left w:val="nil"/>
              <w:bottom w:val="single" w:sz="4" w:space="0" w:color="auto"/>
              <w:right w:val="single" w:sz="4" w:space="0" w:color="auto"/>
            </w:tcBorders>
            <w:shd w:val="clear" w:color="auto" w:fill="auto"/>
            <w:vAlign w:val="center"/>
            <w:hideMark/>
          </w:tcPr>
          <w:p w14:paraId="6192FD10" w14:textId="77777777" w:rsidR="00E52C84" w:rsidRPr="005E6462" w:rsidRDefault="00E52C84" w:rsidP="00E52C84">
            <w:pPr>
              <w:spacing w:line="276" w:lineRule="auto"/>
              <w:rPr>
                <w:sz w:val="20"/>
                <w:szCs w:val="20"/>
              </w:rPr>
            </w:pPr>
            <w:r w:rsidRPr="005E6462">
              <w:rPr>
                <w:sz w:val="20"/>
                <w:szCs w:val="20"/>
              </w:rPr>
              <w:t>1 320.00</w:t>
            </w:r>
          </w:p>
        </w:tc>
        <w:tc>
          <w:tcPr>
            <w:tcW w:w="1517" w:type="dxa"/>
            <w:tcBorders>
              <w:top w:val="nil"/>
              <w:left w:val="nil"/>
              <w:bottom w:val="single" w:sz="4" w:space="0" w:color="auto"/>
              <w:right w:val="single" w:sz="4" w:space="0" w:color="auto"/>
            </w:tcBorders>
            <w:shd w:val="clear" w:color="auto" w:fill="F2F2F2" w:themeFill="background1" w:themeFillShade="F2"/>
            <w:vAlign w:val="center"/>
            <w:hideMark/>
          </w:tcPr>
          <w:p w14:paraId="5F034BCB" w14:textId="77777777" w:rsidR="00E52C84" w:rsidRPr="005E6462" w:rsidRDefault="00E52C84" w:rsidP="00E52C84">
            <w:pPr>
              <w:spacing w:line="276" w:lineRule="auto"/>
              <w:rPr>
                <w:sz w:val="20"/>
                <w:szCs w:val="20"/>
              </w:rPr>
            </w:pPr>
            <w:r w:rsidRPr="005E6462">
              <w:rPr>
                <w:sz w:val="20"/>
                <w:szCs w:val="20"/>
              </w:rPr>
              <w:t>1 320</w:t>
            </w:r>
          </w:p>
        </w:tc>
      </w:tr>
    </w:tbl>
    <w:p w14:paraId="60A1841B" w14:textId="0D975102" w:rsidR="00F52892" w:rsidRDefault="00F52892" w:rsidP="00F52892">
      <w:pPr>
        <w:spacing w:line="276" w:lineRule="auto"/>
      </w:pPr>
    </w:p>
    <w:p w14:paraId="010B74ED" w14:textId="62AEFC39" w:rsidR="002B5B20" w:rsidRPr="002B5B20" w:rsidRDefault="002B5B20" w:rsidP="002B5B20">
      <w:pPr>
        <w:spacing w:line="276" w:lineRule="auto"/>
        <w:ind w:firstLine="720"/>
        <w:jc w:val="right"/>
        <w:rPr>
          <w:i/>
        </w:rPr>
      </w:pPr>
      <w:r>
        <w:rPr>
          <w:i/>
        </w:rPr>
        <w:t>4</w:t>
      </w:r>
      <w:r w:rsidRPr="009E02A4">
        <w:rPr>
          <w:i/>
        </w:rPr>
        <w:t>. tabula</w:t>
      </w:r>
    </w:p>
    <w:tbl>
      <w:tblPr>
        <w:tblW w:w="8688" w:type="dxa"/>
        <w:tblLook w:val="04A0" w:firstRow="1" w:lastRow="0" w:firstColumn="1" w:lastColumn="0" w:noHBand="0" w:noVBand="1"/>
      </w:tblPr>
      <w:tblGrid>
        <w:gridCol w:w="1398"/>
        <w:gridCol w:w="2446"/>
        <w:gridCol w:w="1614"/>
        <w:gridCol w:w="1616"/>
        <w:gridCol w:w="1614"/>
      </w:tblGrid>
      <w:tr w:rsidR="002B5B20" w:rsidRPr="00135760" w14:paraId="4B91A240" w14:textId="77777777" w:rsidTr="00497997">
        <w:trPr>
          <w:trHeight w:val="970"/>
        </w:trPr>
        <w:tc>
          <w:tcPr>
            <w:tcW w:w="7074"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1D7E2E3C" w14:textId="77777777" w:rsidR="002B5B20" w:rsidRPr="00135760" w:rsidRDefault="002B5B20" w:rsidP="003D0A5F">
            <w:pPr>
              <w:spacing w:after="0" w:line="240" w:lineRule="auto"/>
              <w:jc w:val="center"/>
              <w:rPr>
                <w:rFonts w:eastAsia="Times New Roman" w:cs="Times New Roman"/>
                <w:b/>
                <w:bCs/>
                <w:sz w:val="22"/>
                <w:lang w:eastAsia="lv-LV"/>
              </w:rPr>
            </w:pPr>
            <w:r w:rsidRPr="00135760">
              <w:rPr>
                <w:rFonts w:eastAsia="Times New Roman" w:cs="Times New Roman"/>
                <w:b/>
                <w:bCs/>
                <w:sz w:val="22"/>
                <w:lang w:eastAsia="lv-LV"/>
              </w:rPr>
              <w:t> </w:t>
            </w:r>
          </w:p>
        </w:tc>
        <w:tc>
          <w:tcPr>
            <w:tcW w:w="161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CC0628E" w14:textId="77777777" w:rsidR="002B5B20" w:rsidRPr="00135760" w:rsidRDefault="002B5B20" w:rsidP="003D0A5F">
            <w:pPr>
              <w:spacing w:after="0" w:line="240" w:lineRule="auto"/>
              <w:jc w:val="center"/>
              <w:rPr>
                <w:rFonts w:eastAsia="Times New Roman" w:cs="Times New Roman"/>
                <w:b/>
                <w:bCs/>
                <w:sz w:val="20"/>
                <w:szCs w:val="20"/>
                <w:lang w:eastAsia="lv-LV"/>
              </w:rPr>
            </w:pPr>
            <w:r w:rsidRPr="00135760">
              <w:rPr>
                <w:rFonts w:eastAsia="Times New Roman" w:cs="Times New Roman"/>
                <w:b/>
                <w:bCs/>
                <w:sz w:val="20"/>
                <w:szCs w:val="20"/>
                <w:lang w:eastAsia="lv-LV"/>
              </w:rPr>
              <w:t>Amata vietu skaits</w:t>
            </w:r>
          </w:p>
        </w:tc>
      </w:tr>
      <w:tr w:rsidR="002B5B20" w:rsidRPr="00135760" w14:paraId="6D20C899" w14:textId="77777777" w:rsidTr="007F1369">
        <w:trPr>
          <w:trHeight w:val="668"/>
        </w:trPr>
        <w:tc>
          <w:tcPr>
            <w:tcW w:w="707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D0A41B9" w14:textId="77777777" w:rsidR="002B5B20" w:rsidRPr="00135760" w:rsidRDefault="002B5B20" w:rsidP="003D0A5F">
            <w:pPr>
              <w:spacing w:after="0" w:line="240" w:lineRule="auto"/>
              <w:jc w:val="center"/>
              <w:rPr>
                <w:rFonts w:eastAsia="Times New Roman" w:cs="Times New Roman"/>
                <w:sz w:val="20"/>
                <w:szCs w:val="20"/>
                <w:lang w:eastAsia="lv-LV"/>
              </w:rPr>
            </w:pPr>
            <w:proofErr w:type="spellStart"/>
            <w:r w:rsidRPr="00135760">
              <w:rPr>
                <w:rFonts w:eastAsia="Times New Roman" w:cs="Times New Roman"/>
                <w:sz w:val="20"/>
                <w:szCs w:val="20"/>
                <w:lang w:eastAsia="lv-LV"/>
              </w:rPr>
              <w:t>Sistēmanalītiķis</w:t>
            </w:r>
            <w:proofErr w:type="spellEnd"/>
            <w:r w:rsidRPr="00135760">
              <w:rPr>
                <w:rFonts w:eastAsia="Times New Roman" w:cs="Times New Roman"/>
                <w:sz w:val="20"/>
                <w:szCs w:val="20"/>
                <w:lang w:eastAsia="lv-LV"/>
              </w:rPr>
              <w:t xml:space="preserve"> (19.4.saime, IV līmenis, 12.mēnešalgu grupa, 3.kategorija)</w:t>
            </w:r>
          </w:p>
        </w:tc>
        <w:tc>
          <w:tcPr>
            <w:tcW w:w="1614" w:type="dxa"/>
            <w:tcBorders>
              <w:top w:val="nil"/>
              <w:left w:val="nil"/>
              <w:bottom w:val="single" w:sz="4" w:space="0" w:color="auto"/>
              <w:right w:val="single" w:sz="4" w:space="0" w:color="auto"/>
            </w:tcBorders>
            <w:shd w:val="clear" w:color="auto" w:fill="auto"/>
            <w:vAlign w:val="center"/>
            <w:hideMark/>
          </w:tcPr>
          <w:p w14:paraId="7D883331" w14:textId="77777777" w:rsidR="002B5B20" w:rsidRPr="00135760" w:rsidRDefault="002B5B20" w:rsidP="003D0A5F">
            <w:pPr>
              <w:spacing w:after="0" w:line="240" w:lineRule="auto"/>
              <w:jc w:val="center"/>
              <w:rPr>
                <w:rFonts w:eastAsia="Times New Roman" w:cs="Times New Roman"/>
                <w:b/>
                <w:bCs/>
                <w:sz w:val="20"/>
                <w:szCs w:val="20"/>
                <w:lang w:eastAsia="lv-LV"/>
              </w:rPr>
            </w:pPr>
            <w:r w:rsidRPr="00135760">
              <w:rPr>
                <w:rFonts w:eastAsia="Times New Roman" w:cs="Times New Roman"/>
                <w:b/>
                <w:bCs/>
                <w:sz w:val="20"/>
                <w:szCs w:val="20"/>
                <w:lang w:eastAsia="lv-LV"/>
              </w:rPr>
              <w:t>1</w:t>
            </w:r>
          </w:p>
        </w:tc>
      </w:tr>
      <w:tr w:rsidR="002B5B20" w:rsidRPr="00135760" w14:paraId="76230887" w14:textId="77777777" w:rsidTr="00497997">
        <w:trPr>
          <w:trHeight w:val="143"/>
        </w:trPr>
        <w:tc>
          <w:tcPr>
            <w:tcW w:w="1398" w:type="dxa"/>
            <w:tcBorders>
              <w:top w:val="nil"/>
              <w:left w:val="nil"/>
              <w:bottom w:val="nil"/>
              <w:right w:val="nil"/>
            </w:tcBorders>
            <w:shd w:val="clear" w:color="auto" w:fill="auto"/>
            <w:vAlign w:val="bottom"/>
            <w:hideMark/>
          </w:tcPr>
          <w:p w14:paraId="1DBC81B5" w14:textId="77777777" w:rsidR="002B5B20" w:rsidRPr="00135760" w:rsidRDefault="002B5B20" w:rsidP="003D0A5F">
            <w:pPr>
              <w:spacing w:after="0" w:line="240" w:lineRule="auto"/>
              <w:jc w:val="center"/>
              <w:rPr>
                <w:rFonts w:eastAsia="Times New Roman" w:cs="Times New Roman"/>
                <w:b/>
                <w:bCs/>
                <w:sz w:val="20"/>
                <w:szCs w:val="20"/>
                <w:lang w:eastAsia="lv-LV"/>
              </w:rPr>
            </w:pPr>
          </w:p>
        </w:tc>
        <w:tc>
          <w:tcPr>
            <w:tcW w:w="2446" w:type="dxa"/>
            <w:tcBorders>
              <w:top w:val="nil"/>
              <w:left w:val="nil"/>
              <w:bottom w:val="nil"/>
              <w:right w:val="nil"/>
            </w:tcBorders>
            <w:shd w:val="clear" w:color="auto" w:fill="auto"/>
            <w:vAlign w:val="bottom"/>
            <w:hideMark/>
          </w:tcPr>
          <w:p w14:paraId="63C8B46C" w14:textId="77777777" w:rsidR="002B5B20" w:rsidRPr="00135760" w:rsidRDefault="002B5B20" w:rsidP="003D0A5F">
            <w:pPr>
              <w:spacing w:after="0" w:line="240" w:lineRule="auto"/>
              <w:jc w:val="left"/>
              <w:rPr>
                <w:rFonts w:eastAsia="Times New Roman" w:cs="Times New Roman"/>
                <w:sz w:val="20"/>
                <w:szCs w:val="20"/>
                <w:lang w:eastAsia="lv-LV"/>
              </w:rPr>
            </w:pPr>
          </w:p>
        </w:tc>
        <w:tc>
          <w:tcPr>
            <w:tcW w:w="1614" w:type="dxa"/>
            <w:tcBorders>
              <w:top w:val="nil"/>
              <w:left w:val="nil"/>
              <w:bottom w:val="nil"/>
              <w:right w:val="nil"/>
            </w:tcBorders>
            <w:shd w:val="clear" w:color="auto" w:fill="auto"/>
            <w:vAlign w:val="bottom"/>
            <w:hideMark/>
          </w:tcPr>
          <w:p w14:paraId="25BE91DD" w14:textId="77777777" w:rsidR="002B5B20" w:rsidRPr="00135760" w:rsidRDefault="002B5B20" w:rsidP="003D0A5F">
            <w:pPr>
              <w:spacing w:after="0" w:line="240" w:lineRule="auto"/>
              <w:jc w:val="left"/>
              <w:rPr>
                <w:rFonts w:eastAsia="Times New Roman" w:cs="Times New Roman"/>
                <w:sz w:val="20"/>
                <w:szCs w:val="20"/>
                <w:lang w:eastAsia="lv-LV"/>
              </w:rPr>
            </w:pPr>
          </w:p>
        </w:tc>
        <w:tc>
          <w:tcPr>
            <w:tcW w:w="1616" w:type="dxa"/>
            <w:tcBorders>
              <w:top w:val="nil"/>
              <w:left w:val="nil"/>
              <w:bottom w:val="nil"/>
              <w:right w:val="nil"/>
            </w:tcBorders>
            <w:shd w:val="clear" w:color="auto" w:fill="auto"/>
            <w:vAlign w:val="bottom"/>
            <w:hideMark/>
          </w:tcPr>
          <w:p w14:paraId="1AEEA414" w14:textId="77777777" w:rsidR="002B5B20" w:rsidRPr="00135760" w:rsidRDefault="002B5B20" w:rsidP="003D0A5F">
            <w:pPr>
              <w:spacing w:after="0" w:line="240" w:lineRule="auto"/>
              <w:jc w:val="left"/>
              <w:rPr>
                <w:rFonts w:eastAsia="Times New Roman" w:cs="Times New Roman"/>
                <w:sz w:val="20"/>
                <w:szCs w:val="20"/>
                <w:lang w:eastAsia="lv-LV"/>
              </w:rPr>
            </w:pPr>
          </w:p>
        </w:tc>
        <w:tc>
          <w:tcPr>
            <w:tcW w:w="1614" w:type="dxa"/>
            <w:tcBorders>
              <w:top w:val="nil"/>
              <w:left w:val="nil"/>
              <w:bottom w:val="nil"/>
              <w:right w:val="nil"/>
            </w:tcBorders>
            <w:shd w:val="clear" w:color="auto" w:fill="auto"/>
            <w:vAlign w:val="bottom"/>
            <w:hideMark/>
          </w:tcPr>
          <w:p w14:paraId="5019501B" w14:textId="77777777" w:rsidR="002B5B20" w:rsidRPr="00135760" w:rsidRDefault="002B5B20" w:rsidP="003D0A5F">
            <w:pPr>
              <w:spacing w:after="0" w:line="240" w:lineRule="auto"/>
              <w:jc w:val="left"/>
              <w:rPr>
                <w:rFonts w:eastAsia="Times New Roman" w:cs="Times New Roman"/>
                <w:sz w:val="20"/>
                <w:szCs w:val="20"/>
                <w:lang w:eastAsia="lv-LV"/>
              </w:rPr>
            </w:pPr>
          </w:p>
        </w:tc>
      </w:tr>
      <w:tr w:rsidR="002B5B20" w:rsidRPr="00135760" w14:paraId="16506EC6" w14:textId="77777777" w:rsidTr="00497997">
        <w:trPr>
          <w:trHeight w:val="1543"/>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B1263" w14:textId="77777777" w:rsidR="002B5B20" w:rsidRPr="00135760" w:rsidRDefault="002B5B20" w:rsidP="003D0A5F">
            <w:pPr>
              <w:spacing w:after="0" w:line="240" w:lineRule="auto"/>
              <w:jc w:val="center"/>
              <w:rPr>
                <w:rFonts w:eastAsia="Times New Roman" w:cs="Times New Roman"/>
                <w:b/>
                <w:bCs/>
                <w:sz w:val="20"/>
                <w:szCs w:val="20"/>
                <w:lang w:eastAsia="lv-LV"/>
              </w:rPr>
            </w:pPr>
            <w:r w:rsidRPr="00135760">
              <w:rPr>
                <w:rFonts w:eastAsia="Times New Roman" w:cs="Times New Roman"/>
                <w:b/>
                <w:bCs/>
                <w:sz w:val="20"/>
                <w:szCs w:val="20"/>
                <w:lang w:eastAsia="lv-LV"/>
              </w:rPr>
              <w:t>Ekonomiskās klasifikācijas kods</w:t>
            </w:r>
          </w:p>
        </w:tc>
        <w:tc>
          <w:tcPr>
            <w:tcW w:w="2446" w:type="dxa"/>
            <w:tcBorders>
              <w:top w:val="single" w:sz="4" w:space="0" w:color="auto"/>
              <w:left w:val="nil"/>
              <w:bottom w:val="single" w:sz="4" w:space="0" w:color="auto"/>
              <w:right w:val="single" w:sz="4" w:space="0" w:color="auto"/>
            </w:tcBorders>
            <w:shd w:val="clear" w:color="auto" w:fill="auto"/>
            <w:vAlign w:val="center"/>
            <w:hideMark/>
          </w:tcPr>
          <w:p w14:paraId="78CD36CE" w14:textId="77777777" w:rsidR="002B5B20" w:rsidRPr="00135760" w:rsidRDefault="002B5B20" w:rsidP="003D0A5F">
            <w:pPr>
              <w:spacing w:after="0" w:line="240" w:lineRule="auto"/>
              <w:jc w:val="center"/>
              <w:rPr>
                <w:rFonts w:eastAsia="Times New Roman" w:cs="Times New Roman"/>
                <w:b/>
                <w:bCs/>
                <w:sz w:val="20"/>
                <w:szCs w:val="20"/>
                <w:lang w:eastAsia="lv-LV"/>
              </w:rPr>
            </w:pPr>
            <w:r w:rsidRPr="00135760">
              <w:rPr>
                <w:rFonts w:eastAsia="Times New Roman" w:cs="Times New Roman"/>
                <w:b/>
                <w:bCs/>
                <w:sz w:val="20"/>
                <w:szCs w:val="20"/>
                <w:lang w:eastAsia="lv-LV"/>
              </w:rPr>
              <w:t>Ekonomiskās klasifikācijas nosaukums</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73BC6AAE" w14:textId="77777777" w:rsidR="002B5B20" w:rsidRPr="00135760" w:rsidRDefault="002B5B20" w:rsidP="003D0A5F">
            <w:pPr>
              <w:spacing w:after="0" w:line="240" w:lineRule="auto"/>
              <w:jc w:val="center"/>
              <w:rPr>
                <w:rFonts w:eastAsia="Times New Roman" w:cs="Times New Roman"/>
                <w:b/>
                <w:bCs/>
                <w:sz w:val="20"/>
                <w:szCs w:val="20"/>
                <w:lang w:eastAsia="lv-LV"/>
              </w:rPr>
            </w:pPr>
            <w:proofErr w:type="spellStart"/>
            <w:r w:rsidRPr="00135760">
              <w:rPr>
                <w:rFonts w:eastAsia="Times New Roman" w:cs="Times New Roman"/>
                <w:b/>
                <w:bCs/>
                <w:sz w:val="20"/>
                <w:szCs w:val="20"/>
                <w:lang w:eastAsia="lv-LV"/>
              </w:rPr>
              <w:t>Sistēmanalītiķis</w:t>
            </w:r>
            <w:proofErr w:type="spellEnd"/>
            <w:r w:rsidRPr="00135760">
              <w:rPr>
                <w:rFonts w:eastAsia="Times New Roman" w:cs="Times New Roman"/>
                <w:b/>
                <w:bCs/>
                <w:sz w:val="20"/>
                <w:szCs w:val="20"/>
                <w:lang w:eastAsia="lv-LV"/>
              </w:rPr>
              <w:t xml:space="preserve"> 1 amata vieta mēnesī, EUR</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14:paraId="1E557A24" w14:textId="77777777" w:rsidR="002B5B20" w:rsidRPr="00135760" w:rsidRDefault="002B5B20" w:rsidP="003D0A5F">
            <w:pPr>
              <w:spacing w:after="0" w:line="240" w:lineRule="auto"/>
              <w:jc w:val="center"/>
              <w:rPr>
                <w:rFonts w:eastAsia="Times New Roman" w:cs="Times New Roman"/>
                <w:b/>
                <w:bCs/>
                <w:sz w:val="20"/>
                <w:szCs w:val="20"/>
                <w:lang w:eastAsia="lv-LV"/>
              </w:rPr>
            </w:pPr>
            <w:proofErr w:type="spellStart"/>
            <w:r w:rsidRPr="00135760">
              <w:rPr>
                <w:rFonts w:eastAsia="Times New Roman" w:cs="Times New Roman"/>
                <w:b/>
                <w:bCs/>
                <w:sz w:val="20"/>
                <w:szCs w:val="20"/>
                <w:lang w:eastAsia="lv-LV"/>
              </w:rPr>
              <w:t>Sistēmanalītiķis</w:t>
            </w:r>
            <w:proofErr w:type="spellEnd"/>
            <w:r w:rsidRPr="00135760">
              <w:rPr>
                <w:rFonts w:eastAsia="Times New Roman" w:cs="Times New Roman"/>
                <w:b/>
                <w:bCs/>
                <w:sz w:val="20"/>
                <w:szCs w:val="20"/>
                <w:lang w:eastAsia="lv-LV"/>
              </w:rPr>
              <w:t xml:space="preserve"> 1 amata vieta gadā, EUR</w:t>
            </w:r>
          </w:p>
        </w:tc>
        <w:tc>
          <w:tcPr>
            <w:tcW w:w="161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03B8454" w14:textId="77777777" w:rsidR="002B5B20" w:rsidRPr="00135760" w:rsidRDefault="002B5B20" w:rsidP="003D0A5F">
            <w:pPr>
              <w:spacing w:after="0" w:line="240" w:lineRule="auto"/>
              <w:jc w:val="center"/>
              <w:rPr>
                <w:rFonts w:eastAsia="Times New Roman" w:cs="Times New Roman"/>
                <w:b/>
                <w:bCs/>
                <w:sz w:val="20"/>
                <w:szCs w:val="20"/>
                <w:lang w:eastAsia="lv-LV"/>
              </w:rPr>
            </w:pPr>
            <w:proofErr w:type="spellStart"/>
            <w:r w:rsidRPr="00135760">
              <w:rPr>
                <w:rFonts w:eastAsia="Times New Roman" w:cs="Times New Roman"/>
                <w:b/>
                <w:bCs/>
                <w:sz w:val="20"/>
                <w:szCs w:val="20"/>
                <w:lang w:eastAsia="lv-LV"/>
              </w:rPr>
              <w:t>Sistēmanalītiķis</w:t>
            </w:r>
            <w:proofErr w:type="spellEnd"/>
            <w:r w:rsidRPr="00135760">
              <w:rPr>
                <w:rFonts w:eastAsia="Times New Roman" w:cs="Times New Roman"/>
                <w:b/>
                <w:bCs/>
                <w:sz w:val="20"/>
                <w:szCs w:val="20"/>
                <w:lang w:eastAsia="lv-LV"/>
              </w:rPr>
              <w:t xml:space="preserve"> visas amata vietas gadā, EUR</w:t>
            </w:r>
          </w:p>
        </w:tc>
      </w:tr>
      <w:tr w:rsidR="002B5B20" w:rsidRPr="00135760" w14:paraId="26C21A9B" w14:textId="77777777" w:rsidTr="00497997">
        <w:trPr>
          <w:trHeight w:val="492"/>
        </w:trPr>
        <w:tc>
          <w:tcPr>
            <w:tcW w:w="1398"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6B656C2" w14:textId="77777777" w:rsidR="002B5B20" w:rsidRPr="00135760" w:rsidRDefault="002B5B20" w:rsidP="003D0A5F">
            <w:pPr>
              <w:spacing w:after="0" w:line="240" w:lineRule="auto"/>
              <w:jc w:val="left"/>
              <w:rPr>
                <w:rFonts w:eastAsia="Times New Roman" w:cs="Times New Roman"/>
                <w:b/>
                <w:bCs/>
                <w:sz w:val="20"/>
                <w:szCs w:val="20"/>
                <w:lang w:eastAsia="lv-LV"/>
              </w:rPr>
            </w:pPr>
            <w:r w:rsidRPr="00135760">
              <w:rPr>
                <w:rFonts w:eastAsia="Times New Roman" w:cs="Times New Roman"/>
                <w:b/>
                <w:bCs/>
                <w:sz w:val="20"/>
                <w:szCs w:val="20"/>
                <w:lang w:eastAsia="lv-LV"/>
              </w:rPr>
              <w:t>1000</w:t>
            </w:r>
          </w:p>
        </w:tc>
        <w:tc>
          <w:tcPr>
            <w:tcW w:w="2446" w:type="dxa"/>
            <w:tcBorders>
              <w:top w:val="nil"/>
              <w:left w:val="nil"/>
              <w:bottom w:val="single" w:sz="4" w:space="0" w:color="auto"/>
              <w:right w:val="single" w:sz="4" w:space="0" w:color="auto"/>
            </w:tcBorders>
            <w:shd w:val="clear" w:color="auto" w:fill="BFBFBF" w:themeFill="background1" w:themeFillShade="BF"/>
            <w:vAlign w:val="center"/>
            <w:hideMark/>
          </w:tcPr>
          <w:p w14:paraId="3C2B0620" w14:textId="77777777" w:rsidR="002B5B20" w:rsidRPr="00135760" w:rsidRDefault="002B5B20" w:rsidP="003D0A5F">
            <w:pPr>
              <w:spacing w:after="0" w:line="240" w:lineRule="auto"/>
              <w:jc w:val="left"/>
              <w:rPr>
                <w:rFonts w:eastAsia="Times New Roman" w:cs="Times New Roman"/>
                <w:b/>
                <w:bCs/>
                <w:sz w:val="20"/>
                <w:szCs w:val="20"/>
                <w:lang w:eastAsia="lv-LV"/>
              </w:rPr>
            </w:pPr>
            <w:r w:rsidRPr="00135760">
              <w:rPr>
                <w:rFonts w:eastAsia="Times New Roman" w:cs="Times New Roman"/>
                <w:b/>
                <w:bCs/>
                <w:sz w:val="20"/>
                <w:szCs w:val="20"/>
                <w:lang w:eastAsia="lv-LV"/>
              </w:rPr>
              <w:t>Atlīdzība kopā</w:t>
            </w:r>
          </w:p>
        </w:tc>
        <w:tc>
          <w:tcPr>
            <w:tcW w:w="1614" w:type="dxa"/>
            <w:tcBorders>
              <w:top w:val="nil"/>
              <w:left w:val="nil"/>
              <w:bottom w:val="single" w:sz="4" w:space="0" w:color="auto"/>
              <w:right w:val="single" w:sz="4" w:space="0" w:color="auto"/>
            </w:tcBorders>
            <w:shd w:val="clear" w:color="auto" w:fill="BFBFBF" w:themeFill="background1" w:themeFillShade="BF"/>
            <w:vAlign w:val="center"/>
            <w:hideMark/>
          </w:tcPr>
          <w:p w14:paraId="5996D590" w14:textId="77777777" w:rsidR="002B5B20" w:rsidRPr="00135760" w:rsidRDefault="002B5B20" w:rsidP="003D0A5F">
            <w:pPr>
              <w:spacing w:after="0" w:line="240" w:lineRule="auto"/>
              <w:jc w:val="center"/>
              <w:rPr>
                <w:rFonts w:eastAsia="Times New Roman" w:cs="Times New Roman"/>
                <w:b/>
                <w:bCs/>
                <w:sz w:val="20"/>
                <w:szCs w:val="20"/>
                <w:lang w:eastAsia="lv-LV"/>
              </w:rPr>
            </w:pPr>
            <w:r w:rsidRPr="00135760">
              <w:rPr>
                <w:rFonts w:eastAsia="Times New Roman" w:cs="Times New Roman"/>
                <w:b/>
                <w:bCs/>
                <w:sz w:val="20"/>
                <w:szCs w:val="20"/>
                <w:lang w:eastAsia="lv-LV"/>
              </w:rPr>
              <w:t>3 398.73</w:t>
            </w:r>
          </w:p>
        </w:tc>
        <w:tc>
          <w:tcPr>
            <w:tcW w:w="1616" w:type="dxa"/>
            <w:tcBorders>
              <w:top w:val="nil"/>
              <w:left w:val="nil"/>
              <w:bottom w:val="single" w:sz="4" w:space="0" w:color="auto"/>
              <w:right w:val="single" w:sz="4" w:space="0" w:color="auto"/>
            </w:tcBorders>
            <w:shd w:val="clear" w:color="auto" w:fill="BFBFBF" w:themeFill="background1" w:themeFillShade="BF"/>
            <w:vAlign w:val="center"/>
            <w:hideMark/>
          </w:tcPr>
          <w:p w14:paraId="0A8BCA49" w14:textId="77777777" w:rsidR="002B5B20" w:rsidRPr="00135760" w:rsidRDefault="002B5B20" w:rsidP="003D0A5F">
            <w:pPr>
              <w:spacing w:after="0" w:line="240" w:lineRule="auto"/>
              <w:jc w:val="center"/>
              <w:rPr>
                <w:rFonts w:eastAsia="Times New Roman" w:cs="Times New Roman"/>
                <w:b/>
                <w:bCs/>
                <w:sz w:val="20"/>
                <w:szCs w:val="20"/>
                <w:lang w:eastAsia="lv-LV"/>
              </w:rPr>
            </w:pPr>
            <w:r w:rsidRPr="00135760">
              <w:rPr>
                <w:rFonts w:eastAsia="Times New Roman" w:cs="Times New Roman"/>
                <w:b/>
                <w:bCs/>
                <w:sz w:val="20"/>
                <w:szCs w:val="20"/>
                <w:lang w:eastAsia="lv-LV"/>
              </w:rPr>
              <w:t>40 785</w:t>
            </w:r>
          </w:p>
        </w:tc>
        <w:tc>
          <w:tcPr>
            <w:tcW w:w="1614" w:type="dxa"/>
            <w:tcBorders>
              <w:top w:val="nil"/>
              <w:left w:val="nil"/>
              <w:bottom w:val="single" w:sz="4" w:space="0" w:color="auto"/>
              <w:right w:val="single" w:sz="4" w:space="0" w:color="auto"/>
            </w:tcBorders>
            <w:shd w:val="clear" w:color="auto" w:fill="BFBFBF" w:themeFill="background1" w:themeFillShade="BF"/>
            <w:vAlign w:val="center"/>
            <w:hideMark/>
          </w:tcPr>
          <w:p w14:paraId="2FDC053F" w14:textId="77777777" w:rsidR="002B5B20" w:rsidRPr="00135760" w:rsidRDefault="002B5B20" w:rsidP="003D0A5F">
            <w:pPr>
              <w:spacing w:after="0" w:line="240" w:lineRule="auto"/>
              <w:jc w:val="center"/>
              <w:rPr>
                <w:rFonts w:eastAsia="Times New Roman" w:cs="Times New Roman"/>
                <w:b/>
                <w:bCs/>
                <w:sz w:val="20"/>
                <w:szCs w:val="20"/>
                <w:lang w:eastAsia="lv-LV"/>
              </w:rPr>
            </w:pPr>
            <w:r w:rsidRPr="00135760">
              <w:rPr>
                <w:rFonts w:eastAsia="Times New Roman" w:cs="Times New Roman"/>
                <w:b/>
                <w:bCs/>
                <w:sz w:val="20"/>
                <w:szCs w:val="20"/>
                <w:lang w:eastAsia="lv-LV"/>
              </w:rPr>
              <w:t>40 785</w:t>
            </w:r>
          </w:p>
        </w:tc>
      </w:tr>
      <w:tr w:rsidR="002B5B20" w:rsidRPr="00135760" w14:paraId="0998A565" w14:textId="77777777" w:rsidTr="00497997">
        <w:trPr>
          <w:trHeight w:val="333"/>
        </w:trPr>
        <w:tc>
          <w:tcPr>
            <w:tcW w:w="139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F83622E" w14:textId="77777777" w:rsidR="002B5B20" w:rsidRPr="00135760" w:rsidRDefault="002B5B20" w:rsidP="003D0A5F">
            <w:pPr>
              <w:spacing w:after="0" w:line="240" w:lineRule="auto"/>
              <w:jc w:val="left"/>
              <w:rPr>
                <w:rFonts w:eastAsia="Times New Roman" w:cs="Times New Roman"/>
                <w:b/>
                <w:bCs/>
                <w:sz w:val="20"/>
                <w:szCs w:val="20"/>
                <w:lang w:eastAsia="lv-LV"/>
              </w:rPr>
            </w:pPr>
            <w:r w:rsidRPr="00135760">
              <w:rPr>
                <w:rFonts w:eastAsia="Times New Roman" w:cs="Times New Roman"/>
                <w:b/>
                <w:bCs/>
                <w:sz w:val="20"/>
                <w:szCs w:val="20"/>
                <w:lang w:eastAsia="lv-LV"/>
              </w:rPr>
              <w:t>1100</w:t>
            </w:r>
          </w:p>
        </w:tc>
        <w:tc>
          <w:tcPr>
            <w:tcW w:w="2446" w:type="dxa"/>
            <w:tcBorders>
              <w:top w:val="nil"/>
              <w:left w:val="nil"/>
              <w:bottom w:val="single" w:sz="4" w:space="0" w:color="auto"/>
              <w:right w:val="single" w:sz="4" w:space="0" w:color="auto"/>
            </w:tcBorders>
            <w:shd w:val="clear" w:color="auto" w:fill="D9D9D9" w:themeFill="background1" w:themeFillShade="D9"/>
            <w:vAlign w:val="center"/>
            <w:hideMark/>
          </w:tcPr>
          <w:p w14:paraId="6E5A6F8D" w14:textId="77777777" w:rsidR="002B5B20" w:rsidRPr="00135760" w:rsidRDefault="002B5B20" w:rsidP="003D0A5F">
            <w:pPr>
              <w:spacing w:after="0" w:line="240" w:lineRule="auto"/>
              <w:jc w:val="left"/>
              <w:rPr>
                <w:rFonts w:eastAsia="Times New Roman" w:cs="Times New Roman"/>
                <w:b/>
                <w:bCs/>
                <w:sz w:val="20"/>
                <w:szCs w:val="20"/>
                <w:lang w:eastAsia="lv-LV"/>
              </w:rPr>
            </w:pPr>
            <w:r w:rsidRPr="00135760">
              <w:rPr>
                <w:rFonts w:eastAsia="Times New Roman" w:cs="Times New Roman"/>
                <w:b/>
                <w:bCs/>
                <w:sz w:val="20"/>
                <w:szCs w:val="20"/>
                <w:lang w:eastAsia="lv-LV"/>
              </w:rPr>
              <w:t>Atalgojums kopā</w:t>
            </w:r>
          </w:p>
        </w:tc>
        <w:tc>
          <w:tcPr>
            <w:tcW w:w="1614" w:type="dxa"/>
            <w:tcBorders>
              <w:top w:val="nil"/>
              <w:left w:val="nil"/>
              <w:bottom w:val="single" w:sz="4" w:space="0" w:color="auto"/>
              <w:right w:val="single" w:sz="4" w:space="0" w:color="auto"/>
            </w:tcBorders>
            <w:shd w:val="clear" w:color="auto" w:fill="D9D9D9" w:themeFill="background1" w:themeFillShade="D9"/>
            <w:vAlign w:val="center"/>
            <w:hideMark/>
          </w:tcPr>
          <w:p w14:paraId="1E766358" w14:textId="77777777" w:rsidR="002B5B20" w:rsidRPr="00135760" w:rsidRDefault="002B5B20" w:rsidP="003D0A5F">
            <w:pPr>
              <w:spacing w:after="0" w:line="240" w:lineRule="auto"/>
              <w:jc w:val="center"/>
              <w:rPr>
                <w:rFonts w:eastAsia="Times New Roman" w:cs="Times New Roman"/>
                <w:b/>
                <w:bCs/>
                <w:color w:val="000000"/>
                <w:sz w:val="20"/>
                <w:szCs w:val="20"/>
                <w:lang w:eastAsia="lv-LV"/>
              </w:rPr>
            </w:pPr>
            <w:r w:rsidRPr="00135760">
              <w:rPr>
                <w:rFonts w:eastAsia="Times New Roman" w:cs="Times New Roman"/>
                <w:b/>
                <w:bCs/>
                <w:color w:val="000000"/>
                <w:sz w:val="20"/>
                <w:szCs w:val="20"/>
                <w:lang w:eastAsia="lv-LV"/>
              </w:rPr>
              <w:t>2 640.00</w:t>
            </w:r>
          </w:p>
        </w:tc>
        <w:tc>
          <w:tcPr>
            <w:tcW w:w="1616" w:type="dxa"/>
            <w:tcBorders>
              <w:top w:val="nil"/>
              <w:left w:val="nil"/>
              <w:bottom w:val="single" w:sz="4" w:space="0" w:color="auto"/>
              <w:right w:val="single" w:sz="4" w:space="0" w:color="auto"/>
            </w:tcBorders>
            <w:shd w:val="clear" w:color="auto" w:fill="D9D9D9" w:themeFill="background1" w:themeFillShade="D9"/>
            <w:vAlign w:val="center"/>
            <w:hideMark/>
          </w:tcPr>
          <w:p w14:paraId="3ECDE8D5" w14:textId="77777777" w:rsidR="002B5B20" w:rsidRPr="00135760" w:rsidRDefault="002B5B20" w:rsidP="003D0A5F">
            <w:pPr>
              <w:spacing w:after="0" w:line="240" w:lineRule="auto"/>
              <w:jc w:val="center"/>
              <w:rPr>
                <w:rFonts w:eastAsia="Times New Roman" w:cs="Times New Roman"/>
                <w:b/>
                <w:bCs/>
                <w:color w:val="000000"/>
                <w:sz w:val="20"/>
                <w:szCs w:val="20"/>
                <w:lang w:eastAsia="lv-LV"/>
              </w:rPr>
            </w:pPr>
            <w:r w:rsidRPr="00135760">
              <w:rPr>
                <w:rFonts w:eastAsia="Times New Roman" w:cs="Times New Roman"/>
                <w:b/>
                <w:bCs/>
                <w:color w:val="000000"/>
                <w:sz w:val="20"/>
                <w:szCs w:val="20"/>
                <w:lang w:eastAsia="lv-LV"/>
              </w:rPr>
              <w:t>31 680</w:t>
            </w:r>
          </w:p>
        </w:tc>
        <w:tc>
          <w:tcPr>
            <w:tcW w:w="1614" w:type="dxa"/>
            <w:tcBorders>
              <w:top w:val="nil"/>
              <w:left w:val="nil"/>
              <w:bottom w:val="single" w:sz="4" w:space="0" w:color="auto"/>
              <w:right w:val="single" w:sz="4" w:space="0" w:color="auto"/>
            </w:tcBorders>
            <w:shd w:val="clear" w:color="auto" w:fill="D9D9D9" w:themeFill="background1" w:themeFillShade="D9"/>
            <w:vAlign w:val="center"/>
            <w:hideMark/>
          </w:tcPr>
          <w:p w14:paraId="7C6A0041" w14:textId="77777777" w:rsidR="002B5B20" w:rsidRPr="00135760" w:rsidRDefault="002B5B20" w:rsidP="003D0A5F">
            <w:pPr>
              <w:spacing w:after="0" w:line="240" w:lineRule="auto"/>
              <w:jc w:val="center"/>
              <w:rPr>
                <w:rFonts w:eastAsia="Times New Roman" w:cs="Times New Roman"/>
                <w:b/>
                <w:bCs/>
                <w:color w:val="000000"/>
                <w:sz w:val="20"/>
                <w:szCs w:val="20"/>
                <w:lang w:eastAsia="lv-LV"/>
              </w:rPr>
            </w:pPr>
            <w:r w:rsidRPr="00135760">
              <w:rPr>
                <w:rFonts w:eastAsia="Times New Roman" w:cs="Times New Roman"/>
                <w:b/>
                <w:bCs/>
                <w:color w:val="000000"/>
                <w:sz w:val="20"/>
                <w:szCs w:val="20"/>
                <w:lang w:eastAsia="lv-LV"/>
              </w:rPr>
              <w:t>31 680</w:t>
            </w:r>
          </w:p>
        </w:tc>
      </w:tr>
      <w:tr w:rsidR="002B5B20" w:rsidRPr="00135760" w14:paraId="6B85F235" w14:textId="77777777" w:rsidTr="00497997">
        <w:trPr>
          <w:trHeight w:val="365"/>
        </w:trPr>
        <w:tc>
          <w:tcPr>
            <w:tcW w:w="1398" w:type="dxa"/>
            <w:tcBorders>
              <w:top w:val="nil"/>
              <w:left w:val="single" w:sz="4" w:space="0" w:color="auto"/>
              <w:bottom w:val="single" w:sz="4" w:space="0" w:color="auto"/>
              <w:right w:val="single" w:sz="4" w:space="0" w:color="auto"/>
            </w:tcBorders>
            <w:shd w:val="clear" w:color="auto" w:fill="auto"/>
            <w:vAlign w:val="center"/>
            <w:hideMark/>
          </w:tcPr>
          <w:p w14:paraId="400DB6D5" w14:textId="77777777" w:rsidR="002B5B20" w:rsidRPr="00135760" w:rsidRDefault="002B5B20" w:rsidP="003D0A5F">
            <w:pPr>
              <w:spacing w:after="0" w:line="240" w:lineRule="auto"/>
              <w:jc w:val="left"/>
              <w:rPr>
                <w:rFonts w:eastAsia="Times New Roman" w:cs="Times New Roman"/>
                <w:sz w:val="20"/>
                <w:szCs w:val="20"/>
                <w:lang w:eastAsia="lv-LV"/>
              </w:rPr>
            </w:pPr>
            <w:r w:rsidRPr="00135760">
              <w:rPr>
                <w:rFonts w:eastAsia="Times New Roman" w:cs="Times New Roman"/>
                <w:sz w:val="20"/>
                <w:szCs w:val="20"/>
                <w:lang w:eastAsia="lv-LV"/>
              </w:rPr>
              <w:t>1119</w:t>
            </w:r>
          </w:p>
        </w:tc>
        <w:tc>
          <w:tcPr>
            <w:tcW w:w="2446" w:type="dxa"/>
            <w:tcBorders>
              <w:top w:val="nil"/>
              <w:left w:val="nil"/>
              <w:bottom w:val="single" w:sz="4" w:space="0" w:color="auto"/>
              <w:right w:val="single" w:sz="4" w:space="0" w:color="auto"/>
            </w:tcBorders>
            <w:shd w:val="clear" w:color="auto" w:fill="auto"/>
            <w:vAlign w:val="center"/>
            <w:hideMark/>
          </w:tcPr>
          <w:p w14:paraId="692BEA7C" w14:textId="77777777" w:rsidR="002B5B20" w:rsidRPr="00135760" w:rsidRDefault="002B5B20" w:rsidP="003D0A5F">
            <w:pPr>
              <w:spacing w:after="0" w:line="240" w:lineRule="auto"/>
              <w:jc w:val="left"/>
              <w:rPr>
                <w:rFonts w:eastAsia="Times New Roman" w:cs="Times New Roman"/>
                <w:sz w:val="20"/>
                <w:szCs w:val="20"/>
                <w:lang w:eastAsia="lv-LV"/>
              </w:rPr>
            </w:pPr>
            <w:r w:rsidRPr="00135760">
              <w:rPr>
                <w:rFonts w:eastAsia="Times New Roman" w:cs="Times New Roman"/>
                <w:sz w:val="20"/>
                <w:szCs w:val="20"/>
                <w:lang w:eastAsia="lv-LV"/>
              </w:rPr>
              <w:t>Darbinieku mēnešalgas starpība</w:t>
            </w:r>
          </w:p>
        </w:tc>
        <w:tc>
          <w:tcPr>
            <w:tcW w:w="1614" w:type="dxa"/>
            <w:tcBorders>
              <w:top w:val="nil"/>
              <w:left w:val="nil"/>
              <w:bottom w:val="single" w:sz="4" w:space="0" w:color="auto"/>
              <w:right w:val="single" w:sz="4" w:space="0" w:color="auto"/>
            </w:tcBorders>
            <w:shd w:val="clear" w:color="auto" w:fill="auto"/>
            <w:vAlign w:val="center"/>
            <w:hideMark/>
          </w:tcPr>
          <w:p w14:paraId="54CF8078" w14:textId="77777777" w:rsidR="002B5B20" w:rsidRPr="00135760" w:rsidRDefault="002B5B20" w:rsidP="003D0A5F">
            <w:pPr>
              <w:spacing w:after="0" w:line="240" w:lineRule="auto"/>
              <w:jc w:val="center"/>
              <w:rPr>
                <w:rFonts w:eastAsia="Times New Roman" w:cs="Times New Roman"/>
                <w:sz w:val="20"/>
                <w:szCs w:val="20"/>
                <w:lang w:eastAsia="lv-LV"/>
              </w:rPr>
            </w:pPr>
            <w:r w:rsidRPr="00135760">
              <w:rPr>
                <w:rFonts w:eastAsia="Times New Roman" w:cs="Times New Roman"/>
                <w:sz w:val="20"/>
                <w:szCs w:val="20"/>
                <w:lang w:eastAsia="lv-LV"/>
              </w:rPr>
              <w:t>2 200</w:t>
            </w:r>
          </w:p>
        </w:tc>
        <w:tc>
          <w:tcPr>
            <w:tcW w:w="1616" w:type="dxa"/>
            <w:tcBorders>
              <w:top w:val="nil"/>
              <w:left w:val="nil"/>
              <w:bottom w:val="single" w:sz="4" w:space="0" w:color="auto"/>
              <w:right w:val="single" w:sz="4" w:space="0" w:color="auto"/>
            </w:tcBorders>
            <w:shd w:val="clear" w:color="auto" w:fill="auto"/>
            <w:vAlign w:val="center"/>
            <w:hideMark/>
          </w:tcPr>
          <w:p w14:paraId="37806B3D" w14:textId="77777777" w:rsidR="002B5B20" w:rsidRPr="00135760" w:rsidRDefault="002B5B20" w:rsidP="003D0A5F">
            <w:pPr>
              <w:spacing w:after="0" w:line="240" w:lineRule="auto"/>
              <w:jc w:val="center"/>
              <w:rPr>
                <w:rFonts w:eastAsia="Times New Roman" w:cs="Times New Roman"/>
                <w:sz w:val="20"/>
                <w:szCs w:val="20"/>
                <w:lang w:eastAsia="lv-LV"/>
              </w:rPr>
            </w:pPr>
            <w:r w:rsidRPr="00135760">
              <w:rPr>
                <w:rFonts w:eastAsia="Times New Roman" w:cs="Times New Roman"/>
                <w:sz w:val="20"/>
                <w:szCs w:val="20"/>
                <w:lang w:eastAsia="lv-LV"/>
              </w:rPr>
              <w:t>26 400</w:t>
            </w:r>
          </w:p>
        </w:tc>
        <w:tc>
          <w:tcPr>
            <w:tcW w:w="1614" w:type="dxa"/>
            <w:tcBorders>
              <w:top w:val="nil"/>
              <w:left w:val="nil"/>
              <w:bottom w:val="single" w:sz="4" w:space="0" w:color="auto"/>
              <w:right w:val="single" w:sz="4" w:space="0" w:color="auto"/>
            </w:tcBorders>
            <w:shd w:val="clear" w:color="auto" w:fill="F2F2F2" w:themeFill="background1" w:themeFillShade="F2"/>
            <w:vAlign w:val="center"/>
            <w:hideMark/>
          </w:tcPr>
          <w:p w14:paraId="549ECF5C" w14:textId="77777777" w:rsidR="002B5B20" w:rsidRPr="00135760" w:rsidRDefault="002B5B20" w:rsidP="003D0A5F">
            <w:pPr>
              <w:spacing w:after="0" w:line="240" w:lineRule="auto"/>
              <w:jc w:val="center"/>
              <w:rPr>
                <w:rFonts w:eastAsia="Times New Roman" w:cs="Times New Roman"/>
                <w:sz w:val="20"/>
                <w:szCs w:val="20"/>
                <w:lang w:eastAsia="lv-LV"/>
              </w:rPr>
            </w:pPr>
            <w:r w:rsidRPr="00135760">
              <w:rPr>
                <w:rFonts w:eastAsia="Times New Roman" w:cs="Times New Roman"/>
                <w:sz w:val="20"/>
                <w:szCs w:val="20"/>
                <w:lang w:eastAsia="lv-LV"/>
              </w:rPr>
              <w:t>26 400</w:t>
            </w:r>
          </w:p>
        </w:tc>
      </w:tr>
      <w:tr w:rsidR="002B5B20" w:rsidRPr="00135760" w14:paraId="7AA735C4" w14:textId="77777777" w:rsidTr="00497997">
        <w:trPr>
          <w:trHeight w:val="540"/>
        </w:trPr>
        <w:tc>
          <w:tcPr>
            <w:tcW w:w="1398" w:type="dxa"/>
            <w:tcBorders>
              <w:top w:val="nil"/>
              <w:left w:val="single" w:sz="4" w:space="0" w:color="auto"/>
              <w:bottom w:val="single" w:sz="4" w:space="0" w:color="auto"/>
              <w:right w:val="single" w:sz="4" w:space="0" w:color="auto"/>
            </w:tcBorders>
            <w:shd w:val="clear" w:color="auto" w:fill="auto"/>
            <w:vAlign w:val="center"/>
            <w:hideMark/>
          </w:tcPr>
          <w:p w14:paraId="0CA9C9C7" w14:textId="77777777" w:rsidR="002B5B20" w:rsidRPr="00135760" w:rsidRDefault="002B5B20" w:rsidP="003D0A5F">
            <w:pPr>
              <w:spacing w:after="0" w:line="240" w:lineRule="auto"/>
              <w:jc w:val="left"/>
              <w:rPr>
                <w:rFonts w:eastAsia="Times New Roman" w:cs="Times New Roman"/>
                <w:sz w:val="20"/>
                <w:szCs w:val="20"/>
                <w:lang w:eastAsia="lv-LV"/>
              </w:rPr>
            </w:pPr>
            <w:r w:rsidRPr="00135760">
              <w:rPr>
                <w:rFonts w:eastAsia="Times New Roman" w:cs="Times New Roman"/>
                <w:sz w:val="20"/>
                <w:szCs w:val="20"/>
                <w:lang w:eastAsia="lv-LV"/>
              </w:rPr>
              <w:t>1146</w:t>
            </w:r>
          </w:p>
        </w:tc>
        <w:tc>
          <w:tcPr>
            <w:tcW w:w="2446" w:type="dxa"/>
            <w:tcBorders>
              <w:top w:val="nil"/>
              <w:left w:val="nil"/>
              <w:bottom w:val="single" w:sz="4" w:space="0" w:color="auto"/>
              <w:right w:val="single" w:sz="4" w:space="0" w:color="auto"/>
            </w:tcBorders>
            <w:shd w:val="clear" w:color="auto" w:fill="auto"/>
            <w:vAlign w:val="center"/>
            <w:hideMark/>
          </w:tcPr>
          <w:p w14:paraId="68AE87C5" w14:textId="77777777" w:rsidR="002B5B20" w:rsidRPr="00135760" w:rsidRDefault="002B5B20" w:rsidP="003D0A5F">
            <w:pPr>
              <w:spacing w:after="0" w:line="240" w:lineRule="auto"/>
              <w:jc w:val="left"/>
              <w:rPr>
                <w:rFonts w:eastAsia="Times New Roman" w:cs="Times New Roman"/>
                <w:sz w:val="20"/>
                <w:szCs w:val="20"/>
                <w:lang w:eastAsia="lv-LV"/>
              </w:rPr>
            </w:pPr>
            <w:r w:rsidRPr="00135760">
              <w:rPr>
                <w:rFonts w:eastAsia="Times New Roman" w:cs="Times New Roman"/>
                <w:sz w:val="20"/>
                <w:szCs w:val="20"/>
                <w:lang w:eastAsia="lv-LV"/>
              </w:rPr>
              <w:t>Piemaksa par personisko darba ieguldījumu un darba kvalitāti (10% no mēnešalgas starpības)</w:t>
            </w:r>
          </w:p>
        </w:tc>
        <w:tc>
          <w:tcPr>
            <w:tcW w:w="1614" w:type="dxa"/>
            <w:tcBorders>
              <w:top w:val="nil"/>
              <w:left w:val="nil"/>
              <w:bottom w:val="single" w:sz="4" w:space="0" w:color="auto"/>
              <w:right w:val="single" w:sz="4" w:space="0" w:color="auto"/>
            </w:tcBorders>
            <w:shd w:val="clear" w:color="auto" w:fill="auto"/>
            <w:vAlign w:val="center"/>
            <w:hideMark/>
          </w:tcPr>
          <w:p w14:paraId="0A9B7E6A" w14:textId="77777777" w:rsidR="002B5B20" w:rsidRPr="00135760" w:rsidRDefault="002B5B20" w:rsidP="003D0A5F">
            <w:pPr>
              <w:spacing w:after="0" w:line="240" w:lineRule="auto"/>
              <w:jc w:val="center"/>
              <w:rPr>
                <w:rFonts w:eastAsia="Times New Roman" w:cs="Times New Roman"/>
                <w:sz w:val="20"/>
                <w:szCs w:val="20"/>
                <w:lang w:eastAsia="lv-LV"/>
              </w:rPr>
            </w:pPr>
            <w:r w:rsidRPr="00135760">
              <w:rPr>
                <w:rFonts w:eastAsia="Times New Roman" w:cs="Times New Roman"/>
                <w:sz w:val="20"/>
                <w:szCs w:val="20"/>
                <w:lang w:eastAsia="lv-LV"/>
              </w:rPr>
              <w:t>220.00</w:t>
            </w:r>
          </w:p>
        </w:tc>
        <w:tc>
          <w:tcPr>
            <w:tcW w:w="1616" w:type="dxa"/>
            <w:tcBorders>
              <w:top w:val="nil"/>
              <w:left w:val="nil"/>
              <w:bottom w:val="single" w:sz="4" w:space="0" w:color="auto"/>
              <w:right w:val="single" w:sz="4" w:space="0" w:color="auto"/>
            </w:tcBorders>
            <w:shd w:val="clear" w:color="auto" w:fill="auto"/>
            <w:vAlign w:val="center"/>
            <w:hideMark/>
          </w:tcPr>
          <w:p w14:paraId="0A4D66ED" w14:textId="77777777" w:rsidR="002B5B20" w:rsidRPr="00135760" w:rsidRDefault="002B5B20" w:rsidP="003D0A5F">
            <w:pPr>
              <w:spacing w:after="0" w:line="240" w:lineRule="auto"/>
              <w:jc w:val="center"/>
              <w:rPr>
                <w:rFonts w:eastAsia="Times New Roman" w:cs="Times New Roman"/>
                <w:sz w:val="20"/>
                <w:szCs w:val="20"/>
                <w:lang w:eastAsia="lv-LV"/>
              </w:rPr>
            </w:pPr>
            <w:r w:rsidRPr="00135760">
              <w:rPr>
                <w:rFonts w:eastAsia="Times New Roman" w:cs="Times New Roman"/>
                <w:sz w:val="20"/>
                <w:szCs w:val="20"/>
                <w:lang w:eastAsia="lv-LV"/>
              </w:rPr>
              <w:t>2 640.00</w:t>
            </w:r>
          </w:p>
        </w:tc>
        <w:tc>
          <w:tcPr>
            <w:tcW w:w="1614" w:type="dxa"/>
            <w:tcBorders>
              <w:top w:val="nil"/>
              <w:left w:val="nil"/>
              <w:bottom w:val="single" w:sz="4" w:space="0" w:color="auto"/>
              <w:right w:val="single" w:sz="4" w:space="0" w:color="auto"/>
            </w:tcBorders>
            <w:shd w:val="clear" w:color="auto" w:fill="F2F2F2" w:themeFill="background1" w:themeFillShade="F2"/>
            <w:vAlign w:val="center"/>
            <w:hideMark/>
          </w:tcPr>
          <w:p w14:paraId="56725156" w14:textId="77777777" w:rsidR="002B5B20" w:rsidRPr="00135760" w:rsidRDefault="002B5B20" w:rsidP="003D0A5F">
            <w:pPr>
              <w:spacing w:after="0" w:line="240" w:lineRule="auto"/>
              <w:jc w:val="center"/>
              <w:rPr>
                <w:rFonts w:eastAsia="Times New Roman" w:cs="Times New Roman"/>
                <w:sz w:val="20"/>
                <w:szCs w:val="20"/>
                <w:lang w:eastAsia="lv-LV"/>
              </w:rPr>
            </w:pPr>
            <w:r w:rsidRPr="00135760">
              <w:rPr>
                <w:rFonts w:eastAsia="Times New Roman" w:cs="Times New Roman"/>
                <w:sz w:val="20"/>
                <w:szCs w:val="20"/>
                <w:lang w:eastAsia="lv-LV"/>
              </w:rPr>
              <w:t>2 640</w:t>
            </w:r>
          </w:p>
        </w:tc>
      </w:tr>
      <w:tr w:rsidR="002B5B20" w:rsidRPr="00135760" w14:paraId="22736256" w14:textId="77777777" w:rsidTr="00497997">
        <w:trPr>
          <w:trHeight w:val="540"/>
        </w:trPr>
        <w:tc>
          <w:tcPr>
            <w:tcW w:w="1398" w:type="dxa"/>
            <w:tcBorders>
              <w:top w:val="nil"/>
              <w:left w:val="single" w:sz="4" w:space="0" w:color="auto"/>
              <w:bottom w:val="single" w:sz="4" w:space="0" w:color="auto"/>
              <w:right w:val="single" w:sz="4" w:space="0" w:color="auto"/>
            </w:tcBorders>
            <w:shd w:val="clear" w:color="auto" w:fill="auto"/>
            <w:vAlign w:val="center"/>
            <w:hideMark/>
          </w:tcPr>
          <w:p w14:paraId="7BC6A51F" w14:textId="77777777" w:rsidR="002B5B20" w:rsidRPr="00135760" w:rsidRDefault="002B5B20" w:rsidP="003D0A5F">
            <w:pPr>
              <w:spacing w:after="0" w:line="240" w:lineRule="auto"/>
              <w:jc w:val="left"/>
              <w:rPr>
                <w:rFonts w:eastAsia="Times New Roman" w:cs="Times New Roman"/>
                <w:sz w:val="20"/>
                <w:szCs w:val="20"/>
                <w:lang w:eastAsia="lv-LV"/>
              </w:rPr>
            </w:pPr>
            <w:r w:rsidRPr="00135760">
              <w:rPr>
                <w:rFonts w:eastAsia="Times New Roman" w:cs="Times New Roman"/>
                <w:sz w:val="20"/>
                <w:szCs w:val="20"/>
                <w:lang w:eastAsia="lv-LV"/>
              </w:rPr>
              <w:t>1148</w:t>
            </w:r>
          </w:p>
        </w:tc>
        <w:tc>
          <w:tcPr>
            <w:tcW w:w="2446" w:type="dxa"/>
            <w:tcBorders>
              <w:top w:val="nil"/>
              <w:left w:val="nil"/>
              <w:bottom w:val="single" w:sz="4" w:space="0" w:color="auto"/>
              <w:right w:val="single" w:sz="4" w:space="0" w:color="auto"/>
            </w:tcBorders>
            <w:shd w:val="clear" w:color="auto" w:fill="auto"/>
            <w:vAlign w:val="center"/>
            <w:hideMark/>
          </w:tcPr>
          <w:p w14:paraId="0EB99F75" w14:textId="77777777" w:rsidR="002B5B20" w:rsidRPr="00135760" w:rsidRDefault="002B5B20" w:rsidP="003D0A5F">
            <w:pPr>
              <w:spacing w:after="0" w:line="240" w:lineRule="auto"/>
              <w:jc w:val="left"/>
              <w:rPr>
                <w:rFonts w:eastAsia="Times New Roman" w:cs="Times New Roman"/>
                <w:sz w:val="20"/>
                <w:szCs w:val="20"/>
                <w:lang w:eastAsia="lv-LV"/>
              </w:rPr>
            </w:pPr>
            <w:r w:rsidRPr="00135760">
              <w:rPr>
                <w:rFonts w:eastAsia="Times New Roman" w:cs="Times New Roman"/>
                <w:sz w:val="20"/>
                <w:szCs w:val="20"/>
                <w:lang w:eastAsia="lv-LV"/>
              </w:rPr>
              <w:t>Prēmijas un naudas balvas (10% no mēnešalgas)</w:t>
            </w:r>
          </w:p>
        </w:tc>
        <w:tc>
          <w:tcPr>
            <w:tcW w:w="1614" w:type="dxa"/>
            <w:tcBorders>
              <w:top w:val="nil"/>
              <w:left w:val="nil"/>
              <w:bottom w:val="single" w:sz="4" w:space="0" w:color="auto"/>
              <w:right w:val="single" w:sz="4" w:space="0" w:color="auto"/>
            </w:tcBorders>
            <w:shd w:val="clear" w:color="auto" w:fill="auto"/>
            <w:vAlign w:val="center"/>
            <w:hideMark/>
          </w:tcPr>
          <w:p w14:paraId="02271576" w14:textId="77777777" w:rsidR="002B5B20" w:rsidRPr="00135760" w:rsidRDefault="002B5B20" w:rsidP="003D0A5F">
            <w:pPr>
              <w:spacing w:after="0" w:line="240" w:lineRule="auto"/>
              <w:jc w:val="center"/>
              <w:rPr>
                <w:rFonts w:eastAsia="Times New Roman" w:cs="Times New Roman"/>
                <w:sz w:val="20"/>
                <w:szCs w:val="20"/>
                <w:lang w:eastAsia="lv-LV"/>
              </w:rPr>
            </w:pPr>
            <w:r w:rsidRPr="00135760">
              <w:rPr>
                <w:rFonts w:eastAsia="Times New Roman" w:cs="Times New Roman"/>
                <w:sz w:val="20"/>
                <w:szCs w:val="20"/>
                <w:lang w:eastAsia="lv-LV"/>
              </w:rPr>
              <w:t>220.00</w:t>
            </w:r>
          </w:p>
        </w:tc>
        <w:tc>
          <w:tcPr>
            <w:tcW w:w="1616" w:type="dxa"/>
            <w:tcBorders>
              <w:top w:val="nil"/>
              <w:left w:val="nil"/>
              <w:bottom w:val="single" w:sz="4" w:space="0" w:color="auto"/>
              <w:right w:val="single" w:sz="4" w:space="0" w:color="auto"/>
            </w:tcBorders>
            <w:shd w:val="clear" w:color="auto" w:fill="auto"/>
            <w:vAlign w:val="center"/>
            <w:hideMark/>
          </w:tcPr>
          <w:p w14:paraId="306F0E0F" w14:textId="77777777" w:rsidR="002B5B20" w:rsidRPr="00135760" w:rsidRDefault="002B5B20" w:rsidP="003D0A5F">
            <w:pPr>
              <w:spacing w:after="0" w:line="240" w:lineRule="auto"/>
              <w:jc w:val="center"/>
              <w:rPr>
                <w:rFonts w:eastAsia="Times New Roman" w:cs="Times New Roman"/>
                <w:sz w:val="20"/>
                <w:szCs w:val="20"/>
                <w:lang w:eastAsia="lv-LV"/>
              </w:rPr>
            </w:pPr>
            <w:r w:rsidRPr="00135760">
              <w:rPr>
                <w:rFonts w:eastAsia="Times New Roman" w:cs="Times New Roman"/>
                <w:sz w:val="20"/>
                <w:szCs w:val="20"/>
                <w:lang w:eastAsia="lv-LV"/>
              </w:rPr>
              <w:t>2 640.00</w:t>
            </w:r>
          </w:p>
        </w:tc>
        <w:tc>
          <w:tcPr>
            <w:tcW w:w="1614" w:type="dxa"/>
            <w:tcBorders>
              <w:top w:val="nil"/>
              <w:left w:val="nil"/>
              <w:bottom w:val="single" w:sz="4" w:space="0" w:color="auto"/>
              <w:right w:val="single" w:sz="4" w:space="0" w:color="auto"/>
            </w:tcBorders>
            <w:shd w:val="clear" w:color="auto" w:fill="F2F2F2" w:themeFill="background1" w:themeFillShade="F2"/>
            <w:vAlign w:val="center"/>
            <w:hideMark/>
          </w:tcPr>
          <w:p w14:paraId="2F7B2627" w14:textId="77777777" w:rsidR="002B5B20" w:rsidRPr="00135760" w:rsidRDefault="002B5B20" w:rsidP="003D0A5F">
            <w:pPr>
              <w:spacing w:after="0" w:line="240" w:lineRule="auto"/>
              <w:jc w:val="center"/>
              <w:rPr>
                <w:rFonts w:eastAsia="Times New Roman" w:cs="Times New Roman"/>
                <w:sz w:val="20"/>
                <w:szCs w:val="20"/>
                <w:lang w:eastAsia="lv-LV"/>
              </w:rPr>
            </w:pPr>
            <w:r w:rsidRPr="00135760">
              <w:rPr>
                <w:rFonts w:eastAsia="Times New Roman" w:cs="Times New Roman"/>
                <w:sz w:val="20"/>
                <w:szCs w:val="20"/>
                <w:lang w:eastAsia="lv-LV"/>
              </w:rPr>
              <w:t>2 640</w:t>
            </w:r>
          </w:p>
        </w:tc>
      </w:tr>
      <w:tr w:rsidR="002B5B20" w:rsidRPr="00135760" w14:paraId="160CEB47" w14:textId="77777777" w:rsidTr="00497997">
        <w:trPr>
          <w:trHeight w:val="811"/>
        </w:trPr>
        <w:tc>
          <w:tcPr>
            <w:tcW w:w="139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F90519D" w14:textId="77777777" w:rsidR="002B5B20" w:rsidRPr="00135760" w:rsidRDefault="002B5B20" w:rsidP="003D0A5F">
            <w:pPr>
              <w:spacing w:after="0" w:line="240" w:lineRule="auto"/>
              <w:jc w:val="left"/>
              <w:rPr>
                <w:rFonts w:eastAsia="Times New Roman" w:cs="Times New Roman"/>
                <w:b/>
                <w:bCs/>
                <w:sz w:val="20"/>
                <w:szCs w:val="20"/>
                <w:lang w:eastAsia="lv-LV"/>
              </w:rPr>
            </w:pPr>
            <w:r w:rsidRPr="00135760">
              <w:rPr>
                <w:rFonts w:eastAsia="Times New Roman" w:cs="Times New Roman"/>
                <w:b/>
                <w:bCs/>
                <w:sz w:val="20"/>
                <w:szCs w:val="20"/>
                <w:lang w:eastAsia="lv-LV"/>
              </w:rPr>
              <w:lastRenderedPageBreak/>
              <w:t>1200</w:t>
            </w:r>
          </w:p>
        </w:tc>
        <w:tc>
          <w:tcPr>
            <w:tcW w:w="2446" w:type="dxa"/>
            <w:tcBorders>
              <w:top w:val="nil"/>
              <w:left w:val="nil"/>
              <w:bottom w:val="single" w:sz="4" w:space="0" w:color="auto"/>
              <w:right w:val="single" w:sz="4" w:space="0" w:color="auto"/>
            </w:tcBorders>
            <w:shd w:val="clear" w:color="auto" w:fill="D9D9D9" w:themeFill="background1" w:themeFillShade="D9"/>
            <w:vAlign w:val="center"/>
            <w:hideMark/>
          </w:tcPr>
          <w:p w14:paraId="1E97BBBE" w14:textId="77777777" w:rsidR="002B5B20" w:rsidRPr="00135760" w:rsidRDefault="002B5B20" w:rsidP="003D0A5F">
            <w:pPr>
              <w:spacing w:after="0" w:line="240" w:lineRule="auto"/>
              <w:jc w:val="left"/>
              <w:rPr>
                <w:rFonts w:eastAsia="Times New Roman" w:cs="Times New Roman"/>
                <w:b/>
                <w:bCs/>
                <w:sz w:val="20"/>
                <w:szCs w:val="20"/>
                <w:lang w:eastAsia="lv-LV"/>
              </w:rPr>
            </w:pPr>
            <w:r w:rsidRPr="00135760">
              <w:rPr>
                <w:rFonts w:eastAsia="Times New Roman" w:cs="Times New Roman"/>
                <w:b/>
                <w:bCs/>
                <w:sz w:val="20"/>
                <w:szCs w:val="20"/>
                <w:lang w:eastAsia="lv-LV"/>
              </w:rPr>
              <w:t>Darba devēja valsts sociālās apdrošināšanas obligātās iemaksas, pabalsti un kompensācijas kopā</w:t>
            </w:r>
          </w:p>
        </w:tc>
        <w:tc>
          <w:tcPr>
            <w:tcW w:w="1614" w:type="dxa"/>
            <w:tcBorders>
              <w:top w:val="nil"/>
              <w:left w:val="nil"/>
              <w:bottom w:val="single" w:sz="4" w:space="0" w:color="auto"/>
              <w:right w:val="single" w:sz="4" w:space="0" w:color="auto"/>
            </w:tcBorders>
            <w:shd w:val="clear" w:color="auto" w:fill="D9D9D9" w:themeFill="background1" w:themeFillShade="D9"/>
            <w:vAlign w:val="center"/>
            <w:hideMark/>
          </w:tcPr>
          <w:p w14:paraId="3E0A3B58" w14:textId="77777777" w:rsidR="002B5B20" w:rsidRPr="00135760" w:rsidRDefault="002B5B20" w:rsidP="003D0A5F">
            <w:pPr>
              <w:spacing w:after="0" w:line="240" w:lineRule="auto"/>
              <w:jc w:val="center"/>
              <w:rPr>
                <w:rFonts w:eastAsia="Times New Roman" w:cs="Times New Roman"/>
                <w:b/>
                <w:bCs/>
                <w:color w:val="000000"/>
                <w:sz w:val="20"/>
                <w:szCs w:val="20"/>
                <w:lang w:eastAsia="lv-LV"/>
              </w:rPr>
            </w:pPr>
            <w:r w:rsidRPr="00135760">
              <w:rPr>
                <w:rFonts w:eastAsia="Times New Roman" w:cs="Times New Roman"/>
                <w:b/>
                <w:bCs/>
                <w:color w:val="000000"/>
                <w:sz w:val="20"/>
                <w:szCs w:val="20"/>
                <w:lang w:eastAsia="lv-LV"/>
              </w:rPr>
              <w:t>758.73</w:t>
            </w:r>
          </w:p>
        </w:tc>
        <w:tc>
          <w:tcPr>
            <w:tcW w:w="1616" w:type="dxa"/>
            <w:tcBorders>
              <w:top w:val="nil"/>
              <w:left w:val="nil"/>
              <w:bottom w:val="single" w:sz="4" w:space="0" w:color="auto"/>
              <w:right w:val="single" w:sz="4" w:space="0" w:color="auto"/>
            </w:tcBorders>
            <w:shd w:val="clear" w:color="auto" w:fill="D9D9D9" w:themeFill="background1" w:themeFillShade="D9"/>
            <w:vAlign w:val="center"/>
            <w:hideMark/>
          </w:tcPr>
          <w:p w14:paraId="29937836" w14:textId="77777777" w:rsidR="002B5B20" w:rsidRPr="00135760" w:rsidRDefault="002B5B20" w:rsidP="003D0A5F">
            <w:pPr>
              <w:spacing w:after="0" w:line="240" w:lineRule="auto"/>
              <w:jc w:val="center"/>
              <w:rPr>
                <w:rFonts w:eastAsia="Times New Roman" w:cs="Times New Roman"/>
                <w:b/>
                <w:bCs/>
                <w:color w:val="000000"/>
                <w:sz w:val="20"/>
                <w:szCs w:val="20"/>
                <w:lang w:eastAsia="lv-LV"/>
              </w:rPr>
            </w:pPr>
            <w:r w:rsidRPr="00135760">
              <w:rPr>
                <w:rFonts w:eastAsia="Times New Roman" w:cs="Times New Roman"/>
                <w:b/>
                <w:bCs/>
                <w:color w:val="000000"/>
                <w:sz w:val="20"/>
                <w:szCs w:val="20"/>
                <w:lang w:eastAsia="lv-LV"/>
              </w:rPr>
              <w:t>9 105</w:t>
            </w:r>
          </w:p>
        </w:tc>
        <w:tc>
          <w:tcPr>
            <w:tcW w:w="1614" w:type="dxa"/>
            <w:tcBorders>
              <w:top w:val="nil"/>
              <w:left w:val="nil"/>
              <w:bottom w:val="single" w:sz="4" w:space="0" w:color="auto"/>
              <w:right w:val="single" w:sz="4" w:space="0" w:color="auto"/>
            </w:tcBorders>
            <w:shd w:val="clear" w:color="auto" w:fill="D9D9D9" w:themeFill="background1" w:themeFillShade="D9"/>
            <w:vAlign w:val="center"/>
            <w:hideMark/>
          </w:tcPr>
          <w:p w14:paraId="19776FE9" w14:textId="77777777" w:rsidR="002B5B20" w:rsidRPr="00135760" w:rsidRDefault="002B5B20" w:rsidP="003D0A5F">
            <w:pPr>
              <w:spacing w:after="0" w:line="240" w:lineRule="auto"/>
              <w:jc w:val="center"/>
              <w:rPr>
                <w:rFonts w:eastAsia="Times New Roman" w:cs="Times New Roman"/>
                <w:b/>
                <w:bCs/>
                <w:color w:val="000000"/>
                <w:sz w:val="20"/>
                <w:szCs w:val="20"/>
                <w:lang w:eastAsia="lv-LV"/>
              </w:rPr>
            </w:pPr>
            <w:r w:rsidRPr="00135760">
              <w:rPr>
                <w:rFonts w:eastAsia="Times New Roman" w:cs="Times New Roman"/>
                <w:b/>
                <w:bCs/>
                <w:color w:val="000000"/>
                <w:sz w:val="20"/>
                <w:szCs w:val="20"/>
                <w:lang w:eastAsia="lv-LV"/>
              </w:rPr>
              <w:t>9 105</w:t>
            </w:r>
          </w:p>
        </w:tc>
      </w:tr>
      <w:tr w:rsidR="002B5B20" w:rsidRPr="00135760" w14:paraId="4FC8383A" w14:textId="77777777" w:rsidTr="00497997">
        <w:trPr>
          <w:trHeight w:val="811"/>
        </w:trPr>
        <w:tc>
          <w:tcPr>
            <w:tcW w:w="1398" w:type="dxa"/>
            <w:tcBorders>
              <w:top w:val="nil"/>
              <w:left w:val="single" w:sz="4" w:space="0" w:color="auto"/>
              <w:bottom w:val="single" w:sz="4" w:space="0" w:color="auto"/>
              <w:right w:val="single" w:sz="4" w:space="0" w:color="auto"/>
            </w:tcBorders>
            <w:shd w:val="clear" w:color="auto" w:fill="auto"/>
            <w:vAlign w:val="center"/>
            <w:hideMark/>
          </w:tcPr>
          <w:p w14:paraId="08AACE06" w14:textId="77777777" w:rsidR="002B5B20" w:rsidRPr="00135760" w:rsidRDefault="002B5B20" w:rsidP="003D0A5F">
            <w:pPr>
              <w:spacing w:after="0" w:line="240" w:lineRule="auto"/>
              <w:jc w:val="left"/>
              <w:rPr>
                <w:rFonts w:eastAsia="Times New Roman" w:cs="Times New Roman"/>
                <w:sz w:val="20"/>
                <w:szCs w:val="20"/>
                <w:lang w:eastAsia="lv-LV"/>
              </w:rPr>
            </w:pPr>
            <w:r w:rsidRPr="00135760">
              <w:rPr>
                <w:rFonts w:eastAsia="Times New Roman" w:cs="Times New Roman"/>
                <w:sz w:val="20"/>
                <w:szCs w:val="20"/>
                <w:lang w:eastAsia="lv-LV"/>
              </w:rPr>
              <w:t>1210</w:t>
            </w:r>
          </w:p>
        </w:tc>
        <w:tc>
          <w:tcPr>
            <w:tcW w:w="2446" w:type="dxa"/>
            <w:tcBorders>
              <w:top w:val="nil"/>
              <w:left w:val="nil"/>
              <w:bottom w:val="single" w:sz="4" w:space="0" w:color="auto"/>
              <w:right w:val="single" w:sz="4" w:space="0" w:color="auto"/>
            </w:tcBorders>
            <w:shd w:val="clear" w:color="auto" w:fill="auto"/>
            <w:vAlign w:val="center"/>
            <w:hideMark/>
          </w:tcPr>
          <w:p w14:paraId="1BAE7DBF" w14:textId="77777777" w:rsidR="002B5B20" w:rsidRPr="00135760" w:rsidRDefault="002B5B20" w:rsidP="003D0A5F">
            <w:pPr>
              <w:spacing w:after="0" w:line="240" w:lineRule="auto"/>
              <w:jc w:val="left"/>
              <w:rPr>
                <w:rFonts w:eastAsia="Times New Roman" w:cs="Times New Roman"/>
                <w:sz w:val="20"/>
                <w:szCs w:val="20"/>
                <w:lang w:eastAsia="lv-LV"/>
              </w:rPr>
            </w:pPr>
            <w:r w:rsidRPr="00135760">
              <w:rPr>
                <w:rFonts w:eastAsia="Times New Roman" w:cs="Times New Roman"/>
                <w:sz w:val="20"/>
                <w:szCs w:val="20"/>
                <w:lang w:eastAsia="lv-LV"/>
              </w:rPr>
              <w:t>Darba devēja valsts sociālās apdrošināšanas obligātās iemaksas (23,59%)</w:t>
            </w:r>
          </w:p>
        </w:tc>
        <w:tc>
          <w:tcPr>
            <w:tcW w:w="1614" w:type="dxa"/>
            <w:tcBorders>
              <w:top w:val="nil"/>
              <w:left w:val="nil"/>
              <w:bottom w:val="single" w:sz="4" w:space="0" w:color="auto"/>
              <w:right w:val="single" w:sz="4" w:space="0" w:color="auto"/>
            </w:tcBorders>
            <w:shd w:val="clear" w:color="auto" w:fill="auto"/>
            <w:vAlign w:val="center"/>
            <w:hideMark/>
          </w:tcPr>
          <w:p w14:paraId="101AB965" w14:textId="77777777" w:rsidR="002B5B20" w:rsidRPr="00135760" w:rsidRDefault="002B5B20" w:rsidP="003D0A5F">
            <w:pPr>
              <w:spacing w:after="0" w:line="240" w:lineRule="auto"/>
              <w:jc w:val="center"/>
              <w:rPr>
                <w:rFonts w:eastAsia="Times New Roman" w:cs="Times New Roman"/>
                <w:sz w:val="20"/>
                <w:szCs w:val="20"/>
                <w:lang w:eastAsia="lv-LV"/>
              </w:rPr>
            </w:pPr>
            <w:r w:rsidRPr="00135760">
              <w:rPr>
                <w:rFonts w:eastAsia="Times New Roman" w:cs="Times New Roman"/>
                <w:sz w:val="20"/>
                <w:szCs w:val="20"/>
                <w:lang w:eastAsia="lv-LV"/>
              </w:rPr>
              <w:t>648.73</w:t>
            </w:r>
          </w:p>
        </w:tc>
        <w:tc>
          <w:tcPr>
            <w:tcW w:w="1616" w:type="dxa"/>
            <w:tcBorders>
              <w:top w:val="nil"/>
              <w:left w:val="nil"/>
              <w:bottom w:val="single" w:sz="4" w:space="0" w:color="auto"/>
              <w:right w:val="single" w:sz="4" w:space="0" w:color="auto"/>
            </w:tcBorders>
            <w:shd w:val="clear" w:color="auto" w:fill="auto"/>
            <w:vAlign w:val="center"/>
            <w:hideMark/>
          </w:tcPr>
          <w:p w14:paraId="6C470339" w14:textId="77777777" w:rsidR="002B5B20" w:rsidRPr="00135760" w:rsidRDefault="002B5B20" w:rsidP="003D0A5F">
            <w:pPr>
              <w:spacing w:after="0" w:line="240" w:lineRule="auto"/>
              <w:jc w:val="center"/>
              <w:rPr>
                <w:rFonts w:eastAsia="Times New Roman" w:cs="Times New Roman"/>
                <w:sz w:val="20"/>
                <w:szCs w:val="20"/>
                <w:lang w:eastAsia="lv-LV"/>
              </w:rPr>
            </w:pPr>
            <w:r w:rsidRPr="00135760">
              <w:rPr>
                <w:rFonts w:eastAsia="Times New Roman" w:cs="Times New Roman"/>
                <w:sz w:val="20"/>
                <w:szCs w:val="20"/>
                <w:lang w:eastAsia="lv-LV"/>
              </w:rPr>
              <w:t>7 784.70</w:t>
            </w:r>
          </w:p>
        </w:tc>
        <w:tc>
          <w:tcPr>
            <w:tcW w:w="1614" w:type="dxa"/>
            <w:tcBorders>
              <w:top w:val="nil"/>
              <w:left w:val="nil"/>
              <w:bottom w:val="single" w:sz="4" w:space="0" w:color="auto"/>
              <w:right w:val="single" w:sz="4" w:space="0" w:color="auto"/>
            </w:tcBorders>
            <w:shd w:val="clear" w:color="auto" w:fill="F2F2F2" w:themeFill="background1" w:themeFillShade="F2"/>
            <w:vAlign w:val="center"/>
            <w:hideMark/>
          </w:tcPr>
          <w:p w14:paraId="7B539000" w14:textId="77777777" w:rsidR="002B5B20" w:rsidRPr="00135760" w:rsidRDefault="002B5B20" w:rsidP="003D0A5F">
            <w:pPr>
              <w:spacing w:after="0" w:line="240" w:lineRule="auto"/>
              <w:jc w:val="center"/>
              <w:rPr>
                <w:rFonts w:eastAsia="Times New Roman" w:cs="Times New Roman"/>
                <w:sz w:val="20"/>
                <w:szCs w:val="20"/>
                <w:lang w:eastAsia="lv-LV"/>
              </w:rPr>
            </w:pPr>
            <w:r w:rsidRPr="00135760">
              <w:rPr>
                <w:rFonts w:eastAsia="Times New Roman" w:cs="Times New Roman"/>
                <w:sz w:val="20"/>
                <w:szCs w:val="20"/>
                <w:lang w:eastAsia="lv-LV"/>
              </w:rPr>
              <w:t>7 785</w:t>
            </w:r>
          </w:p>
        </w:tc>
      </w:tr>
      <w:tr w:rsidR="002B5B20" w:rsidRPr="00135760" w14:paraId="41072ECE" w14:textId="77777777" w:rsidTr="00497997">
        <w:trPr>
          <w:trHeight w:val="540"/>
        </w:trPr>
        <w:tc>
          <w:tcPr>
            <w:tcW w:w="1398" w:type="dxa"/>
            <w:tcBorders>
              <w:top w:val="nil"/>
              <w:left w:val="single" w:sz="4" w:space="0" w:color="auto"/>
              <w:bottom w:val="single" w:sz="4" w:space="0" w:color="auto"/>
              <w:right w:val="single" w:sz="4" w:space="0" w:color="auto"/>
            </w:tcBorders>
            <w:shd w:val="clear" w:color="auto" w:fill="auto"/>
            <w:vAlign w:val="center"/>
            <w:hideMark/>
          </w:tcPr>
          <w:p w14:paraId="4F21D605" w14:textId="77777777" w:rsidR="002B5B20" w:rsidRPr="00135760" w:rsidRDefault="002B5B20" w:rsidP="003D0A5F">
            <w:pPr>
              <w:spacing w:after="0" w:line="240" w:lineRule="auto"/>
              <w:jc w:val="left"/>
              <w:rPr>
                <w:rFonts w:eastAsia="Times New Roman" w:cs="Times New Roman"/>
                <w:sz w:val="20"/>
                <w:szCs w:val="20"/>
                <w:lang w:eastAsia="lv-LV"/>
              </w:rPr>
            </w:pPr>
            <w:r w:rsidRPr="00135760">
              <w:rPr>
                <w:rFonts w:eastAsia="Times New Roman" w:cs="Times New Roman"/>
                <w:sz w:val="20"/>
                <w:szCs w:val="20"/>
                <w:lang w:eastAsia="lv-LV"/>
              </w:rPr>
              <w:t>12211</w:t>
            </w:r>
          </w:p>
        </w:tc>
        <w:tc>
          <w:tcPr>
            <w:tcW w:w="2446" w:type="dxa"/>
            <w:tcBorders>
              <w:top w:val="nil"/>
              <w:left w:val="nil"/>
              <w:bottom w:val="single" w:sz="4" w:space="0" w:color="auto"/>
              <w:right w:val="single" w:sz="4" w:space="0" w:color="auto"/>
            </w:tcBorders>
            <w:shd w:val="clear" w:color="auto" w:fill="auto"/>
            <w:vAlign w:val="center"/>
            <w:hideMark/>
          </w:tcPr>
          <w:p w14:paraId="601C6C8F" w14:textId="77777777" w:rsidR="002B5B20" w:rsidRPr="00135760" w:rsidRDefault="002B5B20" w:rsidP="003D0A5F">
            <w:pPr>
              <w:spacing w:after="0" w:line="240" w:lineRule="auto"/>
              <w:jc w:val="left"/>
              <w:rPr>
                <w:rFonts w:eastAsia="Times New Roman" w:cs="Times New Roman"/>
                <w:sz w:val="20"/>
                <w:szCs w:val="20"/>
                <w:lang w:eastAsia="lv-LV"/>
              </w:rPr>
            </w:pPr>
            <w:r w:rsidRPr="00135760">
              <w:rPr>
                <w:rFonts w:eastAsia="Times New Roman" w:cs="Times New Roman"/>
                <w:sz w:val="20"/>
                <w:szCs w:val="20"/>
                <w:lang w:eastAsia="lv-LV"/>
              </w:rPr>
              <w:t>Pabalsts, aizejot ikgadējā apmaksātā atvaļinājumā (5% no mēnešalgas)</w:t>
            </w:r>
          </w:p>
        </w:tc>
        <w:tc>
          <w:tcPr>
            <w:tcW w:w="1614" w:type="dxa"/>
            <w:tcBorders>
              <w:top w:val="nil"/>
              <w:left w:val="nil"/>
              <w:bottom w:val="single" w:sz="4" w:space="0" w:color="auto"/>
              <w:right w:val="single" w:sz="4" w:space="0" w:color="auto"/>
            </w:tcBorders>
            <w:shd w:val="clear" w:color="auto" w:fill="auto"/>
            <w:vAlign w:val="center"/>
            <w:hideMark/>
          </w:tcPr>
          <w:p w14:paraId="3D7D959F" w14:textId="77777777" w:rsidR="002B5B20" w:rsidRPr="00135760" w:rsidRDefault="002B5B20" w:rsidP="003D0A5F">
            <w:pPr>
              <w:spacing w:after="0" w:line="240" w:lineRule="auto"/>
              <w:jc w:val="center"/>
              <w:rPr>
                <w:rFonts w:eastAsia="Times New Roman" w:cs="Times New Roman"/>
                <w:sz w:val="20"/>
                <w:szCs w:val="20"/>
                <w:lang w:eastAsia="lv-LV"/>
              </w:rPr>
            </w:pPr>
            <w:r w:rsidRPr="00135760">
              <w:rPr>
                <w:rFonts w:eastAsia="Times New Roman" w:cs="Times New Roman"/>
                <w:sz w:val="20"/>
                <w:szCs w:val="20"/>
                <w:lang w:eastAsia="lv-LV"/>
              </w:rPr>
              <w:t>110.00</w:t>
            </w:r>
          </w:p>
        </w:tc>
        <w:tc>
          <w:tcPr>
            <w:tcW w:w="1616" w:type="dxa"/>
            <w:tcBorders>
              <w:top w:val="nil"/>
              <w:left w:val="nil"/>
              <w:bottom w:val="single" w:sz="4" w:space="0" w:color="auto"/>
              <w:right w:val="single" w:sz="4" w:space="0" w:color="auto"/>
            </w:tcBorders>
            <w:shd w:val="clear" w:color="auto" w:fill="auto"/>
            <w:vAlign w:val="center"/>
            <w:hideMark/>
          </w:tcPr>
          <w:p w14:paraId="15E1CF47" w14:textId="77777777" w:rsidR="002B5B20" w:rsidRPr="00135760" w:rsidRDefault="002B5B20" w:rsidP="003D0A5F">
            <w:pPr>
              <w:spacing w:after="0" w:line="240" w:lineRule="auto"/>
              <w:jc w:val="center"/>
              <w:rPr>
                <w:rFonts w:eastAsia="Times New Roman" w:cs="Times New Roman"/>
                <w:sz w:val="20"/>
                <w:szCs w:val="20"/>
                <w:lang w:eastAsia="lv-LV"/>
              </w:rPr>
            </w:pPr>
            <w:r w:rsidRPr="00135760">
              <w:rPr>
                <w:rFonts w:eastAsia="Times New Roman" w:cs="Times New Roman"/>
                <w:sz w:val="20"/>
                <w:szCs w:val="20"/>
                <w:lang w:eastAsia="lv-LV"/>
              </w:rPr>
              <w:t>1 320.00</w:t>
            </w:r>
          </w:p>
        </w:tc>
        <w:tc>
          <w:tcPr>
            <w:tcW w:w="1614" w:type="dxa"/>
            <w:tcBorders>
              <w:top w:val="nil"/>
              <w:left w:val="nil"/>
              <w:bottom w:val="single" w:sz="4" w:space="0" w:color="auto"/>
              <w:right w:val="single" w:sz="4" w:space="0" w:color="auto"/>
            </w:tcBorders>
            <w:shd w:val="clear" w:color="auto" w:fill="F2F2F2" w:themeFill="background1" w:themeFillShade="F2"/>
            <w:vAlign w:val="center"/>
            <w:hideMark/>
          </w:tcPr>
          <w:p w14:paraId="12D99A75" w14:textId="77777777" w:rsidR="002B5B20" w:rsidRPr="00135760" w:rsidRDefault="002B5B20" w:rsidP="003D0A5F">
            <w:pPr>
              <w:spacing w:after="0" w:line="240" w:lineRule="auto"/>
              <w:jc w:val="center"/>
              <w:rPr>
                <w:rFonts w:eastAsia="Times New Roman" w:cs="Times New Roman"/>
                <w:sz w:val="20"/>
                <w:szCs w:val="20"/>
                <w:lang w:eastAsia="lv-LV"/>
              </w:rPr>
            </w:pPr>
            <w:r w:rsidRPr="00135760">
              <w:rPr>
                <w:rFonts w:eastAsia="Times New Roman" w:cs="Times New Roman"/>
                <w:sz w:val="20"/>
                <w:szCs w:val="20"/>
                <w:lang w:eastAsia="lv-LV"/>
              </w:rPr>
              <w:t>1 320</w:t>
            </w:r>
          </w:p>
        </w:tc>
      </w:tr>
    </w:tbl>
    <w:p w14:paraId="62B26B97" w14:textId="6C1464BF" w:rsidR="002B5B20" w:rsidRPr="00EB4061" w:rsidRDefault="002B5B20" w:rsidP="00F52892">
      <w:pPr>
        <w:spacing w:line="276" w:lineRule="auto"/>
      </w:pPr>
      <w:r>
        <w:t xml:space="preserve"> </w:t>
      </w:r>
    </w:p>
    <w:p w14:paraId="54CDA640" w14:textId="5DE08AA9" w:rsidR="00F52892" w:rsidRDefault="00F52892" w:rsidP="00F52892">
      <w:pPr>
        <w:pStyle w:val="NoSpacing"/>
      </w:pPr>
      <w:r w:rsidRPr="00F52892">
        <w:t>VRAA nepieciešamā finansējuma aprēķins</w:t>
      </w:r>
    </w:p>
    <w:p w14:paraId="34A57655" w14:textId="61F184F2" w:rsidR="0095087C" w:rsidRDefault="0095087C" w:rsidP="0095087C">
      <w:pPr>
        <w:pStyle w:val="NoSpacing"/>
        <w:spacing w:line="276" w:lineRule="auto"/>
      </w:pPr>
    </w:p>
    <w:tbl>
      <w:tblPr>
        <w:tblStyle w:val="TableGrid"/>
        <w:tblW w:w="8723" w:type="dxa"/>
        <w:tblLook w:val="04A0" w:firstRow="1" w:lastRow="0" w:firstColumn="1" w:lastColumn="0" w:noHBand="0" w:noVBand="1"/>
      </w:tblPr>
      <w:tblGrid>
        <w:gridCol w:w="3160"/>
        <w:gridCol w:w="1393"/>
        <w:gridCol w:w="1502"/>
        <w:gridCol w:w="1513"/>
        <w:gridCol w:w="1155"/>
      </w:tblGrid>
      <w:tr w:rsidR="00C60E70" w:rsidRPr="00105576" w14:paraId="012BDDDD" w14:textId="77777777" w:rsidTr="00C60E70">
        <w:trPr>
          <w:trHeight w:val="389"/>
        </w:trPr>
        <w:tc>
          <w:tcPr>
            <w:tcW w:w="3160" w:type="dxa"/>
            <w:vMerge w:val="restart"/>
            <w:noWrap/>
            <w:hideMark/>
          </w:tcPr>
          <w:p w14:paraId="4AB96415" w14:textId="77777777" w:rsidR="0095087C" w:rsidRPr="00D203EE" w:rsidRDefault="0095087C" w:rsidP="00DB3438">
            <w:pPr>
              <w:spacing w:after="0" w:line="276" w:lineRule="auto"/>
              <w:jc w:val="center"/>
              <w:rPr>
                <w:rFonts w:eastAsia="Times New Roman" w:cs="Times New Roman"/>
                <w:bCs/>
                <w:i/>
                <w:iCs/>
                <w:color w:val="000000"/>
                <w:szCs w:val="24"/>
                <w:lang w:eastAsia="lv-LV"/>
              </w:rPr>
            </w:pPr>
            <w:r w:rsidRPr="00D203EE">
              <w:rPr>
                <w:rFonts w:eastAsia="Times New Roman" w:cs="Times New Roman"/>
                <w:bCs/>
                <w:i/>
                <w:iCs/>
                <w:color w:val="000000"/>
                <w:szCs w:val="24"/>
                <w:lang w:eastAsia="lv-LV"/>
              </w:rPr>
              <w:t>Izdevumu pozīcija</w:t>
            </w:r>
          </w:p>
        </w:tc>
        <w:tc>
          <w:tcPr>
            <w:tcW w:w="1393" w:type="dxa"/>
            <w:noWrap/>
            <w:hideMark/>
          </w:tcPr>
          <w:p w14:paraId="4541653A" w14:textId="77777777" w:rsidR="0095087C" w:rsidRPr="00D203EE" w:rsidRDefault="0095087C" w:rsidP="00DB3438">
            <w:pPr>
              <w:spacing w:after="0" w:line="276" w:lineRule="auto"/>
              <w:jc w:val="center"/>
              <w:rPr>
                <w:rFonts w:eastAsia="Times New Roman" w:cs="Times New Roman"/>
                <w:bCs/>
                <w:i/>
                <w:iCs/>
                <w:color w:val="000000"/>
                <w:szCs w:val="24"/>
                <w:lang w:eastAsia="lv-LV"/>
              </w:rPr>
            </w:pPr>
            <w:r w:rsidRPr="00D203EE">
              <w:rPr>
                <w:rFonts w:eastAsia="Times New Roman" w:cs="Times New Roman"/>
                <w:bCs/>
                <w:i/>
                <w:iCs/>
                <w:color w:val="000000"/>
                <w:szCs w:val="24"/>
                <w:lang w:eastAsia="lv-LV"/>
              </w:rPr>
              <w:t>2022.gadā</w:t>
            </w:r>
          </w:p>
        </w:tc>
        <w:tc>
          <w:tcPr>
            <w:tcW w:w="1502" w:type="dxa"/>
            <w:noWrap/>
            <w:hideMark/>
          </w:tcPr>
          <w:p w14:paraId="78D5359D" w14:textId="77777777" w:rsidR="0095087C" w:rsidRPr="00D203EE" w:rsidRDefault="0095087C" w:rsidP="00DB3438">
            <w:pPr>
              <w:spacing w:after="0" w:line="276" w:lineRule="auto"/>
              <w:jc w:val="center"/>
              <w:rPr>
                <w:rFonts w:eastAsia="Times New Roman" w:cs="Times New Roman"/>
                <w:bCs/>
                <w:i/>
                <w:iCs/>
                <w:color w:val="000000"/>
                <w:szCs w:val="24"/>
                <w:lang w:eastAsia="lv-LV"/>
              </w:rPr>
            </w:pPr>
            <w:r w:rsidRPr="00D203EE">
              <w:rPr>
                <w:rFonts w:eastAsia="Times New Roman" w:cs="Times New Roman"/>
                <w:bCs/>
                <w:i/>
                <w:iCs/>
                <w:color w:val="000000"/>
                <w:szCs w:val="24"/>
                <w:lang w:eastAsia="lv-LV"/>
              </w:rPr>
              <w:t>2023.gadā</w:t>
            </w:r>
          </w:p>
        </w:tc>
        <w:tc>
          <w:tcPr>
            <w:tcW w:w="1513" w:type="dxa"/>
            <w:noWrap/>
            <w:hideMark/>
          </w:tcPr>
          <w:p w14:paraId="2676B62F" w14:textId="77777777" w:rsidR="0095087C" w:rsidRPr="00D203EE" w:rsidRDefault="0095087C" w:rsidP="00DB3438">
            <w:pPr>
              <w:spacing w:after="0" w:line="276" w:lineRule="auto"/>
              <w:jc w:val="center"/>
              <w:rPr>
                <w:rFonts w:eastAsia="Times New Roman" w:cs="Times New Roman"/>
                <w:bCs/>
                <w:i/>
                <w:iCs/>
                <w:color w:val="000000"/>
                <w:szCs w:val="24"/>
                <w:lang w:eastAsia="lv-LV"/>
              </w:rPr>
            </w:pPr>
            <w:r w:rsidRPr="00D203EE">
              <w:rPr>
                <w:rFonts w:eastAsia="Times New Roman" w:cs="Times New Roman"/>
                <w:bCs/>
                <w:i/>
                <w:iCs/>
                <w:color w:val="000000"/>
                <w:szCs w:val="24"/>
                <w:lang w:eastAsia="lv-LV"/>
              </w:rPr>
              <w:t>2024.gadā</w:t>
            </w:r>
          </w:p>
        </w:tc>
        <w:tc>
          <w:tcPr>
            <w:tcW w:w="1155" w:type="dxa"/>
            <w:vMerge w:val="restart"/>
            <w:hideMark/>
          </w:tcPr>
          <w:p w14:paraId="3337DD27" w14:textId="699272F8" w:rsidR="0095087C" w:rsidRPr="00D203EE" w:rsidRDefault="00153CFC" w:rsidP="00DB3438">
            <w:pPr>
              <w:spacing w:after="0" w:line="276" w:lineRule="auto"/>
              <w:jc w:val="center"/>
              <w:rPr>
                <w:rFonts w:eastAsia="Times New Roman" w:cs="Times New Roman"/>
                <w:bCs/>
                <w:color w:val="000000"/>
                <w:sz w:val="20"/>
                <w:szCs w:val="20"/>
                <w:lang w:eastAsia="lv-LV"/>
              </w:rPr>
            </w:pPr>
            <w:r w:rsidRPr="00D203EE">
              <w:rPr>
                <w:rFonts w:eastAsia="Times New Roman" w:cs="Times New Roman"/>
                <w:bCs/>
                <w:color w:val="000000"/>
                <w:sz w:val="20"/>
                <w:szCs w:val="20"/>
                <w:lang w:eastAsia="lv-LV"/>
              </w:rPr>
              <w:t>Turpmāk ik gadu (</w:t>
            </w:r>
            <w:proofErr w:type="spellStart"/>
            <w:r w:rsidRPr="00D203EE">
              <w:rPr>
                <w:rFonts w:eastAsia="Times New Roman" w:cs="Times New Roman"/>
                <w:bCs/>
                <w:i/>
                <w:color w:val="000000"/>
                <w:sz w:val="20"/>
                <w:szCs w:val="20"/>
                <w:lang w:eastAsia="lv-LV"/>
              </w:rPr>
              <w:t>euro</w:t>
            </w:r>
            <w:proofErr w:type="spellEnd"/>
            <w:r w:rsidR="0095087C" w:rsidRPr="00D203EE">
              <w:rPr>
                <w:rFonts w:eastAsia="Times New Roman" w:cs="Times New Roman"/>
                <w:bCs/>
                <w:color w:val="000000"/>
                <w:sz w:val="20"/>
                <w:szCs w:val="20"/>
                <w:lang w:eastAsia="lv-LV"/>
              </w:rPr>
              <w:t>)</w:t>
            </w:r>
          </w:p>
        </w:tc>
      </w:tr>
      <w:tr w:rsidR="00EB35F5" w:rsidRPr="00105576" w14:paraId="5E3DE551" w14:textId="77777777" w:rsidTr="00C60E70">
        <w:trPr>
          <w:trHeight w:val="212"/>
        </w:trPr>
        <w:tc>
          <w:tcPr>
            <w:tcW w:w="3160" w:type="dxa"/>
            <w:vMerge/>
            <w:hideMark/>
          </w:tcPr>
          <w:p w14:paraId="0AEB1FB6" w14:textId="77777777" w:rsidR="0095087C" w:rsidRPr="00105576" w:rsidRDefault="0095087C" w:rsidP="00DB3438">
            <w:pPr>
              <w:spacing w:after="0" w:line="276" w:lineRule="auto"/>
              <w:jc w:val="left"/>
              <w:rPr>
                <w:rFonts w:eastAsia="Times New Roman" w:cs="Times New Roman"/>
                <w:bCs/>
                <w:i/>
                <w:iCs/>
                <w:color w:val="000000"/>
                <w:szCs w:val="24"/>
                <w:lang w:eastAsia="lv-LV"/>
              </w:rPr>
            </w:pPr>
          </w:p>
        </w:tc>
        <w:tc>
          <w:tcPr>
            <w:tcW w:w="1393" w:type="dxa"/>
            <w:noWrap/>
            <w:hideMark/>
          </w:tcPr>
          <w:p w14:paraId="792C33F9" w14:textId="69BDA46B" w:rsidR="0095087C" w:rsidRPr="00105576" w:rsidRDefault="00153CFC" w:rsidP="00DB3438">
            <w:pPr>
              <w:spacing w:after="0" w:line="276" w:lineRule="auto"/>
              <w:jc w:val="center"/>
              <w:rPr>
                <w:rFonts w:eastAsia="Times New Roman" w:cs="Times New Roman"/>
                <w:bCs/>
                <w:color w:val="000000"/>
                <w:sz w:val="20"/>
                <w:szCs w:val="20"/>
                <w:lang w:eastAsia="lv-LV"/>
              </w:rPr>
            </w:pPr>
            <w:r>
              <w:rPr>
                <w:rFonts w:eastAsia="Times New Roman" w:cs="Times New Roman"/>
                <w:bCs/>
                <w:color w:val="000000"/>
                <w:sz w:val="20"/>
                <w:szCs w:val="20"/>
                <w:lang w:eastAsia="lv-LV"/>
              </w:rPr>
              <w:t>(</w:t>
            </w:r>
            <w:proofErr w:type="spellStart"/>
            <w:r w:rsidRPr="00153CFC">
              <w:rPr>
                <w:rFonts w:eastAsia="Times New Roman" w:cs="Times New Roman"/>
                <w:bCs/>
                <w:i/>
                <w:color w:val="000000"/>
                <w:sz w:val="20"/>
                <w:szCs w:val="20"/>
                <w:lang w:eastAsia="lv-LV"/>
              </w:rPr>
              <w:t>euro</w:t>
            </w:r>
            <w:proofErr w:type="spellEnd"/>
            <w:r w:rsidR="0095087C" w:rsidRPr="00105576">
              <w:rPr>
                <w:rFonts w:eastAsia="Times New Roman" w:cs="Times New Roman"/>
                <w:bCs/>
                <w:color w:val="000000"/>
                <w:sz w:val="20"/>
                <w:szCs w:val="20"/>
                <w:lang w:eastAsia="lv-LV"/>
              </w:rPr>
              <w:t>)</w:t>
            </w:r>
          </w:p>
        </w:tc>
        <w:tc>
          <w:tcPr>
            <w:tcW w:w="1502" w:type="dxa"/>
            <w:noWrap/>
            <w:hideMark/>
          </w:tcPr>
          <w:p w14:paraId="2FD2DF44" w14:textId="784A2DAF" w:rsidR="0095087C" w:rsidRPr="00105576" w:rsidRDefault="00153CFC" w:rsidP="00DB3438">
            <w:pPr>
              <w:spacing w:after="0" w:line="276" w:lineRule="auto"/>
              <w:jc w:val="center"/>
              <w:rPr>
                <w:rFonts w:eastAsia="Times New Roman" w:cs="Times New Roman"/>
                <w:bCs/>
                <w:color w:val="000000"/>
                <w:sz w:val="20"/>
                <w:szCs w:val="20"/>
                <w:lang w:eastAsia="lv-LV"/>
              </w:rPr>
            </w:pPr>
            <w:r>
              <w:rPr>
                <w:rFonts w:eastAsia="Times New Roman" w:cs="Times New Roman"/>
                <w:bCs/>
                <w:color w:val="000000"/>
                <w:sz w:val="20"/>
                <w:szCs w:val="20"/>
                <w:lang w:eastAsia="lv-LV"/>
              </w:rPr>
              <w:t>(</w:t>
            </w:r>
            <w:proofErr w:type="spellStart"/>
            <w:r w:rsidRPr="00153CFC">
              <w:rPr>
                <w:rFonts w:eastAsia="Times New Roman" w:cs="Times New Roman"/>
                <w:bCs/>
                <w:i/>
                <w:color w:val="000000"/>
                <w:sz w:val="20"/>
                <w:szCs w:val="20"/>
                <w:lang w:eastAsia="lv-LV"/>
              </w:rPr>
              <w:t>euro</w:t>
            </w:r>
            <w:proofErr w:type="spellEnd"/>
            <w:r w:rsidR="0095087C" w:rsidRPr="00105576">
              <w:rPr>
                <w:rFonts w:eastAsia="Times New Roman" w:cs="Times New Roman"/>
                <w:bCs/>
                <w:color w:val="000000"/>
                <w:sz w:val="20"/>
                <w:szCs w:val="20"/>
                <w:lang w:eastAsia="lv-LV"/>
              </w:rPr>
              <w:t>)</w:t>
            </w:r>
          </w:p>
        </w:tc>
        <w:tc>
          <w:tcPr>
            <w:tcW w:w="1513" w:type="dxa"/>
            <w:noWrap/>
            <w:hideMark/>
          </w:tcPr>
          <w:p w14:paraId="47CC030D" w14:textId="27F44BD2" w:rsidR="0095087C" w:rsidRPr="00105576" w:rsidRDefault="00153CFC" w:rsidP="00DB3438">
            <w:pPr>
              <w:spacing w:after="0" w:line="276" w:lineRule="auto"/>
              <w:jc w:val="center"/>
              <w:rPr>
                <w:rFonts w:eastAsia="Times New Roman" w:cs="Times New Roman"/>
                <w:bCs/>
                <w:color w:val="000000"/>
                <w:sz w:val="20"/>
                <w:szCs w:val="20"/>
                <w:lang w:eastAsia="lv-LV"/>
              </w:rPr>
            </w:pPr>
            <w:r>
              <w:rPr>
                <w:rFonts w:eastAsia="Times New Roman" w:cs="Times New Roman"/>
                <w:bCs/>
                <w:color w:val="000000"/>
                <w:sz w:val="20"/>
                <w:szCs w:val="20"/>
                <w:lang w:eastAsia="lv-LV"/>
              </w:rPr>
              <w:t>(</w:t>
            </w:r>
            <w:proofErr w:type="spellStart"/>
            <w:r w:rsidRPr="00153CFC">
              <w:rPr>
                <w:rFonts w:eastAsia="Times New Roman" w:cs="Times New Roman"/>
                <w:bCs/>
                <w:i/>
                <w:color w:val="000000"/>
                <w:sz w:val="20"/>
                <w:szCs w:val="20"/>
                <w:lang w:eastAsia="lv-LV"/>
              </w:rPr>
              <w:t>euro</w:t>
            </w:r>
            <w:proofErr w:type="spellEnd"/>
            <w:r w:rsidR="0095087C" w:rsidRPr="00105576">
              <w:rPr>
                <w:rFonts w:eastAsia="Times New Roman" w:cs="Times New Roman"/>
                <w:bCs/>
                <w:color w:val="000000"/>
                <w:sz w:val="20"/>
                <w:szCs w:val="20"/>
                <w:lang w:eastAsia="lv-LV"/>
              </w:rPr>
              <w:t>)</w:t>
            </w:r>
          </w:p>
        </w:tc>
        <w:tc>
          <w:tcPr>
            <w:tcW w:w="1155" w:type="dxa"/>
            <w:vMerge/>
            <w:hideMark/>
          </w:tcPr>
          <w:p w14:paraId="789DF145" w14:textId="77777777" w:rsidR="0095087C" w:rsidRPr="00105576" w:rsidRDefault="0095087C" w:rsidP="00DB3438">
            <w:pPr>
              <w:spacing w:after="0" w:line="276" w:lineRule="auto"/>
              <w:jc w:val="left"/>
              <w:rPr>
                <w:rFonts w:eastAsia="Times New Roman" w:cs="Times New Roman"/>
                <w:bCs/>
                <w:color w:val="000000"/>
                <w:sz w:val="20"/>
                <w:szCs w:val="20"/>
                <w:lang w:eastAsia="lv-LV"/>
              </w:rPr>
            </w:pPr>
          </w:p>
        </w:tc>
      </w:tr>
      <w:tr w:rsidR="00C60E70" w:rsidRPr="00105576" w14:paraId="40B82821" w14:textId="77777777" w:rsidTr="00C60E70">
        <w:trPr>
          <w:trHeight w:val="243"/>
        </w:trPr>
        <w:tc>
          <w:tcPr>
            <w:tcW w:w="3160" w:type="dxa"/>
            <w:noWrap/>
            <w:hideMark/>
          </w:tcPr>
          <w:p w14:paraId="07933B02" w14:textId="77777777" w:rsidR="0095087C" w:rsidRPr="00663817" w:rsidRDefault="0095087C" w:rsidP="00DB3438">
            <w:pPr>
              <w:spacing w:after="0" w:line="276" w:lineRule="auto"/>
              <w:rPr>
                <w:rFonts w:eastAsia="Times New Roman" w:cs="Times New Roman"/>
                <w:color w:val="000000"/>
                <w:szCs w:val="24"/>
                <w:lang w:eastAsia="lv-LV"/>
              </w:rPr>
            </w:pPr>
            <w:r w:rsidRPr="00663817">
              <w:rPr>
                <w:rFonts w:eastAsia="Times New Roman" w:cs="Times New Roman"/>
                <w:color w:val="000000"/>
                <w:szCs w:val="24"/>
                <w:lang w:eastAsia="lv-LV"/>
              </w:rPr>
              <w:t>VRAA informācijas sistēmas</w:t>
            </w:r>
            <w:r>
              <w:rPr>
                <w:rFonts w:eastAsia="Times New Roman" w:cs="Times New Roman"/>
                <w:color w:val="000000"/>
                <w:szCs w:val="24"/>
                <w:lang w:eastAsia="lv-LV"/>
              </w:rPr>
              <w:t xml:space="preserve"> programmatūras</w:t>
            </w:r>
            <w:r w:rsidRPr="00663817">
              <w:rPr>
                <w:rFonts w:eastAsia="Times New Roman" w:cs="Times New Roman"/>
                <w:color w:val="000000"/>
                <w:szCs w:val="24"/>
                <w:lang w:eastAsia="lv-LV"/>
              </w:rPr>
              <w:t xml:space="preserve"> izmaiņas</w:t>
            </w:r>
          </w:p>
        </w:tc>
        <w:tc>
          <w:tcPr>
            <w:tcW w:w="1393" w:type="dxa"/>
            <w:noWrap/>
          </w:tcPr>
          <w:p w14:paraId="364B6264" w14:textId="227C1E16" w:rsidR="0095087C" w:rsidRPr="00105576" w:rsidRDefault="0095087C" w:rsidP="00DB3438">
            <w:pPr>
              <w:spacing w:after="0" w:line="276" w:lineRule="auto"/>
              <w:jc w:val="center"/>
              <w:rPr>
                <w:rFonts w:eastAsia="Times New Roman" w:cs="Times New Roman"/>
                <w:i/>
                <w:iCs/>
                <w:color w:val="000000"/>
                <w:szCs w:val="24"/>
                <w:lang w:eastAsia="lv-LV"/>
              </w:rPr>
            </w:pPr>
            <w:r>
              <w:rPr>
                <w:rFonts w:eastAsia="Times New Roman" w:cs="Times New Roman"/>
                <w:i/>
                <w:iCs/>
                <w:color w:val="000000"/>
                <w:szCs w:val="24"/>
                <w:lang w:eastAsia="lv-LV"/>
              </w:rPr>
              <w:t>35</w:t>
            </w:r>
            <w:r w:rsidR="00536F65">
              <w:rPr>
                <w:rFonts w:eastAsia="Times New Roman" w:cs="Times New Roman"/>
                <w:i/>
                <w:iCs/>
                <w:color w:val="000000"/>
                <w:szCs w:val="24"/>
                <w:lang w:eastAsia="lv-LV"/>
              </w:rPr>
              <w:t> </w:t>
            </w:r>
            <w:r>
              <w:rPr>
                <w:rFonts w:eastAsia="Times New Roman" w:cs="Times New Roman"/>
                <w:i/>
                <w:iCs/>
                <w:color w:val="000000"/>
                <w:szCs w:val="24"/>
                <w:lang w:eastAsia="lv-LV"/>
              </w:rPr>
              <w:t>000*</w:t>
            </w:r>
          </w:p>
        </w:tc>
        <w:tc>
          <w:tcPr>
            <w:tcW w:w="1502" w:type="dxa"/>
            <w:noWrap/>
          </w:tcPr>
          <w:p w14:paraId="050A65AE" w14:textId="77777777" w:rsidR="0095087C" w:rsidRPr="00105576" w:rsidRDefault="0095087C" w:rsidP="00DB3438">
            <w:pPr>
              <w:spacing w:after="0" w:line="276" w:lineRule="auto"/>
              <w:jc w:val="center"/>
              <w:rPr>
                <w:rFonts w:eastAsia="Times New Roman" w:cs="Times New Roman"/>
                <w:i/>
                <w:iCs/>
                <w:color w:val="000000"/>
                <w:szCs w:val="24"/>
                <w:lang w:eastAsia="lv-LV"/>
              </w:rPr>
            </w:pPr>
          </w:p>
        </w:tc>
        <w:tc>
          <w:tcPr>
            <w:tcW w:w="1513" w:type="dxa"/>
            <w:noWrap/>
          </w:tcPr>
          <w:p w14:paraId="7AEB8565" w14:textId="77777777" w:rsidR="0095087C" w:rsidRPr="00105576" w:rsidRDefault="0095087C" w:rsidP="00DB3438">
            <w:pPr>
              <w:spacing w:after="0" w:line="276" w:lineRule="auto"/>
              <w:jc w:val="center"/>
              <w:rPr>
                <w:rFonts w:eastAsia="Times New Roman" w:cs="Times New Roman"/>
                <w:i/>
                <w:iCs/>
                <w:color w:val="000000"/>
                <w:szCs w:val="24"/>
                <w:lang w:eastAsia="lv-LV"/>
              </w:rPr>
            </w:pPr>
          </w:p>
        </w:tc>
        <w:tc>
          <w:tcPr>
            <w:tcW w:w="1155" w:type="dxa"/>
            <w:noWrap/>
          </w:tcPr>
          <w:p w14:paraId="386974F2" w14:textId="77777777" w:rsidR="0095087C" w:rsidRPr="00105576" w:rsidRDefault="0095087C" w:rsidP="00DB3438">
            <w:pPr>
              <w:spacing w:after="0" w:line="276" w:lineRule="auto"/>
              <w:jc w:val="center"/>
              <w:rPr>
                <w:rFonts w:eastAsia="Times New Roman" w:cs="Times New Roman"/>
                <w:i/>
                <w:iCs/>
                <w:color w:val="000000"/>
                <w:szCs w:val="24"/>
                <w:lang w:eastAsia="lv-LV"/>
              </w:rPr>
            </w:pPr>
          </w:p>
        </w:tc>
      </w:tr>
      <w:tr w:rsidR="00DB3438" w:rsidRPr="00105576" w14:paraId="3E16DF8C" w14:textId="77777777" w:rsidTr="00C60E70">
        <w:trPr>
          <w:trHeight w:val="243"/>
        </w:trPr>
        <w:tc>
          <w:tcPr>
            <w:tcW w:w="3160" w:type="dxa"/>
            <w:noWrap/>
            <w:hideMark/>
          </w:tcPr>
          <w:p w14:paraId="73E84703" w14:textId="77777777" w:rsidR="0095087C" w:rsidRPr="00105576" w:rsidRDefault="0095087C" w:rsidP="00DB3438">
            <w:pPr>
              <w:spacing w:after="0" w:line="276" w:lineRule="auto"/>
              <w:jc w:val="left"/>
              <w:rPr>
                <w:rFonts w:eastAsia="Times New Roman" w:cs="Times New Roman"/>
                <w:bCs/>
                <w:color w:val="000000"/>
                <w:szCs w:val="24"/>
                <w:lang w:eastAsia="lv-LV"/>
              </w:rPr>
            </w:pPr>
            <w:r>
              <w:rPr>
                <w:rFonts w:eastAsia="Times New Roman" w:cs="Times New Roman"/>
                <w:bCs/>
                <w:color w:val="000000"/>
                <w:szCs w:val="24"/>
                <w:lang w:eastAsia="lv-LV"/>
              </w:rPr>
              <w:t>Kopā</w:t>
            </w:r>
          </w:p>
        </w:tc>
        <w:tc>
          <w:tcPr>
            <w:tcW w:w="1393" w:type="dxa"/>
            <w:noWrap/>
          </w:tcPr>
          <w:p w14:paraId="30F933CE" w14:textId="4D4859BF" w:rsidR="0095087C" w:rsidRPr="00105576" w:rsidRDefault="0095087C" w:rsidP="00DB3438">
            <w:pPr>
              <w:spacing w:after="0" w:line="276" w:lineRule="auto"/>
              <w:jc w:val="center"/>
              <w:rPr>
                <w:rFonts w:eastAsia="Times New Roman" w:cs="Times New Roman"/>
                <w:bCs/>
                <w:color w:val="000000"/>
                <w:szCs w:val="24"/>
                <w:lang w:eastAsia="lv-LV"/>
              </w:rPr>
            </w:pPr>
            <w:r>
              <w:rPr>
                <w:rFonts w:eastAsia="Times New Roman" w:cs="Times New Roman"/>
                <w:bCs/>
                <w:color w:val="000000"/>
                <w:szCs w:val="24"/>
                <w:lang w:eastAsia="lv-LV"/>
              </w:rPr>
              <w:t>35</w:t>
            </w:r>
            <w:r w:rsidR="00536F65">
              <w:rPr>
                <w:rFonts w:eastAsia="Times New Roman" w:cs="Times New Roman"/>
                <w:bCs/>
                <w:color w:val="000000"/>
                <w:szCs w:val="24"/>
                <w:lang w:eastAsia="lv-LV"/>
              </w:rPr>
              <w:t> </w:t>
            </w:r>
            <w:r>
              <w:rPr>
                <w:rFonts w:eastAsia="Times New Roman" w:cs="Times New Roman"/>
                <w:bCs/>
                <w:color w:val="000000"/>
                <w:szCs w:val="24"/>
                <w:lang w:eastAsia="lv-LV"/>
              </w:rPr>
              <w:t>000</w:t>
            </w:r>
          </w:p>
        </w:tc>
        <w:tc>
          <w:tcPr>
            <w:tcW w:w="1502" w:type="dxa"/>
            <w:noWrap/>
          </w:tcPr>
          <w:p w14:paraId="63452719" w14:textId="77777777" w:rsidR="0095087C" w:rsidRPr="00105576" w:rsidRDefault="0095087C" w:rsidP="00DB3438">
            <w:pPr>
              <w:spacing w:after="0" w:line="276" w:lineRule="auto"/>
              <w:jc w:val="center"/>
              <w:rPr>
                <w:rFonts w:eastAsia="Times New Roman" w:cs="Times New Roman"/>
                <w:bCs/>
                <w:color w:val="000000"/>
                <w:szCs w:val="24"/>
                <w:lang w:eastAsia="lv-LV"/>
              </w:rPr>
            </w:pPr>
          </w:p>
        </w:tc>
        <w:tc>
          <w:tcPr>
            <w:tcW w:w="1513" w:type="dxa"/>
            <w:noWrap/>
          </w:tcPr>
          <w:p w14:paraId="6EF9CBF0" w14:textId="77777777" w:rsidR="0095087C" w:rsidRPr="00105576" w:rsidRDefault="0095087C" w:rsidP="00DB3438">
            <w:pPr>
              <w:spacing w:after="0" w:line="276" w:lineRule="auto"/>
              <w:jc w:val="center"/>
              <w:rPr>
                <w:rFonts w:eastAsia="Times New Roman" w:cs="Times New Roman"/>
                <w:bCs/>
                <w:color w:val="000000"/>
                <w:szCs w:val="24"/>
                <w:lang w:eastAsia="lv-LV"/>
              </w:rPr>
            </w:pPr>
          </w:p>
        </w:tc>
        <w:tc>
          <w:tcPr>
            <w:tcW w:w="1155" w:type="dxa"/>
            <w:noWrap/>
          </w:tcPr>
          <w:p w14:paraId="00119893" w14:textId="77777777" w:rsidR="0095087C" w:rsidRPr="00105576" w:rsidRDefault="0095087C" w:rsidP="00DB3438">
            <w:pPr>
              <w:spacing w:after="0" w:line="276" w:lineRule="auto"/>
              <w:jc w:val="center"/>
              <w:rPr>
                <w:rFonts w:eastAsia="Times New Roman" w:cs="Times New Roman"/>
                <w:bCs/>
                <w:color w:val="000000"/>
                <w:szCs w:val="24"/>
                <w:lang w:eastAsia="lv-LV"/>
              </w:rPr>
            </w:pPr>
          </w:p>
        </w:tc>
      </w:tr>
    </w:tbl>
    <w:p w14:paraId="7F11B260" w14:textId="77777777" w:rsidR="0095087C" w:rsidRDefault="0095087C" w:rsidP="00DB3438">
      <w:pPr>
        <w:pStyle w:val="NoSpacing"/>
        <w:spacing w:line="276" w:lineRule="auto"/>
      </w:pPr>
      <w:r w:rsidRPr="0074645A">
        <w:rPr>
          <w:sz w:val="20"/>
          <w:szCs w:val="20"/>
        </w:rPr>
        <w:t>*</w:t>
      </w:r>
      <w:r w:rsidRPr="00A17E17">
        <w:rPr>
          <w:sz w:val="20"/>
          <w:szCs w:val="20"/>
        </w:rPr>
        <w:t xml:space="preserve">izmaksas ir attiecināmas uz gadu, kurā tiks izstrādātas izmaiņas e-adrešu IS, atkarībā no izmaiņām likumdošanā, uz kuru pamata varēs veikt šādus pielāgojumus. Izmaiņu apjomā ietilpst tikai scenārijs, kad VID vienmēr tiek iekļauts kā e-adreses ziņojumu saņēmējs, kur ziņojuma tips ir “e-rēķins”. Izmaksās ir iekļauta un izvērtēta tikai </w:t>
      </w:r>
      <w:proofErr w:type="spellStart"/>
      <w:r w:rsidRPr="00A17E17">
        <w:rPr>
          <w:sz w:val="20"/>
          <w:szCs w:val="20"/>
        </w:rPr>
        <w:t>programamtūras</w:t>
      </w:r>
      <w:proofErr w:type="spellEnd"/>
      <w:r w:rsidRPr="00A17E17">
        <w:rPr>
          <w:sz w:val="20"/>
          <w:szCs w:val="20"/>
        </w:rPr>
        <w:t xml:space="preserve"> izmaiņu ietekme. Papildus personāla un uzturēšanas izmaksas nav vērtētas.</w:t>
      </w:r>
    </w:p>
    <w:p w14:paraId="2485A44B" w14:textId="25182E17" w:rsidR="00EB4061" w:rsidRDefault="00EB4061" w:rsidP="00F85D98">
      <w:pPr>
        <w:pStyle w:val="NoSpacing"/>
        <w:spacing w:line="276" w:lineRule="auto"/>
      </w:pPr>
    </w:p>
    <w:p w14:paraId="2BACE07A" w14:textId="54B61DCE" w:rsidR="00DB5226" w:rsidRDefault="004E57F2" w:rsidP="009E02A4">
      <w:pPr>
        <w:pStyle w:val="NoSpacing"/>
        <w:spacing w:line="276" w:lineRule="auto"/>
        <w:ind w:firstLine="720"/>
      </w:pPr>
      <w:r>
        <w:t>ZM nepieciešamā finansējuma summa 21 780</w:t>
      </w:r>
      <w:r w:rsidRPr="004E57F2">
        <w:t xml:space="preserve"> </w:t>
      </w:r>
      <w:proofErr w:type="spellStart"/>
      <w:r w:rsidRPr="004E57F2">
        <w:rPr>
          <w:i/>
        </w:rPr>
        <w:t>euro</w:t>
      </w:r>
      <w:proofErr w:type="spellEnd"/>
      <w:r w:rsidRPr="004E57F2">
        <w:t xml:space="preserve"> domāta programmēšanas darbiem: sistēmas analīzei, izstrādei, testēšanai un </w:t>
      </w:r>
      <w:r>
        <w:t>ieviešanai sākuma posmā.</w:t>
      </w:r>
      <w:r w:rsidRPr="004E57F2">
        <w:t xml:space="preserve"> </w:t>
      </w:r>
      <w:r w:rsidR="00395AD5">
        <w:t xml:space="preserve">Finansējums nepieciešams Lauksaimniecības datu centra </w:t>
      </w:r>
      <w:r w:rsidR="00E40BE5">
        <w:t xml:space="preserve">informācijas sistēmu pielāgošanai e-rēķinu aprites sistēmas lietošanai. </w:t>
      </w:r>
      <w:r w:rsidRPr="004E57F2">
        <w:t xml:space="preserve">Aprēķins: 360 cilvēkstundas x 50 </w:t>
      </w:r>
      <w:proofErr w:type="spellStart"/>
      <w:r w:rsidRPr="004E57F2">
        <w:rPr>
          <w:i/>
        </w:rPr>
        <w:t>euro</w:t>
      </w:r>
      <w:proofErr w:type="spellEnd"/>
      <w:r w:rsidRPr="004E57F2">
        <w:t xml:space="preserve"> x 1,</w:t>
      </w:r>
      <w:r>
        <w:t xml:space="preserve">21 (PVN) = 21780 </w:t>
      </w:r>
      <w:proofErr w:type="spellStart"/>
      <w:r w:rsidRPr="004E57F2">
        <w:rPr>
          <w:i/>
        </w:rPr>
        <w:t>euro</w:t>
      </w:r>
      <w:proofErr w:type="spellEnd"/>
      <w:r>
        <w:t xml:space="preserve"> </w:t>
      </w:r>
      <w:r w:rsidR="006F50C3">
        <w:t xml:space="preserve">ieviešanas gadā. </w:t>
      </w:r>
      <w:r w:rsidR="006F50C3" w:rsidRPr="006F50C3">
        <w:t>Uzturēšana turpmākajos gados nav iekļauta aprēķinā.</w:t>
      </w:r>
    </w:p>
    <w:p w14:paraId="324B8522" w14:textId="77777777" w:rsidR="00365BD4" w:rsidRDefault="00365BD4" w:rsidP="00F85D98">
      <w:pPr>
        <w:pStyle w:val="NoSpacing"/>
        <w:spacing w:line="276" w:lineRule="auto"/>
      </w:pPr>
    </w:p>
    <w:p w14:paraId="3F06D266" w14:textId="77777777" w:rsidR="00F85D98" w:rsidRDefault="00F85D98" w:rsidP="00F85D98">
      <w:pPr>
        <w:pStyle w:val="NoSpacing"/>
        <w:spacing w:line="276" w:lineRule="auto"/>
      </w:pPr>
    </w:p>
    <w:p w14:paraId="43C3D70B" w14:textId="07EE558D" w:rsidR="001671F1" w:rsidRDefault="3B380FC9" w:rsidP="00F85D98">
      <w:pPr>
        <w:pStyle w:val="NoSpacing"/>
        <w:spacing w:line="276" w:lineRule="auto"/>
        <w:rPr>
          <w:b/>
          <w:bCs/>
        </w:rPr>
      </w:pPr>
      <w:r w:rsidRPr="00D34AA0">
        <w:rPr>
          <w:b/>
          <w:bCs/>
        </w:rPr>
        <w:t>Secinājumi:</w:t>
      </w:r>
    </w:p>
    <w:p w14:paraId="4BDE5CA2" w14:textId="77777777" w:rsidR="00627D9C" w:rsidRPr="00D34AA0" w:rsidRDefault="00627D9C" w:rsidP="00627D9C">
      <w:pPr>
        <w:rPr>
          <w:rFonts w:asciiTheme="minorHAnsi" w:eastAsiaTheme="minorEastAsia" w:hAnsiTheme="minorHAnsi"/>
          <w:color w:val="000000" w:themeColor="text1"/>
          <w:szCs w:val="24"/>
        </w:rPr>
      </w:pPr>
    </w:p>
    <w:p w14:paraId="6985FFE9" w14:textId="372A1475" w:rsidR="001671F1" w:rsidRPr="00B131FA" w:rsidRDefault="78C41E48" w:rsidP="00F85D98">
      <w:pPr>
        <w:spacing w:line="276" w:lineRule="auto"/>
        <w:rPr>
          <w:rFonts w:eastAsia="Times New Roman" w:cs="Times New Roman"/>
          <w:color w:val="000000" w:themeColor="text1"/>
          <w:szCs w:val="24"/>
        </w:rPr>
      </w:pPr>
      <w:r w:rsidRPr="00422635">
        <w:rPr>
          <w:rFonts w:eastAsia="Times New Roman" w:cs="Times New Roman"/>
          <w:color w:val="000000" w:themeColor="text1"/>
          <w:szCs w:val="24"/>
        </w:rPr>
        <w:t>1)</w:t>
      </w:r>
      <w:r w:rsidR="29AB6223" w:rsidRPr="00422635">
        <w:rPr>
          <w:rFonts w:eastAsia="Times New Roman" w:cs="Times New Roman"/>
          <w:color w:val="000000" w:themeColor="text1"/>
          <w:szCs w:val="24"/>
        </w:rPr>
        <w:t xml:space="preserve"> </w:t>
      </w:r>
      <w:r w:rsidR="3B380FC9" w:rsidRPr="7842FC33">
        <w:rPr>
          <w:rFonts w:eastAsia="Times New Roman" w:cs="Times New Roman"/>
          <w:color w:val="000000" w:themeColor="text1"/>
          <w:szCs w:val="24"/>
        </w:rPr>
        <w:t xml:space="preserve">Latvijā jau šobrīd </w:t>
      </w:r>
      <w:r w:rsidR="00B7545F">
        <w:rPr>
          <w:rFonts w:eastAsia="Times New Roman" w:cs="Times New Roman"/>
          <w:color w:val="000000" w:themeColor="text1"/>
          <w:szCs w:val="24"/>
        </w:rPr>
        <w:t>e-</w:t>
      </w:r>
      <w:r w:rsidR="3B380FC9" w:rsidRPr="7842FC33">
        <w:rPr>
          <w:rFonts w:eastAsia="Times New Roman" w:cs="Times New Roman"/>
          <w:color w:val="000000" w:themeColor="text1"/>
          <w:szCs w:val="24"/>
        </w:rPr>
        <w:t xml:space="preserve">rēķinu sagatavošanu veic vairāki lieli pakalpojumu sniedzēji, galvenokārt telekomunikāciju, vairumtirdzniecības klientiem; </w:t>
      </w:r>
    </w:p>
    <w:p w14:paraId="7B503CCD" w14:textId="44F7EF7B" w:rsidR="001671F1" w:rsidRPr="00B131FA" w:rsidRDefault="51C96B9B" w:rsidP="00F85D98">
      <w:pPr>
        <w:spacing w:line="276" w:lineRule="auto"/>
        <w:rPr>
          <w:rFonts w:eastAsia="Times New Roman" w:cs="Times New Roman"/>
          <w:color w:val="000000" w:themeColor="text1"/>
          <w:szCs w:val="24"/>
        </w:rPr>
      </w:pPr>
      <w:r w:rsidRPr="7842FC33">
        <w:rPr>
          <w:rFonts w:eastAsia="Times New Roman" w:cs="Times New Roman"/>
          <w:color w:val="000000" w:themeColor="text1"/>
          <w:szCs w:val="24"/>
        </w:rPr>
        <w:t xml:space="preserve">2) </w:t>
      </w:r>
      <w:r w:rsidR="3B380FC9" w:rsidRPr="7842FC33">
        <w:rPr>
          <w:rFonts w:eastAsia="Times New Roman" w:cs="Times New Roman"/>
          <w:color w:val="000000" w:themeColor="text1"/>
          <w:szCs w:val="24"/>
        </w:rPr>
        <w:t xml:space="preserve">Eiropā jau pašlaik darbojas simtiem elektronisko dokumentu aprites pakalpojumu sniedzēji, kuri turklāt apmainās ar elektroniskiem dokumentiem savā starpā. Vairumā valstu </w:t>
      </w:r>
      <w:r w:rsidR="00B7545F">
        <w:rPr>
          <w:rFonts w:eastAsia="Times New Roman" w:cs="Times New Roman"/>
          <w:color w:val="000000" w:themeColor="text1"/>
          <w:szCs w:val="24"/>
        </w:rPr>
        <w:t>e-</w:t>
      </w:r>
      <w:r w:rsidR="3B380FC9" w:rsidRPr="7842FC33">
        <w:rPr>
          <w:rFonts w:eastAsia="Times New Roman" w:cs="Times New Roman"/>
          <w:color w:val="000000" w:themeColor="text1"/>
          <w:szCs w:val="24"/>
        </w:rPr>
        <w:t xml:space="preserve">rēķinu aprite notiek, respektējot brīvprātības principu t.i. </w:t>
      </w:r>
      <w:r w:rsidR="00B7545F">
        <w:rPr>
          <w:rFonts w:eastAsia="Times New Roman" w:cs="Times New Roman"/>
          <w:color w:val="000000" w:themeColor="text1"/>
          <w:szCs w:val="24"/>
        </w:rPr>
        <w:t>e-</w:t>
      </w:r>
      <w:r w:rsidR="3B380FC9" w:rsidRPr="7842FC33">
        <w:rPr>
          <w:rFonts w:eastAsia="Times New Roman" w:cs="Times New Roman"/>
          <w:color w:val="000000" w:themeColor="text1"/>
          <w:szCs w:val="24"/>
        </w:rPr>
        <w:t xml:space="preserve">rēķina ieviešana netiek </w:t>
      </w:r>
      <w:r w:rsidR="00FF19F4">
        <w:rPr>
          <w:rFonts w:eastAsia="Times New Roman" w:cs="Times New Roman"/>
          <w:color w:val="000000" w:themeColor="text1"/>
          <w:szCs w:val="24"/>
        </w:rPr>
        <w:t>noteikta kā</w:t>
      </w:r>
      <w:r w:rsidR="3B380FC9" w:rsidRPr="7842FC33">
        <w:rPr>
          <w:rFonts w:eastAsia="Times New Roman" w:cs="Times New Roman"/>
          <w:color w:val="000000" w:themeColor="text1"/>
          <w:szCs w:val="24"/>
        </w:rPr>
        <w:t xml:space="preserve"> </w:t>
      </w:r>
      <w:r w:rsidR="00FF19F4" w:rsidRPr="7842FC33">
        <w:rPr>
          <w:rFonts w:eastAsia="Times New Roman" w:cs="Times New Roman"/>
          <w:color w:val="000000" w:themeColor="text1"/>
          <w:szCs w:val="24"/>
        </w:rPr>
        <w:t>pienākum</w:t>
      </w:r>
      <w:r w:rsidR="00FF19F4">
        <w:rPr>
          <w:rFonts w:eastAsia="Times New Roman" w:cs="Times New Roman"/>
          <w:color w:val="000000" w:themeColor="text1"/>
          <w:szCs w:val="24"/>
        </w:rPr>
        <w:t>s</w:t>
      </w:r>
      <w:r w:rsidR="3B380FC9" w:rsidRPr="7842FC33">
        <w:rPr>
          <w:rFonts w:eastAsia="Times New Roman" w:cs="Times New Roman"/>
          <w:color w:val="000000" w:themeColor="text1"/>
          <w:szCs w:val="24"/>
        </w:rPr>
        <w:t>;</w:t>
      </w:r>
    </w:p>
    <w:p w14:paraId="1E40BA2A" w14:textId="17DEBB47" w:rsidR="001671F1" w:rsidRPr="00B131FA" w:rsidRDefault="121F4ADE" w:rsidP="00F85D98">
      <w:pPr>
        <w:spacing w:line="276" w:lineRule="auto"/>
        <w:rPr>
          <w:rFonts w:eastAsia="Times New Roman" w:cs="Times New Roman"/>
          <w:color w:val="000000" w:themeColor="text1"/>
          <w:szCs w:val="24"/>
        </w:rPr>
      </w:pPr>
      <w:r w:rsidRPr="7842FC33">
        <w:rPr>
          <w:rFonts w:eastAsia="Times New Roman" w:cs="Times New Roman"/>
          <w:color w:val="000000" w:themeColor="text1"/>
          <w:szCs w:val="24"/>
        </w:rPr>
        <w:t xml:space="preserve">3) </w:t>
      </w:r>
      <w:r w:rsidR="00790615">
        <w:rPr>
          <w:rFonts w:eastAsia="Times New Roman" w:cs="Times New Roman"/>
          <w:color w:val="000000" w:themeColor="text1"/>
          <w:szCs w:val="24"/>
        </w:rPr>
        <w:t>Pašlaik darījumu attaisnojuma</w:t>
      </w:r>
      <w:r w:rsidR="3B380FC9" w:rsidRPr="7842FC33">
        <w:rPr>
          <w:rFonts w:eastAsia="Times New Roman" w:cs="Times New Roman"/>
          <w:color w:val="000000" w:themeColor="text1"/>
          <w:szCs w:val="24"/>
        </w:rPr>
        <w:t xml:space="preserve"> dokumentu elektroniska lietošana arī Latvijā ir personu tiesības (iespējas) izvēlēties un lietot šādu pakalpojumu;</w:t>
      </w:r>
    </w:p>
    <w:p w14:paraId="647F7D5A" w14:textId="000FA6CD" w:rsidR="00A15536" w:rsidRDefault="61657578" w:rsidP="00F85D98">
      <w:pPr>
        <w:spacing w:line="276" w:lineRule="auto"/>
        <w:rPr>
          <w:rFonts w:eastAsia="Times New Roman" w:cs="Times New Roman"/>
          <w:color w:val="000000" w:themeColor="text1"/>
          <w:szCs w:val="24"/>
        </w:rPr>
      </w:pPr>
      <w:r w:rsidRPr="7842FC33">
        <w:rPr>
          <w:rFonts w:eastAsia="Times New Roman" w:cs="Times New Roman"/>
          <w:color w:val="000000" w:themeColor="text1"/>
          <w:szCs w:val="24"/>
        </w:rPr>
        <w:t xml:space="preserve">4) </w:t>
      </w:r>
      <w:r w:rsidR="3B380FC9" w:rsidRPr="7842FC33">
        <w:rPr>
          <w:rFonts w:eastAsia="Times New Roman" w:cs="Times New Roman"/>
          <w:color w:val="000000" w:themeColor="text1"/>
          <w:szCs w:val="24"/>
        </w:rPr>
        <w:t xml:space="preserve">Spēkā esošie normatīvie </w:t>
      </w:r>
      <w:r w:rsidR="00875828">
        <w:rPr>
          <w:rFonts w:eastAsia="Times New Roman" w:cs="Times New Roman"/>
          <w:color w:val="000000" w:themeColor="text1"/>
          <w:szCs w:val="24"/>
        </w:rPr>
        <w:t xml:space="preserve">akti </w:t>
      </w:r>
      <w:r w:rsidR="3B380FC9" w:rsidRPr="7842FC33">
        <w:rPr>
          <w:rFonts w:eastAsia="Times New Roman" w:cs="Times New Roman"/>
          <w:color w:val="000000" w:themeColor="text1"/>
          <w:szCs w:val="24"/>
        </w:rPr>
        <w:t xml:space="preserve">nosaka piemērojamo strukturēta elektroniskā rēķina standartu, tā pamatelementu izmantošanas specifikāciju un aprites kārtību publiskajos iepirkumos. Normatīvie akti paredz, ka valsts iestādēm, pašvaldībām un to iestādēm </w:t>
      </w:r>
      <w:r w:rsidR="3B380FC9" w:rsidRPr="7842FC33">
        <w:rPr>
          <w:rFonts w:eastAsia="Times New Roman" w:cs="Times New Roman"/>
          <w:color w:val="000000" w:themeColor="text1"/>
          <w:szCs w:val="24"/>
        </w:rPr>
        <w:lastRenderedPageBreak/>
        <w:t>obligāti ir jāspēj pieņemt elektroniskie rēķini, kas atbilst ES noteiktai elektronisko rēķinu pamatelementu izmantošanas specifikācijai visā ES teritorijā;</w:t>
      </w:r>
    </w:p>
    <w:p w14:paraId="17C4E371" w14:textId="4A2192EB" w:rsidR="001671F1" w:rsidRPr="00B131FA" w:rsidRDefault="00A15536" w:rsidP="00F85D98">
      <w:pPr>
        <w:spacing w:line="276" w:lineRule="auto"/>
        <w:rPr>
          <w:rFonts w:eastAsia="Times New Roman" w:cs="Times New Roman"/>
          <w:color w:val="000000" w:themeColor="text1"/>
          <w:szCs w:val="24"/>
        </w:rPr>
      </w:pPr>
      <w:r>
        <w:rPr>
          <w:rFonts w:eastAsia="Times New Roman" w:cs="Times New Roman"/>
          <w:color w:val="000000" w:themeColor="text1"/>
          <w:szCs w:val="24"/>
        </w:rPr>
        <w:t xml:space="preserve">5) </w:t>
      </w:r>
      <w:r w:rsidRPr="00A15536">
        <w:rPr>
          <w:rFonts w:eastAsia="Times New Roman" w:cs="Times New Roman"/>
          <w:szCs w:val="24"/>
        </w:rPr>
        <w:t xml:space="preserve">Tā kā rēķins, t.sk. </w:t>
      </w:r>
      <w:r w:rsidR="00345340">
        <w:rPr>
          <w:rFonts w:eastAsia="Times New Roman" w:cs="Times New Roman"/>
          <w:szCs w:val="24"/>
        </w:rPr>
        <w:t>PVN</w:t>
      </w:r>
      <w:r w:rsidR="00345340" w:rsidRPr="00A15536">
        <w:rPr>
          <w:rFonts w:eastAsia="Times New Roman" w:cs="Times New Roman"/>
          <w:szCs w:val="24"/>
        </w:rPr>
        <w:t xml:space="preserve"> </w:t>
      </w:r>
      <w:r w:rsidRPr="00A15536">
        <w:rPr>
          <w:rFonts w:eastAsia="Times New Roman" w:cs="Times New Roman"/>
          <w:szCs w:val="24"/>
        </w:rPr>
        <w:t xml:space="preserve">rēķins, ir tikai viens no darījuma attaisnojuma dokumentiem, efektīva </w:t>
      </w:r>
      <w:r w:rsidR="00B7545F">
        <w:rPr>
          <w:rFonts w:eastAsia="Times New Roman" w:cs="Times New Roman"/>
          <w:szCs w:val="24"/>
        </w:rPr>
        <w:t>e-</w:t>
      </w:r>
      <w:r w:rsidRPr="00A15536">
        <w:rPr>
          <w:rFonts w:eastAsia="Times New Roman" w:cs="Times New Roman"/>
          <w:szCs w:val="24"/>
        </w:rPr>
        <w:t xml:space="preserve">rēķinu izmantošana nodokļu administrēšanas pasākumu veikšanā tiktu nodrošināta, ja rēķini un citi attaisnojuma dokumenti (piemēram, e-CMR, pavadzīmes) un risinājumi, kas noformējami, pilnīgai darījuma izsekojamībai tiktu sagatavoti un uzglabāti elektroniski, būtu nodrošināta to pieejamība VID un </w:t>
      </w:r>
      <w:r w:rsidR="00B7545F">
        <w:rPr>
          <w:rFonts w:eastAsia="Times New Roman" w:cs="Times New Roman"/>
          <w:szCs w:val="24"/>
        </w:rPr>
        <w:t>e-</w:t>
      </w:r>
      <w:r w:rsidRPr="00A15536">
        <w:rPr>
          <w:rFonts w:eastAsia="Times New Roman" w:cs="Times New Roman"/>
          <w:szCs w:val="24"/>
        </w:rPr>
        <w:t>rēķini tiktu analizēti kopsakarā ar citiem elektron</w:t>
      </w:r>
      <w:r>
        <w:rPr>
          <w:rFonts w:eastAsia="Times New Roman" w:cs="Times New Roman"/>
          <w:szCs w:val="24"/>
        </w:rPr>
        <w:t xml:space="preserve">iski sagatavotajiem </w:t>
      </w:r>
      <w:r w:rsidR="001E6621">
        <w:rPr>
          <w:rFonts w:eastAsia="Times New Roman" w:cs="Times New Roman"/>
          <w:szCs w:val="24"/>
        </w:rPr>
        <w:t xml:space="preserve">strukturētiem </w:t>
      </w:r>
      <w:r>
        <w:rPr>
          <w:rFonts w:eastAsia="Times New Roman" w:cs="Times New Roman"/>
          <w:szCs w:val="24"/>
        </w:rPr>
        <w:t>dokumentiem;</w:t>
      </w:r>
    </w:p>
    <w:p w14:paraId="48B7BEA2" w14:textId="7C65326A" w:rsidR="001671F1" w:rsidRPr="00B131FA" w:rsidRDefault="00594963" w:rsidP="00F85D98">
      <w:pPr>
        <w:spacing w:line="276" w:lineRule="auto"/>
        <w:rPr>
          <w:rFonts w:eastAsia="Times New Roman" w:cs="Times New Roman"/>
          <w:color w:val="000000" w:themeColor="text1"/>
          <w:szCs w:val="24"/>
        </w:rPr>
      </w:pPr>
      <w:r>
        <w:rPr>
          <w:rFonts w:eastAsia="Times New Roman" w:cs="Times New Roman"/>
          <w:color w:val="000000" w:themeColor="text1"/>
          <w:szCs w:val="24"/>
        </w:rPr>
        <w:t>6</w:t>
      </w:r>
      <w:r w:rsidR="6188D64A" w:rsidRPr="7842FC33">
        <w:rPr>
          <w:rFonts w:eastAsia="Times New Roman" w:cs="Times New Roman"/>
          <w:color w:val="000000" w:themeColor="text1"/>
          <w:szCs w:val="24"/>
        </w:rPr>
        <w:t xml:space="preserve">) </w:t>
      </w:r>
      <w:r w:rsidR="001D7AF9">
        <w:rPr>
          <w:rFonts w:eastAsia="Times New Roman" w:cs="Times New Roman"/>
          <w:color w:val="000000" w:themeColor="text1"/>
          <w:szCs w:val="24"/>
        </w:rPr>
        <w:t xml:space="preserve">Tā kā </w:t>
      </w:r>
      <w:r w:rsidR="3B380FC9" w:rsidRPr="7842FC33">
        <w:rPr>
          <w:rFonts w:eastAsia="Times New Roman" w:cs="Times New Roman"/>
          <w:color w:val="000000" w:themeColor="text1"/>
          <w:szCs w:val="24"/>
        </w:rPr>
        <w:t xml:space="preserve">starptautiskās pārvadājumu pavadzīmes e-CMR </w:t>
      </w:r>
      <w:r w:rsidR="00B47907">
        <w:rPr>
          <w:rFonts w:eastAsia="Times New Roman" w:cs="Times New Roman"/>
          <w:color w:val="000000" w:themeColor="text1"/>
          <w:szCs w:val="24"/>
        </w:rPr>
        <w:t>prototipa testēšanas rezultāti,</w:t>
      </w:r>
      <w:r w:rsidR="3B380FC9" w:rsidRPr="7842FC33">
        <w:rPr>
          <w:rFonts w:eastAsia="Times New Roman" w:cs="Times New Roman"/>
          <w:color w:val="000000" w:themeColor="text1"/>
          <w:szCs w:val="24"/>
        </w:rPr>
        <w:t xml:space="preserve"> funkcionalitātes un biznesa procesu izvērtēšanas rezultāti, ka e-CMR aprites sistēmas funkcionalitāte spēj nodrošināt arī strukturētu elektronisku preču pavadzīmju (e-pavadzīmju) apritei nepieciešamos procesus, ņemot vērā finanšu, tehnisko un cilvēku resursu lietderīgu izmantošanas pieeju, e-pavadzīmju aprites funkcionalitāte būtu ieviešama e-CMR sistēmā pēc e-CMR dokumentu aprites aprobācijas;</w:t>
      </w:r>
    </w:p>
    <w:p w14:paraId="78C8B45D" w14:textId="4F87CAD0" w:rsidR="001671F1" w:rsidRDefault="00594963" w:rsidP="00F85D98">
      <w:pPr>
        <w:spacing w:line="276" w:lineRule="auto"/>
        <w:rPr>
          <w:rFonts w:eastAsia="Times New Roman" w:cs="Times New Roman"/>
          <w:color w:val="000000" w:themeColor="text1"/>
          <w:szCs w:val="24"/>
        </w:rPr>
      </w:pPr>
      <w:r>
        <w:rPr>
          <w:rFonts w:eastAsia="Times New Roman" w:cs="Times New Roman"/>
          <w:color w:val="000000" w:themeColor="text1"/>
          <w:szCs w:val="24"/>
        </w:rPr>
        <w:t>7</w:t>
      </w:r>
      <w:r w:rsidR="23633398" w:rsidRPr="7842FC33">
        <w:rPr>
          <w:rFonts w:eastAsia="Times New Roman" w:cs="Times New Roman"/>
          <w:color w:val="000000" w:themeColor="text1"/>
          <w:szCs w:val="24"/>
        </w:rPr>
        <w:t xml:space="preserve">) </w:t>
      </w:r>
      <w:r w:rsidR="3B380FC9" w:rsidRPr="7842FC33">
        <w:rPr>
          <w:rFonts w:eastAsia="Times New Roman" w:cs="Times New Roman"/>
          <w:color w:val="000000" w:themeColor="text1"/>
          <w:szCs w:val="24"/>
        </w:rPr>
        <w:t xml:space="preserve">Tā kā tikai </w:t>
      </w:r>
      <w:r w:rsidR="008F2D15">
        <w:rPr>
          <w:rFonts w:eastAsia="Times New Roman" w:cs="Times New Roman"/>
          <w:color w:val="000000" w:themeColor="text1"/>
          <w:szCs w:val="24"/>
        </w:rPr>
        <w:t>nesen</w:t>
      </w:r>
      <w:r w:rsidR="3B380FC9" w:rsidRPr="7842FC33">
        <w:rPr>
          <w:rFonts w:eastAsia="Times New Roman" w:cs="Times New Roman"/>
          <w:color w:val="000000" w:themeColor="text1"/>
          <w:sz w:val="16"/>
          <w:szCs w:val="16"/>
        </w:rPr>
        <w:t xml:space="preserve"> </w:t>
      </w:r>
      <w:r w:rsidR="3B380FC9" w:rsidRPr="7842FC33">
        <w:rPr>
          <w:rFonts w:eastAsia="Times New Roman" w:cs="Times New Roman"/>
          <w:color w:val="000000" w:themeColor="text1"/>
          <w:szCs w:val="24"/>
        </w:rPr>
        <w:t xml:space="preserve">ir noslēgusies </w:t>
      </w:r>
      <w:r w:rsidR="008F2D15">
        <w:rPr>
          <w:rFonts w:eastAsia="Times New Roman" w:cs="Times New Roman"/>
          <w:color w:val="000000" w:themeColor="text1"/>
          <w:szCs w:val="24"/>
        </w:rPr>
        <w:t xml:space="preserve">2010. gadā uzsāktā </w:t>
      </w:r>
      <w:r w:rsidR="3B380FC9" w:rsidRPr="7842FC33">
        <w:rPr>
          <w:rFonts w:eastAsia="Times New Roman" w:cs="Times New Roman"/>
          <w:color w:val="000000" w:themeColor="text1"/>
          <w:szCs w:val="24"/>
        </w:rPr>
        <w:t xml:space="preserve">kases aparātu un kases sistēmu reforma, kuras laikā komersantiem bija nepieciešams ieguldīt finanšu līdzekļus esošo kases aparātu nomaiņai un sistēmu ieviešanai, lai kases aparātu tehniskās prasības nodrošinātu pietiekami augstu datu drošības līmeni no datu saglabāšanas, nemainīguma un izsekojamības viedokļa, ieviest jaunas tehniski un finansiāli sarežģītas iniciatīvas elektronisko ierīču un iekārtu jomā, radītu nodokļu maksātājiem jaunu ievērojamu finansiālo un administratīvo slogu, un šobrīd nebūtu lietderīgi, turklāt, attīstot </w:t>
      </w:r>
      <w:proofErr w:type="spellStart"/>
      <w:r w:rsidR="3B380FC9" w:rsidRPr="7842FC33">
        <w:rPr>
          <w:rFonts w:eastAsia="Times New Roman" w:cs="Times New Roman"/>
          <w:color w:val="000000" w:themeColor="text1"/>
          <w:szCs w:val="24"/>
        </w:rPr>
        <w:t>digitalizācijas</w:t>
      </w:r>
      <w:proofErr w:type="spellEnd"/>
      <w:r w:rsidR="3B380FC9" w:rsidRPr="7842FC33">
        <w:rPr>
          <w:rFonts w:eastAsia="Times New Roman" w:cs="Times New Roman"/>
          <w:color w:val="000000" w:themeColor="text1"/>
          <w:szCs w:val="24"/>
        </w:rPr>
        <w:t xml:space="preserve"> procesus, daudzi pakalpojumu sniedzēji un preču piegādātāji jau šobrīd piedāvā aktuālu iespēju – kases čeku nosūtīt klient</w:t>
      </w:r>
      <w:r w:rsidR="00875828">
        <w:rPr>
          <w:rFonts w:eastAsia="Times New Roman" w:cs="Times New Roman"/>
          <w:color w:val="000000" w:themeColor="text1"/>
          <w:szCs w:val="24"/>
        </w:rPr>
        <w:t>am elektroniska dokumenta veidā</w:t>
      </w:r>
      <w:r w:rsidR="3B380FC9" w:rsidRPr="7842FC33">
        <w:rPr>
          <w:rFonts w:eastAsia="Times New Roman" w:cs="Times New Roman"/>
          <w:color w:val="000000" w:themeColor="text1"/>
          <w:szCs w:val="24"/>
        </w:rPr>
        <w:t>;</w:t>
      </w:r>
    </w:p>
    <w:p w14:paraId="277C5DBD" w14:textId="0EA71E49" w:rsidR="00605425" w:rsidRPr="00B131FA" w:rsidRDefault="00605425" w:rsidP="00F85D98">
      <w:pPr>
        <w:spacing w:line="276" w:lineRule="auto"/>
        <w:rPr>
          <w:rFonts w:eastAsia="Times New Roman" w:cs="Times New Roman"/>
          <w:color w:val="000000" w:themeColor="text1"/>
          <w:szCs w:val="24"/>
        </w:rPr>
      </w:pPr>
      <w:r>
        <w:rPr>
          <w:rFonts w:eastAsia="Times New Roman" w:cs="Times New Roman"/>
          <w:color w:val="000000" w:themeColor="text1"/>
          <w:szCs w:val="24"/>
        </w:rPr>
        <w:t xml:space="preserve">8) </w:t>
      </w:r>
      <w:r w:rsidRPr="00605425">
        <w:rPr>
          <w:rFonts w:eastAsia="Times New Roman" w:cs="Times New Roman"/>
          <w:bCs/>
          <w:iCs/>
          <w:color w:val="000000" w:themeColor="text1"/>
          <w:szCs w:val="24"/>
        </w:rPr>
        <w:t xml:space="preserve">Ņemot vērā šobrīd jau izveidoto kārtību valsts apmaksāto veselība aprūpes pakalpojumu sniegšanā, to uzraudzībā un kontrolē pret katru pakalpojuma vienību, VM saskata nepieciešamību minētajā VIS sagatavotos rēķinus noteikt kā izņēmumu </w:t>
      </w:r>
      <w:r w:rsidR="00B7545F">
        <w:rPr>
          <w:rFonts w:eastAsia="Times New Roman" w:cs="Times New Roman"/>
          <w:bCs/>
          <w:iCs/>
          <w:color w:val="000000" w:themeColor="text1"/>
          <w:szCs w:val="24"/>
        </w:rPr>
        <w:t>e-</w:t>
      </w:r>
      <w:r w:rsidRPr="00605425">
        <w:rPr>
          <w:rFonts w:eastAsia="Times New Roman" w:cs="Times New Roman"/>
          <w:bCs/>
          <w:iCs/>
          <w:color w:val="000000" w:themeColor="text1"/>
          <w:szCs w:val="24"/>
        </w:rPr>
        <w:t>rēķinu ieviešanā. VIS sistēmas papildus funkcionalitātes ieviešana nemainītu jau noteikto kontroles un uzraudzības mehānismu, tomēr prasītu ievērojamus papildus finanšu līdzekļus programmas atjauninā</w:t>
      </w:r>
      <w:r>
        <w:rPr>
          <w:rFonts w:eastAsia="Times New Roman" w:cs="Times New Roman"/>
          <w:bCs/>
          <w:iCs/>
          <w:color w:val="000000" w:themeColor="text1"/>
          <w:szCs w:val="24"/>
        </w:rPr>
        <w:t>šanā un savietojamības izstrādē;</w:t>
      </w:r>
    </w:p>
    <w:p w14:paraId="3B793923" w14:textId="01903877" w:rsidR="001671F1" w:rsidRPr="00B131FA" w:rsidRDefault="00605425" w:rsidP="00F85D98">
      <w:pPr>
        <w:spacing w:line="276" w:lineRule="auto"/>
        <w:rPr>
          <w:rFonts w:eastAsia="Times New Roman" w:cs="Times New Roman"/>
          <w:color w:val="000000" w:themeColor="text1"/>
          <w:szCs w:val="24"/>
        </w:rPr>
      </w:pPr>
      <w:r>
        <w:rPr>
          <w:rFonts w:eastAsia="Times New Roman" w:cs="Times New Roman"/>
          <w:color w:val="000000" w:themeColor="text1"/>
          <w:szCs w:val="24"/>
        </w:rPr>
        <w:t>9</w:t>
      </w:r>
      <w:r w:rsidR="4A5D99AB" w:rsidRPr="7842FC33">
        <w:rPr>
          <w:rFonts w:eastAsia="Times New Roman" w:cs="Times New Roman"/>
          <w:color w:val="000000" w:themeColor="text1"/>
          <w:szCs w:val="24"/>
        </w:rPr>
        <w:t xml:space="preserve">) </w:t>
      </w:r>
      <w:r w:rsidR="3B380FC9" w:rsidRPr="7842FC33">
        <w:rPr>
          <w:rFonts w:eastAsia="Times New Roman" w:cs="Times New Roman"/>
          <w:color w:val="000000" w:themeColor="text1"/>
          <w:szCs w:val="24"/>
        </w:rPr>
        <w:t>Vadoties no to valstu pieredzes, kurās ieviesta pilnīga vai daļēja attaisnojuma dokumentu (e-rēķinu, e-pavadzīmju) aprite, jāsecina, ka ieguvums šādu attaisnojuma dokumentu elektroniskas aprites sistēmu ieviešanai būtu dokumentu sistematizācija pēc vienota parauga, tādējādi samazinoties kļūdu riskam, noformējot dokumentus, kā arī iespēja salāgot grāmatvedības sistēmas ar e-rēķinu sistēmu un VID, tādējādi nodrošinot ātrāku informācijas apriti, jo dokumenti atradīsies vienkopus un nodokļu maksātājiem samazināsies izmaksas saistībā ar papīra dokumentiem un to apriti. E-rēķinu un e-pavadzīmju izmantošana varēs kļūt par efektīvu instrumentu ēnu ekonomikas mazin</w:t>
      </w:r>
      <w:r w:rsidR="002F5D96">
        <w:rPr>
          <w:rFonts w:eastAsia="Times New Roman" w:cs="Times New Roman"/>
          <w:color w:val="000000" w:themeColor="text1"/>
          <w:szCs w:val="24"/>
        </w:rPr>
        <w:t>āšanā,</w:t>
      </w:r>
      <w:r w:rsidR="3B380FC9" w:rsidRPr="7842FC33">
        <w:rPr>
          <w:rFonts w:eastAsia="Times New Roman" w:cs="Times New Roman"/>
          <w:color w:val="000000" w:themeColor="text1"/>
          <w:szCs w:val="24"/>
        </w:rPr>
        <w:t xml:space="preserve"> palielinātos VID darba efektivitāte, kā arī nodokļu maksātājiem būtu mazāk iespēju veikt darījumus, nenoformējot attaisnojuma dokumentus, noformēt tos ar atpakaļejošu datumu vai noformēt dokumentu par faktiski nenotikušiem darījumiem. Tas mazinātu iespēju izvairīties no nodokļu nomaksas, tādējādi samazinātos nodokļu saistību neizpildes risks;</w:t>
      </w:r>
    </w:p>
    <w:p w14:paraId="5BA1FC7B" w14:textId="7321534C" w:rsidR="001671F1" w:rsidRPr="00B131FA" w:rsidRDefault="00605425" w:rsidP="00F85D98">
      <w:pPr>
        <w:spacing w:line="276" w:lineRule="auto"/>
        <w:rPr>
          <w:rFonts w:eastAsia="Times New Roman" w:cs="Times New Roman"/>
          <w:color w:val="000000" w:themeColor="text1"/>
          <w:szCs w:val="24"/>
        </w:rPr>
      </w:pPr>
      <w:r>
        <w:rPr>
          <w:rFonts w:eastAsia="Times New Roman" w:cs="Times New Roman"/>
          <w:color w:val="000000" w:themeColor="text1"/>
          <w:szCs w:val="24"/>
        </w:rPr>
        <w:lastRenderedPageBreak/>
        <w:t>10</w:t>
      </w:r>
      <w:r w:rsidR="3B6F5A6B" w:rsidRPr="7842FC33">
        <w:rPr>
          <w:rFonts w:eastAsia="Times New Roman" w:cs="Times New Roman"/>
          <w:color w:val="000000" w:themeColor="text1"/>
          <w:szCs w:val="24"/>
        </w:rPr>
        <w:t xml:space="preserve">) </w:t>
      </w:r>
      <w:r w:rsidR="3B380FC9" w:rsidRPr="7842FC33">
        <w:rPr>
          <w:rFonts w:eastAsia="Times New Roman" w:cs="Times New Roman"/>
          <w:color w:val="000000" w:themeColor="text1"/>
          <w:szCs w:val="24"/>
        </w:rPr>
        <w:t xml:space="preserve">Tā kā </w:t>
      </w:r>
      <w:r w:rsidR="00B20363">
        <w:rPr>
          <w:rFonts w:eastAsia="Times New Roman" w:cs="Times New Roman"/>
          <w:color w:val="000000" w:themeColor="text1"/>
          <w:szCs w:val="24"/>
        </w:rPr>
        <w:t>PVN</w:t>
      </w:r>
      <w:r w:rsidR="3B380FC9" w:rsidRPr="7842FC33">
        <w:rPr>
          <w:rFonts w:eastAsia="Times New Roman" w:cs="Times New Roman"/>
          <w:color w:val="000000" w:themeColor="text1"/>
          <w:szCs w:val="24"/>
        </w:rPr>
        <w:t xml:space="preserve"> </w:t>
      </w:r>
      <w:r w:rsidR="00B20363">
        <w:rPr>
          <w:rFonts w:eastAsia="Times New Roman" w:cs="Times New Roman"/>
          <w:color w:val="000000" w:themeColor="text1"/>
          <w:szCs w:val="24"/>
        </w:rPr>
        <w:t>d</w:t>
      </w:r>
      <w:r w:rsidR="3B380FC9" w:rsidRPr="7842FC33">
        <w:rPr>
          <w:rFonts w:eastAsia="Times New Roman" w:cs="Times New Roman"/>
          <w:color w:val="000000" w:themeColor="text1"/>
          <w:szCs w:val="24"/>
        </w:rPr>
        <w:t xml:space="preserve">irektīvā ir noteikts, ka </w:t>
      </w:r>
      <w:r w:rsidR="00345340">
        <w:rPr>
          <w:rFonts w:eastAsia="Times New Roman" w:cs="Times New Roman"/>
          <w:color w:val="000000" w:themeColor="text1"/>
          <w:szCs w:val="24"/>
        </w:rPr>
        <w:t>PVN</w:t>
      </w:r>
      <w:r w:rsidR="00345340" w:rsidRPr="7842FC33">
        <w:rPr>
          <w:rFonts w:eastAsia="Times New Roman" w:cs="Times New Roman"/>
          <w:color w:val="000000" w:themeColor="text1"/>
          <w:szCs w:val="24"/>
        </w:rPr>
        <w:t xml:space="preserve"> </w:t>
      </w:r>
      <w:r w:rsidR="3B380FC9" w:rsidRPr="7842FC33">
        <w:rPr>
          <w:rFonts w:eastAsia="Times New Roman" w:cs="Times New Roman"/>
          <w:color w:val="000000" w:themeColor="text1"/>
          <w:szCs w:val="24"/>
        </w:rPr>
        <w:t xml:space="preserve">rēķini var būt gan papīra, gan elektroniskā formā, kā arī e-rēķina izmantošana notiek tikai ar saņēmēja piekrišanu, lai ieviestu obligātu </w:t>
      </w:r>
      <w:r w:rsidR="00D65581">
        <w:rPr>
          <w:rFonts w:eastAsia="Times New Roman" w:cs="Times New Roman"/>
          <w:color w:val="000000" w:themeColor="text1"/>
          <w:szCs w:val="24"/>
        </w:rPr>
        <w:t xml:space="preserve">PVN </w:t>
      </w:r>
      <w:r w:rsidR="3B380FC9" w:rsidRPr="7842FC33">
        <w:rPr>
          <w:rFonts w:eastAsia="Times New Roman" w:cs="Times New Roman"/>
          <w:color w:val="000000" w:themeColor="text1"/>
          <w:szCs w:val="24"/>
        </w:rPr>
        <w:t xml:space="preserve">e-rēķinu izmantošanu, dalībvalstij ir nepieciešams lūgt Eiropas Komisijai atkāpi no PVN direktīvas regulējuma; </w:t>
      </w:r>
    </w:p>
    <w:p w14:paraId="45080B15" w14:textId="3C53560F" w:rsidR="001671F1" w:rsidRPr="00B131FA" w:rsidRDefault="00605425" w:rsidP="00F85D98">
      <w:pPr>
        <w:spacing w:line="276" w:lineRule="auto"/>
        <w:rPr>
          <w:rFonts w:eastAsia="Times New Roman" w:cs="Times New Roman"/>
          <w:color w:val="000000" w:themeColor="text1"/>
          <w:szCs w:val="24"/>
        </w:rPr>
      </w:pPr>
      <w:r>
        <w:rPr>
          <w:rFonts w:eastAsia="Times New Roman" w:cs="Times New Roman"/>
          <w:color w:val="000000" w:themeColor="text1"/>
          <w:szCs w:val="24"/>
        </w:rPr>
        <w:t>11</w:t>
      </w:r>
      <w:r w:rsidR="72786197" w:rsidRPr="7842FC33">
        <w:rPr>
          <w:rFonts w:eastAsia="Times New Roman" w:cs="Times New Roman"/>
          <w:color w:val="000000" w:themeColor="text1"/>
          <w:szCs w:val="24"/>
        </w:rPr>
        <w:t xml:space="preserve">) </w:t>
      </w:r>
      <w:r w:rsidR="3B380FC9" w:rsidRPr="7842FC33">
        <w:rPr>
          <w:rFonts w:eastAsia="Times New Roman" w:cs="Times New Roman"/>
          <w:color w:val="000000" w:themeColor="text1"/>
          <w:szCs w:val="24"/>
        </w:rPr>
        <w:t>E-rēķinu ieviešanas tehniskie risinājumi centralizētas valsts informācijas sistēmas izveides gadījumā nav atbalstāma, jo šāda sistēma kļūst par valsts centrālo un vienīgo elektronisko darījumu vietu, vienlaicīgi radot augstas prasības augstas pieejamības nodrošināšanu 24/7 režīmā, kā arī ļoti drošu apstrādāto darījumu dokumentu uzglabāšanu. Situācijās, ja šāda platforma nedarbojas, valstī apstājas arī saimnieciskie darījumi. Šāds risinājums arī nozīmē to, ka tas neparedz privātā biznesa darbības sfēru ar papildp</w:t>
      </w:r>
      <w:r w:rsidR="002F5D96">
        <w:rPr>
          <w:rFonts w:eastAsia="Times New Roman" w:cs="Times New Roman"/>
          <w:color w:val="000000" w:themeColor="text1"/>
          <w:szCs w:val="24"/>
        </w:rPr>
        <w:t>akalpojumu nodrošināšanu (piemēram</w:t>
      </w:r>
      <w:r w:rsidR="3B380FC9" w:rsidRPr="7842FC33">
        <w:rPr>
          <w:rFonts w:eastAsia="Times New Roman" w:cs="Times New Roman"/>
          <w:color w:val="000000" w:themeColor="text1"/>
          <w:szCs w:val="24"/>
        </w:rPr>
        <w:t>, liela apjoma rēķinu sa</w:t>
      </w:r>
      <w:r w:rsidR="002F5D96">
        <w:rPr>
          <w:rFonts w:eastAsia="Times New Roman" w:cs="Times New Roman"/>
          <w:color w:val="000000" w:themeColor="text1"/>
          <w:szCs w:val="24"/>
        </w:rPr>
        <w:t>gatavošana un piegāde utt.).</w:t>
      </w:r>
    </w:p>
    <w:p w14:paraId="4D122F5F" w14:textId="1E61CD4E" w:rsidR="002F5D96" w:rsidRDefault="002F5D96" w:rsidP="00422635">
      <w:pPr>
        <w:rPr>
          <w:b/>
          <w:bCs/>
        </w:rPr>
      </w:pPr>
    </w:p>
    <w:p w14:paraId="290DFB89" w14:textId="77777777" w:rsidR="006933B8" w:rsidRDefault="006933B8" w:rsidP="00422635">
      <w:pPr>
        <w:rPr>
          <w:b/>
          <w:bCs/>
        </w:rPr>
      </w:pPr>
    </w:p>
    <w:p w14:paraId="7226F9E6" w14:textId="77777777" w:rsidR="00EB4061" w:rsidRPr="00EB4061" w:rsidRDefault="00EB4061" w:rsidP="00EB4061">
      <w:pPr>
        <w:rPr>
          <w:b/>
          <w:bCs/>
        </w:rPr>
      </w:pPr>
      <w:r w:rsidRPr="00EB4061">
        <w:rPr>
          <w:b/>
          <w:bCs/>
        </w:rPr>
        <w:t>Priekšlikumi:</w:t>
      </w:r>
    </w:p>
    <w:p w14:paraId="02AB3B8C" w14:textId="02DE3FB6" w:rsidR="001671F1" w:rsidRPr="00B131FA" w:rsidRDefault="001671F1" w:rsidP="00422635">
      <w:pPr>
        <w:rPr>
          <w:rFonts w:asciiTheme="minorHAnsi" w:eastAsiaTheme="minorEastAsia" w:hAnsiTheme="minorHAnsi"/>
          <w:szCs w:val="24"/>
        </w:rPr>
      </w:pPr>
    </w:p>
    <w:p w14:paraId="756FC080" w14:textId="4AA7A3B7" w:rsidR="001671F1" w:rsidRPr="00B131FA" w:rsidRDefault="3B380FC9" w:rsidP="00D646BD">
      <w:pPr>
        <w:spacing w:line="276" w:lineRule="auto"/>
        <w:rPr>
          <w:rFonts w:asciiTheme="minorHAnsi" w:eastAsiaTheme="minorEastAsia" w:hAnsiTheme="minorHAnsi"/>
          <w:szCs w:val="24"/>
        </w:rPr>
      </w:pPr>
      <w:r w:rsidRPr="7842FC33">
        <w:t>1) E-rēķinu ieviešanai – jāturpina attīstīt jau esošais risinājums, kas paredzēts komersantam ar valsts pārvaldi (B2G) un jāievēro PEPPOL BIS standarts, kas šobrīd valstij nosaka pienākumu pieņemt elektroniskos rēķinus publiskajos iepirkumos, taču perspektīvā nosakot obligātu pasākumu lietot e-rēķinus arī starp komersantiem (B2B);</w:t>
      </w:r>
    </w:p>
    <w:p w14:paraId="47A7D446" w14:textId="6CFDDF1C" w:rsidR="001671F1" w:rsidRPr="00B131FA" w:rsidRDefault="3B380FC9" w:rsidP="00D646BD">
      <w:pPr>
        <w:spacing w:line="276" w:lineRule="auto"/>
        <w:rPr>
          <w:rFonts w:asciiTheme="minorHAnsi" w:eastAsiaTheme="minorEastAsia" w:hAnsiTheme="minorHAnsi"/>
          <w:szCs w:val="24"/>
        </w:rPr>
      </w:pPr>
      <w:r w:rsidRPr="7842FC33">
        <w:t>2) Ņemot vērā, ka daļai komersantu e-rēķinu obligātu izmantošana varētu radīt papildus finansiālu slogu, e-rēķinu ieviešanai normatīvajos aktos būtu vēlams paredzēt pārejas periodu 24 mēneši, kurā prasība to lietošanai būtu tikai rekomendējoša. Šāda pakāpeniska ieviešana ļaus izvairīties no komersantu finansiālas ietekmes COVID-19 pandēmijas radītās krīzes apstākļos kā arī dos laiku Latvijas tirgū ienākt jauniem PEPPOL piekļuves punkta pakalpojumu sniedzējiem</w:t>
      </w:r>
      <w:r w:rsidR="00644F3F">
        <w:t>;</w:t>
      </w:r>
      <w:r w:rsidRPr="7842FC33">
        <w:t xml:space="preserve"> </w:t>
      </w:r>
    </w:p>
    <w:p w14:paraId="301BCC74" w14:textId="5B99C2EC" w:rsidR="001671F1" w:rsidRDefault="3B380FC9" w:rsidP="00D646BD">
      <w:pPr>
        <w:spacing w:line="276" w:lineRule="auto"/>
      </w:pPr>
      <w:r w:rsidRPr="7842FC33">
        <w:t xml:space="preserve">3) Lai pēc iespējas labāk sasniegtu ieguvumus visām pusēm, e-rēķinu izmantošana ir nosakāma kā pienākums, nosakot obligātu prasību e-rēķinu lietošanai ne </w:t>
      </w:r>
      <w:r w:rsidR="00EB4061">
        <w:t>vēlāk</w:t>
      </w:r>
      <w:r w:rsidR="00EB4061" w:rsidRPr="7842FC33">
        <w:t xml:space="preserve"> </w:t>
      </w:r>
      <w:r w:rsidRPr="7842FC33">
        <w:t>kā sākot ar 202</w:t>
      </w:r>
      <w:r w:rsidR="001E6621">
        <w:t>5</w:t>
      </w:r>
      <w:r w:rsidRPr="7842FC33">
        <w:t>.</w:t>
      </w:r>
      <w:r w:rsidR="008F2D15">
        <w:t> </w:t>
      </w:r>
      <w:r w:rsidRPr="7842FC33">
        <w:t>gadu;</w:t>
      </w:r>
    </w:p>
    <w:p w14:paraId="41F10408" w14:textId="0F2C235A" w:rsidR="001E6621" w:rsidRPr="001E6621" w:rsidRDefault="001E6621" w:rsidP="00D646BD">
      <w:pPr>
        <w:spacing w:line="276" w:lineRule="auto"/>
      </w:pPr>
      <w:r w:rsidRPr="001E6621">
        <w:t>4) Finanšu ministrijai ir jāizstrādā atbilstošus grozījumus likumā “Par grāmatvedību”, Pievienotās vērtības nodokļa likumā un nepieciešamības gadījumā citos normatīvajos aktos, nosakot obligātu prasību e-rēķinu lietošanai no 2025.</w:t>
      </w:r>
      <w:r>
        <w:t> </w:t>
      </w:r>
      <w:r w:rsidRPr="001E6621">
        <w:t>gada;</w:t>
      </w:r>
    </w:p>
    <w:p w14:paraId="3AD07E28" w14:textId="43DE7CD3" w:rsidR="001671F1" w:rsidRDefault="001E6621" w:rsidP="00D646BD">
      <w:pPr>
        <w:spacing w:line="276" w:lineRule="auto"/>
      </w:pPr>
      <w:r>
        <w:t>5</w:t>
      </w:r>
      <w:r w:rsidR="3B380FC9" w:rsidRPr="7842FC33">
        <w:t xml:space="preserve">) E-rēķinu apritei būtu jānotiek decentralizēti, izmantojot </w:t>
      </w:r>
      <w:r w:rsidR="007C4D04" w:rsidRPr="007C4D04">
        <w:t>reģistrētus pakalpojumu sniedzējus</w:t>
      </w:r>
      <w:r w:rsidR="3B380FC9" w:rsidRPr="7842FC33">
        <w:t>, kas nodrošina PEPPOL standartiem atbilstošu apkalpošanu;</w:t>
      </w:r>
    </w:p>
    <w:p w14:paraId="49677834" w14:textId="20000415" w:rsidR="00284FCB" w:rsidRDefault="00284FCB" w:rsidP="00D646BD">
      <w:pPr>
        <w:spacing w:line="276" w:lineRule="auto"/>
      </w:pPr>
      <w:r>
        <w:t xml:space="preserve">6) </w:t>
      </w:r>
      <w:r w:rsidRPr="00284FCB">
        <w:t>Ir nepieciešams ieviest pakalpojumu sniedzēju reģistrācijas mehānismu un normatīvajos aktos noteikt, ka e-rēķinu aprites pakalpojumu sniedzējiem jābūt reģistrētiem sniegt pakalpojumus Latvijas nodokļu maksātājiem. Reģistrācijas mehānisms nodrošinātu pakalpojumu sniedzēju atbildību par sniegtajiem pakalpojumiem, to kvalitāti un datu tālāku nodošanu valsts iestādēm. Pakalpojumu sniedzēju reģistrāciju veiks kāda no valsts pārvaldes iestādēm, nosakot noteiktas prasības reģistrācijas saņemšanai</w:t>
      </w:r>
      <w:r>
        <w:t>;</w:t>
      </w:r>
    </w:p>
    <w:p w14:paraId="69D20B87" w14:textId="61565BCE" w:rsidR="00BB3A3B" w:rsidRDefault="00ED1977" w:rsidP="00D646BD">
      <w:pPr>
        <w:spacing w:line="276" w:lineRule="auto"/>
      </w:pPr>
      <w:r>
        <w:lastRenderedPageBreak/>
        <w:t>7</w:t>
      </w:r>
      <w:r w:rsidR="006712CA">
        <w:t xml:space="preserve">) </w:t>
      </w:r>
      <w:r w:rsidR="006712CA" w:rsidRPr="006712CA">
        <w:t xml:space="preserve">Jautājumu par nepieciešamā finansējuma nodrošināšanu e-rēķinu aprites sistēmas ieviešanai </w:t>
      </w:r>
      <w:r w:rsidR="003E520E">
        <w:t xml:space="preserve">un uzturēšanai </w:t>
      </w:r>
      <w:r w:rsidR="006712CA" w:rsidRPr="006712CA">
        <w:t xml:space="preserve">Latvijā risināt </w:t>
      </w:r>
      <w:r w:rsidR="003E520E" w:rsidRPr="003E520E">
        <w:t>Atveseļošanas un noturības mehānisma izskatīšanas procesā, likumprojekta “Par valsts budžetu 2022. gadam” un likumprojekta “Par vidēja termiņa budžeta ietvaru 2022., 2023. un 2024. gadam” sagatavošanas procesā</w:t>
      </w:r>
      <w:r w:rsidR="006712CA" w:rsidRPr="006712CA">
        <w:t>.</w:t>
      </w:r>
    </w:p>
    <w:p w14:paraId="43D3A27B" w14:textId="5C968BAB" w:rsidR="00BB3A3B" w:rsidRDefault="00BB3A3B" w:rsidP="00F85D98">
      <w:pPr>
        <w:spacing w:line="276" w:lineRule="auto"/>
      </w:pPr>
    </w:p>
    <w:p w14:paraId="0951DCCF" w14:textId="0D7C6762" w:rsidR="003B3CAA" w:rsidRDefault="003B3CAA" w:rsidP="00F85D98">
      <w:pPr>
        <w:spacing w:line="276" w:lineRule="auto"/>
      </w:pPr>
    </w:p>
    <w:p w14:paraId="7896E261" w14:textId="0D74915F" w:rsidR="007E0733" w:rsidRDefault="007E0733" w:rsidP="00F85D98">
      <w:pPr>
        <w:spacing w:line="276" w:lineRule="auto"/>
      </w:pPr>
    </w:p>
    <w:p w14:paraId="4BF9A96D" w14:textId="77777777" w:rsidR="007E0733" w:rsidRDefault="007E0733" w:rsidP="00F85D98">
      <w:pPr>
        <w:spacing w:line="276" w:lineRule="auto"/>
      </w:pPr>
    </w:p>
    <w:p w14:paraId="0EA9AE60" w14:textId="77777777" w:rsidR="003B3CAA" w:rsidRDefault="003B3CAA" w:rsidP="00F85D98">
      <w:pPr>
        <w:spacing w:line="276" w:lineRule="auto"/>
      </w:pPr>
    </w:p>
    <w:p w14:paraId="2885CF12" w14:textId="42F84E8B" w:rsidR="00BB3A3B" w:rsidRDefault="00BB3A3B" w:rsidP="00F85D98">
      <w:pPr>
        <w:spacing w:line="276" w:lineRule="auto"/>
      </w:pPr>
      <w:r>
        <w:t>Finanšu ministrs</w:t>
      </w:r>
      <w:r>
        <w:tab/>
      </w:r>
      <w:r>
        <w:tab/>
      </w:r>
      <w:r>
        <w:tab/>
      </w:r>
      <w:r>
        <w:tab/>
      </w:r>
      <w:r>
        <w:tab/>
      </w:r>
      <w:r>
        <w:tab/>
      </w:r>
      <w:r>
        <w:tab/>
      </w:r>
      <w:r>
        <w:tab/>
      </w:r>
      <w:proofErr w:type="spellStart"/>
      <w:r>
        <w:t>J.Reirs</w:t>
      </w:r>
      <w:proofErr w:type="spellEnd"/>
    </w:p>
    <w:p w14:paraId="4AEA1139" w14:textId="005A149C" w:rsidR="00904F8F" w:rsidRDefault="00904F8F" w:rsidP="00F85D98">
      <w:pPr>
        <w:spacing w:line="276" w:lineRule="auto"/>
      </w:pPr>
    </w:p>
    <w:p w14:paraId="1AD54F15" w14:textId="3254FF96" w:rsidR="00904F8F" w:rsidRDefault="00904F8F" w:rsidP="00F85D98">
      <w:pPr>
        <w:spacing w:line="276" w:lineRule="auto"/>
      </w:pPr>
    </w:p>
    <w:p w14:paraId="01DDF7DC" w14:textId="037F2B7B" w:rsidR="00904F8F" w:rsidRDefault="00904F8F" w:rsidP="00F85D98">
      <w:pPr>
        <w:spacing w:line="276" w:lineRule="auto"/>
      </w:pPr>
    </w:p>
    <w:p w14:paraId="40B3AEE1" w14:textId="77061EC9" w:rsidR="00904F8F" w:rsidRDefault="00904F8F" w:rsidP="00F85D98">
      <w:pPr>
        <w:spacing w:line="276" w:lineRule="auto"/>
      </w:pPr>
    </w:p>
    <w:p w14:paraId="40D80F90" w14:textId="1CAD8F3C" w:rsidR="00904F8F" w:rsidRDefault="00904F8F" w:rsidP="00F85D98">
      <w:pPr>
        <w:spacing w:line="276" w:lineRule="auto"/>
      </w:pPr>
    </w:p>
    <w:p w14:paraId="495CB309" w14:textId="1286B06D" w:rsidR="00904F8F" w:rsidRDefault="00904F8F" w:rsidP="00F85D98">
      <w:pPr>
        <w:spacing w:line="276" w:lineRule="auto"/>
      </w:pPr>
    </w:p>
    <w:p w14:paraId="542AFBEB" w14:textId="3997D8AD" w:rsidR="00E430C8" w:rsidRDefault="00E430C8" w:rsidP="00F85D98">
      <w:pPr>
        <w:spacing w:line="276" w:lineRule="auto"/>
      </w:pPr>
    </w:p>
    <w:p w14:paraId="1160443C" w14:textId="3D27240B" w:rsidR="00E430C8" w:rsidRDefault="00E430C8" w:rsidP="00F85D98">
      <w:pPr>
        <w:spacing w:line="276" w:lineRule="auto"/>
      </w:pPr>
    </w:p>
    <w:p w14:paraId="219E8DB1" w14:textId="34B59E27" w:rsidR="00E430C8" w:rsidRDefault="00E430C8" w:rsidP="00F85D98">
      <w:pPr>
        <w:spacing w:line="276" w:lineRule="auto"/>
      </w:pPr>
    </w:p>
    <w:p w14:paraId="36811E4D" w14:textId="382494AC" w:rsidR="00E430C8" w:rsidRDefault="00E430C8" w:rsidP="00F85D98">
      <w:pPr>
        <w:spacing w:line="276" w:lineRule="auto"/>
      </w:pPr>
    </w:p>
    <w:p w14:paraId="6E686153" w14:textId="1D1A40DB" w:rsidR="00E430C8" w:rsidRDefault="00E430C8" w:rsidP="00F85D98">
      <w:pPr>
        <w:spacing w:line="276" w:lineRule="auto"/>
      </w:pPr>
    </w:p>
    <w:p w14:paraId="1336C87C" w14:textId="77777777" w:rsidR="00E430C8" w:rsidRDefault="00E430C8" w:rsidP="00F85D98">
      <w:pPr>
        <w:spacing w:line="276" w:lineRule="auto"/>
      </w:pPr>
    </w:p>
    <w:p w14:paraId="72ADD182" w14:textId="538635E9" w:rsidR="00904F8F" w:rsidRDefault="00904F8F" w:rsidP="00F85D98">
      <w:pPr>
        <w:spacing w:line="276" w:lineRule="auto"/>
      </w:pPr>
    </w:p>
    <w:p w14:paraId="3991822A" w14:textId="77777777" w:rsidR="00904F8F" w:rsidRPr="00904F8F" w:rsidRDefault="00904F8F" w:rsidP="00052631">
      <w:pPr>
        <w:spacing w:after="0" w:line="240" w:lineRule="auto"/>
        <w:rPr>
          <w:rFonts w:eastAsia="Times New Roman" w:cs="Times New Roman"/>
          <w:sz w:val="20"/>
          <w:szCs w:val="20"/>
        </w:rPr>
      </w:pPr>
      <w:r w:rsidRPr="00904F8F">
        <w:rPr>
          <w:rFonts w:eastAsia="Times New Roman" w:cs="Times New Roman"/>
          <w:sz w:val="20"/>
          <w:szCs w:val="20"/>
        </w:rPr>
        <w:t xml:space="preserve">Beļakova 67095509 </w:t>
      </w:r>
    </w:p>
    <w:p w14:paraId="737C5826" w14:textId="073E863B" w:rsidR="00904F8F" w:rsidRPr="00904F8F" w:rsidRDefault="00904F8F" w:rsidP="00052631">
      <w:pPr>
        <w:spacing w:after="0" w:line="240" w:lineRule="auto"/>
        <w:rPr>
          <w:rFonts w:eastAsia="Times New Roman" w:cs="Times New Roman"/>
          <w:sz w:val="20"/>
          <w:szCs w:val="20"/>
        </w:rPr>
      </w:pPr>
      <w:r w:rsidRPr="00904F8F">
        <w:rPr>
          <w:rFonts w:eastAsia="Times New Roman" w:cs="Times New Roman"/>
          <w:sz w:val="20"/>
          <w:szCs w:val="20"/>
        </w:rPr>
        <w:t>Iveta.Belakova@fm.gov.lv</w:t>
      </w:r>
    </w:p>
    <w:sectPr w:rsidR="00904F8F" w:rsidRPr="00904F8F" w:rsidSect="0065654B">
      <w:headerReference w:type="default" r:id="rId23"/>
      <w:footerReference w:type="default" r:id="rId24"/>
      <w:headerReference w:type="first" r:id="rId25"/>
      <w:footerReference w:type="first" r:id="rId2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35B45" w14:textId="77777777" w:rsidR="00395AD5" w:rsidRDefault="00395AD5" w:rsidP="0070619A">
      <w:pPr>
        <w:spacing w:after="0" w:line="240" w:lineRule="auto"/>
      </w:pPr>
      <w:r>
        <w:separator/>
      </w:r>
    </w:p>
  </w:endnote>
  <w:endnote w:type="continuationSeparator" w:id="0">
    <w:p w14:paraId="732DFFBB" w14:textId="77777777" w:rsidR="00395AD5" w:rsidRDefault="00395AD5" w:rsidP="0070619A">
      <w:pPr>
        <w:spacing w:after="0" w:line="240" w:lineRule="auto"/>
      </w:pPr>
      <w:r>
        <w:continuationSeparator/>
      </w:r>
    </w:p>
  </w:endnote>
  <w:endnote w:type="continuationNotice" w:id="1">
    <w:p w14:paraId="3579D2AC" w14:textId="77777777" w:rsidR="00395AD5" w:rsidRDefault="00395A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8690582"/>
      <w:docPartObj>
        <w:docPartGallery w:val="Page Numbers (Bottom of Page)"/>
        <w:docPartUnique/>
      </w:docPartObj>
    </w:sdtPr>
    <w:sdtEndPr>
      <w:rPr>
        <w:noProof/>
      </w:rPr>
    </w:sdtEndPr>
    <w:sdtContent>
      <w:p w14:paraId="18B39086" w14:textId="37FDACF3" w:rsidR="00395AD5" w:rsidRDefault="00395AD5">
        <w:pPr>
          <w:pStyle w:val="Footer"/>
          <w:jc w:val="center"/>
        </w:pPr>
        <w:r>
          <w:fldChar w:fldCharType="begin"/>
        </w:r>
        <w:r>
          <w:instrText xml:space="preserve"> PAGE   \* MERGEFORMAT </w:instrText>
        </w:r>
        <w:r>
          <w:fldChar w:fldCharType="separate"/>
        </w:r>
        <w:r w:rsidR="00163815">
          <w:rPr>
            <w:noProof/>
          </w:rPr>
          <w:t>5</w:t>
        </w:r>
        <w:r w:rsidR="00163815">
          <w:rPr>
            <w:noProof/>
          </w:rPr>
          <w:t>0</w:t>
        </w:r>
        <w:r>
          <w:rPr>
            <w:noProof/>
          </w:rPr>
          <w:fldChar w:fldCharType="end"/>
        </w:r>
      </w:p>
    </w:sdtContent>
  </w:sdt>
  <w:p w14:paraId="3BBC257E" w14:textId="01112516" w:rsidR="00395AD5" w:rsidRPr="00696369" w:rsidRDefault="001A18A3">
    <w:pPr>
      <w:pStyle w:val="Footer"/>
      <w:rPr>
        <w:sz w:val="20"/>
        <w:szCs w:val="20"/>
      </w:rPr>
    </w:pPr>
    <w:r>
      <w:rPr>
        <w:sz w:val="20"/>
        <w:szCs w:val="20"/>
      </w:rPr>
      <w:t>FMZin_17</w:t>
    </w:r>
    <w:r w:rsidR="00395AD5" w:rsidRPr="00696369">
      <w:rPr>
        <w:sz w:val="20"/>
        <w:szCs w:val="20"/>
      </w:rPr>
      <w:t>0521_E-rekini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765"/>
      <w:gridCol w:w="2765"/>
      <w:gridCol w:w="2765"/>
    </w:tblGrid>
    <w:tr w:rsidR="00395AD5" w14:paraId="43B47437" w14:textId="77777777" w:rsidTr="29DC2325">
      <w:tc>
        <w:tcPr>
          <w:tcW w:w="2765" w:type="dxa"/>
        </w:tcPr>
        <w:p w14:paraId="628F0AE1" w14:textId="37195F2C" w:rsidR="00395AD5" w:rsidRDefault="00395AD5" w:rsidP="29DC2325">
          <w:pPr>
            <w:pStyle w:val="Header"/>
            <w:ind w:left="-115"/>
            <w:jc w:val="left"/>
          </w:pPr>
        </w:p>
      </w:tc>
      <w:tc>
        <w:tcPr>
          <w:tcW w:w="2765" w:type="dxa"/>
        </w:tcPr>
        <w:p w14:paraId="3DA8DF8A" w14:textId="18B981D6" w:rsidR="00395AD5" w:rsidRDefault="00395AD5" w:rsidP="29DC2325">
          <w:pPr>
            <w:pStyle w:val="Header"/>
            <w:jc w:val="center"/>
          </w:pPr>
        </w:p>
      </w:tc>
      <w:tc>
        <w:tcPr>
          <w:tcW w:w="2765" w:type="dxa"/>
        </w:tcPr>
        <w:p w14:paraId="2A34C90B" w14:textId="22D27480" w:rsidR="00395AD5" w:rsidRDefault="00395AD5" w:rsidP="29DC2325">
          <w:pPr>
            <w:pStyle w:val="Header"/>
            <w:ind w:right="-115"/>
            <w:jc w:val="right"/>
          </w:pPr>
        </w:p>
      </w:tc>
    </w:tr>
  </w:tbl>
  <w:p w14:paraId="5D25704A" w14:textId="15FAE125" w:rsidR="00395AD5" w:rsidRDefault="00395AD5" w:rsidP="29DC2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84527" w14:textId="77777777" w:rsidR="00395AD5" w:rsidRDefault="00395AD5" w:rsidP="0070619A">
      <w:pPr>
        <w:spacing w:after="0" w:line="240" w:lineRule="auto"/>
      </w:pPr>
      <w:r>
        <w:separator/>
      </w:r>
    </w:p>
  </w:footnote>
  <w:footnote w:type="continuationSeparator" w:id="0">
    <w:p w14:paraId="01C5296E" w14:textId="77777777" w:rsidR="00395AD5" w:rsidRDefault="00395AD5" w:rsidP="0070619A">
      <w:pPr>
        <w:spacing w:after="0" w:line="240" w:lineRule="auto"/>
      </w:pPr>
      <w:r>
        <w:continuationSeparator/>
      </w:r>
    </w:p>
  </w:footnote>
  <w:footnote w:type="continuationNotice" w:id="1">
    <w:p w14:paraId="5561CBBD" w14:textId="77777777" w:rsidR="00395AD5" w:rsidRDefault="00395AD5">
      <w:pPr>
        <w:spacing w:after="0" w:line="240" w:lineRule="auto"/>
      </w:pPr>
    </w:p>
  </w:footnote>
  <w:footnote w:id="2">
    <w:p w14:paraId="76A46186" w14:textId="0EF8DFA3" w:rsidR="00395AD5" w:rsidRDefault="00395AD5">
      <w:pPr>
        <w:pStyle w:val="FootnoteText"/>
      </w:pPr>
      <w:r>
        <w:rPr>
          <w:rStyle w:val="FootnoteReference"/>
        </w:rPr>
        <w:footnoteRef/>
      </w:r>
      <w:r>
        <w:t xml:space="preserve"> </w:t>
      </w:r>
      <w:r w:rsidRPr="000B7030">
        <w:t>Lauksaimnieku organizāciju sadarbības padomes 03.08.2017. vēstule Nr.</w:t>
      </w:r>
      <w:r>
        <w:t> </w:t>
      </w:r>
      <w:r w:rsidRPr="000B7030">
        <w:t xml:space="preserve">73 “Par elektronisko preču pavaddokumentu </w:t>
      </w:r>
      <w:r>
        <w:t>sistēmas izstrādi un ieviešanu”</w:t>
      </w:r>
    </w:p>
  </w:footnote>
  <w:footnote w:id="3">
    <w:p w14:paraId="11DDBF43" w14:textId="45AEBCEE" w:rsidR="00395AD5" w:rsidRDefault="00395AD5">
      <w:pPr>
        <w:pStyle w:val="FootnoteText"/>
      </w:pPr>
      <w:r>
        <w:rPr>
          <w:rStyle w:val="FootnoteReference"/>
        </w:rPr>
        <w:footnoteRef/>
      </w:r>
      <w:r>
        <w:t xml:space="preserve"> </w:t>
      </w:r>
      <w:r w:rsidRPr="000B7030">
        <w:t>Saeimas Tautsaimniecības, agrārās, vides un reģionālās attīstības komisijas 07.09.2017. vēstule Par elektronisko preču pavaddokumentu</w:t>
      </w:r>
      <w:r>
        <w:t xml:space="preserve"> sistēmas izstrādi un ieviešanu</w:t>
      </w:r>
    </w:p>
  </w:footnote>
  <w:footnote w:id="4">
    <w:p w14:paraId="5445805A" w14:textId="3D0EE15D" w:rsidR="00395AD5" w:rsidRDefault="00395AD5">
      <w:pPr>
        <w:pStyle w:val="FootnoteText"/>
      </w:pPr>
      <w:r>
        <w:rPr>
          <w:rStyle w:val="FootnoteReference"/>
        </w:rPr>
        <w:footnoteRef/>
      </w:r>
      <w:r>
        <w:t xml:space="preserve"> </w:t>
      </w:r>
      <w:r w:rsidRPr="000B7030">
        <w:t>Zemkopības ministrijas 16.03.2018. vēstule Nr.</w:t>
      </w:r>
      <w:r>
        <w:t> </w:t>
      </w:r>
      <w:r w:rsidRPr="000B7030">
        <w:t>9.2-2e/694/2018 “Par preču aprites elektronis</w:t>
      </w:r>
      <w:r>
        <w:t>kās kontroles sistēmas izveidi”</w:t>
      </w:r>
    </w:p>
  </w:footnote>
  <w:footnote w:id="5">
    <w:p w14:paraId="4E110BAC" w14:textId="702D6865" w:rsidR="00395AD5" w:rsidRDefault="00395AD5">
      <w:pPr>
        <w:pStyle w:val="FootnoteText"/>
      </w:pPr>
      <w:r>
        <w:rPr>
          <w:rStyle w:val="FootnoteReference"/>
        </w:rPr>
        <w:footnoteRef/>
      </w:r>
      <w:r>
        <w:t xml:space="preserve"> Satiksmes ministrijas konceptuālais ziņojums </w:t>
      </w:r>
      <w:r w:rsidRPr="00D516DA">
        <w:t>"Par elektroniskā kravas starptautiskā autopārvadājumu līguma (e-CMR pavadzīmes) ieviešanas nepieciešamību Latvijā"</w:t>
      </w:r>
      <w:r>
        <w:t xml:space="preserve"> (VSS-188)</w:t>
      </w:r>
    </w:p>
  </w:footnote>
  <w:footnote w:id="6">
    <w:p w14:paraId="4C61CD21" w14:textId="3E199D5C" w:rsidR="00395AD5" w:rsidRPr="009C2397" w:rsidRDefault="00395AD5" w:rsidP="007C7598">
      <w:pPr>
        <w:pStyle w:val="FootnoteText"/>
        <w:rPr>
          <w:rFonts w:cs="Times New Roman"/>
        </w:rPr>
      </w:pPr>
      <w:r>
        <w:rPr>
          <w:rStyle w:val="FootnoteReference"/>
        </w:rPr>
        <w:footnoteRef/>
      </w:r>
      <w:r>
        <w:t xml:space="preserve"> </w:t>
      </w:r>
      <w:r w:rsidRPr="009C2397">
        <w:rPr>
          <w:rFonts w:cs="Times New Roman"/>
        </w:rPr>
        <w:t>Likum</w:t>
      </w:r>
      <w:r>
        <w:rPr>
          <w:rFonts w:cs="Times New Roman"/>
        </w:rPr>
        <w:t>a</w:t>
      </w:r>
      <w:r w:rsidRPr="009C2397">
        <w:rPr>
          <w:rFonts w:cs="Times New Roman"/>
        </w:rPr>
        <w:t xml:space="preserve"> “</w:t>
      </w:r>
      <w:r>
        <w:rPr>
          <w:rFonts w:cs="Times New Roman"/>
        </w:rPr>
        <w:t>P</w:t>
      </w:r>
      <w:r w:rsidRPr="009C2397">
        <w:rPr>
          <w:rFonts w:cs="Times New Roman"/>
        </w:rPr>
        <w:t>ar nodokļiem un nodevām</w:t>
      </w:r>
      <w:r>
        <w:rPr>
          <w:rFonts w:cs="Times New Roman"/>
        </w:rPr>
        <w:t>” 28.</w:t>
      </w:r>
      <w:r w:rsidRPr="00B26DBA">
        <w:rPr>
          <w:rFonts w:cs="Times New Roman"/>
          <w:vertAlign w:val="superscript"/>
        </w:rPr>
        <w:t>1</w:t>
      </w:r>
      <w:r>
        <w:rPr>
          <w:rFonts w:cs="Times New Roman"/>
        </w:rPr>
        <w:t> panta 4.</w:t>
      </w:r>
      <w:r w:rsidRPr="009C2397">
        <w:rPr>
          <w:rFonts w:cs="Times New Roman"/>
          <w:vertAlign w:val="superscript"/>
        </w:rPr>
        <w:t>1</w:t>
      </w:r>
      <w:r>
        <w:rPr>
          <w:rFonts w:cs="Times New Roman"/>
        </w:rPr>
        <w:t> daļa.</w:t>
      </w:r>
    </w:p>
  </w:footnote>
  <w:footnote w:id="7">
    <w:p w14:paraId="5F073757" w14:textId="0ADCA689" w:rsidR="00395AD5" w:rsidRPr="008A6F3A" w:rsidRDefault="00395AD5" w:rsidP="007C7598">
      <w:pPr>
        <w:pStyle w:val="FootnoteText"/>
        <w:rPr>
          <w:rFonts w:cs="Times New Roman"/>
        </w:rPr>
      </w:pPr>
      <w:r>
        <w:rPr>
          <w:rStyle w:val="FootnoteReference"/>
        </w:rPr>
        <w:footnoteRef/>
      </w:r>
      <w:r>
        <w:t xml:space="preserve"> </w:t>
      </w:r>
      <w:bookmarkStart w:id="7" w:name="_Hlk59110867"/>
      <w:r w:rsidRPr="0001237C">
        <w:rPr>
          <w:rFonts w:cs="Times New Roman"/>
        </w:rPr>
        <w:t>Ministru kabineta 2014.</w:t>
      </w:r>
      <w:r>
        <w:rPr>
          <w:rFonts w:cs="Times New Roman"/>
        </w:rPr>
        <w:t> </w:t>
      </w:r>
      <w:r w:rsidRPr="0001237C">
        <w:rPr>
          <w:rFonts w:cs="Times New Roman"/>
        </w:rPr>
        <w:t>gada 11.</w:t>
      </w:r>
      <w:r>
        <w:rPr>
          <w:rFonts w:cs="Times New Roman"/>
        </w:rPr>
        <w:t> </w:t>
      </w:r>
      <w:r w:rsidRPr="0001237C">
        <w:rPr>
          <w:rFonts w:cs="Times New Roman"/>
        </w:rPr>
        <w:t>februāra noteikum</w:t>
      </w:r>
      <w:r>
        <w:rPr>
          <w:rFonts w:cs="Times New Roman"/>
        </w:rPr>
        <w:t>u</w:t>
      </w:r>
      <w:r w:rsidRPr="0001237C">
        <w:rPr>
          <w:rFonts w:cs="Times New Roman"/>
        </w:rPr>
        <w:t xml:space="preserve"> Nr.</w:t>
      </w:r>
      <w:r>
        <w:rPr>
          <w:rFonts w:cs="Times New Roman"/>
        </w:rPr>
        <w:t> </w:t>
      </w:r>
      <w:r w:rsidRPr="0001237C">
        <w:rPr>
          <w:rFonts w:cs="Times New Roman"/>
        </w:rPr>
        <w:t xml:space="preserve">95 </w:t>
      </w:r>
      <w:bookmarkEnd w:id="7"/>
      <w:r w:rsidRPr="008A6F3A">
        <w:rPr>
          <w:rFonts w:cs="Times New Roman"/>
        </w:rPr>
        <w:t>8.</w:t>
      </w:r>
      <w:r>
        <w:rPr>
          <w:rFonts w:cs="Times New Roman"/>
        </w:rPr>
        <w:t> </w:t>
      </w:r>
      <w:r w:rsidRPr="008A6F3A">
        <w:rPr>
          <w:rFonts w:cs="Times New Roman"/>
        </w:rPr>
        <w:t>punkts</w:t>
      </w:r>
      <w:r>
        <w:rPr>
          <w:rFonts w:cs="Times New Roman"/>
        </w:rPr>
        <w:t>.</w:t>
      </w:r>
    </w:p>
  </w:footnote>
  <w:footnote w:id="8">
    <w:p w14:paraId="32E2E1F8" w14:textId="62EAE093" w:rsidR="00395AD5" w:rsidRPr="008A6F3A" w:rsidRDefault="00395AD5" w:rsidP="007C7598">
      <w:pPr>
        <w:pStyle w:val="FootnoteText"/>
        <w:rPr>
          <w:rFonts w:cs="Times New Roman"/>
        </w:rPr>
      </w:pPr>
      <w:r>
        <w:rPr>
          <w:rStyle w:val="FootnoteReference"/>
        </w:rPr>
        <w:footnoteRef/>
      </w:r>
      <w:r>
        <w:t xml:space="preserve"> </w:t>
      </w:r>
      <w:r w:rsidRPr="0001237C">
        <w:rPr>
          <w:rFonts w:cs="Times New Roman"/>
        </w:rPr>
        <w:t>Ministru kabineta 2014.</w:t>
      </w:r>
      <w:r>
        <w:rPr>
          <w:rFonts w:cs="Times New Roman"/>
        </w:rPr>
        <w:t> </w:t>
      </w:r>
      <w:r w:rsidRPr="0001237C">
        <w:rPr>
          <w:rFonts w:cs="Times New Roman"/>
        </w:rPr>
        <w:t>gada 11.</w:t>
      </w:r>
      <w:r>
        <w:rPr>
          <w:rFonts w:cs="Times New Roman"/>
        </w:rPr>
        <w:t> </w:t>
      </w:r>
      <w:r w:rsidRPr="0001237C">
        <w:rPr>
          <w:rFonts w:cs="Times New Roman"/>
        </w:rPr>
        <w:t>februāra noteikumu Nr.</w:t>
      </w:r>
      <w:r>
        <w:rPr>
          <w:rFonts w:cs="Times New Roman"/>
        </w:rPr>
        <w:t> </w:t>
      </w:r>
      <w:r w:rsidRPr="0001237C">
        <w:rPr>
          <w:rFonts w:cs="Times New Roman"/>
        </w:rPr>
        <w:t>9</w:t>
      </w:r>
      <w:r>
        <w:rPr>
          <w:rFonts w:cs="Times New Roman"/>
        </w:rPr>
        <w:t>6</w:t>
      </w:r>
      <w:r w:rsidRPr="008A6F3A">
        <w:rPr>
          <w:rFonts w:cs="Times New Roman"/>
        </w:rPr>
        <w:t> 129.</w:t>
      </w:r>
      <w:r w:rsidRPr="008A6F3A">
        <w:rPr>
          <w:rFonts w:cs="Times New Roman"/>
          <w:vertAlign w:val="superscript"/>
        </w:rPr>
        <w:t>4</w:t>
      </w:r>
      <w:r w:rsidRPr="008A6F3A">
        <w:rPr>
          <w:rFonts w:cs="Times New Roman"/>
        </w:rPr>
        <w:t xml:space="preserve"> 6</w:t>
      </w:r>
      <w:r>
        <w:rPr>
          <w:rFonts w:cs="Times New Roman"/>
        </w:rPr>
        <w:t>. </w:t>
      </w:r>
      <w:r w:rsidRPr="008A6F3A">
        <w:rPr>
          <w:rFonts w:cs="Times New Roman"/>
        </w:rPr>
        <w:t>apakšpunkts</w:t>
      </w:r>
      <w:r>
        <w:rPr>
          <w:rFonts w:cs="Times New Roman"/>
        </w:rPr>
        <w:t>.</w:t>
      </w:r>
    </w:p>
  </w:footnote>
  <w:footnote w:id="9">
    <w:p w14:paraId="4503A702" w14:textId="3A724B04" w:rsidR="00395AD5" w:rsidRPr="0001237C" w:rsidRDefault="00395AD5" w:rsidP="007C7598">
      <w:pPr>
        <w:pStyle w:val="FootnoteText"/>
        <w:rPr>
          <w:rFonts w:cs="Times New Roman"/>
        </w:rPr>
      </w:pPr>
      <w:r>
        <w:rPr>
          <w:rStyle w:val="FootnoteReference"/>
        </w:rPr>
        <w:footnoteRef/>
      </w:r>
      <w:r>
        <w:t xml:space="preserve"> </w:t>
      </w:r>
      <w:r w:rsidRPr="0001237C">
        <w:rPr>
          <w:rFonts w:cs="Times New Roman"/>
        </w:rPr>
        <w:t>Ministru kabineta 2014.</w:t>
      </w:r>
      <w:r>
        <w:rPr>
          <w:rFonts w:cs="Times New Roman"/>
        </w:rPr>
        <w:t> </w:t>
      </w:r>
      <w:r w:rsidRPr="0001237C">
        <w:rPr>
          <w:rFonts w:cs="Times New Roman"/>
        </w:rPr>
        <w:t>gada 11.</w:t>
      </w:r>
      <w:r>
        <w:rPr>
          <w:rFonts w:cs="Times New Roman"/>
        </w:rPr>
        <w:t> </w:t>
      </w:r>
      <w:r w:rsidRPr="0001237C">
        <w:rPr>
          <w:rFonts w:cs="Times New Roman"/>
        </w:rPr>
        <w:t>februāra noteikumu Nr.</w:t>
      </w:r>
      <w:r>
        <w:rPr>
          <w:rFonts w:cs="Times New Roman"/>
        </w:rPr>
        <w:t> </w:t>
      </w:r>
      <w:r w:rsidRPr="0001237C">
        <w:rPr>
          <w:rFonts w:cs="Times New Roman"/>
        </w:rPr>
        <w:t>95 5.</w:t>
      </w:r>
      <w:r>
        <w:rPr>
          <w:rFonts w:cs="Times New Roman"/>
        </w:rPr>
        <w:t> </w:t>
      </w:r>
      <w:r w:rsidRPr="0001237C">
        <w:rPr>
          <w:rFonts w:cs="Times New Roman"/>
        </w:rPr>
        <w:t>punkts</w:t>
      </w:r>
      <w:r>
        <w:rPr>
          <w:rFonts w:cs="Times New Roman"/>
        </w:rPr>
        <w:t>.</w:t>
      </w:r>
    </w:p>
  </w:footnote>
  <w:footnote w:id="10">
    <w:p w14:paraId="382ACF3E" w14:textId="6F9D0518" w:rsidR="00395AD5" w:rsidRPr="0001237C" w:rsidRDefault="00395AD5" w:rsidP="007C7598">
      <w:pPr>
        <w:pStyle w:val="FootnoteText"/>
        <w:rPr>
          <w:rFonts w:cs="Times New Roman"/>
        </w:rPr>
      </w:pPr>
      <w:r w:rsidRPr="0001237C">
        <w:rPr>
          <w:rStyle w:val="FootnoteReference"/>
          <w:rFonts w:cs="Times New Roman"/>
        </w:rPr>
        <w:footnoteRef/>
      </w:r>
      <w:r w:rsidRPr="0001237C">
        <w:rPr>
          <w:rFonts w:cs="Times New Roman"/>
        </w:rPr>
        <w:t xml:space="preserve"> Turpat, 6.</w:t>
      </w:r>
      <w:r>
        <w:rPr>
          <w:rFonts w:cs="Times New Roman"/>
        </w:rPr>
        <w:t> </w:t>
      </w:r>
      <w:r w:rsidRPr="0001237C">
        <w:rPr>
          <w:rFonts w:cs="Times New Roman"/>
        </w:rPr>
        <w:t>punkts</w:t>
      </w:r>
      <w:r>
        <w:rPr>
          <w:rFonts w:cs="Times New Roman"/>
        </w:rPr>
        <w:t>.</w:t>
      </w:r>
    </w:p>
  </w:footnote>
  <w:footnote w:id="11">
    <w:p w14:paraId="5D5D5D5B" w14:textId="77777777" w:rsidR="00395AD5" w:rsidRPr="0053357F" w:rsidRDefault="00395AD5" w:rsidP="007C7598">
      <w:pPr>
        <w:pStyle w:val="FootnoteText"/>
        <w:rPr>
          <w:rFonts w:cs="Times New Roman"/>
        </w:rPr>
      </w:pPr>
      <w:r w:rsidRPr="0053357F">
        <w:rPr>
          <w:rStyle w:val="FootnoteReference"/>
          <w:rFonts w:cs="Times New Roman"/>
        </w:rPr>
        <w:footnoteRef/>
      </w:r>
      <w:r w:rsidRPr="0053357F">
        <w:rPr>
          <w:rFonts w:cs="Times New Roman"/>
        </w:rPr>
        <w:t xml:space="preserve"> </w:t>
      </w:r>
      <w:r>
        <w:rPr>
          <w:rFonts w:cs="Times New Roman"/>
        </w:rPr>
        <w:t>Turpat,</w:t>
      </w:r>
      <w:r w:rsidRPr="0053357F">
        <w:rPr>
          <w:rFonts w:cs="Times New Roman"/>
        </w:rPr>
        <w:t xml:space="preserve"> 8.</w:t>
      </w:r>
      <w:r w:rsidRPr="0053357F">
        <w:rPr>
          <w:rFonts w:cs="Times New Roman"/>
          <w:vertAlign w:val="superscript"/>
        </w:rPr>
        <w:t>1</w:t>
      </w:r>
      <w:r w:rsidRPr="0053357F">
        <w:rPr>
          <w:rFonts w:cs="Times New Roman"/>
        </w:rPr>
        <w:t xml:space="preserve"> punkts</w:t>
      </w:r>
      <w:r>
        <w:rPr>
          <w:rFonts w:cs="Times New Roman"/>
        </w:rPr>
        <w:t>.</w:t>
      </w:r>
    </w:p>
  </w:footnote>
  <w:footnote w:id="12">
    <w:p w14:paraId="61D3521C" w14:textId="15636157" w:rsidR="00395AD5" w:rsidRPr="008A6F3A" w:rsidRDefault="00395AD5" w:rsidP="007C7598">
      <w:pPr>
        <w:pStyle w:val="FootnoteText"/>
        <w:rPr>
          <w:rFonts w:cs="Times New Roman"/>
        </w:rPr>
      </w:pPr>
      <w:r w:rsidRPr="008A6F3A">
        <w:rPr>
          <w:rStyle w:val="FootnoteReference"/>
          <w:rFonts w:cs="Times New Roman"/>
        </w:rPr>
        <w:footnoteRef/>
      </w:r>
      <w:r w:rsidRPr="008A6F3A">
        <w:rPr>
          <w:rFonts w:cs="Times New Roman"/>
        </w:rPr>
        <w:t xml:space="preserve"> </w:t>
      </w:r>
      <w:r>
        <w:rPr>
          <w:rFonts w:cs="Times New Roman"/>
        </w:rPr>
        <w:t xml:space="preserve">Turpat, </w:t>
      </w:r>
      <w:r w:rsidRPr="008A6F3A">
        <w:rPr>
          <w:rFonts w:cs="Times New Roman"/>
        </w:rPr>
        <w:t>23.14.</w:t>
      </w:r>
      <w:r>
        <w:rPr>
          <w:rFonts w:cs="Times New Roman"/>
        </w:rPr>
        <w:t> </w:t>
      </w:r>
      <w:r w:rsidRPr="008A6F3A">
        <w:rPr>
          <w:rFonts w:cs="Times New Roman"/>
        </w:rPr>
        <w:t>apakšpunkts</w:t>
      </w:r>
      <w:r>
        <w:rPr>
          <w:rFonts w:cs="Times New Roman"/>
        </w:rPr>
        <w:t>.</w:t>
      </w:r>
    </w:p>
  </w:footnote>
  <w:footnote w:id="13">
    <w:p w14:paraId="0301E527" w14:textId="77777777" w:rsidR="00395AD5" w:rsidRPr="0001237C" w:rsidRDefault="00395AD5" w:rsidP="007C7598">
      <w:pPr>
        <w:pStyle w:val="FootnoteText"/>
        <w:rPr>
          <w:rFonts w:cs="Times New Roman"/>
        </w:rPr>
      </w:pPr>
      <w:r w:rsidRPr="0001237C">
        <w:rPr>
          <w:rStyle w:val="FootnoteReference"/>
          <w:rFonts w:cs="Times New Roman"/>
        </w:rPr>
        <w:footnoteRef/>
      </w:r>
      <w:r w:rsidRPr="0001237C">
        <w:rPr>
          <w:rFonts w:cs="Times New Roman"/>
        </w:rPr>
        <w:t xml:space="preserve"> Turpat, 31.</w:t>
      </w:r>
      <w:r w:rsidRPr="0001237C">
        <w:rPr>
          <w:rFonts w:cs="Times New Roman"/>
          <w:vertAlign w:val="superscript"/>
        </w:rPr>
        <w:t xml:space="preserve">1 </w:t>
      </w:r>
      <w:r w:rsidRPr="0001237C">
        <w:rPr>
          <w:rFonts w:cs="Times New Roman"/>
        </w:rPr>
        <w:t>punkts.</w:t>
      </w:r>
    </w:p>
  </w:footnote>
  <w:footnote w:id="14">
    <w:p w14:paraId="7AC0A8A2" w14:textId="3AF28491" w:rsidR="00395AD5" w:rsidRPr="00EA43F8" w:rsidRDefault="00395AD5" w:rsidP="007C7598">
      <w:pPr>
        <w:pStyle w:val="FootnoteText"/>
        <w:rPr>
          <w:rFonts w:cs="Times New Roman"/>
        </w:rPr>
      </w:pPr>
      <w:r>
        <w:rPr>
          <w:rStyle w:val="FootnoteReference"/>
        </w:rPr>
        <w:footnoteRef/>
      </w:r>
      <w:r>
        <w:t xml:space="preserve"> </w:t>
      </w:r>
      <w:r w:rsidRPr="00EA43F8">
        <w:rPr>
          <w:rFonts w:cs="Times New Roman"/>
        </w:rPr>
        <w:t>Ministru kabineta 2014.</w:t>
      </w:r>
      <w:r>
        <w:rPr>
          <w:rFonts w:cs="Times New Roman"/>
        </w:rPr>
        <w:t> </w:t>
      </w:r>
      <w:r w:rsidRPr="00EA43F8">
        <w:rPr>
          <w:rFonts w:cs="Times New Roman"/>
        </w:rPr>
        <w:t>gada 11.</w:t>
      </w:r>
      <w:r>
        <w:rPr>
          <w:rFonts w:cs="Times New Roman"/>
        </w:rPr>
        <w:t> </w:t>
      </w:r>
      <w:r w:rsidRPr="00EA43F8">
        <w:rPr>
          <w:rFonts w:cs="Times New Roman"/>
        </w:rPr>
        <w:t>februāra noteikumi Nr.</w:t>
      </w:r>
      <w:r>
        <w:rPr>
          <w:rFonts w:cs="Times New Roman"/>
        </w:rPr>
        <w:t> </w:t>
      </w:r>
      <w:r w:rsidRPr="00EA43F8">
        <w:rPr>
          <w:rFonts w:cs="Times New Roman"/>
        </w:rPr>
        <w:t xml:space="preserve">95 </w:t>
      </w:r>
    </w:p>
  </w:footnote>
  <w:footnote w:id="15">
    <w:p w14:paraId="5699B650" w14:textId="287F6BE1" w:rsidR="00395AD5" w:rsidRDefault="00395AD5" w:rsidP="003765A7">
      <w:pPr>
        <w:pStyle w:val="FootnoteText"/>
      </w:pPr>
      <w:r>
        <w:rPr>
          <w:rStyle w:val="FootnoteReference"/>
        </w:rPr>
        <w:footnoteRef/>
      </w:r>
      <w:r>
        <w:t xml:space="preserve"> </w:t>
      </w:r>
      <w:r w:rsidRPr="00CB3052">
        <w:t>Pievienotās vērtības nodokļa likuma 127.</w:t>
      </w:r>
      <w:r>
        <w:t> </w:t>
      </w:r>
      <w:r w:rsidRPr="00CB3052">
        <w:t>panta pirmā un otrā daļa</w:t>
      </w:r>
    </w:p>
  </w:footnote>
  <w:footnote w:id="16">
    <w:p w14:paraId="61F3F832" w14:textId="5521C5E9" w:rsidR="00395AD5" w:rsidRPr="002D39C8" w:rsidRDefault="00395AD5" w:rsidP="003765A7">
      <w:pPr>
        <w:pStyle w:val="FootnoteText"/>
        <w:rPr>
          <w:rFonts w:cs="Times New Roman"/>
        </w:rPr>
      </w:pPr>
      <w:r w:rsidRPr="002D39C8">
        <w:rPr>
          <w:rStyle w:val="FootnoteReference"/>
          <w:rFonts w:cs="Times New Roman"/>
        </w:rPr>
        <w:footnoteRef/>
      </w:r>
      <w:r w:rsidRPr="002D39C8">
        <w:rPr>
          <w:rFonts w:cs="Times New Roman"/>
        </w:rPr>
        <w:t xml:space="preserve"> PVN direktīvas 233.</w:t>
      </w:r>
      <w:r>
        <w:rPr>
          <w:rFonts w:cs="Times New Roman"/>
        </w:rPr>
        <w:t> </w:t>
      </w:r>
      <w:r w:rsidRPr="002D39C8">
        <w:rPr>
          <w:rFonts w:cs="Times New Roman"/>
        </w:rPr>
        <w:t>panta 1.</w:t>
      </w:r>
      <w:r>
        <w:rPr>
          <w:rFonts w:cs="Times New Roman"/>
        </w:rPr>
        <w:t> </w:t>
      </w:r>
      <w:r w:rsidRPr="002D39C8">
        <w:rPr>
          <w:rFonts w:cs="Times New Roman"/>
        </w:rPr>
        <w:t>punkts un Pievienotās vērtības nodokļa likuma 125.</w:t>
      </w:r>
      <w:r>
        <w:rPr>
          <w:rFonts w:cs="Times New Roman"/>
        </w:rPr>
        <w:t> </w:t>
      </w:r>
      <w:r w:rsidRPr="002D39C8">
        <w:rPr>
          <w:rFonts w:cs="Times New Roman"/>
        </w:rPr>
        <w:t>panta trešā un ceturtā daļa</w:t>
      </w:r>
    </w:p>
  </w:footnote>
  <w:footnote w:id="17">
    <w:p w14:paraId="67858DE6" w14:textId="77777777" w:rsidR="00395AD5" w:rsidRDefault="00395AD5" w:rsidP="003765A7">
      <w:pPr>
        <w:pStyle w:val="FootnoteText"/>
      </w:pPr>
      <w:r>
        <w:rPr>
          <w:rStyle w:val="FootnoteReference"/>
        </w:rPr>
        <w:footnoteRef/>
      </w:r>
      <w:r>
        <w:t xml:space="preserve"> </w:t>
      </w:r>
      <w:hyperlink r:id="rId1" w:history="1">
        <w:r>
          <w:rPr>
            <w:rStyle w:val="Hyperlink"/>
          </w:rPr>
          <w:t>2011-expl-notes_lv.DOC (europa.eu)</w:t>
        </w:r>
      </w:hyperlink>
      <w:r>
        <w:t xml:space="preserve"> </w:t>
      </w:r>
    </w:p>
  </w:footnote>
  <w:footnote w:id="18">
    <w:p w14:paraId="09A19470" w14:textId="5E688EA8" w:rsidR="00395AD5" w:rsidRPr="002D39C8" w:rsidRDefault="00395AD5" w:rsidP="003765A7">
      <w:pPr>
        <w:pStyle w:val="FootnoteText"/>
        <w:rPr>
          <w:rFonts w:cs="Times New Roman"/>
        </w:rPr>
      </w:pPr>
      <w:r w:rsidRPr="002D39C8">
        <w:rPr>
          <w:rStyle w:val="FootnoteReference"/>
          <w:rFonts w:cs="Times New Roman"/>
        </w:rPr>
        <w:footnoteRef/>
      </w:r>
      <w:r w:rsidRPr="002D39C8">
        <w:rPr>
          <w:rFonts w:cs="Times New Roman"/>
        </w:rPr>
        <w:t xml:space="preserve"> Pievienotās vērtības nodokļa likuma 125.</w:t>
      </w:r>
      <w:r>
        <w:rPr>
          <w:rFonts w:cs="Times New Roman"/>
        </w:rPr>
        <w:t> </w:t>
      </w:r>
      <w:r w:rsidRPr="002D39C8">
        <w:rPr>
          <w:rFonts w:cs="Times New Roman"/>
        </w:rPr>
        <w:t xml:space="preserve">panta sestā daļa </w:t>
      </w:r>
    </w:p>
  </w:footnote>
  <w:footnote w:id="19">
    <w:p w14:paraId="16C84509" w14:textId="218F41B2" w:rsidR="00395AD5" w:rsidRDefault="00395AD5" w:rsidP="003765A7">
      <w:pPr>
        <w:pStyle w:val="FootnoteText"/>
      </w:pPr>
      <w:r w:rsidRPr="002D39C8">
        <w:rPr>
          <w:rStyle w:val="FootnoteReference"/>
          <w:rFonts w:cs="Times New Roman"/>
        </w:rPr>
        <w:footnoteRef/>
      </w:r>
      <w:r w:rsidRPr="002D39C8">
        <w:rPr>
          <w:rFonts w:cs="Times New Roman"/>
        </w:rPr>
        <w:t xml:space="preserve"> Pievienotās vērtības nodokļa likuma 132.</w:t>
      </w:r>
      <w:r>
        <w:rPr>
          <w:rFonts w:cs="Times New Roman"/>
        </w:rPr>
        <w:t> </w:t>
      </w:r>
      <w:r w:rsidRPr="002D39C8">
        <w:rPr>
          <w:rFonts w:cs="Times New Roman"/>
        </w:rPr>
        <w:t>panta pirmā un otrā daļa</w:t>
      </w:r>
    </w:p>
  </w:footnote>
  <w:footnote w:id="20">
    <w:p w14:paraId="1209D222" w14:textId="0193B1C1" w:rsidR="00395AD5" w:rsidRDefault="00395AD5" w:rsidP="003765A7">
      <w:pPr>
        <w:pStyle w:val="FootnoteText"/>
      </w:pPr>
      <w:r>
        <w:rPr>
          <w:rStyle w:val="FootnoteReference"/>
        </w:rPr>
        <w:footnoteRef/>
      </w:r>
      <w:r>
        <w:t xml:space="preserve"> </w:t>
      </w:r>
      <w:r w:rsidRPr="00232681">
        <w:t>Ministru kabineta 2014.</w:t>
      </w:r>
      <w:r>
        <w:t> </w:t>
      </w:r>
      <w:r w:rsidRPr="00232681">
        <w:t>gada 11.</w:t>
      </w:r>
      <w:r>
        <w:t> </w:t>
      </w:r>
      <w:r w:rsidRPr="00232681">
        <w:t>februāra noteikumu Nr.</w:t>
      </w:r>
      <w:r>
        <w:t> </w:t>
      </w:r>
      <w:r w:rsidRPr="00232681">
        <w:t>95 23.</w:t>
      </w:r>
      <w:r>
        <w:t> </w:t>
      </w:r>
      <w:r w:rsidRPr="00232681">
        <w:t>punkts.</w:t>
      </w:r>
    </w:p>
  </w:footnote>
  <w:footnote w:id="21">
    <w:p w14:paraId="1DCF25B7" w14:textId="42690D47" w:rsidR="00395AD5" w:rsidRDefault="00395AD5" w:rsidP="003765A7">
      <w:pPr>
        <w:pStyle w:val="FootnoteText"/>
      </w:pPr>
      <w:r>
        <w:rPr>
          <w:rStyle w:val="FootnoteReference"/>
        </w:rPr>
        <w:footnoteRef/>
      </w:r>
      <w:r>
        <w:t xml:space="preserve"> </w:t>
      </w:r>
      <w:r w:rsidRPr="00232681">
        <w:t>Ministru kabineta 2014.</w:t>
      </w:r>
      <w:r>
        <w:t> </w:t>
      </w:r>
      <w:r w:rsidRPr="00232681">
        <w:t>gada 11.</w:t>
      </w:r>
      <w:r>
        <w:t> </w:t>
      </w:r>
      <w:r w:rsidRPr="00232681">
        <w:t>februāra noteikumu Nr.</w:t>
      </w:r>
      <w:r>
        <w:t> </w:t>
      </w:r>
      <w:r w:rsidRPr="00232681">
        <w:t>96 71.10.</w:t>
      </w:r>
      <w:r>
        <w:t> </w:t>
      </w:r>
      <w:r w:rsidRPr="00232681">
        <w:t>apakšpunkts.</w:t>
      </w:r>
    </w:p>
  </w:footnote>
  <w:footnote w:id="22">
    <w:p w14:paraId="2EE69C46" w14:textId="368CF2E1" w:rsidR="00395AD5" w:rsidRDefault="00395AD5" w:rsidP="003765A7">
      <w:pPr>
        <w:pStyle w:val="FootnoteText"/>
      </w:pPr>
      <w:r>
        <w:rPr>
          <w:rStyle w:val="FootnoteReference"/>
        </w:rPr>
        <w:footnoteRef/>
      </w:r>
      <w:r>
        <w:t xml:space="preserve"> </w:t>
      </w:r>
      <w:r w:rsidRPr="00232681">
        <w:t>Pievienotās vērtības nodokļa likuma 126.</w:t>
      </w:r>
      <w:r>
        <w:t> </w:t>
      </w:r>
      <w:r w:rsidRPr="00232681">
        <w:t>panta trešā daļa, Ministru kabineta 2013.</w:t>
      </w:r>
      <w:r>
        <w:t> </w:t>
      </w:r>
      <w:r w:rsidRPr="00232681">
        <w:t>gada 3.</w:t>
      </w:r>
      <w:r>
        <w:t> </w:t>
      </w:r>
      <w:r w:rsidRPr="00232681">
        <w:t>janvāra noteikumu Nr.</w:t>
      </w:r>
      <w:r>
        <w:t> </w:t>
      </w:r>
      <w:r w:rsidRPr="00232681">
        <w:t>17 “Pievienotās vērtības nodokļa likuma normu piemērošanas kārtība un atsevišķas prasības pievienotās vērtības nodokļa maksāšanai un administrēšanai” 175.</w:t>
      </w:r>
      <w:r>
        <w:t> </w:t>
      </w:r>
      <w:r w:rsidRPr="00232681">
        <w:t>punkts.</w:t>
      </w:r>
    </w:p>
  </w:footnote>
  <w:footnote w:id="23">
    <w:p w14:paraId="6005E525" w14:textId="4013FD4C" w:rsidR="00395AD5" w:rsidRDefault="00395AD5" w:rsidP="003765A7">
      <w:pPr>
        <w:pStyle w:val="FootnoteText"/>
      </w:pPr>
      <w:r>
        <w:rPr>
          <w:rStyle w:val="FootnoteReference"/>
        </w:rPr>
        <w:footnoteRef/>
      </w:r>
      <w:r>
        <w:t xml:space="preserve"> </w:t>
      </w:r>
      <w:r w:rsidRPr="00232681">
        <w:t>Pievienotās vērtības nodokļa likuma 126.</w:t>
      </w:r>
      <w:r>
        <w:t> </w:t>
      </w:r>
      <w:r w:rsidRPr="00232681">
        <w:t>panta ceturtā daļa.</w:t>
      </w:r>
    </w:p>
  </w:footnote>
  <w:footnote w:id="24">
    <w:p w14:paraId="5D34B3BA" w14:textId="6F89080C" w:rsidR="00395AD5" w:rsidRDefault="00395AD5" w:rsidP="003765A7">
      <w:pPr>
        <w:pStyle w:val="FootnoteText"/>
      </w:pPr>
      <w:r>
        <w:rPr>
          <w:rStyle w:val="FootnoteReference"/>
        </w:rPr>
        <w:footnoteRef/>
      </w:r>
      <w:r>
        <w:t xml:space="preserve"> </w:t>
      </w:r>
      <w:r w:rsidRPr="00232681">
        <w:t>Ministru kabineta 2003.</w:t>
      </w:r>
      <w:r>
        <w:t> </w:t>
      </w:r>
      <w:r w:rsidRPr="00232681">
        <w:t>gada 21.</w:t>
      </w:r>
      <w:r>
        <w:t> </w:t>
      </w:r>
      <w:r w:rsidRPr="00232681">
        <w:t>oktobra noteikumu Nr.</w:t>
      </w:r>
      <w:r>
        <w:t> </w:t>
      </w:r>
      <w:r w:rsidRPr="00232681">
        <w:t>585 “Noteikumi par grāmatvedības kārtošanu un organizāciju” 8.</w:t>
      </w:r>
      <w:r w:rsidRPr="00232681">
        <w:rPr>
          <w:vertAlign w:val="superscript"/>
        </w:rPr>
        <w:t>1</w:t>
      </w:r>
      <w:r w:rsidRPr="00232681">
        <w:t xml:space="preserve"> punkts.</w:t>
      </w:r>
    </w:p>
  </w:footnote>
  <w:footnote w:id="25">
    <w:p w14:paraId="49DFC701" w14:textId="78AF9BFB" w:rsidR="00395AD5" w:rsidRDefault="00395AD5" w:rsidP="003765A7">
      <w:pPr>
        <w:pStyle w:val="FootnoteText"/>
      </w:pPr>
      <w:r>
        <w:rPr>
          <w:rStyle w:val="FootnoteReference"/>
        </w:rPr>
        <w:footnoteRef/>
      </w:r>
      <w:r>
        <w:t xml:space="preserve"> </w:t>
      </w:r>
      <w:r w:rsidRPr="00232681">
        <w:t>Ministru kabineta 2003.</w:t>
      </w:r>
      <w:r>
        <w:t> </w:t>
      </w:r>
      <w:r w:rsidRPr="00232681">
        <w:t>gada 21.</w:t>
      </w:r>
      <w:r>
        <w:t> </w:t>
      </w:r>
      <w:r w:rsidRPr="00232681">
        <w:t>oktobra noteikumu Nr.</w:t>
      </w:r>
      <w:r>
        <w:t> </w:t>
      </w:r>
      <w:r w:rsidRPr="00232681">
        <w:t>585 “Noteikumi par grāmatvedības kārtošanu un organizāciju” 8.</w:t>
      </w:r>
      <w:r w:rsidRPr="00232681">
        <w:rPr>
          <w:vertAlign w:val="superscript"/>
        </w:rPr>
        <w:t>2</w:t>
      </w:r>
      <w:r w:rsidRPr="00232681">
        <w:t xml:space="preserve"> punkts.</w:t>
      </w:r>
    </w:p>
  </w:footnote>
  <w:footnote w:id="26">
    <w:p w14:paraId="28E24270" w14:textId="332B4B1B" w:rsidR="00395AD5" w:rsidRDefault="00395AD5" w:rsidP="003765A7">
      <w:pPr>
        <w:pStyle w:val="FootnoteText"/>
      </w:pPr>
      <w:r>
        <w:rPr>
          <w:rStyle w:val="FootnoteReference"/>
        </w:rPr>
        <w:footnoteRef/>
      </w:r>
      <w:r>
        <w:t xml:space="preserve"> </w:t>
      </w:r>
      <w:r w:rsidRPr="00232681">
        <w:t>Ministru kabineta 2014.</w:t>
      </w:r>
      <w:r>
        <w:t> </w:t>
      </w:r>
      <w:r w:rsidRPr="00232681">
        <w:t>gada 11.</w:t>
      </w:r>
      <w:r>
        <w:t> </w:t>
      </w:r>
      <w:r w:rsidRPr="00232681">
        <w:t>februāra noteikumu Nr.</w:t>
      </w:r>
      <w:r>
        <w:t> </w:t>
      </w:r>
      <w:r w:rsidRPr="00232681">
        <w:t>96 82.1.</w:t>
      </w:r>
      <w:r>
        <w:t> </w:t>
      </w:r>
      <w:r w:rsidRPr="00232681">
        <w:t>apakšpunkts.</w:t>
      </w:r>
    </w:p>
  </w:footnote>
  <w:footnote w:id="27">
    <w:p w14:paraId="0B1B8AB2" w14:textId="325CF47D" w:rsidR="00395AD5" w:rsidRDefault="00395AD5" w:rsidP="003765A7">
      <w:pPr>
        <w:pStyle w:val="FootnoteText"/>
      </w:pPr>
      <w:r>
        <w:rPr>
          <w:rStyle w:val="FootnoteReference"/>
        </w:rPr>
        <w:footnoteRef/>
      </w:r>
      <w:r>
        <w:t xml:space="preserve"> </w:t>
      </w:r>
      <w:r w:rsidRPr="00232681">
        <w:t>Ministru kabineta 2014.</w:t>
      </w:r>
      <w:r>
        <w:t> </w:t>
      </w:r>
      <w:r w:rsidRPr="00232681">
        <w:t>gada 11.</w:t>
      </w:r>
      <w:r>
        <w:t> </w:t>
      </w:r>
      <w:r w:rsidRPr="00232681">
        <w:t>februāra noteikumu Nr.</w:t>
      </w:r>
      <w:r>
        <w:t> </w:t>
      </w:r>
      <w:r w:rsidRPr="00232681">
        <w:t>96 82.3.</w:t>
      </w:r>
      <w:r>
        <w:t> </w:t>
      </w:r>
      <w:r w:rsidRPr="00232681">
        <w:t>apakšpunkts.</w:t>
      </w:r>
    </w:p>
  </w:footnote>
  <w:footnote w:id="28">
    <w:p w14:paraId="3AA4977F" w14:textId="05F3A583" w:rsidR="00395AD5" w:rsidRDefault="00395AD5" w:rsidP="003765A7">
      <w:pPr>
        <w:pStyle w:val="FootnoteText"/>
      </w:pPr>
      <w:r>
        <w:rPr>
          <w:rStyle w:val="FootnoteReference"/>
        </w:rPr>
        <w:footnoteRef/>
      </w:r>
      <w:r>
        <w:t xml:space="preserve"> </w:t>
      </w:r>
      <w:r w:rsidRPr="00232681">
        <w:t>Ministru kabineta 2014.</w:t>
      </w:r>
      <w:r>
        <w:t> </w:t>
      </w:r>
      <w:r w:rsidRPr="00232681">
        <w:t>gada 11.</w:t>
      </w:r>
      <w:r>
        <w:t> </w:t>
      </w:r>
      <w:r w:rsidRPr="00232681">
        <w:t>februāra noteikumu Nr.</w:t>
      </w:r>
      <w:r>
        <w:t> </w:t>
      </w:r>
      <w:r w:rsidRPr="00232681">
        <w:t>96 82.</w:t>
      </w:r>
      <w:r w:rsidRPr="00232681">
        <w:rPr>
          <w:vertAlign w:val="superscript"/>
        </w:rPr>
        <w:t>1</w:t>
      </w:r>
      <w:r w:rsidRPr="00232681">
        <w:t xml:space="preserve"> un 82.</w:t>
      </w:r>
      <w:r w:rsidRPr="00232681">
        <w:rPr>
          <w:vertAlign w:val="superscript"/>
        </w:rPr>
        <w:t>2</w:t>
      </w:r>
      <w:r w:rsidRPr="00232681">
        <w:t xml:space="preserve"> punkts.</w:t>
      </w:r>
    </w:p>
  </w:footnote>
  <w:footnote w:id="29">
    <w:p w14:paraId="3430D8B8" w14:textId="77777777" w:rsidR="00395AD5" w:rsidRDefault="00395AD5" w:rsidP="00EF3835">
      <w:pPr>
        <w:pStyle w:val="FootnoteText"/>
      </w:pPr>
      <w:r>
        <w:rPr>
          <w:rStyle w:val="FootnoteReference"/>
        </w:rPr>
        <w:footnoteRef/>
      </w:r>
      <w:r>
        <w:t xml:space="preserve"> </w:t>
      </w:r>
      <w:hyperlink r:id="rId2" w:history="1">
        <w:r>
          <w:rPr>
            <w:rStyle w:val="Hyperlink"/>
          </w:rPr>
          <w:t>https://eur-lex.europa.eu/legal-content/LV/TXT/?uri=CELEX:52018PC0055</w:t>
        </w:r>
      </w:hyperlink>
      <w:r>
        <w:t xml:space="preserve"> </w:t>
      </w:r>
    </w:p>
  </w:footnote>
  <w:footnote w:id="30">
    <w:p w14:paraId="7467115D" w14:textId="77777777" w:rsidR="00395AD5" w:rsidRDefault="00395AD5" w:rsidP="002D080C">
      <w:pPr>
        <w:pStyle w:val="FootnoteText"/>
      </w:pPr>
      <w:r>
        <w:rPr>
          <w:rStyle w:val="FootnoteReference"/>
        </w:rPr>
        <w:footnoteRef/>
      </w:r>
      <w:r>
        <w:t xml:space="preserve"> </w:t>
      </w:r>
      <w:r w:rsidRPr="002E11E8">
        <w:t>https://ec.europa.eu/cefdigital/wiki/display/CEFDIGITALEBSI/Notarisation</w:t>
      </w:r>
    </w:p>
  </w:footnote>
  <w:footnote w:id="31">
    <w:p w14:paraId="769CB031" w14:textId="77777777" w:rsidR="00395AD5" w:rsidRDefault="00395AD5" w:rsidP="00D3683C">
      <w:pPr>
        <w:pStyle w:val="FootnoteText"/>
      </w:pPr>
      <w:r>
        <w:rPr>
          <w:rStyle w:val="FootnoteReference"/>
        </w:rPr>
        <w:footnoteRef/>
      </w:r>
      <w:r>
        <w:t xml:space="preserve"> </w:t>
      </w:r>
      <w:hyperlink r:id="rId3" w:history="1">
        <w:r w:rsidRPr="00F85D98">
          <w:rPr>
            <w:rStyle w:val="Hyperlink"/>
            <w:i/>
            <w:iCs/>
          </w:rPr>
          <w:t>https://www.rekini.lv/sending.html</w:t>
        </w:r>
      </w:hyperlink>
    </w:p>
  </w:footnote>
  <w:footnote w:id="32">
    <w:p w14:paraId="5C024A52" w14:textId="77777777" w:rsidR="00395AD5" w:rsidRDefault="00395AD5" w:rsidP="0006376E">
      <w:pPr>
        <w:pStyle w:val="FootnoteText"/>
      </w:pPr>
      <w:r>
        <w:rPr>
          <w:rStyle w:val="FootnoteReference"/>
        </w:rPr>
        <w:footnoteRef/>
      </w:r>
      <w:r>
        <w:t xml:space="preserve"> </w:t>
      </w:r>
      <w:r w:rsidRPr="00177849">
        <w:t>The e-invoicing jorney 2019-2025. https://www.billentis.com/The_einvoicing_journey_2019-2025.pdf</w:t>
      </w:r>
    </w:p>
  </w:footnote>
  <w:footnote w:id="33">
    <w:p w14:paraId="3A8B1C75" w14:textId="77777777" w:rsidR="00395AD5" w:rsidRDefault="00395AD5" w:rsidP="007B6688">
      <w:pPr>
        <w:pStyle w:val="FootnoteText"/>
      </w:pPr>
      <w:r>
        <w:rPr>
          <w:rStyle w:val="FootnoteReference"/>
        </w:rPr>
        <w:footnoteRef/>
      </w:r>
      <w:r>
        <w:t xml:space="preserve"> </w:t>
      </w:r>
      <w:r w:rsidRPr="008F2D15">
        <w:t xml:space="preserve">“Četri no desmit Latvijas uzņēmumiem rēķinus sagatavo automātiski” Publicēts 13.01.2021., </w:t>
      </w:r>
      <w:hyperlink r:id="rId4" w:history="1">
        <w:r w:rsidRPr="008F2D15">
          <w:rPr>
            <w:rStyle w:val="Hyperlink"/>
          </w:rPr>
          <w:t>https://nra.lv/latvija/335926-cetri-no-desmit-latvijas-uznemumiem-rekinus-sagatavo-automatiski.htm</w:t>
        </w:r>
      </w:hyperlink>
      <w:r w:rsidRPr="008F2D1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765"/>
      <w:gridCol w:w="2765"/>
      <w:gridCol w:w="2765"/>
    </w:tblGrid>
    <w:tr w:rsidR="00395AD5" w14:paraId="1B669AE8" w14:textId="77777777" w:rsidTr="29DC2325">
      <w:tc>
        <w:tcPr>
          <w:tcW w:w="2765" w:type="dxa"/>
        </w:tcPr>
        <w:p w14:paraId="7EC06AEF" w14:textId="22616090" w:rsidR="00395AD5" w:rsidRDefault="00395AD5" w:rsidP="29DC2325">
          <w:pPr>
            <w:pStyle w:val="Header"/>
            <w:ind w:left="-115"/>
            <w:jc w:val="left"/>
          </w:pPr>
        </w:p>
      </w:tc>
      <w:tc>
        <w:tcPr>
          <w:tcW w:w="2765" w:type="dxa"/>
        </w:tcPr>
        <w:p w14:paraId="41A93036" w14:textId="16C7C25D" w:rsidR="00395AD5" w:rsidRDefault="00395AD5" w:rsidP="29DC2325">
          <w:pPr>
            <w:pStyle w:val="Header"/>
            <w:jc w:val="center"/>
          </w:pPr>
        </w:p>
      </w:tc>
      <w:tc>
        <w:tcPr>
          <w:tcW w:w="2765" w:type="dxa"/>
        </w:tcPr>
        <w:p w14:paraId="3A5097BB" w14:textId="382F10E7" w:rsidR="00395AD5" w:rsidRDefault="00395AD5" w:rsidP="29DC2325">
          <w:pPr>
            <w:pStyle w:val="Header"/>
            <w:ind w:right="-115"/>
            <w:jc w:val="right"/>
          </w:pPr>
        </w:p>
      </w:tc>
    </w:tr>
  </w:tbl>
  <w:p w14:paraId="20D734A2" w14:textId="4CC2D848" w:rsidR="00395AD5" w:rsidRDefault="00395AD5" w:rsidP="29DC2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765"/>
      <w:gridCol w:w="2765"/>
      <w:gridCol w:w="2765"/>
    </w:tblGrid>
    <w:tr w:rsidR="00395AD5" w14:paraId="4FB34EF0" w14:textId="77777777" w:rsidTr="29DC2325">
      <w:tc>
        <w:tcPr>
          <w:tcW w:w="2765" w:type="dxa"/>
        </w:tcPr>
        <w:p w14:paraId="5A36C7C2" w14:textId="3FB29B54" w:rsidR="00395AD5" w:rsidRDefault="00395AD5" w:rsidP="29DC2325">
          <w:pPr>
            <w:pStyle w:val="Header"/>
            <w:ind w:left="-115"/>
            <w:jc w:val="left"/>
          </w:pPr>
        </w:p>
      </w:tc>
      <w:tc>
        <w:tcPr>
          <w:tcW w:w="2765" w:type="dxa"/>
        </w:tcPr>
        <w:p w14:paraId="19429064" w14:textId="61476FDF" w:rsidR="00395AD5" w:rsidRDefault="00395AD5" w:rsidP="29DC2325">
          <w:pPr>
            <w:pStyle w:val="Header"/>
            <w:jc w:val="center"/>
          </w:pPr>
        </w:p>
      </w:tc>
      <w:tc>
        <w:tcPr>
          <w:tcW w:w="2765" w:type="dxa"/>
        </w:tcPr>
        <w:p w14:paraId="31920D2B" w14:textId="55E49443" w:rsidR="00395AD5" w:rsidRDefault="00395AD5" w:rsidP="29DC2325">
          <w:pPr>
            <w:pStyle w:val="Header"/>
            <w:ind w:right="-115"/>
            <w:jc w:val="right"/>
          </w:pPr>
        </w:p>
      </w:tc>
    </w:tr>
  </w:tbl>
  <w:p w14:paraId="1D5640A7" w14:textId="09628B20" w:rsidR="00395AD5" w:rsidRDefault="00395AD5" w:rsidP="29DC2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25669"/>
    <w:multiLevelType w:val="singleLevel"/>
    <w:tmpl w:val="D23AA4FA"/>
    <w:lvl w:ilvl="0">
      <w:start w:val="1"/>
      <w:numFmt w:val="none"/>
      <w:lvlText w:val=""/>
      <w:legacy w:legacy="1" w:legacySpace="0" w:legacyIndent="0"/>
      <w:lvlJc w:val="left"/>
      <w:pPr>
        <w:ind w:left="0" w:firstLine="0"/>
      </w:pPr>
    </w:lvl>
  </w:abstractNum>
  <w:abstractNum w:abstractNumId="1" w15:restartNumberingAfterBreak="0">
    <w:nsid w:val="0805571C"/>
    <w:multiLevelType w:val="hybridMultilevel"/>
    <w:tmpl w:val="2730A040"/>
    <w:lvl w:ilvl="0" w:tplc="E08261B0">
      <w:start w:val="1"/>
      <w:numFmt w:val="bullet"/>
      <w:pStyle w:val="List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B10D2"/>
    <w:multiLevelType w:val="hybridMultilevel"/>
    <w:tmpl w:val="D60AD5F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3" w15:restartNumberingAfterBreak="0">
    <w:nsid w:val="0F043A40"/>
    <w:multiLevelType w:val="multilevel"/>
    <w:tmpl w:val="48520782"/>
    <w:lvl w:ilvl="0">
      <w:start w:val="1"/>
      <w:numFmt w:val="decimal"/>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184584"/>
    <w:multiLevelType w:val="hybridMultilevel"/>
    <w:tmpl w:val="3C922D3A"/>
    <w:lvl w:ilvl="0" w:tplc="84FC4036">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524E92"/>
    <w:multiLevelType w:val="hybridMultilevel"/>
    <w:tmpl w:val="FFFFFFFF"/>
    <w:lvl w:ilvl="0" w:tplc="FFF2A5EE">
      <w:start w:val="1"/>
      <w:numFmt w:val="bullet"/>
      <w:lvlText w:val=""/>
      <w:lvlJc w:val="left"/>
      <w:pPr>
        <w:ind w:left="720" w:hanging="360"/>
      </w:pPr>
      <w:rPr>
        <w:rFonts w:ascii="Symbol" w:hAnsi="Symbol" w:hint="default"/>
      </w:rPr>
    </w:lvl>
    <w:lvl w:ilvl="1" w:tplc="0A7A517C">
      <w:start w:val="1"/>
      <w:numFmt w:val="bullet"/>
      <w:lvlText w:val="·"/>
      <w:lvlJc w:val="left"/>
      <w:pPr>
        <w:ind w:left="1440" w:hanging="360"/>
      </w:pPr>
      <w:rPr>
        <w:rFonts w:ascii="Symbol" w:hAnsi="Symbol" w:hint="default"/>
      </w:rPr>
    </w:lvl>
    <w:lvl w:ilvl="2" w:tplc="8F149DDE">
      <w:start w:val="1"/>
      <w:numFmt w:val="bullet"/>
      <w:lvlText w:val=""/>
      <w:lvlJc w:val="left"/>
      <w:pPr>
        <w:ind w:left="2160" w:hanging="360"/>
      </w:pPr>
      <w:rPr>
        <w:rFonts w:ascii="Wingdings" w:hAnsi="Wingdings" w:hint="default"/>
      </w:rPr>
    </w:lvl>
    <w:lvl w:ilvl="3" w:tplc="D5CEF63A">
      <w:start w:val="1"/>
      <w:numFmt w:val="bullet"/>
      <w:lvlText w:val=""/>
      <w:lvlJc w:val="left"/>
      <w:pPr>
        <w:ind w:left="2880" w:hanging="360"/>
      </w:pPr>
      <w:rPr>
        <w:rFonts w:ascii="Symbol" w:hAnsi="Symbol" w:hint="default"/>
      </w:rPr>
    </w:lvl>
    <w:lvl w:ilvl="4" w:tplc="BFC43E3A">
      <w:start w:val="1"/>
      <w:numFmt w:val="bullet"/>
      <w:lvlText w:val="o"/>
      <w:lvlJc w:val="left"/>
      <w:pPr>
        <w:ind w:left="3600" w:hanging="360"/>
      </w:pPr>
      <w:rPr>
        <w:rFonts w:ascii="Courier New" w:hAnsi="Courier New" w:hint="default"/>
      </w:rPr>
    </w:lvl>
    <w:lvl w:ilvl="5" w:tplc="CAE403DE">
      <w:start w:val="1"/>
      <w:numFmt w:val="bullet"/>
      <w:lvlText w:val=""/>
      <w:lvlJc w:val="left"/>
      <w:pPr>
        <w:ind w:left="4320" w:hanging="360"/>
      </w:pPr>
      <w:rPr>
        <w:rFonts w:ascii="Wingdings" w:hAnsi="Wingdings" w:hint="default"/>
      </w:rPr>
    </w:lvl>
    <w:lvl w:ilvl="6" w:tplc="CA4C77CE">
      <w:start w:val="1"/>
      <w:numFmt w:val="bullet"/>
      <w:lvlText w:val=""/>
      <w:lvlJc w:val="left"/>
      <w:pPr>
        <w:ind w:left="5040" w:hanging="360"/>
      </w:pPr>
      <w:rPr>
        <w:rFonts w:ascii="Symbol" w:hAnsi="Symbol" w:hint="default"/>
      </w:rPr>
    </w:lvl>
    <w:lvl w:ilvl="7" w:tplc="BE926A30">
      <w:start w:val="1"/>
      <w:numFmt w:val="bullet"/>
      <w:lvlText w:val="o"/>
      <w:lvlJc w:val="left"/>
      <w:pPr>
        <w:ind w:left="5760" w:hanging="360"/>
      </w:pPr>
      <w:rPr>
        <w:rFonts w:ascii="Courier New" w:hAnsi="Courier New" w:hint="default"/>
      </w:rPr>
    </w:lvl>
    <w:lvl w:ilvl="8" w:tplc="27AC66D2">
      <w:start w:val="1"/>
      <w:numFmt w:val="bullet"/>
      <w:lvlText w:val=""/>
      <w:lvlJc w:val="left"/>
      <w:pPr>
        <w:ind w:left="6480" w:hanging="360"/>
      </w:pPr>
      <w:rPr>
        <w:rFonts w:ascii="Wingdings" w:hAnsi="Wingdings" w:hint="default"/>
      </w:rPr>
    </w:lvl>
  </w:abstractNum>
  <w:abstractNum w:abstractNumId="6" w15:restartNumberingAfterBreak="0">
    <w:nsid w:val="183C6240"/>
    <w:multiLevelType w:val="hybridMultilevel"/>
    <w:tmpl w:val="43BA88B2"/>
    <w:lvl w:ilvl="0" w:tplc="F6D28D96">
      <w:start w:val="1"/>
      <w:numFmt w:val="bullet"/>
      <w:lvlText w:val=""/>
      <w:lvlJc w:val="left"/>
      <w:pPr>
        <w:ind w:left="720" w:hanging="360"/>
      </w:pPr>
      <w:rPr>
        <w:rFonts w:ascii="Symbol" w:hAnsi="Symbol" w:hint="default"/>
      </w:rPr>
    </w:lvl>
    <w:lvl w:ilvl="1" w:tplc="A1F01448">
      <w:start w:val="1"/>
      <w:numFmt w:val="bullet"/>
      <w:lvlText w:val="·"/>
      <w:lvlJc w:val="left"/>
      <w:pPr>
        <w:ind w:left="1440" w:hanging="360"/>
      </w:pPr>
      <w:rPr>
        <w:rFonts w:ascii="Symbol" w:hAnsi="Symbol" w:hint="default"/>
        <w:color w:val="auto"/>
      </w:rPr>
    </w:lvl>
    <w:lvl w:ilvl="2" w:tplc="9AE6F9F8">
      <w:start w:val="1"/>
      <w:numFmt w:val="bullet"/>
      <w:lvlText w:val=""/>
      <w:lvlJc w:val="left"/>
      <w:pPr>
        <w:ind w:left="2160" w:hanging="360"/>
      </w:pPr>
      <w:rPr>
        <w:rFonts w:ascii="Wingdings" w:hAnsi="Wingdings" w:hint="default"/>
      </w:rPr>
    </w:lvl>
    <w:lvl w:ilvl="3" w:tplc="55F2C17A">
      <w:start w:val="1"/>
      <w:numFmt w:val="bullet"/>
      <w:lvlText w:val=""/>
      <w:lvlJc w:val="left"/>
      <w:pPr>
        <w:ind w:left="2880" w:hanging="360"/>
      </w:pPr>
      <w:rPr>
        <w:rFonts w:ascii="Symbol" w:hAnsi="Symbol" w:hint="default"/>
      </w:rPr>
    </w:lvl>
    <w:lvl w:ilvl="4" w:tplc="F40C3B54">
      <w:start w:val="1"/>
      <w:numFmt w:val="bullet"/>
      <w:lvlText w:val="o"/>
      <w:lvlJc w:val="left"/>
      <w:pPr>
        <w:ind w:left="3600" w:hanging="360"/>
      </w:pPr>
      <w:rPr>
        <w:rFonts w:ascii="Courier New" w:hAnsi="Courier New" w:hint="default"/>
      </w:rPr>
    </w:lvl>
    <w:lvl w:ilvl="5" w:tplc="845AD798">
      <w:start w:val="1"/>
      <w:numFmt w:val="bullet"/>
      <w:lvlText w:val=""/>
      <w:lvlJc w:val="left"/>
      <w:pPr>
        <w:ind w:left="4320" w:hanging="360"/>
      </w:pPr>
      <w:rPr>
        <w:rFonts w:ascii="Wingdings" w:hAnsi="Wingdings" w:hint="default"/>
      </w:rPr>
    </w:lvl>
    <w:lvl w:ilvl="6" w:tplc="8B4A1F34">
      <w:start w:val="1"/>
      <w:numFmt w:val="bullet"/>
      <w:lvlText w:val=""/>
      <w:lvlJc w:val="left"/>
      <w:pPr>
        <w:ind w:left="5040" w:hanging="360"/>
      </w:pPr>
      <w:rPr>
        <w:rFonts w:ascii="Symbol" w:hAnsi="Symbol" w:hint="default"/>
      </w:rPr>
    </w:lvl>
    <w:lvl w:ilvl="7" w:tplc="7D1066DE">
      <w:start w:val="1"/>
      <w:numFmt w:val="bullet"/>
      <w:lvlText w:val="o"/>
      <w:lvlJc w:val="left"/>
      <w:pPr>
        <w:ind w:left="5760" w:hanging="360"/>
      </w:pPr>
      <w:rPr>
        <w:rFonts w:ascii="Courier New" w:hAnsi="Courier New" w:hint="default"/>
      </w:rPr>
    </w:lvl>
    <w:lvl w:ilvl="8" w:tplc="CCE88D50">
      <w:start w:val="1"/>
      <w:numFmt w:val="bullet"/>
      <w:lvlText w:val=""/>
      <w:lvlJc w:val="left"/>
      <w:pPr>
        <w:ind w:left="6480" w:hanging="360"/>
      </w:pPr>
      <w:rPr>
        <w:rFonts w:ascii="Wingdings" w:hAnsi="Wingdings" w:hint="default"/>
      </w:rPr>
    </w:lvl>
  </w:abstractNum>
  <w:abstractNum w:abstractNumId="7" w15:restartNumberingAfterBreak="0">
    <w:nsid w:val="19505A39"/>
    <w:multiLevelType w:val="hybridMultilevel"/>
    <w:tmpl w:val="2D72DCF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1AFD049C"/>
    <w:multiLevelType w:val="hybridMultilevel"/>
    <w:tmpl w:val="FDE86D7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9" w15:restartNumberingAfterBreak="0">
    <w:nsid w:val="1C1A538C"/>
    <w:multiLevelType w:val="hybridMultilevel"/>
    <w:tmpl w:val="589E2D26"/>
    <w:lvl w:ilvl="0" w:tplc="0426000F">
      <w:start w:val="1"/>
      <w:numFmt w:val="decimal"/>
      <w:lvlText w:val="%1."/>
      <w:lvlJc w:val="left"/>
      <w:pPr>
        <w:ind w:left="180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13411E6"/>
    <w:multiLevelType w:val="hybridMultilevel"/>
    <w:tmpl w:val="8F260D1E"/>
    <w:lvl w:ilvl="0" w:tplc="7D90667E">
      <w:start w:val="1"/>
      <w:numFmt w:val="bullet"/>
      <w:lvlText w:val=""/>
      <w:lvlJc w:val="left"/>
      <w:pPr>
        <w:ind w:left="720" w:hanging="360"/>
      </w:pPr>
      <w:rPr>
        <w:rFonts w:ascii="Symbol" w:hAnsi="Symbol" w:hint="default"/>
      </w:rPr>
    </w:lvl>
    <w:lvl w:ilvl="1" w:tplc="61CC4512">
      <w:start w:val="1"/>
      <w:numFmt w:val="bullet"/>
      <w:lvlText w:val="o"/>
      <w:lvlJc w:val="left"/>
      <w:pPr>
        <w:ind w:left="1440" w:hanging="360"/>
      </w:pPr>
      <w:rPr>
        <w:rFonts w:ascii="Courier New" w:hAnsi="Courier New" w:hint="default"/>
      </w:rPr>
    </w:lvl>
    <w:lvl w:ilvl="2" w:tplc="4998A146">
      <w:start w:val="1"/>
      <w:numFmt w:val="bullet"/>
      <w:lvlText w:val=""/>
      <w:lvlJc w:val="left"/>
      <w:pPr>
        <w:ind w:left="2160" w:hanging="360"/>
      </w:pPr>
      <w:rPr>
        <w:rFonts w:ascii="Wingdings" w:hAnsi="Wingdings" w:hint="default"/>
      </w:rPr>
    </w:lvl>
    <w:lvl w:ilvl="3" w:tplc="836AFAC6">
      <w:start w:val="1"/>
      <w:numFmt w:val="bullet"/>
      <w:lvlText w:val=""/>
      <w:lvlJc w:val="left"/>
      <w:pPr>
        <w:ind w:left="2880" w:hanging="360"/>
      </w:pPr>
      <w:rPr>
        <w:rFonts w:ascii="Symbol" w:hAnsi="Symbol" w:hint="default"/>
      </w:rPr>
    </w:lvl>
    <w:lvl w:ilvl="4" w:tplc="2DD47668">
      <w:start w:val="1"/>
      <w:numFmt w:val="bullet"/>
      <w:lvlText w:val="o"/>
      <w:lvlJc w:val="left"/>
      <w:pPr>
        <w:ind w:left="3600" w:hanging="360"/>
      </w:pPr>
      <w:rPr>
        <w:rFonts w:ascii="Courier New" w:hAnsi="Courier New" w:hint="default"/>
      </w:rPr>
    </w:lvl>
    <w:lvl w:ilvl="5" w:tplc="FC54C14E">
      <w:start w:val="1"/>
      <w:numFmt w:val="bullet"/>
      <w:lvlText w:val=""/>
      <w:lvlJc w:val="left"/>
      <w:pPr>
        <w:ind w:left="4320" w:hanging="360"/>
      </w:pPr>
      <w:rPr>
        <w:rFonts w:ascii="Wingdings" w:hAnsi="Wingdings" w:hint="default"/>
      </w:rPr>
    </w:lvl>
    <w:lvl w:ilvl="6" w:tplc="730024B4">
      <w:start w:val="1"/>
      <w:numFmt w:val="bullet"/>
      <w:lvlText w:val=""/>
      <w:lvlJc w:val="left"/>
      <w:pPr>
        <w:ind w:left="5040" w:hanging="360"/>
      </w:pPr>
      <w:rPr>
        <w:rFonts w:ascii="Symbol" w:hAnsi="Symbol" w:hint="default"/>
      </w:rPr>
    </w:lvl>
    <w:lvl w:ilvl="7" w:tplc="7DB4ED7E">
      <w:start w:val="1"/>
      <w:numFmt w:val="bullet"/>
      <w:lvlText w:val="o"/>
      <w:lvlJc w:val="left"/>
      <w:pPr>
        <w:ind w:left="5760" w:hanging="360"/>
      </w:pPr>
      <w:rPr>
        <w:rFonts w:ascii="Courier New" w:hAnsi="Courier New" w:hint="default"/>
      </w:rPr>
    </w:lvl>
    <w:lvl w:ilvl="8" w:tplc="9556927A">
      <w:start w:val="1"/>
      <w:numFmt w:val="bullet"/>
      <w:lvlText w:val=""/>
      <w:lvlJc w:val="left"/>
      <w:pPr>
        <w:ind w:left="6480" w:hanging="360"/>
      </w:pPr>
      <w:rPr>
        <w:rFonts w:ascii="Wingdings" w:hAnsi="Wingdings" w:hint="default"/>
      </w:rPr>
    </w:lvl>
  </w:abstractNum>
  <w:abstractNum w:abstractNumId="11" w15:restartNumberingAfterBreak="0">
    <w:nsid w:val="2145792A"/>
    <w:multiLevelType w:val="hybridMultilevel"/>
    <w:tmpl w:val="2934FB1A"/>
    <w:lvl w:ilvl="0" w:tplc="9E2ED496">
      <w:start w:val="1"/>
      <w:numFmt w:val="decimal"/>
      <w:lvlText w:val="%1."/>
      <w:lvlJc w:val="left"/>
      <w:pPr>
        <w:ind w:left="720" w:hanging="360"/>
      </w:pPr>
    </w:lvl>
    <w:lvl w:ilvl="1" w:tplc="2D58E928">
      <w:start w:val="1"/>
      <w:numFmt w:val="lowerLetter"/>
      <w:lvlText w:val="%2."/>
      <w:lvlJc w:val="left"/>
      <w:pPr>
        <w:ind w:left="1440" w:hanging="360"/>
      </w:pPr>
    </w:lvl>
    <w:lvl w:ilvl="2" w:tplc="644ADEE2">
      <w:start w:val="1"/>
      <w:numFmt w:val="lowerRoman"/>
      <w:lvlText w:val="%3."/>
      <w:lvlJc w:val="right"/>
      <w:pPr>
        <w:ind w:left="2160" w:hanging="180"/>
      </w:pPr>
    </w:lvl>
    <w:lvl w:ilvl="3" w:tplc="10EEDEAA">
      <w:start w:val="1"/>
      <w:numFmt w:val="decimal"/>
      <w:lvlText w:val="%4."/>
      <w:lvlJc w:val="left"/>
      <w:pPr>
        <w:ind w:left="2880" w:hanging="360"/>
      </w:pPr>
    </w:lvl>
    <w:lvl w:ilvl="4" w:tplc="9CFE5EDE">
      <w:start w:val="1"/>
      <w:numFmt w:val="lowerLetter"/>
      <w:lvlText w:val="%5."/>
      <w:lvlJc w:val="left"/>
      <w:pPr>
        <w:ind w:left="3600" w:hanging="360"/>
      </w:pPr>
    </w:lvl>
    <w:lvl w:ilvl="5" w:tplc="F5EE6BA0">
      <w:start w:val="1"/>
      <w:numFmt w:val="lowerRoman"/>
      <w:lvlText w:val="%6."/>
      <w:lvlJc w:val="right"/>
      <w:pPr>
        <w:ind w:left="4320" w:hanging="180"/>
      </w:pPr>
    </w:lvl>
    <w:lvl w:ilvl="6" w:tplc="3DA66808">
      <w:start w:val="1"/>
      <w:numFmt w:val="decimal"/>
      <w:lvlText w:val="%7."/>
      <w:lvlJc w:val="left"/>
      <w:pPr>
        <w:ind w:left="5040" w:hanging="360"/>
      </w:pPr>
    </w:lvl>
    <w:lvl w:ilvl="7" w:tplc="8438FCEE">
      <w:start w:val="1"/>
      <w:numFmt w:val="lowerLetter"/>
      <w:lvlText w:val="%8."/>
      <w:lvlJc w:val="left"/>
      <w:pPr>
        <w:ind w:left="5760" w:hanging="360"/>
      </w:pPr>
    </w:lvl>
    <w:lvl w:ilvl="8" w:tplc="E390B72C">
      <w:start w:val="1"/>
      <w:numFmt w:val="lowerRoman"/>
      <w:lvlText w:val="%9."/>
      <w:lvlJc w:val="right"/>
      <w:pPr>
        <w:ind w:left="6480" w:hanging="180"/>
      </w:pPr>
    </w:lvl>
  </w:abstractNum>
  <w:abstractNum w:abstractNumId="12" w15:restartNumberingAfterBreak="0">
    <w:nsid w:val="25531FC1"/>
    <w:multiLevelType w:val="hybridMultilevel"/>
    <w:tmpl w:val="BC626F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A164F00"/>
    <w:multiLevelType w:val="hybridMultilevel"/>
    <w:tmpl w:val="DF4C236C"/>
    <w:lvl w:ilvl="0" w:tplc="49E4399A">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4563C2"/>
    <w:multiLevelType w:val="hybridMultilevel"/>
    <w:tmpl w:val="B91E2D92"/>
    <w:lvl w:ilvl="0" w:tplc="04260011">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32F821C4"/>
    <w:multiLevelType w:val="hybridMultilevel"/>
    <w:tmpl w:val="07FCC71C"/>
    <w:lvl w:ilvl="0" w:tplc="0426000F">
      <w:start w:val="1"/>
      <w:numFmt w:val="decimal"/>
      <w:lvlText w:val="%1."/>
      <w:lvlJc w:val="left"/>
      <w:pPr>
        <w:ind w:left="1571" w:hanging="360"/>
      </w:pPr>
    </w:lvl>
    <w:lvl w:ilvl="1" w:tplc="04260019">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6" w15:restartNumberingAfterBreak="0">
    <w:nsid w:val="392B7057"/>
    <w:multiLevelType w:val="hybridMultilevel"/>
    <w:tmpl w:val="4DD4253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9397116"/>
    <w:multiLevelType w:val="hybridMultilevel"/>
    <w:tmpl w:val="63FAE042"/>
    <w:lvl w:ilvl="0" w:tplc="03ECB65A">
      <w:start w:val="1"/>
      <w:numFmt w:val="bullet"/>
      <w:lvlText w:val=""/>
      <w:lvlJc w:val="left"/>
      <w:pPr>
        <w:ind w:left="720" w:hanging="360"/>
      </w:pPr>
      <w:rPr>
        <w:rFonts w:ascii="Symbol" w:hAnsi="Symbol" w:hint="default"/>
      </w:rPr>
    </w:lvl>
    <w:lvl w:ilvl="1" w:tplc="1EE47F9E">
      <w:start w:val="1"/>
      <w:numFmt w:val="bullet"/>
      <w:lvlText w:val="o"/>
      <w:lvlJc w:val="left"/>
      <w:pPr>
        <w:ind w:left="1440" w:hanging="360"/>
      </w:pPr>
      <w:rPr>
        <w:rFonts w:ascii="Courier New" w:hAnsi="Courier New" w:hint="default"/>
      </w:rPr>
    </w:lvl>
    <w:lvl w:ilvl="2" w:tplc="53787A04">
      <w:start w:val="1"/>
      <w:numFmt w:val="bullet"/>
      <w:lvlText w:val=""/>
      <w:lvlJc w:val="left"/>
      <w:pPr>
        <w:ind w:left="2160" w:hanging="360"/>
      </w:pPr>
      <w:rPr>
        <w:rFonts w:ascii="Wingdings" w:hAnsi="Wingdings" w:hint="default"/>
      </w:rPr>
    </w:lvl>
    <w:lvl w:ilvl="3" w:tplc="635407C2">
      <w:start w:val="1"/>
      <w:numFmt w:val="bullet"/>
      <w:lvlText w:val=""/>
      <w:lvlJc w:val="left"/>
      <w:pPr>
        <w:ind w:left="2880" w:hanging="360"/>
      </w:pPr>
      <w:rPr>
        <w:rFonts w:ascii="Symbol" w:hAnsi="Symbol" w:hint="default"/>
      </w:rPr>
    </w:lvl>
    <w:lvl w:ilvl="4" w:tplc="E10876DE">
      <w:start w:val="1"/>
      <w:numFmt w:val="bullet"/>
      <w:lvlText w:val="o"/>
      <w:lvlJc w:val="left"/>
      <w:pPr>
        <w:ind w:left="3600" w:hanging="360"/>
      </w:pPr>
      <w:rPr>
        <w:rFonts w:ascii="Courier New" w:hAnsi="Courier New" w:hint="default"/>
      </w:rPr>
    </w:lvl>
    <w:lvl w:ilvl="5" w:tplc="89120204">
      <w:start w:val="1"/>
      <w:numFmt w:val="bullet"/>
      <w:lvlText w:val=""/>
      <w:lvlJc w:val="left"/>
      <w:pPr>
        <w:ind w:left="4320" w:hanging="360"/>
      </w:pPr>
      <w:rPr>
        <w:rFonts w:ascii="Wingdings" w:hAnsi="Wingdings" w:hint="default"/>
      </w:rPr>
    </w:lvl>
    <w:lvl w:ilvl="6" w:tplc="D12E7176">
      <w:start w:val="1"/>
      <w:numFmt w:val="bullet"/>
      <w:lvlText w:val=""/>
      <w:lvlJc w:val="left"/>
      <w:pPr>
        <w:ind w:left="5040" w:hanging="360"/>
      </w:pPr>
      <w:rPr>
        <w:rFonts w:ascii="Symbol" w:hAnsi="Symbol" w:hint="default"/>
      </w:rPr>
    </w:lvl>
    <w:lvl w:ilvl="7" w:tplc="1D049FDE">
      <w:start w:val="1"/>
      <w:numFmt w:val="bullet"/>
      <w:lvlText w:val="o"/>
      <w:lvlJc w:val="left"/>
      <w:pPr>
        <w:ind w:left="5760" w:hanging="360"/>
      </w:pPr>
      <w:rPr>
        <w:rFonts w:ascii="Courier New" w:hAnsi="Courier New" w:hint="default"/>
      </w:rPr>
    </w:lvl>
    <w:lvl w:ilvl="8" w:tplc="6F9298B0">
      <w:start w:val="1"/>
      <w:numFmt w:val="bullet"/>
      <w:lvlText w:val=""/>
      <w:lvlJc w:val="left"/>
      <w:pPr>
        <w:ind w:left="6480" w:hanging="360"/>
      </w:pPr>
      <w:rPr>
        <w:rFonts w:ascii="Wingdings" w:hAnsi="Wingdings" w:hint="default"/>
      </w:rPr>
    </w:lvl>
  </w:abstractNum>
  <w:abstractNum w:abstractNumId="18" w15:restartNumberingAfterBreak="0">
    <w:nsid w:val="3A785451"/>
    <w:multiLevelType w:val="hybridMultilevel"/>
    <w:tmpl w:val="D4EA99DE"/>
    <w:lvl w:ilvl="0" w:tplc="6DCA7CA8">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9" w15:restartNumberingAfterBreak="0">
    <w:nsid w:val="3D9E08EF"/>
    <w:multiLevelType w:val="hybridMultilevel"/>
    <w:tmpl w:val="C284E2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0774536"/>
    <w:multiLevelType w:val="hybridMultilevel"/>
    <w:tmpl w:val="B78AD3E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21" w15:restartNumberingAfterBreak="0">
    <w:nsid w:val="40DA30F6"/>
    <w:multiLevelType w:val="hybridMultilevel"/>
    <w:tmpl w:val="2C9CC5C0"/>
    <w:lvl w:ilvl="0" w:tplc="281C27F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5342A7E"/>
    <w:multiLevelType w:val="hybridMultilevel"/>
    <w:tmpl w:val="72E060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59E1344"/>
    <w:multiLevelType w:val="hybridMultilevel"/>
    <w:tmpl w:val="88B0538E"/>
    <w:lvl w:ilvl="0" w:tplc="0426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9B70F5"/>
    <w:multiLevelType w:val="hybridMultilevel"/>
    <w:tmpl w:val="8F0E985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E375FAF"/>
    <w:multiLevelType w:val="singleLevel"/>
    <w:tmpl w:val="DD54658C"/>
    <w:lvl w:ilvl="0">
      <w:start w:val="1"/>
      <w:numFmt w:val="decimal"/>
      <w:lvlText w:val="%1."/>
      <w:legacy w:legacy="1" w:legacySpace="0" w:legacyIndent="340"/>
      <w:lvlJc w:val="left"/>
      <w:pPr>
        <w:ind w:left="567" w:hanging="340"/>
      </w:pPr>
    </w:lvl>
  </w:abstractNum>
  <w:abstractNum w:abstractNumId="26" w15:restartNumberingAfterBreak="0">
    <w:nsid w:val="51AA39EF"/>
    <w:multiLevelType w:val="hybridMultilevel"/>
    <w:tmpl w:val="686A084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7" w15:restartNumberingAfterBreak="0">
    <w:nsid w:val="5486616C"/>
    <w:multiLevelType w:val="hybridMultilevel"/>
    <w:tmpl w:val="77009B04"/>
    <w:lvl w:ilvl="0" w:tplc="77F8CC06">
      <w:start w:val="1"/>
      <w:numFmt w:val="decimal"/>
      <w:lvlText w:val="%1."/>
      <w:lvlJc w:val="left"/>
      <w:pPr>
        <w:ind w:left="720" w:hanging="360"/>
      </w:pPr>
    </w:lvl>
    <w:lvl w:ilvl="1" w:tplc="8E6E9142">
      <w:start w:val="1"/>
      <w:numFmt w:val="lowerLetter"/>
      <w:lvlText w:val="%2."/>
      <w:lvlJc w:val="left"/>
      <w:pPr>
        <w:ind w:left="1440" w:hanging="360"/>
      </w:pPr>
    </w:lvl>
    <w:lvl w:ilvl="2" w:tplc="03C057BA">
      <w:start w:val="1"/>
      <w:numFmt w:val="lowerRoman"/>
      <w:lvlText w:val="%3."/>
      <w:lvlJc w:val="right"/>
      <w:pPr>
        <w:ind w:left="2160" w:hanging="180"/>
      </w:pPr>
    </w:lvl>
    <w:lvl w:ilvl="3" w:tplc="05BC5F7A">
      <w:start w:val="1"/>
      <w:numFmt w:val="decimal"/>
      <w:lvlText w:val="%4."/>
      <w:lvlJc w:val="left"/>
      <w:pPr>
        <w:ind w:left="2880" w:hanging="360"/>
      </w:pPr>
    </w:lvl>
    <w:lvl w:ilvl="4" w:tplc="4A3C3EE4">
      <w:start w:val="1"/>
      <w:numFmt w:val="lowerLetter"/>
      <w:lvlText w:val="%5."/>
      <w:lvlJc w:val="left"/>
      <w:pPr>
        <w:ind w:left="3600" w:hanging="360"/>
      </w:pPr>
    </w:lvl>
    <w:lvl w:ilvl="5" w:tplc="FA6CC750">
      <w:start w:val="1"/>
      <w:numFmt w:val="lowerRoman"/>
      <w:lvlText w:val="%6."/>
      <w:lvlJc w:val="right"/>
      <w:pPr>
        <w:ind w:left="4320" w:hanging="180"/>
      </w:pPr>
    </w:lvl>
    <w:lvl w:ilvl="6" w:tplc="FC060198">
      <w:start w:val="1"/>
      <w:numFmt w:val="decimal"/>
      <w:lvlText w:val="%7."/>
      <w:lvlJc w:val="left"/>
      <w:pPr>
        <w:ind w:left="5040" w:hanging="360"/>
      </w:pPr>
    </w:lvl>
    <w:lvl w:ilvl="7" w:tplc="5FA0EFD4">
      <w:start w:val="1"/>
      <w:numFmt w:val="lowerLetter"/>
      <w:lvlText w:val="%8."/>
      <w:lvlJc w:val="left"/>
      <w:pPr>
        <w:ind w:left="5760" w:hanging="360"/>
      </w:pPr>
    </w:lvl>
    <w:lvl w:ilvl="8" w:tplc="31C0EEE2">
      <w:start w:val="1"/>
      <w:numFmt w:val="lowerRoman"/>
      <w:lvlText w:val="%9."/>
      <w:lvlJc w:val="right"/>
      <w:pPr>
        <w:ind w:left="6480" w:hanging="180"/>
      </w:pPr>
    </w:lvl>
  </w:abstractNum>
  <w:abstractNum w:abstractNumId="28" w15:restartNumberingAfterBreak="0">
    <w:nsid w:val="54B85DC3"/>
    <w:multiLevelType w:val="multilevel"/>
    <w:tmpl w:val="154ED6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5BA50473"/>
    <w:multiLevelType w:val="hybridMultilevel"/>
    <w:tmpl w:val="1036688C"/>
    <w:lvl w:ilvl="0" w:tplc="2DE060DE">
      <w:start w:val="1"/>
      <w:numFmt w:val="bullet"/>
      <w:lvlText w:val="-"/>
      <w:lvlJc w:val="left"/>
      <w:pPr>
        <w:ind w:left="720" w:hanging="360"/>
      </w:pPr>
      <w:rPr>
        <w:rFonts w:ascii="&quot;Times New Roman&quot;,serif" w:hAnsi="&quot;Times New Roman&quot;,serif" w:hint="default"/>
        <w:color w:val="auto"/>
      </w:rPr>
    </w:lvl>
    <w:lvl w:ilvl="1" w:tplc="2DC40C50">
      <w:start w:val="1"/>
      <w:numFmt w:val="bullet"/>
      <w:lvlText w:val="o"/>
      <w:lvlJc w:val="left"/>
      <w:pPr>
        <w:ind w:left="1440" w:hanging="360"/>
      </w:pPr>
      <w:rPr>
        <w:rFonts w:ascii="Courier New" w:hAnsi="Courier New" w:hint="default"/>
      </w:rPr>
    </w:lvl>
    <w:lvl w:ilvl="2" w:tplc="B54237BC">
      <w:start w:val="1"/>
      <w:numFmt w:val="bullet"/>
      <w:lvlText w:val=""/>
      <w:lvlJc w:val="left"/>
      <w:pPr>
        <w:ind w:left="2160" w:hanging="360"/>
      </w:pPr>
      <w:rPr>
        <w:rFonts w:ascii="Wingdings" w:hAnsi="Wingdings" w:hint="default"/>
      </w:rPr>
    </w:lvl>
    <w:lvl w:ilvl="3" w:tplc="B97AFF22">
      <w:start w:val="1"/>
      <w:numFmt w:val="bullet"/>
      <w:lvlText w:val=""/>
      <w:lvlJc w:val="left"/>
      <w:pPr>
        <w:ind w:left="2880" w:hanging="360"/>
      </w:pPr>
      <w:rPr>
        <w:rFonts w:ascii="Symbol" w:hAnsi="Symbol" w:hint="default"/>
      </w:rPr>
    </w:lvl>
    <w:lvl w:ilvl="4" w:tplc="742ACFB0">
      <w:start w:val="1"/>
      <w:numFmt w:val="bullet"/>
      <w:lvlText w:val="o"/>
      <w:lvlJc w:val="left"/>
      <w:pPr>
        <w:ind w:left="3600" w:hanging="360"/>
      </w:pPr>
      <w:rPr>
        <w:rFonts w:ascii="Courier New" w:hAnsi="Courier New" w:hint="default"/>
      </w:rPr>
    </w:lvl>
    <w:lvl w:ilvl="5" w:tplc="21EC9DEE">
      <w:start w:val="1"/>
      <w:numFmt w:val="bullet"/>
      <w:lvlText w:val=""/>
      <w:lvlJc w:val="left"/>
      <w:pPr>
        <w:ind w:left="4320" w:hanging="360"/>
      </w:pPr>
      <w:rPr>
        <w:rFonts w:ascii="Wingdings" w:hAnsi="Wingdings" w:hint="default"/>
      </w:rPr>
    </w:lvl>
    <w:lvl w:ilvl="6" w:tplc="4CE07F24">
      <w:start w:val="1"/>
      <w:numFmt w:val="bullet"/>
      <w:lvlText w:val=""/>
      <w:lvlJc w:val="left"/>
      <w:pPr>
        <w:ind w:left="5040" w:hanging="360"/>
      </w:pPr>
      <w:rPr>
        <w:rFonts w:ascii="Symbol" w:hAnsi="Symbol" w:hint="default"/>
      </w:rPr>
    </w:lvl>
    <w:lvl w:ilvl="7" w:tplc="E58839E8">
      <w:start w:val="1"/>
      <w:numFmt w:val="bullet"/>
      <w:lvlText w:val="o"/>
      <w:lvlJc w:val="left"/>
      <w:pPr>
        <w:ind w:left="5760" w:hanging="360"/>
      </w:pPr>
      <w:rPr>
        <w:rFonts w:ascii="Courier New" w:hAnsi="Courier New" w:hint="default"/>
      </w:rPr>
    </w:lvl>
    <w:lvl w:ilvl="8" w:tplc="CA1C38BC">
      <w:start w:val="1"/>
      <w:numFmt w:val="bullet"/>
      <w:lvlText w:val=""/>
      <w:lvlJc w:val="left"/>
      <w:pPr>
        <w:ind w:left="6480" w:hanging="360"/>
      </w:pPr>
      <w:rPr>
        <w:rFonts w:ascii="Wingdings" w:hAnsi="Wingdings" w:hint="default"/>
      </w:rPr>
    </w:lvl>
  </w:abstractNum>
  <w:abstractNum w:abstractNumId="30" w15:restartNumberingAfterBreak="0">
    <w:nsid w:val="5DE739DF"/>
    <w:multiLevelType w:val="hybridMultilevel"/>
    <w:tmpl w:val="06F8C56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6327246D"/>
    <w:multiLevelType w:val="multilevel"/>
    <w:tmpl w:val="69F6A27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68345943"/>
    <w:multiLevelType w:val="hybridMultilevel"/>
    <w:tmpl w:val="4E7695A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70780A5A"/>
    <w:multiLevelType w:val="hybridMultilevel"/>
    <w:tmpl w:val="0426001D"/>
    <w:lvl w:ilvl="0" w:tplc="37AE9CCC">
      <w:start w:val="1"/>
      <w:numFmt w:val="decimal"/>
      <w:lvlText w:val="%1)"/>
      <w:lvlJc w:val="left"/>
      <w:pPr>
        <w:ind w:left="360" w:hanging="360"/>
      </w:pPr>
    </w:lvl>
    <w:lvl w:ilvl="1" w:tplc="DCC4CF00">
      <w:start w:val="1"/>
      <w:numFmt w:val="lowerLetter"/>
      <w:lvlText w:val="%2)"/>
      <w:lvlJc w:val="left"/>
      <w:pPr>
        <w:ind w:left="720" w:hanging="360"/>
      </w:pPr>
    </w:lvl>
    <w:lvl w:ilvl="2" w:tplc="D22C7FC0">
      <w:start w:val="1"/>
      <w:numFmt w:val="lowerRoman"/>
      <w:lvlText w:val="%3)"/>
      <w:lvlJc w:val="left"/>
      <w:pPr>
        <w:ind w:left="1080" w:hanging="360"/>
      </w:pPr>
    </w:lvl>
    <w:lvl w:ilvl="3" w:tplc="87F0698A">
      <w:start w:val="1"/>
      <w:numFmt w:val="decimal"/>
      <w:lvlText w:val="(%4)"/>
      <w:lvlJc w:val="left"/>
      <w:pPr>
        <w:ind w:left="1440" w:hanging="360"/>
      </w:pPr>
    </w:lvl>
    <w:lvl w:ilvl="4" w:tplc="4DA89784">
      <w:start w:val="1"/>
      <w:numFmt w:val="lowerLetter"/>
      <w:lvlText w:val="(%5)"/>
      <w:lvlJc w:val="left"/>
      <w:pPr>
        <w:ind w:left="1800" w:hanging="360"/>
      </w:pPr>
    </w:lvl>
    <w:lvl w:ilvl="5" w:tplc="4CE43D7E">
      <w:start w:val="1"/>
      <w:numFmt w:val="lowerRoman"/>
      <w:lvlText w:val="(%6)"/>
      <w:lvlJc w:val="left"/>
      <w:pPr>
        <w:ind w:left="2160" w:hanging="360"/>
      </w:pPr>
    </w:lvl>
    <w:lvl w:ilvl="6" w:tplc="93907E50">
      <w:start w:val="1"/>
      <w:numFmt w:val="decimal"/>
      <w:lvlText w:val="%7."/>
      <w:lvlJc w:val="left"/>
      <w:pPr>
        <w:ind w:left="2520" w:hanging="360"/>
      </w:pPr>
    </w:lvl>
    <w:lvl w:ilvl="7" w:tplc="41EEADD0">
      <w:start w:val="1"/>
      <w:numFmt w:val="lowerLetter"/>
      <w:lvlText w:val="%8."/>
      <w:lvlJc w:val="left"/>
      <w:pPr>
        <w:ind w:left="2880" w:hanging="360"/>
      </w:pPr>
    </w:lvl>
    <w:lvl w:ilvl="8" w:tplc="A2C4B442">
      <w:start w:val="1"/>
      <w:numFmt w:val="lowerRoman"/>
      <w:lvlText w:val="%9."/>
      <w:lvlJc w:val="left"/>
      <w:pPr>
        <w:ind w:left="3240" w:hanging="360"/>
      </w:pPr>
    </w:lvl>
  </w:abstractNum>
  <w:abstractNum w:abstractNumId="34" w15:restartNumberingAfterBreak="0">
    <w:nsid w:val="729B06D8"/>
    <w:multiLevelType w:val="hybridMultilevel"/>
    <w:tmpl w:val="EB0CD0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33458CD"/>
    <w:multiLevelType w:val="hybridMultilevel"/>
    <w:tmpl w:val="D5C8EDD6"/>
    <w:lvl w:ilvl="0" w:tplc="E766F264">
      <w:start w:val="1"/>
      <w:numFmt w:val="decimal"/>
      <w:lvlText w:val="%1."/>
      <w:lvlJc w:val="left"/>
      <w:pPr>
        <w:ind w:left="720" w:hanging="360"/>
      </w:pPr>
    </w:lvl>
    <w:lvl w:ilvl="1" w:tplc="7AE04624">
      <w:start w:val="1"/>
      <w:numFmt w:val="lowerLetter"/>
      <w:lvlText w:val="%2."/>
      <w:lvlJc w:val="left"/>
      <w:pPr>
        <w:ind w:left="1440" w:hanging="360"/>
      </w:pPr>
    </w:lvl>
    <w:lvl w:ilvl="2" w:tplc="33722A7E">
      <w:start w:val="1"/>
      <w:numFmt w:val="lowerRoman"/>
      <w:lvlText w:val="%3."/>
      <w:lvlJc w:val="right"/>
      <w:pPr>
        <w:ind w:left="2160" w:hanging="180"/>
      </w:pPr>
    </w:lvl>
    <w:lvl w:ilvl="3" w:tplc="89C00242">
      <w:start w:val="1"/>
      <w:numFmt w:val="decimal"/>
      <w:lvlText w:val="%4."/>
      <w:lvlJc w:val="left"/>
      <w:pPr>
        <w:ind w:left="2880" w:hanging="360"/>
      </w:pPr>
    </w:lvl>
    <w:lvl w:ilvl="4" w:tplc="036ECA32">
      <w:start w:val="1"/>
      <w:numFmt w:val="lowerLetter"/>
      <w:lvlText w:val="%5."/>
      <w:lvlJc w:val="left"/>
      <w:pPr>
        <w:ind w:left="3600" w:hanging="360"/>
      </w:pPr>
    </w:lvl>
    <w:lvl w:ilvl="5" w:tplc="85DCD58E">
      <w:start w:val="1"/>
      <w:numFmt w:val="lowerRoman"/>
      <w:lvlText w:val="%6."/>
      <w:lvlJc w:val="right"/>
      <w:pPr>
        <w:ind w:left="4320" w:hanging="180"/>
      </w:pPr>
    </w:lvl>
    <w:lvl w:ilvl="6" w:tplc="5D085A04">
      <w:start w:val="1"/>
      <w:numFmt w:val="decimal"/>
      <w:lvlText w:val="%7."/>
      <w:lvlJc w:val="left"/>
      <w:pPr>
        <w:ind w:left="5040" w:hanging="360"/>
      </w:pPr>
    </w:lvl>
    <w:lvl w:ilvl="7" w:tplc="C7E2E248">
      <w:start w:val="1"/>
      <w:numFmt w:val="lowerLetter"/>
      <w:lvlText w:val="%8."/>
      <w:lvlJc w:val="left"/>
      <w:pPr>
        <w:ind w:left="5760" w:hanging="360"/>
      </w:pPr>
    </w:lvl>
    <w:lvl w:ilvl="8" w:tplc="841214E2">
      <w:start w:val="1"/>
      <w:numFmt w:val="lowerRoman"/>
      <w:lvlText w:val="%9."/>
      <w:lvlJc w:val="right"/>
      <w:pPr>
        <w:ind w:left="6480" w:hanging="180"/>
      </w:pPr>
    </w:lvl>
  </w:abstractNum>
  <w:abstractNum w:abstractNumId="36" w15:restartNumberingAfterBreak="0">
    <w:nsid w:val="7A24089F"/>
    <w:multiLevelType w:val="hybridMultilevel"/>
    <w:tmpl w:val="FE7A3A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EC80295"/>
    <w:multiLevelType w:val="hybridMultilevel"/>
    <w:tmpl w:val="FFFFFFFF"/>
    <w:lvl w:ilvl="0" w:tplc="8D7EB7DE">
      <w:start w:val="1"/>
      <w:numFmt w:val="bullet"/>
      <w:lvlText w:val="-"/>
      <w:lvlJc w:val="left"/>
      <w:pPr>
        <w:ind w:left="720" w:hanging="360"/>
      </w:pPr>
      <w:rPr>
        <w:rFonts w:ascii="&quot;Times New Roman&quot;,serif" w:hAnsi="&quot;Times New Roman&quot;,serif" w:hint="default"/>
      </w:rPr>
    </w:lvl>
    <w:lvl w:ilvl="1" w:tplc="54AEEBAE">
      <w:start w:val="1"/>
      <w:numFmt w:val="bullet"/>
      <w:lvlText w:val="o"/>
      <w:lvlJc w:val="left"/>
      <w:pPr>
        <w:ind w:left="1440" w:hanging="360"/>
      </w:pPr>
      <w:rPr>
        <w:rFonts w:ascii="Courier New" w:hAnsi="Courier New" w:hint="default"/>
      </w:rPr>
    </w:lvl>
    <w:lvl w:ilvl="2" w:tplc="2D744B4E">
      <w:start w:val="1"/>
      <w:numFmt w:val="bullet"/>
      <w:lvlText w:val=""/>
      <w:lvlJc w:val="left"/>
      <w:pPr>
        <w:ind w:left="2160" w:hanging="360"/>
      </w:pPr>
      <w:rPr>
        <w:rFonts w:ascii="Wingdings" w:hAnsi="Wingdings" w:hint="default"/>
      </w:rPr>
    </w:lvl>
    <w:lvl w:ilvl="3" w:tplc="3C783CA8">
      <w:start w:val="1"/>
      <w:numFmt w:val="bullet"/>
      <w:lvlText w:val=""/>
      <w:lvlJc w:val="left"/>
      <w:pPr>
        <w:ind w:left="2880" w:hanging="360"/>
      </w:pPr>
      <w:rPr>
        <w:rFonts w:ascii="Symbol" w:hAnsi="Symbol" w:hint="default"/>
      </w:rPr>
    </w:lvl>
    <w:lvl w:ilvl="4" w:tplc="5C30FDF6">
      <w:start w:val="1"/>
      <w:numFmt w:val="bullet"/>
      <w:lvlText w:val="o"/>
      <w:lvlJc w:val="left"/>
      <w:pPr>
        <w:ind w:left="3600" w:hanging="360"/>
      </w:pPr>
      <w:rPr>
        <w:rFonts w:ascii="Courier New" w:hAnsi="Courier New" w:hint="default"/>
      </w:rPr>
    </w:lvl>
    <w:lvl w:ilvl="5" w:tplc="59F210A4">
      <w:start w:val="1"/>
      <w:numFmt w:val="bullet"/>
      <w:lvlText w:val=""/>
      <w:lvlJc w:val="left"/>
      <w:pPr>
        <w:ind w:left="4320" w:hanging="360"/>
      </w:pPr>
      <w:rPr>
        <w:rFonts w:ascii="Wingdings" w:hAnsi="Wingdings" w:hint="default"/>
      </w:rPr>
    </w:lvl>
    <w:lvl w:ilvl="6" w:tplc="D18A1D9C">
      <w:start w:val="1"/>
      <w:numFmt w:val="bullet"/>
      <w:lvlText w:val=""/>
      <w:lvlJc w:val="left"/>
      <w:pPr>
        <w:ind w:left="5040" w:hanging="360"/>
      </w:pPr>
      <w:rPr>
        <w:rFonts w:ascii="Symbol" w:hAnsi="Symbol" w:hint="default"/>
      </w:rPr>
    </w:lvl>
    <w:lvl w:ilvl="7" w:tplc="51E2C6A8">
      <w:start w:val="1"/>
      <w:numFmt w:val="bullet"/>
      <w:lvlText w:val="o"/>
      <w:lvlJc w:val="left"/>
      <w:pPr>
        <w:ind w:left="5760" w:hanging="360"/>
      </w:pPr>
      <w:rPr>
        <w:rFonts w:ascii="Courier New" w:hAnsi="Courier New" w:hint="default"/>
      </w:rPr>
    </w:lvl>
    <w:lvl w:ilvl="8" w:tplc="9584904A">
      <w:start w:val="1"/>
      <w:numFmt w:val="bullet"/>
      <w:lvlText w:val=""/>
      <w:lvlJc w:val="left"/>
      <w:pPr>
        <w:ind w:left="6480" w:hanging="360"/>
      </w:pPr>
      <w:rPr>
        <w:rFonts w:ascii="Wingdings" w:hAnsi="Wingdings" w:hint="default"/>
      </w:rPr>
    </w:lvl>
  </w:abstractNum>
  <w:abstractNum w:abstractNumId="38" w15:restartNumberingAfterBreak="0">
    <w:nsid w:val="7F844135"/>
    <w:multiLevelType w:val="hybridMultilevel"/>
    <w:tmpl w:val="9C7A9EC0"/>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num w:numId="1">
    <w:abstractNumId w:val="10"/>
  </w:num>
  <w:num w:numId="2">
    <w:abstractNumId w:val="31"/>
  </w:num>
  <w:num w:numId="3">
    <w:abstractNumId w:val="27"/>
  </w:num>
  <w:num w:numId="4">
    <w:abstractNumId w:val="35"/>
  </w:num>
  <w:num w:numId="5">
    <w:abstractNumId w:val="17"/>
  </w:num>
  <w:num w:numId="6">
    <w:abstractNumId w:val="11"/>
  </w:num>
  <w:num w:numId="7">
    <w:abstractNumId w:val="5"/>
  </w:num>
  <w:num w:numId="8">
    <w:abstractNumId w:val="37"/>
  </w:num>
  <w:num w:numId="9">
    <w:abstractNumId w:val="2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0"/>
  </w:num>
  <w:num w:numId="13">
    <w:abstractNumId w:val="33"/>
  </w:num>
  <w:num w:numId="14">
    <w:abstractNumId w:val="12"/>
  </w:num>
  <w:num w:numId="15">
    <w:abstractNumId w:val="28"/>
  </w:num>
  <w:num w:numId="16">
    <w:abstractNumId w:val="13"/>
  </w:num>
  <w:num w:numId="17">
    <w:abstractNumId w:val="14"/>
  </w:num>
  <w:num w:numId="18">
    <w:abstractNumId w:val="34"/>
  </w:num>
  <w:num w:numId="19">
    <w:abstractNumId w:val="16"/>
  </w:num>
  <w:num w:numId="20">
    <w:abstractNumId w:val="30"/>
  </w:num>
  <w:num w:numId="21">
    <w:abstractNumId w:val="7"/>
  </w:num>
  <w:num w:numId="22">
    <w:abstractNumId w:val="9"/>
  </w:num>
  <w:num w:numId="23">
    <w:abstractNumId w:val="4"/>
  </w:num>
  <w:num w:numId="24">
    <w:abstractNumId w:val="32"/>
  </w:num>
  <w:num w:numId="25">
    <w:abstractNumId w:val="36"/>
  </w:num>
  <w:num w:numId="26">
    <w:abstractNumId w:val="8"/>
  </w:num>
  <w:num w:numId="27">
    <w:abstractNumId w:val="38"/>
  </w:num>
  <w:num w:numId="28">
    <w:abstractNumId w:val="22"/>
  </w:num>
  <w:num w:numId="29">
    <w:abstractNumId w:val="24"/>
  </w:num>
  <w:num w:numId="30">
    <w:abstractNumId w:val="6"/>
  </w:num>
  <w:num w:numId="31">
    <w:abstractNumId w:val="29"/>
  </w:num>
  <w:num w:numId="32">
    <w:abstractNumId w:val="3"/>
  </w:num>
  <w:num w:numId="33">
    <w:abstractNumId w:val="1"/>
  </w:num>
  <w:num w:numId="34">
    <w:abstractNumId w:val="0"/>
    <w:lvlOverride w:ilvl="0">
      <w:startOverride w:val="1"/>
    </w:lvlOverride>
  </w:num>
  <w:num w:numId="35">
    <w:abstractNumId w:val="23"/>
  </w:num>
  <w:num w:numId="36">
    <w:abstractNumId w:val="25"/>
    <w:lvlOverride w:ilvl="0">
      <w:startOverride w:val="1"/>
    </w:lvlOverride>
  </w:num>
  <w:num w:numId="37">
    <w:abstractNumId w:val="15"/>
  </w:num>
  <w:num w:numId="38">
    <w:abstractNumId w:val="19"/>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hideSpellingErrors/>
  <w:hideGrammaticalErrors/>
  <w:proofState w:spelling="clean" w:grammar="clean"/>
  <w:defaultTabStop w:val="720"/>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4DD"/>
    <w:rsid w:val="00000D97"/>
    <w:rsid w:val="000034DD"/>
    <w:rsid w:val="00006081"/>
    <w:rsid w:val="000063B5"/>
    <w:rsid w:val="00012E67"/>
    <w:rsid w:val="00016289"/>
    <w:rsid w:val="00021E2A"/>
    <w:rsid w:val="00025A10"/>
    <w:rsid w:val="00030521"/>
    <w:rsid w:val="0003082D"/>
    <w:rsid w:val="00030D80"/>
    <w:rsid w:val="00031948"/>
    <w:rsid w:val="00031A82"/>
    <w:rsid w:val="00032BAE"/>
    <w:rsid w:val="00034CC4"/>
    <w:rsid w:val="00036D3E"/>
    <w:rsid w:val="000421BE"/>
    <w:rsid w:val="00045482"/>
    <w:rsid w:val="00045600"/>
    <w:rsid w:val="000465B6"/>
    <w:rsid w:val="00050609"/>
    <w:rsid w:val="00052631"/>
    <w:rsid w:val="00052FED"/>
    <w:rsid w:val="00055462"/>
    <w:rsid w:val="00060B37"/>
    <w:rsid w:val="00062116"/>
    <w:rsid w:val="00062207"/>
    <w:rsid w:val="00062CC4"/>
    <w:rsid w:val="0006376E"/>
    <w:rsid w:val="000647BD"/>
    <w:rsid w:val="00066829"/>
    <w:rsid w:val="00070652"/>
    <w:rsid w:val="0007532B"/>
    <w:rsid w:val="00081FA5"/>
    <w:rsid w:val="00083504"/>
    <w:rsid w:val="00087A4C"/>
    <w:rsid w:val="00091AAC"/>
    <w:rsid w:val="00093685"/>
    <w:rsid w:val="00093D43"/>
    <w:rsid w:val="00094458"/>
    <w:rsid w:val="000955AB"/>
    <w:rsid w:val="0009681B"/>
    <w:rsid w:val="000A3975"/>
    <w:rsid w:val="000B1DC5"/>
    <w:rsid w:val="000B3920"/>
    <w:rsid w:val="000B7030"/>
    <w:rsid w:val="000BF872"/>
    <w:rsid w:val="000C011D"/>
    <w:rsid w:val="000C370E"/>
    <w:rsid w:val="000D4F22"/>
    <w:rsid w:val="000E11F0"/>
    <w:rsid w:val="000E4B64"/>
    <w:rsid w:val="000E790A"/>
    <w:rsid w:val="000F0765"/>
    <w:rsid w:val="000F7052"/>
    <w:rsid w:val="000F746B"/>
    <w:rsid w:val="00101B38"/>
    <w:rsid w:val="00103D8D"/>
    <w:rsid w:val="001054FC"/>
    <w:rsid w:val="00105576"/>
    <w:rsid w:val="00105644"/>
    <w:rsid w:val="00113C52"/>
    <w:rsid w:val="001158BE"/>
    <w:rsid w:val="00116434"/>
    <w:rsid w:val="00116DD0"/>
    <w:rsid w:val="001202C1"/>
    <w:rsid w:val="00121464"/>
    <w:rsid w:val="001218D7"/>
    <w:rsid w:val="00121941"/>
    <w:rsid w:val="00126422"/>
    <w:rsid w:val="0012741F"/>
    <w:rsid w:val="00130813"/>
    <w:rsid w:val="00131176"/>
    <w:rsid w:val="001322B2"/>
    <w:rsid w:val="001343A9"/>
    <w:rsid w:val="0014226D"/>
    <w:rsid w:val="00147659"/>
    <w:rsid w:val="001519FC"/>
    <w:rsid w:val="001534CF"/>
    <w:rsid w:val="00153CFC"/>
    <w:rsid w:val="001622E0"/>
    <w:rsid w:val="00163815"/>
    <w:rsid w:val="00164729"/>
    <w:rsid w:val="001654F1"/>
    <w:rsid w:val="001671F1"/>
    <w:rsid w:val="001724FB"/>
    <w:rsid w:val="00175CB5"/>
    <w:rsid w:val="0017602B"/>
    <w:rsid w:val="00180424"/>
    <w:rsid w:val="00181B49"/>
    <w:rsid w:val="0018349C"/>
    <w:rsid w:val="001931B9"/>
    <w:rsid w:val="001955B6"/>
    <w:rsid w:val="00195F21"/>
    <w:rsid w:val="001975AF"/>
    <w:rsid w:val="001A18A3"/>
    <w:rsid w:val="001A3BAF"/>
    <w:rsid w:val="001A7B69"/>
    <w:rsid w:val="001B0223"/>
    <w:rsid w:val="001B06FC"/>
    <w:rsid w:val="001B2C11"/>
    <w:rsid w:val="001B73F1"/>
    <w:rsid w:val="001C2E8E"/>
    <w:rsid w:val="001C44F6"/>
    <w:rsid w:val="001D1EF6"/>
    <w:rsid w:val="001D3E60"/>
    <w:rsid w:val="001D4EFA"/>
    <w:rsid w:val="001D529F"/>
    <w:rsid w:val="001D6622"/>
    <w:rsid w:val="001D79D6"/>
    <w:rsid w:val="001D7AF9"/>
    <w:rsid w:val="001D7E46"/>
    <w:rsid w:val="001E424C"/>
    <w:rsid w:val="001E6621"/>
    <w:rsid w:val="001F057A"/>
    <w:rsid w:val="001F66FC"/>
    <w:rsid w:val="00200BEE"/>
    <w:rsid w:val="00205E4C"/>
    <w:rsid w:val="00211728"/>
    <w:rsid w:val="0022305F"/>
    <w:rsid w:val="0022394C"/>
    <w:rsid w:val="00225A01"/>
    <w:rsid w:val="00225D82"/>
    <w:rsid w:val="00227948"/>
    <w:rsid w:val="00231944"/>
    <w:rsid w:val="00231DD5"/>
    <w:rsid w:val="00232681"/>
    <w:rsid w:val="00232D08"/>
    <w:rsid w:val="002344E5"/>
    <w:rsid w:val="00235EAA"/>
    <w:rsid w:val="002379FE"/>
    <w:rsid w:val="002422A4"/>
    <w:rsid w:val="00250A15"/>
    <w:rsid w:val="0025184B"/>
    <w:rsid w:val="00256FB2"/>
    <w:rsid w:val="0025786A"/>
    <w:rsid w:val="00262FC0"/>
    <w:rsid w:val="00264B4C"/>
    <w:rsid w:val="00265446"/>
    <w:rsid w:val="00267C98"/>
    <w:rsid w:val="00270E69"/>
    <w:rsid w:val="00274A19"/>
    <w:rsid w:val="00277FCC"/>
    <w:rsid w:val="0028396E"/>
    <w:rsid w:val="00284FCB"/>
    <w:rsid w:val="0028608F"/>
    <w:rsid w:val="00287668"/>
    <w:rsid w:val="00295B53"/>
    <w:rsid w:val="002A23AC"/>
    <w:rsid w:val="002A3672"/>
    <w:rsid w:val="002A3977"/>
    <w:rsid w:val="002A49CF"/>
    <w:rsid w:val="002A6434"/>
    <w:rsid w:val="002A77B5"/>
    <w:rsid w:val="002B0873"/>
    <w:rsid w:val="002B0E27"/>
    <w:rsid w:val="002B2756"/>
    <w:rsid w:val="002B3680"/>
    <w:rsid w:val="002B5B20"/>
    <w:rsid w:val="002B680F"/>
    <w:rsid w:val="002B7815"/>
    <w:rsid w:val="002C48D4"/>
    <w:rsid w:val="002C4C30"/>
    <w:rsid w:val="002D080C"/>
    <w:rsid w:val="002D0E6C"/>
    <w:rsid w:val="002E39EC"/>
    <w:rsid w:val="002E6753"/>
    <w:rsid w:val="002F5D96"/>
    <w:rsid w:val="002F723C"/>
    <w:rsid w:val="00302722"/>
    <w:rsid w:val="0030398F"/>
    <w:rsid w:val="00303AB4"/>
    <w:rsid w:val="003044DD"/>
    <w:rsid w:val="00304D35"/>
    <w:rsid w:val="00310893"/>
    <w:rsid w:val="00312980"/>
    <w:rsid w:val="00312FD0"/>
    <w:rsid w:val="00314EFF"/>
    <w:rsid w:val="0032331F"/>
    <w:rsid w:val="0032451F"/>
    <w:rsid w:val="00327827"/>
    <w:rsid w:val="00332611"/>
    <w:rsid w:val="00333520"/>
    <w:rsid w:val="00335937"/>
    <w:rsid w:val="0033710E"/>
    <w:rsid w:val="0033794E"/>
    <w:rsid w:val="003400EF"/>
    <w:rsid w:val="00342CFD"/>
    <w:rsid w:val="00345340"/>
    <w:rsid w:val="00353391"/>
    <w:rsid w:val="0035406B"/>
    <w:rsid w:val="00356B4F"/>
    <w:rsid w:val="00356C39"/>
    <w:rsid w:val="0036393B"/>
    <w:rsid w:val="00363CC5"/>
    <w:rsid w:val="003650CD"/>
    <w:rsid w:val="00365BD4"/>
    <w:rsid w:val="0036713C"/>
    <w:rsid w:val="00367B34"/>
    <w:rsid w:val="00373C83"/>
    <w:rsid w:val="003765A7"/>
    <w:rsid w:val="00384065"/>
    <w:rsid w:val="00384420"/>
    <w:rsid w:val="00385BBB"/>
    <w:rsid w:val="00385D08"/>
    <w:rsid w:val="0038734E"/>
    <w:rsid w:val="0038752F"/>
    <w:rsid w:val="00387E05"/>
    <w:rsid w:val="003938E8"/>
    <w:rsid w:val="0039457C"/>
    <w:rsid w:val="00395AD5"/>
    <w:rsid w:val="00396032"/>
    <w:rsid w:val="003A1C6C"/>
    <w:rsid w:val="003B3CAA"/>
    <w:rsid w:val="003B4636"/>
    <w:rsid w:val="003B6358"/>
    <w:rsid w:val="003C1F31"/>
    <w:rsid w:val="003C2153"/>
    <w:rsid w:val="003C27D5"/>
    <w:rsid w:val="003D0244"/>
    <w:rsid w:val="003D0724"/>
    <w:rsid w:val="003D0A5F"/>
    <w:rsid w:val="003D13F7"/>
    <w:rsid w:val="003D1CC4"/>
    <w:rsid w:val="003D759C"/>
    <w:rsid w:val="003E194D"/>
    <w:rsid w:val="003E19F6"/>
    <w:rsid w:val="003E4BD0"/>
    <w:rsid w:val="003E520E"/>
    <w:rsid w:val="003E6BAA"/>
    <w:rsid w:val="003F060D"/>
    <w:rsid w:val="003F33A2"/>
    <w:rsid w:val="00404364"/>
    <w:rsid w:val="00407539"/>
    <w:rsid w:val="004106E3"/>
    <w:rsid w:val="0041227F"/>
    <w:rsid w:val="00412A3C"/>
    <w:rsid w:val="0041378C"/>
    <w:rsid w:val="00414577"/>
    <w:rsid w:val="0041516D"/>
    <w:rsid w:val="00415EE9"/>
    <w:rsid w:val="00416866"/>
    <w:rsid w:val="00420880"/>
    <w:rsid w:val="00422635"/>
    <w:rsid w:val="00422680"/>
    <w:rsid w:val="00422733"/>
    <w:rsid w:val="004266E0"/>
    <w:rsid w:val="0043043B"/>
    <w:rsid w:val="0043351B"/>
    <w:rsid w:val="00433AA5"/>
    <w:rsid w:val="004407F1"/>
    <w:rsid w:val="00440EA1"/>
    <w:rsid w:val="004476B6"/>
    <w:rsid w:val="00452D5F"/>
    <w:rsid w:val="00454D01"/>
    <w:rsid w:val="00454E51"/>
    <w:rsid w:val="004550D4"/>
    <w:rsid w:val="0045645D"/>
    <w:rsid w:val="00456B63"/>
    <w:rsid w:val="00472FF8"/>
    <w:rsid w:val="00474762"/>
    <w:rsid w:val="00484049"/>
    <w:rsid w:val="00484DBF"/>
    <w:rsid w:val="00487426"/>
    <w:rsid w:val="00497997"/>
    <w:rsid w:val="004A3B9B"/>
    <w:rsid w:val="004A6246"/>
    <w:rsid w:val="004C37F6"/>
    <w:rsid w:val="004C5B5D"/>
    <w:rsid w:val="004C6212"/>
    <w:rsid w:val="004D5F55"/>
    <w:rsid w:val="004D7250"/>
    <w:rsid w:val="004E3416"/>
    <w:rsid w:val="004E348C"/>
    <w:rsid w:val="004E4763"/>
    <w:rsid w:val="004E57F2"/>
    <w:rsid w:val="004F1440"/>
    <w:rsid w:val="004F5647"/>
    <w:rsid w:val="00500E92"/>
    <w:rsid w:val="0050543D"/>
    <w:rsid w:val="00505FF9"/>
    <w:rsid w:val="005133B5"/>
    <w:rsid w:val="00515CB1"/>
    <w:rsid w:val="00521134"/>
    <w:rsid w:val="0052266C"/>
    <w:rsid w:val="005233B3"/>
    <w:rsid w:val="00526990"/>
    <w:rsid w:val="00531D4B"/>
    <w:rsid w:val="005321D9"/>
    <w:rsid w:val="0053347C"/>
    <w:rsid w:val="0053519E"/>
    <w:rsid w:val="00535947"/>
    <w:rsid w:val="005362CE"/>
    <w:rsid w:val="00536F65"/>
    <w:rsid w:val="005402C4"/>
    <w:rsid w:val="005416BC"/>
    <w:rsid w:val="005423E9"/>
    <w:rsid w:val="00543576"/>
    <w:rsid w:val="00544D69"/>
    <w:rsid w:val="00551465"/>
    <w:rsid w:val="00553C7D"/>
    <w:rsid w:val="005547F9"/>
    <w:rsid w:val="005562CF"/>
    <w:rsid w:val="00556551"/>
    <w:rsid w:val="00560260"/>
    <w:rsid w:val="00560CCF"/>
    <w:rsid w:val="00563AF4"/>
    <w:rsid w:val="0056654B"/>
    <w:rsid w:val="00567EF7"/>
    <w:rsid w:val="00567F86"/>
    <w:rsid w:val="00570686"/>
    <w:rsid w:val="005734C8"/>
    <w:rsid w:val="00574646"/>
    <w:rsid w:val="00577303"/>
    <w:rsid w:val="00582172"/>
    <w:rsid w:val="0058327C"/>
    <w:rsid w:val="00587349"/>
    <w:rsid w:val="005906E4"/>
    <w:rsid w:val="00592360"/>
    <w:rsid w:val="00594963"/>
    <w:rsid w:val="00597C5D"/>
    <w:rsid w:val="005A130C"/>
    <w:rsid w:val="005A338B"/>
    <w:rsid w:val="005B10B6"/>
    <w:rsid w:val="005B475D"/>
    <w:rsid w:val="005B63F5"/>
    <w:rsid w:val="005C4325"/>
    <w:rsid w:val="005C753E"/>
    <w:rsid w:val="005D3E80"/>
    <w:rsid w:val="005D6328"/>
    <w:rsid w:val="005D6DCC"/>
    <w:rsid w:val="005E188E"/>
    <w:rsid w:val="005E3E6E"/>
    <w:rsid w:val="005E6462"/>
    <w:rsid w:val="005E7BE9"/>
    <w:rsid w:val="005F46B3"/>
    <w:rsid w:val="005F7428"/>
    <w:rsid w:val="00602E35"/>
    <w:rsid w:val="006039C9"/>
    <w:rsid w:val="0060423D"/>
    <w:rsid w:val="00605425"/>
    <w:rsid w:val="00611DE2"/>
    <w:rsid w:val="00613587"/>
    <w:rsid w:val="00616137"/>
    <w:rsid w:val="0062484A"/>
    <w:rsid w:val="00626846"/>
    <w:rsid w:val="00627D9C"/>
    <w:rsid w:val="0063192E"/>
    <w:rsid w:val="0063516E"/>
    <w:rsid w:val="00637656"/>
    <w:rsid w:val="00640B58"/>
    <w:rsid w:val="0064356C"/>
    <w:rsid w:val="00644F3F"/>
    <w:rsid w:val="006474D4"/>
    <w:rsid w:val="0065254C"/>
    <w:rsid w:val="0065425C"/>
    <w:rsid w:val="0065654B"/>
    <w:rsid w:val="00660340"/>
    <w:rsid w:val="00660ABE"/>
    <w:rsid w:val="00660DF7"/>
    <w:rsid w:val="0066338E"/>
    <w:rsid w:val="006702C1"/>
    <w:rsid w:val="006702D1"/>
    <w:rsid w:val="006712CA"/>
    <w:rsid w:val="0069218D"/>
    <w:rsid w:val="006933B8"/>
    <w:rsid w:val="00694253"/>
    <w:rsid w:val="00696369"/>
    <w:rsid w:val="006A06DB"/>
    <w:rsid w:val="006A60BD"/>
    <w:rsid w:val="006A7B39"/>
    <w:rsid w:val="006B0A5A"/>
    <w:rsid w:val="006B2457"/>
    <w:rsid w:val="006B6DAF"/>
    <w:rsid w:val="006C64C9"/>
    <w:rsid w:val="006C6ECF"/>
    <w:rsid w:val="006D64DB"/>
    <w:rsid w:val="006E1098"/>
    <w:rsid w:val="006E1FF3"/>
    <w:rsid w:val="006E29CA"/>
    <w:rsid w:val="006E3D1E"/>
    <w:rsid w:val="006F1478"/>
    <w:rsid w:val="006F2DB0"/>
    <w:rsid w:val="006F3F92"/>
    <w:rsid w:val="006F425F"/>
    <w:rsid w:val="006F434B"/>
    <w:rsid w:val="006F50C3"/>
    <w:rsid w:val="00700279"/>
    <w:rsid w:val="00700948"/>
    <w:rsid w:val="007019DD"/>
    <w:rsid w:val="0070545A"/>
    <w:rsid w:val="00705AB1"/>
    <w:rsid w:val="0070619A"/>
    <w:rsid w:val="00706922"/>
    <w:rsid w:val="00706A9A"/>
    <w:rsid w:val="00714146"/>
    <w:rsid w:val="00715B50"/>
    <w:rsid w:val="00716054"/>
    <w:rsid w:val="00724345"/>
    <w:rsid w:val="00727DE3"/>
    <w:rsid w:val="0073175E"/>
    <w:rsid w:val="00736888"/>
    <w:rsid w:val="007409E9"/>
    <w:rsid w:val="0074332C"/>
    <w:rsid w:val="00743682"/>
    <w:rsid w:val="00744BD5"/>
    <w:rsid w:val="0074645A"/>
    <w:rsid w:val="00747C50"/>
    <w:rsid w:val="00751254"/>
    <w:rsid w:val="00753E32"/>
    <w:rsid w:val="0075596A"/>
    <w:rsid w:val="0076137F"/>
    <w:rsid w:val="00765C48"/>
    <w:rsid w:val="007672C1"/>
    <w:rsid w:val="007746CA"/>
    <w:rsid w:val="00775D11"/>
    <w:rsid w:val="007793EF"/>
    <w:rsid w:val="007805FE"/>
    <w:rsid w:val="00781CA0"/>
    <w:rsid w:val="007870D0"/>
    <w:rsid w:val="00790615"/>
    <w:rsid w:val="0079535B"/>
    <w:rsid w:val="00795889"/>
    <w:rsid w:val="007971FE"/>
    <w:rsid w:val="007A13BD"/>
    <w:rsid w:val="007A391C"/>
    <w:rsid w:val="007A5F18"/>
    <w:rsid w:val="007B1FED"/>
    <w:rsid w:val="007B569F"/>
    <w:rsid w:val="007B5FAC"/>
    <w:rsid w:val="007B6688"/>
    <w:rsid w:val="007C294C"/>
    <w:rsid w:val="007C4204"/>
    <w:rsid w:val="007C4D04"/>
    <w:rsid w:val="007C7598"/>
    <w:rsid w:val="007D374F"/>
    <w:rsid w:val="007D4D98"/>
    <w:rsid w:val="007E0733"/>
    <w:rsid w:val="007E1D33"/>
    <w:rsid w:val="007E522D"/>
    <w:rsid w:val="007E5702"/>
    <w:rsid w:val="007F1369"/>
    <w:rsid w:val="007F3A90"/>
    <w:rsid w:val="007F44E0"/>
    <w:rsid w:val="007F52C6"/>
    <w:rsid w:val="007F6652"/>
    <w:rsid w:val="007F6E18"/>
    <w:rsid w:val="0080173A"/>
    <w:rsid w:val="00812C6D"/>
    <w:rsid w:val="00814453"/>
    <w:rsid w:val="008229D1"/>
    <w:rsid w:val="0082313C"/>
    <w:rsid w:val="00823263"/>
    <w:rsid w:val="00823EBD"/>
    <w:rsid w:val="00823F5A"/>
    <w:rsid w:val="00826085"/>
    <w:rsid w:val="008300BE"/>
    <w:rsid w:val="00832427"/>
    <w:rsid w:val="008370C0"/>
    <w:rsid w:val="008417F4"/>
    <w:rsid w:val="008428EA"/>
    <w:rsid w:val="00843BB2"/>
    <w:rsid w:val="00844508"/>
    <w:rsid w:val="008451C3"/>
    <w:rsid w:val="0084565F"/>
    <w:rsid w:val="00847E1C"/>
    <w:rsid w:val="00850DAA"/>
    <w:rsid w:val="0085312A"/>
    <w:rsid w:val="00855FD9"/>
    <w:rsid w:val="008600BB"/>
    <w:rsid w:val="00870A42"/>
    <w:rsid w:val="00872008"/>
    <w:rsid w:val="0087410B"/>
    <w:rsid w:val="00875828"/>
    <w:rsid w:val="00876C47"/>
    <w:rsid w:val="00883218"/>
    <w:rsid w:val="00883574"/>
    <w:rsid w:val="00885081"/>
    <w:rsid w:val="00886592"/>
    <w:rsid w:val="0088793C"/>
    <w:rsid w:val="00891427"/>
    <w:rsid w:val="00895A25"/>
    <w:rsid w:val="00896101"/>
    <w:rsid w:val="00896A4E"/>
    <w:rsid w:val="008A61F5"/>
    <w:rsid w:val="008B0450"/>
    <w:rsid w:val="008B3DB1"/>
    <w:rsid w:val="008B6620"/>
    <w:rsid w:val="008B7E3B"/>
    <w:rsid w:val="008C444F"/>
    <w:rsid w:val="008C767D"/>
    <w:rsid w:val="008D0EAB"/>
    <w:rsid w:val="008D1B24"/>
    <w:rsid w:val="008D2DFF"/>
    <w:rsid w:val="008D3779"/>
    <w:rsid w:val="008D4DD7"/>
    <w:rsid w:val="008D5054"/>
    <w:rsid w:val="008D5240"/>
    <w:rsid w:val="008D5BC9"/>
    <w:rsid w:val="008F258C"/>
    <w:rsid w:val="008F2D15"/>
    <w:rsid w:val="008F47A6"/>
    <w:rsid w:val="00901ADF"/>
    <w:rsid w:val="009025BD"/>
    <w:rsid w:val="00902A25"/>
    <w:rsid w:val="00904AA3"/>
    <w:rsid w:val="00904F8F"/>
    <w:rsid w:val="00912C75"/>
    <w:rsid w:val="00916D47"/>
    <w:rsid w:val="00917509"/>
    <w:rsid w:val="00923001"/>
    <w:rsid w:val="00923145"/>
    <w:rsid w:val="00923FA4"/>
    <w:rsid w:val="009405E0"/>
    <w:rsid w:val="0094574B"/>
    <w:rsid w:val="00945DAF"/>
    <w:rsid w:val="00945EEA"/>
    <w:rsid w:val="0095087C"/>
    <w:rsid w:val="009509BF"/>
    <w:rsid w:val="00954C4B"/>
    <w:rsid w:val="00956A5A"/>
    <w:rsid w:val="00967CFB"/>
    <w:rsid w:val="009717DE"/>
    <w:rsid w:val="00972F0F"/>
    <w:rsid w:val="009735FB"/>
    <w:rsid w:val="00974761"/>
    <w:rsid w:val="009776F1"/>
    <w:rsid w:val="00981C17"/>
    <w:rsid w:val="00982CD5"/>
    <w:rsid w:val="00982D16"/>
    <w:rsid w:val="00983CB6"/>
    <w:rsid w:val="00985192"/>
    <w:rsid w:val="00987070"/>
    <w:rsid w:val="00987FC4"/>
    <w:rsid w:val="00991311"/>
    <w:rsid w:val="00991F03"/>
    <w:rsid w:val="0099270E"/>
    <w:rsid w:val="009947D5"/>
    <w:rsid w:val="0099561D"/>
    <w:rsid w:val="009A0BE6"/>
    <w:rsid w:val="009A2014"/>
    <w:rsid w:val="009A52F3"/>
    <w:rsid w:val="009A7CE9"/>
    <w:rsid w:val="009B09A2"/>
    <w:rsid w:val="009B0B9A"/>
    <w:rsid w:val="009B3EB3"/>
    <w:rsid w:val="009B4CF0"/>
    <w:rsid w:val="009B7BA5"/>
    <w:rsid w:val="009B7C4D"/>
    <w:rsid w:val="009C2B49"/>
    <w:rsid w:val="009C32CB"/>
    <w:rsid w:val="009D0699"/>
    <w:rsid w:val="009D268E"/>
    <w:rsid w:val="009D3044"/>
    <w:rsid w:val="009D37D4"/>
    <w:rsid w:val="009D6CF2"/>
    <w:rsid w:val="009E02A4"/>
    <w:rsid w:val="009E1A4C"/>
    <w:rsid w:val="009E3D72"/>
    <w:rsid w:val="009E495B"/>
    <w:rsid w:val="009F26D5"/>
    <w:rsid w:val="009F3143"/>
    <w:rsid w:val="009F3169"/>
    <w:rsid w:val="009F4856"/>
    <w:rsid w:val="009F5CC0"/>
    <w:rsid w:val="009F7D7C"/>
    <w:rsid w:val="00A00DD9"/>
    <w:rsid w:val="00A018F8"/>
    <w:rsid w:val="00A01B81"/>
    <w:rsid w:val="00A02310"/>
    <w:rsid w:val="00A04C74"/>
    <w:rsid w:val="00A061C3"/>
    <w:rsid w:val="00A128F3"/>
    <w:rsid w:val="00A14565"/>
    <w:rsid w:val="00A151C2"/>
    <w:rsid w:val="00A15536"/>
    <w:rsid w:val="00A17E17"/>
    <w:rsid w:val="00A21028"/>
    <w:rsid w:val="00A23461"/>
    <w:rsid w:val="00A259A2"/>
    <w:rsid w:val="00A411A0"/>
    <w:rsid w:val="00A4198F"/>
    <w:rsid w:val="00A44E27"/>
    <w:rsid w:val="00A4524E"/>
    <w:rsid w:val="00A46F79"/>
    <w:rsid w:val="00A5309D"/>
    <w:rsid w:val="00A530C8"/>
    <w:rsid w:val="00A53119"/>
    <w:rsid w:val="00A56E8F"/>
    <w:rsid w:val="00A60095"/>
    <w:rsid w:val="00A64337"/>
    <w:rsid w:val="00A706C7"/>
    <w:rsid w:val="00A754F7"/>
    <w:rsid w:val="00A767B9"/>
    <w:rsid w:val="00A774B1"/>
    <w:rsid w:val="00A830CF"/>
    <w:rsid w:val="00A8676D"/>
    <w:rsid w:val="00AA1A05"/>
    <w:rsid w:val="00AA4F43"/>
    <w:rsid w:val="00AB202F"/>
    <w:rsid w:val="00AB384F"/>
    <w:rsid w:val="00AB3F4F"/>
    <w:rsid w:val="00AB42B8"/>
    <w:rsid w:val="00AC0704"/>
    <w:rsid w:val="00AC39D5"/>
    <w:rsid w:val="00AD0DC9"/>
    <w:rsid w:val="00AD20CA"/>
    <w:rsid w:val="00AD591E"/>
    <w:rsid w:val="00AF0E6B"/>
    <w:rsid w:val="00AF701B"/>
    <w:rsid w:val="00AF7886"/>
    <w:rsid w:val="00B00AB6"/>
    <w:rsid w:val="00B03676"/>
    <w:rsid w:val="00B06CDC"/>
    <w:rsid w:val="00B0741D"/>
    <w:rsid w:val="00B104D2"/>
    <w:rsid w:val="00B131FA"/>
    <w:rsid w:val="00B14504"/>
    <w:rsid w:val="00B17260"/>
    <w:rsid w:val="00B20363"/>
    <w:rsid w:val="00B27FBD"/>
    <w:rsid w:val="00B30B3D"/>
    <w:rsid w:val="00B32713"/>
    <w:rsid w:val="00B330B5"/>
    <w:rsid w:val="00B37E5C"/>
    <w:rsid w:val="00B417BB"/>
    <w:rsid w:val="00B46094"/>
    <w:rsid w:val="00B47907"/>
    <w:rsid w:val="00B5010F"/>
    <w:rsid w:val="00B5172C"/>
    <w:rsid w:val="00B548A9"/>
    <w:rsid w:val="00B56DFD"/>
    <w:rsid w:val="00B57A9D"/>
    <w:rsid w:val="00B644A7"/>
    <w:rsid w:val="00B64BF4"/>
    <w:rsid w:val="00B65E01"/>
    <w:rsid w:val="00B72A95"/>
    <w:rsid w:val="00B7433E"/>
    <w:rsid w:val="00B7455F"/>
    <w:rsid w:val="00B7545F"/>
    <w:rsid w:val="00B768CA"/>
    <w:rsid w:val="00B80FA2"/>
    <w:rsid w:val="00B82DFB"/>
    <w:rsid w:val="00B84E06"/>
    <w:rsid w:val="00B85F2D"/>
    <w:rsid w:val="00B87553"/>
    <w:rsid w:val="00B953D0"/>
    <w:rsid w:val="00B9B75A"/>
    <w:rsid w:val="00BA2983"/>
    <w:rsid w:val="00BA583E"/>
    <w:rsid w:val="00BA6776"/>
    <w:rsid w:val="00BB3A3B"/>
    <w:rsid w:val="00BB3CBA"/>
    <w:rsid w:val="00BB3DCF"/>
    <w:rsid w:val="00BB466C"/>
    <w:rsid w:val="00BB7D8F"/>
    <w:rsid w:val="00BC1583"/>
    <w:rsid w:val="00BC6F57"/>
    <w:rsid w:val="00BC70D4"/>
    <w:rsid w:val="00BC7ADD"/>
    <w:rsid w:val="00BD2077"/>
    <w:rsid w:val="00BD3535"/>
    <w:rsid w:val="00BD4BA5"/>
    <w:rsid w:val="00BD5E43"/>
    <w:rsid w:val="00BD69FE"/>
    <w:rsid w:val="00BD71B8"/>
    <w:rsid w:val="00C00C1A"/>
    <w:rsid w:val="00C0336D"/>
    <w:rsid w:val="00C05781"/>
    <w:rsid w:val="00C06454"/>
    <w:rsid w:val="00C07B41"/>
    <w:rsid w:val="00C10B8C"/>
    <w:rsid w:val="00C1110C"/>
    <w:rsid w:val="00C134F5"/>
    <w:rsid w:val="00C14A43"/>
    <w:rsid w:val="00C17929"/>
    <w:rsid w:val="00C22662"/>
    <w:rsid w:val="00C22B30"/>
    <w:rsid w:val="00C243E0"/>
    <w:rsid w:val="00C26BF1"/>
    <w:rsid w:val="00C277E4"/>
    <w:rsid w:val="00C3124A"/>
    <w:rsid w:val="00C329E2"/>
    <w:rsid w:val="00C35A12"/>
    <w:rsid w:val="00C3672E"/>
    <w:rsid w:val="00C41B72"/>
    <w:rsid w:val="00C42318"/>
    <w:rsid w:val="00C45188"/>
    <w:rsid w:val="00C458AF"/>
    <w:rsid w:val="00C4609B"/>
    <w:rsid w:val="00C4733E"/>
    <w:rsid w:val="00C47858"/>
    <w:rsid w:val="00C565D7"/>
    <w:rsid w:val="00C5702F"/>
    <w:rsid w:val="00C57FBB"/>
    <w:rsid w:val="00C60E70"/>
    <w:rsid w:val="00C61BE4"/>
    <w:rsid w:val="00C61CE3"/>
    <w:rsid w:val="00C6476E"/>
    <w:rsid w:val="00C66BD4"/>
    <w:rsid w:val="00C6B4F6"/>
    <w:rsid w:val="00C715FD"/>
    <w:rsid w:val="00C716E4"/>
    <w:rsid w:val="00C72CFF"/>
    <w:rsid w:val="00C81007"/>
    <w:rsid w:val="00C8282D"/>
    <w:rsid w:val="00C845AC"/>
    <w:rsid w:val="00C87C53"/>
    <w:rsid w:val="00C90E66"/>
    <w:rsid w:val="00C9400E"/>
    <w:rsid w:val="00CA15CB"/>
    <w:rsid w:val="00CA2CAF"/>
    <w:rsid w:val="00CA301C"/>
    <w:rsid w:val="00CA303F"/>
    <w:rsid w:val="00CB7ADE"/>
    <w:rsid w:val="00CC0A90"/>
    <w:rsid w:val="00CC1704"/>
    <w:rsid w:val="00CC6620"/>
    <w:rsid w:val="00CD4E92"/>
    <w:rsid w:val="00CE1840"/>
    <w:rsid w:val="00CE4211"/>
    <w:rsid w:val="00CE6251"/>
    <w:rsid w:val="00CE6AD1"/>
    <w:rsid w:val="00CF7E0D"/>
    <w:rsid w:val="00D0533F"/>
    <w:rsid w:val="00D13DC3"/>
    <w:rsid w:val="00D16C42"/>
    <w:rsid w:val="00D203EE"/>
    <w:rsid w:val="00D25F9A"/>
    <w:rsid w:val="00D34AA0"/>
    <w:rsid w:val="00D3683C"/>
    <w:rsid w:val="00D406B0"/>
    <w:rsid w:val="00D43923"/>
    <w:rsid w:val="00D44905"/>
    <w:rsid w:val="00D45A91"/>
    <w:rsid w:val="00D516DA"/>
    <w:rsid w:val="00D51E43"/>
    <w:rsid w:val="00D532D3"/>
    <w:rsid w:val="00D54DA4"/>
    <w:rsid w:val="00D56985"/>
    <w:rsid w:val="00D646BD"/>
    <w:rsid w:val="00D65581"/>
    <w:rsid w:val="00D66C88"/>
    <w:rsid w:val="00D674D6"/>
    <w:rsid w:val="00D67C0C"/>
    <w:rsid w:val="00D707C1"/>
    <w:rsid w:val="00D72AD1"/>
    <w:rsid w:val="00D81761"/>
    <w:rsid w:val="00D84C2F"/>
    <w:rsid w:val="00D8519E"/>
    <w:rsid w:val="00D871C8"/>
    <w:rsid w:val="00D92322"/>
    <w:rsid w:val="00D952E8"/>
    <w:rsid w:val="00DA4E86"/>
    <w:rsid w:val="00DB2F6C"/>
    <w:rsid w:val="00DB3438"/>
    <w:rsid w:val="00DB5226"/>
    <w:rsid w:val="00DC113A"/>
    <w:rsid w:val="00DC27F2"/>
    <w:rsid w:val="00DC2987"/>
    <w:rsid w:val="00DC5ABE"/>
    <w:rsid w:val="00DD1A31"/>
    <w:rsid w:val="00DD628B"/>
    <w:rsid w:val="00DD6752"/>
    <w:rsid w:val="00DE1F3C"/>
    <w:rsid w:val="00DE3636"/>
    <w:rsid w:val="00DE7823"/>
    <w:rsid w:val="00DE78D4"/>
    <w:rsid w:val="00DF1207"/>
    <w:rsid w:val="00DF31F6"/>
    <w:rsid w:val="00DF3BDB"/>
    <w:rsid w:val="00DF648F"/>
    <w:rsid w:val="00E00551"/>
    <w:rsid w:val="00E0287C"/>
    <w:rsid w:val="00E05159"/>
    <w:rsid w:val="00E13415"/>
    <w:rsid w:val="00E13B91"/>
    <w:rsid w:val="00E20BE8"/>
    <w:rsid w:val="00E22A30"/>
    <w:rsid w:val="00E24943"/>
    <w:rsid w:val="00E31465"/>
    <w:rsid w:val="00E40BE5"/>
    <w:rsid w:val="00E4282D"/>
    <w:rsid w:val="00E430C8"/>
    <w:rsid w:val="00E44761"/>
    <w:rsid w:val="00E46122"/>
    <w:rsid w:val="00E518FF"/>
    <w:rsid w:val="00E51BE0"/>
    <w:rsid w:val="00E52C84"/>
    <w:rsid w:val="00E52EA7"/>
    <w:rsid w:val="00E57250"/>
    <w:rsid w:val="00E573F5"/>
    <w:rsid w:val="00E62E31"/>
    <w:rsid w:val="00E772EF"/>
    <w:rsid w:val="00E776E6"/>
    <w:rsid w:val="00E90F83"/>
    <w:rsid w:val="00E97669"/>
    <w:rsid w:val="00EA0992"/>
    <w:rsid w:val="00EA23A5"/>
    <w:rsid w:val="00EA7A0A"/>
    <w:rsid w:val="00EA7B59"/>
    <w:rsid w:val="00EB004E"/>
    <w:rsid w:val="00EB04F6"/>
    <w:rsid w:val="00EB35F5"/>
    <w:rsid w:val="00EB4061"/>
    <w:rsid w:val="00EB700C"/>
    <w:rsid w:val="00EC2014"/>
    <w:rsid w:val="00EC26E0"/>
    <w:rsid w:val="00EC34EB"/>
    <w:rsid w:val="00EC36EB"/>
    <w:rsid w:val="00ED0A3A"/>
    <w:rsid w:val="00ED1291"/>
    <w:rsid w:val="00ED1977"/>
    <w:rsid w:val="00ED4281"/>
    <w:rsid w:val="00ED488D"/>
    <w:rsid w:val="00ED5480"/>
    <w:rsid w:val="00EE0671"/>
    <w:rsid w:val="00EE2A3B"/>
    <w:rsid w:val="00EE2F9D"/>
    <w:rsid w:val="00EE6C79"/>
    <w:rsid w:val="00EE7906"/>
    <w:rsid w:val="00EF3835"/>
    <w:rsid w:val="00EF5138"/>
    <w:rsid w:val="00F00260"/>
    <w:rsid w:val="00F075F0"/>
    <w:rsid w:val="00F119D8"/>
    <w:rsid w:val="00F211C3"/>
    <w:rsid w:val="00F2341D"/>
    <w:rsid w:val="00F258C4"/>
    <w:rsid w:val="00F26C24"/>
    <w:rsid w:val="00F351C9"/>
    <w:rsid w:val="00F416CD"/>
    <w:rsid w:val="00F423AB"/>
    <w:rsid w:val="00F46828"/>
    <w:rsid w:val="00F512CA"/>
    <w:rsid w:val="00F519A2"/>
    <w:rsid w:val="00F52892"/>
    <w:rsid w:val="00F53FA9"/>
    <w:rsid w:val="00F54D4E"/>
    <w:rsid w:val="00F5572D"/>
    <w:rsid w:val="00F56949"/>
    <w:rsid w:val="00F619FC"/>
    <w:rsid w:val="00F65DFC"/>
    <w:rsid w:val="00F6717B"/>
    <w:rsid w:val="00F67D89"/>
    <w:rsid w:val="00F72F06"/>
    <w:rsid w:val="00F76D88"/>
    <w:rsid w:val="00F776FA"/>
    <w:rsid w:val="00F77F2E"/>
    <w:rsid w:val="00F85D98"/>
    <w:rsid w:val="00F87457"/>
    <w:rsid w:val="00F921D8"/>
    <w:rsid w:val="00F93C8A"/>
    <w:rsid w:val="00FA0A42"/>
    <w:rsid w:val="00FA2B47"/>
    <w:rsid w:val="00FA389C"/>
    <w:rsid w:val="00FA3A0E"/>
    <w:rsid w:val="00FA40CC"/>
    <w:rsid w:val="00FA4944"/>
    <w:rsid w:val="00FA73F3"/>
    <w:rsid w:val="00FB25A2"/>
    <w:rsid w:val="00FB565A"/>
    <w:rsid w:val="00FB5D0C"/>
    <w:rsid w:val="00FB5D7D"/>
    <w:rsid w:val="00FC2659"/>
    <w:rsid w:val="00FC348D"/>
    <w:rsid w:val="00FC3F5E"/>
    <w:rsid w:val="00FC543F"/>
    <w:rsid w:val="00FC7BB9"/>
    <w:rsid w:val="00FD00A9"/>
    <w:rsid w:val="00FD029B"/>
    <w:rsid w:val="00FD1115"/>
    <w:rsid w:val="00FD42A5"/>
    <w:rsid w:val="00FD43D5"/>
    <w:rsid w:val="00FD6DA9"/>
    <w:rsid w:val="00FE16EA"/>
    <w:rsid w:val="00FF19F4"/>
    <w:rsid w:val="00FF6379"/>
    <w:rsid w:val="01073C93"/>
    <w:rsid w:val="010DA9FF"/>
    <w:rsid w:val="011CC579"/>
    <w:rsid w:val="0145A1AF"/>
    <w:rsid w:val="014DD7B7"/>
    <w:rsid w:val="019826BF"/>
    <w:rsid w:val="01ED8860"/>
    <w:rsid w:val="023D2CB3"/>
    <w:rsid w:val="02471743"/>
    <w:rsid w:val="027C865F"/>
    <w:rsid w:val="032301E5"/>
    <w:rsid w:val="035D5825"/>
    <w:rsid w:val="03D2FB16"/>
    <w:rsid w:val="03D8FD14"/>
    <w:rsid w:val="041CBF9D"/>
    <w:rsid w:val="043787BA"/>
    <w:rsid w:val="04ABD72E"/>
    <w:rsid w:val="04ADCB96"/>
    <w:rsid w:val="04C0407F"/>
    <w:rsid w:val="04F19395"/>
    <w:rsid w:val="05A6755C"/>
    <w:rsid w:val="05E17207"/>
    <w:rsid w:val="05F779B1"/>
    <w:rsid w:val="060270DF"/>
    <w:rsid w:val="0606CA4F"/>
    <w:rsid w:val="06285AE8"/>
    <w:rsid w:val="06357D0A"/>
    <w:rsid w:val="067B6580"/>
    <w:rsid w:val="06845313"/>
    <w:rsid w:val="071829C3"/>
    <w:rsid w:val="07776867"/>
    <w:rsid w:val="07AAE8D1"/>
    <w:rsid w:val="07C42B49"/>
    <w:rsid w:val="081541ED"/>
    <w:rsid w:val="0854CB4B"/>
    <w:rsid w:val="0884D257"/>
    <w:rsid w:val="08A00D99"/>
    <w:rsid w:val="08A80813"/>
    <w:rsid w:val="08B8CCE3"/>
    <w:rsid w:val="092C3C94"/>
    <w:rsid w:val="0A2BDFA8"/>
    <w:rsid w:val="0A31B0CC"/>
    <w:rsid w:val="0A34C7F1"/>
    <w:rsid w:val="0A6D1226"/>
    <w:rsid w:val="0A74FFAC"/>
    <w:rsid w:val="0B1895F8"/>
    <w:rsid w:val="0B875EA2"/>
    <w:rsid w:val="0BD2D422"/>
    <w:rsid w:val="0BF439FF"/>
    <w:rsid w:val="0C1B7EA6"/>
    <w:rsid w:val="0C7836E2"/>
    <w:rsid w:val="0C9C1879"/>
    <w:rsid w:val="0CB2A9DB"/>
    <w:rsid w:val="0CF6DB32"/>
    <w:rsid w:val="0D3E2EF9"/>
    <w:rsid w:val="0D461AA1"/>
    <w:rsid w:val="0D6EA483"/>
    <w:rsid w:val="0D87CCE0"/>
    <w:rsid w:val="0D982C58"/>
    <w:rsid w:val="0DA4B2E8"/>
    <w:rsid w:val="0DBD5414"/>
    <w:rsid w:val="0E2F0CF9"/>
    <w:rsid w:val="0E53E18E"/>
    <w:rsid w:val="0E69C558"/>
    <w:rsid w:val="0E7CF099"/>
    <w:rsid w:val="0E800658"/>
    <w:rsid w:val="0EF4A465"/>
    <w:rsid w:val="0F1AC1D6"/>
    <w:rsid w:val="0F22C85C"/>
    <w:rsid w:val="0F3E6C39"/>
    <w:rsid w:val="0F537EC0"/>
    <w:rsid w:val="0F6739CB"/>
    <w:rsid w:val="1018C0FA"/>
    <w:rsid w:val="1064571F"/>
    <w:rsid w:val="10F4DB20"/>
    <w:rsid w:val="115B1A72"/>
    <w:rsid w:val="117698C9"/>
    <w:rsid w:val="11B33095"/>
    <w:rsid w:val="11D4ACF4"/>
    <w:rsid w:val="11EE0FF8"/>
    <w:rsid w:val="11F516E6"/>
    <w:rsid w:val="121F4ADE"/>
    <w:rsid w:val="1227367C"/>
    <w:rsid w:val="126671A3"/>
    <w:rsid w:val="1352BEA1"/>
    <w:rsid w:val="13596C6F"/>
    <w:rsid w:val="135FC7AD"/>
    <w:rsid w:val="1382A8B6"/>
    <w:rsid w:val="13E7260E"/>
    <w:rsid w:val="1432AD22"/>
    <w:rsid w:val="14411525"/>
    <w:rsid w:val="145BC570"/>
    <w:rsid w:val="14B6573C"/>
    <w:rsid w:val="1520D07B"/>
    <w:rsid w:val="153AA92E"/>
    <w:rsid w:val="153D1E9C"/>
    <w:rsid w:val="1569EF38"/>
    <w:rsid w:val="15CCDF45"/>
    <w:rsid w:val="161CEE19"/>
    <w:rsid w:val="1630E18F"/>
    <w:rsid w:val="163BA7EF"/>
    <w:rsid w:val="16511075"/>
    <w:rsid w:val="16930561"/>
    <w:rsid w:val="16996A5E"/>
    <w:rsid w:val="16D442DD"/>
    <w:rsid w:val="1716A774"/>
    <w:rsid w:val="178E39D0"/>
    <w:rsid w:val="17A4E8B0"/>
    <w:rsid w:val="18091464"/>
    <w:rsid w:val="18171EF6"/>
    <w:rsid w:val="190E4786"/>
    <w:rsid w:val="1958FD24"/>
    <w:rsid w:val="1A53D5C1"/>
    <w:rsid w:val="1A551511"/>
    <w:rsid w:val="1A59C9F5"/>
    <w:rsid w:val="1AC11F2E"/>
    <w:rsid w:val="1B455995"/>
    <w:rsid w:val="1B90A7F1"/>
    <w:rsid w:val="1BA6A6D2"/>
    <w:rsid w:val="1BB42696"/>
    <w:rsid w:val="1BC715AF"/>
    <w:rsid w:val="1BE5785D"/>
    <w:rsid w:val="1BFCF54A"/>
    <w:rsid w:val="1BFD1EC7"/>
    <w:rsid w:val="1C64F397"/>
    <w:rsid w:val="1C8E8D7D"/>
    <w:rsid w:val="1CBD3708"/>
    <w:rsid w:val="1CECC3BA"/>
    <w:rsid w:val="1D62E610"/>
    <w:rsid w:val="1DBD7EFF"/>
    <w:rsid w:val="1DDB6564"/>
    <w:rsid w:val="1E0A953C"/>
    <w:rsid w:val="1E4522B9"/>
    <w:rsid w:val="1E5D01BA"/>
    <w:rsid w:val="1EA7B42D"/>
    <w:rsid w:val="1EC73AD1"/>
    <w:rsid w:val="1F00433F"/>
    <w:rsid w:val="1F141D43"/>
    <w:rsid w:val="1F1B7C16"/>
    <w:rsid w:val="1F27418D"/>
    <w:rsid w:val="1F2C6650"/>
    <w:rsid w:val="1F8C5BEF"/>
    <w:rsid w:val="1FD2EFF9"/>
    <w:rsid w:val="208B4840"/>
    <w:rsid w:val="2092ABB4"/>
    <w:rsid w:val="20AF2F5F"/>
    <w:rsid w:val="20CB6877"/>
    <w:rsid w:val="21142E6C"/>
    <w:rsid w:val="2138605A"/>
    <w:rsid w:val="21739436"/>
    <w:rsid w:val="21A5C69F"/>
    <w:rsid w:val="21B02C02"/>
    <w:rsid w:val="21FEDB93"/>
    <w:rsid w:val="22C49E3B"/>
    <w:rsid w:val="23112954"/>
    <w:rsid w:val="234BF85C"/>
    <w:rsid w:val="235FF9C1"/>
    <w:rsid w:val="23633398"/>
    <w:rsid w:val="237DB920"/>
    <w:rsid w:val="2394C21A"/>
    <w:rsid w:val="23FE59EB"/>
    <w:rsid w:val="24196D74"/>
    <w:rsid w:val="242941D0"/>
    <w:rsid w:val="243AFEC9"/>
    <w:rsid w:val="245FD8D2"/>
    <w:rsid w:val="2479D6C0"/>
    <w:rsid w:val="24EC92AA"/>
    <w:rsid w:val="2545CB61"/>
    <w:rsid w:val="255A3E7B"/>
    <w:rsid w:val="255C7928"/>
    <w:rsid w:val="2617CA91"/>
    <w:rsid w:val="264F9BDA"/>
    <w:rsid w:val="27C5B72A"/>
    <w:rsid w:val="27C60FA9"/>
    <w:rsid w:val="2829656C"/>
    <w:rsid w:val="2852DAC6"/>
    <w:rsid w:val="28B87822"/>
    <w:rsid w:val="28FF8DDD"/>
    <w:rsid w:val="294F920A"/>
    <w:rsid w:val="29AB6223"/>
    <w:rsid w:val="29C48C33"/>
    <w:rsid w:val="29DC2325"/>
    <w:rsid w:val="2A6B38DB"/>
    <w:rsid w:val="2A6B9D3E"/>
    <w:rsid w:val="2AE0449A"/>
    <w:rsid w:val="2B4B58A6"/>
    <w:rsid w:val="2B64D0ED"/>
    <w:rsid w:val="2B80897B"/>
    <w:rsid w:val="2B85F41F"/>
    <w:rsid w:val="2B9F8E23"/>
    <w:rsid w:val="2BAED3A5"/>
    <w:rsid w:val="2BBF0EB0"/>
    <w:rsid w:val="2BC43E0F"/>
    <w:rsid w:val="2C17B48B"/>
    <w:rsid w:val="2C8CCB94"/>
    <w:rsid w:val="2CA03055"/>
    <w:rsid w:val="2CC90C0D"/>
    <w:rsid w:val="2D0EA154"/>
    <w:rsid w:val="2D5DA0AB"/>
    <w:rsid w:val="2D6EDA54"/>
    <w:rsid w:val="2E287DAF"/>
    <w:rsid w:val="2E435A1A"/>
    <w:rsid w:val="2E62423D"/>
    <w:rsid w:val="2E67A8A3"/>
    <w:rsid w:val="2E79A8EA"/>
    <w:rsid w:val="2E9225F4"/>
    <w:rsid w:val="2EB38298"/>
    <w:rsid w:val="2F19D723"/>
    <w:rsid w:val="2F9F5805"/>
    <w:rsid w:val="2FBE3AD9"/>
    <w:rsid w:val="303ACA1F"/>
    <w:rsid w:val="3067F425"/>
    <w:rsid w:val="307DD5F5"/>
    <w:rsid w:val="30995868"/>
    <w:rsid w:val="30E6D15B"/>
    <w:rsid w:val="31051A01"/>
    <w:rsid w:val="3146DAFE"/>
    <w:rsid w:val="317268C0"/>
    <w:rsid w:val="31921243"/>
    <w:rsid w:val="319C21C7"/>
    <w:rsid w:val="31A9A7E0"/>
    <w:rsid w:val="3285B538"/>
    <w:rsid w:val="32C385C6"/>
    <w:rsid w:val="3397E7E3"/>
    <w:rsid w:val="3406F9D6"/>
    <w:rsid w:val="341B9481"/>
    <w:rsid w:val="344185C0"/>
    <w:rsid w:val="344A3CF2"/>
    <w:rsid w:val="349AAB9E"/>
    <w:rsid w:val="34EB7667"/>
    <w:rsid w:val="35264772"/>
    <w:rsid w:val="352BBD29"/>
    <w:rsid w:val="3541B88D"/>
    <w:rsid w:val="355A9D30"/>
    <w:rsid w:val="3564AC04"/>
    <w:rsid w:val="3564ED57"/>
    <w:rsid w:val="356A9520"/>
    <w:rsid w:val="3583BD7D"/>
    <w:rsid w:val="3593FE75"/>
    <w:rsid w:val="35CB1581"/>
    <w:rsid w:val="35EEFDF0"/>
    <w:rsid w:val="363D74D2"/>
    <w:rsid w:val="3664BDFC"/>
    <w:rsid w:val="36A1AA6E"/>
    <w:rsid w:val="36B2FB80"/>
    <w:rsid w:val="36DA48AA"/>
    <w:rsid w:val="36E6F59F"/>
    <w:rsid w:val="370A822D"/>
    <w:rsid w:val="372E0F39"/>
    <w:rsid w:val="3755EB2F"/>
    <w:rsid w:val="37E9AC04"/>
    <w:rsid w:val="37EAB629"/>
    <w:rsid w:val="38047D01"/>
    <w:rsid w:val="3817DB89"/>
    <w:rsid w:val="3820CB57"/>
    <w:rsid w:val="3882A79B"/>
    <w:rsid w:val="38852CC8"/>
    <w:rsid w:val="38CFF666"/>
    <w:rsid w:val="38E57155"/>
    <w:rsid w:val="38F24B26"/>
    <w:rsid w:val="38F6634C"/>
    <w:rsid w:val="390CAB05"/>
    <w:rsid w:val="3916A17B"/>
    <w:rsid w:val="393B6EC8"/>
    <w:rsid w:val="39565493"/>
    <w:rsid w:val="3967F2F1"/>
    <w:rsid w:val="3979C6A1"/>
    <w:rsid w:val="3987FFBB"/>
    <w:rsid w:val="39A72E79"/>
    <w:rsid w:val="39FF2E4C"/>
    <w:rsid w:val="3A46168E"/>
    <w:rsid w:val="3A74FC07"/>
    <w:rsid w:val="3ABE34EB"/>
    <w:rsid w:val="3AC524A4"/>
    <w:rsid w:val="3AEFB537"/>
    <w:rsid w:val="3B380FC9"/>
    <w:rsid w:val="3B6F5A6B"/>
    <w:rsid w:val="3B96935F"/>
    <w:rsid w:val="3B9CAEEA"/>
    <w:rsid w:val="3BD02DD5"/>
    <w:rsid w:val="3BD73275"/>
    <w:rsid w:val="3C0033AF"/>
    <w:rsid w:val="3C9F37F6"/>
    <w:rsid w:val="3CB93991"/>
    <w:rsid w:val="3D5F9F8A"/>
    <w:rsid w:val="3D8C0D61"/>
    <w:rsid w:val="3DDEAFCF"/>
    <w:rsid w:val="3E1BD0B5"/>
    <w:rsid w:val="3E4351D5"/>
    <w:rsid w:val="3E4BB5E1"/>
    <w:rsid w:val="3E6754AB"/>
    <w:rsid w:val="3E6969F8"/>
    <w:rsid w:val="3E771E2A"/>
    <w:rsid w:val="3ED60EB1"/>
    <w:rsid w:val="3EED6239"/>
    <w:rsid w:val="3EF53BEB"/>
    <w:rsid w:val="3F17F820"/>
    <w:rsid w:val="3F3D3E9D"/>
    <w:rsid w:val="40533F01"/>
    <w:rsid w:val="408F2B88"/>
    <w:rsid w:val="40A96CAC"/>
    <w:rsid w:val="40CD7510"/>
    <w:rsid w:val="40F01A22"/>
    <w:rsid w:val="411BFCB0"/>
    <w:rsid w:val="41256356"/>
    <w:rsid w:val="4171735A"/>
    <w:rsid w:val="419A56C4"/>
    <w:rsid w:val="41D583DD"/>
    <w:rsid w:val="41F00C4D"/>
    <w:rsid w:val="423AF1C1"/>
    <w:rsid w:val="428CE027"/>
    <w:rsid w:val="42AE078D"/>
    <w:rsid w:val="42EAECB5"/>
    <w:rsid w:val="42ED0BA5"/>
    <w:rsid w:val="435FA249"/>
    <w:rsid w:val="43745115"/>
    <w:rsid w:val="438F0A6D"/>
    <w:rsid w:val="43CD23EF"/>
    <w:rsid w:val="43D6C222"/>
    <w:rsid w:val="43FC2D28"/>
    <w:rsid w:val="442CA813"/>
    <w:rsid w:val="4441A3B6"/>
    <w:rsid w:val="446051D4"/>
    <w:rsid w:val="447CE5F3"/>
    <w:rsid w:val="448778CF"/>
    <w:rsid w:val="449798F3"/>
    <w:rsid w:val="4579993F"/>
    <w:rsid w:val="45C4F193"/>
    <w:rsid w:val="4602AC4C"/>
    <w:rsid w:val="4683D3A6"/>
    <w:rsid w:val="469B8367"/>
    <w:rsid w:val="46D457A9"/>
    <w:rsid w:val="46F0DE5B"/>
    <w:rsid w:val="47A58898"/>
    <w:rsid w:val="47DD42C5"/>
    <w:rsid w:val="483A7A43"/>
    <w:rsid w:val="49731BBB"/>
    <w:rsid w:val="49D64AA4"/>
    <w:rsid w:val="4A1CA5B5"/>
    <w:rsid w:val="4A5D99AB"/>
    <w:rsid w:val="4A896F7B"/>
    <w:rsid w:val="4A970C88"/>
    <w:rsid w:val="4B2EC4A3"/>
    <w:rsid w:val="4B94178C"/>
    <w:rsid w:val="4B95025F"/>
    <w:rsid w:val="4C1FD579"/>
    <w:rsid w:val="4C591AB5"/>
    <w:rsid w:val="4C82E3FC"/>
    <w:rsid w:val="4CB6BBEB"/>
    <w:rsid w:val="4CCD1972"/>
    <w:rsid w:val="4CE38365"/>
    <w:rsid w:val="4D0E6E1E"/>
    <w:rsid w:val="4D175817"/>
    <w:rsid w:val="4D1F2A4D"/>
    <w:rsid w:val="4DFB995D"/>
    <w:rsid w:val="4E030F1F"/>
    <w:rsid w:val="4E3FC38F"/>
    <w:rsid w:val="4F84565D"/>
    <w:rsid w:val="508EDCAC"/>
    <w:rsid w:val="509F43FB"/>
    <w:rsid w:val="50A9AB0C"/>
    <w:rsid w:val="50A9C436"/>
    <w:rsid w:val="50FFC7BE"/>
    <w:rsid w:val="5136BEA9"/>
    <w:rsid w:val="5141F494"/>
    <w:rsid w:val="514FC1E7"/>
    <w:rsid w:val="519E0627"/>
    <w:rsid w:val="51AC2F4B"/>
    <w:rsid w:val="51C96B9B"/>
    <w:rsid w:val="51D4FBEB"/>
    <w:rsid w:val="521A557F"/>
    <w:rsid w:val="521C1DE9"/>
    <w:rsid w:val="521FF989"/>
    <w:rsid w:val="522E72D4"/>
    <w:rsid w:val="52C268C1"/>
    <w:rsid w:val="5358FDB6"/>
    <w:rsid w:val="536EFC97"/>
    <w:rsid w:val="53CEF6BE"/>
    <w:rsid w:val="54382A28"/>
    <w:rsid w:val="54C921E8"/>
    <w:rsid w:val="5509FA79"/>
    <w:rsid w:val="551AB247"/>
    <w:rsid w:val="552944DC"/>
    <w:rsid w:val="552F6A27"/>
    <w:rsid w:val="553DD0D9"/>
    <w:rsid w:val="556631FB"/>
    <w:rsid w:val="55FEE985"/>
    <w:rsid w:val="56267840"/>
    <w:rsid w:val="562882E9"/>
    <w:rsid w:val="56C0FDF3"/>
    <w:rsid w:val="56DF8DCC"/>
    <w:rsid w:val="56E29A47"/>
    <w:rsid w:val="57098622"/>
    <w:rsid w:val="571AB1E3"/>
    <w:rsid w:val="571D769F"/>
    <w:rsid w:val="5752D076"/>
    <w:rsid w:val="5758EA9E"/>
    <w:rsid w:val="578F6842"/>
    <w:rsid w:val="57A365A0"/>
    <w:rsid w:val="57AC9247"/>
    <w:rsid w:val="57E86DDC"/>
    <w:rsid w:val="581B41CC"/>
    <w:rsid w:val="584CC5AF"/>
    <w:rsid w:val="587B6040"/>
    <w:rsid w:val="587E6AA8"/>
    <w:rsid w:val="58913677"/>
    <w:rsid w:val="58A0113D"/>
    <w:rsid w:val="58AAB2B1"/>
    <w:rsid w:val="592345E0"/>
    <w:rsid w:val="59585E5E"/>
    <w:rsid w:val="595FE104"/>
    <w:rsid w:val="59B360DC"/>
    <w:rsid w:val="59CE46D3"/>
    <w:rsid w:val="59EBBD1E"/>
    <w:rsid w:val="5A296C8F"/>
    <w:rsid w:val="5A3984B9"/>
    <w:rsid w:val="5A3E1EEA"/>
    <w:rsid w:val="5A46E088"/>
    <w:rsid w:val="5AA4458D"/>
    <w:rsid w:val="5ACA35FD"/>
    <w:rsid w:val="5ADB0662"/>
    <w:rsid w:val="5AEADFA7"/>
    <w:rsid w:val="5B0AF209"/>
    <w:rsid w:val="5B62B5D4"/>
    <w:rsid w:val="5BCBDC7E"/>
    <w:rsid w:val="5C59C966"/>
    <w:rsid w:val="5C6AC6EB"/>
    <w:rsid w:val="5C9DE784"/>
    <w:rsid w:val="5CBAA070"/>
    <w:rsid w:val="5D12F55F"/>
    <w:rsid w:val="5D2FEECD"/>
    <w:rsid w:val="5D4A683F"/>
    <w:rsid w:val="5D6AF825"/>
    <w:rsid w:val="5D9A35C3"/>
    <w:rsid w:val="5EF2FC58"/>
    <w:rsid w:val="5F0F52C1"/>
    <w:rsid w:val="5F6F67D9"/>
    <w:rsid w:val="5F916D6E"/>
    <w:rsid w:val="5F9AEFA0"/>
    <w:rsid w:val="5FB98B36"/>
    <w:rsid w:val="5FBAE317"/>
    <w:rsid w:val="606099DB"/>
    <w:rsid w:val="610C1C83"/>
    <w:rsid w:val="613CDFF4"/>
    <w:rsid w:val="61657578"/>
    <w:rsid w:val="6188D64A"/>
    <w:rsid w:val="61C1F906"/>
    <w:rsid w:val="6226E164"/>
    <w:rsid w:val="624D80F6"/>
    <w:rsid w:val="62542F99"/>
    <w:rsid w:val="626914ED"/>
    <w:rsid w:val="62DA086F"/>
    <w:rsid w:val="63ACB57F"/>
    <w:rsid w:val="63E2C3E4"/>
    <w:rsid w:val="649161D2"/>
    <w:rsid w:val="64E14E72"/>
    <w:rsid w:val="651DE237"/>
    <w:rsid w:val="6544188D"/>
    <w:rsid w:val="657D53E2"/>
    <w:rsid w:val="65AD29D8"/>
    <w:rsid w:val="65D084F5"/>
    <w:rsid w:val="6613E136"/>
    <w:rsid w:val="664CB944"/>
    <w:rsid w:val="6697D462"/>
    <w:rsid w:val="669C333B"/>
    <w:rsid w:val="66A5687B"/>
    <w:rsid w:val="66C0E6D2"/>
    <w:rsid w:val="66FDB2EE"/>
    <w:rsid w:val="6713F16A"/>
    <w:rsid w:val="674C2E2F"/>
    <w:rsid w:val="6769D299"/>
    <w:rsid w:val="67827AB6"/>
    <w:rsid w:val="67E04D6C"/>
    <w:rsid w:val="67FC0BED"/>
    <w:rsid w:val="681275ED"/>
    <w:rsid w:val="6865E678"/>
    <w:rsid w:val="68D734D3"/>
    <w:rsid w:val="68F0519F"/>
    <w:rsid w:val="69302196"/>
    <w:rsid w:val="6937DE84"/>
    <w:rsid w:val="69662FFB"/>
    <w:rsid w:val="69DBC183"/>
    <w:rsid w:val="69FEC13C"/>
    <w:rsid w:val="6A16253A"/>
    <w:rsid w:val="6A840E35"/>
    <w:rsid w:val="6ABEEC8F"/>
    <w:rsid w:val="6AFF63CC"/>
    <w:rsid w:val="6B8CA3BB"/>
    <w:rsid w:val="6C2B2A8C"/>
    <w:rsid w:val="6C723F70"/>
    <w:rsid w:val="6C76EAEB"/>
    <w:rsid w:val="6C9DD0BD"/>
    <w:rsid w:val="6CFB63DC"/>
    <w:rsid w:val="6CFECA1E"/>
    <w:rsid w:val="6D3F6FD5"/>
    <w:rsid w:val="6D8E2B6B"/>
    <w:rsid w:val="6DF28079"/>
    <w:rsid w:val="6E17F39D"/>
    <w:rsid w:val="6E4CF415"/>
    <w:rsid w:val="6E960A49"/>
    <w:rsid w:val="6F13EBE9"/>
    <w:rsid w:val="6F83B589"/>
    <w:rsid w:val="701353F9"/>
    <w:rsid w:val="70C93472"/>
    <w:rsid w:val="70FA4025"/>
    <w:rsid w:val="7138B740"/>
    <w:rsid w:val="714BA0FD"/>
    <w:rsid w:val="71F674F9"/>
    <w:rsid w:val="720C28D1"/>
    <w:rsid w:val="722708E8"/>
    <w:rsid w:val="72786197"/>
    <w:rsid w:val="72D2497B"/>
    <w:rsid w:val="72DB6492"/>
    <w:rsid w:val="730D1241"/>
    <w:rsid w:val="7355339B"/>
    <w:rsid w:val="736C02B5"/>
    <w:rsid w:val="73976C52"/>
    <w:rsid w:val="73F85203"/>
    <w:rsid w:val="74197660"/>
    <w:rsid w:val="742A1EA8"/>
    <w:rsid w:val="7435461A"/>
    <w:rsid w:val="74440442"/>
    <w:rsid w:val="74A0BC20"/>
    <w:rsid w:val="74C4080D"/>
    <w:rsid w:val="74DE53FB"/>
    <w:rsid w:val="74F2151E"/>
    <w:rsid w:val="751118C3"/>
    <w:rsid w:val="75214133"/>
    <w:rsid w:val="752ECFBD"/>
    <w:rsid w:val="753C31EB"/>
    <w:rsid w:val="754B37B8"/>
    <w:rsid w:val="76BCBE32"/>
    <w:rsid w:val="76E6F92D"/>
    <w:rsid w:val="76E9E50D"/>
    <w:rsid w:val="76F6FA7C"/>
    <w:rsid w:val="76FA7A0B"/>
    <w:rsid w:val="775A6D7D"/>
    <w:rsid w:val="77C763F1"/>
    <w:rsid w:val="7824B026"/>
    <w:rsid w:val="7842FC33"/>
    <w:rsid w:val="784BCD6F"/>
    <w:rsid w:val="7859B2A0"/>
    <w:rsid w:val="785C57D1"/>
    <w:rsid w:val="78601677"/>
    <w:rsid w:val="78A1C1D7"/>
    <w:rsid w:val="78C41E48"/>
    <w:rsid w:val="795243A5"/>
    <w:rsid w:val="79936F1C"/>
    <w:rsid w:val="799C34F4"/>
    <w:rsid w:val="79AD8ABF"/>
    <w:rsid w:val="79B5FE62"/>
    <w:rsid w:val="79B9A888"/>
    <w:rsid w:val="79BEF867"/>
    <w:rsid w:val="79C799C0"/>
    <w:rsid w:val="79FB1A8D"/>
    <w:rsid w:val="7A056B22"/>
    <w:rsid w:val="7A061E9E"/>
    <w:rsid w:val="7A1ED7D7"/>
    <w:rsid w:val="7A202FA1"/>
    <w:rsid w:val="7A3B6919"/>
    <w:rsid w:val="7A4D72DC"/>
    <w:rsid w:val="7A88B7E4"/>
    <w:rsid w:val="7ABD3D4A"/>
    <w:rsid w:val="7AD95AE6"/>
    <w:rsid w:val="7B06992E"/>
    <w:rsid w:val="7B4F915F"/>
    <w:rsid w:val="7B5578E9"/>
    <w:rsid w:val="7C08F94D"/>
    <w:rsid w:val="7C222338"/>
    <w:rsid w:val="7C351506"/>
    <w:rsid w:val="7C828935"/>
    <w:rsid w:val="7C8F81D7"/>
    <w:rsid w:val="7C97BDF5"/>
    <w:rsid w:val="7CAD8631"/>
    <w:rsid w:val="7CDC6BDE"/>
    <w:rsid w:val="7D28624F"/>
    <w:rsid w:val="7D6C64B1"/>
    <w:rsid w:val="7D92585B"/>
    <w:rsid w:val="7DAC4939"/>
    <w:rsid w:val="7DE5C948"/>
    <w:rsid w:val="7DE98E17"/>
    <w:rsid w:val="7DF096D3"/>
    <w:rsid w:val="7E2CB0F7"/>
    <w:rsid w:val="7E4E64D5"/>
    <w:rsid w:val="7E5F6E30"/>
    <w:rsid w:val="7E702810"/>
    <w:rsid w:val="7E7BC004"/>
    <w:rsid w:val="7EE3A9B3"/>
    <w:rsid w:val="7EF45119"/>
    <w:rsid w:val="7F2AE494"/>
    <w:rsid w:val="7F396A79"/>
    <w:rsid w:val="7F5103B7"/>
    <w:rsid w:val="7F5D514D"/>
    <w:rsid w:val="7F5FD262"/>
    <w:rsid w:val="7F99D07F"/>
    <w:rsid w:val="7FA55E9F"/>
    <w:rsid w:val="7FBC351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02E6B99A"/>
  <w15:chartTrackingRefBased/>
  <w15:docId w15:val="{2719E1A9-DA63-4F41-BFCA-AB7D61AB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A4"/>
    <w:pPr>
      <w:spacing w:after="40"/>
      <w:jc w:val="both"/>
    </w:pPr>
    <w:rPr>
      <w:rFonts w:ascii="Times New Roman" w:hAnsi="Times New Roman"/>
      <w:sz w:val="24"/>
    </w:rPr>
  </w:style>
  <w:style w:type="paragraph" w:styleId="Heading1">
    <w:name w:val="heading 1"/>
    <w:basedOn w:val="Normal"/>
    <w:next w:val="Normal"/>
    <w:link w:val="Heading1Char"/>
    <w:uiPriority w:val="9"/>
    <w:qFormat/>
    <w:rsid w:val="00EC26E0"/>
    <w:pPr>
      <w:keepNext/>
      <w:keepLines/>
      <w:numPr>
        <w:numId w:val="15"/>
      </w:numPr>
      <w:spacing w:before="360" w:after="12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3D759C"/>
    <w:pPr>
      <w:keepNext/>
      <w:keepLines/>
      <w:numPr>
        <w:ilvl w:val="1"/>
        <w:numId w:val="15"/>
      </w:numPr>
      <w:spacing w:before="160" w:after="120"/>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640B58"/>
    <w:pPr>
      <w:keepNext/>
      <w:keepLines/>
      <w:numPr>
        <w:ilvl w:val="2"/>
        <w:numId w:val="15"/>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640B58"/>
    <w:pPr>
      <w:keepNext/>
      <w:keepLines/>
      <w:numPr>
        <w:ilvl w:val="3"/>
        <w:numId w:val="1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40B58"/>
    <w:pPr>
      <w:keepNext/>
      <w:keepLines/>
      <w:numPr>
        <w:ilvl w:val="4"/>
        <w:numId w:val="1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40B58"/>
    <w:pPr>
      <w:keepNext/>
      <w:keepLines/>
      <w:numPr>
        <w:ilvl w:val="5"/>
        <w:numId w:val="1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40B58"/>
    <w:pPr>
      <w:keepNext/>
      <w:keepLines/>
      <w:numPr>
        <w:ilvl w:val="6"/>
        <w:numId w:val="1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40B58"/>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0B58"/>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6E0"/>
    <w:rPr>
      <w:rFonts w:ascii="Times New Roman" w:eastAsiaTheme="majorEastAsia" w:hAnsi="Times New Roman" w:cstheme="majorBidi"/>
      <w:b/>
      <w:color w:val="2E74B5" w:themeColor="accent1" w:themeShade="BF"/>
      <w:sz w:val="32"/>
      <w:szCs w:val="32"/>
    </w:rPr>
  </w:style>
  <w:style w:type="paragraph" w:styleId="Header">
    <w:name w:val="header"/>
    <w:basedOn w:val="Normal"/>
    <w:link w:val="HeaderChar"/>
    <w:uiPriority w:val="99"/>
    <w:unhideWhenUsed/>
    <w:rsid w:val="007061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619A"/>
    <w:rPr>
      <w:rFonts w:ascii="Times New Roman" w:hAnsi="Times New Roman"/>
      <w:sz w:val="24"/>
    </w:rPr>
  </w:style>
  <w:style w:type="paragraph" w:styleId="Footer">
    <w:name w:val="footer"/>
    <w:basedOn w:val="Normal"/>
    <w:link w:val="FooterChar"/>
    <w:uiPriority w:val="99"/>
    <w:unhideWhenUsed/>
    <w:rsid w:val="007061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619A"/>
    <w:rPr>
      <w:rFonts w:ascii="Times New Roman" w:hAnsi="Times New Roman"/>
      <w:sz w:val="24"/>
    </w:rPr>
  </w:style>
  <w:style w:type="paragraph" w:styleId="TOCHeading">
    <w:name w:val="TOC Heading"/>
    <w:basedOn w:val="Heading1"/>
    <w:next w:val="Normal"/>
    <w:uiPriority w:val="39"/>
    <w:unhideWhenUsed/>
    <w:qFormat/>
    <w:rsid w:val="0070619A"/>
    <w:pPr>
      <w:spacing w:before="240" w:after="0"/>
      <w:outlineLvl w:val="9"/>
    </w:pPr>
    <w:rPr>
      <w:rFonts w:asciiTheme="majorHAnsi" w:hAnsiTheme="majorHAnsi"/>
      <w:b w:val="0"/>
      <w:lang w:val="en-US"/>
    </w:rPr>
  </w:style>
  <w:style w:type="paragraph" w:styleId="TOC1">
    <w:name w:val="toc 1"/>
    <w:basedOn w:val="Normal"/>
    <w:next w:val="Normal"/>
    <w:autoRedefine/>
    <w:uiPriority w:val="39"/>
    <w:unhideWhenUsed/>
    <w:rsid w:val="0070619A"/>
    <w:pPr>
      <w:spacing w:after="0"/>
    </w:pPr>
  </w:style>
  <w:style w:type="character" w:styleId="Hyperlink">
    <w:name w:val="Hyperlink"/>
    <w:basedOn w:val="DefaultParagraphFont"/>
    <w:uiPriority w:val="99"/>
    <w:unhideWhenUsed/>
    <w:rsid w:val="0070619A"/>
    <w:rPr>
      <w:color w:val="0563C1" w:themeColor="hyperlink"/>
      <w:u w:val="single"/>
    </w:rPr>
  </w:style>
  <w:style w:type="character" w:customStyle="1" w:styleId="Heading2Char">
    <w:name w:val="Heading 2 Char"/>
    <w:basedOn w:val="DefaultParagraphFont"/>
    <w:link w:val="Heading2"/>
    <w:uiPriority w:val="9"/>
    <w:rsid w:val="003D759C"/>
    <w:rPr>
      <w:rFonts w:ascii="Times New Roman" w:eastAsiaTheme="majorEastAsia" w:hAnsi="Times New Roman" w:cstheme="majorBidi"/>
      <w:b/>
      <w:sz w:val="28"/>
      <w:szCs w:val="26"/>
    </w:rPr>
  </w:style>
  <w:style w:type="paragraph" w:styleId="TOC2">
    <w:name w:val="toc 2"/>
    <w:basedOn w:val="Normal"/>
    <w:next w:val="Normal"/>
    <w:autoRedefine/>
    <w:uiPriority w:val="39"/>
    <w:unhideWhenUsed/>
    <w:rsid w:val="009A52F3"/>
    <w:pPr>
      <w:spacing w:after="100"/>
      <w:ind w:left="240"/>
    </w:pPr>
  </w:style>
  <w:style w:type="character" w:customStyle="1" w:styleId="Heading3Char">
    <w:name w:val="Heading 3 Char"/>
    <w:basedOn w:val="DefaultParagraphFont"/>
    <w:link w:val="Heading3"/>
    <w:uiPriority w:val="9"/>
    <w:semiHidden/>
    <w:rsid w:val="00640B5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40B58"/>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640B58"/>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640B58"/>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640B58"/>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640B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0B58"/>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22394C"/>
    <w:rPr>
      <w:sz w:val="16"/>
      <w:szCs w:val="16"/>
    </w:rPr>
  </w:style>
  <w:style w:type="paragraph" w:styleId="CommentText">
    <w:name w:val="annotation text"/>
    <w:basedOn w:val="Normal"/>
    <w:link w:val="CommentTextChar"/>
    <w:uiPriority w:val="99"/>
    <w:semiHidden/>
    <w:unhideWhenUsed/>
    <w:rsid w:val="0022394C"/>
    <w:pPr>
      <w:spacing w:line="240" w:lineRule="auto"/>
    </w:pPr>
    <w:rPr>
      <w:sz w:val="20"/>
      <w:szCs w:val="20"/>
    </w:rPr>
  </w:style>
  <w:style w:type="character" w:customStyle="1" w:styleId="CommentTextChar">
    <w:name w:val="Comment Text Char"/>
    <w:basedOn w:val="DefaultParagraphFont"/>
    <w:link w:val="CommentText"/>
    <w:uiPriority w:val="99"/>
    <w:semiHidden/>
    <w:rsid w:val="0022394C"/>
    <w:rPr>
      <w:rFonts w:ascii="Times New Roman" w:hAnsi="Times New Roman"/>
      <w:sz w:val="20"/>
      <w:szCs w:val="20"/>
    </w:rPr>
  </w:style>
  <w:style w:type="paragraph" w:styleId="BalloonText">
    <w:name w:val="Balloon Text"/>
    <w:basedOn w:val="Normal"/>
    <w:link w:val="BalloonTextChar"/>
    <w:uiPriority w:val="99"/>
    <w:semiHidden/>
    <w:unhideWhenUsed/>
    <w:rsid w:val="002239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9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B3920"/>
    <w:rPr>
      <w:b/>
      <w:bCs/>
    </w:rPr>
  </w:style>
  <w:style w:type="character" w:customStyle="1" w:styleId="CommentSubjectChar">
    <w:name w:val="Comment Subject Char"/>
    <w:basedOn w:val="CommentTextChar"/>
    <w:link w:val="CommentSubject"/>
    <w:uiPriority w:val="99"/>
    <w:semiHidden/>
    <w:rsid w:val="000B3920"/>
    <w:rPr>
      <w:rFonts w:ascii="Times New Roman" w:hAnsi="Times New Roman"/>
      <w:b/>
      <w:bCs/>
      <w:sz w:val="20"/>
      <w:szCs w:val="20"/>
    </w:rPr>
  </w:style>
  <w:style w:type="paragraph" w:styleId="FootnoteText">
    <w:name w:val="footnote text"/>
    <w:basedOn w:val="Normal"/>
    <w:link w:val="FootnoteTextChar"/>
    <w:uiPriority w:val="99"/>
    <w:semiHidden/>
    <w:unhideWhenUsed/>
    <w:rsid w:val="000637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376E"/>
    <w:rPr>
      <w:rFonts w:ascii="Times New Roman" w:hAnsi="Times New Roman"/>
      <w:sz w:val="20"/>
      <w:szCs w:val="20"/>
    </w:rPr>
  </w:style>
  <w:style w:type="character" w:styleId="FootnoteReference">
    <w:name w:val="footnote reference"/>
    <w:basedOn w:val="DefaultParagraphFont"/>
    <w:uiPriority w:val="99"/>
    <w:semiHidden/>
    <w:unhideWhenUsed/>
    <w:rsid w:val="0006376E"/>
    <w:rPr>
      <w:vertAlign w:val="superscript"/>
    </w:rPr>
  </w:style>
  <w:style w:type="paragraph" w:styleId="ListParagraph">
    <w:name w:val="List Paragraph"/>
    <w:basedOn w:val="Normal"/>
    <w:uiPriority w:val="34"/>
    <w:qFormat/>
    <w:rsid w:val="00116DD0"/>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uiPriority w:val="99"/>
    <w:unhideWhenUsed/>
    <w:rsid w:val="008B7E3B"/>
    <w:pPr>
      <w:keepLines/>
      <w:numPr>
        <w:numId w:val="33"/>
      </w:numPr>
      <w:overflowPunct w:val="0"/>
      <w:autoSpaceDE w:val="0"/>
      <w:autoSpaceDN w:val="0"/>
      <w:adjustRightInd w:val="0"/>
      <w:spacing w:before="120" w:after="0" w:line="240" w:lineRule="auto"/>
    </w:pPr>
    <w:rPr>
      <w:rFonts w:ascii="Arial" w:eastAsia="Times New Roman" w:hAnsi="Arial" w:cs="Times New Roman"/>
      <w:szCs w:val="20"/>
    </w:rPr>
  </w:style>
  <w:style w:type="paragraph" w:customStyle="1" w:styleId="Darbbusaraksts">
    <w:name w:val="Darbîbu saraksts"/>
    <w:basedOn w:val="Normal"/>
    <w:uiPriority w:val="99"/>
    <w:semiHidden/>
    <w:rsid w:val="008B7E3B"/>
    <w:pPr>
      <w:keepLines/>
      <w:overflowPunct w:val="0"/>
      <w:autoSpaceDE w:val="0"/>
      <w:autoSpaceDN w:val="0"/>
      <w:adjustRightInd w:val="0"/>
      <w:spacing w:before="60" w:after="0" w:line="240" w:lineRule="auto"/>
      <w:ind w:left="567" w:hanging="340"/>
    </w:pPr>
    <w:rPr>
      <w:rFonts w:ascii="Arial" w:eastAsia="Times New Roman" w:hAnsi="Arial" w:cs="Times New Roman"/>
      <w:szCs w:val="20"/>
    </w:rPr>
  </w:style>
  <w:style w:type="paragraph" w:customStyle="1" w:styleId="Attls">
    <w:name w:val="Attēls"/>
    <w:basedOn w:val="Normal"/>
    <w:next w:val="Normal"/>
    <w:uiPriority w:val="99"/>
    <w:semiHidden/>
    <w:rsid w:val="008B7E3B"/>
    <w:pPr>
      <w:keepNext/>
      <w:overflowPunct w:val="0"/>
      <w:autoSpaceDE w:val="0"/>
      <w:autoSpaceDN w:val="0"/>
      <w:adjustRightInd w:val="0"/>
      <w:spacing w:before="120" w:after="0" w:line="240" w:lineRule="auto"/>
      <w:ind w:left="-1985"/>
      <w:jc w:val="center"/>
    </w:pPr>
    <w:rPr>
      <w:rFonts w:ascii="Arial" w:eastAsia="Times New Roman" w:hAnsi="Arial" w:cs="Times New Roman"/>
      <w:szCs w:val="20"/>
    </w:rPr>
  </w:style>
  <w:style w:type="paragraph" w:styleId="NoSpacing">
    <w:name w:val="No Spacing"/>
    <w:uiPriority w:val="1"/>
    <w:qFormat/>
    <w:rsid w:val="00843BB2"/>
    <w:pPr>
      <w:spacing w:after="0" w:line="240" w:lineRule="auto"/>
      <w:jc w:val="both"/>
    </w:pPr>
    <w:rPr>
      <w:rFonts w:ascii="Times New Roman" w:hAnsi="Times New Roman"/>
      <w:sz w:val="24"/>
    </w:rPr>
  </w:style>
  <w:style w:type="character" w:customStyle="1" w:styleId="Neatrisintapieminana1">
    <w:name w:val="Neatrisināta pieminēšana1"/>
    <w:basedOn w:val="DefaultParagraphFont"/>
    <w:uiPriority w:val="99"/>
    <w:semiHidden/>
    <w:unhideWhenUsed/>
    <w:rsid w:val="004E4763"/>
    <w:rPr>
      <w:color w:val="605E5C"/>
      <w:shd w:val="clear" w:color="auto" w:fill="E1DFDD"/>
    </w:rPr>
  </w:style>
  <w:style w:type="paragraph" w:styleId="BodyText2">
    <w:name w:val="Body Text 2"/>
    <w:basedOn w:val="Normal"/>
    <w:link w:val="BodyText2Char"/>
    <w:uiPriority w:val="99"/>
    <w:semiHidden/>
    <w:unhideWhenUsed/>
    <w:rsid w:val="006712CA"/>
    <w:pPr>
      <w:spacing w:after="120" w:line="480" w:lineRule="auto"/>
    </w:pPr>
  </w:style>
  <w:style w:type="character" w:customStyle="1" w:styleId="BodyText2Char">
    <w:name w:val="Body Text 2 Char"/>
    <w:basedOn w:val="DefaultParagraphFont"/>
    <w:link w:val="BodyText2"/>
    <w:uiPriority w:val="99"/>
    <w:semiHidden/>
    <w:rsid w:val="006712C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48244">
      <w:bodyDiv w:val="1"/>
      <w:marLeft w:val="0"/>
      <w:marRight w:val="0"/>
      <w:marTop w:val="0"/>
      <w:marBottom w:val="0"/>
      <w:divBdr>
        <w:top w:val="none" w:sz="0" w:space="0" w:color="auto"/>
        <w:left w:val="none" w:sz="0" w:space="0" w:color="auto"/>
        <w:bottom w:val="none" w:sz="0" w:space="0" w:color="auto"/>
        <w:right w:val="none" w:sz="0" w:space="0" w:color="auto"/>
      </w:divBdr>
    </w:div>
    <w:div w:id="665281817">
      <w:bodyDiv w:val="1"/>
      <w:marLeft w:val="0"/>
      <w:marRight w:val="0"/>
      <w:marTop w:val="0"/>
      <w:marBottom w:val="0"/>
      <w:divBdr>
        <w:top w:val="none" w:sz="0" w:space="0" w:color="auto"/>
        <w:left w:val="none" w:sz="0" w:space="0" w:color="auto"/>
        <w:bottom w:val="none" w:sz="0" w:space="0" w:color="auto"/>
        <w:right w:val="none" w:sz="0" w:space="0" w:color="auto"/>
      </w:divBdr>
    </w:div>
    <w:div w:id="799498393">
      <w:bodyDiv w:val="1"/>
      <w:marLeft w:val="0"/>
      <w:marRight w:val="0"/>
      <w:marTop w:val="0"/>
      <w:marBottom w:val="0"/>
      <w:divBdr>
        <w:top w:val="none" w:sz="0" w:space="0" w:color="auto"/>
        <w:left w:val="none" w:sz="0" w:space="0" w:color="auto"/>
        <w:bottom w:val="none" w:sz="0" w:space="0" w:color="auto"/>
        <w:right w:val="none" w:sz="0" w:space="0" w:color="auto"/>
      </w:divBdr>
    </w:div>
    <w:div w:id="1024281355">
      <w:bodyDiv w:val="1"/>
      <w:marLeft w:val="0"/>
      <w:marRight w:val="0"/>
      <w:marTop w:val="0"/>
      <w:marBottom w:val="0"/>
      <w:divBdr>
        <w:top w:val="none" w:sz="0" w:space="0" w:color="auto"/>
        <w:left w:val="none" w:sz="0" w:space="0" w:color="auto"/>
        <w:bottom w:val="none" w:sz="0" w:space="0" w:color="auto"/>
        <w:right w:val="none" w:sz="0" w:space="0" w:color="auto"/>
      </w:divBdr>
    </w:div>
    <w:div w:id="1097944426">
      <w:bodyDiv w:val="1"/>
      <w:marLeft w:val="0"/>
      <w:marRight w:val="0"/>
      <w:marTop w:val="0"/>
      <w:marBottom w:val="0"/>
      <w:divBdr>
        <w:top w:val="none" w:sz="0" w:space="0" w:color="auto"/>
        <w:left w:val="none" w:sz="0" w:space="0" w:color="auto"/>
        <w:bottom w:val="none" w:sz="0" w:space="0" w:color="auto"/>
        <w:right w:val="none" w:sz="0" w:space="0" w:color="auto"/>
      </w:divBdr>
    </w:div>
    <w:div w:id="1531916737">
      <w:bodyDiv w:val="1"/>
      <w:marLeft w:val="0"/>
      <w:marRight w:val="0"/>
      <w:marTop w:val="0"/>
      <w:marBottom w:val="0"/>
      <w:divBdr>
        <w:top w:val="none" w:sz="0" w:space="0" w:color="auto"/>
        <w:left w:val="none" w:sz="0" w:space="0" w:color="auto"/>
        <w:bottom w:val="none" w:sz="0" w:space="0" w:color="auto"/>
        <w:right w:val="none" w:sz="0" w:space="0" w:color="auto"/>
      </w:divBdr>
    </w:div>
    <w:div w:id="1839494014">
      <w:bodyDiv w:val="1"/>
      <w:marLeft w:val="0"/>
      <w:marRight w:val="0"/>
      <w:marTop w:val="0"/>
      <w:marBottom w:val="0"/>
      <w:divBdr>
        <w:top w:val="none" w:sz="0" w:space="0" w:color="auto"/>
        <w:left w:val="none" w:sz="0" w:space="0" w:color="auto"/>
        <w:bottom w:val="none" w:sz="0" w:space="0" w:color="auto"/>
        <w:right w:val="none" w:sz="0" w:space="0" w:color="auto"/>
      </w:divBdr>
    </w:div>
    <w:div w:id="2022395780">
      <w:bodyDiv w:val="1"/>
      <w:marLeft w:val="0"/>
      <w:marRight w:val="0"/>
      <w:marTop w:val="0"/>
      <w:marBottom w:val="0"/>
      <w:divBdr>
        <w:top w:val="none" w:sz="0" w:space="0" w:color="auto"/>
        <w:left w:val="none" w:sz="0" w:space="0" w:color="auto"/>
        <w:bottom w:val="none" w:sz="0" w:space="0" w:color="auto"/>
        <w:right w:val="none" w:sz="0" w:space="0" w:color="auto"/>
      </w:divBdr>
    </w:div>
    <w:div w:id="208498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euc-word-edit.officeapps.live.com/we/wordeditorframe.aspx?ui=en%2DGB&amp;rs=en%2DUS&amp;wopisrc=https%3A%2F%2Ffmlv-my.sharepoint.com%2Fpersonal%2Fiveta_belakova_fm_gov_lv%2F_vti_bin%2Fwopi.ashx%2Ffiles%2Fdd1a84886e9046b08007384642d96eaa&amp;wdenableroaming=1&amp;mscc=1&amp;wdodb=1&amp;hid=00000000-0000-0000-0000-000000000000&amp;wdorigin=AuthPrompt&amp;jsapi=1&amp;jsapiver=v1&amp;newsession=1&amp;corrid=af3cdac1-e755-4cf8-89c7-21cc63bf68ee&amp;usid=af3cdac1-e755-4cf8-89c7-21cc63bf68ee&amp;sftc=1&amp;instantedit=1&amp;wopicomplete=1&amp;wdredirectionreason=Unified_SingleFlush&amp;rct=Medium&amp;ctp=LeastProtected" TargetMode="External"/><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c-word-edit.officeapps.live.com/we/wordeditorframe.aspx?ui=en%2DGB&amp;rs=en%2DUS&amp;wopisrc=https%3A%2F%2Ffmlv-my.sharepoint.com%2Fpersonal%2Fiveta_belakova_fm_gov_lv%2F_vti_bin%2Fwopi.ashx%2Ffiles%2Fdd1a84886e9046b08007384642d96eaa&amp;wdenableroaming=1&amp;mscc=1&amp;wdodb=1&amp;hid=00000000-0000-0000-0000-000000000000&amp;wdorigin=AuthPrompt&amp;jsapi=1&amp;jsapiver=v1&amp;newsession=1&amp;corrid=af3cdac1-e755-4cf8-89c7-21cc63bf68ee&amp;usid=af3cdac1-e755-4cf8-89c7-21cc63bf68ee&amp;sftc=1&amp;instantedit=1&amp;wopicomplete=1&amp;wdredirectionreason=Unified_SingleFlush&amp;rct=Medium&amp;ctp=LeastProtected"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s://peppol.eu/who-is-who/peppol-certified-ap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ekini.lv/sending.html" TargetMode="External"/><Relationship Id="rId2" Type="http://schemas.openxmlformats.org/officeDocument/2006/relationships/hyperlink" Target="https://eur-lex.europa.eu/legal-content/LV/TXT/?uri=CELEX:52018PC0055" TargetMode="External"/><Relationship Id="rId1" Type="http://schemas.openxmlformats.org/officeDocument/2006/relationships/hyperlink" Target="https://ec.europa.eu/taxation_customs/sites/taxation/files/resources/documents/taxation/vat/traders/invoicing_rules/explanatory_notes_lv.pdf" TargetMode="External"/><Relationship Id="rId4" Type="http://schemas.openxmlformats.org/officeDocument/2006/relationships/hyperlink" Target="https://nra.lv/latvija/335926-cetri-no-desmit-latvijas-uznemumiem-rekinus-sagatavo-automatiski.ht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3417281123028397E-3"/>
          <c:y val="0.12436409546880195"/>
          <c:w val="0.97839507064675024"/>
          <c:h val="0.79743858377535437"/>
        </c:manualLayout>
      </c:layout>
      <c:pie3DChart>
        <c:varyColors val="1"/>
        <c:ser>
          <c:idx val="0"/>
          <c:order val="0"/>
          <c:explosion val="10"/>
          <c:dPt>
            <c:idx val="0"/>
            <c:bubble3D val="0"/>
            <c:explosion val="0"/>
            <c:spPr>
              <a:solidFill>
                <a:srgbClr val="FF6565"/>
              </a:solidFill>
              <a:ln w="25400">
                <a:solidFill>
                  <a:schemeClr val="lt1"/>
                </a:solidFill>
              </a:ln>
              <a:effectLst/>
              <a:sp3d contourW="25400">
                <a:contourClr>
                  <a:schemeClr val="lt1"/>
                </a:contourClr>
              </a:sp3d>
            </c:spPr>
            <c:extLst>
              <c:ext xmlns:c16="http://schemas.microsoft.com/office/drawing/2014/chart" uri="{C3380CC4-5D6E-409C-BE32-E72D297353CC}">
                <c16:uniqueId val="{00000001-60C6-4726-B9BD-74D9F0BA596A}"/>
              </c:ext>
            </c:extLst>
          </c:dPt>
          <c:dPt>
            <c:idx val="1"/>
            <c:bubble3D val="0"/>
            <c:explosion val="0"/>
            <c:spPr>
              <a:solidFill>
                <a:srgbClr val="FF6565"/>
              </a:solidFill>
              <a:ln w="25400">
                <a:solidFill>
                  <a:schemeClr val="lt1"/>
                </a:solidFill>
              </a:ln>
              <a:effectLst/>
              <a:sp3d contourW="25400">
                <a:contourClr>
                  <a:schemeClr val="lt1"/>
                </a:contourClr>
              </a:sp3d>
            </c:spPr>
            <c:extLst>
              <c:ext xmlns:c16="http://schemas.microsoft.com/office/drawing/2014/chart" uri="{C3380CC4-5D6E-409C-BE32-E72D297353CC}">
                <c16:uniqueId val="{00000003-60C6-4726-B9BD-74D9F0BA596A}"/>
              </c:ext>
            </c:extLst>
          </c:dPt>
          <c:dPt>
            <c:idx val="2"/>
            <c:bubble3D val="0"/>
            <c:explosion val="0"/>
            <c:spPr>
              <a:solidFill>
                <a:srgbClr val="FF6565"/>
              </a:solidFill>
              <a:ln w="25400">
                <a:solidFill>
                  <a:schemeClr val="lt1"/>
                </a:solidFill>
              </a:ln>
              <a:effectLst/>
              <a:sp3d contourW="25400">
                <a:contourClr>
                  <a:schemeClr val="lt1"/>
                </a:contourClr>
              </a:sp3d>
            </c:spPr>
            <c:extLst>
              <c:ext xmlns:c16="http://schemas.microsoft.com/office/drawing/2014/chart" uri="{C3380CC4-5D6E-409C-BE32-E72D297353CC}">
                <c16:uniqueId val="{00000005-60C6-4726-B9BD-74D9F0BA596A}"/>
              </c:ext>
            </c:extLst>
          </c:dPt>
          <c:dPt>
            <c:idx val="3"/>
            <c:bubble3D val="0"/>
            <c:explosion val="23"/>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7-60C6-4726-B9BD-74D9F0BA596A}"/>
              </c:ext>
            </c:extLst>
          </c:dPt>
          <c:dPt>
            <c:idx val="4"/>
            <c:bubble3D val="0"/>
            <c:explosion val="3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9-60C6-4726-B9BD-74D9F0BA596A}"/>
              </c:ext>
            </c:extLst>
          </c:dPt>
          <c:dPt>
            <c:idx val="5"/>
            <c:bubble3D val="0"/>
            <c:explosion val="27"/>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60C6-4726-B9BD-74D9F0BA596A}"/>
              </c:ext>
            </c:extLst>
          </c:dPt>
          <c:dPt>
            <c:idx val="6"/>
            <c:bubble3D val="0"/>
            <c:explosion val="18"/>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D-60C6-4726-B9BD-74D9F0BA596A}"/>
              </c:ext>
            </c:extLst>
          </c:dPt>
          <c:dLbls>
            <c:dLbl>
              <c:idx val="0"/>
              <c:layout>
                <c:manualLayout>
                  <c:x val="2.1367344372473319E-2"/>
                  <c:y val="-0.23967120218759266"/>
                </c:manualLayout>
              </c:layout>
              <c:tx>
                <c:rich>
                  <a:bodyPr/>
                  <a:lstStyle/>
                  <a:p>
                    <a:fld id="{B8C2810D-8A7B-450D-B2F4-6B09CF3D714D}" type="VALUE">
                      <a:rPr lang="en-US"/>
                      <a:pPr/>
                      <a:t>[VALUE]</a:t>
                    </a:fld>
                    <a:r>
                      <a:rPr lang="en-US"/>
                      <a:t> jeb 55% kases aparāti ar elektronisko kontrollenti</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0C6-4726-B9BD-74D9F0BA596A}"/>
                </c:ext>
              </c:extLst>
            </c:dLbl>
            <c:dLbl>
              <c:idx val="1"/>
              <c:layout>
                <c:manualLayout>
                  <c:x val="-9.6962907746686408E-2"/>
                  <c:y val="7.2544050722814613E-2"/>
                </c:manualLayout>
              </c:layout>
              <c:tx>
                <c:rich>
                  <a:bodyPr/>
                  <a:lstStyle/>
                  <a:p>
                    <a:fld id="{95B7697F-ED9C-4EDF-85FE-D698B36B2B1B}" type="VALUE">
                      <a:rPr lang="en-US"/>
                      <a:pPr/>
                      <a:t>[VALUE]</a:t>
                    </a:fld>
                    <a:r>
                      <a:rPr lang="en-US"/>
                      <a:t> jeb7% tirdzniecības automāti</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0C6-4726-B9BD-74D9F0BA596A}"/>
                </c:ext>
              </c:extLst>
            </c:dLbl>
            <c:dLbl>
              <c:idx val="2"/>
              <c:layout>
                <c:manualLayout>
                  <c:x val="-4.1013802938241285E-2"/>
                  <c:y val="-1.1973116331169901E-2"/>
                </c:manualLayout>
              </c:layout>
              <c:tx>
                <c:rich>
                  <a:bodyPr/>
                  <a:lstStyle/>
                  <a:p>
                    <a:fld id="{5FC66EE6-CBA6-44BF-9B35-1416ED8F6714}" type="VALUE">
                      <a:rPr lang="en-US"/>
                      <a:pPr/>
                      <a:t>[VALUE]</a:t>
                    </a:fld>
                    <a:r>
                      <a:rPr lang="en-US"/>
                      <a:t> jeb 3% taksometra skaitītāji</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0C6-4726-B9BD-74D9F0BA596A}"/>
                </c:ext>
              </c:extLst>
            </c:dLbl>
            <c:dLbl>
              <c:idx val="3"/>
              <c:layout>
                <c:manualLayout>
                  <c:x val="4.3153780089415427E-3"/>
                  <c:y val="-6.8271560197234765E-2"/>
                </c:manualLayout>
              </c:layout>
              <c:tx>
                <c:rich>
                  <a:bodyPr/>
                  <a:lstStyle/>
                  <a:p>
                    <a:fld id="{D497F4AF-F635-4B4A-84D9-4094CBB973D3}" type="VALUE">
                      <a:rPr lang="en-US"/>
                      <a:pPr/>
                      <a:t>[VALUE]</a:t>
                    </a:fld>
                    <a:r>
                      <a:rPr lang="en-US"/>
                      <a:t> jeb 26% kases sistēmas</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0C6-4726-B9BD-74D9F0BA596A}"/>
                </c:ext>
              </c:extLst>
            </c:dLbl>
            <c:dLbl>
              <c:idx val="4"/>
              <c:layout>
                <c:manualLayout>
                  <c:x val="-4.8692885276495727E-2"/>
                  <c:y val="-1.8605269432108034E-2"/>
                </c:manualLayout>
              </c:layout>
              <c:tx>
                <c:rich>
                  <a:bodyPr/>
                  <a:lstStyle/>
                  <a:p>
                    <a:fld id="{9D99B156-F65E-43EE-8C5A-40C6209A1D99}" type="VALUE">
                      <a:rPr lang="en-US"/>
                      <a:pPr/>
                      <a:t>[VALUE]</a:t>
                    </a:fld>
                    <a:r>
                      <a:rPr lang="en-US"/>
                      <a:t> jeb 6% hibrīda kases aparāti</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0C6-4726-B9BD-74D9F0BA596A}"/>
                </c:ext>
              </c:extLst>
            </c:dLbl>
            <c:dLbl>
              <c:idx val="5"/>
              <c:layout>
                <c:manualLayout>
                  <c:x val="3.5174007985017484E-2"/>
                  <c:y val="-2.7924906554388958E-2"/>
                </c:manualLayout>
              </c:layout>
              <c:tx>
                <c:rich>
                  <a:bodyPr/>
                  <a:lstStyle/>
                  <a:p>
                    <a:fld id="{450A5F49-0317-4B09-9796-F950B0E3D0FA}" type="VALUE">
                      <a:rPr lang="en-US"/>
                      <a:pPr/>
                      <a:t>[VALUE]</a:t>
                    </a:fld>
                    <a:r>
                      <a:rPr lang="en-US"/>
                      <a:t> jeb 2% degvielas uzpildes stacijas kases sistēmas</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60C6-4726-B9BD-74D9F0BA596A}"/>
                </c:ext>
              </c:extLst>
            </c:dLbl>
            <c:dLbl>
              <c:idx val="6"/>
              <c:layout>
                <c:manualLayout>
                  <c:x val="0.20810540844757225"/>
                  <c:y val="-1.864468410108858E-2"/>
                </c:manualLayout>
              </c:layout>
              <c:tx>
                <c:rich>
                  <a:bodyPr/>
                  <a:lstStyle/>
                  <a:p>
                    <a:fld id="{75D400B6-3347-4A34-8EEF-3A3E506FD398}" type="VALUE">
                      <a:rPr lang="lv-LV"/>
                      <a:pPr/>
                      <a:t>[VALUE]</a:t>
                    </a:fld>
                    <a:r>
                      <a:rPr lang="lv-LV" dirty="0"/>
                      <a:t> jeb 1% kases aparāti ar fiskālās atmiņas moduli</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60C6-4726-B9BD-74D9F0BA596A}"/>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Sheet2!$A$3:$B$9</c:f>
              <c:multiLvlStrCache>
                <c:ptCount val="7"/>
                <c:lvl>
                  <c:pt idx="1">
                    <c:v>Tirdzniecības automāts</c:v>
                  </c:pt>
                  <c:pt idx="2">
                    <c:v>Taksometra skaitītājs</c:v>
                  </c:pt>
                  <c:pt idx="4">
                    <c:v>Hibrīda kases aparāts</c:v>
                  </c:pt>
                  <c:pt idx="5">
                    <c:v>Degvielas uzpildes stacijas kases sistēma</c:v>
                  </c:pt>
                  <c:pt idx="6">
                    <c:v>Kases aparāts ar elektronisko kontrollenti un fiskālās atmiņas moduli</c:v>
                  </c:pt>
                </c:lvl>
                <c:lvl>
                  <c:pt idx="0">
                    <c:v>32 894 jeb 66% iekārtas, kas nav aprīkotas ar fiskālās atmiņas moduli (nenodrošina attālinātu piekļuvi)</c:v>
                  </c:pt>
                  <c:pt idx="3">
                    <c:v>17 246 jeb 34% iekārtu, kas aprīkotas ar fiskālās atmiņas moduli (nodrošina attālināto piekļuvi)</c:v>
                  </c:pt>
                </c:lvl>
              </c:multiLvlStrCache>
            </c:multiLvlStrRef>
          </c:cat>
          <c:val>
            <c:numRef>
              <c:f>Sheet2!$C$3:$C$9</c:f>
              <c:numCache>
                <c:formatCode>General</c:formatCode>
                <c:ptCount val="7"/>
                <c:pt idx="0">
                  <c:v>27488</c:v>
                </c:pt>
                <c:pt idx="1">
                  <c:v>3699</c:v>
                </c:pt>
                <c:pt idx="2">
                  <c:v>1707</c:v>
                </c:pt>
                <c:pt idx="3">
                  <c:v>13022</c:v>
                </c:pt>
                <c:pt idx="4">
                  <c:v>3059</c:v>
                </c:pt>
                <c:pt idx="5">
                  <c:v>936</c:v>
                </c:pt>
                <c:pt idx="6">
                  <c:v>229</c:v>
                </c:pt>
              </c:numCache>
            </c:numRef>
          </c:val>
          <c:extLst>
            <c:ext xmlns:c16="http://schemas.microsoft.com/office/drawing/2014/chart" uri="{C3380CC4-5D6E-409C-BE32-E72D297353CC}">
              <c16:uniqueId val="{0000000E-60C6-4726-B9BD-74D9F0BA596A}"/>
            </c:ext>
          </c:extLst>
        </c:ser>
        <c:dLbls>
          <c:dLblPos val="bestFit"/>
          <c:showLegendKey val="0"/>
          <c:showVal val="1"/>
          <c:showCatName val="0"/>
          <c:showSerName val="0"/>
          <c:showPercent val="0"/>
          <c:showBubbleSize val="0"/>
          <c:showLeaderLines val="1"/>
        </c:dLbls>
      </c:pie3DChart>
      <c:spPr>
        <a:noFill/>
        <a:ln>
          <a:noFill/>
        </a:ln>
        <a:effectLst/>
      </c:spPr>
    </c:plotArea>
    <c:legend>
      <c:legendPos val="b"/>
      <c:legendEntry>
        <c:idx val="1"/>
        <c:delete val="1"/>
      </c:legendEntry>
      <c:legendEntry>
        <c:idx val="2"/>
        <c:delete val="1"/>
      </c:legendEntry>
      <c:legendEntry>
        <c:idx val="3"/>
        <c:delete val="1"/>
      </c:legendEntry>
      <c:legendEntry>
        <c:idx val="4"/>
        <c:delete val="1"/>
      </c:legendEntry>
      <c:legendEntry>
        <c:idx val="5"/>
        <c:delete val="1"/>
      </c:legendEntry>
      <c:legendEntry>
        <c:idx val="6"/>
        <c:delete val="1"/>
      </c:legendEntry>
      <c:layout>
        <c:manualLayout>
          <c:xMode val="edge"/>
          <c:yMode val="edge"/>
          <c:x val="0.29769794066261596"/>
          <c:y val="0.85934682165132781"/>
          <c:w val="0.69274536401604236"/>
          <c:h val="0.1396461721980517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28A62-A22D-405A-B2E6-25EA853F3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76513</Words>
  <Characters>43613</Characters>
  <Application>Microsoft Office Word</Application>
  <DocSecurity>4</DocSecurity>
  <Lines>363</Lines>
  <Paragraphs>239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ziņojums "Par attaisnojuma dokumentu un preču piegādes dokumentu elektroniskās aprites sistēmas ieviešanu"</vt:lpstr>
      <vt:lpstr/>
    </vt:vector>
  </TitlesOfParts>
  <Company>Finanšu ministrija</Company>
  <LinksUpToDate>false</LinksUpToDate>
  <CharactersWithSpaces>119887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attaisnojuma dokumentu un preču piegādes dokumentu elektroniskās aprites sistēmas ieviešanu"</dc:title>
  <dc:subject>Informatīvā ziņojuma projekts</dc:subject>
  <dc:creator>Iveta Beļakova</dc:creator>
  <cp:keywords/>
  <dc:description>67095509, Iveta.Belakova@fm.gov.lv</dc:description>
  <cp:lastModifiedBy>Inguna Dancīte</cp:lastModifiedBy>
  <cp:revision>2</cp:revision>
  <dcterms:created xsi:type="dcterms:W3CDTF">2021-05-17T09:29:00Z</dcterms:created>
  <dcterms:modified xsi:type="dcterms:W3CDTF">2021-05-17T09:29:00Z</dcterms:modified>
</cp:coreProperties>
</file>